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D710" w14:textId="4AFB458D" w:rsidR="003B3C98" w:rsidRPr="006455EC" w:rsidRDefault="003B3C98" w:rsidP="006455EC">
      <w:pPr>
        <w:jc w:val="center"/>
        <w:rPr>
          <w:rFonts w:ascii="Verdana" w:hAnsi="Verdana"/>
          <w:b/>
          <w:bCs/>
          <w:sz w:val="22"/>
          <w:szCs w:val="22"/>
        </w:rPr>
      </w:pPr>
      <w:r w:rsidRPr="006455EC">
        <w:rPr>
          <w:rFonts w:ascii="Verdana" w:hAnsi="Verdana"/>
          <w:b/>
          <w:bCs/>
          <w:sz w:val="22"/>
          <w:szCs w:val="22"/>
        </w:rPr>
        <w:t>CIRCULAR 56 DE 2008</w:t>
      </w:r>
    </w:p>
    <w:p w14:paraId="4FA3666A" w14:textId="066E7814" w:rsidR="003B3C98" w:rsidRPr="006455EC" w:rsidRDefault="003B3C98" w:rsidP="006455EC">
      <w:pPr>
        <w:jc w:val="center"/>
        <w:rPr>
          <w:rFonts w:ascii="Verdana" w:hAnsi="Verdana"/>
          <w:b/>
          <w:bCs/>
          <w:sz w:val="22"/>
          <w:szCs w:val="22"/>
        </w:rPr>
      </w:pPr>
      <w:r w:rsidRPr="006455EC">
        <w:rPr>
          <w:rFonts w:ascii="Verdana" w:hAnsi="Verdana"/>
          <w:b/>
          <w:bCs/>
          <w:sz w:val="22"/>
          <w:szCs w:val="22"/>
        </w:rPr>
        <w:t>(</w:t>
      </w:r>
      <w:r w:rsidR="006455EC" w:rsidRPr="006455EC">
        <w:rPr>
          <w:rFonts w:ascii="Verdana" w:hAnsi="Verdana"/>
          <w:b/>
          <w:bCs/>
          <w:sz w:val="22"/>
          <w:szCs w:val="22"/>
        </w:rPr>
        <w:t>12 de a</w:t>
      </w:r>
      <w:r w:rsidRPr="006455EC">
        <w:rPr>
          <w:rFonts w:ascii="Verdana" w:hAnsi="Verdana"/>
          <w:b/>
          <w:bCs/>
          <w:sz w:val="22"/>
          <w:szCs w:val="22"/>
        </w:rPr>
        <w:t>gosto)</w:t>
      </w:r>
    </w:p>
    <w:p w14:paraId="79656DCA" w14:textId="386028AB" w:rsidR="003B3C98" w:rsidRPr="006455EC" w:rsidRDefault="003B3C98" w:rsidP="006455EC">
      <w:pPr>
        <w:jc w:val="center"/>
        <w:rPr>
          <w:rFonts w:ascii="Verdana" w:hAnsi="Verdana"/>
          <w:b/>
          <w:bCs/>
          <w:sz w:val="22"/>
          <w:szCs w:val="22"/>
        </w:rPr>
      </w:pPr>
      <w:r w:rsidRPr="006455EC">
        <w:rPr>
          <w:rFonts w:ascii="Verdana" w:hAnsi="Verdana"/>
          <w:b/>
          <w:bCs/>
          <w:sz w:val="22"/>
          <w:szCs w:val="22"/>
        </w:rPr>
        <w:t>INSTITUTO COLOMBIANO DE BIENESTAR FAMILIAR</w:t>
      </w:r>
    </w:p>
    <w:p w14:paraId="4331D4B2" w14:textId="77777777" w:rsidR="003B3C98" w:rsidRPr="003B3C98" w:rsidRDefault="003B3C98" w:rsidP="003B3C98">
      <w:pPr>
        <w:rPr>
          <w:rFonts w:ascii="Verdana" w:hAnsi="Verdana"/>
          <w:sz w:val="22"/>
          <w:szCs w:val="22"/>
        </w:rPr>
      </w:pPr>
      <w:r w:rsidRPr="003B3C98">
        <w:rPr>
          <w:rFonts w:ascii="Verdana" w:hAnsi="Verdana"/>
          <w:sz w:val="22"/>
          <w:szCs w:val="22"/>
        </w:rPr>
        <w:t>Para:</w:t>
      </w:r>
      <w:r w:rsidRPr="003B3C98">
        <w:rPr>
          <w:rFonts w:ascii="Verdana" w:hAnsi="Verdana"/>
          <w:sz w:val="22"/>
          <w:szCs w:val="22"/>
        </w:rPr>
        <w:tab/>
      </w:r>
      <w:proofErr w:type="gramStart"/>
      <w:r w:rsidRPr="003B3C98">
        <w:rPr>
          <w:rFonts w:ascii="Verdana" w:hAnsi="Verdana"/>
          <w:sz w:val="22"/>
          <w:szCs w:val="22"/>
        </w:rPr>
        <w:t>Directores Regionales</w:t>
      </w:r>
      <w:proofErr w:type="gramEnd"/>
      <w:r w:rsidRPr="003B3C98">
        <w:rPr>
          <w:rFonts w:ascii="Verdana" w:hAnsi="Verdana"/>
          <w:sz w:val="22"/>
          <w:szCs w:val="22"/>
        </w:rPr>
        <w:t xml:space="preserve"> y Seccionales.</w:t>
      </w:r>
    </w:p>
    <w:p w14:paraId="69B9834F" w14:textId="77777777" w:rsidR="003B3C98" w:rsidRPr="003B3C98" w:rsidRDefault="003B3C98" w:rsidP="003B3C98">
      <w:pPr>
        <w:rPr>
          <w:rFonts w:ascii="Verdana" w:hAnsi="Verdana"/>
          <w:sz w:val="22"/>
          <w:szCs w:val="22"/>
        </w:rPr>
      </w:pPr>
      <w:r w:rsidRPr="003B3C98">
        <w:rPr>
          <w:rFonts w:ascii="Verdana" w:hAnsi="Verdana"/>
          <w:sz w:val="22"/>
          <w:szCs w:val="22"/>
        </w:rPr>
        <w:t>Asunto:</w:t>
      </w:r>
      <w:r w:rsidRPr="003B3C98">
        <w:rPr>
          <w:rFonts w:ascii="Verdana" w:hAnsi="Verdana"/>
          <w:sz w:val="22"/>
          <w:szCs w:val="22"/>
        </w:rPr>
        <w:tab/>
        <w:t>Inembargabilidad de recursos del sistema general de participaciones</w:t>
      </w:r>
    </w:p>
    <w:p w14:paraId="0CEF54F4" w14:textId="77777777" w:rsidR="003B3C98" w:rsidRPr="003B3C98" w:rsidRDefault="003B3C98" w:rsidP="003B3C98">
      <w:pPr>
        <w:rPr>
          <w:rFonts w:ascii="Verdana" w:hAnsi="Verdana"/>
          <w:sz w:val="22"/>
          <w:szCs w:val="22"/>
        </w:rPr>
      </w:pPr>
      <w:r w:rsidRPr="003B3C98">
        <w:rPr>
          <w:rFonts w:ascii="Verdana" w:hAnsi="Verdana"/>
          <w:sz w:val="22"/>
          <w:szCs w:val="22"/>
        </w:rPr>
        <w:t>Fecha:</w:t>
      </w:r>
      <w:r w:rsidRPr="003B3C98">
        <w:rPr>
          <w:rFonts w:ascii="Verdana" w:hAnsi="Verdana"/>
          <w:sz w:val="22"/>
          <w:szCs w:val="22"/>
        </w:rPr>
        <w:tab/>
        <w:t>Bogotá, D. C. 12 AGO. 2008</w:t>
      </w:r>
    </w:p>
    <w:p w14:paraId="52B6A4A7" w14:textId="2916ED63" w:rsidR="003B3C98" w:rsidRPr="003B3C98" w:rsidRDefault="003B3C98" w:rsidP="003B3C98">
      <w:pPr>
        <w:rPr>
          <w:rFonts w:ascii="Verdana" w:hAnsi="Verdana"/>
          <w:sz w:val="22"/>
          <w:szCs w:val="22"/>
        </w:rPr>
      </w:pPr>
      <w:r w:rsidRPr="003B3C98">
        <w:rPr>
          <w:rFonts w:ascii="Verdana" w:hAnsi="Verdana"/>
          <w:sz w:val="22"/>
          <w:szCs w:val="22"/>
        </w:rPr>
        <w:t>En virtud a lo dispuesto en los Decretos 1101 de 2007 y 028 de 2008, y las directrices dadas por el Señor Presidente de la República en materia de inembargabilidad de los recursos del Sistema General de Participaciones, especialmente en lo que tiene que ver con los recursos para el mejoramiento de la infraestructura para atención a la Primera Infancia, de manera atenta acompaño el lineamiento jurídico para que en forma coordinada con los entes territoriales se acelere el desembargo y se evite el decreto de medidas improcedentes derivadas de decisiones judiciales que afecten la continuidad, cobertura y calidad de los servicios financiados con cargo a estos recursos.</w:t>
      </w:r>
    </w:p>
    <w:p w14:paraId="3E2CD36A" w14:textId="4C329675" w:rsidR="003B3C98" w:rsidRPr="003B3C98" w:rsidRDefault="003B3C98" w:rsidP="003B3C98">
      <w:pPr>
        <w:rPr>
          <w:rFonts w:ascii="Verdana" w:hAnsi="Verdana"/>
          <w:sz w:val="22"/>
          <w:szCs w:val="22"/>
        </w:rPr>
      </w:pPr>
      <w:r w:rsidRPr="003B3C98">
        <w:rPr>
          <w:rFonts w:ascii="Verdana" w:hAnsi="Verdana"/>
          <w:sz w:val="22"/>
          <w:szCs w:val="22"/>
        </w:rPr>
        <w:t>El cumplimiento de la presente circular es responsabilidad de sus destinatarios.</w:t>
      </w:r>
    </w:p>
    <w:p w14:paraId="0B858060" w14:textId="7386DB2D" w:rsidR="003B3C98" w:rsidRPr="006455EC" w:rsidRDefault="003B3C98" w:rsidP="003B3C98">
      <w:pPr>
        <w:rPr>
          <w:rFonts w:ascii="Verdana" w:hAnsi="Verdana"/>
          <w:sz w:val="22"/>
          <w:szCs w:val="22"/>
        </w:rPr>
      </w:pPr>
      <w:r w:rsidRPr="003B3C98">
        <w:rPr>
          <w:rFonts w:ascii="Verdana" w:hAnsi="Verdana"/>
          <w:sz w:val="22"/>
          <w:szCs w:val="22"/>
        </w:rPr>
        <w:t>Cordial Saludo,</w:t>
      </w:r>
    </w:p>
    <w:p w14:paraId="12D1E007" w14:textId="62AB45A9" w:rsidR="003B3C98" w:rsidRPr="006455EC" w:rsidRDefault="003B3C98" w:rsidP="006455EC">
      <w:pPr>
        <w:jc w:val="center"/>
        <w:rPr>
          <w:rFonts w:ascii="Verdana" w:hAnsi="Verdana"/>
          <w:b/>
          <w:bCs/>
          <w:sz w:val="22"/>
          <w:szCs w:val="22"/>
        </w:rPr>
      </w:pPr>
      <w:r w:rsidRPr="006455EC">
        <w:rPr>
          <w:rFonts w:ascii="Verdana" w:hAnsi="Verdana"/>
          <w:b/>
          <w:bCs/>
          <w:sz w:val="22"/>
          <w:szCs w:val="22"/>
        </w:rPr>
        <w:t>ELVIRA FORERO HERNANDEZ</w:t>
      </w:r>
    </w:p>
    <w:p w14:paraId="5486DC89" w14:textId="094EC864" w:rsidR="003B3C98" w:rsidRPr="003B3C98" w:rsidRDefault="006455EC" w:rsidP="006455EC">
      <w:pPr>
        <w:jc w:val="center"/>
        <w:rPr>
          <w:rFonts w:ascii="Verdana" w:hAnsi="Verdana"/>
          <w:sz w:val="22"/>
          <w:szCs w:val="22"/>
        </w:rPr>
      </w:pPr>
      <w:r w:rsidRPr="003B3C98">
        <w:rPr>
          <w:rFonts w:ascii="Verdana" w:hAnsi="Verdana"/>
          <w:sz w:val="22"/>
          <w:szCs w:val="22"/>
        </w:rPr>
        <w:t>DIRECTORA GENERAL</w:t>
      </w:r>
    </w:p>
    <w:p w14:paraId="0057848D" w14:textId="4358E9DA" w:rsidR="003B3C98" w:rsidRPr="006455EC" w:rsidRDefault="003B3C98" w:rsidP="003B3C98">
      <w:pPr>
        <w:rPr>
          <w:rFonts w:ascii="Verdana" w:hAnsi="Verdana"/>
          <w:b/>
          <w:bCs/>
          <w:sz w:val="22"/>
          <w:szCs w:val="22"/>
        </w:rPr>
      </w:pPr>
      <w:r w:rsidRPr="006455EC">
        <w:rPr>
          <w:rFonts w:ascii="Verdana" w:hAnsi="Verdana"/>
          <w:b/>
          <w:bCs/>
          <w:sz w:val="22"/>
          <w:szCs w:val="22"/>
        </w:rPr>
        <w:t>INEMBARGABILIDAD DE LOS RECURSOS DEL SISTEMA GENERAL DE PARTICIPACIONES</w:t>
      </w:r>
    </w:p>
    <w:p w14:paraId="57B59C7A" w14:textId="1A1DE629" w:rsidR="003B3C98" w:rsidRPr="006455EC" w:rsidRDefault="003B3C98" w:rsidP="003B3C98">
      <w:pPr>
        <w:rPr>
          <w:rFonts w:ascii="Verdana" w:hAnsi="Verdana"/>
          <w:i/>
          <w:iCs/>
          <w:sz w:val="22"/>
          <w:szCs w:val="22"/>
        </w:rPr>
      </w:pPr>
      <w:r w:rsidRPr="006455EC">
        <w:rPr>
          <w:rFonts w:ascii="Verdana" w:hAnsi="Verdana"/>
          <w:i/>
          <w:iCs/>
          <w:sz w:val="22"/>
          <w:szCs w:val="22"/>
        </w:rPr>
        <w:t>Fundamento Legal</w:t>
      </w:r>
    </w:p>
    <w:p w14:paraId="6CE3AD87" w14:textId="5CF23B83" w:rsidR="003B3C98" w:rsidRPr="006455EC" w:rsidRDefault="003B3C98" w:rsidP="003B3C98">
      <w:pPr>
        <w:rPr>
          <w:rFonts w:ascii="Verdana" w:hAnsi="Verdana"/>
          <w:i/>
          <w:iCs/>
          <w:sz w:val="22"/>
          <w:szCs w:val="22"/>
        </w:rPr>
      </w:pPr>
      <w:r w:rsidRPr="006455EC">
        <w:rPr>
          <w:rFonts w:ascii="Verdana" w:hAnsi="Verdana"/>
          <w:i/>
          <w:iCs/>
          <w:sz w:val="22"/>
          <w:szCs w:val="22"/>
        </w:rPr>
        <w:t>El artículo 63 de la Constitución Política señala que los bienes de uso público, los parques naturales, las tierras comunales de grupos étnicos, las tierras de resguardo, el patrimonio arqueológico de la Nación y “los demás bienes que determine la ley” son inalienables, imprescriptibles e inembargables.</w:t>
      </w:r>
    </w:p>
    <w:p w14:paraId="08DD3AE3" w14:textId="6CDA8D6D" w:rsidR="003B3C98" w:rsidRPr="006455EC" w:rsidRDefault="003B3C98" w:rsidP="003B3C98">
      <w:pPr>
        <w:rPr>
          <w:rFonts w:ascii="Verdana" w:hAnsi="Verdana"/>
          <w:i/>
          <w:iCs/>
          <w:sz w:val="22"/>
          <w:szCs w:val="22"/>
        </w:rPr>
      </w:pPr>
      <w:r w:rsidRPr="006455EC">
        <w:rPr>
          <w:rFonts w:ascii="Verdana" w:hAnsi="Verdana"/>
          <w:i/>
          <w:iCs/>
          <w:sz w:val="22"/>
          <w:szCs w:val="22"/>
        </w:rPr>
        <w:t>El Decreto 111 de 1996, Legislación Orgánica de Presupuesto, en el artículo 19 señala que son inembargables las rentas incorporadas en el Presupuesto General de la Nación, así como los bienes y derechos de los órganos que lo conforman. En la prohibición se incluyen las cesiones y participaciones de que trata el capítulo 4o del título XII de la Constitución Política, es decir, el sistema general de participaciones, que está constituido por los recursos que la Nación transfiere por mandato constitucional a las entidades territoriales.</w:t>
      </w:r>
    </w:p>
    <w:p w14:paraId="775F90AC" w14:textId="0A718AB7" w:rsidR="003B3C98" w:rsidRPr="006455EC" w:rsidRDefault="003B3C98" w:rsidP="003B3C98">
      <w:pPr>
        <w:rPr>
          <w:rFonts w:ascii="Verdana" w:hAnsi="Verdana"/>
          <w:i/>
          <w:iCs/>
          <w:sz w:val="22"/>
          <w:szCs w:val="22"/>
        </w:rPr>
      </w:pPr>
      <w:r w:rsidRPr="006455EC">
        <w:rPr>
          <w:rFonts w:ascii="Verdana" w:hAnsi="Verdana"/>
          <w:i/>
          <w:iCs/>
          <w:sz w:val="22"/>
          <w:szCs w:val="22"/>
        </w:rPr>
        <w:t>El artículo 353 de la Constitución Política señala que los principios y las disposiciones establecidos en el Título XII se aplicarán, en lo que fuere ejecución de su presupuesto.</w:t>
      </w:r>
    </w:p>
    <w:p w14:paraId="6ECB88C5" w14:textId="37E80FA6" w:rsidR="003B3C98" w:rsidRPr="006455EC" w:rsidRDefault="003B3C98" w:rsidP="003B3C98">
      <w:pPr>
        <w:rPr>
          <w:rFonts w:ascii="Verdana" w:hAnsi="Verdana"/>
          <w:i/>
          <w:iCs/>
          <w:sz w:val="22"/>
          <w:szCs w:val="22"/>
        </w:rPr>
      </w:pPr>
      <w:r w:rsidRPr="006455EC">
        <w:rPr>
          <w:rFonts w:ascii="Verdana" w:hAnsi="Verdana"/>
          <w:i/>
          <w:iCs/>
          <w:sz w:val="22"/>
          <w:szCs w:val="22"/>
        </w:rPr>
        <w:t xml:space="preserve">La Ley 715 de 2001, por la cual se dictan normas orgánicas en materia de recursos y competencias de conformidad con los artículos 151, 288, 356 y 357 </w:t>
      </w:r>
      <w:r w:rsidRPr="006455EC">
        <w:rPr>
          <w:rFonts w:ascii="Verdana" w:hAnsi="Verdana"/>
          <w:i/>
          <w:iCs/>
          <w:sz w:val="22"/>
          <w:szCs w:val="22"/>
        </w:rPr>
        <w:lastRenderedPageBreak/>
        <w:t>de la Constitución Política y se dictan otras disposiciones para organizar la prestación de los servicios de educación y salud, señala que el sistema general de participaciones está constituido por los recursos que la Nación transfiere por mandato constitucional a las entidades territoriales. Estos recursos están destinados a la financiación de los servicios que se les asigna en la ley.</w:t>
      </w:r>
    </w:p>
    <w:p w14:paraId="029ECF98" w14:textId="580DA4E7" w:rsidR="003B3C98" w:rsidRPr="006455EC" w:rsidRDefault="003B3C98" w:rsidP="003B3C98">
      <w:pPr>
        <w:rPr>
          <w:rFonts w:ascii="Verdana" w:hAnsi="Verdana"/>
          <w:i/>
          <w:iCs/>
          <w:sz w:val="22"/>
          <w:szCs w:val="22"/>
        </w:rPr>
      </w:pPr>
      <w:r w:rsidRPr="006455EC">
        <w:rPr>
          <w:rFonts w:ascii="Verdana" w:hAnsi="Verdana"/>
          <w:i/>
          <w:iCs/>
          <w:sz w:val="22"/>
          <w:szCs w:val="22"/>
        </w:rPr>
        <w:t>El Sistema General de Participaciones está conformado por una participación con destinación para educación, y para salud y otra que incluye los recursos para agua potable y saneamiento básico, que se denomina Participación para Propósito General.</w:t>
      </w:r>
    </w:p>
    <w:p w14:paraId="7C425976" w14:textId="392FC1FA" w:rsidR="003B3C98" w:rsidRPr="006455EC" w:rsidRDefault="003B3C98" w:rsidP="003B3C98">
      <w:pPr>
        <w:rPr>
          <w:rFonts w:ascii="Verdana" w:hAnsi="Verdana"/>
          <w:i/>
          <w:iCs/>
          <w:sz w:val="22"/>
          <w:szCs w:val="22"/>
        </w:rPr>
      </w:pPr>
      <w:r w:rsidRPr="006455EC">
        <w:rPr>
          <w:rFonts w:ascii="Verdana" w:hAnsi="Verdana"/>
          <w:i/>
          <w:iCs/>
          <w:sz w:val="22"/>
          <w:szCs w:val="22"/>
        </w:rPr>
        <w:t>El artículo 91 de la Ley 715 de 2001 establece que los recursos del Sistema General de Participaciones se administran en cuentas separadas por sectores de los recursos de cada entidad territorial, y consagra su inembargabilidad.</w:t>
      </w:r>
    </w:p>
    <w:p w14:paraId="74AE8749" w14:textId="7648B635" w:rsidR="003B3C98" w:rsidRPr="006455EC" w:rsidRDefault="003B3C98" w:rsidP="003B3C98">
      <w:pPr>
        <w:rPr>
          <w:rFonts w:ascii="Verdana" w:hAnsi="Verdana"/>
          <w:i/>
          <w:iCs/>
          <w:sz w:val="22"/>
          <w:szCs w:val="22"/>
        </w:rPr>
      </w:pPr>
      <w:r w:rsidRPr="006455EC">
        <w:rPr>
          <w:rFonts w:ascii="Verdana" w:hAnsi="Verdana"/>
          <w:i/>
          <w:iCs/>
          <w:sz w:val="22"/>
          <w:szCs w:val="22"/>
        </w:rPr>
        <w:t>El artículo 19 del Decreto 111 de 1996 establece:</w:t>
      </w:r>
    </w:p>
    <w:p w14:paraId="2E0E7279" w14:textId="41C9DF97" w:rsidR="003B3C98" w:rsidRPr="006455EC" w:rsidRDefault="003B3C98" w:rsidP="003B3C98">
      <w:pPr>
        <w:rPr>
          <w:rFonts w:ascii="Verdana" w:hAnsi="Verdana"/>
          <w:i/>
          <w:iCs/>
          <w:sz w:val="22"/>
          <w:szCs w:val="22"/>
        </w:rPr>
      </w:pPr>
      <w:r w:rsidRPr="006455EC">
        <w:rPr>
          <w:rFonts w:ascii="Verdana" w:hAnsi="Verdana"/>
          <w:i/>
          <w:iCs/>
          <w:sz w:val="22"/>
          <w:szCs w:val="22"/>
        </w:rPr>
        <w:t>ARTÍCULO 19. Inembargabilidad. Son inembargables las rentas incorporadas en el presupuesto general de la Nación, así como los bienes y derechos de los órganos que lo conforman.</w:t>
      </w:r>
    </w:p>
    <w:p w14:paraId="6E334BAB" w14:textId="30FD562B" w:rsidR="003B3C98" w:rsidRPr="006455EC" w:rsidRDefault="003B3C98" w:rsidP="003B3C98">
      <w:pPr>
        <w:rPr>
          <w:rFonts w:ascii="Verdana" w:hAnsi="Verdana"/>
          <w:i/>
          <w:iCs/>
          <w:sz w:val="22"/>
          <w:szCs w:val="22"/>
        </w:rPr>
      </w:pPr>
      <w:r w:rsidRPr="006455EC">
        <w:rPr>
          <w:rFonts w:ascii="Verdana" w:hAnsi="Verdana"/>
          <w:i/>
          <w:iCs/>
          <w:sz w:val="22"/>
          <w:szCs w:val="22"/>
        </w:rPr>
        <w:t xml:space="preserve">No </w:t>
      </w:r>
      <w:proofErr w:type="gramStart"/>
      <w:r w:rsidRPr="006455EC">
        <w:rPr>
          <w:rFonts w:ascii="Verdana" w:hAnsi="Verdana"/>
          <w:i/>
          <w:iCs/>
          <w:sz w:val="22"/>
          <w:szCs w:val="22"/>
        </w:rPr>
        <w:t>obstante</w:t>
      </w:r>
      <w:proofErr w:type="gramEnd"/>
      <w:r w:rsidRPr="006455EC">
        <w:rPr>
          <w:rFonts w:ascii="Verdana" w:hAnsi="Verdana"/>
          <w:i/>
          <w:iCs/>
          <w:sz w:val="22"/>
          <w:szCs w:val="22"/>
        </w:rPr>
        <w:t xml:space="preserve"> la anterior inembargabilidad, los funcionarios competentes deberán adoptar las medidas conducentes al pago de las sentencias en contra de los órganos respectivos, dentro de los plazos establecidos para ello, y respetarán en su integridad los derechos reconocidos a terceros en estas sentencias.</w:t>
      </w:r>
    </w:p>
    <w:p w14:paraId="0D8C04A5" w14:textId="132B1C1F" w:rsidR="003B3C98" w:rsidRPr="006455EC" w:rsidRDefault="003B3C98" w:rsidP="003B3C98">
      <w:pPr>
        <w:rPr>
          <w:rFonts w:ascii="Verdana" w:hAnsi="Verdana"/>
          <w:i/>
          <w:iCs/>
          <w:sz w:val="22"/>
          <w:szCs w:val="22"/>
        </w:rPr>
      </w:pPr>
      <w:r w:rsidRPr="006455EC">
        <w:rPr>
          <w:rFonts w:ascii="Verdana" w:hAnsi="Verdana"/>
          <w:i/>
          <w:iCs/>
          <w:sz w:val="22"/>
          <w:szCs w:val="22"/>
        </w:rPr>
        <w:t>Se incluyen en esta prohibición las cesiones y participaciones de que trata el capítulo 4o del título XII de la Constitución Política.</w:t>
      </w:r>
    </w:p>
    <w:p w14:paraId="03847A85" w14:textId="649949BC" w:rsidR="003B3C98" w:rsidRPr="006455EC" w:rsidRDefault="003B3C98" w:rsidP="003B3C98">
      <w:pPr>
        <w:rPr>
          <w:rFonts w:ascii="Verdana" w:hAnsi="Verdana"/>
          <w:i/>
          <w:iCs/>
          <w:sz w:val="22"/>
          <w:szCs w:val="22"/>
        </w:rPr>
      </w:pPr>
      <w:r w:rsidRPr="006455EC">
        <w:rPr>
          <w:rFonts w:ascii="Verdana" w:hAnsi="Verdana"/>
          <w:i/>
          <w:iCs/>
          <w:sz w:val="22"/>
          <w:szCs w:val="22"/>
        </w:rPr>
        <w:t>Los funcionarios judiciales se abstendrán de decretar órdenes de embargo cuando no se ajusten a lo dispuesto en el presente artículo, so pena de mala conducta (L. 38/89, art. 16; L. 179/94, arts. 6o, 55, inc. 3o).</w:t>
      </w:r>
    </w:p>
    <w:p w14:paraId="67A50606" w14:textId="3DF09588" w:rsidR="003B3C98" w:rsidRPr="006455EC" w:rsidRDefault="003B3C98" w:rsidP="003B3C98">
      <w:pPr>
        <w:rPr>
          <w:rFonts w:ascii="Verdana" w:hAnsi="Verdana"/>
          <w:i/>
          <w:iCs/>
          <w:sz w:val="22"/>
          <w:szCs w:val="22"/>
        </w:rPr>
      </w:pPr>
      <w:r w:rsidRPr="006455EC">
        <w:rPr>
          <w:rFonts w:ascii="Verdana" w:hAnsi="Verdana"/>
          <w:i/>
          <w:iCs/>
          <w:sz w:val="22"/>
          <w:szCs w:val="22"/>
        </w:rPr>
        <w:t>El Decreto 1101 de 2007, “Por el cual se reglamenta el Artículo 19 del decreto 11 de 1996 y los artículos 1 y 91 de la Ley 715 de 2001”, dispone:</w:t>
      </w:r>
    </w:p>
    <w:p w14:paraId="2DD33637" w14:textId="7C765824" w:rsidR="003B3C98" w:rsidRPr="006455EC" w:rsidRDefault="003B3C98" w:rsidP="003B3C98">
      <w:pPr>
        <w:rPr>
          <w:rFonts w:ascii="Verdana" w:hAnsi="Verdana"/>
          <w:i/>
          <w:iCs/>
          <w:sz w:val="22"/>
          <w:szCs w:val="22"/>
        </w:rPr>
      </w:pPr>
      <w:r w:rsidRPr="006455EC">
        <w:rPr>
          <w:rFonts w:ascii="Verdana" w:hAnsi="Verdana"/>
          <w:i/>
          <w:iCs/>
          <w:sz w:val="22"/>
          <w:szCs w:val="22"/>
        </w:rPr>
        <w:t>Artículo 1o. Los recursos del Sistema General de Participaciones, por su destinación social constitucional, no pueden ser objeto de embargo. En los términos establecidos en la Ley 715 de 2001, los recursos del Sistema General de Participaciones no harán unidad de caja con los demás recursos del presupuesto y su administración deberá realizarse en cuentas separadas de los recursos de la entidad y por sectores.</w:t>
      </w:r>
    </w:p>
    <w:p w14:paraId="474C26F4" w14:textId="704DAB6B" w:rsidR="003B3C98" w:rsidRPr="006455EC" w:rsidRDefault="003B3C98" w:rsidP="003B3C98">
      <w:pPr>
        <w:rPr>
          <w:rFonts w:ascii="Verdana" w:hAnsi="Verdana"/>
          <w:i/>
          <w:iCs/>
          <w:sz w:val="22"/>
          <w:szCs w:val="22"/>
        </w:rPr>
      </w:pPr>
      <w:r w:rsidRPr="006455EC">
        <w:rPr>
          <w:rFonts w:ascii="Verdana" w:hAnsi="Verdana"/>
          <w:i/>
          <w:iCs/>
          <w:sz w:val="22"/>
          <w:szCs w:val="22"/>
        </w:rPr>
        <w:t>Artículo 2o. Los recursos que se manejan en cuentas maestras separadas para el recaudo y gasto y demás cuentas en los que se encuentren depositados los recursos, de transferencias que hace la Nación a las Entidades Territoriales, y las cuentas de las Entidades Territoriales en que manejan recursos de destinación social constitucional, son inembargables en los términos establecidos en el Estatuto Orgánico de Presupuesto, en la Ley 715 de 2001 y las demás disposiciones que regulan la materia.</w:t>
      </w:r>
    </w:p>
    <w:p w14:paraId="5CAF8EFC" w14:textId="7DEB3E8B" w:rsidR="003B3C98" w:rsidRPr="006455EC" w:rsidRDefault="003B3C98" w:rsidP="003B3C98">
      <w:pPr>
        <w:rPr>
          <w:rFonts w:ascii="Verdana" w:hAnsi="Verdana"/>
          <w:i/>
          <w:iCs/>
          <w:sz w:val="22"/>
          <w:szCs w:val="22"/>
        </w:rPr>
      </w:pPr>
      <w:r w:rsidRPr="006455EC">
        <w:rPr>
          <w:rFonts w:ascii="Verdana" w:hAnsi="Verdana"/>
          <w:i/>
          <w:iCs/>
          <w:sz w:val="22"/>
          <w:szCs w:val="22"/>
        </w:rPr>
        <w:t xml:space="preserve">En caso de que se llegare a efectuar un embargo de los recursos del Sistema General de Participaciones el servidor público, que reciba una orden de embargo </w:t>
      </w:r>
      <w:r w:rsidRPr="006455EC">
        <w:rPr>
          <w:rFonts w:ascii="Verdana" w:hAnsi="Verdana"/>
          <w:i/>
          <w:iCs/>
          <w:sz w:val="22"/>
          <w:szCs w:val="22"/>
        </w:rPr>
        <w:lastRenderedPageBreak/>
        <w:t>sobre los recursos incorporados en el Presupuesto General de la Nación, incluidas las transferencias que hace la Nación a las Entidades Territoriales por concepto de participación para educación, participación para salud y para participación para propósito general, está obligado a efectuar los trámites, dentro de los tres días siguientes a su recibo, para solicitar su desembargo.</w:t>
      </w:r>
    </w:p>
    <w:p w14:paraId="57FF9A84" w14:textId="3025B003" w:rsidR="003B3C98" w:rsidRPr="006455EC" w:rsidRDefault="003B3C98" w:rsidP="003B3C98">
      <w:pPr>
        <w:rPr>
          <w:rFonts w:ascii="Verdana" w:hAnsi="Verdana"/>
          <w:i/>
          <w:iCs/>
          <w:sz w:val="22"/>
          <w:szCs w:val="22"/>
        </w:rPr>
      </w:pPr>
      <w:r w:rsidRPr="006455EC">
        <w:rPr>
          <w:rFonts w:ascii="Verdana" w:hAnsi="Verdana"/>
          <w:i/>
          <w:iCs/>
          <w:sz w:val="22"/>
          <w:szCs w:val="22"/>
        </w:rPr>
        <w:t>Artículo 3o. El servidor público una vez recibida la orden de embargo sobre los recursos de transferencias que hace la Nación a las Entidades Territoriales, solicitará a la Dirección General del Presupuesto Público Nacional del Ministerio de Hacienda y Crédito Público, la constancia sobre la naturaleza de estos recursos; la constancia de inembargables de los recursos será solicitada a más tardar dentro de los tres (3) días siguientes a su recibo.</w:t>
      </w:r>
    </w:p>
    <w:p w14:paraId="044FD641" w14:textId="083A2A07" w:rsidR="003B3C98" w:rsidRPr="006455EC" w:rsidRDefault="003B3C98" w:rsidP="003B3C98">
      <w:pPr>
        <w:rPr>
          <w:rFonts w:ascii="Verdana" w:hAnsi="Verdana"/>
          <w:i/>
          <w:iCs/>
          <w:sz w:val="22"/>
          <w:szCs w:val="22"/>
        </w:rPr>
      </w:pPr>
      <w:r w:rsidRPr="006455EC">
        <w:rPr>
          <w:rFonts w:ascii="Verdana" w:hAnsi="Verdana"/>
          <w:i/>
          <w:iCs/>
          <w:sz w:val="22"/>
          <w:szCs w:val="22"/>
        </w:rPr>
        <w:t>Artículo 4o. La Dirección General del Presupuesto Público Nacional del Ministerio de Hacienda y Crédito Público expedirá la constancia dentro de los tres (3) días siguientes al recibo de la solicitud.</w:t>
      </w:r>
    </w:p>
    <w:p w14:paraId="320E298A" w14:textId="1F80226E" w:rsidR="003B3C98" w:rsidRPr="006455EC" w:rsidRDefault="003B3C98" w:rsidP="003B3C98">
      <w:pPr>
        <w:rPr>
          <w:rFonts w:ascii="Verdana" w:hAnsi="Verdana"/>
          <w:i/>
          <w:iCs/>
          <w:sz w:val="22"/>
          <w:szCs w:val="22"/>
        </w:rPr>
      </w:pPr>
      <w:r w:rsidRPr="006455EC">
        <w:rPr>
          <w:rFonts w:ascii="Verdana" w:hAnsi="Verdana"/>
          <w:i/>
          <w:iCs/>
          <w:sz w:val="22"/>
          <w:szCs w:val="22"/>
        </w:rPr>
        <w:t>Artículo 5o. La solicitud de constancia de inembargabilidad debe indicar el tipo de proceso, las partes involucradas, el despacho judicial que profirió las</w:t>
      </w:r>
      <w:r w:rsidR="006455EC">
        <w:rPr>
          <w:rFonts w:ascii="Verdana" w:hAnsi="Verdana"/>
          <w:i/>
          <w:iCs/>
          <w:sz w:val="22"/>
          <w:szCs w:val="22"/>
        </w:rPr>
        <w:t xml:space="preserve"> </w:t>
      </w:r>
      <w:r w:rsidRPr="006455EC">
        <w:rPr>
          <w:rFonts w:ascii="Verdana" w:hAnsi="Verdana"/>
          <w:i/>
          <w:iCs/>
          <w:sz w:val="22"/>
          <w:szCs w:val="22"/>
        </w:rPr>
        <w:t>medidas cautelares y el origen de los recursos que fueron embargados.</w:t>
      </w:r>
    </w:p>
    <w:p w14:paraId="4697179B" w14:textId="50D3F3BD" w:rsidR="003B3C98" w:rsidRPr="006455EC" w:rsidRDefault="003B3C98" w:rsidP="003B3C98">
      <w:pPr>
        <w:rPr>
          <w:rFonts w:ascii="Verdana" w:hAnsi="Verdana"/>
          <w:i/>
          <w:iCs/>
          <w:sz w:val="22"/>
          <w:szCs w:val="22"/>
        </w:rPr>
      </w:pPr>
      <w:r w:rsidRPr="006455EC">
        <w:rPr>
          <w:rFonts w:ascii="Verdana" w:hAnsi="Verdana"/>
          <w:i/>
          <w:iCs/>
          <w:sz w:val="22"/>
          <w:szCs w:val="22"/>
        </w:rPr>
        <w:t>Artículo 6o. La constancia de inembargabilidad de las cuentas maestras separadas, o de las cuentas de las Entidades Territoriales en las cuales estas manejen recursos de destinación social constitucional, las solicitará el servidor público, en los casos en que la autoridad judicial lo requiera, ante la entidad responsable del giro de los recursos objeto de la medida cautelar en los términos de/inciso final del artículo 38 de la Ley 1110 de 2006.</w:t>
      </w:r>
    </w:p>
    <w:p w14:paraId="2D7174EB" w14:textId="77777777" w:rsidR="003B3C98" w:rsidRPr="006455EC" w:rsidRDefault="003B3C98" w:rsidP="003B3C98">
      <w:pPr>
        <w:rPr>
          <w:rFonts w:ascii="Verdana" w:hAnsi="Verdana"/>
          <w:i/>
          <w:iCs/>
          <w:sz w:val="22"/>
          <w:szCs w:val="22"/>
        </w:rPr>
      </w:pPr>
      <w:r w:rsidRPr="006455EC">
        <w:rPr>
          <w:rFonts w:ascii="Verdana" w:hAnsi="Verdana"/>
          <w:i/>
          <w:iCs/>
          <w:sz w:val="22"/>
          <w:szCs w:val="22"/>
        </w:rPr>
        <w:t>El Decreto 028 de 2008 dispone:</w:t>
      </w:r>
    </w:p>
    <w:p w14:paraId="749F2C84" w14:textId="77777777" w:rsidR="003B3C98" w:rsidRPr="006455EC" w:rsidRDefault="003B3C98" w:rsidP="003B3C98">
      <w:pPr>
        <w:rPr>
          <w:rFonts w:ascii="Verdana" w:hAnsi="Verdana"/>
          <w:i/>
          <w:iCs/>
          <w:sz w:val="22"/>
          <w:szCs w:val="22"/>
        </w:rPr>
      </w:pPr>
    </w:p>
    <w:p w14:paraId="3A80371B" w14:textId="0032DD18" w:rsidR="003B3C98" w:rsidRPr="006455EC" w:rsidRDefault="003B3C98" w:rsidP="003B3C98">
      <w:pPr>
        <w:rPr>
          <w:rFonts w:ascii="Verdana" w:hAnsi="Verdana"/>
          <w:i/>
          <w:iCs/>
          <w:sz w:val="22"/>
          <w:szCs w:val="22"/>
        </w:rPr>
      </w:pPr>
      <w:r w:rsidRPr="006455EC">
        <w:rPr>
          <w:rFonts w:ascii="Verdana" w:hAnsi="Verdana"/>
          <w:i/>
          <w:iCs/>
          <w:sz w:val="22"/>
          <w:szCs w:val="22"/>
        </w:rPr>
        <w:t>Artículo 21. Inembargabilidad. Los recursos del Sistema General de Participaciones son inembargables.</w:t>
      </w:r>
    </w:p>
    <w:p w14:paraId="1222B6C4" w14:textId="190D56F0" w:rsidR="003B3C98" w:rsidRPr="006455EC" w:rsidRDefault="003B3C98" w:rsidP="003B3C98">
      <w:pPr>
        <w:rPr>
          <w:rFonts w:ascii="Verdana" w:hAnsi="Verdana"/>
          <w:i/>
          <w:iCs/>
          <w:sz w:val="22"/>
          <w:szCs w:val="22"/>
        </w:rPr>
      </w:pPr>
      <w:r w:rsidRPr="006455EC">
        <w:rPr>
          <w:rFonts w:ascii="Verdana" w:hAnsi="Verdana"/>
          <w:i/>
          <w:iCs/>
          <w:sz w:val="22"/>
          <w:szCs w:val="22"/>
        </w:rPr>
        <w:t>Para evitar situaciones derivadas de decisiones judiciales que afecten la continuidad, cobertura y calidad de los servicios financiados con cargo a estos recursos, las medidas cautelares que adopten las autoridades judiciales relacionadas con obligaciones laborales, se harán efectivas sobre ingresos corrientes de libre destinación de la respectiva entidad territorial. Para cumplir con la decisión judicial, la entidad territorial presupuestará el monto del recurso a comprometer y cancelará el respectivo crédito judicial en el transcurso de la vigencia o vigencias fiscales subsiguientes.</w:t>
      </w:r>
    </w:p>
    <w:p w14:paraId="5F83B757" w14:textId="7BF54435" w:rsidR="003B3C98" w:rsidRPr="006455EC" w:rsidRDefault="003B3C98" w:rsidP="003B3C98">
      <w:pPr>
        <w:rPr>
          <w:rFonts w:ascii="Verdana" w:hAnsi="Verdana"/>
          <w:i/>
          <w:iCs/>
          <w:sz w:val="22"/>
          <w:szCs w:val="22"/>
        </w:rPr>
      </w:pPr>
      <w:r w:rsidRPr="006455EC">
        <w:rPr>
          <w:rFonts w:ascii="Verdana" w:hAnsi="Verdana"/>
          <w:i/>
          <w:iCs/>
          <w:sz w:val="22"/>
          <w:szCs w:val="22"/>
        </w:rPr>
        <w:t>Las decisiones de la autoridad judicial que contravengan lo dispuesto en el presente decreto, no producirán efecto alguno, y darán lugar a causal de destitución del cargo conforme a las normas legales correspondientes.</w:t>
      </w:r>
    </w:p>
    <w:p w14:paraId="10E82B26" w14:textId="6B61EE99" w:rsidR="003B3C98" w:rsidRPr="006455EC" w:rsidRDefault="003B3C98" w:rsidP="006455EC">
      <w:pPr>
        <w:jc w:val="center"/>
        <w:rPr>
          <w:rFonts w:ascii="Verdana" w:hAnsi="Verdana"/>
          <w:b/>
          <w:bCs/>
          <w:sz w:val="22"/>
          <w:szCs w:val="22"/>
        </w:rPr>
      </w:pPr>
      <w:r w:rsidRPr="006455EC">
        <w:rPr>
          <w:rFonts w:ascii="Verdana" w:hAnsi="Verdana"/>
          <w:b/>
          <w:bCs/>
          <w:sz w:val="22"/>
          <w:szCs w:val="22"/>
        </w:rPr>
        <w:t>Jurisprudencia:</w:t>
      </w:r>
    </w:p>
    <w:p w14:paraId="70F7D6DE" w14:textId="5E03ED45" w:rsidR="003B3C98" w:rsidRPr="006455EC" w:rsidRDefault="003B3C98" w:rsidP="003B3C98">
      <w:pPr>
        <w:rPr>
          <w:rFonts w:ascii="Verdana" w:hAnsi="Verdana"/>
          <w:i/>
          <w:iCs/>
          <w:sz w:val="22"/>
          <w:szCs w:val="22"/>
        </w:rPr>
      </w:pPr>
      <w:r w:rsidRPr="006455EC">
        <w:rPr>
          <w:rFonts w:ascii="Verdana" w:hAnsi="Verdana"/>
          <w:i/>
          <w:iCs/>
          <w:sz w:val="22"/>
          <w:szCs w:val="22"/>
        </w:rPr>
        <w:t>Jurisprudencia relacionada:</w:t>
      </w:r>
    </w:p>
    <w:p w14:paraId="2A62084B" w14:textId="79659499" w:rsidR="003B3C98" w:rsidRPr="006455EC" w:rsidRDefault="003B3C98" w:rsidP="003B3C98">
      <w:pPr>
        <w:rPr>
          <w:rFonts w:ascii="Verdana" w:hAnsi="Verdana"/>
          <w:i/>
          <w:iCs/>
          <w:sz w:val="22"/>
          <w:szCs w:val="22"/>
        </w:rPr>
      </w:pPr>
      <w:r w:rsidRPr="006455EC">
        <w:rPr>
          <w:rFonts w:ascii="Verdana" w:hAnsi="Verdana"/>
          <w:i/>
          <w:iCs/>
          <w:sz w:val="22"/>
          <w:szCs w:val="22"/>
        </w:rPr>
        <w:lastRenderedPageBreak/>
        <w:t>SOPORTE JURISPRUDENCIAL: Sentencias de la Corte Constitucional C-546/92; C-03/94; C-354 y 402/97; C-410/98; C188/99; C-876/00, T-1179/00; C-579/01, C-793 de 2002; C-566 de 2003 y C-192 de 2005.</w:t>
      </w:r>
    </w:p>
    <w:p w14:paraId="20F8F042" w14:textId="3FEA6365" w:rsidR="003B3C98" w:rsidRPr="006455EC" w:rsidRDefault="003B3C98" w:rsidP="003B3C98">
      <w:pPr>
        <w:rPr>
          <w:rFonts w:ascii="Verdana" w:hAnsi="Verdana"/>
          <w:i/>
          <w:iCs/>
          <w:sz w:val="22"/>
          <w:szCs w:val="22"/>
        </w:rPr>
      </w:pPr>
      <w:r w:rsidRPr="006455EC">
        <w:rPr>
          <w:rFonts w:ascii="Verdana" w:hAnsi="Verdana"/>
          <w:i/>
          <w:iCs/>
          <w:sz w:val="22"/>
          <w:szCs w:val="22"/>
        </w:rPr>
        <w:t>Sentencia Consejo de Estado, Sección Primera, M. P. Ernesto Rafael Ariza Muñoz, del 14 de septiembre de 1995.</w:t>
      </w:r>
    </w:p>
    <w:p w14:paraId="0C5E1C6A" w14:textId="4DA54E24" w:rsidR="003B3C98" w:rsidRPr="006455EC" w:rsidRDefault="003B3C98" w:rsidP="003B3C98">
      <w:pPr>
        <w:rPr>
          <w:rFonts w:ascii="Verdana" w:hAnsi="Verdana"/>
          <w:i/>
          <w:iCs/>
          <w:sz w:val="22"/>
          <w:szCs w:val="22"/>
        </w:rPr>
      </w:pPr>
      <w:r w:rsidRPr="006455EC">
        <w:rPr>
          <w:rFonts w:ascii="Verdana" w:hAnsi="Verdana"/>
          <w:i/>
          <w:iCs/>
          <w:sz w:val="22"/>
          <w:szCs w:val="22"/>
        </w:rPr>
        <w:t>Los recursos públicos contenidos en el presupuesto general de la Nación son inembargables, de acuerdo con lo previsto en el artículo 19 del Decreto Ley 111 de 1996 (Estatuto Orgánico de Presupuesto); y reiterado en varias sentencias por la Corte Constitucional, tal como aparece relacionado en la parte pertinente del Soporte Jurisprudencial, e igualmente previsto en el artículo 513 del Código de Procedimiento.</w:t>
      </w:r>
    </w:p>
    <w:p w14:paraId="49A416CD" w14:textId="546764EA" w:rsidR="003B3C98" w:rsidRPr="006455EC" w:rsidRDefault="003B3C98" w:rsidP="003B3C98">
      <w:pPr>
        <w:rPr>
          <w:rFonts w:ascii="Verdana" w:hAnsi="Verdana"/>
          <w:i/>
          <w:iCs/>
          <w:sz w:val="22"/>
          <w:szCs w:val="22"/>
        </w:rPr>
      </w:pPr>
      <w:r w:rsidRPr="006455EC">
        <w:rPr>
          <w:rFonts w:ascii="Verdana" w:hAnsi="Verdana"/>
          <w:i/>
          <w:iCs/>
          <w:sz w:val="22"/>
          <w:szCs w:val="22"/>
        </w:rPr>
        <w:t>Sentencia C-566 de 2003, MP. Alvaro Tafur Galvis, se dijo:</w:t>
      </w:r>
    </w:p>
    <w:p w14:paraId="52E85082" w14:textId="3D4BDBE2" w:rsidR="003B3C98" w:rsidRPr="006455EC" w:rsidRDefault="003B3C98" w:rsidP="003B3C98">
      <w:pPr>
        <w:rPr>
          <w:rFonts w:ascii="Verdana" w:hAnsi="Verdana"/>
          <w:i/>
          <w:iCs/>
          <w:sz w:val="22"/>
          <w:szCs w:val="22"/>
        </w:rPr>
      </w:pPr>
      <w:r w:rsidRPr="006455EC">
        <w:rPr>
          <w:rFonts w:ascii="Verdana" w:hAnsi="Verdana"/>
          <w:i/>
          <w:iCs/>
          <w:sz w:val="22"/>
          <w:szCs w:val="22"/>
        </w:rPr>
        <w:t xml:space="preserve">En suma, a partir de la sentencia C-354 de 1997, por la cual se declaró la </w:t>
      </w:r>
      <w:proofErr w:type="spellStart"/>
      <w:r w:rsidRPr="006455EC">
        <w:rPr>
          <w:rFonts w:ascii="Verdana" w:hAnsi="Verdana"/>
          <w:i/>
          <w:iCs/>
          <w:sz w:val="22"/>
          <w:szCs w:val="22"/>
        </w:rPr>
        <w:t>exequibilidad</w:t>
      </w:r>
      <w:proofErr w:type="spellEnd"/>
      <w:r w:rsidRPr="006455EC">
        <w:rPr>
          <w:rFonts w:ascii="Verdana" w:hAnsi="Verdana"/>
          <w:i/>
          <w:iCs/>
          <w:sz w:val="22"/>
          <w:szCs w:val="22"/>
        </w:rPr>
        <w:t xml:space="preserve"> del artículo 19 del actual Estatuto Orgánico del Presupuesto, la norma es la inembargabilidad de las rentas y recursos del Estado, y la excepción la constituye el pago de sentencias y de las demás obligaciones claras, expresas y actualmente exigibles a cargo de entidades públicas, para lo cual se acudirá al procedimiento señalado en el estatuto Orgánico del Presupuesto y en los artículos 176 y 177 del Código Contencioso Administrativo.</w:t>
      </w:r>
    </w:p>
    <w:p w14:paraId="0EE00378" w14:textId="6110A2CE" w:rsidR="003B3C98" w:rsidRPr="006455EC" w:rsidRDefault="003B3C98" w:rsidP="003B3C98">
      <w:pPr>
        <w:rPr>
          <w:rFonts w:ascii="Verdana" w:hAnsi="Verdana"/>
          <w:i/>
          <w:iCs/>
          <w:sz w:val="22"/>
          <w:szCs w:val="22"/>
        </w:rPr>
      </w:pPr>
      <w:r w:rsidRPr="006455EC">
        <w:rPr>
          <w:rFonts w:ascii="Verdana" w:hAnsi="Verdana"/>
          <w:i/>
          <w:iCs/>
          <w:sz w:val="22"/>
          <w:szCs w:val="22"/>
        </w:rPr>
        <w:t>Ha considerado la Corte Constitucional que los recursos contenidos en el presupuesto general de la Nación tienen como finalidad el cumplimiento de los deberes a cargo del Estado, para garantizar los derechos fundamentales que un Estado Social y Democrático de Derecho ha previsto para la población sin distinción alguna, entre otros, en materia de seguridad, justicia, educación; salud, saneamiento básico, etc. Por lo tanto, los recursos contenidos en la Ley Anual de presupuesto gozan de especial protección frente a reclamaciones de terceros que imposibiliten una ejecución planificada, debidamente programada y rompiendo el principio de equilibrio que debe imperar entre los ingresos y los gastos, como lo sería a través de embargos. Esta es la razón para que cada entidad que sea una Sección en el presupuesto general de la Nación tenga previsto en el presupuesto que le es asignado lo correspondiente al pago de sentencias.</w:t>
      </w:r>
    </w:p>
    <w:p w14:paraId="535C0EC6" w14:textId="60D08B0E" w:rsidR="003B3C98" w:rsidRPr="006455EC" w:rsidRDefault="003B3C98" w:rsidP="003B3C98">
      <w:pPr>
        <w:rPr>
          <w:rFonts w:ascii="Verdana" w:hAnsi="Verdana"/>
          <w:i/>
          <w:iCs/>
          <w:sz w:val="22"/>
          <w:szCs w:val="22"/>
        </w:rPr>
      </w:pPr>
      <w:r w:rsidRPr="006455EC">
        <w:rPr>
          <w:rFonts w:ascii="Verdana" w:hAnsi="Verdana"/>
          <w:i/>
          <w:iCs/>
          <w:sz w:val="22"/>
          <w:szCs w:val="22"/>
        </w:rPr>
        <w:t xml:space="preserve">La ejecución de los gastos consignados en el Presupuesto General de la Nación cuenta con un respaldo financiero manejado por la Dirección General de Crédito Público y del Tesoro Nacional, recursos indistintos depositados en la cuenta única nacional, los cuales hacen unidad de caja, excepto las rentas de destinación específica, es decir, se refunden entre </w:t>
      </w:r>
      <w:proofErr w:type="spellStart"/>
      <w:r w:rsidRPr="006455EC">
        <w:rPr>
          <w:rFonts w:ascii="Verdana" w:hAnsi="Verdana"/>
          <w:i/>
          <w:iCs/>
          <w:sz w:val="22"/>
          <w:szCs w:val="22"/>
        </w:rPr>
        <w:t>si</w:t>
      </w:r>
      <w:proofErr w:type="spellEnd"/>
      <w:r w:rsidRPr="006455EC">
        <w:rPr>
          <w:rFonts w:ascii="Verdana" w:hAnsi="Verdana"/>
          <w:i/>
          <w:iCs/>
          <w:sz w:val="22"/>
          <w:szCs w:val="22"/>
        </w:rPr>
        <w:t xml:space="preserve"> y contra la cual se gira a cada órgano ejecutor de acuerdo con el Programa Anual Mensualizado de Caja, aprobado a la entidad respectiva, de tal manera que contra tales recursos no procede el embargo.</w:t>
      </w:r>
    </w:p>
    <w:p w14:paraId="28280183" w14:textId="0F6AC814" w:rsidR="003B3C98" w:rsidRPr="006455EC" w:rsidRDefault="003B3C98" w:rsidP="003B3C98">
      <w:pPr>
        <w:rPr>
          <w:rFonts w:ascii="Verdana" w:hAnsi="Verdana"/>
          <w:i/>
          <w:iCs/>
          <w:sz w:val="22"/>
          <w:szCs w:val="22"/>
        </w:rPr>
      </w:pPr>
      <w:r w:rsidRPr="006455EC">
        <w:rPr>
          <w:rFonts w:ascii="Verdana" w:hAnsi="Verdana"/>
          <w:i/>
          <w:iCs/>
          <w:sz w:val="22"/>
          <w:szCs w:val="22"/>
        </w:rPr>
        <w:t xml:space="preserve">Ahora, lo anterior no indica de manera alguna que las entidades públicas no deban atender el pago de sus obligaciones legalmente contraídas, pues sería tanto como aceptar el enriquecimiento ilícito del Estado, lo cual tampoco es legalmente permitido. Por ello es congruente lo dispuesto en el artículo 45 del </w:t>
      </w:r>
      <w:r w:rsidRPr="006455EC">
        <w:rPr>
          <w:rFonts w:ascii="Verdana" w:hAnsi="Verdana"/>
          <w:i/>
          <w:iCs/>
          <w:sz w:val="22"/>
          <w:szCs w:val="22"/>
        </w:rPr>
        <w:lastRenderedPageBreak/>
        <w:t>Decreto Ley 111 de 1996, al disponer que los créditos judicialmente reconocidos se presupuesten en cada sección correspondiente a la que corresponda el negocio respectivo y con cargo a esa apropiación se pagarán las obligaciones derivadas de éstos. En firme la decisión, la entidad cuenta con un plazo de 18 meses para realizar las diligencias presupuestales del caso y apropiar los recursos necesarios para pagar la sentencia que así lo dispuso.</w:t>
      </w:r>
    </w:p>
    <w:p w14:paraId="14552809" w14:textId="6FCD8ED2" w:rsidR="003B3C98" w:rsidRPr="006455EC" w:rsidRDefault="003B3C98" w:rsidP="003B3C98">
      <w:pPr>
        <w:rPr>
          <w:rFonts w:ascii="Verdana" w:hAnsi="Verdana"/>
          <w:i/>
          <w:iCs/>
          <w:sz w:val="22"/>
          <w:szCs w:val="22"/>
        </w:rPr>
      </w:pPr>
      <w:r w:rsidRPr="006455EC">
        <w:rPr>
          <w:rFonts w:ascii="Verdana" w:hAnsi="Verdana"/>
          <w:i/>
          <w:iCs/>
          <w:sz w:val="22"/>
          <w:szCs w:val="22"/>
        </w:rPr>
        <w:t xml:space="preserve">Es por ello </w:t>
      </w:r>
      <w:proofErr w:type="gramStart"/>
      <w:r w:rsidRPr="006455EC">
        <w:rPr>
          <w:rFonts w:ascii="Verdana" w:hAnsi="Verdana"/>
          <w:i/>
          <w:iCs/>
          <w:sz w:val="22"/>
          <w:szCs w:val="22"/>
        </w:rPr>
        <w:t>que</w:t>
      </w:r>
      <w:proofErr w:type="gramEnd"/>
      <w:r w:rsidRPr="006455EC">
        <w:rPr>
          <w:rFonts w:ascii="Verdana" w:hAnsi="Verdana"/>
          <w:i/>
          <w:iCs/>
          <w:sz w:val="22"/>
          <w:szCs w:val="22"/>
        </w:rPr>
        <w:t xml:space="preserve"> las autoridades judiciales que siguen procesos contra entidades públicas deben atender lo establecido en el artículo 177 del Código Contencioso Administrativo:</w:t>
      </w:r>
    </w:p>
    <w:p w14:paraId="35AC0FD0" w14:textId="3A72C4D7" w:rsidR="003B3C98" w:rsidRPr="007013EC" w:rsidRDefault="003B3C98" w:rsidP="003B3C98">
      <w:pPr>
        <w:rPr>
          <w:rFonts w:ascii="Verdana" w:hAnsi="Verdana"/>
          <w:i/>
          <w:iCs/>
          <w:sz w:val="22"/>
          <w:szCs w:val="22"/>
        </w:rPr>
      </w:pPr>
      <w:r w:rsidRPr="007013EC">
        <w:rPr>
          <w:rFonts w:ascii="Verdana" w:hAnsi="Verdana"/>
          <w:i/>
          <w:iCs/>
          <w:sz w:val="22"/>
          <w:szCs w:val="22"/>
        </w:rPr>
        <w:t>“ARTÍCULO 177. EFECTIVIDAD DE CONDENAS CONTRA ENTIDADES PÚBLICAS. Cuando se condene a la Nación, a una entidad territorial o descentralizada al pago o devolución de una cantidad líquida de dinero, se enviará inmediatamente copia de la sentencia a quien sea competente para ejercer las funciones del ministerio público frente a la entidad condenada.</w:t>
      </w:r>
    </w:p>
    <w:p w14:paraId="5F4D95BA" w14:textId="728049ED" w:rsidR="003B3C98" w:rsidRPr="007013EC" w:rsidRDefault="003B3C98" w:rsidP="003B3C98">
      <w:pPr>
        <w:rPr>
          <w:rFonts w:ascii="Verdana" w:hAnsi="Verdana"/>
          <w:i/>
          <w:iCs/>
          <w:sz w:val="22"/>
          <w:szCs w:val="22"/>
        </w:rPr>
      </w:pPr>
      <w:r w:rsidRPr="007013EC">
        <w:rPr>
          <w:rFonts w:ascii="Verdana" w:hAnsi="Verdana"/>
          <w:i/>
          <w:iCs/>
          <w:sz w:val="22"/>
          <w:szCs w:val="22"/>
        </w:rPr>
        <w:t>El agente del ministerio público deberá tener una lista actual de tales sentencias, y dirigirse a los funcionarios competentes cuando preparen proyectos de presupuestos básicos o los adicionales, para exigirles que incluyan partidas que permitan cumplir en forma completa las condenas, todo conforme a las normas de la ley orgánica del presupuesto.</w:t>
      </w:r>
    </w:p>
    <w:p w14:paraId="4B6832E2" w14:textId="50B15163" w:rsidR="003B3C98" w:rsidRPr="007013EC" w:rsidRDefault="003B3C98" w:rsidP="003B3C98">
      <w:pPr>
        <w:rPr>
          <w:rFonts w:ascii="Verdana" w:hAnsi="Verdana"/>
          <w:i/>
          <w:iCs/>
          <w:sz w:val="22"/>
          <w:szCs w:val="22"/>
        </w:rPr>
      </w:pPr>
      <w:r w:rsidRPr="007013EC">
        <w:rPr>
          <w:rFonts w:ascii="Verdana" w:hAnsi="Verdana"/>
          <w:i/>
          <w:iCs/>
          <w:sz w:val="22"/>
          <w:szCs w:val="22"/>
        </w:rPr>
        <w:t xml:space="preserve">El Congreso, las Asambleas, los Concejos, el Contralor General de la República, los Contralores Departamentales, Municipales y Distritales, el Consejo de Estado y los tribunales </w:t>
      </w:r>
      <w:proofErr w:type="gramStart"/>
      <w:r w:rsidRPr="007013EC">
        <w:rPr>
          <w:rFonts w:ascii="Verdana" w:hAnsi="Verdana"/>
          <w:i/>
          <w:iCs/>
          <w:sz w:val="22"/>
          <w:szCs w:val="22"/>
        </w:rPr>
        <w:t>contencioso administrativos</w:t>
      </w:r>
      <w:proofErr w:type="gramEnd"/>
      <w:r w:rsidRPr="007013EC">
        <w:rPr>
          <w:rFonts w:ascii="Verdana" w:hAnsi="Verdana"/>
          <w:i/>
          <w:iCs/>
          <w:sz w:val="22"/>
          <w:szCs w:val="22"/>
        </w:rPr>
        <w:t xml:space="preserve"> y las demás autoridades del caso deberán abstenerse de aprobar o ejecutar presupuestos en los que no se hayan incluido partidas o apropiaciones suficientes para atender al pago de todas las condenas que haya relacionado el Ministerio Público.</w:t>
      </w:r>
    </w:p>
    <w:p w14:paraId="5B76DBED" w14:textId="1644D0BA" w:rsidR="003B3C98" w:rsidRPr="007013EC" w:rsidRDefault="003B3C98" w:rsidP="003B3C98">
      <w:pPr>
        <w:rPr>
          <w:rFonts w:ascii="Verdana" w:hAnsi="Verdana"/>
          <w:i/>
          <w:iCs/>
          <w:sz w:val="22"/>
          <w:szCs w:val="22"/>
        </w:rPr>
      </w:pPr>
      <w:r w:rsidRPr="007013EC">
        <w:rPr>
          <w:rFonts w:ascii="Verdana" w:hAnsi="Verdana"/>
          <w:i/>
          <w:iCs/>
          <w:sz w:val="22"/>
          <w:szCs w:val="22"/>
        </w:rPr>
        <w:t>Será causal de mala conducta de los funcionarios encargados de ejecutar los presupuestos públicos, pagar las apropiaciones para cumplimiento de condenas más lentamente que el resto. Tales condenas, además, serán ejecutables ante la justicia ordinaria dieciocho (18) meses después de su ejecutoria.</w:t>
      </w:r>
    </w:p>
    <w:p w14:paraId="212C66DC" w14:textId="75F7CAA4" w:rsidR="003B3C98" w:rsidRPr="007013EC" w:rsidRDefault="003B3C98" w:rsidP="003B3C98">
      <w:pPr>
        <w:rPr>
          <w:rFonts w:ascii="Verdana" w:hAnsi="Verdana"/>
          <w:i/>
          <w:iCs/>
          <w:sz w:val="22"/>
          <w:szCs w:val="22"/>
        </w:rPr>
      </w:pPr>
      <w:r w:rsidRPr="007013EC">
        <w:rPr>
          <w:rFonts w:ascii="Verdana" w:hAnsi="Verdana"/>
          <w:i/>
          <w:iCs/>
          <w:sz w:val="22"/>
          <w:szCs w:val="22"/>
        </w:rPr>
        <w:t>Cuando el embargo se ha dispuesto con sujeción a lo indicado en la norma citada, el procedimiento a seguir para su pago será el previsto en el Decreto 3861 de 2004, mediante el cual se modificó el Decreto 1807 de 1994, en donde se prevé la improcedencia del embargo de las cuentas abiertas a favor de la Nación, y sólo podrá realizarse sobre la cuenta o cuentas corrientes a favor de la entidad demandada que reciba recursos del presupuesto nacional.</w:t>
      </w:r>
    </w:p>
    <w:p w14:paraId="2FA6CB12" w14:textId="25B4BCB8" w:rsidR="003B3C98" w:rsidRPr="007013EC" w:rsidRDefault="003B3C98" w:rsidP="003B3C98">
      <w:pPr>
        <w:rPr>
          <w:rFonts w:ascii="Verdana" w:hAnsi="Verdana"/>
          <w:i/>
          <w:iCs/>
          <w:sz w:val="22"/>
          <w:szCs w:val="22"/>
        </w:rPr>
      </w:pPr>
      <w:r w:rsidRPr="007013EC">
        <w:rPr>
          <w:rFonts w:ascii="Verdana" w:hAnsi="Verdana"/>
          <w:i/>
          <w:iCs/>
          <w:sz w:val="22"/>
          <w:szCs w:val="22"/>
        </w:rPr>
        <w:t>No obstante, algunos Jueces de la República, reiteradamente han decretado embargos y retención de dineros depositados en cuentas abiertas a favor de la Nación -Dirección General de Crédito Público y del Tesoro Nacional del Ministerio de Hacienda y Crédito Público, con desconocimiento flagrante del ordenamiento constitucional y legal, frente a lo cual se hace un llamado para que se abstengan de adelantar procesos violatorios del ordenamiento jurídico.</w:t>
      </w:r>
    </w:p>
    <w:p w14:paraId="2CC95006" w14:textId="77777777" w:rsidR="003B3C98" w:rsidRPr="007013EC" w:rsidRDefault="003B3C98" w:rsidP="003B3C98">
      <w:pPr>
        <w:rPr>
          <w:rFonts w:ascii="Verdana" w:hAnsi="Verdana"/>
          <w:i/>
          <w:iCs/>
          <w:sz w:val="22"/>
          <w:szCs w:val="22"/>
        </w:rPr>
      </w:pPr>
      <w:r w:rsidRPr="007013EC">
        <w:rPr>
          <w:rFonts w:ascii="Verdana" w:hAnsi="Verdana"/>
          <w:i/>
          <w:iCs/>
          <w:sz w:val="22"/>
          <w:szCs w:val="22"/>
        </w:rPr>
        <w:t>Embargos contra recursos el Sistema General de Participaciones, girados a las entidades territoriales y provenientes de regalías.</w:t>
      </w:r>
    </w:p>
    <w:p w14:paraId="73F3FE41" w14:textId="77777777" w:rsidR="003B3C98" w:rsidRPr="007013EC" w:rsidRDefault="003B3C98" w:rsidP="003B3C98">
      <w:pPr>
        <w:rPr>
          <w:rFonts w:ascii="Verdana" w:hAnsi="Verdana"/>
          <w:i/>
          <w:iCs/>
          <w:sz w:val="22"/>
          <w:szCs w:val="22"/>
        </w:rPr>
      </w:pPr>
      <w:r w:rsidRPr="007013EC">
        <w:rPr>
          <w:rFonts w:ascii="Verdana" w:hAnsi="Verdana"/>
          <w:i/>
          <w:iCs/>
          <w:sz w:val="22"/>
          <w:szCs w:val="22"/>
        </w:rPr>
        <w:lastRenderedPageBreak/>
        <w:t>En cuanto a la inembargabilidad de rentas contenidas en el presupuesto general de la Nación y trasferidas a las entidades territoriales, su protección se hizo extensible en el artículo 19 del Decreto Ley 111 de 1996, al incluir la prohibición para las cesiones y participaciones contenidas en el Título XII, capítulo 4º de la Constitución Política, y su reiteración se hace en el artículo 18 de la Ley 715 de 2001, norma en igual sentido declarada exequible por la Corte Constitucional mediante la sentencia C-793 de 2002.</w:t>
      </w:r>
    </w:p>
    <w:p w14:paraId="7D9308EA" w14:textId="77777777" w:rsidR="003B3C98" w:rsidRPr="007013EC" w:rsidRDefault="003B3C98" w:rsidP="003B3C98">
      <w:pPr>
        <w:rPr>
          <w:rFonts w:ascii="Verdana" w:hAnsi="Verdana"/>
          <w:i/>
          <w:iCs/>
          <w:sz w:val="22"/>
          <w:szCs w:val="22"/>
        </w:rPr>
      </w:pPr>
      <w:r w:rsidRPr="007013EC">
        <w:rPr>
          <w:rFonts w:ascii="Verdana" w:hAnsi="Verdana"/>
          <w:i/>
          <w:iCs/>
          <w:sz w:val="22"/>
          <w:szCs w:val="22"/>
        </w:rPr>
        <w:t xml:space="preserve">Empero, a dichos recursos le es aplicable la excepción a la inembargabilidad cuando se trate de obligaciones laborales, sentencias judiciales proferidas acorde con el procedimiento previsto en los artículos 176 y 177 del Código Contencioso y las previstas en títulos legalmente válidos que contengan una obligación clara, expresa y actualmente exigible emanada del mismo título, con la condición que para hacer efectivo su pago se proceda inicialmente a ordenar el embargo contra la apropiación presupuestal dispuesta para Sentencias o Conciliaciones, y si los saldos no fueren suficientes se siga contra los recursos de la respectiva participación transferida por la Nación en virtud de lo dispuesto en la Ley 715 de 2001, es decir, contra y hasta el porcentaje previsto para Educación, Salud o Propósito General, si de esa participación deriva la obligación. No tendrá igual protección el 28% de Propósito General que </w:t>
      </w:r>
      <w:proofErr w:type="gramStart"/>
      <w:r w:rsidRPr="007013EC">
        <w:rPr>
          <w:rFonts w:ascii="Verdana" w:hAnsi="Verdana"/>
          <w:i/>
          <w:iCs/>
          <w:sz w:val="22"/>
          <w:szCs w:val="22"/>
        </w:rPr>
        <w:t>la entidades territoriales</w:t>
      </w:r>
      <w:proofErr w:type="gramEnd"/>
      <w:r w:rsidRPr="007013EC">
        <w:rPr>
          <w:rFonts w:ascii="Verdana" w:hAnsi="Verdana"/>
          <w:i/>
          <w:iCs/>
          <w:sz w:val="22"/>
          <w:szCs w:val="22"/>
        </w:rPr>
        <w:t xml:space="preserve"> de categoría 4, 5 y 6 hayan dispuesto libremente para gastos de funcionamiento.</w:t>
      </w:r>
    </w:p>
    <w:p w14:paraId="00E416C4" w14:textId="4603374A" w:rsidR="003B3C98" w:rsidRPr="003B3C98" w:rsidRDefault="003B3C98" w:rsidP="003B3C98">
      <w:pPr>
        <w:rPr>
          <w:rFonts w:ascii="Verdana" w:hAnsi="Verdana"/>
          <w:i/>
          <w:iCs/>
          <w:sz w:val="22"/>
          <w:szCs w:val="22"/>
        </w:rPr>
      </w:pPr>
      <w:r w:rsidRPr="003B3C98">
        <w:rPr>
          <w:rFonts w:ascii="Verdana" w:hAnsi="Verdana"/>
          <w:i/>
          <w:iCs/>
          <w:sz w:val="22"/>
          <w:szCs w:val="22"/>
        </w:rPr>
        <w:t>No sobra advertir que los recursos de Regalías Directas que reciben las entidades territoriales y las del Fondo Nacional de Regalías, cuyo origen son de carácter constitucional por encontrarse definida dicha renta en el capítulo 4 del Título XII de la Constitución Política, son también inembargables, a las cuales se ha de aplicar el procedimiento previsto para las rentas del Sistema General de Participaciones, o contra cualquier renta contenida en el Presupuesto General de la Nación o en el presupuesto de toda entidad pública a la que aplique el principio de inembargabilidad.</w:t>
      </w:r>
    </w:p>
    <w:p w14:paraId="3A09EDE7" w14:textId="7E52113D" w:rsidR="003B3C98" w:rsidRPr="003B3C98" w:rsidRDefault="003B3C98" w:rsidP="003B3C98">
      <w:pPr>
        <w:rPr>
          <w:rFonts w:ascii="Verdana" w:hAnsi="Verdana"/>
          <w:i/>
          <w:iCs/>
          <w:sz w:val="22"/>
          <w:szCs w:val="22"/>
        </w:rPr>
      </w:pPr>
      <w:r w:rsidRPr="003B3C98">
        <w:rPr>
          <w:rFonts w:ascii="Verdana" w:hAnsi="Verdana"/>
          <w:i/>
          <w:iCs/>
          <w:sz w:val="22"/>
          <w:szCs w:val="22"/>
        </w:rPr>
        <w:t>Si en algún evento el Juez de conocimiento adelanta proceso de embargo contra rentas de la naturaleza aquí analizada desconociendo el procedimiento legal previsto para tal fin, el representante legal de la entidad territorial respectiva solicitará de la Dirección General de Presupuesto la certificación sobre el origen de dichos dineros para proceder a su desembargo, de acuerdo con lo ordenado en la Ley Anual de presupuesto de la vigencia fiscal respectiva.</w:t>
      </w:r>
    </w:p>
    <w:p w14:paraId="3CE23629" w14:textId="39CF4060" w:rsidR="003B3C98" w:rsidRPr="003B3C98" w:rsidRDefault="003B3C98" w:rsidP="003B3C98">
      <w:pPr>
        <w:jc w:val="center"/>
        <w:rPr>
          <w:rFonts w:ascii="Verdana" w:hAnsi="Verdana"/>
          <w:b/>
          <w:bCs/>
          <w:sz w:val="22"/>
          <w:szCs w:val="22"/>
        </w:rPr>
      </w:pPr>
      <w:r w:rsidRPr="003B3C98">
        <w:rPr>
          <w:rFonts w:ascii="Verdana" w:hAnsi="Verdana"/>
          <w:b/>
          <w:bCs/>
          <w:sz w:val="22"/>
          <w:szCs w:val="22"/>
        </w:rPr>
        <w:t>Acciones</w:t>
      </w:r>
    </w:p>
    <w:p w14:paraId="5D9F3A0F" w14:textId="192CE2D5" w:rsidR="003B3C98" w:rsidRPr="003B3C98" w:rsidRDefault="003B3C98" w:rsidP="003B3C98">
      <w:pPr>
        <w:rPr>
          <w:rFonts w:ascii="Verdana" w:hAnsi="Verdana"/>
          <w:sz w:val="22"/>
          <w:szCs w:val="22"/>
        </w:rPr>
      </w:pPr>
      <w:r w:rsidRPr="003B3C98">
        <w:rPr>
          <w:rFonts w:ascii="Verdana" w:hAnsi="Verdana"/>
          <w:sz w:val="22"/>
          <w:szCs w:val="22"/>
        </w:rPr>
        <w:t>Con fundamento en lo anterior, las entidades territoriales deberán tramitar, a la menor brevedad, ante la Dirección General del Presupuesto Público Nacional la constancia, para cada una de las cuentas, de que los recursos incorporados conforme a la solicitud de la Secretaría Departamental o municipal respectiva hacen parte del Presupuesto Nacional forma parte del Sistema General de Participaciones y por tanto son inembargables, de acuerdo con lo establecido en los decretos 1101 de 2007 y decreto 028 de 2008.</w:t>
      </w:r>
    </w:p>
    <w:p w14:paraId="23197354" w14:textId="40834909" w:rsidR="0088588F" w:rsidRPr="003B3C98" w:rsidRDefault="003B3C98" w:rsidP="003B3C98">
      <w:pPr>
        <w:rPr>
          <w:rFonts w:ascii="Verdana" w:hAnsi="Verdana"/>
          <w:sz w:val="22"/>
          <w:szCs w:val="22"/>
        </w:rPr>
      </w:pPr>
      <w:r w:rsidRPr="003B3C98">
        <w:rPr>
          <w:rFonts w:ascii="Verdana" w:hAnsi="Verdana"/>
          <w:sz w:val="22"/>
          <w:szCs w:val="22"/>
        </w:rPr>
        <w:t>Una vez obtenida la certificación, el ente Departamental o municipal deberá tramitar el incidente de desembargo ante cada uno de los despachos judiciales y coactivos ante los cuales se adelantan los procesos.</w:t>
      </w:r>
    </w:p>
    <w:sectPr w:rsidR="0088588F" w:rsidRPr="003B3C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49"/>
    <w:rsid w:val="00015D2A"/>
    <w:rsid w:val="003B3C98"/>
    <w:rsid w:val="00490B89"/>
    <w:rsid w:val="00550F5C"/>
    <w:rsid w:val="006455EC"/>
    <w:rsid w:val="00695F49"/>
    <w:rsid w:val="007013EC"/>
    <w:rsid w:val="0088588F"/>
    <w:rsid w:val="00AD44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0C8A"/>
  <w15:chartTrackingRefBased/>
  <w15:docId w15:val="{E4282316-D78A-4A53-A658-A1DB0138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5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5F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5F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95F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95F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95F4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95F4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95F4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5F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5F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5F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5F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95F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95F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95F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95F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95F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95F4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5F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5F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5F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95F49"/>
    <w:pPr>
      <w:spacing w:before="160"/>
      <w:jc w:val="center"/>
    </w:pPr>
    <w:rPr>
      <w:i/>
      <w:iCs/>
      <w:color w:val="404040" w:themeColor="text1" w:themeTint="BF"/>
    </w:rPr>
  </w:style>
  <w:style w:type="character" w:customStyle="1" w:styleId="CitaCar">
    <w:name w:val="Cita Car"/>
    <w:basedOn w:val="Fuentedeprrafopredeter"/>
    <w:link w:val="Cita"/>
    <w:uiPriority w:val="29"/>
    <w:rsid w:val="00695F49"/>
    <w:rPr>
      <w:i/>
      <w:iCs/>
      <w:color w:val="404040" w:themeColor="text1" w:themeTint="BF"/>
    </w:rPr>
  </w:style>
  <w:style w:type="paragraph" w:styleId="Prrafodelista">
    <w:name w:val="List Paragraph"/>
    <w:basedOn w:val="Normal"/>
    <w:uiPriority w:val="34"/>
    <w:qFormat/>
    <w:rsid w:val="00695F49"/>
    <w:pPr>
      <w:ind w:left="720"/>
      <w:contextualSpacing/>
    </w:pPr>
  </w:style>
  <w:style w:type="character" w:styleId="nfasisintenso">
    <w:name w:val="Intense Emphasis"/>
    <w:basedOn w:val="Fuentedeprrafopredeter"/>
    <w:uiPriority w:val="21"/>
    <w:qFormat/>
    <w:rsid w:val="00695F49"/>
    <w:rPr>
      <w:i/>
      <w:iCs/>
      <w:color w:val="0F4761" w:themeColor="accent1" w:themeShade="BF"/>
    </w:rPr>
  </w:style>
  <w:style w:type="paragraph" w:styleId="Citadestacada">
    <w:name w:val="Intense Quote"/>
    <w:basedOn w:val="Normal"/>
    <w:next w:val="Normal"/>
    <w:link w:val="CitadestacadaCar"/>
    <w:uiPriority w:val="30"/>
    <w:qFormat/>
    <w:rsid w:val="00695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5F49"/>
    <w:rPr>
      <w:i/>
      <w:iCs/>
      <w:color w:val="0F4761" w:themeColor="accent1" w:themeShade="BF"/>
    </w:rPr>
  </w:style>
  <w:style w:type="character" w:styleId="Referenciaintensa">
    <w:name w:val="Intense Reference"/>
    <w:basedOn w:val="Fuentedeprrafopredeter"/>
    <w:uiPriority w:val="32"/>
    <w:qFormat/>
    <w:rsid w:val="00695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6DB5E-B68D-47C0-A586-3831F2288415}"/>
</file>

<file path=customXml/itemProps2.xml><?xml version="1.0" encoding="utf-8"?>
<ds:datastoreItem xmlns:ds="http://schemas.openxmlformats.org/officeDocument/2006/customXml" ds:itemID="{FBDB33A1-5C3B-4753-9AB7-EEF6E1975FB2}"/>
</file>

<file path=customXml/itemProps3.xml><?xml version="1.0" encoding="utf-8"?>
<ds:datastoreItem xmlns:ds="http://schemas.openxmlformats.org/officeDocument/2006/customXml" ds:itemID="{DEEC458E-4ED1-4A09-AB73-CDA67B6A23E2}"/>
</file>

<file path=docProps/app.xml><?xml version="1.0" encoding="utf-8"?>
<Properties xmlns="http://schemas.openxmlformats.org/officeDocument/2006/extended-properties" xmlns:vt="http://schemas.openxmlformats.org/officeDocument/2006/docPropsVTypes">
  <Template>Normal</Template>
  <TotalTime>6</TotalTime>
  <Pages>6</Pages>
  <Words>2692</Words>
  <Characters>14810</Characters>
  <Application>Microsoft Office Word</Application>
  <DocSecurity>0</DocSecurity>
  <Lines>123</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2026-02-06T14:48:00Z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