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814C" w14:textId="1B14245B" w:rsidR="00D13DD2" w:rsidRPr="00D13DD2" w:rsidRDefault="00D13DD2" w:rsidP="00D13DD2">
      <w:pPr>
        <w:jc w:val="center"/>
        <w:rPr>
          <w:rFonts w:ascii="Verdana" w:hAnsi="Verdana"/>
          <w:b/>
          <w:bCs/>
          <w:sz w:val="22"/>
          <w:szCs w:val="22"/>
        </w:rPr>
      </w:pPr>
      <w:r w:rsidRPr="00D13DD2">
        <w:rPr>
          <w:rFonts w:ascii="Verdana" w:hAnsi="Verdana"/>
          <w:b/>
          <w:bCs/>
          <w:sz w:val="22"/>
          <w:szCs w:val="22"/>
        </w:rPr>
        <w:t>CIRCULAR 52 DE 2008</w:t>
      </w:r>
    </w:p>
    <w:p w14:paraId="7D8D1BD8" w14:textId="77CCB4CB" w:rsidR="00D13DD2" w:rsidRPr="00D13DD2" w:rsidRDefault="00D13DD2" w:rsidP="00D13DD2">
      <w:pPr>
        <w:jc w:val="center"/>
        <w:rPr>
          <w:rFonts w:ascii="Verdana" w:hAnsi="Verdana"/>
          <w:b/>
          <w:bCs/>
          <w:sz w:val="22"/>
          <w:szCs w:val="22"/>
        </w:rPr>
      </w:pPr>
      <w:r>
        <w:rPr>
          <w:rFonts w:ascii="Verdana" w:hAnsi="Verdana"/>
          <w:b/>
          <w:bCs/>
          <w:sz w:val="22"/>
          <w:szCs w:val="22"/>
        </w:rPr>
        <w:t>(10 de j</w:t>
      </w:r>
      <w:r w:rsidRPr="00D13DD2">
        <w:rPr>
          <w:rFonts w:ascii="Verdana" w:hAnsi="Verdana"/>
          <w:b/>
          <w:bCs/>
          <w:sz w:val="22"/>
          <w:szCs w:val="22"/>
        </w:rPr>
        <w:t>ulio</w:t>
      </w:r>
      <w:r>
        <w:rPr>
          <w:rFonts w:ascii="Verdana" w:hAnsi="Verdana"/>
          <w:b/>
          <w:bCs/>
          <w:sz w:val="22"/>
          <w:szCs w:val="22"/>
        </w:rPr>
        <w:t>)</w:t>
      </w:r>
    </w:p>
    <w:p w14:paraId="5C91704D" w14:textId="6E1EAA55" w:rsidR="00D13DD2" w:rsidRPr="00D13DD2" w:rsidRDefault="00D13DD2" w:rsidP="00D13DD2">
      <w:pPr>
        <w:jc w:val="center"/>
        <w:rPr>
          <w:rFonts w:ascii="Verdana" w:hAnsi="Verdana"/>
          <w:b/>
          <w:bCs/>
          <w:sz w:val="22"/>
          <w:szCs w:val="22"/>
        </w:rPr>
      </w:pPr>
      <w:r w:rsidRPr="00D13DD2">
        <w:rPr>
          <w:rFonts w:ascii="Verdana" w:hAnsi="Verdana"/>
          <w:b/>
          <w:bCs/>
          <w:sz w:val="22"/>
          <w:szCs w:val="22"/>
        </w:rPr>
        <w:t>INSTITUTO COLOMBIANO DE BIENESTAR FAMILIAR – ICBF</w:t>
      </w:r>
    </w:p>
    <w:p w14:paraId="528E1BD4" w14:textId="51CDF6C4" w:rsidR="00D13DD2" w:rsidRPr="00D13DD2" w:rsidRDefault="00D13DD2" w:rsidP="00D13DD2">
      <w:pPr>
        <w:jc w:val="both"/>
        <w:rPr>
          <w:rFonts w:ascii="Verdana" w:hAnsi="Verdana"/>
          <w:sz w:val="22"/>
          <w:szCs w:val="22"/>
        </w:rPr>
      </w:pPr>
      <w:r w:rsidRPr="00D13DD2">
        <w:rPr>
          <w:rFonts w:ascii="Verdana" w:hAnsi="Verdana"/>
          <w:sz w:val="22"/>
          <w:szCs w:val="22"/>
        </w:rPr>
        <w:t>Para:</w:t>
      </w:r>
      <w:r w:rsidRPr="00D13DD2">
        <w:rPr>
          <w:rFonts w:ascii="Verdana" w:hAnsi="Verdana"/>
          <w:sz w:val="22"/>
          <w:szCs w:val="22"/>
        </w:rPr>
        <w:tab/>
        <w:t>directores regionales y seccionales</w:t>
      </w:r>
    </w:p>
    <w:p w14:paraId="30CE7666" w14:textId="1206E8F9" w:rsidR="00D13DD2" w:rsidRPr="00D13DD2" w:rsidRDefault="00D13DD2" w:rsidP="00D13DD2">
      <w:pPr>
        <w:jc w:val="both"/>
        <w:rPr>
          <w:rFonts w:ascii="Verdana" w:hAnsi="Verdana"/>
          <w:sz w:val="22"/>
          <w:szCs w:val="22"/>
        </w:rPr>
      </w:pPr>
      <w:r w:rsidRPr="00D13DD2">
        <w:rPr>
          <w:rFonts w:ascii="Verdana" w:hAnsi="Verdana"/>
          <w:sz w:val="22"/>
          <w:szCs w:val="22"/>
        </w:rPr>
        <w:t>Asunto:</w:t>
      </w:r>
      <w:r w:rsidRPr="00D13DD2">
        <w:rPr>
          <w:rFonts w:ascii="Verdana" w:hAnsi="Verdana"/>
          <w:sz w:val="22"/>
          <w:szCs w:val="22"/>
        </w:rPr>
        <w:tab/>
        <w:t>aplicación del artículo 29 de la Ley 1098 de 2006 “Código de la Infancia y la Adolescencia”</w:t>
      </w:r>
    </w:p>
    <w:p w14:paraId="67C3A45B" w14:textId="3F98E069" w:rsidR="00D13DD2" w:rsidRPr="00D13DD2" w:rsidRDefault="00D13DD2" w:rsidP="00D13DD2">
      <w:pPr>
        <w:jc w:val="both"/>
        <w:rPr>
          <w:rFonts w:ascii="Verdana" w:hAnsi="Verdana"/>
          <w:sz w:val="22"/>
          <w:szCs w:val="22"/>
        </w:rPr>
      </w:pPr>
      <w:r w:rsidRPr="00D13DD2">
        <w:rPr>
          <w:rFonts w:ascii="Verdana" w:hAnsi="Verdana"/>
          <w:sz w:val="22"/>
          <w:szCs w:val="22"/>
        </w:rPr>
        <w:t xml:space="preserve">El Artículo 29 de la Ley 1098 de 2006 que hace referencia al Derecho al Desarrollo Integral en la primera infancia establece que son Derechos Impostergables en esta etapa, la atención en salud y nutrición, el esquema completo de vacunación, la protección contra peligros físicos y la educación inicial, además que en el primer mes de vida deberá garantizarse el Registro Civil de todos </w:t>
      </w:r>
      <w:proofErr w:type="gramStart"/>
      <w:r w:rsidRPr="00D13DD2">
        <w:rPr>
          <w:rFonts w:ascii="Verdana" w:hAnsi="Verdana"/>
          <w:sz w:val="22"/>
          <w:szCs w:val="22"/>
        </w:rPr>
        <w:t>los niños y las niñas</w:t>
      </w:r>
      <w:proofErr w:type="gramEnd"/>
      <w:r w:rsidRPr="00D13DD2">
        <w:rPr>
          <w:rFonts w:ascii="Verdana" w:hAnsi="Verdana"/>
          <w:sz w:val="22"/>
          <w:szCs w:val="22"/>
        </w:rPr>
        <w:t>.</w:t>
      </w:r>
    </w:p>
    <w:p w14:paraId="2B91E36E" w14:textId="5E85B50A" w:rsidR="00D13DD2" w:rsidRPr="00D13DD2" w:rsidRDefault="00D13DD2" w:rsidP="00D13DD2">
      <w:pPr>
        <w:jc w:val="both"/>
        <w:rPr>
          <w:rFonts w:ascii="Verdana" w:hAnsi="Verdana"/>
          <w:sz w:val="22"/>
          <w:szCs w:val="22"/>
        </w:rPr>
      </w:pPr>
      <w:r w:rsidRPr="00D13DD2">
        <w:rPr>
          <w:rFonts w:ascii="Verdana" w:hAnsi="Verdana"/>
          <w:sz w:val="22"/>
          <w:szCs w:val="22"/>
        </w:rPr>
        <w:t xml:space="preserve">El ICBF como rector del Sistema Nacional de Bienestar Familiar en cumplimiento de la función de articular las acciones de las entidades responsables de garantizar los derechos de los niños, debe articular y concurrir armónicamente con las administraciones Municipales para la &lt;sic&gt; garantizar la efectiva garantía de los derechos de </w:t>
      </w:r>
      <w:proofErr w:type="gramStart"/>
      <w:r w:rsidRPr="00D13DD2">
        <w:rPr>
          <w:rFonts w:ascii="Verdana" w:hAnsi="Verdana"/>
          <w:sz w:val="22"/>
          <w:szCs w:val="22"/>
        </w:rPr>
        <w:t>los niños y niñas</w:t>
      </w:r>
      <w:proofErr w:type="gramEnd"/>
      <w:r w:rsidRPr="00D13DD2">
        <w:rPr>
          <w:rFonts w:ascii="Verdana" w:hAnsi="Verdana"/>
          <w:sz w:val="22"/>
          <w:szCs w:val="22"/>
        </w:rPr>
        <w:t xml:space="preserve"> beneficiarios de los programas del ICBF.</w:t>
      </w:r>
    </w:p>
    <w:p w14:paraId="128E9472" w14:textId="191D5892" w:rsidR="00D13DD2" w:rsidRPr="00D13DD2" w:rsidRDefault="00D13DD2" w:rsidP="00D13DD2">
      <w:pPr>
        <w:jc w:val="both"/>
        <w:rPr>
          <w:rFonts w:ascii="Verdana" w:hAnsi="Verdana"/>
          <w:sz w:val="22"/>
          <w:szCs w:val="22"/>
        </w:rPr>
      </w:pPr>
      <w:r w:rsidRPr="00D13DD2">
        <w:rPr>
          <w:rFonts w:ascii="Verdana" w:hAnsi="Verdana"/>
          <w:sz w:val="22"/>
          <w:szCs w:val="22"/>
        </w:rPr>
        <w:t>Para lo anterior anexo a la presente comunicación, proyecto de Convenio para su respectiva gestión con cada administración municipal que oficialice el compromiso y fortalezca las acciones conjuntas para cualificar la atención a los niños beneficiarios en los programas Desayunos Infantiles y Recuperación Nutricional, junto con el acto administrativo de justificación respectivo.</w:t>
      </w:r>
    </w:p>
    <w:p w14:paraId="24763B04" w14:textId="27C7621E" w:rsidR="00D13DD2" w:rsidRPr="00D13DD2" w:rsidRDefault="00D13DD2" w:rsidP="00D13DD2">
      <w:pPr>
        <w:jc w:val="both"/>
        <w:rPr>
          <w:rFonts w:ascii="Verdana" w:hAnsi="Verdana"/>
          <w:sz w:val="22"/>
          <w:szCs w:val="22"/>
        </w:rPr>
      </w:pPr>
      <w:r w:rsidRPr="00D13DD2">
        <w:rPr>
          <w:rFonts w:ascii="Verdana" w:hAnsi="Verdana"/>
          <w:sz w:val="22"/>
          <w:szCs w:val="22"/>
        </w:rPr>
        <w:t>Una vez ocurra ese hecho, solicito remitir copia de cada uno de los convenios junto con el acto administrativo debidamente firmados a la Subdirección de Asesoría Territorial, los cuales facilitarán avanzar en los resultados de su gestión por la niñez.</w:t>
      </w:r>
    </w:p>
    <w:p w14:paraId="5A8AA149" w14:textId="3F7F685A" w:rsidR="00D13DD2" w:rsidRPr="00D13DD2" w:rsidRDefault="00D13DD2" w:rsidP="00D13DD2">
      <w:pPr>
        <w:jc w:val="center"/>
        <w:rPr>
          <w:rFonts w:ascii="Verdana" w:hAnsi="Verdana"/>
          <w:b/>
          <w:bCs/>
          <w:sz w:val="22"/>
          <w:szCs w:val="22"/>
        </w:rPr>
      </w:pPr>
      <w:r w:rsidRPr="00D13DD2">
        <w:rPr>
          <w:rFonts w:ascii="Verdana" w:hAnsi="Verdana"/>
          <w:b/>
          <w:bCs/>
          <w:sz w:val="22"/>
          <w:szCs w:val="22"/>
        </w:rPr>
        <w:t>ELVIRA FORERO HERNÁNDEZ</w:t>
      </w:r>
    </w:p>
    <w:p w14:paraId="3712CC2E" w14:textId="0FAA8967" w:rsidR="00A724C4" w:rsidRPr="00D13DD2" w:rsidRDefault="00D13DD2" w:rsidP="00D13DD2">
      <w:pPr>
        <w:jc w:val="center"/>
        <w:rPr>
          <w:rFonts w:ascii="Verdana" w:hAnsi="Verdana"/>
          <w:sz w:val="22"/>
          <w:szCs w:val="22"/>
        </w:rPr>
      </w:pPr>
      <w:r w:rsidRPr="00D13DD2">
        <w:rPr>
          <w:rFonts w:ascii="Verdana" w:hAnsi="Verdana"/>
          <w:sz w:val="22"/>
          <w:szCs w:val="22"/>
        </w:rPr>
        <w:t>DIRECTORA GENERAL</w:t>
      </w:r>
    </w:p>
    <w:sectPr w:rsidR="00A724C4" w:rsidRPr="00D13D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5B"/>
    <w:rsid w:val="00243CB4"/>
    <w:rsid w:val="002F305B"/>
    <w:rsid w:val="00A724C4"/>
    <w:rsid w:val="00D13DD2"/>
    <w:rsid w:val="00D70D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E3FE"/>
  <w15:chartTrackingRefBased/>
  <w15:docId w15:val="{5E4C33F8-F579-4B32-88B7-9BC572CB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3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3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30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30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30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30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30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30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30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30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30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30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30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30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30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30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30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305B"/>
    <w:rPr>
      <w:rFonts w:eastAsiaTheme="majorEastAsia" w:cstheme="majorBidi"/>
      <w:color w:val="272727" w:themeColor="text1" w:themeTint="D8"/>
    </w:rPr>
  </w:style>
  <w:style w:type="paragraph" w:styleId="Ttulo">
    <w:name w:val="Title"/>
    <w:basedOn w:val="Normal"/>
    <w:next w:val="Normal"/>
    <w:link w:val="TtuloCar"/>
    <w:uiPriority w:val="10"/>
    <w:qFormat/>
    <w:rsid w:val="002F3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30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30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30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305B"/>
    <w:pPr>
      <w:spacing w:before="160"/>
      <w:jc w:val="center"/>
    </w:pPr>
    <w:rPr>
      <w:i/>
      <w:iCs/>
      <w:color w:val="404040" w:themeColor="text1" w:themeTint="BF"/>
    </w:rPr>
  </w:style>
  <w:style w:type="character" w:customStyle="1" w:styleId="CitaCar">
    <w:name w:val="Cita Car"/>
    <w:basedOn w:val="Fuentedeprrafopredeter"/>
    <w:link w:val="Cita"/>
    <w:uiPriority w:val="29"/>
    <w:rsid w:val="002F305B"/>
    <w:rPr>
      <w:i/>
      <w:iCs/>
      <w:color w:val="404040" w:themeColor="text1" w:themeTint="BF"/>
    </w:rPr>
  </w:style>
  <w:style w:type="paragraph" w:styleId="Prrafodelista">
    <w:name w:val="List Paragraph"/>
    <w:basedOn w:val="Normal"/>
    <w:uiPriority w:val="34"/>
    <w:qFormat/>
    <w:rsid w:val="002F305B"/>
    <w:pPr>
      <w:ind w:left="720"/>
      <w:contextualSpacing/>
    </w:pPr>
  </w:style>
  <w:style w:type="character" w:styleId="nfasisintenso">
    <w:name w:val="Intense Emphasis"/>
    <w:basedOn w:val="Fuentedeprrafopredeter"/>
    <w:uiPriority w:val="21"/>
    <w:qFormat/>
    <w:rsid w:val="002F305B"/>
    <w:rPr>
      <w:i/>
      <w:iCs/>
      <w:color w:val="0F4761" w:themeColor="accent1" w:themeShade="BF"/>
    </w:rPr>
  </w:style>
  <w:style w:type="paragraph" w:styleId="Citadestacada">
    <w:name w:val="Intense Quote"/>
    <w:basedOn w:val="Normal"/>
    <w:next w:val="Normal"/>
    <w:link w:val="CitadestacadaCar"/>
    <w:uiPriority w:val="30"/>
    <w:qFormat/>
    <w:rsid w:val="002F3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305B"/>
    <w:rPr>
      <w:i/>
      <w:iCs/>
      <w:color w:val="0F4761" w:themeColor="accent1" w:themeShade="BF"/>
    </w:rPr>
  </w:style>
  <w:style w:type="character" w:styleId="Referenciaintensa">
    <w:name w:val="Intense Reference"/>
    <w:basedOn w:val="Fuentedeprrafopredeter"/>
    <w:uiPriority w:val="32"/>
    <w:qFormat/>
    <w:rsid w:val="002F30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75D68-7D1B-4C3D-8911-D252B86988AE}"/>
</file>

<file path=customXml/itemProps2.xml><?xml version="1.0" encoding="utf-8"?>
<ds:datastoreItem xmlns:ds="http://schemas.openxmlformats.org/officeDocument/2006/customXml" ds:itemID="{BA08AA46-BBDB-4173-953A-065FD83EE06A}"/>
</file>

<file path=customXml/itemProps3.xml><?xml version="1.0" encoding="utf-8"?>
<ds:datastoreItem xmlns:ds="http://schemas.openxmlformats.org/officeDocument/2006/customXml" ds:itemID="{8C211C7A-0204-4BA2-AEE4-8F43BF9B5EDD}"/>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1440</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2026-02-05T17:06:00Z</dcterms:created>
  <dcterms:modified xsi:type="dcterms:W3CDTF">2026-02-05T17:07:00Z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