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975C9" w14:textId="4502447F" w:rsidR="00B63BF0" w:rsidRPr="00B63BF0" w:rsidRDefault="00B63BF0" w:rsidP="00B63BF0">
      <w:pPr>
        <w:jc w:val="center"/>
        <w:rPr>
          <w:rFonts w:ascii="Verdana" w:hAnsi="Verdana"/>
          <w:b/>
          <w:bCs/>
          <w:sz w:val="22"/>
          <w:szCs w:val="22"/>
        </w:rPr>
      </w:pPr>
      <w:r w:rsidRPr="00B63BF0">
        <w:rPr>
          <w:rFonts w:ascii="Verdana" w:hAnsi="Verdana"/>
          <w:b/>
          <w:bCs/>
          <w:sz w:val="22"/>
          <w:szCs w:val="22"/>
        </w:rPr>
        <w:t>CIRCULAR 51 DE 2008</w:t>
      </w:r>
    </w:p>
    <w:p w14:paraId="06C7BC20" w14:textId="178ACB26" w:rsidR="00B63BF0" w:rsidRPr="00B63BF0" w:rsidRDefault="00B63BF0" w:rsidP="00B63BF0">
      <w:pPr>
        <w:jc w:val="center"/>
        <w:rPr>
          <w:rFonts w:ascii="Verdana" w:hAnsi="Verdana"/>
          <w:b/>
          <w:bCs/>
          <w:sz w:val="22"/>
          <w:szCs w:val="22"/>
        </w:rPr>
      </w:pPr>
      <w:r>
        <w:rPr>
          <w:rFonts w:ascii="Verdana" w:hAnsi="Verdana"/>
          <w:b/>
          <w:bCs/>
          <w:sz w:val="22"/>
          <w:szCs w:val="22"/>
        </w:rPr>
        <w:t>(10 de j</w:t>
      </w:r>
      <w:r w:rsidRPr="00B63BF0">
        <w:rPr>
          <w:rFonts w:ascii="Verdana" w:hAnsi="Verdana"/>
          <w:b/>
          <w:bCs/>
          <w:sz w:val="22"/>
          <w:szCs w:val="22"/>
        </w:rPr>
        <w:t>ulio</w:t>
      </w:r>
      <w:r>
        <w:rPr>
          <w:rFonts w:ascii="Verdana" w:hAnsi="Verdana"/>
          <w:b/>
          <w:bCs/>
          <w:sz w:val="22"/>
          <w:szCs w:val="22"/>
        </w:rPr>
        <w:t>)</w:t>
      </w:r>
    </w:p>
    <w:p w14:paraId="3788DE22" w14:textId="77777777" w:rsidR="00B63BF0" w:rsidRPr="00B63BF0" w:rsidRDefault="00B63BF0" w:rsidP="00B63BF0">
      <w:pPr>
        <w:jc w:val="center"/>
        <w:rPr>
          <w:rFonts w:ascii="Verdana" w:hAnsi="Verdana"/>
          <w:b/>
          <w:bCs/>
          <w:sz w:val="22"/>
          <w:szCs w:val="22"/>
        </w:rPr>
      </w:pPr>
      <w:r w:rsidRPr="00B63BF0">
        <w:rPr>
          <w:rFonts w:ascii="Verdana" w:hAnsi="Verdana"/>
          <w:b/>
          <w:bCs/>
          <w:sz w:val="22"/>
          <w:szCs w:val="22"/>
        </w:rPr>
        <w:t>INSTITUTO COLOMBIANO DE BIENESTAR FAMILIAR – ICBF</w:t>
      </w:r>
    </w:p>
    <w:p w14:paraId="748F44A5" w14:textId="758C7301" w:rsidR="00B63BF0" w:rsidRPr="00B63BF0" w:rsidRDefault="00B63BF0" w:rsidP="00B63BF0">
      <w:pPr>
        <w:jc w:val="both"/>
        <w:rPr>
          <w:rFonts w:ascii="Verdana" w:hAnsi="Verdana"/>
          <w:sz w:val="22"/>
          <w:szCs w:val="22"/>
        </w:rPr>
      </w:pPr>
      <w:r w:rsidRPr="00B63BF0">
        <w:rPr>
          <w:rFonts w:ascii="Verdana" w:hAnsi="Verdana"/>
          <w:sz w:val="22"/>
          <w:szCs w:val="22"/>
        </w:rPr>
        <w:t>Para:</w:t>
      </w:r>
      <w:r w:rsidRPr="00B63BF0">
        <w:rPr>
          <w:rFonts w:ascii="Verdana" w:hAnsi="Verdana"/>
          <w:sz w:val="22"/>
          <w:szCs w:val="22"/>
        </w:rPr>
        <w:tab/>
        <w:t>alcaldes municipales y distritales</w:t>
      </w:r>
    </w:p>
    <w:p w14:paraId="37497650" w14:textId="2C2220C5" w:rsidR="00B63BF0" w:rsidRPr="00B63BF0" w:rsidRDefault="00B63BF0" w:rsidP="00B63BF0">
      <w:pPr>
        <w:jc w:val="both"/>
        <w:rPr>
          <w:rFonts w:ascii="Verdana" w:hAnsi="Verdana"/>
          <w:sz w:val="22"/>
          <w:szCs w:val="22"/>
        </w:rPr>
      </w:pPr>
      <w:r w:rsidRPr="00B63BF0">
        <w:rPr>
          <w:rFonts w:ascii="Verdana" w:hAnsi="Verdana"/>
          <w:sz w:val="22"/>
          <w:szCs w:val="22"/>
        </w:rPr>
        <w:t>Asunto:</w:t>
      </w:r>
      <w:r w:rsidRPr="00B63BF0">
        <w:rPr>
          <w:rFonts w:ascii="Verdana" w:hAnsi="Verdana"/>
          <w:sz w:val="22"/>
          <w:szCs w:val="22"/>
        </w:rPr>
        <w:tab/>
        <w:t>Aplicación del artículo 29 de la Ley 1098 de 2006 “Código de la Infancia y la Adolescencia”.</w:t>
      </w:r>
    </w:p>
    <w:p w14:paraId="4F636F02" w14:textId="491ACEDC" w:rsidR="00B63BF0" w:rsidRPr="00B63BF0" w:rsidRDefault="00B63BF0" w:rsidP="00B63BF0">
      <w:pPr>
        <w:jc w:val="both"/>
        <w:rPr>
          <w:rFonts w:ascii="Verdana" w:hAnsi="Verdana"/>
          <w:sz w:val="22"/>
          <w:szCs w:val="22"/>
        </w:rPr>
      </w:pPr>
      <w:r w:rsidRPr="00B63BF0">
        <w:rPr>
          <w:rFonts w:ascii="Verdana" w:hAnsi="Verdana"/>
          <w:sz w:val="22"/>
          <w:szCs w:val="22"/>
        </w:rPr>
        <w:t>El ÍCBF como rector del Sistema Nacional de Bienestar Familiar en cumplimiento de la función de articular las acciones de las entidades responsables de garantizar los derechos de los niños, convoca a los señores alcaldes para fortalecer las acciones conjuntas que permitan cualificar la atención a los niños de la primera infancia que son beneficiarios en los programas que adelanta el instituto Colombiano de Bienestar Familiar como Desayunos Infantiles y Recuperación Nutricional.</w:t>
      </w:r>
    </w:p>
    <w:p w14:paraId="7033D11F" w14:textId="173C8DAA" w:rsidR="00B63BF0" w:rsidRPr="00B63BF0" w:rsidRDefault="00B63BF0" w:rsidP="00B63BF0">
      <w:pPr>
        <w:jc w:val="both"/>
        <w:rPr>
          <w:rFonts w:ascii="Verdana" w:hAnsi="Verdana"/>
          <w:sz w:val="22"/>
          <w:szCs w:val="22"/>
        </w:rPr>
      </w:pPr>
      <w:r w:rsidRPr="00B63BF0">
        <w:rPr>
          <w:rFonts w:ascii="Verdana" w:hAnsi="Verdana"/>
          <w:sz w:val="22"/>
          <w:szCs w:val="22"/>
        </w:rPr>
        <w:t xml:space="preserve">El Artículo 29 de la Ley 1098 de 2008 que hace referencia al Derecho al Desarrollo Integral en la primera infancia establece que son Derechos impostergables en esta etapa, la atención en salud y nutrición, el esquema completo de vacunación, la protección contra peligros físicos y la educación inicial, además que en el primer mes de vida deberá garantizarse el Registro Civil de todos </w:t>
      </w:r>
      <w:proofErr w:type="gramStart"/>
      <w:r w:rsidRPr="00B63BF0">
        <w:rPr>
          <w:rFonts w:ascii="Verdana" w:hAnsi="Verdana"/>
          <w:sz w:val="22"/>
          <w:szCs w:val="22"/>
        </w:rPr>
        <w:t>los niños y las niñas</w:t>
      </w:r>
      <w:proofErr w:type="gramEnd"/>
      <w:r w:rsidRPr="00B63BF0">
        <w:rPr>
          <w:rFonts w:ascii="Verdana" w:hAnsi="Verdana"/>
          <w:sz w:val="22"/>
          <w:szCs w:val="22"/>
        </w:rPr>
        <w:t>.</w:t>
      </w:r>
    </w:p>
    <w:p w14:paraId="588BAAC5" w14:textId="762C6043" w:rsidR="00B63BF0" w:rsidRPr="00B63BF0" w:rsidRDefault="00B63BF0" w:rsidP="00B63BF0">
      <w:pPr>
        <w:jc w:val="both"/>
        <w:rPr>
          <w:rFonts w:ascii="Verdana" w:hAnsi="Verdana"/>
          <w:sz w:val="22"/>
          <w:szCs w:val="22"/>
        </w:rPr>
      </w:pPr>
      <w:r w:rsidRPr="00B63BF0">
        <w:rPr>
          <w:rFonts w:ascii="Verdana" w:hAnsi="Verdana"/>
          <w:sz w:val="22"/>
          <w:szCs w:val="22"/>
        </w:rPr>
        <w:t xml:space="preserve">Por lo anterior y con el objetivo de cumplir lo establecido en la Ley, el ICBF considera fundamental el trabajo articulado y concurrente con su administración para garantizar el efectivo cumplimiento de los Derechos de </w:t>
      </w:r>
      <w:proofErr w:type="gramStart"/>
      <w:r w:rsidRPr="00B63BF0">
        <w:rPr>
          <w:rFonts w:ascii="Verdana" w:hAnsi="Verdana"/>
          <w:sz w:val="22"/>
          <w:szCs w:val="22"/>
        </w:rPr>
        <w:t>los niños y niñas</w:t>
      </w:r>
      <w:proofErr w:type="gramEnd"/>
      <w:r w:rsidRPr="00B63BF0">
        <w:rPr>
          <w:rFonts w:ascii="Verdana" w:hAnsi="Verdana"/>
          <w:sz w:val="22"/>
          <w:szCs w:val="22"/>
        </w:rPr>
        <w:t xml:space="preserve"> que en su Municipio son beneficiarios de estos programas del ICBF.</w:t>
      </w:r>
    </w:p>
    <w:p w14:paraId="3BD9838C" w14:textId="59C0B390" w:rsidR="00B63BF0" w:rsidRPr="00B63BF0" w:rsidRDefault="00B63BF0" w:rsidP="00B63BF0">
      <w:pPr>
        <w:jc w:val="both"/>
        <w:rPr>
          <w:rFonts w:ascii="Verdana" w:hAnsi="Verdana"/>
          <w:sz w:val="22"/>
          <w:szCs w:val="22"/>
        </w:rPr>
      </w:pPr>
      <w:r w:rsidRPr="00B63BF0">
        <w:rPr>
          <w:rFonts w:ascii="Verdana" w:hAnsi="Verdana"/>
          <w:sz w:val="22"/>
          <w:szCs w:val="22"/>
        </w:rPr>
        <w:t xml:space="preserve">En tal sentido, nuestra propuesta es invitarlo a suscribir junto con nuestro respectivo </w:t>
      </w:r>
      <w:proofErr w:type="gramStart"/>
      <w:r w:rsidRPr="00B63BF0">
        <w:rPr>
          <w:rFonts w:ascii="Verdana" w:hAnsi="Verdana"/>
          <w:sz w:val="22"/>
          <w:szCs w:val="22"/>
        </w:rPr>
        <w:t>Director Regional</w:t>
      </w:r>
      <w:proofErr w:type="gramEnd"/>
      <w:r w:rsidRPr="00B63BF0">
        <w:rPr>
          <w:rFonts w:ascii="Verdana" w:hAnsi="Verdana"/>
          <w:sz w:val="22"/>
          <w:szCs w:val="22"/>
        </w:rPr>
        <w:t xml:space="preserve"> o Seccional del ICBF, un convenio marco oficializando este compromiso que facilita y promueve el desarrollo acciones conjuntas en beneficio de </w:t>
      </w:r>
      <w:proofErr w:type="gramStart"/>
      <w:r w:rsidRPr="00B63BF0">
        <w:rPr>
          <w:rFonts w:ascii="Verdana" w:hAnsi="Verdana"/>
          <w:sz w:val="22"/>
          <w:szCs w:val="22"/>
        </w:rPr>
        <w:t>los niños y las niñas</w:t>
      </w:r>
      <w:proofErr w:type="gramEnd"/>
      <w:r w:rsidRPr="00B63BF0">
        <w:rPr>
          <w:rFonts w:ascii="Verdana" w:hAnsi="Verdana"/>
          <w:sz w:val="22"/>
          <w:szCs w:val="22"/>
        </w:rPr>
        <w:t xml:space="preserve"> de, para lo cual enviamos anexo a la presente comunicación, proyecto de Convenio y su acto administrativo de justificación respectivo.</w:t>
      </w:r>
    </w:p>
    <w:p w14:paraId="4DC45F84" w14:textId="61AB6FCE" w:rsidR="00B63BF0" w:rsidRPr="00B63BF0" w:rsidRDefault="00B63BF0" w:rsidP="00B63BF0">
      <w:pPr>
        <w:jc w:val="center"/>
        <w:rPr>
          <w:rFonts w:ascii="Verdana" w:hAnsi="Verdana"/>
          <w:b/>
          <w:bCs/>
          <w:sz w:val="22"/>
          <w:szCs w:val="22"/>
        </w:rPr>
      </w:pPr>
      <w:r w:rsidRPr="00B63BF0">
        <w:rPr>
          <w:rFonts w:ascii="Verdana" w:hAnsi="Verdana"/>
          <w:b/>
          <w:bCs/>
          <w:sz w:val="22"/>
          <w:szCs w:val="22"/>
        </w:rPr>
        <w:t>ELVIRA FORERO HERNÁNDEZ</w:t>
      </w:r>
    </w:p>
    <w:p w14:paraId="74D7421A" w14:textId="0A6F8BCE" w:rsidR="00A724C4" w:rsidRPr="00B63BF0" w:rsidRDefault="00B63BF0" w:rsidP="00B63BF0">
      <w:pPr>
        <w:jc w:val="center"/>
        <w:rPr>
          <w:rFonts w:ascii="Verdana" w:hAnsi="Verdana"/>
          <w:sz w:val="22"/>
          <w:szCs w:val="22"/>
        </w:rPr>
      </w:pPr>
      <w:r w:rsidRPr="00B63BF0">
        <w:rPr>
          <w:rFonts w:ascii="Verdana" w:hAnsi="Verdana"/>
          <w:sz w:val="22"/>
          <w:szCs w:val="22"/>
        </w:rPr>
        <w:t>DIRECTORA GENERAL</w:t>
      </w:r>
    </w:p>
    <w:sectPr w:rsidR="00A724C4" w:rsidRPr="00B63B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A4"/>
    <w:rsid w:val="000F57A4"/>
    <w:rsid w:val="00243CB4"/>
    <w:rsid w:val="00A724C4"/>
    <w:rsid w:val="00B63BF0"/>
    <w:rsid w:val="00F50D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3289F"/>
  <w15:chartTrackingRefBased/>
  <w15:docId w15:val="{61DE7AC2-4F3C-4E74-B91F-5B88360D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F57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5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57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57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F57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F57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57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57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57A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57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57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57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57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57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57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57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57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57A4"/>
    <w:rPr>
      <w:rFonts w:eastAsiaTheme="majorEastAsia" w:cstheme="majorBidi"/>
      <w:color w:val="272727" w:themeColor="text1" w:themeTint="D8"/>
    </w:rPr>
  </w:style>
  <w:style w:type="paragraph" w:styleId="Ttulo">
    <w:name w:val="Title"/>
    <w:basedOn w:val="Normal"/>
    <w:next w:val="Normal"/>
    <w:link w:val="TtuloCar"/>
    <w:uiPriority w:val="10"/>
    <w:qFormat/>
    <w:rsid w:val="000F5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57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57A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57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57A4"/>
    <w:pPr>
      <w:spacing w:before="160"/>
      <w:jc w:val="center"/>
    </w:pPr>
    <w:rPr>
      <w:i/>
      <w:iCs/>
      <w:color w:val="404040" w:themeColor="text1" w:themeTint="BF"/>
    </w:rPr>
  </w:style>
  <w:style w:type="character" w:customStyle="1" w:styleId="CitaCar">
    <w:name w:val="Cita Car"/>
    <w:basedOn w:val="Fuentedeprrafopredeter"/>
    <w:link w:val="Cita"/>
    <w:uiPriority w:val="29"/>
    <w:rsid w:val="000F57A4"/>
    <w:rPr>
      <w:i/>
      <w:iCs/>
      <w:color w:val="404040" w:themeColor="text1" w:themeTint="BF"/>
    </w:rPr>
  </w:style>
  <w:style w:type="paragraph" w:styleId="Prrafodelista">
    <w:name w:val="List Paragraph"/>
    <w:basedOn w:val="Normal"/>
    <w:uiPriority w:val="34"/>
    <w:qFormat/>
    <w:rsid w:val="000F57A4"/>
    <w:pPr>
      <w:ind w:left="720"/>
      <w:contextualSpacing/>
    </w:pPr>
  </w:style>
  <w:style w:type="character" w:styleId="nfasisintenso">
    <w:name w:val="Intense Emphasis"/>
    <w:basedOn w:val="Fuentedeprrafopredeter"/>
    <w:uiPriority w:val="21"/>
    <w:qFormat/>
    <w:rsid w:val="000F57A4"/>
    <w:rPr>
      <w:i/>
      <w:iCs/>
      <w:color w:val="0F4761" w:themeColor="accent1" w:themeShade="BF"/>
    </w:rPr>
  </w:style>
  <w:style w:type="paragraph" w:styleId="Citadestacada">
    <w:name w:val="Intense Quote"/>
    <w:basedOn w:val="Normal"/>
    <w:next w:val="Normal"/>
    <w:link w:val="CitadestacadaCar"/>
    <w:uiPriority w:val="30"/>
    <w:qFormat/>
    <w:rsid w:val="000F5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57A4"/>
    <w:rPr>
      <w:i/>
      <w:iCs/>
      <w:color w:val="0F4761" w:themeColor="accent1" w:themeShade="BF"/>
    </w:rPr>
  </w:style>
  <w:style w:type="character" w:styleId="Referenciaintensa">
    <w:name w:val="Intense Reference"/>
    <w:basedOn w:val="Fuentedeprrafopredeter"/>
    <w:uiPriority w:val="32"/>
    <w:qFormat/>
    <w:rsid w:val="000F57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E32ACF-38AD-4E97-BD64-01127C5F4E47}"/>
</file>

<file path=customXml/itemProps2.xml><?xml version="1.0" encoding="utf-8"?>
<ds:datastoreItem xmlns:ds="http://schemas.openxmlformats.org/officeDocument/2006/customXml" ds:itemID="{A360AEAE-D6AE-4A6B-A45F-09F0904ABA8D}"/>
</file>

<file path=customXml/itemProps3.xml><?xml version="1.0" encoding="utf-8"?>
<ds:datastoreItem xmlns:ds="http://schemas.openxmlformats.org/officeDocument/2006/customXml" ds:itemID="{562D3C9E-FA8A-45D7-81E9-D841D15DA264}"/>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1583</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2026-02-05T17:04:00Z</dcterms:created>
  <dcterms:modified xsi:type="dcterms:W3CDTF">2026-02-05T17:06:00Z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