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2B637" w14:textId="7D05A4ED" w:rsidR="000C44E3" w:rsidRPr="004E0D09" w:rsidRDefault="000C44E3" w:rsidP="004E0D09">
      <w:pPr>
        <w:jc w:val="center"/>
        <w:rPr>
          <w:rFonts w:ascii="Verdana" w:hAnsi="Verdana"/>
          <w:b/>
          <w:bCs/>
          <w:sz w:val="22"/>
          <w:szCs w:val="22"/>
        </w:rPr>
      </w:pPr>
      <w:r w:rsidRPr="004E0D09">
        <w:rPr>
          <w:rFonts w:ascii="Verdana" w:hAnsi="Verdana"/>
          <w:b/>
          <w:bCs/>
          <w:sz w:val="22"/>
          <w:szCs w:val="22"/>
        </w:rPr>
        <w:t>CIRCULAR 50 DE 2008</w:t>
      </w:r>
    </w:p>
    <w:p w14:paraId="48876188" w14:textId="7FB3EEC0" w:rsidR="000C44E3" w:rsidRPr="004E0D09" w:rsidRDefault="000C44E3" w:rsidP="004E0D09">
      <w:pPr>
        <w:jc w:val="center"/>
        <w:rPr>
          <w:rFonts w:ascii="Verdana" w:hAnsi="Verdana"/>
          <w:b/>
          <w:bCs/>
          <w:sz w:val="22"/>
          <w:szCs w:val="22"/>
        </w:rPr>
      </w:pPr>
      <w:r w:rsidRPr="004E0D09">
        <w:rPr>
          <w:rFonts w:ascii="Verdana" w:hAnsi="Verdana"/>
          <w:b/>
          <w:bCs/>
          <w:sz w:val="22"/>
          <w:szCs w:val="22"/>
        </w:rPr>
        <w:t>(</w:t>
      </w:r>
      <w:r w:rsidR="004E0D09">
        <w:rPr>
          <w:rFonts w:ascii="Verdana" w:hAnsi="Verdana"/>
          <w:b/>
          <w:bCs/>
          <w:sz w:val="22"/>
          <w:szCs w:val="22"/>
        </w:rPr>
        <w:t>10 de j</w:t>
      </w:r>
      <w:r w:rsidRPr="004E0D09">
        <w:rPr>
          <w:rFonts w:ascii="Verdana" w:hAnsi="Verdana"/>
          <w:b/>
          <w:bCs/>
          <w:sz w:val="22"/>
          <w:szCs w:val="22"/>
        </w:rPr>
        <w:t>ulio)</w:t>
      </w:r>
    </w:p>
    <w:p w14:paraId="27FB4443" w14:textId="150A65DC" w:rsidR="000C44E3" w:rsidRPr="004E0D09" w:rsidRDefault="000C44E3" w:rsidP="004E0D09">
      <w:pPr>
        <w:jc w:val="center"/>
        <w:rPr>
          <w:rFonts w:ascii="Verdana" w:hAnsi="Verdana"/>
          <w:b/>
          <w:bCs/>
          <w:sz w:val="22"/>
          <w:szCs w:val="22"/>
        </w:rPr>
      </w:pPr>
      <w:r w:rsidRPr="004E0D09">
        <w:rPr>
          <w:rFonts w:ascii="Verdana" w:hAnsi="Verdana"/>
          <w:b/>
          <w:bCs/>
          <w:sz w:val="22"/>
          <w:szCs w:val="22"/>
        </w:rPr>
        <w:t>INSTITUTO COLOMBIANO DE BIENESTAR FAMILIAR</w:t>
      </w:r>
    </w:p>
    <w:p w14:paraId="6D767389" w14:textId="77777777" w:rsidR="000C44E3" w:rsidRPr="000C44E3" w:rsidRDefault="000C44E3" w:rsidP="000C44E3">
      <w:pPr>
        <w:jc w:val="both"/>
        <w:rPr>
          <w:rFonts w:ascii="Verdana" w:hAnsi="Verdana"/>
          <w:sz w:val="22"/>
          <w:szCs w:val="22"/>
        </w:rPr>
      </w:pPr>
      <w:r w:rsidRPr="000C44E3">
        <w:rPr>
          <w:rFonts w:ascii="Verdana" w:hAnsi="Verdana"/>
          <w:sz w:val="22"/>
          <w:szCs w:val="22"/>
        </w:rPr>
        <w:t>Para:</w:t>
      </w:r>
      <w:r w:rsidRPr="000C44E3">
        <w:rPr>
          <w:rFonts w:ascii="Verdana" w:hAnsi="Verdana"/>
          <w:sz w:val="22"/>
          <w:szCs w:val="22"/>
        </w:rPr>
        <w:tab/>
        <w:t>Defensores de Familia</w:t>
      </w:r>
    </w:p>
    <w:p w14:paraId="743B4D9F" w14:textId="77777777" w:rsidR="000C44E3" w:rsidRPr="000C44E3" w:rsidRDefault="000C44E3" w:rsidP="000C44E3">
      <w:pPr>
        <w:jc w:val="both"/>
        <w:rPr>
          <w:rFonts w:ascii="Verdana" w:hAnsi="Verdana"/>
          <w:sz w:val="22"/>
          <w:szCs w:val="22"/>
        </w:rPr>
      </w:pPr>
      <w:r w:rsidRPr="000C44E3">
        <w:rPr>
          <w:rFonts w:ascii="Verdana" w:hAnsi="Verdana"/>
          <w:sz w:val="22"/>
          <w:szCs w:val="22"/>
        </w:rPr>
        <w:t>Asunto:</w:t>
      </w:r>
      <w:r w:rsidRPr="000C44E3">
        <w:rPr>
          <w:rFonts w:ascii="Verdana" w:hAnsi="Verdana"/>
          <w:sz w:val="22"/>
          <w:szCs w:val="22"/>
        </w:rPr>
        <w:tab/>
        <w:t>Funciones y competencia de los Defensores de Familia en los procesos judiciales</w:t>
      </w:r>
    </w:p>
    <w:p w14:paraId="6989D14A" w14:textId="27A65280" w:rsidR="000C44E3" w:rsidRPr="000C44E3" w:rsidRDefault="000C44E3" w:rsidP="000C44E3">
      <w:pPr>
        <w:jc w:val="both"/>
        <w:rPr>
          <w:rFonts w:ascii="Verdana" w:hAnsi="Verdana"/>
          <w:sz w:val="22"/>
          <w:szCs w:val="22"/>
        </w:rPr>
      </w:pPr>
      <w:r w:rsidRPr="000C44E3">
        <w:rPr>
          <w:rFonts w:ascii="Verdana" w:hAnsi="Verdana"/>
          <w:sz w:val="22"/>
          <w:szCs w:val="22"/>
        </w:rPr>
        <w:t>En ejercicio de las facultades consagradas especialmente en el parágrafo del artículo 11 y el artículo 205 de la Ley 1098 de 2006, y con el propósito de contribuir a la adecuada aplicación y cumplimiento de las normas que determinan la competencia de los Defensores de Familia, esta Dirección imparte las directrices que se indican a continuación, sin perjuicio de la competencia subsidiaria de los Comisarios de Familia e Inspectores de Policía.</w:t>
      </w:r>
    </w:p>
    <w:p w14:paraId="0F698C70" w14:textId="0F430DE7" w:rsidR="000C44E3" w:rsidRPr="000C44E3" w:rsidRDefault="000C44E3" w:rsidP="000C44E3">
      <w:pPr>
        <w:jc w:val="both"/>
        <w:rPr>
          <w:rFonts w:ascii="Verdana" w:hAnsi="Verdana"/>
          <w:sz w:val="22"/>
          <w:szCs w:val="22"/>
        </w:rPr>
      </w:pPr>
      <w:r w:rsidRPr="000C44E3">
        <w:rPr>
          <w:rFonts w:ascii="Verdana" w:hAnsi="Verdana"/>
          <w:sz w:val="22"/>
          <w:szCs w:val="22"/>
        </w:rPr>
        <w:t>Las Defensorías de Familia son dependencias del ICBF y no despachos autónomos. Sus funciones y deberes no se agotan en los señalados en la Ley 1098, en particular en sus artículos 81 y 82, materia sobre la que se ha instruido en forma amplia desde esta Sede Nacional. Por el contrario, entre otras disposiciones relativas a ese ámbito de competencias son de vigencia indiscutible y permanente aplicación las siguientes:</w:t>
      </w:r>
    </w:p>
    <w:p w14:paraId="5F3D60C7" w14:textId="0A5DD56B" w:rsidR="000C44E3" w:rsidRPr="000C44E3" w:rsidRDefault="000C44E3" w:rsidP="000C44E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0C44E3">
        <w:rPr>
          <w:rFonts w:ascii="Verdana" w:hAnsi="Verdana"/>
          <w:sz w:val="22"/>
          <w:szCs w:val="22"/>
        </w:rPr>
        <w:t>Intervenir como querellante legítimo en los casos previstos en los incisos 2o y 3o del artículo 71 de la Ley 906 de 2004, o sea formular la querella a) cuando el sujeto pasivo estuviere imposibilitado para formular la querella o sea incapaz y carezca de representante legal, o cuando el representante legal sea autor o partícipe del delito, y b) en el delito de inasistencia alimentaria.</w:t>
      </w:r>
      <w:r>
        <w:rPr>
          <w:rStyle w:val="Refdenotaalfinal"/>
          <w:rFonts w:ascii="Verdana" w:hAnsi="Verdana"/>
          <w:sz w:val="22"/>
          <w:szCs w:val="22"/>
        </w:rPr>
        <w:endnoteReference w:id="1"/>
      </w:r>
    </w:p>
    <w:p w14:paraId="50B6A60E" w14:textId="1363AD7A" w:rsidR="000C44E3" w:rsidRPr="000C44E3" w:rsidRDefault="000C44E3" w:rsidP="000C44E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0C44E3">
        <w:rPr>
          <w:rFonts w:ascii="Verdana" w:hAnsi="Verdana"/>
          <w:sz w:val="22"/>
          <w:szCs w:val="22"/>
        </w:rPr>
        <w:t>Emitir concepto (valoración positiva o negativa) en los procesos por el delito de violencia intrafamiliar, según lo previsto en la Ley 1142 de 2007</w:t>
      </w:r>
      <w:r w:rsidR="007440F4">
        <w:rPr>
          <w:rStyle w:val="Refdenotaalfinal"/>
          <w:rFonts w:ascii="Verdana" w:hAnsi="Verdana"/>
          <w:sz w:val="22"/>
          <w:szCs w:val="22"/>
        </w:rPr>
        <w:endnoteReference w:id="2"/>
      </w:r>
      <w:r w:rsidRPr="000C44E3">
        <w:rPr>
          <w:rFonts w:ascii="Verdana" w:hAnsi="Verdana"/>
          <w:sz w:val="22"/>
          <w:szCs w:val="22"/>
        </w:rPr>
        <w:t xml:space="preserve"> y con ajuste a lo señalado en la Circular No. 002 del 7 de febrero de 2008 expedida por esta Dirección General.</w:t>
      </w:r>
    </w:p>
    <w:p w14:paraId="0A0D5948" w14:textId="77777777" w:rsidR="000C44E3" w:rsidRPr="000C44E3" w:rsidRDefault="000C44E3" w:rsidP="000C44E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0C44E3">
        <w:rPr>
          <w:rFonts w:ascii="Verdana" w:hAnsi="Verdana"/>
          <w:sz w:val="22"/>
          <w:szCs w:val="22"/>
        </w:rPr>
        <w:t>Promover los procesos de alimentos que estableció el Decreto 2737 de 1989 (Código del Menor).</w:t>
      </w:r>
    </w:p>
    <w:p w14:paraId="3D26CBBD" w14:textId="34942C7E" w:rsidR="000C44E3" w:rsidRPr="000C44E3" w:rsidRDefault="000C44E3" w:rsidP="000C44E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0C44E3">
        <w:rPr>
          <w:rFonts w:ascii="Verdana" w:hAnsi="Verdana"/>
          <w:sz w:val="22"/>
          <w:szCs w:val="22"/>
        </w:rPr>
        <w:t>Intervenir en los procesos o casos en que sea solicitado por el Juez de Familia, como son</w:t>
      </w:r>
      <w:r w:rsidR="007440F4">
        <w:rPr>
          <w:rStyle w:val="Refdenotaalfinal"/>
          <w:rFonts w:ascii="Verdana" w:hAnsi="Verdana"/>
          <w:sz w:val="22"/>
          <w:szCs w:val="22"/>
        </w:rPr>
        <w:endnoteReference w:id="3"/>
      </w:r>
      <w:r w:rsidRPr="000C44E3">
        <w:rPr>
          <w:rFonts w:ascii="Verdana" w:hAnsi="Verdana"/>
          <w:sz w:val="22"/>
          <w:szCs w:val="22"/>
        </w:rPr>
        <w:t xml:space="preserve"> los de: a) suspensión de la patria potestad, b) emancipación judicial del menor, c) aprobación de la división de una herencia o de bienes raíces que el menor posea proindiviso con otros.</w:t>
      </w:r>
    </w:p>
    <w:p w14:paraId="1462EE6D" w14:textId="77777777" w:rsidR="000C44E3" w:rsidRPr="000C44E3" w:rsidRDefault="000C44E3" w:rsidP="000C44E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0C44E3">
        <w:rPr>
          <w:rFonts w:ascii="Verdana" w:hAnsi="Verdana"/>
          <w:sz w:val="22"/>
          <w:szCs w:val="22"/>
        </w:rPr>
        <w:t>Acudir a la jurisdicción de familia: a) a solicitud del pupilo, cuando de alguno de los actos del curador le resulte manifiesto perjuicio, b) cuando sea necesario que el Juez ordene medidas cautelares sobre los bienes del aumentante.</w:t>
      </w:r>
    </w:p>
    <w:p w14:paraId="32617A21" w14:textId="257A9040" w:rsidR="000C44E3" w:rsidRPr="000C44E3" w:rsidRDefault="000C44E3" w:rsidP="000C44E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proofErr w:type="gramStart"/>
      <w:r w:rsidRPr="000C44E3">
        <w:rPr>
          <w:rFonts w:ascii="Verdana" w:hAnsi="Verdana"/>
          <w:sz w:val="22"/>
          <w:szCs w:val="22"/>
        </w:rPr>
        <w:lastRenderedPageBreak/>
        <w:t>Dar aviso</w:t>
      </w:r>
      <w:proofErr w:type="gramEnd"/>
      <w:r w:rsidRPr="000C44E3">
        <w:rPr>
          <w:rFonts w:ascii="Verdana" w:hAnsi="Verdana"/>
          <w:sz w:val="22"/>
          <w:szCs w:val="22"/>
        </w:rPr>
        <w:t xml:space="preserve"> a las autoridades de emigración para que el obligado a prestar alimentos no se ausente del país sin otorgar garantía suficiente de cumplir la obligación.</w:t>
      </w:r>
      <w:r w:rsidR="001654B5">
        <w:rPr>
          <w:rStyle w:val="Refdenotaalfinal"/>
          <w:rFonts w:ascii="Verdana" w:hAnsi="Verdana"/>
          <w:sz w:val="22"/>
          <w:szCs w:val="22"/>
        </w:rPr>
        <w:endnoteReference w:id="4"/>
      </w:r>
    </w:p>
    <w:p w14:paraId="6097161C" w14:textId="77777777" w:rsidR="000C44E3" w:rsidRPr="000C44E3" w:rsidRDefault="000C44E3" w:rsidP="000C44E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0C44E3">
        <w:rPr>
          <w:rFonts w:ascii="Verdana" w:hAnsi="Verdana"/>
          <w:sz w:val="22"/>
          <w:szCs w:val="22"/>
        </w:rPr>
        <w:t>Dar aplicación a los Lineamientos Técnicos y Jurídicos de protección expedidos por el ICBF, los cuales son documentos orientadores y vinculantes.</w:t>
      </w:r>
    </w:p>
    <w:p w14:paraId="1F380D03" w14:textId="714EEB51" w:rsidR="000C44E3" w:rsidRPr="000C44E3" w:rsidRDefault="000C44E3" w:rsidP="000C44E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0C44E3">
        <w:rPr>
          <w:rFonts w:ascii="Verdana" w:hAnsi="Verdana"/>
          <w:sz w:val="22"/>
          <w:szCs w:val="22"/>
        </w:rPr>
        <w:t>Cumplir lo establecido en el Decreto 2272 de 1989, la Ley 23 de 1991, los principios establecidos en la Constitución Política y demás disposiciones normativas, concordantes y vigentes.</w:t>
      </w:r>
      <w:r w:rsidR="001654B5">
        <w:rPr>
          <w:rStyle w:val="Refdenotaalfinal"/>
          <w:rFonts w:ascii="Verdana" w:hAnsi="Verdana"/>
          <w:sz w:val="22"/>
          <w:szCs w:val="22"/>
        </w:rPr>
        <w:endnoteReference w:id="5"/>
      </w:r>
    </w:p>
    <w:p w14:paraId="4457E197" w14:textId="77777777" w:rsidR="000C44E3" w:rsidRPr="000C44E3" w:rsidRDefault="000C44E3" w:rsidP="000C44E3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proofErr w:type="gramStart"/>
      <w:r w:rsidRPr="000C44E3">
        <w:rPr>
          <w:rFonts w:ascii="Verdana" w:hAnsi="Verdana"/>
          <w:sz w:val="22"/>
          <w:szCs w:val="22"/>
        </w:rPr>
        <w:t>Finalmente</w:t>
      </w:r>
      <w:proofErr w:type="gramEnd"/>
      <w:r w:rsidRPr="000C44E3">
        <w:rPr>
          <w:rFonts w:ascii="Verdana" w:hAnsi="Verdana"/>
          <w:sz w:val="22"/>
          <w:szCs w:val="22"/>
        </w:rPr>
        <w:t xml:space="preserve"> esta Dirección hace un llamado a todos los Defensores de Familia para que den estricto cumplimiento a las disposiciones sobre Infancia y Adolescencia en pro de garantizar los derechos de los niños, las niñas y los adolescentes.</w:t>
      </w:r>
    </w:p>
    <w:p w14:paraId="227D4DC6" w14:textId="127500CC" w:rsidR="000C44E3" w:rsidRPr="000C44E3" w:rsidRDefault="000C44E3" w:rsidP="000C44E3">
      <w:pPr>
        <w:jc w:val="both"/>
        <w:rPr>
          <w:rFonts w:ascii="Verdana" w:hAnsi="Verdana"/>
          <w:sz w:val="22"/>
          <w:szCs w:val="22"/>
        </w:rPr>
      </w:pPr>
      <w:r w:rsidRPr="000C44E3">
        <w:rPr>
          <w:rFonts w:ascii="Verdana" w:hAnsi="Verdana"/>
          <w:sz w:val="22"/>
          <w:szCs w:val="22"/>
        </w:rPr>
        <w:t>Cordialmente,</w:t>
      </w:r>
    </w:p>
    <w:p w14:paraId="4C9BE20A" w14:textId="60C03C94" w:rsidR="000C44E3" w:rsidRPr="000C44E3" w:rsidRDefault="000C44E3" w:rsidP="000C44E3">
      <w:pPr>
        <w:jc w:val="center"/>
        <w:rPr>
          <w:rFonts w:ascii="Verdana" w:hAnsi="Verdana"/>
          <w:b/>
          <w:bCs/>
          <w:sz w:val="22"/>
          <w:szCs w:val="22"/>
        </w:rPr>
      </w:pPr>
      <w:r w:rsidRPr="000C44E3">
        <w:rPr>
          <w:rFonts w:ascii="Verdana" w:hAnsi="Verdana"/>
          <w:b/>
          <w:bCs/>
          <w:sz w:val="22"/>
          <w:szCs w:val="22"/>
        </w:rPr>
        <w:t>ELVIRA FORERO HERNANDEZ</w:t>
      </w:r>
    </w:p>
    <w:p w14:paraId="0DBA7479" w14:textId="54C60914" w:rsidR="00A724C4" w:rsidRPr="000C44E3" w:rsidRDefault="000C44E3" w:rsidP="000C44E3">
      <w:pPr>
        <w:jc w:val="center"/>
        <w:rPr>
          <w:rFonts w:ascii="Verdana" w:hAnsi="Verdana"/>
          <w:sz w:val="22"/>
          <w:szCs w:val="22"/>
        </w:rPr>
      </w:pPr>
      <w:r w:rsidRPr="000C44E3">
        <w:rPr>
          <w:rFonts w:ascii="Verdana" w:hAnsi="Verdana"/>
          <w:sz w:val="22"/>
          <w:szCs w:val="22"/>
        </w:rPr>
        <w:t>DIRECTORA</w:t>
      </w:r>
    </w:p>
    <w:sectPr w:rsidR="00A724C4" w:rsidRPr="000C44E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B9FFD" w14:textId="77777777" w:rsidR="00C3759D" w:rsidRDefault="00C3759D" w:rsidP="000C44E3">
      <w:pPr>
        <w:spacing w:after="0" w:line="240" w:lineRule="auto"/>
      </w:pPr>
      <w:r>
        <w:separator/>
      </w:r>
    </w:p>
  </w:endnote>
  <w:endnote w:type="continuationSeparator" w:id="0">
    <w:p w14:paraId="170C5B27" w14:textId="77777777" w:rsidR="00C3759D" w:rsidRDefault="00C3759D" w:rsidP="000C44E3">
      <w:pPr>
        <w:spacing w:after="0" w:line="240" w:lineRule="auto"/>
      </w:pPr>
      <w:r>
        <w:continuationSeparator/>
      </w:r>
    </w:p>
  </w:endnote>
  <w:endnote w:id="1">
    <w:p w14:paraId="4CD12118" w14:textId="08531D8A" w:rsidR="000C44E3" w:rsidRPr="004E0D09" w:rsidRDefault="000C44E3">
      <w:pPr>
        <w:pStyle w:val="Textonotaalfinal"/>
        <w:rPr>
          <w:rFonts w:ascii="Verdana" w:hAnsi="Verdana"/>
          <w:sz w:val="18"/>
          <w:szCs w:val="18"/>
          <w:lang w:val="es-MX"/>
        </w:rPr>
      </w:pPr>
      <w:r w:rsidRPr="004E0D09">
        <w:rPr>
          <w:rStyle w:val="Refdenotaalfinal"/>
          <w:rFonts w:ascii="Verdana" w:hAnsi="Verdana"/>
          <w:sz w:val="18"/>
          <w:szCs w:val="18"/>
        </w:rPr>
        <w:endnoteRef/>
      </w:r>
      <w:r w:rsidRPr="004E0D09">
        <w:rPr>
          <w:rFonts w:ascii="Verdana" w:hAnsi="Verdana"/>
          <w:sz w:val="18"/>
          <w:szCs w:val="18"/>
        </w:rPr>
        <w:t xml:space="preserve"> </w:t>
      </w:r>
      <w:r w:rsidR="007440F4" w:rsidRPr="004E0D09">
        <w:rPr>
          <w:rFonts w:ascii="Verdana" w:hAnsi="Verdana"/>
          <w:sz w:val="18"/>
          <w:szCs w:val="18"/>
        </w:rPr>
        <w:t>Artículo 71 Ley 906 de 2004</w:t>
      </w:r>
    </w:p>
  </w:endnote>
  <w:endnote w:id="2">
    <w:p w14:paraId="7202DF22" w14:textId="6CF33D7D" w:rsidR="007440F4" w:rsidRPr="004E0D09" w:rsidRDefault="007440F4">
      <w:pPr>
        <w:pStyle w:val="Textonotaalfinal"/>
        <w:rPr>
          <w:rFonts w:ascii="Verdana" w:hAnsi="Verdana"/>
          <w:sz w:val="18"/>
          <w:szCs w:val="18"/>
          <w:lang w:val="es-MX"/>
        </w:rPr>
      </w:pPr>
      <w:r w:rsidRPr="004E0D09">
        <w:rPr>
          <w:rStyle w:val="Refdenotaalfinal"/>
          <w:rFonts w:ascii="Verdana" w:hAnsi="Verdana"/>
          <w:sz w:val="18"/>
          <w:szCs w:val="18"/>
        </w:rPr>
        <w:endnoteRef/>
      </w:r>
      <w:r w:rsidRPr="004E0D09">
        <w:rPr>
          <w:rFonts w:ascii="Verdana" w:hAnsi="Verdana"/>
          <w:sz w:val="18"/>
          <w:szCs w:val="18"/>
        </w:rPr>
        <w:t xml:space="preserve"> </w:t>
      </w:r>
      <w:r w:rsidRPr="004E0D09">
        <w:rPr>
          <w:rFonts w:ascii="Verdana" w:hAnsi="Verdana"/>
          <w:sz w:val="18"/>
          <w:szCs w:val="18"/>
        </w:rPr>
        <w:t>Artículo 2o Ley 1142 de 2007</w:t>
      </w:r>
    </w:p>
  </w:endnote>
  <w:endnote w:id="3">
    <w:p w14:paraId="337BB032" w14:textId="65798210" w:rsidR="007440F4" w:rsidRPr="004E0D09" w:rsidRDefault="007440F4">
      <w:pPr>
        <w:pStyle w:val="Textonotaalfinal"/>
        <w:rPr>
          <w:rFonts w:ascii="Verdana" w:hAnsi="Verdana"/>
          <w:sz w:val="18"/>
          <w:szCs w:val="18"/>
          <w:lang w:val="es-MX"/>
        </w:rPr>
      </w:pPr>
      <w:r w:rsidRPr="004E0D09">
        <w:rPr>
          <w:rStyle w:val="Refdenotaalfinal"/>
          <w:rFonts w:ascii="Verdana" w:hAnsi="Verdana"/>
          <w:sz w:val="18"/>
          <w:szCs w:val="18"/>
        </w:rPr>
        <w:endnoteRef/>
      </w:r>
      <w:r w:rsidRPr="004E0D09">
        <w:rPr>
          <w:rFonts w:ascii="Verdana" w:hAnsi="Verdana"/>
          <w:sz w:val="18"/>
          <w:szCs w:val="18"/>
        </w:rPr>
        <w:t xml:space="preserve"> </w:t>
      </w:r>
      <w:r w:rsidR="001654B5" w:rsidRPr="004E0D09">
        <w:rPr>
          <w:rFonts w:ascii="Verdana" w:hAnsi="Verdana"/>
          <w:sz w:val="18"/>
          <w:szCs w:val="18"/>
        </w:rPr>
        <w:t>Artículos 305, 315, 485 y 530 Código Civil</w:t>
      </w:r>
    </w:p>
  </w:endnote>
  <w:endnote w:id="4">
    <w:p w14:paraId="6D54495E" w14:textId="47C8215A" w:rsidR="001654B5" w:rsidRPr="004E0D09" w:rsidRDefault="001654B5">
      <w:pPr>
        <w:pStyle w:val="Textonotaalfinal"/>
        <w:rPr>
          <w:rFonts w:ascii="Verdana" w:hAnsi="Verdana"/>
          <w:sz w:val="18"/>
          <w:szCs w:val="18"/>
        </w:rPr>
      </w:pPr>
      <w:r w:rsidRPr="004E0D09">
        <w:rPr>
          <w:rStyle w:val="Refdenotaalfinal"/>
          <w:rFonts w:ascii="Verdana" w:hAnsi="Verdana"/>
          <w:sz w:val="18"/>
          <w:szCs w:val="18"/>
        </w:rPr>
        <w:endnoteRef/>
      </w:r>
      <w:r w:rsidRPr="004E0D09">
        <w:rPr>
          <w:rFonts w:ascii="Verdana" w:hAnsi="Verdana"/>
          <w:sz w:val="18"/>
          <w:szCs w:val="18"/>
        </w:rPr>
        <w:t xml:space="preserve"> </w:t>
      </w:r>
      <w:r w:rsidRPr="004E0D09">
        <w:rPr>
          <w:rFonts w:ascii="Verdana" w:hAnsi="Verdana"/>
          <w:sz w:val="18"/>
          <w:szCs w:val="18"/>
        </w:rPr>
        <w:t>Artículo 50 Ley 23 de 1991</w:t>
      </w:r>
    </w:p>
  </w:endnote>
  <w:endnote w:id="5">
    <w:p w14:paraId="7BA67D9B" w14:textId="4DC3E2A5" w:rsidR="001654B5" w:rsidRPr="001654B5" w:rsidRDefault="001654B5">
      <w:pPr>
        <w:pStyle w:val="Textonotaalfinal"/>
        <w:rPr>
          <w:lang w:val="es-MX"/>
        </w:rPr>
      </w:pPr>
      <w:r w:rsidRPr="004E0D09">
        <w:rPr>
          <w:rStyle w:val="Refdenotaalfinal"/>
          <w:rFonts w:ascii="Verdana" w:hAnsi="Verdana"/>
          <w:sz w:val="18"/>
          <w:szCs w:val="18"/>
        </w:rPr>
        <w:endnoteRef/>
      </w:r>
      <w:r w:rsidRPr="004E0D09">
        <w:rPr>
          <w:rFonts w:ascii="Verdana" w:hAnsi="Verdana"/>
          <w:sz w:val="18"/>
          <w:szCs w:val="18"/>
        </w:rPr>
        <w:t xml:space="preserve"> </w:t>
      </w:r>
      <w:r w:rsidR="004E0D09" w:rsidRPr="004E0D09">
        <w:rPr>
          <w:rFonts w:ascii="Verdana" w:hAnsi="Verdana"/>
          <w:sz w:val="18"/>
          <w:szCs w:val="18"/>
        </w:rPr>
        <w:t>Artículos 5, 42, 44 Constitución Política; Art. 11 Decreto 2272 de 1969; Art. 12 y 13 de la Ley 75 de 1968; Art. 12 Ley 575 de 2000; Art. 35 Ley 640 de 2001; Decreto 2771 de 2001; Decreto 218 de 2003.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5955C" w14:textId="77777777" w:rsidR="00C3759D" w:rsidRDefault="00C3759D" w:rsidP="000C44E3">
      <w:pPr>
        <w:spacing w:after="0" w:line="240" w:lineRule="auto"/>
      </w:pPr>
      <w:r>
        <w:separator/>
      </w:r>
    </w:p>
  </w:footnote>
  <w:footnote w:type="continuationSeparator" w:id="0">
    <w:p w14:paraId="176A95B4" w14:textId="77777777" w:rsidR="00C3759D" w:rsidRDefault="00C3759D" w:rsidP="000C4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4426F"/>
    <w:multiLevelType w:val="hybridMultilevel"/>
    <w:tmpl w:val="DF40417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265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3F"/>
    <w:rsid w:val="000C44E3"/>
    <w:rsid w:val="0012053F"/>
    <w:rsid w:val="001654B5"/>
    <w:rsid w:val="00243CB4"/>
    <w:rsid w:val="004E0D09"/>
    <w:rsid w:val="007152E7"/>
    <w:rsid w:val="007440F4"/>
    <w:rsid w:val="00A724C4"/>
    <w:rsid w:val="00C3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D8388"/>
  <w15:chartTrackingRefBased/>
  <w15:docId w15:val="{CB05B3BA-3736-4426-93FD-7A84C40C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205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205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205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205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205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205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205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205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205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205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205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205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205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205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205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205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205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205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205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205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205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205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205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205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205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205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205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205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2053F"/>
    <w:rPr>
      <w:b/>
      <w:bCs/>
      <w:smallCaps/>
      <w:color w:val="0F4761" w:themeColor="accent1" w:themeShade="BF"/>
      <w:spacing w:val="5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C44E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0C44E3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0C44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A1BAFE-65B8-45E7-8158-F443493009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1BF213-1B39-4BD0-9432-BE489876731C}"/>
</file>

<file path=customXml/itemProps3.xml><?xml version="1.0" encoding="utf-8"?>
<ds:datastoreItem xmlns:ds="http://schemas.openxmlformats.org/officeDocument/2006/customXml" ds:itemID="{C7362EB0-3795-4651-A658-103489B48AB2}"/>
</file>

<file path=customXml/itemProps4.xml><?xml version="1.0" encoding="utf-8"?>
<ds:datastoreItem xmlns:ds="http://schemas.openxmlformats.org/officeDocument/2006/customXml" ds:itemID="{37F521D6-81BF-45FE-B878-7644A586CF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476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Monica Alejandra Caicedo Guerrero</cp:lastModifiedBy>
  <cp:revision>5</cp:revision>
  <dcterms:created xsi:type="dcterms:W3CDTF">2026-02-05T17:00:00Z</dcterms:created>
  <dcterms:modified xsi:type="dcterms:W3CDTF">2026-02-05T17:04:00Z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