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2FB74" w14:textId="3401C616" w:rsidR="00AE3D44" w:rsidRPr="00AE3D44" w:rsidRDefault="00AE3D44" w:rsidP="00AE3D44">
      <w:pPr>
        <w:jc w:val="center"/>
        <w:rPr>
          <w:rFonts w:ascii="Verdana" w:hAnsi="Verdana"/>
          <w:b/>
          <w:bCs/>
          <w:sz w:val="22"/>
          <w:szCs w:val="22"/>
          <w:lang w:val="es-ES"/>
        </w:rPr>
      </w:pPr>
      <w:r w:rsidRPr="00AE3D44">
        <w:rPr>
          <w:rFonts w:ascii="Verdana" w:hAnsi="Verdana"/>
          <w:b/>
          <w:bCs/>
          <w:sz w:val="22"/>
          <w:szCs w:val="22"/>
          <w:lang w:val="es-ES"/>
        </w:rPr>
        <w:t>CIRCULAR 5 DE 2026</w:t>
      </w:r>
    </w:p>
    <w:p w14:paraId="308E4CEB" w14:textId="3CD4DB18" w:rsidR="00AE3D44" w:rsidRDefault="00AE3D44" w:rsidP="00AE3D44">
      <w:pPr>
        <w:jc w:val="center"/>
        <w:rPr>
          <w:rFonts w:ascii="Verdana" w:hAnsi="Verdana"/>
          <w:sz w:val="22"/>
          <w:szCs w:val="22"/>
          <w:lang w:val="es-ES"/>
        </w:rPr>
      </w:pPr>
      <w:r>
        <w:rPr>
          <w:rFonts w:ascii="Verdana" w:hAnsi="Verdana"/>
          <w:sz w:val="22"/>
          <w:szCs w:val="22"/>
          <w:lang w:val="es-ES"/>
        </w:rPr>
        <w:t>(6 de agosto)</w:t>
      </w:r>
    </w:p>
    <w:p w14:paraId="2D71ECE4" w14:textId="087F5858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 xml:space="preserve">Para: </w:t>
      </w:r>
      <w:r w:rsidRPr="00AE3D44">
        <w:rPr>
          <w:rFonts w:ascii="Verdana" w:hAnsi="Verdana"/>
          <w:sz w:val="22"/>
          <w:szCs w:val="22"/>
        </w:rPr>
        <w:t xml:space="preserve">DIRECTORES, SUBDIRECTORES Y JEFES DE OFICINA DE LA DIRECCIÓN GENERAL, DIRECTORES REGIONALES, COORDINADORES JURÍDICOS, COORDINADORES DE CENTROS ZONALES Y DEFENSORES DE FAMILIA. </w:t>
      </w:r>
    </w:p>
    <w:p w14:paraId="423776D2" w14:textId="0699B5CE" w:rsid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 xml:space="preserve">Asunto: </w:t>
      </w:r>
      <w:r w:rsidRPr="00AE3D44">
        <w:rPr>
          <w:rFonts w:ascii="Verdana" w:hAnsi="Verdana"/>
          <w:sz w:val="22"/>
          <w:szCs w:val="22"/>
        </w:rPr>
        <w:t xml:space="preserve">Socialización e implementación del Capítulo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 de la Política Nacional de Infancia y Adolescencia 2018-2030 (Ley 2328 de 2023).</w:t>
      </w:r>
    </w:p>
    <w:p w14:paraId="24C96377" w14:textId="77777777" w:rsidR="00AE3D44" w:rsidRDefault="00AE3D44" w:rsidP="00AE3D44">
      <w:pPr>
        <w:jc w:val="both"/>
        <w:rPr>
          <w:rFonts w:ascii="Verdana" w:hAnsi="Verdana"/>
          <w:sz w:val="22"/>
          <w:szCs w:val="22"/>
        </w:rPr>
      </w:pPr>
    </w:p>
    <w:p w14:paraId="04B66A87" w14:textId="54B27843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sz w:val="22"/>
          <w:szCs w:val="22"/>
        </w:rPr>
        <w:t xml:space="preserve">Con el ánimo de aportar al cierre de brechas y avanzar en la inclusión social, económica y cultural de las comunidades étnicas, el Plan Nacional de Desarrollo 2022-2026 “Colombia Potencia Mundial de la Vida” incluyó compromisos acordados en el marco de los acuerdos de consulta previa, asignando al ICBF como entidad responsable de orientar, definir y establecer acciones para lograr la protección integral y una atención con enfoque diferencial para la niñez de los pueblos y comunidades étnicas, de conformidad con los instrumentos normativos que le confieren la protección integral y la garantía de derechos de niñas, niños, adolescentes, jóvenes y sus familias, así como las disposiciones que demarcan su competencia, señaladas en la Ley 75 de 19681, la Ley 7 de 1979 (reglamentada por el Decreto 2388 de 1979), la Ley 1098 de 20062 (modificada por la Ley 1878 de 2018 y reglamentada parcialmente por el Decreto 936 de 20133, compilado por el Decreto 1084 de 2015), y la estructura del Instituto definida en el Decreto 1430 de 20254. </w:t>
      </w:r>
    </w:p>
    <w:p w14:paraId="652177B6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sz w:val="22"/>
          <w:szCs w:val="22"/>
        </w:rPr>
        <w:t xml:space="preserve">Por lo anterior y en particular con el Pueblo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 o Gitano de Colombia se suscribió el acuerdo RT3-44 orientado a la formulación e implementación concertada del capítulo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 de la Política Nacional de Infancia y Adolescencia. </w:t>
      </w:r>
    </w:p>
    <w:p w14:paraId="2DAF17CC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sz w:val="22"/>
          <w:szCs w:val="22"/>
        </w:rPr>
        <w:t xml:space="preserve">El proceso de formulación de la política del capítulo del pueblo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 se realiza conforme al bloque de constitucionalidad, en materia de participación, con los grupos étnicos conforme al Convenio 169 de la OIT aprobado mediante Ley 21 de 1991; así,</w:t>
      </w:r>
      <w:r>
        <w:rPr>
          <w:rFonts w:ascii="Verdana" w:hAnsi="Verdana"/>
          <w:sz w:val="22"/>
          <w:szCs w:val="22"/>
        </w:rPr>
        <w:t xml:space="preserve"> </w:t>
      </w:r>
      <w:r w:rsidRPr="00AE3D44">
        <w:rPr>
          <w:rFonts w:ascii="Verdana" w:hAnsi="Verdana"/>
          <w:sz w:val="22"/>
          <w:szCs w:val="22"/>
        </w:rPr>
        <w:t xml:space="preserve">el proceso de formulación garantizó durante todo el ciclo de política su participación para la inclusión del enfoque diferencial étnico conforme con su cosmovisión, sus usos, costumbres y gobierno propio en armonía con el </w:t>
      </w:r>
      <w:proofErr w:type="spellStart"/>
      <w:r w:rsidRPr="00AE3D44">
        <w:rPr>
          <w:rFonts w:ascii="Verdana" w:hAnsi="Verdana"/>
          <w:i/>
          <w:iCs/>
          <w:sz w:val="22"/>
          <w:szCs w:val="22"/>
        </w:rPr>
        <w:t>zakono</w:t>
      </w:r>
      <w:proofErr w:type="spellEnd"/>
      <w:r w:rsidRPr="00AE3D44">
        <w:rPr>
          <w:rFonts w:ascii="Verdana" w:hAnsi="Verdana"/>
          <w:i/>
          <w:iCs/>
          <w:sz w:val="22"/>
          <w:szCs w:val="22"/>
        </w:rPr>
        <w:t xml:space="preserve"> romanó </w:t>
      </w:r>
      <w:r w:rsidRPr="00AE3D44">
        <w:rPr>
          <w:rFonts w:ascii="Verdana" w:hAnsi="Verdana"/>
          <w:sz w:val="22"/>
          <w:szCs w:val="22"/>
        </w:rPr>
        <w:t xml:space="preserve">como sistema cultural, normativo, ético, pedagógico y organizativo propio del pueblo gitano. </w:t>
      </w:r>
    </w:p>
    <w:p w14:paraId="3130AC46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sz w:val="22"/>
          <w:szCs w:val="22"/>
        </w:rPr>
        <w:t xml:space="preserve">Posterior a la formulación y protocolización del capítulo, ocurrida el 11 y 12 de diciembre de 2025 entre el gobierno de Colombia y las autoridades de la Comisión Nacional de Diálogo del Pueblo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, se estableció un marco de acción compuesto por objetivos, líneas estratégicas, acciones, metas, y </w:t>
      </w:r>
      <w:r w:rsidRPr="00AE3D44">
        <w:rPr>
          <w:rFonts w:ascii="Verdana" w:hAnsi="Verdana"/>
          <w:sz w:val="22"/>
          <w:szCs w:val="22"/>
        </w:rPr>
        <w:lastRenderedPageBreak/>
        <w:t xml:space="preserve">responsabilidades institucionales orientados a garantizar el goce efectivo de los derechos de niñas, niños y adolescentes del Pueblo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. </w:t>
      </w:r>
    </w:p>
    <w:p w14:paraId="334DD7FE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sz w:val="22"/>
          <w:szCs w:val="22"/>
        </w:rPr>
        <w:t xml:space="preserve">Por lo anterior, el ICBF publica la presente Circular la cual tiene por objeto impartir orientaciones internas a las dependencias de la sede de la Dirección General, Subdirección General, Direcciones Regionales, Centros Zonales y Defensorías de Familia para la incorporación progresiva, transversal y con pertinencia territorial de acciones que permitan la implementación de los compromisos establecidos en el Capítulo protocolizado, dentro de las competencias, procesos, servicios, instrumentos de planeación y mecanismos de articulación del ICBF en coordinación con el Sistema Nacional de Bienestar Familiar- SNBF. </w:t>
      </w:r>
    </w:p>
    <w:p w14:paraId="4C63E797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sz w:val="22"/>
          <w:szCs w:val="22"/>
        </w:rPr>
        <w:t xml:space="preserve">Así mismo y con el fin de garantizar una materialización efectiva de los compromisos establecidos en el Capítulo Étnico </w:t>
      </w:r>
      <w:proofErr w:type="spellStart"/>
      <w:r w:rsidRPr="00AE3D44">
        <w:rPr>
          <w:rFonts w:ascii="Verdana" w:hAnsi="Verdana"/>
          <w:i/>
          <w:iCs/>
          <w:sz w:val="22"/>
          <w:szCs w:val="22"/>
        </w:rPr>
        <w:t>Rrom</w:t>
      </w:r>
      <w:proofErr w:type="spellEnd"/>
      <w:r w:rsidRPr="00AE3D44">
        <w:rPr>
          <w:rFonts w:ascii="Verdana" w:hAnsi="Verdana"/>
          <w:i/>
          <w:iCs/>
          <w:sz w:val="22"/>
          <w:szCs w:val="22"/>
        </w:rPr>
        <w:t xml:space="preserve"> de la Política Nacional de Infancia y Adolescencia 2018 - 2030 </w:t>
      </w:r>
      <w:r w:rsidRPr="00AE3D44">
        <w:rPr>
          <w:rFonts w:ascii="Verdana" w:hAnsi="Verdana"/>
          <w:sz w:val="22"/>
          <w:szCs w:val="22"/>
        </w:rPr>
        <w:t xml:space="preserve">de forma armonizada y acorde a la misionalidad del ICBF, se establecen las siguientes orientaciones, las cuales deberán ser tenidas en cuenta: </w:t>
      </w:r>
    </w:p>
    <w:p w14:paraId="2FB86E2A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 xml:space="preserve">1. El ICBF como rector del Sistema Nacional de Bienestar Familiar </w:t>
      </w:r>
      <w:r w:rsidRPr="00AE3D44">
        <w:rPr>
          <w:rFonts w:ascii="Verdana" w:hAnsi="Verdana"/>
          <w:sz w:val="22"/>
          <w:szCs w:val="22"/>
        </w:rPr>
        <w:t xml:space="preserve">deberá hacer las gestiones necesarias con los sectores involucrados del nivel nacional, las instancias regionales, las entidades territoriales y las autoridades del Pueblo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 para garantizar la formulación, aprobación e implementación del plan de acción intersectorial, transectorial y territorial del capítulo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 de la Política Nacional de Infancia y Adolescencia 2018-2030. </w:t>
      </w:r>
    </w:p>
    <w:p w14:paraId="3BFFAB9A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>2</w:t>
      </w:r>
      <w:r w:rsidRPr="00AE3D44">
        <w:rPr>
          <w:rFonts w:ascii="Verdana" w:hAnsi="Verdana"/>
          <w:sz w:val="22"/>
          <w:szCs w:val="22"/>
        </w:rPr>
        <w:t xml:space="preserve">. </w:t>
      </w:r>
      <w:r w:rsidRPr="00AE3D44">
        <w:rPr>
          <w:rFonts w:ascii="Verdana" w:hAnsi="Verdana"/>
          <w:b/>
          <w:bCs/>
          <w:sz w:val="22"/>
          <w:szCs w:val="22"/>
        </w:rPr>
        <w:t xml:space="preserve">Garantizar la materialización efectiva </w:t>
      </w:r>
      <w:r w:rsidRPr="00AE3D44">
        <w:rPr>
          <w:rFonts w:ascii="Verdana" w:hAnsi="Verdana"/>
          <w:sz w:val="22"/>
          <w:szCs w:val="22"/>
        </w:rPr>
        <w:t xml:space="preserve">del Capítulo Étnico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 de la Política Nacional de Infancia y Adolescencia, mediante su incorporación</w:t>
      </w:r>
      <w:r>
        <w:rPr>
          <w:rFonts w:ascii="Verdana" w:hAnsi="Verdana"/>
          <w:sz w:val="22"/>
          <w:szCs w:val="22"/>
        </w:rPr>
        <w:t xml:space="preserve"> </w:t>
      </w:r>
      <w:r w:rsidRPr="00AE3D44">
        <w:rPr>
          <w:rFonts w:ascii="Verdana" w:hAnsi="Verdana"/>
          <w:sz w:val="22"/>
          <w:szCs w:val="22"/>
        </w:rPr>
        <w:t xml:space="preserve">transversal en los programas, planes, proyectos, estrategias, acciones y metas institucionales y aquellas definidas en el marco del SNBF, promoviendo el reconocimiento del sistema propio de cuidado, crianza, transmisión cultural y participación comunitaria como elementos esenciales para el desarrollo integral de niñas, niños y adolescentes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. </w:t>
      </w:r>
    </w:p>
    <w:p w14:paraId="5A6703B7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 xml:space="preserve">3. Construir estrategias y mecanismos de seguimiento y evaluación </w:t>
      </w:r>
      <w:r w:rsidRPr="00AE3D44">
        <w:rPr>
          <w:rFonts w:ascii="Verdana" w:hAnsi="Verdana"/>
          <w:sz w:val="22"/>
          <w:szCs w:val="22"/>
        </w:rPr>
        <w:t xml:space="preserve">de las acciones institucionales contempladas para la implementación y el cumplimiento del Capítulo Étnico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 de la Política Nacional de Infancia y Adolescencia en su nivel nacional y territorial</w:t>
      </w:r>
      <w:r w:rsidRPr="00AE3D44">
        <w:rPr>
          <w:rFonts w:ascii="Verdana" w:hAnsi="Verdana"/>
          <w:b/>
          <w:bCs/>
          <w:sz w:val="22"/>
          <w:szCs w:val="22"/>
        </w:rPr>
        <w:t xml:space="preserve">. </w:t>
      </w:r>
    </w:p>
    <w:p w14:paraId="3D067C57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 xml:space="preserve">4. Fortalecer acciones orientadas a la preservación y transmisión </w:t>
      </w:r>
      <w:r w:rsidRPr="00AE3D44">
        <w:rPr>
          <w:rFonts w:ascii="Verdana" w:hAnsi="Verdana"/>
          <w:sz w:val="22"/>
          <w:szCs w:val="22"/>
        </w:rPr>
        <w:t xml:space="preserve">de la identidad cultural del Pueblo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, incluyendo la promoción de la lengua </w:t>
      </w:r>
      <w:r w:rsidRPr="00AE3D44">
        <w:rPr>
          <w:rFonts w:ascii="Verdana" w:hAnsi="Verdana"/>
          <w:b/>
          <w:bCs/>
          <w:sz w:val="22"/>
          <w:szCs w:val="22"/>
        </w:rPr>
        <w:t>Shib Romaní</w:t>
      </w:r>
      <w:r w:rsidRPr="00AE3D44">
        <w:rPr>
          <w:rFonts w:ascii="Verdana" w:hAnsi="Verdana"/>
          <w:sz w:val="22"/>
          <w:szCs w:val="22"/>
        </w:rPr>
        <w:t xml:space="preserve">, los saberes ancestrales, las prácticas propias de crianza y cuidado, la participación de niñas, niños y adolescentes en espacios culturales y comunitarios, así como el reconocimiento de las personas mayores y autoridades </w:t>
      </w:r>
      <w:r w:rsidRPr="00AE3D44">
        <w:rPr>
          <w:rFonts w:ascii="Verdana" w:hAnsi="Verdana"/>
          <w:sz w:val="22"/>
          <w:szCs w:val="22"/>
        </w:rPr>
        <w:lastRenderedPageBreak/>
        <w:t xml:space="preserve">tradicionales como actores fundamentales para la garantía de derechos y la continuidad cultural del Pueblo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. </w:t>
      </w:r>
    </w:p>
    <w:p w14:paraId="3CDCEEEC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 xml:space="preserve">5. Promover la movilización social y la participación de niñas, niños y adolescentes </w:t>
      </w:r>
      <w:r w:rsidRPr="00AE3D44">
        <w:rPr>
          <w:rFonts w:ascii="Verdana" w:hAnsi="Verdana"/>
          <w:sz w:val="22"/>
          <w:szCs w:val="22"/>
        </w:rPr>
        <w:t xml:space="preserve">en escenarios pedagógicos y culturales que fortalezcan la visibilización, el reconocimiento y la identidad del Pueblo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, articulando la conmemoración del Día del Pueblo Gitano y el Día de la niña y la mujer gitana con procesos institucionales de garantía de derechos para los niños, niñas y adolescentes. </w:t>
      </w:r>
    </w:p>
    <w:p w14:paraId="02C69AFF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 xml:space="preserve">6. Identificar, prevenir y remover las barreras </w:t>
      </w:r>
      <w:r w:rsidRPr="00AE3D44">
        <w:rPr>
          <w:rFonts w:ascii="Verdana" w:hAnsi="Verdana"/>
          <w:sz w:val="22"/>
          <w:szCs w:val="22"/>
        </w:rPr>
        <w:t xml:space="preserve">administrativas, territoriales, documentales, comunicativas y socioculturales que afecten el acceso, permanencia, calidad y pertinencia de los servicios dirigidos a niñas, niños, adolescentes y familias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, así como activar las rutas institucionales frente a actos de discriminación o trato estigmatizante. </w:t>
      </w:r>
    </w:p>
    <w:p w14:paraId="6DA1B206" w14:textId="6E94ED73" w:rsid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 xml:space="preserve">7. A diciembre del 2026 el ICBF elaborará e iniciará la implementación del plan de acción </w:t>
      </w:r>
      <w:r w:rsidRPr="00AE3D44">
        <w:rPr>
          <w:rFonts w:ascii="Verdana" w:hAnsi="Verdana"/>
          <w:sz w:val="22"/>
          <w:szCs w:val="22"/>
        </w:rPr>
        <w:t xml:space="preserve">interno del capítulo </w:t>
      </w:r>
      <w:proofErr w:type="spellStart"/>
      <w:r w:rsidRPr="00AE3D44">
        <w:rPr>
          <w:rFonts w:ascii="Verdana" w:hAnsi="Verdana"/>
          <w:sz w:val="22"/>
          <w:szCs w:val="22"/>
        </w:rPr>
        <w:t>Rrom</w:t>
      </w:r>
      <w:proofErr w:type="spellEnd"/>
      <w:r w:rsidRPr="00AE3D44">
        <w:rPr>
          <w:rFonts w:ascii="Verdana" w:hAnsi="Verdana"/>
          <w:sz w:val="22"/>
          <w:szCs w:val="22"/>
        </w:rPr>
        <w:t xml:space="preserve"> de la Política Nacional de Infancia y Adolescencia de acuerdo con sus competencias. El plan de acción deberá ser</w:t>
      </w:r>
      <w:r>
        <w:rPr>
          <w:rFonts w:ascii="Verdana" w:hAnsi="Verdana"/>
          <w:sz w:val="22"/>
          <w:szCs w:val="22"/>
        </w:rPr>
        <w:t xml:space="preserve"> elaborado por las áreas misionales del ICBF en el marco de la mesa MEDD y su implementación estará a cargo de las Direcciones Regionales y sus Centros Zonales.</w:t>
      </w:r>
    </w:p>
    <w:p w14:paraId="58C5F7F8" w14:textId="5DCC583C" w:rsidR="00AE3D44" w:rsidRDefault="00AE3D44" w:rsidP="00AE3D44">
      <w:pPr>
        <w:jc w:val="both"/>
        <w:rPr>
          <w:rFonts w:ascii="Verdana" w:hAnsi="Verdana"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>8. El ICBF como ente rector del SNBF participará en la implementación territorial de las rutas de atención</w:t>
      </w:r>
      <w:r>
        <w:rPr>
          <w:rFonts w:ascii="Verdana" w:hAnsi="Verdana"/>
          <w:sz w:val="22"/>
          <w:szCs w:val="22"/>
        </w:rPr>
        <w:t xml:space="preserve"> para la niñez del Pueblo </w:t>
      </w:r>
      <w:proofErr w:type="spellStart"/>
      <w:r>
        <w:rPr>
          <w:rFonts w:ascii="Verdana" w:hAnsi="Verdana"/>
          <w:sz w:val="22"/>
          <w:szCs w:val="22"/>
        </w:rPr>
        <w:t>Rrom</w:t>
      </w:r>
      <w:proofErr w:type="spellEnd"/>
      <w:r>
        <w:rPr>
          <w:rFonts w:ascii="Verdana" w:hAnsi="Verdana"/>
          <w:sz w:val="22"/>
          <w:szCs w:val="22"/>
        </w:rPr>
        <w:t xml:space="preserve"> en cumplimiento a lo definido en el plan de acción.</w:t>
      </w:r>
    </w:p>
    <w:p w14:paraId="2AD9A1DC" w14:textId="3A3A82F3" w:rsidR="00AE3D44" w:rsidRDefault="00AE3D44" w:rsidP="00AE3D44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Finalmente, la presente Circular tiene carácter instructivo y de orientación interna, por lo cual no modifica el contenido protocolizado del Capítulo </w:t>
      </w:r>
      <w:proofErr w:type="spellStart"/>
      <w:r>
        <w:rPr>
          <w:rFonts w:ascii="Verdana" w:hAnsi="Verdana"/>
          <w:sz w:val="22"/>
          <w:szCs w:val="22"/>
        </w:rPr>
        <w:t>Étinico</w:t>
      </w:r>
      <w:proofErr w:type="spellEnd"/>
      <w:r>
        <w:rPr>
          <w:rFonts w:ascii="Verdana" w:hAnsi="Verdana"/>
          <w:sz w:val="22"/>
          <w:szCs w:val="22"/>
        </w:rPr>
        <w:t xml:space="preserve"> </w:t>
      </w:r>
      <w:proofErr w:type="spellStart"/>
      <w:r>
        <w:rPr>
          <w:rFonts w:ascii="Verdana" w:hAnsi="Verdana"/>
          <w:sz w:val="22"/>
          <w:szCs w:val="22"/>
        </w:rPr>
        <w:t>Rrom</w:t>
      </w:r>
      <w:proofErr w:type="spellEnd"/>
      <w:r>
        <w:rPr>
          <w:rFonts w:ascii="Verdana" w:hAnsi="Verdana"/>
          <w:sz w:val="22"/>
          <w:szCs w:val="22"/>
        </w:rPr>
        <w:t>, no sustituye las competencias atribuidas a otras entidades del SNBF, ni exime la obligatoriedad en la formulación del plan de acción intersectorial y territorial. Tampoco limitan o condicionan la autonomía de las organizaciones administrativas en la adopción de decisiones en casos concretos.</w:t>
      </w:r>
    </w:p>
    <w:p w14:paraId="3488D01B" w14:textId="77777777" w:rsidR="00AE3D44" w:rsidRDefault="00AE3D44" w:rsidP="00AE3D44">
      <w:pPr>
        <w:jc w:val="both"/>
        <w:rPr>
          <w:rFonts w:ascii="Verdana" w:hAnsi="Verdana"/>
          <w:sz w:val="22"/>
          <w:szCs w:val="22"/>
        </w:rPr>
      </w:pPr>
    </w:p>
    <w:p w14:paraId="610ECC53" w14:textId="0A558BB2" w:rsidR="00AE3D44" w:rsidRDefault="00AE3D44" w:rsidP="00AE3D44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Cordialmente,</w:t>
      </w:r>
    </w:p>
    <w:p w14:paraId="4CC4DE97" w14:textId="77777777" w:rsidR="00AE3D44" w:rsidRDefault="00AE3D44" w:rsidP="00AE3D44">
      <w:pPr>
        <w:jc w:val="both"/>
        <w:rPr>
          <w:rFonts w:ascii="Verdana" w:hAnsi="Verdana"/>
          <w:sz w:val="22"/>
          <w:szCs w:val="22"/>
        </w:rPr>
      </w:pPr>
    </w:p>
    <w:p w14:paraId="7E1781E1" w14:textId="5D38174F" w:rsidR="00AE3D44" w:rsidRPr="00AE3D44" w:rsidRDefault="00AE3D44" w:rsidP="00AE3D44">
      <w:pPr>
        <w:jc w:val="center"/>
        <w:rPr>
          <w:rFonts w:ascii="Verdana" w:hAnsi="Verdana"/>
          <w:b/>
          <w:bCs/>
          <w:sz w:val="22"/>
          <w:szCs w:val="22"/>
        </w:rPr>
      </w:pPr>
      <w:r w:rsidRPr="00AE3D44">
        <w:rPr>
          <w:rFonts w:ascii="Verdana" w:hAnsi="Verdana"/>
          <w:b/>
          <w:bCs/>
          <w:sz w:val="22"/>
          <w:szCs w:val="22"/>
        </w:rPr>
        <w:t>ASTRID ELIANA CÁCERES CÁRDENAS</w:t>
      </w:r>
    </w:p>
    <w:p w14:paraId="630A3E9A" w14:textId="6B22A701" w:rsidR="00AE3D44" w:rsidRDefault="00AE3D44" w:rsidP="00AE3D44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Directora General</w:t>
      </w:r>
    </w:p>
    <w:p w14:paraId="2D194FED" w14:textId="13E49E92" w:rsidR="00AE3D44" w:rsidRPr="00AE3D44" w:rsidRDefault="00AE3D44" w:rsidP="00AE3D44">
      <w:pPr>
        <w:jc w:val="both"/>
        <w:rPr>
          <w:rFonts w:ascii="Verdana" w:hAnsi="Verdana"/>
          <w:sz w:val="18"/>
          <w:szCs w:val="18"/>
          <w:lang w:val="pt-PT"/>
        </w:rPr>
      </w:pPr>
      <w:r w:rsidRPr="00AE3D44">
        <w:rPr>
          <w:rFonts w:ascii="Verdana" w:hAnsi="Verdana"/>
          <w:sz w:val="18"/>
          <w:szCs w:val="18"/>
          <w:lang w:val="pt-PT"/>
        </w:rPr>
        <w:t>Anexo: Capítulo Étnico Rrom de la Política Nacional de Infancia y Adolescencia 2018-2030</w:t>
      </w:r>
    </w:p>
    <w:p w14:paraId="2D5694EB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  <w:lang w:val="pt-PT"/>
        </w:rPr>
      </w:pPr>
    </w:p>
    <w:p w14:paraId="0B023050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  <w:lang w:val="pt-PT"/>
        </w:rPr>
      </w:pPr>
    </w:p>
    <w:p w14:paraId="32A87A0B" w14:textId="210F1C04" w:rsidR="00AE3D44" w:rsidRPr="00AE3D44" w:rsidRDefault="00AE3D44" w:rsidP="00AE3D44">
      <w:pPr>
        <w:jc w:val="both"/>
        <w:rPr>
          <w:rFonts w:ascii="Verdana" w:hAnsi="Verdana"/>
          <w:b/>
          <w:bCs/>
          <w:sz w:val="22"/>
          <w:szCs w:val="22"/>
          <w:lang w:val="pt-PT"/>
        </w:rPr>
      </w:pPr>
    </w:p>
    <w:p w14:paraId="6BBE92A3" w14:textId="77777777" w:rsidR="00AE3D44" w:rsidRPr="00AE3D44" w:rsidRDefault="00AE3D44" w:rsidP="00AE3D44">
      <w:pPr>
        <w:jc w:val="both"/>
        <w:rPr>
          <w:rFonts w:ascii="Verdana" w:hAnsi="Verdana"/>
          <w:sz w:val="22"/>
          <w:szCs w:val="22"/>
          <w:lang w:val="pt-PT"/>
        </w:rPr>
      </w:pPr>
    </w:p>
    <w:sectPr w:rsidR="00AE3D44" w:rsidRPr="00AE3D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44"/>
    <w:rsid w:val="007A0E37"/>
    <w:rsid w:val="00AE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34285"/>
  <w15:chartTrackingRefBased/>
  <w15:docId w15:val="{C9B405D4-13AB-493D-85A9-45752B2D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3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3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3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3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3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3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3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3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3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3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3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3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3D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3D4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3D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3D4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3D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3D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3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3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3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3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3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3D4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3D4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3D4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3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3D4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3D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1112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Eduardo Lozano Bocanegra</dc:creator>
  <cp:keywords/>
  <dc:description/>
  <cp:lastModifiedBy>Daniel Eduardo Lozano Bocanegra</cp:lastModifiedBy>
  <cp:revision>1</cp:revision>
  <dcterms:created xsi:type="dcterms:W3CDTF">2026-09-10T20:17:00Z</dcterms:created>
  <dcterms:modified xsi:type="dcterms:W3CDTF">2026-09-10T20:25:00Z</dcterms:modified>
</cp:coreProperties>
</file>