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AE64" w14:textId="349E3839" w:rsidR="00A210D2" w:rsidRPr="00A210D2" w:rsidRDefault="00A210D2" w:rsidP="00A210D2">
      <w:pPr>
        <w:jc w:val="center"/>
        <w:rPr>
          <w:rFonts w:ascii="Verdana" w:hAnsi="Verdana"/>
          <w:b/>
          <w:bCs/>
        </w:rPr>
      </w:pPr>
      <w:r w:rsidRPr="00A210D2">
        <w:rPr>
          <w:rFonts w:ascii="Verdana" w:hAnsi="Verdana"/>
          <w:b/>
          <w:bCs/>
        </w:rPr>
        <w:t>CIRCULAR 4 DE 2009</w:t>
      </w:r>
    </w:p>
    <w:p w14:paraId="6425DADD" w14:textId="5F384110" w:rsidR="00A210D2" w:rsidRPr="00A210D2" w:rsidRDefault="00A210D2" w:rsidP="00A210D2">
      <w:pPr>
        <w:jc w:val="center"/>
        <w:rPr>
          <w:rFonts w:ascii="Verdana" w:hAnsi="Verdana"/>
          <w:b/>
          <w:bCs/>
        </w:rPr>
      </w:pPr>
      <w:r>
        <w:rPr>
          <w:rFonts w:ascii="Verdana" w:hAnsi="Verdana"/>
          <w:b/>
          <w:bCs/>
        </w:rPr>
        <w:t>(</w:t>
      </w:r>
      <w:r w:rsidRPr="00A210D2">
        <w:rPr>
          <w:rFonts w:ascii="Verdana" w:hAnsi="Verdana"/>
          <w:b/>
          <w:bCs/>
        </w:rPr>
        <w:t xml:space="preserve">30 </w:t>
      </w:r>
      <w:r>
        <w:rPr>
          <w:rFonts w:ascii="Verdana" w:hAnsi="Verdana"/>
          <w:b/>
          <w:bCs/>
        </w:rPr>
        <w:t xml:space="preserve">de </w:t>
      </w:r>
      <w:r w:rsidRPr="00A210D2">
        <w:rPr>
          <w:rFonts w:ascii="Verdana" w:hAnsi="Verdana"/>
          <w:b/>
          <w:bCs/>
        </w:rPr>
        <w:t>enero</w:t>
      </w:r>
      <w:r>
        <w:rPr>
          <w:rFonts w:ascii="Verdana" w:hAnsi="Verdana"/>
          <w:b/>
          <w:bCs/>
        </w:rPr>
        <w:t>)</w:t>
      </w:r>
    </w:p>
    <w:p w14:paraId="07DA1851" w14:textId="0C24E319" w:rsidR="00A210D2" w:rsidRPr="00A210D2" w:rsidRDefault="00A210D2" w:rsidP="00A210D2">
      <w:pPr>
        <w:jc w:val="center"/>
        <w:rPr>
          <w:rFonts w:ascii="Verdana" w:hAnsi="Verdana"/>
          <w:b/>
          <w:bCs/>
        </w:rPr>
      </w:pPr>
      <w:r w:rsidRPr="00A210D2">
        <w:rPr>
          <w:rFonts w:ascii="Verdana" w:hAnsi="Verdana"/>
          <w:b/>
          <w:bCs/>
        </w:rPr>
        <w:t>INSTITUTO COLOMBIANO DE BIENESTAR FAMILIAR - ICBF</w:t>
      </w:r>
    </w:p>
    <w:p w14:paraId="54E39618" w14:textId="2FABE3C9" w:rsidR="00A210D2" w:rsidRPr="00A210D2" w:rsidRDefault="00A210D2" w:rsidP="00A210D2">
      <w:pPr>
        <w:jc w:val="both"/>
        <w:rPr>
          <w:rFonts w:ascii="Verdana" w:hAnsi="Verdana"/>
        </w:rPr>
      </w:pPr>
      <w:r w:rsidRPr="00A210D2">
        <w:rPr>
          <w:rFonts w:ascii="Verdana" w:hAnsi="Verdana"/>
        </w:rPr>
        <w:t>Para:</w:t>
      </w:r>
      <w:r w:rsidRPr="00A210D2">
        <w:rPr>
          <w:rFonts w:ascii="Verdana" w:hAnsi="Verdana"/>
        </w:rPr>
        <w:tab/>
        <w:t>Defensores   De   Familia,</w:t>
      </w:r>
      <w:r>
        <w:rPr>
          <w:rFonts w:ascii="Verdana" w:hAnsi="Verdana"/>
        </w:rPr>
        <w:t xml:space="preserve"> </w:t>
      </w:r>
      <w:r w:rsidRPr="00A210D2">
        <w:rPr>
          <w:rFonts w:ascii="Verdana" w:hAnsi="Verdana"/>
        </w:rPr>
        <w:t>Comisarios   De    Familia   E Inspectores De Policía.</w:t>
      </w:r>
    </w:p>
    <w:p w14:paraId="3A01F92D" w14:textId="61BC220A" w:rsidR="00A210D2" w:rsidRPr="00A210D2" w:rsidRDefault="00A210D2" w:rsidP="00A210D2">
      <w:pPr>
        <w:jc w:val="both"/>
        <w:rPr>
          <w:rFonts w:ascii="Verdana" w:hAnsi="Verdana"/>
        </w:rPr>
      </w:pPr>
      <w:r w:rsidRPr="00A210D2">
        <w:rPr>
          <w:rFonts w:ascii="Verdana" w:hAnsi="Verdana"/>
        </w:rPr>
        <w:t>Asunto:</w:t>
      </w:r>
      <w:r>
        <w:rPr>
          <w:rFonts w:ascii="Verdana" w:hAnsi="Verdana"/>
        </w:rPr>
        <w:t xml:space="preserve"> </w:t>
      </w:r>
      <w:r w:rsidRPr="00A210D2">
        <w:rPr>
          <w:rFonts w:ascii="Verdana" w:hAnsi="Verdana"/>
        </w:rPr>
        <w:t>Medidas De Protección Para Los Niños, Niñas Y Adolescentes En Relación Con La Utilización De Pólvora.</w:t>
      </w:r>
    </w:p>
    <w:p w14:paraId="1F469194" w14:textId="4F83E04E" w:rsidR="00A210D2" w:rsidRPr="00A210D2" w:rsidRDefault="00A210D2" w:rsidP="00A210D2">
      <w:pPr>
        <w:jc w:val="both"/>
        <w:rPr>
          <w:rFonts w:ascii="Verdana" w:hAnsi="Verdana"/>
        </w:rPr>
      </w:pPr>
      <w:r w:rsidRPr="00A210D2">
        <w:rPr>
          <w:rFonts w:ascii="Verdana" w:hAnsi="Verdana"/>
        </w:rPr>
        <w:t>En cumplimiento de lo previsto en el Código de la Infancia y de la Adolescencia</w:t>
      </w:r>
      <w:r>
        <w:rPr>
          <w:rFonts w:ascii="Verdana" w:hAnsi="Verdana"/>
        </w:rPr>
        <w:t xml:space="preserve"> </w:t>
      </w:r>
      <w:r w:rsidRPr="00A210D2">
        <w:rPr>
          <w:rFonts w:ascii="Verdana" w:hAnsi="Verdana"/>
        </w:rPr>
        <w:t>[1] en cuanto al  mandato de protección integral,[2] esta  Dirección emite la siguiente circular:</w:t>
      </w:r>
    </w:p>
    <w:p w14:paraId="7F53FBE0" w14:textId="0A4EB1CF" w:rsidR="00A210D2" w:rsidRPr="00A210D2" w:rsidRDefault="00A210D2" w:rsidP="00A210D2">
      <w:pPr>
        <w:jc w:val="both"/>
        <w:rPr>
          <w:rFonts w:ascii="Verdana" w:hAnsi="Verdana"/>
        </w:rPr>
      </w:pPr>
      <w:r w:rsidRPr="00A210D2">
        <w:rPr>
          <w:rFonts w:ascii="Verdana" w:hAnsi="Verdana"/>
        </w:rPr>
        <w:t>EN CONSIDERACIÓN A QUE:</w:t>
      </w:r>
    </w:p>
    <w:p w14:paraId="221AC7CB" w14:textId="0807F6B1" w:rsidR="00A210D2" w:rsidRPr="00A210D2" w:rsidRDefault="00A210D2" w:rsidP="00A210D2">
      <w:pPr>
        <w:jc w:val="both"/>
        <w:rPr>
          <w:rFonts w:ascii="Verdana" w:hAnsi="Verdana"/>
        </w:rPr>
      </w:pPr>
      <w:r w:rsidRPr="00A210D2">
        <w:rPr>
          <w:rFonts w:ascii="Verdana" w:hAnsi="Verdana"/>
        </w:rPr>
        <w:t>1) La Constitución Política en su artículo 44 consagra como derechos fundamentales de los niños, niñas y adolescentes a la vida, la integridad física y la salud, y establece la corresponsabilidad entre el Estado, la Sociedad y la Familia para garantizar su ejercicio. Así mismo las leyes 7 de 1979 y 1098 de 2006 disponen que el instituto Colombiano de Bienestar Familiar tiene la condición de ente rector, articulador y coordinador general del Sistema Nacional de Bienestar Familiar.</w:t>
      </w:r>
    </w:p>
    <w:p w14:paraId="658CFB67" w14:textId="348FA963" w:rsidR="00A210D2" w:rsidRPr="00A210D2" w:rsidRDefault="00A210D2" w:rsidP="00A210D2">
      <w:pPr>
        <w:jc w:val="both"/>
        <w:rPr>
          <w:rFonts w:ascii="Verdana" w:hAnsi="Verdana"/>
        </w:rPr>
      </w:pPr>
      <w:r w:rsidRPr="00A210D2">
        <w:rPr>
          <w:rFonts w:ascii="Verdana" w:hAnsi="Verdana"/>
        </w:rPr>
        <w:t>2) La Ley 670 de 2001, en su artículo 7 y el Decreto Reglamentario 4481 de 2006, en el artículo 2, establecieron la prohibición de distribución y venta de artículos pirotécnicos o fuegos artificiales y globos a menores de edad y a personas en estado de embriaguez, y señalaron que en el caso de encontrar a un menor de edad manipulando, portando o usando inadecuadamente dichos elementos, le serán decomisados y será conducido el menor de edad ante el Defensor de Familia quien determinará las medidas de protección a adoptar.</w:t>
      </w:r>
    </w:p>
    <w:p w14:paraId="402FEB3F" w14:textId="06620094" w:rsidR="00A210D2" w:rsidRPr="00A210D2" w:rsidRDefault="00A210D2" w:rsidP="00A210D2">
      <w:pPr>
        <w:jc w:val="both"/>
        <w:rPr>
          <w:rFonts w:ascii="Verdana" w:hAnsi="Verdana"/>
        </w:rPr>
      </w:pPr>
      <w:r w:rsidRPr="00A210D2">
        <w:rPr>
          <w:rFonts w:ascii="Verdana" w:hAnsi="Verdana"/>
        </w:rPr>
        <w:t>3) La Corte Constitucional ha reiterado que las autoridades administrativas encargadas de determinar el alcance del interés superior de los niños, niñas y adolescentes cuentan con un margen de discrecionalidad importante para evaluar, en aplicación de las disposiciones legales, cual es la solución que mejor satisface dicho interés, lo cual implica, también que éstas autoridades tienen deberes constitucionales y legales, en relación con la preservación del bienestar integral de los menores de edad que requieren su protección.[3]</w:t>
      </w:r>
    </w:p>
    <w:p w14:paraId="5EBD7AD3" w14:textId="78BCD76C" w:rsidR="00A210D2" w:rsidRPr="00A210D2" w:rsidRDefault="00A210D2" w:rsidP="00A210D2">
      <w:pPr>
        <w:jc w:val="both"/>
        <w:rPr>
          <w:rFonts w:ascii="Verdana" w:hAnsi="Verdana"/>
        </w:rPr>
      </w:pPr>
      <w:r w:rsidRPr="00A210D2">
        <w:rPr>
          <w:rFonts w:ascii="Verdana" w:hAnsi="Verdana"/>
        </w:rPr>
        <w:t>CIRCULAR:</w:t>
      </w:r>
    </w:p>
    <w:p w14:paraId="612A4738" w14:textId="7FA14A22" w:rsidR="00A210D2" w:rsidRPr="00A210D2" w:rsidRDefault="00A210D2" w:rsidP="00A210D2">
      <w:pPr>
        <w:jc w:val="both"/>
        <w:rPr>
          <w:rFonts w:ascii="Verdana" w:hAnsi="Verdana"/>
        </w:rPr>
      </w:pPr>
      <w:r w:rsidRPr="00A210D2">
        <w:rPr>
          <w:rFonts w:ascii="Verdana" w:hAnsi="Verdana"/>
        </w:rPr>
        <w:t xml:space="preserve">1) Corresponde al Defensor de Familia, al Comisario de Familia o al Inspector de Policía que primero conozca, por denuncia o de oficio, la inobservancia, vulneración o desconocimiento de la integridad física y la salud de los niños, niñas y adolescentes, por causa de la distribución, venta y uso de artículos pirotécnicos, fuegos artificiales y globos; adelantar el proceso administrativo de restablecimiento de derechos que regula la Ley 1098 de 2006, en donde están </w:t>
      </w:r>
      <w:r w:rsidRPr="00A210D2">
        <w:rPr>
          <w:rFonts w:ascii="Verdana" w:hAnsi="Verdana"/>
        </w:rPr>
        <w:lastRenderedPageBreak/>
        <w:t>previstas las medidas que la autoridad competente deberá adoptar y que van desde la amonestación hasta la pérdida de la patria potestad,[4] sin perjuicio de las medidas o sanciones que prevé la Ley 670 de 2001 y el Decreto 4481 de 2006 por parte de las autoridades competentes.</w:t>
      </w:r>
    </w:p>
    <w:p w14:paraId="1399165E" w14:textId="69A5FCF3" w:rsidR="00A210D2" w:rsidRPr="00A210D2" w:rsidRDefault="00A210D2" w:rsidP="00A210D2">
      <w:pPr>
        <w:jc w:val="both"/>
        <w:rPr>
          <w:rFonts w:ascii="Verdana" w:hAnsi="Verdana"/>
        </w:rPr>
      </w:pPr>
      <w:r w:rsidRPr="00A210D2">
        <w:rPr>
          <w:rFonts w:ascii="Verdana" w:hAnsi="Verdana"/>
        </w:rPr>
        <w:t>2) Igualmente, los Defensores de Familia, los Comisarios de Familia o los Inspectores de Policía que conozcan los hechos, promoverán las acciones judiciales a que haya lugar, especialmente las denuncias penales por lesiones personales ante las autoridades competentes por la imprevisión por parte de los representantes legales o cuidadores de las consecuencias nocivas o por confiar imprudentemente en poder evitarlas, de los niños, niñas o adolescentes que resulten quemados por el uso de pólvora, actividad peligrosa y prohibida para éstos.</w:t>
      </w:r>
    </w:p>
    <w:p w14:paraId="4339B35D" w14:textId="1FE5E732" w:rsidR="00A210D2" w:rsidRPr="00A210D2" w:rsidRDefault="00A210D2" w:rsidP="00A210D2">
      <w:pPr>
        <w:jc w:val="both"/>
        <w:rPr>
          <w:rFonts w:ascii="Verdana" w:hAnsi="Verdana"/>
        </w:rPr>
      </w:pPr>
      <w:r w:rsidRPr="00A210D2">
        <w:rPr>
          <w:rFonts w:ascii="Verdana" w:hAnsi="Verdana"/>
        </w:rPr>
        <w:t>3) De otra parte, los Defensores de Familia, Comisarios de Familia e Inspectores de Policía en cumplimiento del artículo 77 de la Ley 1098 de 2006 y 12 del decreto 4840 de 2007, deberán reportar a los Directores Regionales del ICBF la información sobre los procesos administrativos de restablecimiento de derechos y las acciones penales o civiles que se inicien a favor de un niño, niña o adolescente, con motivo de la distribución, venta o uso de artículos pirotécnicos, fuegos artificiales y globos, las medidas adoptadas y las acciones policivas administrativas o judiciales adicionales que promovieron, en concordancia con lo previsto en el numeral 7 del artículo 53 y numeral 11 del artículo 82 del Código de la Infancia y la Adolescencia.</w:t>
      </w:r>
    </w:p>
    <w:p w14:paraId="599AF948" w14:textId="51E338BD" w:rsidR="00A210D2" w:rsidRPr="00A210D2" w:rsidRDefault="00A210D2" w:rsidP="00A210D2">
      <w:pPr>
        <w:jc w:val="both"/>
        <w:rPr>
          <w:rFonts w:ascii="Verdana" w:hAnsi="Verdana"/>
        </w:rPr>
      </w:pPr>
      <w:r w:rsidRPr="00A210D2">
        <w:rPr>
          <w:rFonts w:ascii="Verdana" w:hAnsi="Verdana"/>
        </w:rPr>
        <w:t>Cordial saludo,</w:t>
      </w:r>
    </w:p>
    <w:p w14:paraId="0340E080" w14:textId="15BB6629" w:rsidR="00A210D2" w:rsidRPr="00A210D2" w:rsidRDefault="00A210D2" w:rsidP="00A210D2">
      <w:pPr>
        <w:jc w:val="center"/>
        <w:rPr>
          <w:rFonts w:ascii="Verdana" w:hAnsi="Verdana"/>
          <w:b/>
          <w:bCs/>
        </w:rPr>
      </w:pPr>
      <w:r w:rsidRPr="00A210D2">
        <w:rPr>
          <w:rFonts w:ascii="Verdana" w:hAnsi="Verdana"/>
          <w:b/>
          <w:bCs/>
        </w:rPr>
        <w:t>ELVIRA FORERO HERNÁNDEZ</w:t>
      </w:r>
    </w:p>
    <w:p w14:paraId="41F90277" w14:textId="415D9D38" w:rsidR="00A210D2" w:rsidRPr="00A210D2" w:rsidRDefault="00A210D2" w:rsidP="00A210D2">
      <w:pPr>
        <w:jc w:val="center"/>
        <w:rPr>
          <w:rFonts w:ascii="Verdana" w:hAnsi="Verdana"/>
        </w:rPr>
      </w:pPr>
      <w:r w:rsidRPr="00A210D2">
        <w:rPr>
          <w:rFonts w:ascii="Verdana" w:hAnsi="Verdana"/>
        </w:rPr>
        <w:t>DIRECTORA GENERAL ICBF</w:t>
      </w:r>
    </w:p>
    <w:p w14:paraId="222C003C" w14:textId="7DF266D6" w:rsidR="00A210D2" w:rsidRPr="00A210D2" w:rsidRDefault="00A210D2" w:rsidP="00A210D2">
      <w:pPr>
        <w:jc w:val="center"/>
        <w:rPr>
          <w:rFonts w:ascii="Verdana" w:hAnsi="Verdana"/>
        </w:rPr>
      </w:pPr>
      <w:r w:rsidRPr="00A210D2">
        <w:rPr>
          <w:rFonts w:ascii="Verdana" w:hAnsi="Verdana"/>
        </w:rPr>
        <w:t>* * *</w:t>
      </w:r>
    </w:p>
    <w:p w14:paraId="7B6B94DB" w14:textId="576027F6" w:rsidR="00A210D2" w:rsidRPr="00A210D2" w:rsidRDefault="00A210D2" w:rsidP="00A210D2">
      <w:pPr>
        <w:jc w:val="both"/>
        <w:rPr>
          <w:rFonts w:ascii="Verdana" w:hAnsi="Verdana"/>
        </w:rPr>
      </w:pPr>
      <w:r w:rsidRPr="00A210D2">
        <w:rPr>
          <w:rFonts w:ascii="Verdana" w:hAnsi="Verdana"/>
        </w:rPr>
        <w:t>1. Ley 1098 de 2006.</w:t>
      </w:r>
    </w:p>
    <w:p w14:paraId="0767ED67" w14:textId="1EE9EAE6" w:rsidR="00A210D2" w:rsidRPr="00A210D2" w:rsidRDefault="00A210D2" w:rsidP="00A210D2">
      <w:pPr>
        <w:jc w:val="both"/>
        <w:rPr>
          <w:rFonts w:ascii="Verdana" w:hAnsi="Verdana"/>
        </w:rPr>
      </w:pPr>
      <w:r w:rsidRPr="00A210D2">
        <w:rPr>
          <w:rFonts w:ascii="Verdana" w:hAnsi="Verdana"/>
        </w:rPr>
        <w:t>2. Ley 1098, artículo 7</w:t>
      </w:r>
    </w:p>
    <w:p w14:paraId="7D258775" w14:textId="0EE54DED" w:rsidR="00A210D2" w:rsidRPr="00A210D2" w:rsidRDefault="00A210D2" w:rsidP="00A210D2">
      <w:pPr>
        <w:jc w:val="both"/>
        <w:rPr>
          <w:rFonts w:ascii="Verdana" w:hAnsi="Verdana"/>
        </w:rPr>
      </w:pPr>
      <w:r w:rsidRPr="00A210D2">
        <w:rPr>
          <w:rFonts w:ascii="Verdana" w:hAnsi="Verdana"/>
        </w:rPr>
        <w:t xml:space="preserve">3. Corte Constitucional, Sentencia T-397 de 2004 M.P. Manuel José Cepeda Espinosa y C-997 de 2004 M.P. Jaime Córdoba Triviño.  </w:t>
      </w:r>
    </w:p>
    <w:p w14:paraId="6B57A142" w14:textId="23CA90F0" w:rsidR="00B0557E" w:rsidRPr="00A210D2" w:rsidRDefault="00A210D2" w:rsidP="00A210D2">
      <w:pPr>
        <w:jc w:val="both"/>
        <w:rPr>
          <w:rFonts w:ascii="Verdana" w:hAnsi="Verdana"/>
        </w:rPr>
      </w:pPr>
      <w:r w:rsidRPr="00A210D2">
        <w:rPr>
          <w:rFonts w:ascii="Verdana" w:hAnsi="Verdana"/>
        </w:rPr>
        <w:t>4. Código Civil, artículos 310 y 315; Ley 1098 de 2006, artículo 53.</w:t>
      </w:r>
    </w:p>
    <w:sectPr w:rsidR="00B0557E" w:rsidRPr="00A210D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0D2"/>
    <w:rsid w:val="00A210D2"/>
    <w:rsid w:val="00B055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1D133"/>
  <w15:chartTrackingRefBased/>
  <w15:docId w15:val="{273D6D18-1652-41D8-A527-3454D9FA4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B400EB-B233-4C83-BCD7-D1561EA53277}"/>
</file>

<file path=customXml/itemProps2.xml><?xml version="1.0" encoding="utf-8"?>
<ds:datastoreItem xmlns:ds="http://schemas.openxmlformats.org/officeDocument/2006/customXml" ds:itemID="{D809EF84-510F-4BC8-9AE0-9A65EA7F0ABF}"/>
</file>

<file path=customXml/itemProps3.xml><?xml version="1.0" encoding="utf-8"?>
<ds:datastoreItem xmlns:ds="http://schemas.openxmlformats.org/officeDocument/2006/customXml" ds:itemID="{A77FB4AD-9AB4-46DE-81EE-D6E962E2B8A7}"/>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3711</Characters>
  <Application>Microsoft Office Word</Application>
  <DocSecurity>0</DocSecurity>
  <Lines>30</Lines>
  <Paragraphs>8</Paragraphs>
  <ScaleCrop>false</ScaleCrop>
  <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2026-02-03T15:36:00Z</dcterms:created>
  <dcterms:modified xsi:type="dcterms:W3CDTF">2026-02-03T15:40:00Z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