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51A3" w14:textId="77777777" w:rsidR="008A2350" w:rsidRPr="008A2350" w:rsidRDefault="008A2350" w:rsidP="008A2350">
      <w:pPr>
        <w:jc w:val="center"/>
        <w:rPr>
          <w:rFonts w:ascii="Verdana" w:hAnsi="Verdana"/>
          <w:sz w:val="22"/>
          <w:szCs w:val="22"/>
        </w:rPr>
      </w:pPr>
      <w:r w:rsidRPr="008A2350">
        <w:rPr>
          <w:rFonts w:ascii="Verdana" w:hAnsi="Verdana"/>
          <w:b/>
          <w:bCs/>
          <w:sz w:val="22"/>
          <w:szCs w:val="22"/>
        </w:rPr>
        <w:t>CIRCULAR 4 DE 2006</w:t>
      </w:r>
    </w:p>
    <w:p w14:paraId="4E5BC776" w14:textId="77777777" w:rsidR="008A2350" w:rsidRPr="008A2350" w:rsidRDefault="008A2350" w:rsidP="008A2350">
      <w:pPr>
        <w:jc w:val="center"/>
        <w:rPr>
          <w:rFonts w:ascii="Verdana" w:hAnsi="Verdana"/>
          <w:sz w:val="22"/>
          <w:szCs w:val="22"/>
        </w:rPr>
      </w:pPr>
      <w:r w:rsidRPr="008A2350">
        <w:rPr>
          <w:rFonts w:ascii="Verdana" w:hAnsi="Verdana"/>
          <w:sz w:val="22"/>
          <w:szCs w:val="22"/>
        </w:rPr>
        <w:t>(</w:t>
      </w:r>
      <w:proofErr w:type="gramStart"/>
      <w:r w:rsidRPr="008A2350">
        <w:rPr>
          <w:rFonts w:ascii="Verdana" w:hAnsi="Verdana"/>
          <w:sz w:val="22"/>
          <w:szCs w:val="22"/>
        </w:rPr>
        <w:t>Marzo</w:t>
      </w:r>
      <w:proofErr w:type="gramEnd"/>
      <w:r w:rsidRPr="008A2350">
        <w:rPr>
          <w:rFonts w:ascii="Verdana" w:hAnsi="Verdana"/>
          <w:sz w:val="22"/>
          <w:szCs w:val="22"/>
        </w:rPr>
        <w:t xml:space="preserve"> 30)</w:t>
      </w:r>
    </w:p>
    <w:p w14:paraId="3D72638C" w14:textId="1D5CADE6" w:rsidR="008A2350" w:rsidRDefault="008A2350" w:rsidP="008A2350">
      <w:pPr>
        <w:jc w:val="center"/>
        <w:rPr>
          <w:rFonts w:ascii="Verdana" w:hAnsi="Verdana"/>
          <w:b/>
          <w:bCs/>
          <w:sz w:val="22"/>
          <w:szCs w:val="22"/>
        </w:rPr>
      </w:pPr>
      <w:r w:rsidRPr="008A2350">
        <w:rPr>
          <w:rFonts w:ascii="Verdana" w:hAnsi="Verdana"/>
          <w:b/>
          <w:bCs/>
          <w:sz w:val="22"/>
          <w:szCs w:val="22"/>
        </w:rPr>
        <w:t>INSTITUTO COLOMBIANO DE BIENESTAR FAMILIAR</w:t>
      </w:r>
    </w:p>
    <w:p w14:paraId="6A57379B" w14:textId="77777777" w:rsidR="008A2350" w:rsidRPr="008A2350" w:rsidRDefault="008A2350" w:rsidP="008A2350">
      <w:pPr>
        <w:jc w:val="center"/>
        <w:rPr>
          <w:rFonts w:ascii="Verdana" w:hAnsi="Verdana"/>
          <w:sz w:val="22"/>
          <w:szCs w:val="22"/>
        </w:rPr>
      </w:pPr>
    </w:p>
    <w:p w14:paraId="3FBA416A" w14:textId="77777777" w:rsidR="008A2350" w:rsidRPr="008A2350" w:rsidRDefault="008A2350" w:rsidP="008A2350">
      <w:pPr>
        <w:jc w:val="both"/>
        <w:rPr>
          <w:rFonts w:ascii="Verdana" w:hAnsi="Verdana"/>
          <w:sz w:val="22"/>
          <w:szCs w:val="22"/>
        </w:rPr>
      </w:pPr>
      <w:r w:rsidRPr="008A2350">
        <w:rPr>
          <w:rFonts w:ascii="Verdana" w:hAnsi="Verdana"/>
          <w:sz w:val="22"/>
          <w:szCs w:val="22"/>
        </w:rPr>
        <w:t>PARA:</w:t>
      </w:r>
      <w:r w:rsidRPr="008A2350">
        <w:rPr>
          <w:rFonts w:ascii="Verdana" w:hAnsi="Verdana"/>
          <w:sz w:val="22"/>
          <w:szCs w:val="22"/>
        </w:rPr>
        <w:tab/>
        <w:t>DIRECTORES ICBF DE REGIONALES Y AGENCIAS</w:t>
      </w:r>
    </w:p>
    <w:p w14:paraId="3DED2E75" w14:textId="676C47A9" w:rsidR="008A2350" w:rsidRDefault="008A2350" w:rsidP="008A2350">
      <w:pPr>
        <w:jc w:val="both"/>
        <w:rPr>
          <w:rFonts w:ascii="Verdana" w:hAnsi="Verdana"/>
          <w:sz w:val="22"/>
          <w:szCs w:val="22"/>
        </w:rPr>
      </w:pPr>
      <w:r w:rsidRPr="008A2350">
        <w:rPr>
          <w:rFonts w:ascii="Verdana" w:hAnsi="Verdana"/>
          <w:sz w:val="22"/>
          <w:szCs w:val="22"/>
        </w:rPr>
        <w:t>ASUNTO:</w:t>
      </w:r>
      <w:r w:rsidRPr="008A2350">
        <w:rPr>
          <w:rFonts w:ascii="Verdana" w:hAnsi="Verdana"/>
          <w:sz w:val="22"/>
          <w:szCs w:val="22"/>
        </w:rPr>
        <w:tab/>
        <w:t>INVERSIÓN DE RECURSOS DE EDUCACIÓN del SGP - CONCEPTO DNP</w:t>
      </w:r>
    </w:p>
    <w:p w14:paraId="455ACA8E" w14:textId="77777777" w:rsidR="008A2350" w:rsidRDefault="008A2350" w:rsidP="008A2350">
      <w:pPr>
        <w:jc w:val="both"/>
        <w:rPr>
          <w:rFonts w:ascii="Verdana" w:hAnsi="Verdana"/>
          <w:sz w:val="22"/>
          <w:szCs w:val="22"/>
        </w:rPr>
      </w:pPr>
    </w:p>
    <w:p w14:paraId="10476EA5" w14:textId="2EFD13CB" w:rsidR="008A2350" w:rsidRPr="008A2350" w:rsidRDefault="008A2350" w:rsidP="008A2350">
      <w:pPr>
        <w:jc w:val="both"/>
        <w:rPr>
          <w:rFonts w:ascii="Verdana" w:hAnsi="Verdana"/>
          <w:sz w:val="22"/>
          <w:szCs w:val="22"/>
        </w:rPr>
      </w:pPr>
      <w:r w:rsidRPr="008A2350">
        <w:rPr>
          <w:rFonts w:ascii="Verdana" w:hAnsi="Verdana"/>
          <w:sz w:val="22"/>
          <w:szCs w:val="22"/>
        </w:rPr>
        <w:t>Con el ánimo de brindarles herramientas de negociación con distintos interlocutores y responder solicitudes frente al programa de alimentación escolar, queremos compartir con ustedes los conceptos emitidos por el Departamento Nacional de Planeación, tanto desde la Dirección Técnica de Desarrollo Territorial Sostenible (encargada entre otros de las acciones relacionadas con las finanzas públicas territoriales, incluidos los recursos del Sistema General de Participaciones) como desde la Subdirección de Educación de dicha entidad.</w:t>
      </w:r>
    </w:p>
    <w:p w14:paraId="1F6C7B2C" w14:textId="77777777" w:rsidR="008A2350" w:rsidRPr="008A2350" w:rsidRDefault="008A2350" w:rsidP="008A2350">
      <w:pPr>
        <w:jc w:val="both"/>
        <w:rPr>
          <w:rFonts w:ascii="Verdana" w:hAnsi="Verdana"/>
          <w:sz w:val="22"/>
          <w:szCs w:val="22"/>
        </w:rPr>
      </w:pPr>
      <w:r w:rsidRPr="008A2350">
        <w:rPr>
          <w:rFonts w:ascii="Verdana" w:hAnsi="Verdana"/>
          <w:sz w:val="22"/>
          <w:szCs w:val="22"/>
        </w:rPr>
        <w:t xml:space="preserve">En respuesta a una consulta realizada por la Dirección General del ICBF sobre la destinación de los recursos de calidad que se distribuyen a través del SGP, señala el </w:t>
      </w:r>
      <w:proofErr w:type="spellStart"/>
      <w:r w:rsidRPr="008A2350">
        <w:rPr>
          <w:rFonts w:ascii="Verdana" w:hAnsi="Verdana"/>
          <w:sz w:val="22"/>
          <w:szCs w:val="22"/>
        </w:rPr>
        <w:t>dr.</w:t>
      </w:r>
      <w:proofErr w:type="spellEnd"/>
      <w:r w:rsidRPr="008A2350">
        <w:rPr>
          <w:rFonts w:ascii="Verdana" w:hAnsi="Verdana"/>
          <w:sz w:val="22"/>
          <w:szCs w:val="22"/>
        </w:rPr>
        <w:t xml:space="preserve"> Oswaldo Porras, </w:t>
      </w:r>
      <w:proofErr w:type="gramStart"/>
      <w:r w:rsidRPr="008A2350">
        <w:rPr>
          <w:rFonts w:ascii="Verdana" w:hAnsi="Verdana"/>
          <w:sz w:val="22"/>
          <w:szCs w:val="22"/>
        </w:rPr>
        <w:t>Director Técnico</w:t>
      </w:r>
      <w:proofErr w:type="gramEnd"/>
      <w:r w:rsidRPr="008A2350">
        <w:rPr>
          <w:rFonts w:ascii="Verdana" w:hAnsi="Verdana"/>
          <w:sz w:val="22"/>
          <w:szCs w:val="22"/>
        </w:rPr>
        <w:t xml:space="preserve"> de Desarrollo Territorial Sostenible, que:</w:t>
      </w:r>
    </w:p>
    <w:p w14:paraId="1FBE088D" w14:textId="68F51612" w:rsidR="008A2350" w:rsidRPr="008A2350" w:rsidRDefault="008A2350" w:rsidP="008A2350">
      <w:pPr>
        <w:jc w:val="both"/>
        <w:rPr>
          <w:rFonts w:ascii="Verdana" w:hAnsi="Verdana"/>
          <w:sz w:val="22"/>
          <w:szCs w:val="22"/>
        </w:rPr>
      </w:pPr>
      <w:r w:rsidRPr="008A2350">
        <w:rPr>
          <w:rFonts w:ascii="Verdana" w:hAnsi="Verdana"/>
          <w:sz w:val="22"/>
          <w:szCs w:val="22"/>
        </w:rPr>
        <w:t>1. Los </w:t>
      </w:r>
      <w:r w:rsidRPr="008A2350">
        <w:rPr>
          <w:rFonts w:ascii="Verdana" w:hAnsi="Verdana"/>
          <w:b/>
          <w:bCs/>
          <w:sz w:val="22"/>
          <w:szCs w:val="22"/>
        </w:rPr>
        <w:t>recursos de la participación para educación</w:t>
      </w:r>
      <w:r w:rsidRPr="008A2350">
        <w:rPr>
          <w:rFonts w:ascii="Verdana" w:hAnsi="Verdana"/>
          <w:sz w:val="22"/>
          <w:szCs w:val="22"/>
        </w:rPr>
        <w:t> definidos por el Acto Legislativo 01 de 2001 y la Ley 715 de 2001 </w:t>
      </w:r>
      <w:r w:rsidRPr="008A2350">
        <w:rPr>
          <w:rFonts w:ascii="Verdana" w:hAnsi="Verdana"/>
          <w:b/>
          <w:bCs/>
          <w:sz w:val="22"/>
          <w:szCs w:val="22"/>
        </w:rPr>
        <w:t>deben destinarse a financiar la prestación del servicio educativo</w:t>
      </w:r>
      <w:r w:rsidRPr="008A2350">
        <w:rPr>
          <w:rFonts w:ascii="Verdana" w:hAnsi="Verdana"/>
          <w:sz w:val="22"/>
          <w:szCs w:val="22"/>
        </w:rPr>
        <w:t> atendiendo los estándares técnicos y administrativos </w:t>
      </w:r>
      <w:r w:rsidRPr="008A2350">
        <w:rPr>
          <w:rFonts w:ascii="Verdana" w:hAnsi="Verdana"/>
          <w:b/>
          <w:bCs/>
          <w:sz w:val="22"/>
          <w:szCs w:val="22"/>
        </w:rPr>
        <w:t>en las siguientes actividades</w:t>
      </w:r>
      <w:r w:rsidRPr="008A2350">
        <w:rPr>
          <w:rFonts w:ascii="Verdana" w:hAnsi="Verdana"/>
          <w:sz w:val="22"/>
          <w:szCs w:val="22"/>
        </w:rPr>
        <w:t> (Artículo 15, Ley 715/01):</w:t>
      </w:r>
    </w:p>
    <w:p w14:paraId="585ABA39" w14:textId="77777777" w:rsidR="008A2350" w:rsidRPr="008A2350" w:rsidRDefault="008A2350" w:rsidP="008A2350">
      <w:pPr>
        <w:numPr>
          <w:ilvl w:val="0"/>
          <w:numId w:val="1"/>
        </w:numPr>
        <w:jc w:val="both"/>
        <w:rPr>
          <w:rFonts w:ascii="Verdana" w:hAnsi="Verdana"/>
          <w:sz w:val="22"/>
          <w:szCs w:val="22"/>
        </w:rPr>
      </w:pPr>
      <w:r w:rsidRPr="008A2350">
        <w:rPr>
          <w:rFonts w:ascii="Verdana" w:hAnsi="Verdana"/>
          <w:sz w:val="22"/>
          <w:szCs w:val="22"/>
        </w:rPr>
        <w:t>Pago del personal docente y administrativo de las instituciones educativas</w:t>
      </w:r>
    </w:p>
    <w:p w14:paraId="2BA714F8" w14:textId="77777777" w:rsidR="008A2350" w:rsidRPr="008A2350" w:rsidRDefault="008A2350" w:rsidP="008A2350">
      <w:pPr>
        <w:numPr>
          <w:ilvl w:val="0"/>
          <w:numId w:val="1"/>
        </w:numPr>
        <w:jc w:val="both"/>
        <w:rPr>
          <w:rFonts w:ascii="Verdana" w:hAnsi="Verdana"/>
          <w:sz w:val="22"/>
          <w:szCs w:val="22"/>
        </w:rPr>
      </w:pPr>
      <w:r w:rsidRPr="008A2350">
        <w:rPr>
          <w:rFonts w:ascii="Verdana" w:hAnsi="Verdana"/>
          <w:sz w:val="22"/>
          <w:szCs w:val="22"/>
        </w:rPr>
        <w:t>públicas, las contribuciones inherentes a la nómina y sus prestaciones sociales.</w:t>
      </w:r>
    </w:p>
    <w:p w14:paraId="43DC3606" w14:textId="77777777" w:rsidR="008A2350" w:rsidRPr="008A2350" w:rsidRDefault="008A2350" w:rsidP="008A2350">
      <w:pPr>
        <w:numPr>
          <w:ilvl w:val="0"/>
          <w:numId w:val="1"/>
        </w:numPr>
        <w:jc w:val="both"/>
        <w:rPr>
          <w:rFonts w:ascii="Verdana" w:hAnsi="Verdana"/>
          <w:sz w:val="22"/>
          <w:szCs w:val="22"/>
        </w:rPr>
      </w:pPr>
      <w:r w:rsidRPr="008A2350">
        <w:rPr>
          <w:rFonts w:ascii="Verdana" w:hAnsi="Verdana"/>
          <w:sz w:val="22"/>
          <w:szCs w:val="22"/>
        </w:rPr>
        <w:t>Construcción de la infraestructura educativa, mantenimiento, pago de servicios públicos y funcionamiento de las instituciones educativas.</w:t>
      </w:r>
    </w:p>
    <w:p w14:paraId="72116C67" w14:textId="77777777" w:rsidR="008A2350" w:rsidRPr="008A2350" w:rsidRDefault="008A2350" w:rsidP="008A2350">
      <w:pPr>
        <w:numPr>
          <w:ilvl w:val="0"/>
          <w:numId w:val="1"/>
        </w:numPr>
        <w:jc w:val="both"/>
        <w:rPr>
          <w:rFonts w:ascii="Verdana" w:hAnsi="Verdana"/>
          <w:sz w:val="22"/>
          <w:szCs w:val="22"/>
        </w:rPr>
      </w:pPr>
      <w:r w:rsidRPr="008A2350">
        <w:rPr>
          <w:rFonts w:ascii="Verdana" w:hAnsi="Verdana"/>
          <w:sz w:val="22"/>
          <w:szCs w:val="22"/>
        </w:rPr>
        <w:t>Provisión de la canasta educativa.</w:t>
      </w:r>
    </w:p>
    <w:p w14:paraId="21789EA9" w14:textId="77777777" w:rsidR="008A2350" w:rsidRPr="008A2350" w:rsidRDefault="008A2350" w:rsidP="008A2350">
      <w:pPr>
        <w:numPr>
          <w:ilvl w:val="0"/>
          <w:numId w:val="1"/>
        </w:numPr>
        <w:jc w:val="both"/>
        <w:rPr>
          <w:rFonts w:ascii="Verdana" w:hAnsi="Verdana"/>
          <w:sz w:val="22"/>
          <w:szCs w:val="22"/>
        </w:rPr>
      </w:pPr>
      <w:r w:rsidRPr="008A2350">
        <w:rPr>
          <w:rFonts w:ascii="Verdana" w:hAnsi="Verdana"/>
          <w:sz w:val="22"/>
          <w:szCs w:val="22"/>
        </w:rPr>
        <w:t>Las destinadas a mantener, evaluar y promover la calidad educativa.</w:t>
      </w:r>
    </w:p>
    <w:p w14:paraId="2B6B7AF5" w14:textId="77777777" w:rsidR="008A2350" w:rsidRPr="008A2350" w:rsidRDefault="008A2350" w:rsidP="008A2350">
      <w:pPr>
        <w:jc w:val="both"/>
        <w:rPr>
          <w:rFonts w:ascii="Verdana" w:hAnsi="Verdana"/>
          <w:sz w:val="22"/>
          <w:szCs w:val="22"/>
        </w:rPr>
      </w:pPr>
      <w:r w:rsidRPr="008A2350">
        <w:rPr>
          <w:rFonts w:ascii="Verdana" w:hAnsi="Verdana"/>
          <w:sz w:val="22"/>
          <w:szCs w:val="22"/>
        </w:rPr>
        <w:t>2. En concordancia con lo anterior, el Ministerio de Educación Nacional expidió la Directiva Ministerial 04 del 27 de marzo de 2003, con orientaciones para el manejo de los recursos de participación para educación. Entre otros, esta Directiva precisa que los </w:t>
      </w:r>
      <w:r w:rsidRPr="008A2350">
        <w:rPr>
          <w:rFonts w:ascii="Verdana" w:hAnsi="Verdana"/>
          <w:b/>
          <w:bCs/>
          <w:sz w:val="22"/>
          <w:szCs w:val="22"/>
        </w:rPr>
        <w:t>recursos de calidad de la educación</w:t>
      </w:r>
      <w:r w:rsidRPr="008A2350">
        <w:rPr>
          <w:rFonts w:ascii="Verdana" w:hAnsi="Verdana"/>
          <w:sz w:val="22"/>
          <w:szCs w:val="22"/>
        </w:rPr>
        <w:t xml:space="preserve"> que son girados </w:t>
      </w:r>
      <w:r w:rsidRPr="008A2350">
        <w:rPr>
          <w:rFonts w:ascii="Verdana" w:hAnsi="Verdana"/>
          <w:sz w:val="22"/>
          <w:szCs w:val="22"/>
        </w:rPr>
        <w:lastRenderedPageBreak/>
        <w:t xml:space="preserve">directamente a los </w:t>
      </w:r>
      <w:proofErr w:type="gramStart"/>
      <w:r w:rsidRPr="008A2350">
        <w:rPr>
          <w:rFonts w:ascii="Verdana" w:hAnsi="Verdana"/>
          <w:sz w:val="22"/>
          <w:szCs w:val="22"/>
        </w:rPr>
        <w:t>municipios,</w:t>
      </w:r>
      <w:proofErr w:type="gramEnd"/>
      <w:r w:rsidRPr="008A2350">
        <w:rPr>
          <w:rFonts w:ascii="Verdana" w:hAnsi="Verdana"/>
          <w:sz w:val="22"/>
          <w:szCs w:val="22"/>
        </w:rPr>
        <w:t> </w:t>
      </w:r>
      <w:r w:rsidRPr="008A2350">
        <w:rPr>
          <w:rFonts w:ascii="Verdana" w:hAnsi="Verdana"/>
          <w:b/>
          <w:bCs/>
          <w:sz w:val="22"/>
          <w:szCs w:val="22"/>
        </w:rPr>
        <w:t>deben invertirse en</w:t>
      </w:r>
      <w:r w:rsidRPr="008A2350">
        <w:rPr>
          <w:rFonts w:ascii="Verdana" w:hAnsi="Verdana"/>
          <w:sz w:val="22"/>
          <w:szCs w:val="22"/>
        </w:rPr>
        <w:t> los siguientes conceptos de gasto:</w:t>
      </w:r>
    </w:p>
    <w:p w14:paraId="5558E05F" w14:textId="77777777" w:rsidR="008A2350" w:rsidRPr="008A2350" w:rsidRDefault="008A2350" w:rsidP="008A2350">
      <w:pPr>
        <w:numPr>
          <w:ilvl w:val="0"/>
          <w:numId w:val="2"/>
        </w:numPr>
        <w:jc w:val="both"/>
        <w:rPr>
          <w:rFonts w:ascii="Verdana" w:hAnsi="Verdana"/>
          <w:sz w:val="22"/>
          <w:szCs w:val="22"/>
        </w:rPr>
      </w:pPr>
      <w:r w:rsidRPr="008A2350">
        <w:rPr>
          <w:rFonts w:ascii="Verdana" w:hAnsi="Verdana"/>
          <w:sz w:val="22"/>
          <w:szCs w:val="22"/>
        </w:rPr>
        <w:t>Dotaciones de los establecimientos educativos: mobiliario, textos, bibliotecas, materiales didácticos y audiovisuales</w:t>
      </w:r>
    </w:p>
    <w:p w14:paraId="4DA46E68" w14:textId="77777777" w:rsidR="008A2350" w:rsidRPr="008A2350" w:rsidRDefault="008A2350" w:rsidP="008A2350">
      <w:pPr>
        <w:numPr>
          <w:ilvl w:val="0"/>
          <w:numId w:val="2"/>
        </w:numPr>
        <w:jc w:val="both"/>
        <w:rPr>
          <w:rFonts w:ascii="Verdana" w:hAnsi="Verdana"/>
          <w:sz w:val="22"/>
          <w:szCs w:val="22"/>
        </w:rPr>
      </w:pPr>
      <w:r w:rsidRPr="008A2350">
        <w:rPr>
          <w:rFonts w:ascii="Verdana" w:hAnsi="Verdana"/>
          <w:sz w:val="22"/>
          <w:szCs w:val="22"/>
        </w:rPr>
        <w:t>Construcción, mantenimiento y adecuación de establecimientos educativos</w:t>
      </w:r>
    </w:p>
    <w:p w14:paraId="382C7A14" w14:textId="77777777" w:rsidR="008A2350" w:rsidRPr="008A2350" w:rsidRDefault="008A2350" w:rsidP="008A2350">
      <w:pPr>
        <w:numPr>
          <w:ilvl w:val="0"/>
          <w:numId w:val="2"/>
        </w:numPr>
        <w:jc w:val="both"/>
        <w:rPr>
          <w:rFonts w:ascii="Verdana" w:hAnsi="Verdana"/>
          <w:sz w:val="22"/>
          <w:szCs w:val="22"/>
        </w:rPr>
      </w:pPr>
      <w:r w:rsidRPr="008A2350">
        <w:rPr>
          <w:rFonts w:ascii="Verdana" w:hAnsi="Verdana"/>
          <w:sz w:val="22"/>
          <w:szCs w:val="22"/>
        </w:rPr>
        <w:t>Servicios públicos y funcionamiento de los establecimientos educativos municipales</w:t>
      </w:r>
    </w:p>
    <w:p w14:paraId="1D541321" w14:textId="4CBA21FC" w:rsidR="008A2350" w:rsidRPr="008A2350" w:rsidRDefault="008A2350" w:rsidP="008A2350">
      <w:pPr>
        <w:numPr>
          <w:ilvl w:val="0"/>
          <w:numId w:val="2"/>
        </w:numPr>
        <w:jc w:val="both"/>
        <w:rPr>
          <w:rFonts w:ascii="Verdana" w:hAnsi="Verdana"/>
          <w:sz w:val="22"/>
          <w:szCs w:val="22"/>
        </w:rPr>
      </w:pPr>
      <w:r w:rsidRPr="008A2350">
        <w:rPr>
          <w:rFonts w:ascii="Verdana" w:hAnsi="Verdana"/>
          <w:sz w:val="22"/>
          <w:szCs w:val="22"/>
        </w:rPr>
        <w:t>Existe una prohibición expresa para la destinación de estos recursos que la misma Ley 715 de 2001 señala y la Directiva 04 refuerza en el sentido de que no podrán emplearse para cancelar gastos de personal o contratos por servicios personales indirectos (personal supernumerario, honorarios, jornales, remuneración servicios técnicos).</w:t>
      </w:r>
    </w:p>
    <w:p w14:paraId="3D6EA5DD" w14:textId="49DE6782" w:rsidR="008A2350" w:rsidRPr="008A2350" w:rsidRDefault="008A2350" w:rsidP="008A2350">
      <w:pPr>
        <w:jc w:val="both"/>
        <w:rPr>
          <w:rFonts w:ascii="Verdana" w:hAnsi="Verdana"/>
          <w:sz w:val="22"/>
          <w:szCs w:val="22"/>
        </w:rPr>
      </w:pPr>
      <w:r w:rsidRPr="008A2350">
        <w:rPr>
          <w:rFonts w:ascii="Verdana" w:hAnsi="Verdana"/>
          <w:sz w:val="22"/>
          <w:szCs w:val="22"/>
        </w:rPr>
        <w:t>3. La Directiva Ministerial 04 de 2003 precisa además que como lo establece el parágrafo 2° del artículo 15 de la Ley 715 de 2001, </w:t>
      </w:r>
      <w:r w:rsidRPr="008A2350">
        <w:rPr>
          <w:rFonts w:ascii="Verdana" w:hAnsi="Verdana"/>
          <w:b/>
          <w:bCs/>
          <w:sz w:val="22"/>
          <w:szCs w:val="22"/>
        </w:rPr>
        <w:t>una vez cubiertos los costos de la prestación del servicio educativo:</w:t>
      </w:r>
    </w:p>
    <w:p w14:paraId="58DDF70F" w14:textId="77777777" w:rsidR="008A2350" w:rsidRPr="008A2350" w:rsidRDefault="008A2350" w:rsidP="008A2350">
      <w:pPr>
        <w:numPr>
          <w:ilvl w:val="0"/>
          <w:numId w:val="3"/>
        </w:numPr>
        <w:jc w:val="both"/>
        <w:rPr>
          <w:rFonts w:ascii="Verdana" w:hAnsi="Verdana"/>
          <w:sz w:val="22"/>
          <w:szCs w:val="22"/>
        </w:rPr>
      </w:pPr>
      <w:r w:rsidRPr="008A2350">
        <w:rPr>
          <w:rFonts w:ascii="Verdana" w:hAnsi="Verdana"/>
          <w:sz w:val="22"/>
          <w:szCs w:val="22"/>
        </w:rPr>
        <w:t>Los </w:t>
      </w:r>
      <w:r w:rsidRPr="008A2350">
        <w:rPr>
          <w:rFonts w:ascii="Verdana" w:hAnsi="Verdana"/>
          <w:b/>
          <w:bCs/>
          <w:sz w:val="22"/>
          <w:szCs w:val="22"/>
        </w:rPr>
        <w:t>municipios certificados y no certificados podrán destinar recursos de la participación en educación al pago de transporte escolar</w:t>
      </w:r>
      <w:r w:rsidRPr="008A2350">
        <w:rPr>
          <w:rFonts w:ascii="Verdana" w:hAnsi="Verdana"/>
          <w:sz w:val="22"/>
          <w:szCs w:val="22"/>
        </w:rPr>
        <w:t>, cuando las condiciones geográficas lo requieran para garantizar el acceso y la permanencia en el sistema educativo de niños pertenecientes a los estratos más pobres.</w:t>
      </w:r>
    </w:p>
    <w:p w14:paraId="565BEA3E" w14:textId="77777777" w:rsidR="008A2350" w:rsidRPr="008A2350" w:rsidRDefault="008A2350" w:rsidP="008A2350">
      <w:pPr>
        <w:numPr>
          <w:ilvl w:val="0"/>
          <w:numId w:val="3"/>
        </w:numPr>
        <w:jc w:val="both"/>
        <w:rPr>
          <w:rFonts w:ascii="Verdana" w:hAnsi="Verdana"/>
          <w:sz w:val="22"/>
          <w:szCs w:val="22"/>
        </w:rPr>
      </w:pPr>
      <w:r w:rsidRPr="008A2350">
        <w:rPr>
          <w:rFonts w:ascii="Verdana" w:hAnsi="Verdana"/>
          <w:sz w:val="22"/>
          <w:szCs w:val="22"/>
        </w:rPr>
        <w:t>Así mismo, </w:t>
      </w:r>
      <w:r w:rsidRPr="008A2350">
        <w:rPr>
          <w:rFonts w:ascii="Verdana" w:hAnsi="Verdana"/>
          <w:b/>
          <w:bCs/>
          <w:sz w:val="22"/>
          <w:szCs w:val="22"/>
        </w:rPr>
        <w:t>en caso de ser necesario podrán destinar recursos para complementar los costos de los programas de alimentación escolar</w:t>
      </w:r>
      <w:r w:rsidRPr="008A2350">
        <w:rPr>
          <w:rFonts w:ascii="Verdana" w:hAnsi="Verdana"/>
          <w:sz w:val="22"/>
          <w:szCs w:val="22"/>
        </w:rPr>
        <w:t>, en los términos previstos en la Directiva Ministerial No. 13 de abril 11 de 2002.</w:t>
      </w:r>
    </w:p>
    <w:p w14:paraId="1F3626AA" w14:textId="77777777" w:rsidR="008A2350" w:rsidRPr="008A2350" w:rsidRDefault="008A2350" w:rsidP="008A2350">
      <w:pPr>
        <w:jc w:val="both"/>
        <w:rPr>
          <w:rFonts w:ascii="Verdana" w:hAnsi="Verdana"/>
          <w:sz w:val="22"/>
          <w:szCs w:val="22"/>
        </w:rPr>
      </w:pPr>
      <w:r w:rsidRPr="008A2350">
        <w:rPr>
          <w:rFonts w:ascii="Verdana" w:hAnsi="Verdana"/>
          <w:sz w:val="22"/>
          <w:szCs w:val="22"/>
        </w:rPr>
        <w:t xml:space="preserve">Por su parte, el </w:t>
      </w:r>
      <w:proofErr w:type="gramStart"/>
      <w:r w:rsidRPr="008A2350">
        <w:rPr>
          <w:rFonts w:ascii="Verdana" w:hAnsi="Verdana"/>
          <w:sz w:val="22"/>
          <w:szCs w:val="22"/>
        </w:rPr>
        <w:t>Subdirector</w:t>
      </w:r>
      <w:proofErr w:type="gramEnd"/>
      <w:r w:rsidRPr="008A2350">
        <w:rPr>
          <w:rFonts w:ascii="Verdana" w:hAnsi="Verdana"/>
          <w:sz w:val="22"/>
          <w:szCs w:val="22"/>
        </w:rPr>
        <w:t xml:space="preserve"> de Educación del DNP, Rodrigo Acosta, responde al requerimiento hecho por el ICBF agregando que en la Guía No. 08 de 2004 el Ministerio de Educación Nacional dio indicaciones adicionales para la administración de los recursos del sector educativo.</w:t>
      </w:r>
    </w:p>
    <w:p w14:paraId="7B760EF0" w14:textId="77777777" w:rsidR="008A2350" w:rsidRPr="008A2350" w:rsidRDefault="008A2350" w:rsidP="008A2350">
      <w:pPr>
        <w:jc w:val="both"/>
        <w:rPr>
          <w:rFonts w:ascii="Verdana" w:hAnsi="Verdana"/>
          <w:sz w:val="22"/>
          <w:szCs w:val="22"/>
        </w:rPr>
      </w:pPr>
      <w:r w:rsidRPr="008A2350">
        <w:rPr>
          <w:rFonts w:ascii="Verdana" w:hAnsi="Verdana"/>
          <w:sz w:val="22"/>
          <w:szCs w:val="22"/>
        </w:rPr>
        <w:t>En esta guía el Ministerio considera que además de los conceptos de gasto mencionados en el numeral 2 arriba, </w:t>
      </w:r>
      <w:r w:rsidRPr="008A2350">
        <w:rPr>
          <w:rFonts w:ascii="Verdana" w:hAnsi="Verdana"/>
          <w:b/>
          <w:bCs/>
          <w:sz w:val="22"/>
          <w:szCs w:val="22"/>
        </w:rPr>
        <w:t>los municipios pueden destinar los recursos de calidad al financiamiento de acciones de mejoramiento de la gestión académica enmarcadas en los planes de mejoramiento institucional</w:t>
      </w:r>
      <w:r w:rsidRPr="008A2350">
        <w:rPr>
          <w:rFonts w:ascii="Verdana" w:hAnsi="Verdana"/>
          <w:sz w:val="22"/>
          <w:szCs w:val="22"/>
        </w:rPr>
        <w:t>. El documento reitera que los municipios pueden, en caso de que sea necesario, destinar estos recursos para complementar los programas de alimentación escolar de acuerdo con lo establecido en la directiva ministerial No. 13 de 2002.</w:t>
      </w:r>
    </w:p>
    <w:p w14:paraId="7B27FC74" w14:textId="487EA661" w:rsidR="008A2350" w:rsidRPr="008A2350" w:rsidRDefault="008A2350" w:rsidP="008A2350">
      <w:pPr>
        <w:jc w:val="both"/>
        <w:rPr>
          <w:rFonts w:ascii="Verdana" w:hAnsi="Verdana"/>
          <w:sz w:val="22"/>
          <w:szCs w:val="22"/>
        </w:rPr>
      </w:pPr>
      <w:r w:rsidRPr="008A2350">
        <w:rPr>
          <w:rFonts w:ascii="Verdana" w:hAnsi="Verdana"/>
          <w:sz w:val="22"/>
          <w:szCs w:val="22"/>
        </w:rPr>
        <w:lastRenderedPageBreak/>
        <w:t>Por lo tanto, quisiéramos llamar su atención sobre el hecho de que las Alcaldías están facultadas para invertir recursos distintos y adicionales a aquellos de la asignación específica estipulada en el artículo 2.2 de la Ley 715 de 2001, en los programas de alimentación escolar.</w:t>
      </w:r>
    </w:p>
    <w:p w14:paraId="480CE44D" w14:textId="77777777" w:rsidR="008A2350" w:rsidRPr="008A2350" w:rsidRDefault="008A2350" w:rsidP="008A2350">
      <w:pPr>
        <w:jc w:val="both"/>
        <w:rPr>
          <w:rFonts w:ascii="Verdana" w:hAnsi="Verdana"/>
          <w:sz w:val="22"/>
          <w:szCs w:val="22"/>
        </w:rPr>
      </w:pPr>
      <w:r w:rsidRPr="008A2350">
        <w:rPr>
          <w:rFonts w:ascii="Verdana" w:hAnsi="Verdana"/>
          <w:sz w:val="22"/>
          <w:szCs w:val="22"/>
        </w:rPr>
        <w:t>Transcribimos las indicaciones finales que establece el DNP para ello:</w:t>
      </w:r>
    </w:p>
    <w:p w14:paraId="319F490C" w14:textId="77777777" w:rsidR="008A2350" w:rsidRPr="008A2350" w:rsidRDefault="008A2350" w:rsidP="008A2350">
      <w:pPr>
        <w:jc w:val="both"/>
        <w:rPr>
          <w:rFonts w:ascii="Verdana" w:hAnsi="Verdana"/>
          <w:sz w:val="22"/>
          <w:szCs w:val="22"/>
        </w:rPr>
      </w:pPr>
      <w:r w:rsidRPr="008A2350">
        <w:rPr>
          <w:rFonts w:ascii="Verdana" w:hAnsi="Verdana"/>
          <w:sz w:val="22"/>
          <w:szCs w:val="22"/>
        </w:rPr>
        <w:t xml:space="preserve">“De lo anterior se puede concluir, que de conformidad con lo previsto por la Ley y la Directiva Ministerial 04 de </w:t>
      </w:r>
      <w:proofErr w:type="gramStart"/>
      <w:r w:rsidRPr="008A2350">
        <w:rPr>
          <w:rFonts w:ascii="Verdana" w:hAnsi="Verdana"/>
          <w:sz w:val="22"/>
          <w:szCs w:val="22"/>
        </w:rPr>
        <w:t>2003….</w:t>
      </w:r>
      <w:proofErr w:type="gramEnd"/>
      <w:r w:rsidRPr="008A2350">
        <w:rPr>
          <w:rFonts w:ascii="Verdana" w:hAnsi="Verdana"/>
          <w:sz w:val="22"/>
          <w:szCs w:val="22"/>
        </w:rPr>
        <w:t>los municipios pueden destinar recursos de la Participación en Educación para calidad a la financiación de programas de alimentación escolar. Sin embargo, estos recursos deben ser utilizados en su totalidad para la compra de alimentos o para la contratación del servicio, es decir que no pueden ser destinados a financiar gastos administrativos o para la compra de enseres, utensilios y demás elementos necesarios para la preparación de los alimentos.</w:t>
      </w:r>
    </w:p>
    <w:p w14:paraId="46C21A7D" w14:textId="77777777" w:rsidR="008A2350" w:rsidRPr="008A2350" w:rsidRDefault="008A2350" w:rsidP="008A2350">
      <w:pPr>
        <w:jc w:val="both"/>
        <w:rPr>
          <w:rFonts w:ascii="Verdana" w:hAnsi="Verdana"/>
          <w:sz w:val="22"/>
          <w:szCs w:val="22"/>
        </w:rPr>
      </w:pPr>
      <w:r w:rsidRPr="008A2350">
        <w:rPr>
          <w:rFonts w:ascii="Verdana" w:hAnsi="Verdana"/>
          <w:sz w:val="22"/>
          <w:szCs w:val="22"/>
        </w:rPr>
        <w:t>Cabe señalar que las inversiones deben estar soportadas en proyectos inscritos y debidamente viabilizados en el banco municipal de proyectos de inversión, incorporados al plan operativo anual de inversiones del municipio y en el presupuesto municipal. En esta medida, las inversiones deben estar soportadas por proyectos que tengan definidos objetivos, metas e indicadores de resultado”.</w:t>
      </w:r>
    </w:p>
    <w:p w14:paraId="1F7F120B" w14:textId="77777777" w:rsidR="008A2350" w:rsidRPr="008A2350" w:rsidRDefault="008A2350" w:rsidP="008A2350">
      <w:pPr>
        <w:jc w:val="both"/>
        <w:rPr>
          <w:rFonts w:ascii="Verdana" w:hAnsi="Verdana"/>
          <w:sz w:val="22"/>
          <w:szCs w:val="22"/>
        </w:rPr>
      </w:pPr>
      <w:r w:rsidRPr="008A2350">
        <w:rPr>
          <w:rFonts w:ascii="Verdana" w:hAnsi="Verdana"/>
          <w:sz w:val="22"/>
          <w:szCs w:val="22"/>
        </w:rPr>
        <w:t xml:space="preserve">Esperando que esta información les sea de utilidad, les recordamos que el documento CONPES 97 de 2006, incluido en </w:t>
      </w:r>
      <w:proofErr w:type="spellStart"/>
      <w:r w:rsidRPr="008A2350">
        <w:rPr>
          <w:rFonts w:ascii="Verdana" w:hAnsi="Verdana"/>
          <w:sz w:val="22"/>
          <w:szCs w:val="22"/>
        </w:rPr>
        <w:t>Infozonal</w:t>
      </w:r>
      <w:proofErr w:type="spellEnd"/>
      <w:r w:rsidRPr="008A2350">
        <w:rPr>
          <w:rFonts w:ascii="Verdana" w:hAnsi="Verdana"/>
          <w:sz w:val="22"/>
          <w:szCs w:val="22"/>
        </w:rPr>
        <w:t xml:space="preserve"> de febrero de 2006, contiene indicaciones para la destinación de los recursos de fa asignación específica para alimentación escolar y los demás del SGP que financien este tipo de programas. Señala el documento que estos recursos “serán complementarios a los asignados por otras instituciones públicas y/o privadas que destinen recursos para el mismo fin (ICBF, Gobernaciones, fundaciones, organizaciones no gubernamentales e internacionales), con el propósito de atender progresivamente de los grados inferiores a los superiores iniciando por el preescolar…”</w:t>
      </w:r>
    </w:p>
    <w:p w14:paraId="68E3E14C" w14:textId="77777777" w:rsidR="008A2350" w:rsidRDefault="008A2350" w:rsidP="008A2350">
      <w:pPr>
        <w:jc w:val="both"/>
        <w:rPr>
          <w:rFonts w:ascii="Verdana" w:hAnsi="Verdana"/>
          <w:sz w:val="22"/>
          <w:szCs w:val="22"/>
        </w:rPr>
      </w:pPr>
      <w:r w:rsidRPr="008A2350">
        <w:rPr>
          <w:rFonts w:ascii="Verdana" w:hAnsi="Verdana"/>
          <w:sz w:val="22"/>
          <w:szCs w:val="22"/>
        </w:rPr>
        <w:t>Cordial saludo,</w:t>
      </w:r>
    </w:p>
    <w:p w14:paraId="3B158447" w14:textId="77777777" w:rsidR="008A2350" w:rsidRPr="008A2350" w:rsidRDefault="008A2350" w:rsidP="008A2350">
      <w:pPr>
        <w:jc w:val="both"/>
        <w:rPr>
          <w:rFonts w:ascii="Verdana" w:hAnsi="Verdana"/>
          <w:sz w:val="22"/>
          <w:szCs w:val="22"/>
        </w:rPr>
      </w:pPr>
    </w:p>
    <w:p w14:paraId="09470E62" w14:textId="77777777" w:rsidR="008A2350" w:rsidRPr="008A2350" w:rsidRDefault="008A2350" w:rsidP="008A2350">
      <w:pPr>
        <w:jc w:val="center"/>
        <w:rPr>
          <w:rFonts w:ascii="Verdana" w:hAnsi="Verdana"/>
          <w:sz w:val="22"/>
          <w:szCs w:val="22"/>
        </w:rPr>
      </w:pPr>
      <w:r w:rsidRPr="008A2350">
        <w:rPr>
          <w:rFonts w:ascii="Verdana" w:hAnsi="Verdana"/>
          <w:b/>
          <w:bCs/>
          <w:sz w:val="22"/>
          <w:szCs w:val="22"/>
        </w:rPr>
        <w:t>BEATRIZ LONDOÑO SOTO</w:t>
      </w:r>
    </w:p>
    <w:p w14:paraId="05FF7D0D" w14:textId="77777777" w:rsidR="008A2350" w:rsidRPr="008A2350" w:rsidRDefault="008A2350" w:rsidP="008A2350">
      <w:pPr>
        <w:jc w:val="center"/>
        <w:rPr>
          <w:rFonts w:ascii="Verdana" w:hAnsi="Verdana"/>
          <w:sz w:val="22"/>
          <w:szCs w:val="22"/>
        </w:rPr>
      </w:pPr>
      <w:r w:rsidRPr="008A2350">
        <w:rPr>
          <w:rFonts w:ascii="Verdana" w:hAnsi="Verdana"/>
          <w:sz w:val="22"/>
          <w:szCs w:val="22"/>
        </w:rPr>
        <w:t>Directora General</w:t>
      </w:r>
    </w:p>
    <w:p w14:paraId="4DA9E39F" w14:textId="77777777" w:rsidR="008A2350" w:rsidRPr="008A2350" w:rsidRDefault="008A2350" w:rsidP="008A2350">
      <w:pPr>
        <w:jc w:val="both"/>
        <w:rPr>
          <w:rFonts w:ascii="Verdana" w:hAnsi="Verdana"/>
          <w:sz w:val="22"/>
          <w:szCs w:val="22"/>
        </w:rPr>
      </w:pPr>
    </w:p>
    <w:sectPr w:rsidR="008A2350" w:rsidRPr="008A23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217A9"/>
    <w:multiLevelType w:val="multilevel"/>
    <w:tmpl w:val="E742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24A39"/>
    <w:multiLevelType w:val="multilevel"/>
    <w:tmpl w:val="8600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F4500"/>
    <w:multiLevelType w:val="multilevel"/>
    <w:tmpl w:val="BFB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977373">
    <w:abstractNumId w:val="2"/>
  </w:num>
  <w:num w:numId="2" w16cid:durableId="1310670937">
    <w:abstractNumId w:val="0"/>
  </w:num>
  <w:num w:numId="3" w16cid:durableId="112553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50"/>
    <w:rsid w:val="00403D67"/>
    <w:rsid w:val="008A23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E22E"/>
  <w15:chartTrackingRefBased/>
  <w15:docId w15:val="{917DC77F-E9A3-4EE0-B476-C5C1153C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2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2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23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23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23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23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23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23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23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23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23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23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23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23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23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23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23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2350"/>
    <w:rPr>
      <w:rFonts w:eastAsiaTheme="majorEastAsia" w:cstheme="majorBidi"/>
      <w:color w:val="272727" w:themeColor="text1" w:themeTint="D8"/>
    </w:rPr>
  </w:style>
  <w:style w:type="paragraph" w:styleId="Ttulo">
    <w:name w:val="Title"/>
    <w:basedOn w:val="Normal"/>
    <w:next w:val="Normal"/>
    <w:link w:val="TtuloCar"/>
    <w:uiPriority w:val="10"/>
    <w:qFormat/>
    <w:rsid w:val="008A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23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23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23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2350"/>
    <w:pPr>
      <w:spacing w:before="160"/>
      <w:jc w:val="center"/>
    </w:pPr>
    <w:rPr>
      <w:i/>
      <w:iCs/>
      <w:color w:val="404040" w:themeColor="text1" w:themeTint="BF"/>
    </w:rPr>
  </w:style>
  <w:style w:type="character" w:customStyle="1" w:styleId="CitaCar">
    <w:name w:val="Cita Car"/>
    <w:basedOn w:val="Fuentedeprrafopredeter"/>
    <w:link w:val="Cita"/>
    <w:uiPriority w:val="29"/>
    <w:rsid w:val="008A2350"/>
    <w:rPr>
      <w:i/>
      <w:iCs/>
      <w:color w:val="404040" w:themeColor="text1" w:themeTint="BF"/>
    </w:rPr>
  </w:style>
  <w:style w:type="paragraph" w:styleId="Prrafodelista">
    <w:name w:val="List Paragraph"/>
    <w:basedOn w:val="Normal"/>
    <w:uiPriority w:val="34"/>
    <w:qFormat/>
    <w:rsid w:val="008A2350"/>
    <w:pPr>
      <w:ind w:left="720"/>
      <w:contextualSpacing/>
    </w:pPr>
  </w:style>
  <w:style w:type="character" w:styleId="nfasisintenso">
    <w:name w:val="Intense Emphasis"/>
    <w:basedOn w:val="Fuentedeprrafopredeter"/>
    <w:uiPriority w:val="21"/>
    <w:qFormat/>
    <w:rsid w:val="008A2350"/>
    <w:rPr>
      <w:i/>
      <w:iCs/>
      <w:color w:val="0F4761" w:themeColor="accent1" w:themeShade="BF"/>
    </w:rPr>
  </w:style>
  <w:style w:type="paragraph" w:styleId="Citadestacada">
    <w:name w:val="Intense Quote"/>
    <w:basedOn w:val="Normal"/>
    <w:next w:val="Normal"/>
    <w:link w:val="CitadestacadaCar"/>
    <w:uiPriority w:val="30"/>
    <w:qFormat/>
    <w:rsid w:val="008A2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2350"/>
    <w:rPr>
      <w:i/>
      <w:iCs/>
      <w:color w:val="0F4761" w:themeColor="accent1" w:themeShade="BF"/>
    </w:rPr>
  </w:style>
  <w:style w:type="character" w:styleId="Referenciaintensa">
    <w:name w:val="Intense Reference"/>
    <w:basedOn w:val="Fuentedeprrafopredeter"/>
    <w:uiPriority w:val="32"/>
    <w:qFormat/>
    <w:rsid w:val="008A2350"/>
    <w:rPr>
      <w:b/>
      <w:bCs/>
      <w:smallCaps/>
      <w:color w:val="0F4761" w:themeColor="accent1" w:themeShade="BF"/>
      <w:spacing w:val="5"/>
    </w:rPr>
  </w:style>
  <w:style w:type="character" w:styleId="Hipervnculo">
    <w:name w:val="Hyperlink"/>
    <w:basedOn w:val="Fuentedeprrafopredeter"/>
    <w:uiPriority w:val="99"/>
    <w:unhideWhenUsed/>
    <w:rsid w:val="008A2350"/>
    <w:rPr>
      <w:color w:val="467886" w:themeColor="hyperlink"/>
      <w:u w:val="single"/>
    </w:rPr>
  </w:style>
  <w:style w:type="character" w:styleId="Mencinsinresolver">
    <w:name w:val="Unresolved Mention"/>
    <w:basedOn w:val="Fuentedeprrafopredeter"/>
    <w:uiPriority w:val="99"/>
    <w:semiHidden/>
    <w:unhideWhenUsed/>
    <w:rsid w:val="008A2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B146B-575F-40C3-A316-B509EBED4D96}"/>
</file>

<file path=customXml/itemProps2.xml><?xml version="1.0" encoding="utf-8"?>
<ds:datastoreItem xmlns:ds="http://schemas.openxmlformats.org/officeDocument/2006/customXml" ds:itemID="{001F60C8-80EC-42D4-A5D2-07DFA144F81A}"/>
</file>

<file path=customXml/itemProps3.xml><?xml version="1.0" encoding="utf-8"?>
<ds:datastoreItem xmlns:ds="http://schemas.openxmlformats.org/officeDocument/2006/customXml" ds:itemID="{C9C9C681-C3AF-48A1-A20F-EC998AF11C9F}"/>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5282</Characters>
  <Application>Microsoft Office Word</Application>
  <DocSecurity>0</DocSecurity>
  <Lines>114</Lines>
  <Paragraphs>70</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2026-02-05T14:17:00Z</dcterms:created>
  <dcterms:modified xsi:type="dcterms:W3CDTF">2026-02-05T14:45:00Z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