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42BD" w14:textId="2757B1A2" w:rsidR="001E1FEE" w:rsidRPr="001E1FEE" w:rsidRDefault="001E1FEE" w:rsidP="001E1FEE">
      <w:pPr>
        <w:jc w:val="center"/>
        <w:rPr>
          <w:rFonts w:ascii="Verdana" w:hAnsi="Verdana"/>
          <w:b/>
          <w:bCs/>
        </w:rPr>
      </w:pPr>
      <w:r w:rsidRPr="001E1FEE">
        <w:rPr>
          <w:rFonts w:ascii="Verdana" w:hAnsi="Verdana"/>
          <w:b/>
          <w:bCs/>
        </w:rPr>
        <w:t>CIRCULAR 36 DE 2009</w:t>
      </w:r>
    </w:p>
    <w:p w14:paraId="4FCD8836" w14:textId="12D5BFE3" w:rsidR="001E1FEE" w:rsidRPr="001E1FEE" w:rsidRDefault="001E1FEE" w:rsidP="001E1FE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</w:t>
      </w:r>
      <w:r w:rsidRPr="001E1FEE">
        <w:rPr>
          <w:rFonts w:ascii="Verdana" w:hAnsi="Verdana"/>
          <w:b/>
          <w:bCs/>
        </w:rPr>
        <w:t>30</w:t>
      </w:r>
      <w:r>
        <w:rPr>
          <w:rFonts w:ascii="Verdana" w:hAnsi="Verdana"/>
          <w:b/>
          <w:bCs/>
        </w:rPr>
        <w:t xml:space="preserve"> de</w:t>
      </w:r>
      <w:r w:rsidRPr="001E1FEE">
        <w:rPr>
          <w:rFonts w:ascii="Verdana" w:hAnsi="Verdana"/>
          <w:b/>
          <w:bCs/>
        </w:rPr>
        <w:t xml:space="preserve"> </w:t>
      </w:r>
      <w:proofErr w:type="gramStart"/>
      <w:r w:rsidRPr="001E1FEE">
        <w:rPr>
          <w:rFonts w:ascii="Verdana" w:hAnsi="Verdana"/>
          <w:b/>
          <w:bCs/>
        </w:rPr>
        <w:t>Diciembre</w:t>
      </w:r>
      <w:proofErr w:type="gramEnd"/>
      <w:r>
        <w:rPr>
          <w:rFonts w:ascii="Verdana" w:hAnsi="Verdana"/>
          <w:b/>
          <w:bCs/>
        </w:rPr>
        <w:t>)</w:t>
      </w:r>
    </w:p>
    <w:p w14:paraId="6A9B36EF" w14:textId="124A76F5" w:rsidR="001E1FEE" w:rsidRPr="001E1FEE" w:rsidRDefault="001E1FEE" w:rsidP="001E1FEE">
      <w:pPr>
        <w:jc w:val="center"/>
        <w:rPr>
          <w:rFonts w:ascii="Verdana" w:hAnsi="Verdana"/>
          <w:b/>
          <w:bCs/>
        </w:rPr>
      </w:pPr>
      <w:r w:rsidRPr="001E1FEE">
        <w:rPr>
          <w:rFonts w:ascii="Verdana" w:hAnsi="Verdana"/>
          <w:b/>
          <w:bCs/>
        </w:rPr>
        <w:t>INSTITUTO COLOMBIANO DE BIENESTAR FAMILIAR – ICBF</w:t>
      </w:r>
    </w:p>
    <w:p w14:paraId="4C4996B8" w14:textId="189044AA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 xml:space="preserve">Para: </w:t>
      </w:r>
      <w:proofErr w:type="gramStart"/>
      <w:r w:rsidRPr="001E1FEE">
        <w:rPr>
          <w:rFonts w:ascii="Verdana" w:hAnsi="Verdana"/>
        </w:rPr>
        <w:t>Directores Regionales</w:t>
      </w:r>
      <w:proofErr w:type="gramEnd"/>
      <w:r w:rsidRPr="001E1FEE">
        <w:rPr>
          <w:rFonts w:ascii="Verdana" w:hAnsi="Verdana"/>
        </w:rPr>
        <w:t xml:space="preserve"> Y Seccionales</w:t>
      </w:r>
    </w:p>
    <w:p w14:paraId="1D3203F0" w14:textId="692AB0FE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Asunto:   Programa De Alimentación Escolar</w:t>
      </w:r>
    </w:p>
    <w:p w14:paraId="4C01179E" w14:textId="01B971C8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La Dirección General del Instituto Colombiano de Bienestar Familiar, considerando fundamental la corresponsabilidad de los diferentes agentes del Estado en la efectividad de la protección integral de la infancia y la adolescencia, y de manera particular buscando continuar con el fortalecimiento en el apoyo a la permanencia de los niños, niñas y adolescentes en el servicio público educativo, ha determinado que desde el papel de coordinador del Sistema Nacional de Bienestar Familiar, las Direcciones Regionales y Seccionales continúen prestando especial atención en la implementación de las siguientes acciones relacionadas con el Programa de Alimentación Escolar:</w:t>
      </w:r>
    </w:p>
    <w:p w14:paraId="075D8E49" w14:textId="424EAF17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 xml:space="preserve">1. Hacer seguimiento al cumplimiento de la obligatoriedad por parte de los operadores del servicio, de aplicar los lineamientos del </w:t>
      </w:r>
      <w:proofErr w:type="gramStart"/>
      <w:r w:rsidRPr="001E1FEE">
        <w:rPr>
          <w:rFonts w:ascii="Verdana" w:hAnsi="Verdana"/>
        </w:rPr>
        <w:t>ICBF,[</w:t>
      </w:r>
      <w:proofErr w:type="gramEnd"/>
      <w:r w:rsidRPr="001E1FEE">
        <w:rPr>
          <w:rFonts w:ascii="Verdana" w:hAnsi="Verdana"/>
        </w:rPr>
        <w:t>1 así como de recibir las visitas de supervisión técnica.</w:t>
      </w:r>
    </w:p>
    <w:p w14:paraId="3F8B113A" w14:textId="5F9FF05B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2. Evaluar trimestralmente en el Comité de Dirección Ampliado, los resultados del proceso de supervisión a entidades contratistas y unidades del Programa de Alimentación Escolar, con el fin de formular, evaluar e implementar las medidas pertinentes frente al mejoramiento continuo del servicio.</w:t>
      </w:r>
    </w:p>
    <w:p w14:paraId="608A565A" w14:textId="15D4AC3A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3. Garantizar que la coordinación jurídica y el comité de asesoría contractual realicen las actuaciones pertinentes frente a los hallazgos reportados en las visitas de supervisión, relacionados con entidades contratistas y unidades clasificadas en condición de riesgo y crítica.</w:t>
      </w:r>
    </w:p>
    <w:p w14:paraId="78FEAA7C" w14:textId="1ADFE665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4. Garantizar que los supervisores de contrato den estricto cumplimiento a los criterios para el cambio de entidades contratistas, de acuerdo con lo establecido en la Resolución 3858 de 2007 por la cual se actualizan los Lineamientos Técnico -Administrativos y Estándares para la Asistencia Alimentaria al Escolar -Programa de Alimentación Escolar - PAE.</w:t>
      </w:r>
    </w:p>
    <w:p w14:paraId="7D349A3D" w14:textId="1A966272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5. Acompañar a las entidades territoriales para que den cumplimiento a lo ordenado en el Código de la Infancia y la Adolescencia y a lo dispuesto en la Ley 1176 de 2007, que en su artículo 16 establece que las entidades territoriales seguirán y aplicarán, en primer término, los lineamientos técnico-administrativos básicos respecto de la complementación alimentaria, los estándares de alimentación, de planta física, de equipo y menaje y de recurso humano, y las condiciones para la prestación del servicio, que establezca el Instituto Colombiano de Bienestar Familiar para el desarrollo del programa.</w:t>
      </w:r>
    </w:p>
    <w:p w14:paraId="43747704" w14:textId="164B7A45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lastRenderedPageBreak/>
        <w:t>6. Presentar el programa en términos de su sentido, requerimientos, estructura y resultados de supervisión en los Consejos de Política Social, con el fin de avanzar en la comprensión y efectividad de la corresponsabilidad de los diferentes actores del Estado.</w:t>
      </w:r>
    </w:p>
    <w:p w14:paraId="282B7280" w14:textId="689E6E26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7. Promover la vinculación del Ministerio Público en la verificación de las obligaciones que el Código de la Infancia y la Adolescencia establece a las entidades territoriales.</w:t>
      </w:r>
    </w:p>
    <w:p w14:paraId="5DFD55C6" w14:textId="20F493C7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8. Implementar la estrategia de Auditorías Visibles que lidera el Programa Anticorrupción de la Presidencia de la República, con el fin de dar a conocer a las comunidades beneficiarías, información sobre el avance, ejecución y evaluación del programa.</w:t>
      </w:r>
    </w:p>
    <w:p w14:paraId="0992F344" w14:textId="61D60951" w:rsidR="001E1FEE" w:rsidRPr="001E1FEE" w:rsidRDefault="001E1FEE" w:rsidP="001E1FEE">
      <w:pPr>
        <w:jc w:val="both"/>
        <w:rPr>
          <w:rFonts w:ascii="Verdana" w:hAnsi="Verdana"/>
        </w:rPr>
      </w:pPr>
      <w:r w:rsidRPr="001E1FEE">
        <w:rPr>
          <w:rFonts w:ascii="Verdana" w:hAnsi="Verdana"/>
        </w:rPr>
        <w:t>Cordialmente,</w:t>
      </w:r>
    </w:p>
    <w:p w14:paraId="2F55BA61" w14:textId="658B2D5A" w:rsidR="00B0557E" w:rsidRPr="001E1FEE" w:rsidRDefault="001E1FEE" w:rsidP="001E1FEE">
      <w:pPr>
        <w:jc w:val="center"/>
        <w:rPr>
          <w:rFonts w:ascii="Verdana" w:hAnsi="Verdana"/>
          <w:b/>
          <w:bCs/>
        </w:rPr>
      </w:pPr>
      <w:r w:rsidRPr="001E1FEE">
        <w:rPr>
          <w:rFonts w:ascii="Verdana" w:hAnsi="Verdana"/>
          <w:b/>
          <w:bCs/>
        </w:rPr>
        <w:t>ELVIRA FORERO HERNANDEZ</w:t>
      </w:r>
    </w:p>
    <w:sectPr w:rsidR="00B0557E" w:rsidRPr="001E1F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E"/>
    <w:rsid w:val="001E1FEE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7BE5"/>
  <w15:chartTrackingRefBased/>
  <w15:docId w15:val="{6A6F151B-BBCB-4EEF-B611-25805A0C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0FD59-46DD-4001-AD29-325EE9DD342E}"/>
</file>

<file path=customXml/itemProps2.xml><?xml version="1.0" encoding="utf-8"?>
<ds:datastoreItem xmlns:ds="http://schemas.openxmlformats.org/officeDocument/2006/customXml" ds:itemID="{2BB690CA-F3E7-4024-9C01-1C0C18B5CBDF}"/>
</file>

<file path=customXml/itemProps3.xml><?xml version="1.0" encoding="utf-8"?>
<ds:datastoreItem xmlns:ds="http://schemas.openxmlformats.org/officeDocument/2006/customXml" ds:itemID="{15EC3837-C350-4C04-AFF8-D0BF11F4B8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2026-02-03T18:36:00Z</dcterms:created>
  <dcterms:modified xsi:type="dcterms:W3CDTF">2026-02-03T18:41:00Z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