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1E39" w14:textId="3D31D4B2" w:rsidR="00C55373" w:rsidRPr="00C55373" w:rsidRDefault="00C55373" w:rsidP="00C55373">
      <w:pPr>
        <w:jc w:val="center"/>
        <w:rPr>
          <w:rFonts w:ascii="Verdana" w:hAnsi="Verdana"/>
          <w:b/>
          <w:bCs/>
        </w:rPr>
      </w:pPr>
      <w:r w:rsidRPr="00C55373">
        <w:rPr>
          <w:rFonts w:ascii="Verdana" w:hAnsi="Verdana"/>
          <w:b/>
          <w:bCs/>
        </w:rPr>
        <w:t>CIRCULAR 24 DE 2009</w:t>
      </w:r>
    </w:p>
    <w:p w14:paraId="0F3098ED" w14:textId="2EF92D57" w:rsidR="00C55373" w:rsidRPr="00C55373" w:rsidRDefault="00C55373" w:rsidP="00C55373">
      <w:pPr>
        <w:jc w:val="center"/>
        <w:rPr>
          <w:rFonts w:ascii="Verdana" w:hAnsi="Verdana"/>
          <w:b/>
          <w:bCs/>
        </w:rPr>
      </w:pPr>
      <w:r w:rsidRPr="00C55373">
        <w:rPr>
          <w:rFonts w:ascii="Verdana" w:hAnsi="Verdana"/>
          <w:b/>
          <w:bCs/>
        </w:rPr>
        <w:t>(</w:t>
      </w:r>
      <w:r>
        <w:rPr>
          <w:rFonts w:ascii="Verdana" w:hAnsi="Verdana"/>
          <w:b/>
          <w:bCs/>
        </w:rPr>
        <w:t xml:space="preserve">28 de </w:t>
      </w:r>
      <w:r w:rsidRPr="00C55373">
        <w:rPr>
          <w:rFonts w:ascii="Verdana" w:hAnsi="Verdana"/>
          <w:b/>
          <w:bCs/>
        </w:rPr>
        <w:t>octubre)</w:t>
      </w:r>
    </w:p>
    <w:p w14:paraId="5B6F1235" w14:textId="3E93BB3B" w:rsidR="00C55373" w:rsidRPr="00C55373" w:rsidRDefault="00C55373" w:rsidP="00C55373">
      <w:pPr>
        <w:jc w:val="center"/>
        <w:rPr>
          <w:rFonts w:ascii="Verdana" w:hAnsi="Verdana"/>
          <w:b/>
          <w:bCs/>
        </w:rPr>
      </w:pPr>
      <w:r w:rsidRPr="00C55373">
        <w:rPr>
          <w:rFonts w:ascii="Verdana" w:hAnsi="Verdana"/>
          <w:b/>
          <w:bCs/>
        </w:rPr>
        <w:t>INSTITUTO COLOMBIANO DE BIENESTAR FAMILIAR</w:t>
      </w:r>
    </w:p>
    <w:p w14:paraId="4F1A686D" w14:textId="55950823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De:</w:t>
      </w:r>
      <w:r w:rsidRPr="00C55373">
        <w:rPr>
          <w:rFonts w:ascii="Verdana" w:hAnsi="Verdana"/>
        </w:rPr>
        <w:tab/>
      </w:r>
      <w:proofErr w:type="gramStart"/>
      <w:r w:rsidRPr="00C55373">
        <w:rPr>
          <w:rFonts w:ascii="Verdana" w:hAnsi="Verdana"/>
        </w:rPr>
        <w:t>Directora General</w:t>
      </w:r>
      <w:proofErr w:type="gramEnd"/>
    </w:p>
    <w:p w14:paraId="4324EA06" w14:textId="5318C346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Para:</w:t>
      </w:r>
      <w:r w:rsidRPr="00C55373">
        <w:rPr>
          <w:rFonts w:ascii="Verdana" w:hAnsi="Verdana"/>
        </w:rPr>
        <w:tab/>
        <w:t xml:space="preserve">Servidores Públicos Del </w:t>
      </w:r>
      <w:proofErr w:type="spellStart"/>
      <w:r w:rsidRPr="00C55373">
        <w:rPr>
          <w:rFonts w:ascii="Verdana" w:hAnsi="Verdana"/>
        </w:rPr>
        <w:t>Icbf</w:t>
      </w:r>
      <w:proofErr w:type="spellEnd"/>
    </w:p>
    <w:p w14:paraId="7A32CC81" w14:textId="78116CF4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C55373">
        <w:rPr>
          <w:rFonts w:ascii="Verdana" w:hAnsi="Verdana"/>
        </w:rPr>
        <w:t>VACACIONES Y TURNOS DE DESCANSO COMPENSADO FIN DE AÑO 2009.</w:t>
      </w:r>
    </w:p>
    <w:p w14:paraId="58D0725A" w14:textId="6A297CA4" w:rsidR="00B0557E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Con el fin de propiciar espacios familiares para el sano esparcimiento y la reflexión, propios de la época de navidad y año nuevo, sin que ello afecte la debida prestación del servicio, la Dirección General ha programado los siguientes turnos de descanso compensado: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24"/>
        <w:gridCol w:w="7504"/>
      </w:tblGrid>
      <w:tr w:rsidR="00C55373" w:rsidRPr="00C55373" w14:paraId="5FBA4FD2" w14:textId="77777777" w:rsidTr="00C55373">
        <w:tc>
          <w:tcPr>
            <w:tcW w:w="750" w:type="pct"/>
            <w:hideMark/>
          </w:tcPr>
          <w:p w14:paraId="65FF1B2B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  <w:b/>
                <w:bCs/>
              </w:rPr>
              <w:t>Turno</w:t>
            </w:r>
          </w:p>
        </w:tc>
        <w:tc>
          <w:tcPr>
            <w:tcW w:w="4250" w:type="pct"/>
            <w:hideMark/>
          </w:tcPr>
          <w:p w14:paraId="06C21C0A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  <w:b/>
                <w:bCs/>
              </w:rPr>
              <w:t>Días de descanso compensado</w:t>
            </w:r>
          </w:p>
        </w:tc>
      </w:tr>
      <w:tr w:rsidR="00C55373" w:rsidRPr="00C55373" w14:paraId="62630DC8" w14:textId="77777777" w:rsidTr="00C55373">
        <w:tc>
          <w:tcPr>
            <w:tcW w:w="750" w:type="pct"/>
            <w:hideMark/>
          </w:tcPr>
          <w:p w14:paraId="0995213B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Primero</w:t>
            </w:r>
          </w:p>
        </w:tc>
        <w:tc>
          <w:tcPr>
            <w:tcW w:w="4250" w:type="pct"/>
            <w:hideMark/>
          </w:tcPr>
          <w:p w14:paraId="3928842A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21, 22, 23 y 24 de diciembre de 2009</w:t>
            </w:r>
          </w:p>
        </w:tc>
      </w:tr>
      <w:tr w:rsidR="00C55373" w:rsidRPr="00C55373" w14:paraId="174FF279" w14:textId="77777777" w:rsidTr="00C55373">
        <w:tc>
          <w:tcPr>
            <w:tcW w:w="750" w:type="pct"/>
            <w:hideMark/>
          </w:tcPr>
          <w:p w14:paraId="0D149949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Segundo</w:t>
            </w:r>
          </w:p>
        </w:tc>
        <w:tc>
          <w:tcPr>
            <w:tcW w:w="4250" w:type="pct"/>
            <w:hideMark/>
          </w:tcPr>
          <w:p w14:paraId="6A494103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 xml:space="preserve">28, 29 ,30 y </w:t>
            </w:r>
            <w:proofErr w:type="gramStart"/>
            <w:r w:rsidRPr="00C55373">
              <w:rPr>
                <w:rFonts w:ascii="Verdana" w:hAnsi="Verdana"/>
              </w:rPr>
              <w:t>31  de</w:t>
            </w:r>
            <w:proofErr w:type="gramEnd"/>
            <w:r w:rsidRPr="00C55373">
              <w:rPr>
                <w:rFonts w:ascii="Verdana" w:hAnsi="Verdana"/>
              </w:rPr>
              <w:t xml:space="preserve"> diciembre de 2009</w:t>
            </w:r>
          </w:p>
        </w:tc>
      </w:tr>
      <w:tr w:rsidR="00C55373" w:rsidRPr="00C55373" w14:paraId="28A47471" w14:textId="77777777" w:rsidTr="00C55373">
        <w:tc>
          <w:tcPr>
            <w:tcW w:w="750" w:type="pct"/>
            <w:hideMark/>
          </w:tcPr>
          <w:p w14:paraId="7115D263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Tercero</w:t>
            </w:r>
          </w:p>
        </w:tc>
        <w:tc>
          <w:tcPr>
            <w:tcW w:w="4250" w:type="pct"/>
            <w:hideMark/>
          </w:tcPr>
          <w:p w14:paraId="6D351646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4, 5, 6, 7 y 8 de enero de 2010</w:t>
            </w:r>
          </w:p>
        </w:tc>
      </w:tr>
      <w:tr w:rsidR="00C55373" w:rsidRPr="00C55373" w14:paraId="52288C30" w14:textId="77777777" w:rsidTr="00C55373">
        <w:tc>
          <w:tcPr>
            <w:tcW w:w="750" w:type="pct"/>
            <w:hideMark/>
          </w:tcPr>
          <w:p w14:paraId="4813D403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Cuarto</w:t>
            </w:r>
          </w:p>
        </w:tc>
        <w:tc>
          <w:tcPr>
            <w:tcW w:w="4250" w:type="pct"/>
            <w:hideMark/>
          </w:tcPr>
          <w:p w14:paraId="3BB96370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12, 13, 14 y 15 de enero de 2010</w:t>
            </w:r>
          </w:p>
        </w:tc>
      </w:tr>
    </w:tbl>
    <w:p w14:paraId="630C32A8" w14:textId="284D2BF6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Los servidores públicos interesados en tomar cualquiera de los turnos señalados anteriormente, deberán tener en cuenta las siguientes consideraciones:</w:t>
      </w:r>
    </w:p>
    <w:p w14:paraId="30400E1C" w14:textId="339C4F8A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1. La compensación de tiempo se dará conforme a lo indicado en el siguiente cuadro:</w:t>
      </w:r>
    </w:p>
    <w:p w14:paraId="549F89D3" w14:textId="11E1F5BA" w:rsid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Compensación</w:t>
      </w:r>
    </w:p>
    <w:tbl>
      <w:tblPr>
        <w:tblStyle w:val="Tablaconcuadrcula"/>
        <w:tblW w:w="4950" w:type="pct"/>
        <w:tblLook w:val="04A0" w:firstRow="1" w:lastRow="0" w:firstColumn="1" w:lastColumn="0" w:noHBand="0" w:noVBand="1"/>
      </w:tblPr>
      <w:tblGrid>
        <w:gridCol w:w="2622"/>
        <w:gridCol w:w="1136"/>
        <w:gridCol w:w="1486"/>
        <w:gridCol w:w="3496"/>
      </w:tblGrid>
      <w:tr w:rsidR="00C55373" w:rsidRPr="00C55373" w14:paraId="1A281EC5" w14:textId="77777777" w:rsidTr="00C55373">
        <w:tc>
          <w:tcPr>
            <w:tcW w:w="1500" w:type="pct"/>
            <w:hideMark/>
          </w:tcPr>
          <w:p w14:paraId="5DD2FE90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  <w:b/>
                <w:bCs/>
              </w:rPr>
              <w:t>Turno</w:t>
            </w:r>
          </w:p>
        </w:tc>
        <w:tc>
          <w:tcPr>
            <w:tcW w:w="650" w:type="pct"/>
            <w:hideMark/>
          </w:tcPr>
          <w:p w14:paraId="027CB9DA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  <w:b/>
                <w:bCs/>
              </w:rPr>
              <w:t>Tiempo</w:t>
            </w:r>
          </w:p>
        </w:tc>
        <w:tc>
          <w:tcPr>
            <w:tcW w:w="850" w:type="pct"/>
            <w:hideMark/>
          </w:tcPr>
          <w:p w14:paraId="05F28404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  <w:b/>
                <w:bCs/>
              </w:rPr>
              <w:t>Horario</w:t>
            </w:r>
          </w:p>
        </w:tc>
        <w:tc>
          <w:tcPr>
            <w:tcW w:w="2000" w:type="pct"/>
            <w:hideMark/>
          </w:tcPr>
          <w:p w14:paraId="43BF3A30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  <w:b/>
                <w:bCs/>
              </w:rPr>
              <w:t>Fechas</w:t>
            </w:r>
          </w:p>
        </w:tc>
      </w:tr>
      <w:tr w:rsidR="00C55373" w:rsidRPr="00C55373" w14:paraId="53B554D0" w14:textId="77777777" w:rsidTr="00C55373">
        <w:tc>
          <w:tcPr>
            <w:tcW w:w="1500" w:type="pct"/>
            <w:hideMark/>
          </w:tcPr>
          <w:p w14:paraId="10311FDF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Primero, segundo y cuarto</w:t>
            </w:r>
          </w:p>
        </w:tc>
        <w:tc>
          <w:tcPr>
            <w:tcW w:w="650" w:type="pct"/>
            <w:hideMark/>
          </w:tcPr>
          <w:p w14:paraId="47A0593F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32 horas</w:t>
            </w:r>
          </w:p>
        </w:tc>
        <w:tc>
          <w:tcPr>
            <w:tcW w:w="850" w:type="pct"/>
            <w:hideMark/>
          </w:tcPr>
          <w:p w14:paraId="6D8C984E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8 am a 6 pm</w:t>
            </w:r>
          </w:p>
        </w:tc>
        <w:tc>
          <w:tcPr>
            <w:tcW w:w="2000" w:type="pct"/>
            <w:hideMark/>
          </w:tcPr>
          <w:p w14:paraId="45BBE10C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3 noviembre a 18 diciembre</w:t>
            </w:r>
          </w:p>
        </w:tc>
      </w:tr>
      <w:tr w:rsidR="00C55373" w:rsidRPr="00C55373" w14:paraId="12607B14" w14:textId="77777777" w:rsidTr="00C55373">
        <w:tc>
          <w:tcPr>
            <w:tcW w:w="1500" w:type="pct"/>
            <w:hideMark/>
          </w:tcPr>
          <w:p w14:paraId="6E838607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Tercero</w:t>
            </w:r>
          </w:p>
        </w:tc>
        <w:tc>
          <w:tcPr>
            <w:tcW w:w="650" w:type="pct"/>
            <w:hideMark/>
          </w:tcPr>
          <w:p w14:paraId="46B9ABE9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40 horas</w:t>
            </w:r>
          </w:p>
        </w:tc>
        <w:tc>
          <w:tcPr>
            <w:tcW w:w="850" w:type="pct"/>
            <w:hideMark/>
          </w:tcPr>
          <w:p w14:paraId="5C04DCBD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8 am a 6 pm</w:t>
            </w:r>
          </w:p>
        </w:tc>
        <w:tc>
          <w:tcPr>
            <w:tcW w:w="2000" w:type="pct"/>
            <w:hideMark/>
          </w:tcPr>
          <w:p w14:paraId="4195295C" w14:textId="77777777" w:rsidR="00C55373" w:rsidRPr="00C55373" w:rsidRDefault="00C55373" w:rsidP="00C55373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C55373">
              <w:rPr>
                <w:rFonts w:ascii="Verdana" w:hAnsi="Verdana"/>
              </w:rPr>
              <w:t>3 noviembre a 31 diciembre</w:t>
            </w:r>
          </w:p>
        </w:tc>
      </w:tr>
    </w:tbl>
    <w:p w14:paraId="14A1013A" w14:textId="0EA42C70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2. Los servidores públicos que laboran horas extras, podrá compensar el tiempo de los turnos con los compensatorios acumulados.</w:t>
      </w:r>
    </w:p>
    <w:p w14:paraId="719D5EB9" w14:textId="4B498D38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 xml:space="preserve">3. Los turnos se deberán tomar única y exclusivamente en las fechas programadas; sin embargo, los servidores públicos vinculados a las áreas financieras o jurídicas que en razón a los cortes fiscales de fin de año se les imposibilite el disfrute en estos turnos, podrán tomar los tiempos compensados durante el primer semestre de 2010. En estos casos, el </w:t>
      </w:r>
      <w:proofErr w:type="gramStart"/>
      <w:r w:rsidRPr="00C55373">
        <w:rPr>
          <w:rFonts w:ascii="Verdana" w:hAnsi="Verdana"/>
        </w:rPr>
        <w:t>Director</w:t>
      </w:r>
      <w:proofErr w:type="gramEnd"/>
      <w:r w:rsidRPr="00C55373">
        <w:rPr>
          <w:rFonts w:ascii="Verdana" w:hAnsi="Verdana"/>
        </w:rPr>
        <w:t xml:space="preserve"> que actúe como </w:t>
      </w:r>
      <w:r w:rsidRPr="00C55373">
        <w:rPr>
          <w:rFonts w:ascii="Verdana" w:hAnsi="Verdana"/>
        </w:rPr>
        <w:lastRenderedPageBreak/>
        <w:t>jefe directo reportará a la Dirección de Gestión Humana los nombres de las personas cuyo disfrute se aplaza.</w:t>
      </w:r>
    </w:p>
    <w:p w14:paraId="0610F666" w14:textId="5FBB7096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4. Los servidores públicos que no compensen en su totalidad el tiempo como está previsto, no tendrán derecho a disfrutar los turnos, es decir, no existen turnos parciales.</w:t>
      </w:r>
    </w:p>
    <w:p w14:paraId="707D2FBD" w14:textId="34DB2321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5. No se autorizará otro tipo de permisos que coincidan con el inicio o finalización del turno de descanso solicitado.</w:t>
      </w:r>
    </w:p>
    <w:p w14:paraId="661DF1DC" w14:textId="55DF6D66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6. Se exceptúan de estos turnos los servidores públicos que disfruten de vacaciones en períodos que coincidan con el inicio o finalización de uno cualquiera de los turnos de descanso establecidos</w:t>
      </w:r>
    </w:p>
    <w:p w14:paraId="64269841" w14:textId="7774B5AC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 xml:space="preserve">7. Los servidores públicos que se desempeñen en los niveles Directivo o Asesor, o que cumplan funciones de coordinación en la Sede Nacional deberán contar </w:t>
      </w:r>
      <w:proofErr w:type="gramStart"/>
      <w:r w:rsidRPr="00C55373">
        <w:rPr>
          <w:rFonts w:ascii="Verdana" w:hAnsi="Verdana"/>
        </w:rPr>
        <w:t>con  la</w:t>
      </w:r>
      <w:proofErr w:type="gramEnd"/>
      <w:r w:rsidRPr="00C55373">
        <w:rPr>
          <w:rFonts w:ascii="Verdana" w:hAnsi="Verdana"/>
        </w:rPr>
        <w:t xml:space="preserve"> autorización previa de la Directora General.</w:t>
      </w:r>
    </w:p>
    <w:p w14:paraId="56C0B59C" w14:textId="536A7C99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 xml:space="preserve">8. Los </w:t>
      </w:r>
      <w:proofErr w:type="gramStart"/>
      <w:r w:rsidRPr="00C55373">
        <w:rPr>
          <w:rFonts w:ascii="Verdana" w:hAnsi="Verdana"/>
        </w:rPr>
        <w:t>Directores</w:t>
      </w:r>
      <w:proofErr w:type="gramEnd"/>
      <w:r w:rsidRPr="00C55373">
        <w:rPr>
          <w:rFonts w:ascii="Verdana" w:hAnsi="Verdana"/>
        </w:rPr>
        <w:t xml:space="preserve"> y Subdirectores de la Sede Nacional y los Directores Regionales y Seccionales, ejercerán vigilancia y control directo sobre lo dispuesto en esta circular.</w:t>
      </w:r>
    </w:p>
    <w:p w14:paraId="49DC93D5" w14:textId="373ACFD3" w:rsidR="00C55373" w:rsidRPr="00C55373" w:rsidRDefault="00C55373" w:rsidP="00C55373">
      <w:pPr>
        <w:jc w:val="both"/>
        <w:rPr>
          <w:rFonts w:ascii="Verdana" w:hAnsi="Verdana"/>
        </w:rPr>
      </w:pPr>
      <w:r w:rsidRPr="00C55373">
        <w:rPr>
          <w:rFonts w:ascii="Verdana" w:hAnsi="Verdana"/>
        </w:rPr>
        <w:t>9. Esta Circular aplica en todo el territorio nacional.</w:t>
      </w:r>
    </w:p>
    <w:p w14:paraId="25BCF5F4" w14:textId="1334B2FB" w:rsidR="00C55373" w:rsidRPr="00C55373" w:rsidRDefault="00C55373" w:rsidP="00C55373">
      <w:pPr>
        <w:jc w:val="center"/>
        <w:rPr>
          <w:rFonts w:ascii="Verdana" w:hAnsi="Verdana"/>
          <w:b/>
          <w:bCs/>
        </w:rPr>
      </w:pPr>
      <w:r w:rsidRPr="00C55373">
        <w:rPr>
          <w:rFonts w:ascii="Verdana" w:hAnsi="Verdana"/>
          <w:b/>
          <w:bCs/>
        </w:rPr>
        <w:t>ELVIRA FORERO HERNÁNDEZ</w:t>
      </w:r>
    </w:p>
    <w:p w14:paraId="249CACB3" w14:textId="3E50747B" w:rsidR="00C55373" w:rsidRPr="00C55373" w:rsidRDefault="00C55373" w:rsidP="00C55373">
      <w:pPr>
        <w:jc w:val="center"/>
        <w:rPr>
          <w:rFonts w:ascii="Verdana" w:hAnsi="Verdana"/>
        </w:rPr>
      </w:pPr>
      <w:r w:rsidRPr="00C55373">
        <w:rPr>
          <w:rFonts w:ascii="Verdana" w:hAnsi="Verdana"/>
        </w:rPr>
        <w:t>DIRECTORA GENERAL</w:t>
      </w:r>
    </w:p>
    <w:sectPr w:rsidR="00C55373" w:rsidRPr="00C55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73"/>
    <w:rsid w:val="00B0557E"/>
    <w:rsid w:val="00C5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DF65"/>
  <w15:chartTrackingRefBased/>
  <w15:docId w15:val="{3EE9E30B-CD63-4935-BF11-C8934828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FB8D5-AEE1-4FBA-B974-16D06771F79B}"/>
</file>

<file path=customXml/itemProps2.xml><?xml version="1.0" encoding="utf-8"?>
<ds:datastoreItem xmlns:ds="http://schemas.openxmlformats.org/officeDocument/2006/customXml" ds:itemID="{CF304443-72B6-4054-91D4-1265072B33ED}"/>
</file>

<file path=customXml/itemProps3.xml><?xml version="1.0" encoding="utf-8"?>
<ds:datastoreItem xmlns:ds="http://schemas.openxmlformats.org/officeDocument/2006/customXml" ds:itemID="{26724AB7-1810-4B41-8B95-F0C6FAEFE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2026-02-03T17:24:00Z</dcterms:created>
  <dcterms:modified xsi:type="dcterms:W3CDTF">2026-02-03T17:27:00Z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