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CA232F" w:rsidRDefault="00F21E84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CIRCULAR 22 DE 2012</w:t>
      </w:r>
    </w:p>
    <w:p w:rsidR="00CA232F" w:rsidRDefault="00F21E84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(diciembre 11)</w:t>
      </w:r>
    </w:p>
    <w:p w:rsidR="00CA232F" w:rsidRDefault="00F21E84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INSTITUTO COLOMBIANO DE BIENESTAR FAMILIAR – ICBF</w:t>
      </w:r>
    </w:p>
    <w:tbl>
      <w:tblPr>
        <w:tblStyle w:val="a"/>
        <w:tblW w:w="886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10"/>
        <w:gridCol w:w="7455"/>
      </w:tblGrid>
      <w:tr w:rsidR="00CA232F">
        <w:trPr>
          <w:trHeight w:val="540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232F" w:rsidRDefault="00F21E84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Para:</w:t>
            </w:r>
          </w:p>
        </w:tc>
        <w:tc>
          <w:tcPr>
            <w:tcW w:w="74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232F" w:rsidRDefault="00F21E84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Directores regionales, coordinadores de centros zonales, defensores de familia, comisarios de familia</w:t>
            </w:r>
          </w:p>
        </w:tc>
      </w:tr>
      <w:tr w:rsidR="00CA232F">
        <w:trPr>
          <w:trHeight w:val="810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232F" w:rsidRDefault="00F21E84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Asunto: </w:t>
            </w:r>
          </w:p>
        </w:tc>
        <w:tc>
          <w:tcPr>
            <w:tcW w:w="74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232F" w:rsidRDefault="00F21E84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Medidas de protección para los niños, niñas y adolescentes con ocasión de la utilización de pólvora.</w:t>
            </w:r>
          </w:p>
        </w:tc>
      </w:tr>
    </w:tbl>
    <w:p w:rsidR="00CA232F" w:rsidRDefault="00F21E84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La Ley </w:t>
      </w:r>
      <w:r>
        <w:rPr>
          <w:rFonts w:ascii="Verdana" w:eastAsia="Verdana" w:hAnsi="Verdana" w:cs="Verdana"/>
        </w:rPr>
        <w:t>670</w:t>
      </w:r>
      <w:r>
        <w:rPr>
          <w:rFonts w:ascii="Verdana" w:eastAsia="Verdana" w:hAnsi="Verdana" w:cs="Verdana"/>
        </w:rPr>
        <w:t xml:space="preserve"> de 2001 por medio de la cual se desarrolla parcialmente el artículo </w:t>
      </w:r>
      <w:r>
        <w:rPr>
          <w:rFonts w:ascii="Verdana" w:eastAsia="Verdana" w:hAnsi="Verdana" w:cs="Verdana"/>
        </w:rPr>
        <w:t>44</w:t>
      </w:r>
      <w:r>
        <w:rPr>
          <w:rFonts w:ascii="Verdana" w:eastAsia="Verdana" w:hAnsi="Verdana" w:cs="Verdana"/>
        </w:rPr>
        <w:t xml:space="preserve"> de la Constitución Política y su Decreto Reglamentario </w:t>
      </w:r>
      <w:r>
        <w:rPr>
          <w:rFonts w:ascii="Verdana" w:eastAsia="Verdana" w:hAnsi="Verdana" w:cs="Verdana"/>
        </w:rPr>
        <w:t>4481</w:t>
      </w:r>
      <w:r>
        <w:rPr>
          <w:rFonts w:ascii="Verdana" w:eastAsia="Verdana" w:hAnsi="Verdana" w:cs="Verdana"/>
        </w:rPr>
        <w:t xml:space="preserve"> de 2006, prohíbe la participación de los niños, niñas y adolescentes en la distribución y venta de artículos pirotécnicos o fuegos artificiales y globos, establece normas para su protección y sanciones para quienes las infrinjan incluidos los representantes legales de los mismos cuando sean responsables por su acción u omisión.</w:t>
      </w:r>
    </w:p>
    <w:p w:rsidR="00CA232F" w:rsidRDefault="00F21E84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En repetidas oportunidades la Corte Constitucional ha reiterado que las autoridades administrativas encargadas de determinar el contenido del interés superior de los niños, niñas y adolescentes cuentan con un margen de discrecionalidad importante para evaluar, en aplicación de las disposiciones jurídicas relevantes, cual es la solución que mejor satisface dicho interés; lo cual implica también que dichas autoridades tienen altos deberes constitucionales y legales en relación con la preservación del bienesta</w:t>
      </w:r>
      <w:r>
        <w:rPr>
          <w:rFonts w:ascii="Verdana" w:eastAsia="Verdana" w:hAnsi="Verdana" w:cs="Verdana"/>
        </w:rPr>
        <w:t>r integral de los menores que requieren su protección.</w:t>
      </w:r>
    </w:p>
    <w:p w:rsidR="00CA232F" w:rsidRDefault="00F21E84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En aplicación del interés superior de los niños, niñas y adolescentes y de la prevalencia de sus derechos, el Defensor de Familia o el Comisario de Familia que primero conozca, por denuncia o de oficio, la inobservancia, vulneración o desconocimiento de los derechos de los niños, niñas y adolescentes, con ocasión de la distribución, venta y uso de artículos pirotécnicos, fuegos artificiales y globos, deben adelantar el proceso administrativo de restablecimiento de derechos que regula la Ley </w:t>
      </w:r>
      <w:r>
        <w:rPr>
          <w:rFonts w:ascii="Verdana" w:eastAsia="Verdana" w:hAnsi="Verdana" w:cs="Verdana"/>
        </w:rPr>
        <w:t>1098</w:t>
      </w:r>
      <w:r>
        <w:rPr>
          <w:rFonts w:ascii="Verdana" w:eastAsia="Verdana" w:hAnsi="Verdana" w:cs="Verdana"/>
        </w:rPr>
        <w:t xml:space="preserve"> de 2006, en donde están previstas las medidas que la autoridad competente deberá adoptar y que van desde la amonestación hasta la promoción de acciones policivas administrativas o judiciales que el caso amerite.</w:t>
      </w:r>
    </w:p>
    <w:p w:rsidR="00CA232F" w:rsidRDefault="00F21E84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Entre las acciones judiciales que se pueden promover están las penales y civiles y dentro de estas últimas la de la suspensión o pérdida de la patria potestad de acuerdo con las causales previstas en los artículos </w:t>
      </w:r>
      <w:r>
        <w:rPr>
          <w:rFonts w:ascii="Verdana" w:eastAsia="Verdana" w:hAnsi="Verdana" w:cs="Verdana"/>
        </w:rPr>
        <w:t>310</w:t>
      </w:r>
      <w:r>
        <w:rPr>
          <w:rFonts w:ascii="Verdana" w:eastAsia="Verdana" w:hAnsi="Verdana" w:cs="Verdana"/>
        </w:rPr>
        <w:t xml:space="preserve"> y </w:t>
      </w:r>
      <w:r>
        <w:rPr>
          <w:rFonts w:ascii="Verdana" w:eastAsia="Verdana" w:hAnsi="Verdana" w:cs="Verdana"/>
        </w:rPr>
        <w:t>315</w:t>
      </w:r>
      <w:r>
        <w:rPr>
          <w:rFonts w:ascii="Verdana" w:eastAsia="Verdana" w:hAnsi="Verdana" w:cs="Verdana"/>
        </w:rPr>
        <w:t xml:space="preserve"> del Código Civil.</w:t>
      </w:r>
    </w:p>
    <w:p w:rsidR="00CA232F" w:rsidRDefault="00F21E84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Por su parte corresponde a los Directores Regionales del ICBFR coordinar con las Secretarias de Salud el desarrollo de sistemas de monitoreo permanente para que una vez se tenga conocimiento de un caso de riesgo o lesión de un niño, niña o adolescente por pólvora, se remita a la autoridad administrativa competente del lugar donde ocurrieron los hechos, para que asuma de manera inmediata el conocimiento del ca</w:t>
      </w:r>
      <w:r>
        <w:rPr>
          <w:rFonts w:ascii="Verdana" w:eastAsia="Verdana" w:hAnsi="Verdana" w:cs="Verdana"/>
        </w:rPr>
        <w:lastRenderedPageBreak/>
        <w:t>so y adopte las medidas a que haya lugar.</w:t>
      </w:r>
    </w:p>
    <w:p w:rsidR="00CA232F" w:rsidRDefault="00F21E84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Por otro lado los Defensores de Familia deberán reportar a los Directores Regionales los procesos administrativos de restablecimiento de derechos que se inicien a favor de un niño, niña o adolescente, con motivo de la distribución, venta y uso de artículos pirotécnicos, fuegos artificiales y globos, las medidas adoptadas y las acciones policivas administrativas o judiciales adicionales que promovieron; de igual forma deberán informar sobre sus actuaciones y avances de las mismas para que sean incluidos en e</w:t>
      </w:r>
      <w:r>
        <w:rPr>
          <w:rFonts w:ascii="Verdana" w:eastAsia="Verdana" w:hAnsi="Verdana" w:cs="Verdana"/>
        </w:rPr>
        <w:t>l Sistema de Información del ICBF.</w:t>
      </w:r>
    </w:p>
    <w:p w:rsidR="00CA232F" w:rsidRDefault="00F21E84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Finalmente se advierte a los Defensores de Familia y Comisarios de Familia que sus deberes y funciones no se agotan con el adelantamiento del proceso administrativo de restablecimiento de derechos y la imposición de las medidas de protección de su competencia, ya que igualmente les corresponde según lo previsto en el numeral 7 del artículo </w:t>
      </w:r>
      <w:r>
        <w:rPr>
          <w:rFonts w:ascii="Verdana" w:eastAsia="Verdana" w:hAnsi="Verdana" w:cs="Verdana"/>
        </w:rPr>
        <w:t>53</w:t>
      </w:r>
      <w:r>
        <w:rPr>
          <w:rFonts w:ascii="Verdana" w:eastAsia="Verdana" w:hAnsi="Verdana" w:cs="Verdana"/>
        </w:rPr>
        <w:t xml:space="preserve"> y numeral 11 del artículo </w:t>
      </w:r>
      <w:r>
        <w:rPr>
          <w:rFonts w:ascii="Verdana" w:eastAsia="Verdana" w:hAnsi="Verdana" w:cs="Verdana"/>
        </w:rPr>
        <w:t>82</w:t>
      </w:r>
      <w:r>
        <w:rPr>
          <w:rFonts w:ascii="Verdana" w:eastAsia="Verdana" w:hAnsi="Verdana" w:cs="Verdana"/>
        </w:rPr>
        <w:t xml:space="preserve"> del Código de la Infancia y la Adolescencia promover las acciones, procesos y tramites policivos administrativos y judiciales a que haya lugar, e intervenir en los mismos en defensa de los derechos de los niños, niñas y adolescentes.</w:t>
      </w:r>
    </w:p>
    <w:p w:rsidR="00CA232F" w:rsidRDefault="00F21E84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Cordialmente,</w:t>
      </w:r>
    </w:p>
    <w:p w:rsidR="00CA232F" w:rsidRDefault="00F21E84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DIEGO ANDRÉS MOLANO APONTE</w:t>
      </w:r>
    </w:p>
    <w:p w:rsidR="00CA232F" w:rsidRDefault="00F21E84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Director General ICBF</w:t>
      </w:r>
    </w:p>
    <w:p w:rsidR="00CA232F" w:rsidRDefault="00CA232F">
      <w:pPr>
        <w:rPr>
          <w:rFonts w:ascii="Verdana" w:eastAsia="Verdana" w:hAnsi="Verdana" w:cs="Verdana"/>
        </w:rPr>
      </w:pPr>
    </w:p>
    <w:sectPr w:rsidR="00CA232F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F7672797-987E-4C16-8710-6B6D9EFD05CB}"/>
    <w:embedBold r:id="rId2" w:fontKey="{351C1504-6A6E-4D05-8B5A-26389C02AAB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C51A0C6-277C-4D5D-9EA0-803B473E81A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40C1DD7-FE61-436F-9E8D-3FFAE646E8A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232F"/>
    <w:rsid w:val="000D1DB8"/>
    <w:rsid w:val="00CA232F"/>
    <w:rsid w:val="00F21E84"/>
    <w:rsid w:val="00FF4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8F9F949A-1643-4875-B51C-A6E49FA23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  <w:tcPr>
      <w:shd w:val="clear" w:color="auto" w:fill="FFFFFF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342E204-8D86-4A16-99E2-77BE01E7CD22}"/>
</file>

<file path=customXml/itemProps2.xml><?xml version="1.0" encoding="utf-8"?>
<ds:datastoreItem xmlns:ds="http://schemas.openxmlformats.org/officeDocument/2006/customXml" ds:itemID="{43762486-9A74-431D-B632-266E3820A2E2}"/>
</file>

<file path=customXml/itemProps3.xml><?xml version="1.0" encoding="utf-8"?>
<ds:datastoreItem xmlns:ds="http://schemas.openxmlformats.org/officeDocument/2006/customXml" ds:itemID="{CA0545CA-4355-4841-8DA5-6A95F5CFB85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611</Words>
  <Characters>3361</Characters>
  <Application>Microsoft Office Word</Application>
  <DocSecurity>0</DocSecurity>
  <Lines>28</Lines>
  <Paragraphs>7</Paragraphs>
  <ScaleCrop>false</ScaleCrop>
  <Company/>
  <LinksUpToDate>false</LinksUpToDate>
  <CharactersWithSpaces>3965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Jose Patricio Lizca Alvarez</cp:lastModifiedBy>
  <cp:revision>2</cp:revision>
  <dcterms:created xsi:type="dcterms:W3CDTF">2026-04-22T10:50:00Z</dcterms:created>
  <dcterms:modified xsi:type="dcterms:W3CDTF">2026-04-22T10:50:00Z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