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451E" w:rsidRDefault="001127F7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22 DE 2011</w:t>
      </w:r>
    </w:p>
    <w:p w:rsidR="00D1451E" w:rsidRDefault="001127F7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(julio 18)</w:t>
      </w:r>
    </w:p>
    <w:p w:rsidR="00D1451E" w:rsidRDefault="001127F7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85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455"/>
      </w:tblGrid>
      <w:tr w:rsidR="00D1451E">
        <w:trPr>
          <w:trHeight w:val="540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451E" w:rsidRDefault="001127F7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451E" w:rsidRDefault="001127F7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Dirección financiera, dirección administrativa y directores regionales</w:t>
            </w:r>
          </w:p>
        </w:tc>
      </w:tr>
      <w:tr w:rsidR="00D1451E">
        <w:trPr>
          <w:trHeight w:val="270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451E" w:rsidRDefault="001127F7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451E" w:rsidRDefault="001127F7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Pago de Multas, Sanciones e Intereses de Mora</w:t>
            </w:r>
          </w:p>
          <w:p w:rsidR="00D1451E" w:rsidRDefault="00D1451E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D1451E" w:rsidRDefault="001127F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 deber de los servidores públicos encargados del pago de obligaciones tributarias del orden municipal, departamental y nacional realizar los pagos oportunamente, de acuerdo con los calendarios establecidos por las respectivas Entidades, con el objeto de evitar cobros por concepto de multas, sanciones e intereses de mora que puedan dar lugar a acciones de Responsabilidad Fiscal.</w:t>
      </w:r>
    </w:p>
    <w:p w:rsidR="00D1451E" w:rsidRDefault="001127F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Se entiende por Responsabilidad Fiscal la obligación de resarcir los daños ocasionados al patrimonio público (Ley </w:t>
      </w:r>
      <w:r>
        <w:rPr>
          <w:rFonts w:ascii="Verdana" w:eastAsia="Verdana" w:hAnsi="Verdana" w:cs="Verdana"/>
        </w:rPr>
        <w:t>610</w:t>
      </w:r>
      <w:r>
        <w:rPr>
          <w:rFonts w:ascii="Verdana" w:eastAsia="Verdana" w:hAnsi="Verdana" w:cs="Verdana"/>
        </w:rPr>
        <w:t xml:space="preserve"> de 2000), y por Gestión Fiscal el conjunto de actividades que realizan los servidores públicos y las personas de derecho privado que manejen o administren recursos o fondos públicos, con miras a su correcta operación.</w:t>
      </w:r>
    </w:p>
    <w:p w:rsidR="00D1451E" w:rsidRDefault="001127F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Cualquier multa o sanción que se genere por omisión o incumplimiento no justificado de los pagos será directamente asumida por el servidor público responsable, sin perjuicio de que se surtan las investigaciones disciplinarias a que haya lugar.</w:t>
      </w:r>
    </w:p>
    <w:p w:rsidR="00D1451E" w:rsidRDefault="001127F7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el momento en que se deba pagar intereses de mora, se procederá a su cobro al servidor público responsable del hecho causante, ya sea en forma directa o ya mediante la acción de repetición reglamentada por la Ley </w:t>
      </w:r>
      <w:r>
        <w:rPr>
          <w:rFonts w:ascii="Verdana" w:eastAsia="Verdana" w:hAnsi="Verdana" w:cs="Verdana"/>
        </w:rPr>
        <w:t>678</w:t>
      </w:r>
      <w:r>
        <w:rPr>
          <w:rFonts w:ascii="Verdana" w:eastAsia="Verdana" w:hAnsi="Verdana" w:cs="Verdana"/>
        </w:rPr>
        <w:t xml:space="preserve"> de 2001. Ésta es una acción civil de carácter patrimonial que se ejerce contra el servidor o ex servidor público que haya dado lugar al reconocimiento indemnizatorio a cargo del Estado, y está orientada a garantizar la moralidad y la eficiencia en la gestión pública.</w:t>
      </w:r>
    </w:p>
    <w:p w:rsidR="00D1451E" w:rsidRDefault="001127F7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</w:t>
      </w:r>
    </w:p>
    <w:p w:rsidR="00D1451E" w:rsidRDefault="001127F7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Directora General. </w:t>
      </w:r>
    </w:p>
    <w:p w:rsidR="00D1451E" w:rsidRDefault="00D1451E">
      <w:pPr>
        <w:rPr>
          <w:rFonts w:ascii="Verdana" w:eastAsia="Verdana" w:hAnsi="Verdana" w:cs="Verdana"/>
        </w:rPr>
      </w:pPr>
    </w:p>
    <w:sectPr w:rsidR="00D1451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571AF59-DF57-481F-B412-D342F81BE5B2}"/>
    <w:embedBold r:id="rId2" w:fontKey="{76B15FAA-DA26-44E6-B243-17B157AA56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B4EDC85-0E41-4738-85B1-1535E7F109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F5DDA6-3391-44D8-9C94-B5CF62754C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51E"/>
    <w:rsid w:val="00034EB4"/>
    <w:rsid w:val="000D1DB8"/>
    <w:rsid w:val="001127F7"/>
    <w:rsid w:val="00D1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1CE07C-CB4A-4309-A644-5954F5ECE95C}"/>
</file>

<file path=customXml/itemProps2.xml><?xml version="1.0" encoding="utf-8"?>
<ds:datastoreItem xmlns:ds="http://schemas.openxmlformats.org/officeDocument/2006/customXml" ds:itemID="{D84CC6C6-A0B3-4E7D-8B32-839F4FBFCE12}"/>
</file>

<file path=customXml/itemProps3.xml><?xml version="1.0" encoding="utf-8"?>
<ds:datastoreItem xmlns:ds="http://schemas.openxmlformats.org/officeDocument/2006/customXml" ds:itemID="{2C4349D3-9930-4479-B9CC-C3D128CE15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2026-04-22T10:48:00Z</dcterms:created>
  <dcterms:modified xsi:type="dcterms:W3CDTF">2026-04-22T10:48:00Z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