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6D9F" w14:textId="77777777" w:rsidR="00681732" w:rsidRPr="00681732" w:rsidRDefault="00681732" w:rsidP="00681732">
      <w:pPr>
        <w:jc w:val="center"/>
        <w:rPr>
          <w:rFonts w:ascii="Verdana" w:hAnsi="Verdana"/>
          <w:sz w:val="22"/>
          <w:szCs w:val="22"/>
        </w:rPr>
      </w:pPr>
      <w:r w:rsidRPr="00681732">
        <w:rPr>
          <w:rFonts w:ascii="Verdana" w:hAnsi="Verdana"/>
          <w:b/>
          <w:bCs/>
          <w:sz w:val="22"/>
          <w:szCs w:val="22"/>
        </w:rPr>
        <w:t>CIRCULAR 22 DE 2006</w:t>
      </w:r>
    </w:p>
    <w:p w14:paraId="18C94076" w14:textId="77777777" w:rsidR="00681732" w:rsidRPr="00681732" w:rsidRDefault="00681732" w:rsidP="00681732">
      <w:pPr>
        <w:jc w:val="center"/>
        <w:rPr>
          <w:rFonts w:ascii="Verdana" w:hAnsi="Verdana"/>
          <w:sz w:val="22"/>
          <w:szCs w:val="22"/>
        </w:rPr>
      </w:pPr>
      <w:r w:rsidRPr="00681732">
        <w:rPr>
          <w:rFonts w:ascii="Verdana" w:hAnsi="Verdana"/>
          <w:sz w:val="22"/>
          <w:szCs w:val="22"/>
        </w:rPr>
        <w:t>(6 diciembre)</w:t>
      </w:r>
    </w:p>
    <w:p w14:paraId="4154C2C1" w14:textId="77777777" w:rsidR="00681732" w:rsidRPr="00681732" w:rsidRDefault="00681732" w:rsidP="00681732">
      <w:pPr>
        <w:jc w:val="center"/>
        <w:rPr>
          <w:rFonts w:ascii="Verdana" w:hAnsi="Verdana"/>
          <w:sz w:val="22"/>
          <w:szCs w:val="22"/>
        </w:rPr>
      </w:pPr>
      <w:r w:rsidRPr="00681732">
        <w:rPr>
          <w:rFonts w:ascii="Verdana" w:hAnsi="Verdana"/>
          <w:b/>
          <w:bCs/>
          <w:sz w:val="22"/>
          <w:szCs w:val="22"/>
        </w:rPr>
        <w:t>INSTITUTO COLOMBIANO DE BIENESTAR FAMILIAR – ICBF</w:t>
      </w:r>
    </w:p>
    <w:p w14:paraId="2098A607" w14:textId="77777777" w:rsidR="00681732" w:rsidRPr="00681732" w:rsidRDefault="00681732" w:rsidP="00681732">
      <w:pPr>
        <w:jc w:val="both"/>
        <w:rPr>
          <w:rFonts w:ascii="Verdana" w:hAnsi="Verdana"/>
          <w:sz w:val="22"/>
          <w:szCs w:val="22"/>
        </w:rPr>
      </w:pPr>
      <w:r w:rsidRPr="00681732">
        <w:rPr>
          <w:rFonts w:ascii="Verdana" w:hAnsi="Verdana"/>
          <w:sz w:val="22"/>
          <w:szCs w:val="22"/>
        </w:rPr>
        <w:t>Bogotá D. C.,</w:t>
      </w:r>
    </w:p>
    <w:p w14:paraId="1E95A040" w14:textId="77777777" w:rsidR="00681732" w:rsidRPr="00681732" w:rsidRDefault="00681732" w:rsidP="00681732">
      <w:pPr>
        <w:jc w:val="both"/>
        <w:rPr>
          <w:rFonts w:ascii="Verdana" w:hAnsi="Verdana"/>
          <w:sz w:val="22"/>
          <w:szCs w:val="22"/>
        </w:rPr>
      </w:pPr>
      <w:r w:rsidRPr="00681732">
        <w:rPr>
          <w:rFonts w:ascii="Verdana" w:hAnsi="Verdana"/>
          <w:sz w:val="22"/>
          <w:szCs w:val="22"/>
        </w:rPr>
        <w:t>Para:</w:t>
      </w:r>
      <w:r w:rsidRPr="00681732">
        <w:rPr>
          <w:rFonts w:ascii="Verdana" w:hAnsi="Verdana"/>
          <w:sz w:val="22"/>
          <w:szCs w:val="22"/>
        </w:rPr>
        <w:tab/>
        <w:t>Defensores de familia,</w:t>
      </w:r>
    </w:p>
    <w:p w14:paraId="6D3169AD" w14:textId="77777777" w:rsidR="00681732" w:rsidRPr="00681732" w:rsidRDefault="00681732" w:rsidP="00681732">
      <w:pPr>
        <w:jc w:val="both"/>
        <w:rPr>
          <w:rFonts w:ascii="Verdana" w:hAnsi="Verdana"/>
          <w:sz w:val="22"/>
          <w:szCs w:val="22"/>
        </w:rPr>
      </w:pPr>
      <w:r w:rsidRPr="00681732">
        <w:rPr>
          <w:rFonts w:ascii="Verdana" w:hAnsi="Verdana"/>
          <w:sz w:val="22"/>
          <w:szCs w:val="22"/>
        </w:rPr>
        <w:t>Directores regionales y seccionales.</w:t>
      </w:r>
    </w:p>
    <w:p w14:paraId="656DAE7A" w14:textId="1BAFF50E" w:rsidR="00681732" w:rsidRDefault="00681732" w:rsidP="00681732">
      <w:pPr>
        <w:jc w:val="both"/>
        <w:rPr>
          <w:rFonts w:ascii="Verdana" w:hAnsi="Verdana"/>
          <w:sz w:val="22"/>
          <w:szCs w:val="22"/>
        </w:rPr>
      </w:pPr>
      <w:r w:rsidRPr="00681732">
        <w:rPr>
          <w:rFonts w:ascii="Verdana" w:hAnsi="Verdana"/>
          <w:sz w:val="22"/>
          <w:szCs w:val="22"/>
        </w:rPr>
        <w:t>Asunto:</w:t>
      </w:r>
      <w:r w:rsidRPr="00681732">
        <w:rPr>
          <w:rFonts w:ascii="Verdana" w:hAnsi="Verdana"/>
          <w:sz w:val="22"/>
          <w:szCs w:val="22"/>
        </w:rPr>
        <w:tab/>
        <w:t>Procesos de investigación e impugnación de paternidad y maternidad y filiación natural de menores de edad.</w:t>
      </w:r>
    </w:p>
    <w:p w14:paraId="40495E70" w14:textId="675FE8AA" w:rsidR="00681732" w:rsidRPr="00681732" w:rsidRDefault="00681732" w:rsidP="00681732">
      <w:pPr>
        <w:jc w:val="both"/>
        <w:rPr>
          <w:rFonts w:ascii="Verdana" w:hAnsi="Verdana"/>
          <w:sz w:val="22"/>
          <w:szCs w:val="22"/>
        </w:rPr>
      </w:pPr>
      <w:r w:rsidRPr="00681732">
        <w:rPr>
          <w:rFonts w:ascii="Verdana" w:hAnsi="Verdana"/>
          <w:sz w:val="22"/>
          <w:szCs w:val="22"/>
        </w:rPr>
        <w:t>De conformidad con las funciones establecidas en el artículo 277 del Código del Menor y en el Decreto 2272 de 1979, los Defensores de Familia dentro de los procesos de investigación de la maternidad o paternidad pendientes de la práctica de la prueba de ADN y en aquellos que se inicien, de manera inmediata, deben cumplir los siguientes lineamientos:</w:t>
      </w:r>
    </w:p>
    <w:p w14:paraId="59B8C5C1" w14:textId="35EC3174" w:rsidR="00681732" w:rsidRPr="00681732" w:rsidRDefault="00681732" w:rsidP="00681732">
      <w:pPr>
        <w:jc w:val="both"/>
        <w:rPr>
          <w:rFonts w:ascii="Verdana" w:hAnsi="Verdana"/>
          <w:sz w:val="22"/>
          <w:szCs w:val="22"/>
        </w:rPr>
      </w:pPr>
      <w:r w:rsidRPr="00681732">
        <w:rPr>
          <w:rFonts w:ascii="Verdana" w:hAnsi="Verdana"/>
          <w:sz w:val="22"/>
          <w:szCs w:val="22"/>
        </w:rPr>
        <w:t>En los procesos en que no ha sido posible la práctica de la prueba de ADN, pese a las citaciones realizadas a los presuntos padres o madres o a los familiares, se debe solicitar al Juez de conocimiento el cumplimiento de lo ordenado en el artículo 3º de la Ley 721 de 2001, en concordancia el parágrafo 1° del artículo 8 de la misma Ley.</w:t>
      </w:r>
    </w:p>
    <w:p w14:paraId="20875981" w14:textId="77777777" w:rsidR="00681732" w:rsidRPr="00681732" w:rsidRDefault="00681732" w:rsidP="00681732">
      <w:pPr>
        <w:jc w:val="both"/>
        <w:rPr>
          <w:rFonts w:ascii="Verdana" w:hAnsi="Verdana"/>
          <w:sz w:val="22"/>
          <w:szCs w:val="22"/>
        </w:rPr>
      </w:pPr>
      <w:r w:rsidRPr="00681732">
        <w:rPr>
          <w:rFonts w:ascii="Verdana" w:hAnsi="Verdana"/>
          <w:sz w:val="22"/>
          <w:szCs w:val="22"/>
        </w:rPr>
        <w:t>De otra parte, teniendo en cuenta que un gran número de demandados no comparecen a la toma de muestra para la prueba genética, se requiere que el Defensor de Familia al elaborar la demanda relacione los hechos de manera amplia, suficiente y coherente para que el juez tenga elementos jurídicos que le permitan proferir sentencia con pruebas diferentes a la genética.</w:t>
      </w:r>
    </w:p>
    <w:p w14:paraId="03815BEB" w14:textId="7C90FA2A" w:rsidR="00681732" w:rsidRPr="00681732" w:rsidRDefault="00681732" w:rsidP="00681732">
      <w:pPr>
        <w:jc w:val="both"/>
        <w:rPr>
          <w:rFonts w:ascii="Verdana" w:hAnsi="Verdana"/>
          <w:sz w:val="22"/>
          <w:szCs w:val="22"/>
        </w:rPr>
      </w:pPr>
      <w:r w:rsidRPr="00681732">
        <w:rPr>
          <w:rFonts w:ascii="Verdana" w:hAnsi="Verdana"/>
          <w:sz w:val="22"/>
          <w:szCs w:val="22"/>
        </w:rPr>
        <w:t>Atendiendo a lo consagrado en los artículos 1°, 2° y 14 de la Ley 1060 de 2006, el Defensor de Familia deberá orientar a los usuarios sobre el proceso de Inscripción en el registro civil de nacimiento del menor de edad, y, revisar los procesos de investigación de la paternidad o de la maternidad a su cargo en los que se alegó la concepción del menor hijo durante la vigencia de la unión marital de hecho, con la finalidad de surtir el trámite para la inscripción de la paternidad o maternidad en el registro civil de nacimiento del menor de edad de acuerdo con la presunción establecida.</w:t>
      </w:r>
    </w:p>
    <w:p w14:paraId="14B006BD" w14:textId="4F42E476" w:rsidR="00681732" w:rsidRPr="00681732" w:rsidRDefault="00681732" w:rsidP="00681732">
      <w:pPr>
        <w:jc w:val="both"/>
        <w:rPr>
          <w:rFonts w:ascii="Verdana" w:hAnsi="Verdana"/>
          <w:sz w:val="22"/>
          <w:szCs w:val="22"/>
        </w:rPr>
      </w:pPr>
      <w:r w:rsidRPr="00681732">
        <w:rPr>
          <w:rFonts w:ascii="Verdana" w:hAnsi="Verdana"/>
          <w:sz w:val="22"/>
          <w:szCs w:val="22"/>
        </w:rPr>
        <w:t>Así mismo, le corresponde solicitar dentro de la demanda: (i) como petición especial, la citación del supuesto padre o madre para realizar la audiencia previa de reconocimiento voluntario (Art.10 Decreto 2272/89), a efecto de notificar la demanda en el evento en que fracase el reconocimiento voluntario, (</w:t>
      </w:r>
      <w:proofErr w:type="spellStart"/>
      <w:r w:rsidRPr="00681732">
        <w:rPr>
          <w:rFonts w:ascii="Verdana" w:hAnsi="Verdana"/>
          <w:sz w:val="22"/>
          <w:szCs w:val="22"/>
        </w:rPr>
        <w:t>ii</w:t>
      </w:r>
      <w:proofErr w:type="spellEnd"/>
      <w:r w:rsidRPr="00681732">
        <w:rPr>
          <w:rFonts w:ascii="Verdana" w:hAnsi="Verdana"/>
          <w:sz w:val="22"/>
          <w:szCs w:val="22"/>
        </w:rPr>
        <w:t xml:space="preserve">) decretar pruebas para demostrar la capacidad económica del demandado y se condene </w:t>
      </w:r>
      <w:r w:rsidRPr="00681732">
        <w:rPr>
          <w:rFonts w:ascii="Verdana" w:hAnsi="Verdana"/>
          <w:sz w:val="22"/>
          <w:szCs w:val="22"/>
        </w:rPr>
        <w:lastRenderedPageBreak/>
        <w:t>al pago de alimentos en favor del menor de edad, y, (</w:t>
      </w:r>
      <w:proofErr w:type="spellStart"/>
      <w:r w:rsidRPr="00681732">
        <w:rPr>
          <w:rFonts w:ascii="Verdana" w:hAnsi="Verdana"/>
          <w:sz w:val="22"/>
          <w:szCs w:val="22"/>
        </w:rPr>
        <w:t>iii</w:t>
      </w:r>
      <w:proofErr w:type="spellEnd"/>
      <w:r w:rsidRPr="00681732">
        <w:rPr>
          <w:rFonts w:ascii="Verdana" w:hAnsi="Verdana"/>
          <w:sz w:val="22"/>
          <w:szCs w:val="22"/>
        </w:rPr>
        <w:t>) de ser procedente, solicitar la regulación de visitas y demás derechos del niño, niña y adolescente, relacionados con la filiación declarada.</w:t>
      </w:r>
    </w:p>
    <w:p w14:paraId="3FFF3543" w14:textId="77777777" w:rsidR="00681732" w:rsidRPr="00681732" w:rsidRDefault="00681732" w:rsidP="00681732">
      <w:pPr>
        <w:jc w:val="both"/>
        <w:rPr>
          <w:rFonts w:ascii="Verdana" w:hAnsi="Verdana"/>
          <w:sz w:val="22"/>
          <w:szCs w:val="22"/>
        </w:rPr>
      </w:pPr>
      <w:r w:rsidRPr="00681732">
        <w:rPr>
          <w:rFonts w:ascii="Verdana" w:hAnsi="Verdana"/>
          <w:sz w:val="22"/>
          <w:szCs w:val="22"/>
        </w:rPr>
        <w:t>Para realizar el seguimiento al cumplimiento de estos lineamientos, el Defensor de Familia deberá diligenciar el formato de reporte de información actualizada de los procesos de filiación y remitirlo dentro de los diez (10) primeros días de cada mes, vía correo interno y correo electrónico al Grupo de Pruebas de Filiación de la Subdirección de Intervenciones Directas (Martha</w:t>
      </w:r>
      <w:r w:rsidRPr="00681732">
        <w:rPr>
          <w:rFonts w:ascii="Verdana" w:hAnsi="Verdana"/>
          <w:sz w:val="22"/>
          <w:szCs w:val="22"/>
          <w:u w:val="single"/>
        </w:rPr>
        <w:t>.Giraldo@icbf.qov.co</w:t>
      </w:r>
      <w:r w:rsidRPr="00681732">
        <w:rPr>
          <w:rFonts w:ascii="Verdana" w:hAnsi="Verdana"/>
          <w:sz w:val="22"/>
          <w:szCs w:val="22"/>
        </w:rPr>
        <w:t>).</w:t>
      </w:r>
    </w:p>
    <w:p w14:paraId="3CAB1273" w14:textId="77777777" w:rsidR="00681732" w:rsidRPr="00681732" w:rsidRDefault="00681732" w:rsidP="00681732">
      <w:pPr>
        <w:jc w:val="both"/>
        <w:rPr>
          <w:rFonts w:ascii="Verdana" w:hAnsi="Verdana"/>
          <w:sz w:val="22"/>
          <w:szCs w:val="22"/>
        </w:rPr>
      </w:pPr>
      <w:r w:rsidRPr="00681732">
        <w:rPr>
          <w:rFonts w:ascii="Verdana" w:hAnsi="Verdana"/>
          <w:sz w:val="22"/>
          <w:szCs w:val="22"/>
        </w:rPr>
        <w:t>Lo anterior, con el objeto de continuar brindando la protección integral de los niños, las niñas y los adolescentes, y garantizar el ejercicio de sus derechos y libertades consagrados en los instrumentos internacionales de Derechos Humanos, en la Constitución Política y en las leyes, así como su restablecimiento.</w:t>
      </w:r>
    </w:p>
    <w:p w14:paraId="09EF87B8" w14:textId="77777777" w:rsidR="00681732" w:rsidRPr="00681732" w:rsidRDefault="00681732" w:rsidP="00681732">
      <w:pPr>
        <w:jc w:val="both"/>
        <w:rPr>
          <w:rFonts w:ascii="Verdana" w:hAnsi="Verdana"/>
          <w:sz w:val="22"/>
          <w:szCs w:val="22"/>
        </w:rPr>
      </w:pPr>
      <w:r w:rsidRPr="00681732">
        <w:rPr>
          <w:rFonts w:ascii="Verdana" w:hAnsi="Verdana"/>
          <w:sz w:val="22"/>
          <w:szCs w:val="22"/>
        </w:rPr>
        <w:t>Cordial saludo,</w:t>
      </w:r>
    </w:p>
    <w:p w14:paraId="45364B53" w14:textId="77777777" w:rsidR="00681732" w:rsidRPr="00681732" w:rsidRDefault="00681732" w:rsidP="00681732">
      <w:pPr>
        <w:jc w:val="center"/>
        <w:rPr>
          <w:rFonts w:ascii="Verdana" w:hAnsi="Verdana"/>
          <w:sz w:val="22"/>
          <w:szCs w:val="22"/>
        </w:rPr>
      </w:pPr>
      <w:r w:rsidRPr="00681732">
        <w:rPr>
          <w:rFonts w:ascii="Verdana" w:hAnsi="Verdana"/>
          <w:b/>
          <w:bCs/>
          <w:sz w:val="22"/>
          <w:szCs w:val="22"/>
        </w:rPr>
        <w:t>ELVIRA FORERO HERNNÁNDEZ</w:t>
      </w:r>
    </w:p>
    <w:p w14:paraId="4EF492CE" w14:textId="77777777" w:rsidR="00681732" w:rsidRPr="00681732" w:rsidRDefault="00681732" w:rsidP="00681732">
      <w:pPr>
        <w:jc w:val="center"/>
        <w:rPr>
          <w:rFonts w:ascii="Verdana" w:hAnsi="Verdana"/>
          <w:sz w:val="22"/>
          <w:szCs w:val="22"/>
        </w:rPr>
      </w:pPr>
      <w:r w:rsidRPr="00681732">
        <w:rPr>
          <w:rFonts w:ascii="Verdana" w:hAnsi="Verdana"/>
          <w:sz w:val="22"/>
          <w:szCs w:val="22"/>
        </w:rPr>
        <w:t>Directora General.</w:t>
      </w:r>
    </w:p>
    <w:p w14:paraId="2F8D02D7" w14:textId="77777777" w:rsidR="00681732" w:rsidRPr="00681732" w:rsidRDefault="00681732" w:rsidP="00681732">
      <w:pPr>
        <w:jc w:val="both"/>
        <w:rPr>
          <w:rFonts w:ascii="Verdana" w:hAnsi="Verdana"/>
          <w:sz w:val="22"/>
          <w:szCs w:val="22"/>
        </w:rPr>
      </w:pPr>
    </w:p>
    <w:sectPr w:rsidR="00681732" w:rsidRPr="006817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22F2" w14:textId="77777777" w:rsidR="00C16C1B" w:rsidRDefault="00C16C1B" w:rsidP="00681732">
      <w:pPr>
        <w:spacing w:after="0" w:line="240" w:lineRule="auto"/>
      </w:pPr>
      <w:r>
        <w:separator/>
      </w:r>
    </w:p>
  </w:endnote>
  <w:endnote w:type="continuationSeparator" w:id="0">
    <w:p w14:paraId="143C85C7" w14:textId="77777777" w:rsidR="00C16C1B" w:rsidRDefault="00C16C1B" w:rsidP="0068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94D3" w14:textId="77777777" w:rsidR="00C16C1B" w:rsidRDefault="00C16C1B" w:rsidP="00681732">
      <w:pPr>
        <w:spacing w:after="0" w:line="240" w:lineRule="auto"/>
      </w:pPr>
      <w:r>
        <w:separator/>
      </w:r>
    </w:p>
  </w:footnote>
  <w:footnote w:type="continuationSeparator" w:id="0">
    <w:p w14:paraId="757F770D" w14:textId="77777777" w:rsidR="00C16C1B" w:rsidRDefault="00C16C1B" w:rsidP="006817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32"/>
    <w:rsid w:val="00403D67"/>
    <w:rsid w:val="00681732"/>
    <w:rsid w:val="00C16C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E056"/>
  <w15:chartTrackingRefBased/>
  <w15:docId w15:val="{DE052B9C-5D91-43BA-8565-4701E94B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17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17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17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17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17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17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17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7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17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7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7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7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7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7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7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732"/>
    <w:rPr>
      <w:rFonts w:eastAsiaTheme="majorEastAsia" w:cstheme="majorBidi"/>
      <w:color w:val="272727" w:themeColor="text1" w:themeTint="D8"/>
    </w:rPr>
  </w:style>
  <w:style w:type="paragraph" w:styleId="Ttulo">
    <w:name w:val="Title"/>
    <w:basedOn w:val="Normal"/>
    <w:next w:val="Normal"/>
    <w:link w:val="TtuloCar"/>
    <w:uiPriority w:val="10"/>
    <w:qFormat/>
    <w:rsid w:val="0068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17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7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17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732"/>
    <w:pPr>
      <w:spacing w:before="160"/>
      <w:jc w:val="center"/>
    </w:pPr>
    <w:rPr>
      <w:i/>
      <w:iCs/>
      <w:color w:val="404040" w:themeColor="text1" w:themeTint="BF"/>
    </w:rPr>
  </w:style>
  <w:style w:type="character" w:customStyle="1" w:styleId="CitaCar">
    <w:name w:val="Cita Car"/>
    <w:basedOn w:val="Fuentedeprrafopredeter"/>
    <w:link w:val="Cita"/>
    <w:uiPriority w:val="29"/>
    <w:rsid w:val="00681732"/>
    <w:rPr>
      <w:i/>
      <w:iCs/>
      <w:color w:val="404040" w:themeColor="text1" w:themeTint="BF"/>
    </w:rPr>
  </w:style>
  <w:style w:type="paragraph" w:styleId="Prrafodelista">
    <w:name w:val="List Paragraph"/>
    <w:basedOn w:val="Normal"/>
    <w:uiPriority w:val="34"/>
    <w:qFormat/>
    <w:rsid w:val="00681732"/>
    <w:pPr>
      <w:ind w:left="720"/>
      <w:contextualSpacing/>
    </w:pPr>
  </w:style>
  <w:style w:type="character" w:styleId="nfasisintenso">
    <w:name w:val="Intense Emphasis"/>
    <w:basedOn w:val="Fuentedeprrafopredeter"/>
    <w:uiPriority w:val="21"/>
    <w:qFormat/>
    <w:rsid w:val="00681732"/>
    <w:rPr>
      <w:i/>
      <w:iCs/>
      <w:color w:val="0F4761" w:themeColor="accent1" w:themeShade="BF"/>
    </w:rPr>
  </w:style>
  <w:style w:type="paragraph" w:styleId="Citadestacada">
    <w:name w:val="Intense Quote"/>
    <w:basedOn w:val="Normal"/>
    <w:next w:val="Normal"/>
    <w:link w:val="CitadestacadaCar"/>
    <w:uiPriority w:val="30"/>
    <w:qFormat/>
    <w:rsid w:val="0068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1732"/>
    <w:rPr>
      <w:i/>
      <w:iCs/>
      <w:color w:val="0F4761" w:themeColor="accent1" w:themeShade="BF"/>
    </w:rPr>
  </w:style>
  <w:style w:type="character" w:styleId="Referenciaintensa">
    <w:name w:val="Intense Reference"/>
    <w:basedOn w:val="Fuentedeprrafopredeter"/>
    <w:uiPriority w:val="32"/>
    <w:qFormat/>
    <w:rsid w:val="00681732"/>
    <w:rPr>
      <w:b/>
      <w:bCs/>
      <w:smallCaps/>
      <w:color w:val="0F4761" w:themeColor="accent1" w:themeShade="BF"/>
      <w:spacing w:val="5"/>
    </w:rPr>
  </w:style>
  <w:style w:type="character" w:styleId="Hipervnculo">
    <w:name w:val="Hyperlink"/>
    <w:basedOn w:val="Fuentedeprrafopredeter"/>
    <w:uiPriority w:val="99"/>
    <w:unhideWhenUsed/>
    <w:rsid w:val="00681732"/>
    <w:rPr>
      <w:color w:val="467886" w:themeColor="hyperlink"/>
      <w:u w:val="single"/>
    </w:rPr>
  </w:style>
  <w:style w:type="character" w:styleId="Mencinsinresolver">
    <w:name w:val="Unresolved Mention"/>
    <w:basedOn w:val="Fuentedeprrafopredeter"/>
    <w:uiPriority w:val="99"/>
    <w:semiHidden/>
    <w:unhideWhenUsed/>
    <w:rsid w:val="00681732"/>
    <w:rPr>
      <w:color w:val="605E5C"/>
      <w:shd w:val="clear" w:color="auto" w:fill="E1DFDD"/>
    </w:rPr>
  </w:style>
  <w:style w:type="paragraph" w:styleId="Encabezado">
    <w:name w:val="header"/>
    <w:basedOn w:val="Normal"/>
    <w:link w:val="EncabezadoCar"/>
    <w:uiPriority w:val="99"/>
    <w:unhideWhenUsed/>
    <w:rsid w:val="006817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732"/>
  </w:style>
  <w:style w:type="paragraph" w:styleId="Piedepgina">
    <w:name w:val="footer"/>
    <w:basedOn w:val="Normal"/>
    <w:link w:val="PiedepginaCar"/>
    <w:uiPriority w:val="99"/>
    <w:unhideWhenUsed/>
    <w:rsid w:val="006817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9AA5D-7612-4FAF-B703-DD3C29DEABDD}"/>
</file>

<file path=customXml/itemProps2.xml><?xml version="1.0" encoding="utf-8"?>
<ds:datastoreItem xmlns:ds="http://schemas.openxmlformats.org/officeDocument/2006/customXml" ds:itemID="{33B19F63-C3E9-4B9E-930C-6305536183F7}"/>
</file>

<file path=customXml/itemProps3.xml><?xml version="1.0" encoding="utf-8"?>
<ds:datastoreItem xmlns:ds="http://schemas.openxmlformats.org/officeDocument/2006/customXml" ds:itemID="{EEAAB452-0ADA-4C41-BA78-6800476B42C9}"/>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2792</Characters>
  <Application>Microsoft Office Word</Application>
  <DocSecurity>0</DocSecurity>
  <Lines>60</Lines>
  <Paragraphs>37</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2026-02-05T14:58:00Z</dcterms:created>
  <dcterms:modified xsi:type="dcterms:W3CDTF">2026-02-05T15:01:00Z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