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C3D2" w14:textId="77777777" w:rsidR="00874E6F" w:rsidRPr="00874E6F" w:rsidRDefault="00874E6F" w:rsidP="00874E6F">
      <w:pPr>
        <w:jc w:val="center"/>
        <w:rPr>
          <w:rFonts w:ascii="Verdana" w:hAnsi="Verdana"/>
        </w:rPr>
      </w:pPr>
      <w:r w:rsidRPr="00874E6F">
        <w:rPr>
          <w:rFonts w:ascii="Verdana" w:hAnsi="Verdana"/>
          <w:b/>
          <w:bCs/>
        </w:rPr>
        <w:t>CIRCULAR 22 DE 1993</w:t>
      </w:r>
    </w:p>
    <w:p w14:paraId="71044659" w14:textId="77777777" w:rsidR="00874E6F" w:rsidRPr="00874E6F" w:rsidRDefault="00874E6F" w:rsidP="00874E6F">
      <w:pPr>
        <w:jc w:val="center"/>
        <w:rPr>
          <w:rFonts w:ascii="Verdana" w:hAnsi="Verdana"/>
        </w:rPr>
      </w:pPr>
      <w:r w:rsidRPr="00874E6F">
        <w:rPr>
          <w:rFonts w:ascii="Verdana" w:hAnsi="Verdana"/>
        </w:rPr>
        <w:t>(10 junio)</w:t>
      </w:r>
    </w:p>
    <w:p w14:paraId="785D6616" w14:textId="77777777" w:rsidR="00874E6F" w:rsidRDefault="00874E6F" w:rsidP="00874E6F">
      <w:pPr>
        <w:jc w:val="center"/>
        <w:rPr>
          <w:rFonts w:ascii="Verdana" w:hAnsi="Verdana"/>
          <w:b/>
          <w:bCs/>
        </w:rPr>
      </w:pPr>
      <w:r w:rsidRPr="00874E6F">
        <w:rPr>
          <w:rFonts w:ascii="Verdana" w:hAnsi="Verdana"/>
          <w:b/>
          <w:bCs/>
        </w:rPr>
        <w:t>INSTITUTO COLOMBIANO DE BIENESTAR FAMILIAR</w:t>
      </w:r>
    </w:p>
    <w:p w14:paraId="304A0639" w14:textId="77777777" w:rsidR="00874E6F" w:rsidRPr="00874E6F" w:rsidRDefault="00874E6F" w:rsidP="00874E6F">
      <w:pPr>
        <w:jc w:val="center"/>
        <w:rPr>
          <w:rFonts w:ascii="Verdana" w:hAnsi="Verdana"/>
        </w:rPr>
      </w:pPr>
    </w:p>
    <w:p w14:paraId="32224A16" w14:textId="77777777" w:rsidR="00874E6F" w:rsidRPr="00874E6F" w:rsidRDefault="00874E6F" w:rsidP="00874E6F">
      <w:pPr>
        <w:jc w:val="both"/>
        <w:rPr>
          <w:rFonts w:ascii="Verdana" w:hAnsi="Verdana"/>
        </w:rPr>
      </w:pPr>
      <w:r w:rsidRPr="00874E6F">
        <w:rPr>
          <w:rFonts w:ascii="Verdana" w:hAnsi="Verdana"/>
          <w:b/>
          <w:bCs/>
        </w:rPr>
        <w:t>Para</w:t>
      </w:r>
      <w:r w:rsidRPr="00874E6F">
        <w:rPr>
          <w:rFonts w:ascii="Verdana" w:hAnsi="Verdana"/>
        </w:rPr>
        <w:t xml:space="preserve">: </w:t>
      </w:r>
      <w:proofErr w:type="gramStart"/>
      <w:r w:rsidRPr="00874E6F">
        <w:rPr>
          <w:rFonts w:ascii="Verdana" w:hAnsi="Verdana"/>
        </w:rPr>
        <w:t>Directores</w:t>
      </w:r>
      <w:proofErr w:type="gramEnd"/>
      <w:r w:rsidRPr="00874E6F">
        <w:rPr>
          <w:rFonts w:ascii="Verdana" w:hAnsi="Verdana"/>
        </w:rPr>
        <w:t xml:space="preserve"> regionales ICBF</w:t>
      </w:r>
    </w:p>
    <w:p w14:paraId="6880FDA4" w14:textId="77777777" w:rsidR="00874E6F" w:rsidRPr="00874E6F" w:rsidRDefault="00874E6F" w:rsidP="00874E6F">
      <w:pPr>
        <w:jc w:val="both"/>
        <w:rPr>
          <w:rFonts w:ascii="Verdana" w:hAnsi="Verdana"/>
        </w:rPr>
      </w:pPr>
      <w:r w:rsidRPr="00874E6F">
        <w:rPr>
          <w:rFonts w:ascii="Verdana" w:hAnsi="Verdana"/>
          <w:b/>
          <w:bCs/>
        </w:rPr>
        <w:t>De</w:t>
      </w:r>
      <w:r w:rsidRPr="00874E6F">
        <w:rPr>
          <w:rFonts w:ascii="Verdana" w:hAnsi="Verdana"/>
        </w:rPr>
        <w:t>: Dirección general</w:t>
      </w:r>
    </w:p>
    <w:p w14:paraId="378F59A4" w14:textId="3088B81F" w:rsidR="00874E6F" w:rsidRDefault="00874E6F" w:rsidP="00874E6F">
      <w:pPr>
        <w:jc w:val="both"/>
        <w:rPr>
          <w:rFonts w:ascii="Verdana" w:hAnsi="Verdana"/>
        </w:rPr>
      </w:pPr>
      <w:r w:rsidRPr="00874E6F">
        <w:rPr>
          <w:rFonts w:ascii="Verdana" w:hAnsi="Verdana"/>
          <w:b/>
          <w:bCs/>
        </w:rPr>
        <w:t>Fecha</w:t>
      </w:r>
      <w:r w:rsidRPr="00874E6F">
        <w:rPr>
          <w:rFonts w:ascii="Verdana" w:hAnsi="Verdana"/>
        </w:rPr>
        <w:t xml:space="preserve">: 10 </w:t>
      </w:r>
      <w:r>
        <w:rPr>
          <w:rFonts w:ascii="Verdana" w:hAnsi="Verdana"/>
        </w:rPr>
        <w:t xml:space="preserve">de junio de </w:t>
      </w:r>
      <w:r w:rsidRPr="00874E6F">
        <w:rPr>
          <w:rFonts w:ascii="Verdana" w:hAnsi="Verdana"/>
        </w:rPr>
        <w:t>1993</w:t>
      </w:r>
    </w:p>
    <w:p w14:paraId="5849023A" w14:textId="77777777" w:rsidR="00874E6F" w:rsidRPr="00874E6F" w:rsidRDefault="00874E6F" w:rsidP="00874E6F">
      <w:pPr>
        <w:jc w:val="both"/>
        <w:rPr>
          <w:rFonts w:ascii="Verdana" w:hAnsi="Verdana"/>
        </w:rPr>
      </w:pPr>
    </w:p>
    <w:p w14:paraId="116EB2FC" w14:textId="77777777" w:rsidR="00874E6F" w:rsidRPr="00874E6F" w:rsidRDefault="00874E6F" w:rsidP="00874E6F">
      <w:pPr>
        <w:jc w:val="both"/>
        <w:rPr>
          <w:rFonts w:ascii="Verdana" w:hAnsi="Verdana"/>
        </w:rPr>
      </w:pPr>
      <w:r w:rsidRPr="00874E6F">
        <w:rPr>
          <w:rFonts w:ascii="Verdana" w:hAnsi="Verdana"/>
        </w:rPr>
        <w:t>Como es de su conocimiento, la Sección Primera - Sala de lo Contencioso Administrativo - del Consejo de Estado, mediante Sentencia del 4 de junio de 1993, declaró la nulidad del Artículo 3o. del Decreto 777 de 1992.</w:t>
      </w:r>
    </w:p>
    <w:p w14:paraId="5ED52F2F" w14:textId="760D1137" w:rsidR="00874E6F" w:rsidRPr="00874E6F" w:rsidRDefault="00874E6F" w:rsidP="00874E6F">
      <w:pPr>
        <w:jc w:val="both"/>
        <w:rPr>
          <w:rFonts w:ascii="Verdana" w:hAnsi="Verdana"/>
        </w:rPr>
      </w:pPr>
      <w:r w:rsidRPr="00874E6F">
        <w:rPr>
          <w:rFonts w:ascii="Verdana" w:hAnsi="Verdana"/>
        </w:rPr>
        <w:t>Les recuerdo que el único proyecto que se ejecuta a través de la contratación reglamentada por el Decreto 777 de 1992, es el de Hogares Comunitarios de Bienestar, en razón a la definición y reglamentación de este proyecto dadas por la Ley</w:t>
      </w:r>
      <w:r>
        <w:rPr>
          <w:rFonts w:ascii="Verdana" w:hAnsi="Verdana"/>
        </w:rPr>
        <w:t xml:space="preserve"> 89</w:t>
      </w:r>
      <w:r w:rsidRPr="00874E6F">
        <w:rPr>
          <w:rFonts w:ascii="Verdana" w:hAnsi="Verdana"/>
        </w:rPr>
        <w:t> de 1988 Las anteriores normas disponen que el programa se ejecuta directamente por las Asociaciones de Padres de Familia de Hogares de Bienestar, administrando las mismas los recursos asignados por el Gobierno Nacional para el programa, mediante becas del ICBF.</w:t>
      </w:r>
    </w:p>
    <w:p w14:paraId="337FFC69" w14:textId="77777777" w:rsidR="00874E6F" w:rsidRPr="00874E6F" w:rsidRDefault="00874E6F" w:rsidP="00874E6F">
      <w:pPr>
        <w:jc w:val="both"/>
        <w:rPr>
          <w:rFonts w:ascii="Verdana" w:hAnsi="Verdana"/>
        </w:rPr>
      </w:pPr>
      <w:r w:rsidRPr="00874E6F">
        <w:rPr>
          <w:rFonts w:ascii="Verdana" w:hAnsi="Verdana"/>
        </w:rPr>
        <w:t>Como se observa, una entidad del Estado apoya a entidades sin ánimo de lucro (Asociaciones de padres de Hogares de Bienestar), para impulsar una actividad de interés público, actividad que necesariamente está enmarcada dentro de las funciones genéricas del Estado.</w:t>
      </w:r>
    </w:p>
    <w:p w14:paraId="500315EB" w14:textId="77777777" w:rsidR="00874E6F" w:rsidRPr="00874E6F" w:rsidRDefault="00874E6F" w:rsidP="00874E6F">
      <w:pPr>
        <w:jc w:val="both"/>
        <w:rPr>
          <w:rFonts w:ascii="Verdana" w:hAnsi="Verdana"/>
        </w:rPr>
      </w:pPr>
      <w:r w:rsidRPr="00874E6F">
        <w:rPr>
          <w:rFonts w:ascii="Verdana" w:hAnsi="Verdana"/>
        </w:rPr>
        <w:t xml:space="preserve">Teniendo en cuenta las diversas interpretaciones sobre los efectos de la sentencia en mención, consideramos, por una parte, que los contratos suscritos y perfeccionados se pueden seguir ejecutando hasta que se produzca la ejecutoría de </w:t>
      </w:r>
      <w:proofErr w:type="gramStart"/>
      <w:r w:rsidRPr="00874E6F">
        <w:rPr>
          <w:rFonts w:ascii="Verdana" w:hAnsi="Verdana"/>
        </w:rPr>
        <w:t>la misma</w:t>
      </w:r>
      <w:proofErr w:type="gramEnd"/>
      <w:r w:rsidRPr="00874E6F">
        <w:rPr>
          <w:rFonts w:ascii="Verdana" w:hAnsi="Verdana"/>
        </w:rPr>
        <w:t>, hecho que se les comunicará en forma inmediata. Por otra, una vez ejecutoriada la sentencia, se deben suspender los giros a las Asociaciones de Padres de Hogares de Bienestar.</w:t>
      </w:r>
    </w:p>
    <w:p w14:paraId="216CC70B" w14:textId="77777777" w:rsidR="00874E6F" w:rsidRPr="00874E6F" w:rsidRDefault="00874E6F" w:rsidP="00874E6F">
      <w:pPr>
        <w:jc w:val="both"/>
        <w:rPr>
          <w:rFonts w:ascii="Verdana" w:hAnsi="Verdana"/>
        </w:rPr>
      </w:pPr>
      <w:r w:rsidRPr="00874E6F">
        <w:rPr>
          <w:rFonts w:ascii="Verdana" w:hAnsi="Verdana"/>
        </w:rPr>
        <w:t>Oportunamente, se les hará conocer el procedimiento a seguir en adelante.</w:t>
      </w:r>
    </w:p>
    <w:p w14:paraId="651CAF56" w14:textId="77777777" w:rsidR="00874E6F" w:rsidRPr="00874E6F" w:rsidRDefault="00874E6F" w:rsidP="00874E6F">
      <w:pPr>
        <w:jc w:val="both"/>
        <w:rPr>
          <w:rFonts w:ascii="Verdana" w:hAnsi="Verdana"/>
        </w:rPr>
      </w:pPr>
      <w:r w:rsidRPr="00874E6F">
        <w:rPr>
          <w:rFonts w:ascii="Verdana" w:hAnsi="Verdana"/>
        </w:rPr>
        <w:t>Atentamente,</w:t>
      </w:r>
    </w:p>
    <w:p w14:paraId="187F54E1" w14:textId="77777777" w:rsidR="00874E6F" w:rsidRPr="00874E6F" w:rsidRDefault="00874E6F" w:rsidP="00874E6F">
      <w:pPr>
        <w:jc w:val="center"/>
        <w:rPr>
          <w:rFonts w:ascii="Verdana" w:hAnsi="Verdana"/>
        </w:rPr>
      </w:pPr>
      <w:r w:rsidRPr="00874E6F">
        <w:rPr>
          <w:rFonts w:ascii="Verdana" w:hAnsi="Verdana"/>
          <w:b/>
          <w:bCs/>
        </w:rPr>
        <w:lastRenderedPageBreak/>
        <w:t>MARTA RIPOLL DE URRUTIA</w:t>
      </w:r>
    </w:p>
    <w:p w14:paraId="67E7FF06" w14:textId="77777777" w:rsidR="00874E6F" w:rsidRPr="00874E6F" w:rsidRDefault="00874E6F" w:rsidP="00874E6F">
      <w:pPr>
        <w:jc w:val="center"/>
        <w:rPr>
          <w:rFonts w:ascii="Verdana" w:hAnsi="Verdana"/>
        </w:rPr>
      </w:pPr>
      <w:r w:rsidRPr="00874E6F">
        <w:rPr>
          <w:rFonts w:ascii="Verdana" w:hAnsi="Verdana"/>
        </w:rPr>
        <w:t>Directora General</w:t>
      </w:r>
    </w:p>
    <w:p w14:paraId="3DF70614" w14:textId="77777777" w:rsidR="007E46F5" w:rsidRPr="00874E6F" w:rsidRDefault="007E46F5" w:rsidP="00874E6F">
      <w:pPr>
        <w:jc w:val="both"/>
        <w:rPr>
          <w:rFonts w:ascii="Verdana" w:hAnsi="Verdana"/>
        </w:rPr>
      </w:pPr>
    </w:p>
    <w:sectPr w:rsidR="007E46F5" w:rsidRPr="00874E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6F"/>
    <w:rsid w:val="00050F65"/>
    <w:rsid w:val="007E46F5"/>
    <w:rsid w:val="00874E6F"/>
    <w:rsid w:val="0090671C"/>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F317"/>
  <w15:chartTrackingRefBased/>
  <w15:docId w15:val="{7728FFF3-2CED-4EC9-A1F6-3D6E5C69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4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4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4E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4E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4E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4E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4E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4E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4E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4E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4E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4E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4E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4E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4E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4E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4E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4E6F"/>
    <w:rPr>
      <w:rFonts w:eastAsiaTheme="majorEastAsia" w:cstheme="majorBidi"/>
      <w:color w:val="272727" w:themeColor="text1" w:themeTint="D8"/>
    </w:rPr>
  </w:style>
  <w:style w:type="paragraph" w:styleId="Ttulo">
    <w:name w:val="Title"/>
    <w:basedOn w:val="Normal"/>
    <w:next w:val="Normal"/>
    <w:link w:val="TtuloCar"/>
    <w:uiPriority w:val="10"/>
    <w:qFormat/>
    <w:rsid w:val="00874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4E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4E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4E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4E6F"/>
    <w:pPr>
      <w:spacing w:before="160"/>
      <w:jc w:val="center"/>
    </w:pPr>
    <w:rPr>
      <w:i/>
      <w:iCs/>
      <w:color w:val="404040" w:themeColor="text1" w:themeTint="BF"/>
    </w:rPr>
  </w:style>
  <w:style w:type="character" w:customStyle="1" w:styleId="CitaCar">
    <w:name w:val="Cita Car"/>
    <w:basedOn w:val="Fuentedeprrafopredeter"/>
    <w:link w:val="Cita"/>
    <w:uiPriority w:val="29"/>
    <w:rsid w:val="00874E6F"/>
    <w:rPr>
      <w:i/>
      <w:iCs/>
      <w:color w:val="404040" w:themeColor="text1" w:themeTint="BF"/>
    </w:rPr>
  </w:style>
  <w:style w:type="paragraph" w:styleId="Prrafodelista">
    <w:name w:val="List Paragraph"/>
    <w:basedOn w:val="Normal"/>
    <w:uiPriority w:val="34"/>
    <w:qFormat/>
    <w:rsid w:val="00874E6F"/>
    <w:pPr>
      <w:ind w:left="720"/>
      <w:contextualSpacing/>
    </w:pPr>
  </w:style>
  <w:style w:type="character" w:styleId="nfasisintenso">
    <w:name w:val="Intense Emphasis"/>
    <w:basedOn w:val="Fuentedeprrafopredeter"/>
    <w:uiPriority w:val="21"/>
    <w:qFormat/>
    <w:rsid w:val="00874E6F"/>
    <w:rPr>
      <w:i/>
      <w:iCs/>
      <w:color w:val="0F4761" w:themeColor="accent1" w:themeShade="BF"/>
    </w:rPr>
  </w:style>
  <w:style w:type="paragraph" w:styleId="Citadestacada">
    <w:name w:val="Intense Quote"/>
    <w:basedOn w:val="Normal"/>
    <w:next w:val="Normal"/>
    <w:link w:val="CitadestacadaCar"/>
    <w:uiPriority w:val="30"/>
    <w:qFormat/>
    <w:rsid w:val="0087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4E6F"/>
    <w:rPr>
      <w:i/>
      <w:iCs/>
      <w:color w:val="0F4761" w:themeColor="accent1" w:themeShade="BF"/>
    </w:rPr>
  </w:style>
  <w:style w:type="character" w:styleId="Referenciaintensa">
    <w:name w:val="Intense Reference"/>
    <w:basedOn w:val="Fuentedeprrafopredeter"/>
    <w:uiPriority w:val="32"/>
    <w:qFormat/>
    <w:rsid w:val="00874E6F"/>
    <w:rPr>
      <w:b/>
      <w:bCs/>
      <w:smallCaps/>
      <w:color w:val="0F4761" w:themeColor="accent1" w:themeShade="BF"/>
      <w:spacing w:val="5"/>
    </w:rPr>
  </w:style>
  <w:style w:type="character" w:styleId="Hipervnculo">
    <w:name w:val="Hyperlink"/>
    <w:basedOn w:val="Fuentedeprrafopredeter"/>
    <w:uiPriority w:val="99"/>
    <w:unhideWhenUsed/>
    <w:rsid w:val="00874E6F"/>
    <w:rPr>
      <w:color w:val="467886" w:themeColor="hyperlink"/>
      <w:u w:val="single"/>
    </w:rPr>
  </w:style>
  <w:style w:type="character" w:styleId="Mencinsinresolver">
    <w:name w:val="Unresolved Mention"/>
    <w:basedOn w:val="Fuentedeprrafopredeter"/>
    <w:uiPriority w:val="99"/>
    <w:semiHidden/>
    <w:unhideWhenUsed/>
    <w:rsid w:val="00874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24F71-7CAC-4ED5-B6FE-B7FF008BAAD0}"/>
</file>

<file path=customXml/itemProps2.xml><?xml version="1.0" encoding="utf-8"?>
<ds:datastoreItem xmlns:ds="http://schemas.openxmlformats.org/officeDocument/2006/customXml" ds:itemID="{9EDB3504-9185-407A-8E3F-EA6D99E87722}"/>
</file>

<file path=customXml/itemProps3.xml><?xml version="1.0" encoding="utf-8"?>
<ds:datastoreItem xmlns:ds="http://schemas.openxmlformats.org/officeDocument/2006/customXml" ds:itemID="{8802C395-BB9F-4510-AA62-283941DF342C}"/>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2025-12-04T20:00:00Z</dcterms:created>
  <dcterms:modified xsi:type="dcterms:W3CDTF">2025-12-04T20:17:00Z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