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C96" w14:textId="77777777" w:rsidR="00630584" w:rsidRPr="00391D14" w:rsidRDefault="00630584" w:rsidP="00630584">
      <w:pPr>
        <w:rPr>
          <w:rFonts w:ascii="Verdana" w:eastAsia="Times New Roman" w:hAnsi="Verdana" w:cs="Times New Roman"/>
          <w:color w:val="000000"/>
          <w:kern w:val="0"/>
          <w:sz w:val="22"/>
          <w:szCs w:val="22"/>
          <w:lang w:eastAsia="es-MX"/>
          <w14:ligatures w14:val="none"/>
        </w:rPr>
      </w:pPr>
    </w:p>
    <w:p w14:paraId="323699B4" w14:textId="5B38FEB5" w:rsidR="00630584" w:rsidRDefault="00630584" w:rsidP="00630584">
      <w:pPr>
        <w:jc w:val="center"/>
        <w:rPr>
          <w:rFonts w:ascii="Verdana" w:eastAsia="Times New Roman" w:hAnsi="Verdana" w:cs="Times New Roman"/>
          <w:b/>
          <w:bCs/>
          <w:color w:val="000000"/>
          <w:kern w:val="0"/>
          <w:sz w:val="22"/>
          <w:szCs w:val="22"/>
          <w:lang w:eastAsia="es-MX"/>
          <w14:ligatures w14:val="none"/>
        </w:rPr>
      </w:pPr>
      <w:r w:rsidRPr="00391D14">
        <w:rPr>
          <w:rFonts w:ascii="Verdana" w:eastAsia="Times New Roman" w:hAnsi="Verdana" w:cs="Times New Roman"/>
          <w:b/>
          <w:bCs/>
          <w:color w:val="000000"/>
          <w:kern w:val="0"/>
          <w:sz w:val="22"/>
          <w:szCs w:val="22"/>
          <w:lang w:eastAsia="es-MX"/>
          <w14:ligatures w14:val="none"/>
        </w:rPr>
        <w:t>CIRCULAR No. 00</w:t>
      </w:r>
      <w:r w:rsidR="00516C46">
        <w:rPr>
          <w:rFonts w:ascii="Verdana" w:eastAsia="Times New Roman" w:hAnsi="Verdana" w:cs="Times New Roman"/>
          <w:b/>
          <w:bCs/>
          <w:color w:val="000000"/>
          <w:kern w:val="0"/>
          <w:sz w:val="22"/>
          <w:szCs w:val="22"/>
          <w:lang w:eastAsia="es-MX"/>
          <w14:ligatures w14:val="none"/>
        </w:rPr>
        <w:t>2</w:t>
      </w:r>
      <w:r w:rsidRPr="00391D14">
        <w:rPr>
          <w:rFonts w:ascii="Verdana" w:eastAsia="Times New Roman" w:hAnsi="Verdana" w:cs="Times New Roman"/>
          <w:b/>
          <w:bCs/>
          <w:color w:val="000000"/>
          <w:kern w:val="0"/>
          <w:sz w:val="22"/>
          <w:szCs w:val="22"/>
          <w:lang w:eastAsia="es-MX"/>
          <w14:ligatures w14:val="none"/>
        </w:rPr>
        <w:t xml:space="preserve"> DE 202</w:t>
      </w:r>
      <w:r w:rsidR="00013179">
        <w:rPr>
          <w:rFonts w:ascii="Verdana" w:eastAsia="Times New Roman" w:hAnsi="Verdana" w:cs="Times New Roman"/>
          <w:b/>
          <w:bCs/>
          <w:color w:val="000000"/>
          <w:kern w:val="0"/>
          <w:sz w:val="22"/>
          <w:szCs w:val="22"/>
          <w:lang w:eastAsia="es-MX"/>
          <w14:ligatures w14:val="none"/>
        </w:rPr>
        <w:t>4</w:t>
      </w:r>
    </w:p>
    <w:p w14:paraId="6DD3665A" w14:textId="77777777" w:rsidR="00013179" w:rsidRDefault="00013179" w:rsidP="00630584">
      <w:pPr>
        <w:jc w:val="center"/>
        <w:rPr>
          <w:rFonts w:ascii="Verdana" w:eastAsia="Times New Roman" w:hAnsi="Verdana" w:cs="Times New Roman"/>
          <w:b/>
          <w:bCs/>
          <w:color w:val="000000"/>
          <w:kern w:val="0"/>
          <w:sz w:val="22"/>
          <w:szCs w:val="22"/>
          <w:lang w:eastAsia="es-MX"/>
          <w14:ligatures w14:val="none"/>
        </w:rPr>
      </w:pPr>
    </w:p>
    <w:p w14:paraId="6930C810" w14:textId="3D98EC04" w:rsidR="00013179" w:rsidRPr="00013179" w:rsidRDefault="00013179" w:rsidP="00630584">
      <w:pPr>
        <w:jc w:val="center"/>
        <w:rPr>
          <w:rFonts w:ascii="Verdana" w:eastAsia="Times New Roman" w:hAnsi="Verdana" w:cs="Times New Roman"/>
          <w:color w:val="000000"/>
          <w:kern w:val="0"/>
          <w:sz w:val="22"/>
          <w:szCs w:val="22"/>
          <w:lang w:eastAsia="es-MX"/>
          <w14:ligatures w14:val="none"/>
        </w:rPr>
      </w:pPr>
      <w:r w:rsidRPr="00013179">
        <w:rPr>
          <w:rFonts w:ascii="Verdana" w:eastAsia="Times New Roman" w:hAnsi="Verdana" w:cs="Times New Roman"/>
          <w:color w:val="000000"/>
          <w:kern w:val="0"/>
          <w:sz w:val="22"/>
          <w:szCs w:val="22"/>
          <w:lang w:eastAsia="es-MX"/>
          <w14:ligatures w14:val="none"/>
        </w:rPr>
        <w:t>(26 de junio)</w:t>
      </w:r>
    </w:p>
    <w:p w14:paraId="63944952" w14:textId="77777777" w:rsidR="00391D14" w:rsidRDefault="00391D14" w:rsidP="00391D14">
      <w:pPr>
        <w:jc w:val="both"/>
        <w:rPr>
          <w:rFonts w:ascii="Verdana" w:hAnsi="Verdana" w:cs="Helvetica"/>
          <w:kern w:val="0"/>
          <w:sz w:val="22"/>
          <w:szCs w:val="22"/>
          <w:lang w:val="es-MX"/>
        </w:rPr>
      </w:pPr>
    </w:p>
    <w:p w14:paraId="4A484ABC" w14:textId="2704398D" w:rsidR="00013179" w:rsidRDefault="00013179" w:rsidP="00391D14">
      <w:pPr>
        <w:jc w:val="both"/>
        <w:rPr>
          <w:rFonts w:ascii="Verdana" w:hAnsi="Verdana" w:cs="Helvetica"/>
          <w:kern w:val="0"/>
          <w:sz w:val="22"/>
          <w:szCs w:val="22"/>
          <w:lang w:val="es-MX"/>
        </w:rPr>
      </w:pPr>
      <w:r w:rsidRPr="00013179">
        <w:rPr>
          <w:rFonts w:ascii="Verdana" w:hAnsi="Verdana" w:cs="Helvetica"/>
          <w:b/>
          <w:bCs/>
          <w:kern w:val="0"/>
          <w:sz w:val="22"/>
          <w:szCs w:val="22"/>
          <w:lang w:val="es-MX"/>
        </w:rPr>
        <w:t>PARA</w:t>
      </w:r>
      <w:r>
        <w:rPr>
          <w:rFonts w:ascii="Verdana" w:hAnsi="Verdana" w:cs="Helvetica"/>
          <w:kern w:val="0"/>
          <w:sz w:val="22"/>
          <w:szCs w:val="22"/>
          <w:lang w:val="es-MX"/>
        </w:rPr>
        <w:t xml:space="preserve">: DIRECTORES REGIONALES, </w:t>
      </w:r>
      <w:r w:rsidR="001C7FD6">
        <w:rPr>
          <w:rFonts w:ascii="Verdana" w:hAnsi="Verdana" w:cs="Helvetica"/>
          <w:kern w:val="0"/>
          <w:sz w:val="22"/>
          <w:szCs w:val="22"/>
          <w:lang w:val="es-MX"/>
        </w:rPr>
        <w:t>DIRECCIÓN DE PROTECCIÓN, COORDINACIÓN DE AUTORIDADES ADMINISTRATIVAS, COORDINADORES DE CENTROS ZONALES, DEFENSORÍAS DE FAMILIA, COMISARÍAS DE FAMILIA, ALCALDÍAS MUNICIPALESS Y DISTRITALES Y MINISTERIO DE JUSTICIA Y DEL DERECHO</w:t>
      </w:r>
    </w:p>
    <w:p w14:paraId="6A348FE3" w14:textId="77777777" w:rsidR="00013179" w:rsidRDefault="00013179" w:rsidP="00391D14">
      <w:pPr>
        <w:jc w:val="both"/>
        <w:rPr>
          <w:rFonts w:ascii="Verdana" w:hAnsi="Verdana" w:cs="Helvetica"/>
          <w:kern w:val="0"/>
          <w:sz w:val="22"/>
          <w:szCs w:val="22"/>
          <w:lang w:val="es-MX"/>
        </w:rPr>
      </w:pPr>
    </w:p>
    <w:p w14:paraId="5496FFE5" w14:textId="77777777" w:rsidR="00013179" w:rsidRDefault="00013179" w:rsidP="00391D14">
      <w:pPr>
        <w:jc w:val="both"/>
        <w:rPr>
          <w:rFonts w:ascii="Verdana" w:hAnsi="Verdana" w:cs="Helvetica"/>
          <w:kern w:val="0"/>
          <w:sz w:val="22"/>
          <w:szCs w:val="22"/>
          <w:lang w:val="es-MX"/>
        </w:rPr>
      </w:pPr>
    </w:p>
    <w:p w14:paraId="657BAC19" w14:textId="6DC9AD5E" w:rsidR="00013179" w:rsidRDefault="00013179" w:rsidP="00391D14">
      <w:pPr>
        <w:jc w:val="both"/>
        <w:rPr>
          <w:rFonts w:ascii="Verdana" w:hAnsi="Verdana" w:cs="Helvetica"/>
          <w:kern w:val="0"/>
          <w:sz w:val="22"/>
          <w:szCs w:val="22"/>
          <w:lang w:val="es-MX"/>
        </w:rPr>
      </w:pPr>
      <w:r w:rsidRPr="00013179">
        <w:rPr>
          <w:rFonts w:ascii="Verdana" w:hAnsi="Verdana" w:cs="Helvetica"/>
          <w:b/>
          <w:bCs/>
          <w:kern w:val="0"/>
          <w:sz w:val="22"/>
          <w:szCs w:val="22"/>
          <w:lang w:val="es-MX"/>
        </w:rPr>
        <w:t>Asunto</w:t>
      </w:r>
      <w:r>
        <w:rPr>
          <w:rFonts w:ascii="Verdana" w:hAnsi="Verdana" w:cs="Helvetica"/>
          <w:kern w:val="0"/>
          <w:sz w:val="22"/>
          <w:szCs w:val="22"/>
          <w:lang w:val="es-MX"/>
        </w:rPr>
        <w:t xml:space="preserve">: </w:t>
      </w:r>
      <w:proofErr w:type="gramStart"/>
      <w:r w:rsidR="001C7FD6">
        <w:rPr>
          <w:rFonts w:ascii="Verdana" w:hAnsi="Verdana" w:cs="Helvetica"/>
          <w:kern w:val="0"/>
          <w:sz w:val="22"/>
          <w:szCs w:val="22"/>
          <w:lang w:val="es-MX"/>
        </w:rPr>
        <w:t>ENTRADA EN VIGENCIA</w:t>
      </w:r>
      <w:proofErr w:type="gramEnd"/>
      <w:r w:rsidR="001C7FD6">
        <w:rPr>
          <w:rFonts w:ascii="Verdana" w:hAnsi="Verdana" w:cs="Helvetica"/>
          <w:kern w:val="0"/>
          <w:sz w:val="22"/>
          <w:szCs w:val="22"/>
          <w:lang w:val="es-MX"/>
        </w:rPr>
        <w:t xml:space="preserve"> DEL PARÁGRAFO 1 DEL ARTÍCULO 5 DE LA LEY 2126 DE 2021</w:t>
      </w:r>
    </w:p>
    <w:p w14:paraId="76BA49ED" w14:textId="77777777" w:rsidR="00013179" w:rsidRDefault="00013179" w:rsidP="00391D14">
      <w:pPr>
        <w:jc w:val="both"/>
        <w:rPr>
          <w:rFonts w:ascii="Verdana" w:hAnsi="Verdana" w:cs="Helvetica"/>
          <w:kern w:val="0"/>
          <w:sz w:val="22"/>
          <w:szCs w:val="22"/>
          <w:lang w:val="es-MX"/>
        </w:rPr>
      </w:pPr>
    </w:p>
    <w:p w14:paraId="584D53A8" w14:textId="77777777" w:rsidR="00013179" w:rsidRDefault="00013179" w:rsidP="00391D14">
      <w:pPr>
        <w:jc w:val="both"/>
        <w:rPr>
          <w:rFonts w:ascii="Verdana" w:hAnsi="Verdana" w:cs="Helvetica"/>
          <w:kern w:val="0"/>
          <w:sz w:val="22"/>
          <w:szCs w:val="22"/>
          <w:lang w:val="es-MX"/>
        </w:rPr>
      </w:pPr>
    </w:p>
    <w:p w14:paraId="75ABAC80" w14:textId="61A6CAAB" w:rsidR="00013179" w:rsidRDefault="001C7FD6" w:rsidP="00391D14">
      <w:pPr>
        <w:jc w:val="both"/>
        <w:rPr>
          <w:rFonts w:ascii="Verdana" w:hAnsi="Verdana" w:cs="Helvetica"/>
          <w:kern w:val="0"/>
          <w:sz w:val="22"/>
          <w:szCs w:val="22"/>
          <w:lang w:val="es-MX"/>
        </w:rPr>
      </w:pPr>
      <w:r w:rsidRPr="001C7FD6">
        <w:rPr>
          <w:rFonts w:ascii="Verdana" w:hAnsi="Verdana" w:cs="Helvetica"/>
          <w:b/>
          <w:bCs/>
          <w:kern w:val="0"/>
          <w:sz w:val="22"/>
          <w:szCs w:val="22"/>
          <w:lang w:val="es-MX"/>
        </w:rPr>
        <w:t>Fecha</w:t>
      </w:r>
      <w:r>
        <w:rPr>
          <w:rFonts w:ascii="Verdana" w:hAnsi="Verdana" w:cs="Helvetica"/>
          <w:kern w:val="0"/>
          <w:sz w:val="22"/>
          <w:szCs w:val="22"/>
          <w:lang w:val="es-MX"/>
        </w:rPr>
        <w:t>: 26 de junio de 2024</w:t>
      </w:r>
    </w:p>
    <w:p w14:paraId="35A2423C" w14:textId="77777777" w:rsidR="001C7FD6" w:rsidRDefault="001C7FD6" w:rsidP="00391D14">
      <w:pPr>
        <w:jc w:val="both"/>
        <w:rPr>
          <w:rFonts w:ascii="Verdana" w:hAnsi="Verdana" w:cs="Helvetica"/>
          <w:kern w:val="0"/>
          <w:sz w:val="22"/>
          <w:szCs w:val="22"/>
          <w:lang w:val="es-MX"/>
        </w:rPr>
      </w:pPr>
    </w:p>
    <w:p w14:paraId="54801300" w14:textId="77777777" w:rsidR="001C7FD6" w:rsidRDefault="001C7FD6" w:rsidP="00391D14">
      <w:pPr>
        <w:jc w:val="both"/>
        <w:rPr>
          <w:rFonts w:ascii="Verdana" w:hAnsi="Verdana" w:cs="Helvetica"/>
          <w:kern w:val="0"/>
          <w:sz w:val="22"/>
          <w:szCs w:val="22"/>
          <w:lang w:val="es-MX"/>
        </w:rPr>
      </w:pPr>
    </w:p>
    <w:p w14:paraId="499CCBC6" w14:textId="214E0266" w:rsidR="00013179" w:rsidRDefault="001C7FD6" w:rsidP="00391D14">
      <w:pPr>
        <w:jc w:val="both"/>
        <w:rPr>
          <w:rFonts w:ascii="Verdana" w:hAnsi="Verdana" w:cs="Helvetica"/>
          <w:kern w:val="0"/>
          <w:sz w:val="22"/>
          <w:szCs w:val="22"/>
          <w:lang w:val="es-MX"/>
        </w:rPr>
      </w:pPr>
      <w:r>
        <w:rPr>
          <w:rFonts w:ascii="Verdana" w:hAnsi="Verdana" w:cs="Helvetica"/>
          <w:kern w:val="0"/>
          <w:sz w:val="22"/>
          <w:szCs w:val="22"/>
          <w:lang w:val="es-MX"/>
        </w:rPr>
        <w:t>Estimados, reciban un cordial saludo,</w:t>
      </w:r>
    </w:p>
    <w:p w14:paraId="4CEA8483" w14:textId="77777777" w:rsidR="00013179" w:rsidRDefault="00013179" w:rsidP="00391D14">
      <w:pPr>
        <w:jc w:val="both"/>
        <w:rPr>
          <w:rFonts w:ascii="Verdana" w:hAnsi="Verdana" w:cs="Helvetica"/>
          <w:kern w:val="0"/>
          <w:sz w:val="22"/>
          <w:szCs w:val="22"/>
          <w:lang w:val="es-MX"/>
        </w:rPr>
      </w:pPr>
    </w:p>
    <w:p w14:paraId="66B0346C" w14:textId="5A264166" w:rsidR="00077E1C" w:rsidRDefault="001C7FD6" w:rsidP="00077E1C">
      <w:pPr>
        <w:jc w:val="both"/>
        <w:rPr>
          <w:rFonts w:ascii="Verdana" w:hAnsi="Verdana" w:cs="Helvetica"/>
          <w:kern w:val="0"/>
          <w:sz w:val="22"/>
          <w:szCs w:val="22"/>
          <w:lang w:val="es-MX"/>
        </w:rPr>
      </w:pPr>
      <w:r>
        <w:rPr>
          <w:rFonts w:ascii="Verdana" w:hAnsi="Verdana" w:cs="Helvetica"/>
          <w:kern w:val="0"/>
          <w:sz w:val="22"/>
          <w:szCs w:val="22"/>
          <w:lang w:val="es-MX"/>
        </w:rPr>
        <w:t xml:space="preserve">La Oficina Asesora Jurídica del Instituto Colombiano de Bienestar Familiar -ICBF mediante memorando con radicado No. 202410400000081713 de fecha 25 de junio de 2024, que se anexa a la presente Circular, emitió concepto jurídico acerca de la </w:t>
      </w:r>
      <w:proofErr w:type="gramStart"/>
      <w:r>
        <w:rPr>
          <w:rFonts w:ascii="Verdana" w:hAnsi="Verdana" w:cs="Helvetica"/>
          <w:kern w:val="0"/>
          <w:sz w:val="22"/>
          <w:szCs w:val="22"/>
          <w:lang w:val="es-MX"/>
        </w:rPr>
        <w:t>entrada en vigencia</w:t>
      </w:r>
      <w:proofErr w:type="gramEnd"/>
      <w:r>
        <w:rPr>
          <w:rFonts w:ascii="Verdana" w:hAnsi="Verdana" w:cs="Helvetica"/>
          <w:kern w:val="0"/>
          <w:sz w:val="22"/>
          <w:szCs w:val="22"/>
          <w:lang w:val="es-MX"/>
        </w:rPr>
        <w:t xml:space="preserve"> del parágrafo primero del artículo 5 de la Ley 2126 de 2021, en el que se concluyó lo siguiente:</w:t>
      </w:r>
    </w:p>
    <w:p w14:paraId="5916BDF0" w14:textId="77777777" w:rsidR="001C7FD6" w:rsidRDefault="001C7FD6" w:rsidP="00077E1C">
      <w:pPr>
        <w:jc w:val="both"/>
        <w:rPr>
          <w:rFonts w:ascii="Verdana" w:hAnsi="Verdana" w:cs="Helvetica"/>
          <w:kern w:val="0"/>
          <w:sz w:val="22"/>
          <w:szCs w:val="22"/>
          <w:lang w:val="es-MX"/>
        </w:rPr>
      </w:pPr>
    </w:p>
    <w:p w14:paraId="2718390B" w14:textId="76C73344" w:rsidR="00AF4D11" w:rsidRPr="00456DCA" w:rsidRDefault="00AF4D11" w:rsidP="00456DCA">
      <w:pPr>
        <w:ind w:left="709"/>
        <w:jc w:val="both"/>
        <w:rPr>
          <w:rFonts w:ascii="Verdana" w:hAnsi="Verdana" w:cs="Helvetica"/>
          <w:i/>
          <w:iCs/>
          <w:kern w:val="0"/>
          <w:sz w:val="20"/>
          <w:szCs w:val="20"/>
          <w:lang w:val="es-MX"/>
        </w:rPr>
      </w:pPr>
      <w:r w:rsidRPr="00456DCA">
        <w:rPr>
          <w:rFonts w:ascii="Verdana" w:hAnsi="Verdana" w:cs="Helvetica"/>
          <w:i/>
          <w:iCs/>
          <w:kern w:val="0"/>
          <w:sz w:val="20"/>
          <w:szCs w:val="20"/>
          <w:lang w:val="es-MX"/>
        </w:rPr>
        <w:t xml:space="preserve">“(…) </w:t>
      </w:r>
      <w:r w:rsidR="0077374B" w:rsidRPr="00456DCA">
        <w:rPr>
          <w:rFonts w:ascii="Verdana" w:hAnsi="Verdana" w:cs="Helvetica"/>
          <w:i/>
          <w:iCs/>
          <w:kern w:val="0"/>
          <w:sz w:val="20"/>
          <w:szCs w:val="20"/>
          <w:lang w:val="es-MX"/>
        </w:rPr>
        <w:t xml:space="preserve">Como bien se enunció, el parágrafo 1 del artículo 5 de la Ley 2126 de 2021, atribuye unas nuevas competencias a los Defensores de Familia, normatividad que según la Ley 2294 de 2023, entraría a regir a partir del 1 de julio de 2024; mientras tanto, el artículo 44 de la misma Ley 2126 de 2021 concede un plazo de dieciocho (18) meses, a partir de la vigencia de dicho precepto normativo, lo cual, no se podría interpretar de manera distinta al </w:t>
      </w:r>
      <w:proofErr w:type="spellStart"/>
      <w:r w:rsidR="0077374B" w:rsidRPr="00456DCA">
        <w:rPr>
          <w:rFonts w:ascii="Verdana" w:hAnsi="Verdana" w:cs="Helvetica"/>
          <w:i/>
          <w:iCs/>
          <w:kern w:val="0"/>
          <w:sz w:val="20"/>
          <w:szCs w:val="20"/>
          <w:lang w:val="es-MX"/>
        </w:rPr>
        <w:t>espíritur</w:t>
      </w:r>
      <w:proofErr w:type="spellEnd"/>
      <w:r w:rsidR="0077374B" w:rsidRPr="00456DCA">
        <w:rPr>
          <w:rFonts w:ascii="Verdana" w:hAnsi="Verdana" w:cs="Helvetica"/>
          <w:i/>
          <w:iCs/>
          <w:kern w:val="0"/>
          <w:sz w:val="20"/>
          <w:szCs w:val="20"/>
          <w:lang w:val="es-MX"/>
        </w:rPr>
        <w:t xml:space="preserve"> del legislador, el cual apunta a la adopción de las medidas administrativas y presupuestales correspondientes, en el marco fiscal de mediano plazo, bajo los principios de planeación y progresividad, con el fin de lograr la puesta en funcionamiento del Sistema Nacional de Justicia Familiar, previa su estructuración y que el Instituto tenga la capacidad institucional para asumir la competencia establecida en el parágrafo primero del artículo 5 de la Ley 2126 de 2021.</w:t>
      </w:r>
    </w:p>
    <w:p w14:paraId="41FB45ED" w14:textId="77777777" w:rsidR="0077374B" w:rsidRPr="00456DCA" w:rsidRDefault="0077374B" w:rsidP="00456DCA">
      <w:pPr>
        <w:ind w:left="709"/>
        <w:jc w:val="both"/>
        <w:rPr>
          <w:rFonts w:ascii="Verdana" w:hAnsi="Verdana" w:cs="Helvetica"/>
          <w:i/>
          <w:iCs/>
          <w:kern w:val="0"/>
          <w:sz w:val="20"/>
          <w:szCs w:val="20"/>
          <w:lang w:val="es-MX"/>
        </w:rPr>
      </w:pPr>
    </w:p>
    <w:p w14:paraId="72C27644" w14:textId="3DEBA82F" w:rsidR="0077374B" w:rsidRPr="00456DCA" w:rsidRDefault="0077374B" w:rsidP="00456DCA">
      <w:pPr>
        <w:ind w:left="709"/>
        <w:jc w:val="both"/>
        <w:rPr>
          <w:rFonts w:ascii="Verdana" w:hAnsi="Verdana" w:cs="Helvetica"/>
          <w:i/>
          <w:iCs/>
          <w:kern w:val="0"/>
          <w:sz w:val="20"/>
          <w:szCs w:val="20"/>
          <w:lang w:val="es-MX"/>
        </w:rPr>
      </w:pPr>
      <w:r w:rsidRPr="00456DCA">
        <w:rPr>
          <w:rFonts w:ascii="Verdana" w:hAnsi="Verdana" w:cs="Helvetica"/>
          <w:i/>
          <w:iCs/>
          <w:kern w:val="0"/>
          <w:sz w:val="20"/>
          <w:szCs w:val="20"/>
          <w:lang w:val="es-MX"/>
        </w:rPr>
        <w:t>Dicha justificación es razonable, teniendo en cuenta que las acciones encaminadas a la implementación de un nuevo Sistema, se dará en la medida que la Entidad cuente con la apropiación de los recursos requeridos para fortalecer su capacidad institucional.</w:t>
      </w:r>
    </w:p>
    <w:p w14:paraId="54BE30C9" w14:textId="77777777" w:rsidR="0077374B" w:rsidRPr="00456DCA" w:rsidRDefault="0077374B" w:rsidP="00456DCA">
      <w:pPr>
        <w:ind w:left="709"/>
        <w:jc w:val="both"/>
        <w:rPr>
          <w:rFonts w:ascii="Verdana" w:hAnsi="Verdana" w:cs="Helvetica"/>
          <w:i/>
          <w:iCs/>
          <w:kern w:val="0"/>
          <w:sz w:val="20"/>
          <w:szCs w:val="20"/>
          <w:lang w:val="es-MX"/>
        </w:rPr>
      </w:pPr>
    </w:p>
    <w:p w14:paraId="1D85CFC9" w14:textId="20F8E7F5" w:rsidR="0077374B" w:rsidRPr="00456DCA" w:rsidRDefault="0077374B" w:rsidP="00456DCA">
      <w:pPr>
        <w:ind w:left="709"/>
        <w:jc w:val="both"/>
        <w:rPr>
          <w:rFonts w:ascii="Verdana" w:hAnsi="Verdana" w:cs="Helvetica"/>
          <w:i/>
          <w:iCs/>
          <w:kern w:val="0"/>
          <w:sz w:val="20"/>
          <w:szCs w:val="20"/>
          <w:lang w:val="es-MX"/>
        </w:rPr>
      </w:pPr>
      <w:r w:rsidRPr="00456DCA">
        <w:rPr>
          <w:rFonts w:ascii="Verdana" w:hAnsi="Verdana" w:cs="Helvetica"/>
          <w:i/>
          <w:iCs/>
          <w:kern w:val="0"/>
          <w:sz w:val="20"/>
          <w:szCs w:val="20"/>
          <w:lang w:val="es-MX"/>
        </w:rPr>
        <w:t>(…)</w:t>
      </w:r>
    </w:p>
    <w:p w14:paraId="50F7FF28" w14:textId="77777777" w:rsidR="0077374B" w:rsidRPr="00456DCA" w:rsidRDefault="0077374B" w:rsidP="00456DCA">
      <w:pPr>
        <w:ind w:left="709"/>
        <w:jc w:val="both"/>
        <w:rPr>
          <w:rFonts w:ascii="Verdana" w:hAnsi="Verdana" w:cs="Helvetica"/>
          <w:i/>
          <w:iCs/>
          <w:kern w:val="0"/>
          <w:sz w:val="20"/>
          <w:szCs w:val="20"/>
          <w:lang w:val="es-MX"/>
        </w:rPr>
      </w:pPr>
    </w:p>
    <w:p w14:paraId="28EC5274" w14:textId="1FF43C5F" w:rsidR="0077374B" w:rsidRPr="00456DCA" w:rsidRDefault="0077374B" w:rsidP="00456DCA">
      <w:pPr>
        <w:ind w:left="709"/>
        <w:jc w:val="both"/>
        <w:rPr>
          <w:rFonts w:ascii="Verdana" w:hAnsi="Verdana" w:cs="Helvetica"/>
          <w:i/>
          <w:iCs/>
          <w:kern w:val="0"/>
          <w:sz w:val="20"/>
          <w:szCs w:val="20"/>
          <w:lang w:val="es-MX"/>
        </w:rPr>
      </w:pPr>
      <w:r w:rsidRPr="00456DCA">
        <w:rPr>
          <w:rFonts w:ascii="Verdana" w:hAnsi="Verdana" w:cs="Helvetica"/>
          <w:i/>
          <w:iCs/>
          <w:kern w:val="0"/>
          <w:sz w:val="20"/>
          <w:szCs w:val="20"/>
          <w:lang w:val="es-MX"/>
        </w:rPr>
        <w:t xml:space="preserve">2. De acuerdo con el análisis realizado por esta Oficina, atendiendo a los métodos de interpretación jurídica, es dable concluir que el parágrafo 1 del artículo 5 de </w:t>
      </w:r>
      <w:r w:rsidRPr="00456DCA">
        <w:rPr>
          <w:rFonts w:ascii="Verdana" w:hAnsi="Verdana" w:cs="Helvetica"/>
          <w:i/>
          <w:iCs/>
          <w:kern w:val="0"/>
          <w:sz w:val="20"/>
          <w:szCs w:val="20"/>
          <w:lang w:val="es-MX"/>
        </w:rPr>
        <w:lastRenderedPageBreak/>
        <w:t>la Leu 2126, entraría a regir a los 18 meses contados a partir de la fecha señalada en el parágrafo 1 del artículo 203 de la Ley 2294 de 2023</w:t>
      </w:r>
      <w:r w:rsidR="00456DCA" w:rsidRPr="00456DCA">
        <w:rPr>
          <w:rFonts w:ascii="Verdana" w:hAnsi="Verdana" w:cs="Helvetica"/>
          <w:i/>
          <w:iCs/>
          <w:kern w:val="0"/>
          <w:sz w:val="20"/>
          <w:szCs w:val="20"/>
          <w:lang w:val="es-MX"/>
        </w:rPr>
        <w:t>.</w:t>
      </w:r>
      <w:r w:rsidRPr="00456DCA">
        <w:rPr>
          <w:rFonts w:ascii="Verdana" w:hAnsi="Verdana" w:cs="Helvetica"/>
          <w:i/>
          <w:iCs/>
          <w:kern w:val="0"/>
          <w:sz w:val="20"/>
          <w:szCs w:val="20"/>
          <w:lang w:val="es-MX"/>
        </w:rPr>
        <w:t>”</w:t>
      </w:r>
    </w:p>
    <w:p w14:paraId="3CCFC8E4" w14:textId="77777777" w:rsidR="00AF4D11" w:rsidRDefault="00AF4D11" w:rsidP="00077E1C">
      <w:pPr>
        <w:jc w:val="both"/>
        <w:rPr>
          <w:rFonts w:ascii="Verdana" w:hAnsi="Verdana" w:cs="Helvetica"/>
          <w:kern w:val="0"/>
          <w:sz w:val="22"/>
          <w:szCs w:val="22"/>
          <w:lang w:val="es-MX"/>
        </w:rPr>
      </w:pPr>
    </w:p>
    <w:p w14:paraId="52403D92" w14:textId="77777777" w:rsidR="00AF4D11" w:rsidRDefault="00AF4D11" w:rsidP="00077E1C">
      <w:pPr>
        <w:jc w:val="both"/>
        <w:rPr>
          <w:rFonts w:ascii="Verdana" w:hAnsi="Verdana" w:cs="Helvetica"/>
          <w:kern w:val="0"/>
          <w:sz w:val="22"/>
          <w:szCs w:val="22"/>
          <w:lang w:val="es-MX"/>
        </w:rPr>
      </w:pPr>
    </w:p>
    <w:p w14:paraId="236AFA34" w14:textId="1733D7E3" w:rsidR="00AF4D11" w:rsidRDefault="00AF4D11" w:rsidP="00077E1C">
      <w:pPr>
        <w:jc w:val="both"/>
        <w:rPr>
          <w:rFonts w:ascii="Verdana" w:hAnsi="Verdana" w:cs="Helvetica"/>
          <w:kern w:val="0"/>
          <w:sz w:val="22"/>
          <w:szCs w:val="22"/>
          <w:lang w:val="es-MX"/>
        </w:rPr>
      </w:pPr>
      <w:r>
        <w:rPr>
          <w:rFonts w:ascii="Verdana" w:hAnsi="Verdana" w:cs="Helvetica"/>
          <w:kern w:val="0"/>
          <w:sz w:val="22"/>
          <w:szCs w:val="22"/>
          <w:lang w:val="es-MX"/>
        </w:rPr>
        <w:t xml:space="preserve">Así, de acuerdo con el pronunciamiento de la Oficina Asesora Jurídica del Instituto, se estimen los siguientes lineamientos frente a la </w:t>
      </w:r>
      <w:proofErr w:type="gramStart"/>
      <w:r>
        <w:rPr>
          <w:rFonts w:ascii="Verdana" w:hAnsi="Verdana" w:cs="Helvetica"/>
          <w:kern w:val="0"/>
          <w:sz w:val="22"/>
          <w:szCs w:val="22"/>
          <w:lang w:val="es-MX"/>
        </w:rPr>
        <w:t>entrada en vigencia</w:t>
      </w:r>
      <w:proofErr w:type="gramEnd"/>
      <w:r>
        <w:rPr>
          <w:rFonts w:ascii="Verdana" w:hAnsi="Verdana" w:cs="Helvetica"/>
          <w:kern w:val="0"/>
          <w:sz w:val="22"/>
          <w:szCs w:val="22"/>
          <w:lang w:val="es-MX"/>
        </w:rPr>
        <w:t xml:space="preserve"> del parágrafo 1 del artículo 5 de la Ley 2126 de 2021.</w:t>
      </w:r>
    </w:p>
    <w:p w14:paraId="50E1D7CD" w14:textId="77777777" w:rsidR="00AF4D11" w:rsidRDefault="00AF4D11" w:rsidP="00077E1C">
      <w:pPr>
        <w:jc w:val="both"/>
        <w:rPr>
          <w:rFonts w:ascii="Verdana" w:hAnsi="Verdana" w:cs="Helvetica"/>
          <w:kern w:val="0"/>
          <w:sz w:val="22"/>
          <w:szCs w:val="22"/>
          <w:lang w:val="es-MX"/>
        </w:rPr>
      </w:pPr>
    </w:p>
    <w:p w14:paraId="1689148A" w14:textId="5C91D821" w:rsidR="00AF4D11" w:rsidRDefault="00AF4D11" w:rsidP="00077E1C">
      <w:pPr>
        <w:jc w:val="both"/>
        <w:rPr>
          <w:rFonts w:ascii="Verdana" w:hAnsi="Verdana" w:cs="Helvetica"/>
          <w:kern w:val="0"/>
          <w:sz w:val="22"/>
          <w:szCs w:val="22"/>
          <w:lang w:val="es-MX"/>
        </w:rPr>
      </w:pPr>
      <w:r>
        <w:rPr>
          <w:rFonts w:ascii="Verdana" w:hAnsi="Verdana" w:cs="Helvetica"/>
          <w:kern w:val="0"/>
          <w:sz w:val="22"/>
          <w:szCs w:val="22"/>
          <w:lang w:val="es-MX"/>
        </w:rPr>
        <w:t xml:space="preserve">Las acciones para el fortalecimiento de las Defensorías de Familia serán implementadas de forma progresiva y gradual en el plazo máximo de los dieciocho (18) meses al que hace referencia el artículo 44 de la Ley 2126 de 2021, que en virtud del artículo 203 de la Ley 2294 de 2023 </w:t>
      </w:r>
      <w:proofErr w:type="gramStart"/>
      <w:r>
        <w:rPr>
          <w:rFonts w:ascii="Verdana" w:hAnsi="Verdana" w:cs="Helvetica"/>
          <w:kern w:val="0"/>
          <w:sz w:val="22"/>
          <w:szCs w:val="22"/>
          <w:lang w:val="es-MX"/>
        </w:rPr>
        <w:t>entra en vigencia</w:t>
      </w:r>
      <w:proofErr w:type="gramEnd"/>
      <w:r>
        <w:rPr>
          <w:rFonts w:ascii="Verdana" w:hAnsi="Verdana" w:cs="Helvetica"/>
          <w:kern w:val="0"/>
          <w:sz w:val="22"/>
          <w:szCs w:val="22"/>
          <w:lang w:val="es-MX"/>
        </w:rPr>
        <w:t xml:space="preserve"> a partir4 del 1º de julio de 2024.</w:t>
      </w:r>
    </w:p>
    <w:p w14:paraId="18B162D4" w14:textId="77777777" w:rsidR="00AF4D11" w:rsidRDefault="00AF4D11" w:rsidP="00077E1C">
      <w:pPr>
        <w:jc w:val="both"/>
        <w:rPr>
          <w:rFonts w:ascii="Verdana" w:hAnsi="Verdana" w:cs="Helvetica"/>
          <w:kern w:val="0"/>
          <w:sz w:val="22"/>
          <w:szCs w:val="22"/>
          <w:lang w:val="es-MX"/>
        </w:rPr>
      </w:pPr>
    </w:p>
    <w:p w14:paraId="0A837FC7" w14:textId="0A3A0837" w:rsidR="00AF4D11" w:rsidRDefault="00AF4D11" w:rsidP="00077E1C">
      <w:pPr>
        <w:jc w:val="both"/>
        <w:rPr>
          <w:rFonts w:ascii="Verdana" w:hAnsi="Verdana" w:cs="Helvetica"/>
          <w:kern w:val="0"/>
          <w:sz w:val="22"/>
          <w:szCs w:val="22"/>
          <w:lang w:val="es-MX"/>
        </w:rPr>
      </w:pPr>
      <w:r>
        <w:rPr>
          <w:rFonts w:ascii="Verdana" w:hAnsi="Verdana" w:cs="Helvetica"/>
          <w:kern w:val="0"/>
          <w:sz w:val="22"/>
          <w:szCs w:val="22"/>
          <w:lang w:val="es-MX"/>
        </w:rPr>
        <w:t xml:space="preserve">Lo anterior, contará con un plan de habilitación de Defensorías de Familia que se irán sumando progresivamente a la atención a medida que el fortalecimiento de cada uno permitirá su vinculación en el transcurso de los meses estipulados por la Ley. Este plan progresivo involucra entre otras cosas, </w:t>
      </w:r>
      <w:proofErr w:type="gramStart"/>
      <w:r>
        <w:rPr>
          <w:rFonts w:ascii="Verdana" w:hAnsi="Verdana" w:cs="Helvetica"/>
          <w:kern w:val="0"/>
          <w:sz w:val="22"/>
          <w:szCs w:val="22"/>
          <w:lang w:val="es-MX"/>
        </w:rPr>
        <w:t>el procesos</w:t>
      </w:r>
      <w:proofErr w:type="gramEnd"/>
      <w:r>
        <w:rPr>
          <w:rFonts w:ascii="Verdana" w:hAnsi="Verdana" w:cs="Helvetica"/>
          <w:kern w:val="0"/>
          <w:sz w:val="22"/>
          <w:szCs w:val="22"/>
          <w:lang w:val="es-MX"/>
        </w:rPr>
        <w:t xml:space="preserve"> de ampliación de planta de personal, la formalización laboral, la ampliación de contratos de apoyo y la creación de unidades locales de apoyo del ICBF en los municipios con mayores incidencias de violencia contra los niños, niñas y adolescentes. Dicha habilitación conllevará a garantizar las condiciones y a proteger los derechos de los niños, niñas y adolescentes, así como el cumplimiento de la Ley en transición armónica hacia la implementación del Sistema Nacional de Justicia Familiar.</w:t>
      </w:r>
    </w:p>
    <w:p w14:paraId="6293EAB8" w14:textId="77777777" w:rsidR="00AF4D11" w:rsidRDefault="00AF4D11" w:rsidP="00077E1C">
      <w:pPr>
        <w:jc w:val="both"/>
        <w:rPr>
          <w:rFonts w:ascii="Verdana" w:hAnsi="Verdana" w:cs="Helvetica"/>
          <w:kern w:val="0"/>
          <w:sz w:val="22"/>
          <w:szCs w:val="22"/>
          <w:lang w:val="es-MX"/>
        </w:rPr>
      </w:pPr>
    </w:p>
    <w:p w14:paraId="2DC50791" w14:textId="04535644" w:rsidR="00AF4D11" w:rsidRDefault="0077374B" w:rsidP="00077E1C">
      <w:pPr>
        <w:jc w:val="both"/>
        <w:rPr>
          <w:rFonts w:ascii="Verdana" w:hAnsi="Verdana" w:cs="Helvetica"/>
          <w:kern w:val="0"/>
          <w:sz w:val="22"/>
          <w:szCs w:val="22"/>
          <w:lang w:val="es-MX"/>
        </w:rPr>
      </w:pPr>
      <w:r>
        <w:rPr>
          <w:rFonts w:ascii="Verdana" w:hAnsi="Verdana" w:cs="Helvetica"/>
          <w:kern w:val="0"/>
          <w:sz w:val="22"/>
          <w:szCs w:val="22"/>
          <w:lang w:val="es-MX"/>
        </w:rPr>
        <w:t>Para el efecto, la Subdirección General y la Dirección de Protección a más tardar el 30 de julio del presente año, diseñarán el plan en el que se detallen las actividades a desarrollar en el marco del fortalecimiento de las defensoría de familia, señalando responsables y plazos para la implementación de las medidas que se adopten a fin de garantizar la capacidad institucional que le permita al Instituto asumir las competencias atribuidas en el parágrafo primero del artículo 5 de la Ley 2126 de 2021.</w:t>
      </w:r>
    </w:p>
    <w:p w14:paraId="6F31847B" w14:textId="77777777" w:rsidR="0077374B" w:rsidRDefault="0077374B" w:rsidP="00077E1C">
      <w:pPr>
        <w:jc w:val="both"/>
        <w:rPr>
          <w:rFonts w:ascii="Verdana" w:hAnsi="Verdana" w:cs="Helvetica"/>
          <w:kern w:val="0"/>
          <w:sz w:val="22"/>
          <w:szCs w:val="22"/>
          <w:lang w:val="es-MX"/>
        </w:rPr>
      </w:pPr>
    </w:p>
    <w:p w14:paraId="78DDA93A" w14:textId="0864031D" w:rsidR="0077374B" w:rsidRDefault="0077374B" w:rsidP="00077E1C">
      <w:pPr>
        <w:jc w:val="both"/>
        <w:rPr>
          <w:rFonts w:ascii="Verdana" w:hAnsi="Verdana" w:cs="Helvetica"/>
          <w:kern w:val="0"/>
          <w:sz w:val="22"/>
          <w:szCs w:val="22"/>
          <w:lang w:val="es-MX"/>
        </w:rPr>
      </w:pPr>
      <w:r>
        <w:rPr>
          <w:rFonts w:ascii="Verdana" w:hAnsi="Verdana" w:cs="Helvetica"/>
          <w:kern w:val="0"/>
          <w:sz w:val="22"/>
          <w:szCs w:val="22"/>
          <w:lang w:val="es-MX"/>
        </w:rPr>
        <w:t>Cordialmente,</w:t>
      </w:r>
    </w:p>
    <w:p w14:paraId="372942D0" w14:textId="77777777" w:rsidR="001C7FD6" w:rsidRDefault="001C7FD6" w:rsidP="00077E1C">
      <w:pPr>
        <w:jc w:val="both"/>
        <w:rPr>
          <w:rFonts w:ascii="Verdana" w:hAnsi="Verdana" w:cs="Helvetica"/>
          <w:kern w:val="0"/>
          <w:sz w:val="22"/>
          <w:szCs w:val="22"/>
          <w:lang w:val="es-MX"/>
        </w:rPr>
      </w:pPr>
    </w:p>
    <w:p w14:paraId="3C283BAF" w14:textId="77777777" w:rsidR="00077E1C" w:rsidRDefault="00077E1C" w:rsidP="00077E1C">
      <w:pPr>
        <w:jc w:val="both"/>
        <w:rPr>
          <w:rFonts w:ascii="Verdana" w:hAnsi="Verdana" w:cs="Helvetica"/>
          <w:kern w:val="0"/>
          <w:sz w:val="22"/>
          <w:szCs w:val="22"/>
          <w:lang w:val="es-MX"/>
        </w:rPr>
      </w:pPr>
    </w:p>
    <w:p w14:paraId="3AE3DB8F" w14:textId="64FA31A5" w:rsidR="00077E1C" w:rsidRPr="00077E1C" w:rsidRDefault="00077E1C" w:rsidP="00077E1C">
      <w:pPr>
        <w:jc w:val="both"/>
        <w:rPr>
          <w:rFonts w:ascii="Verdana" w:hAnsi="Verdana" w:cs="Helvetica"/>
          <w:b/>
          <w:bCs/>
          <w:kern w:val="0"/>
          <w:sz w:val="22"/>
          <w:szCs w:val="22"/>
          <w:lang w:val="es-MX"/>
        </w:rPr>
      </w:pPr>
      <w:r w:rsidRPr="00077E1C">
        <w:rPr>
          <w:rFonts w:ascii="Verdana" w:hAnsi="Verdana" w:cs="Helvetica"/>
          <w:b/>
          <w:bCs/>
          <w:kern w:val="0"/>
          <w:sz w:val="22"/>
          <w:szCs w:val="22"/>
          <w:lang w:val="es-MX"/>
        </w:rPr>
        <w:t>ASTRID ELIANA CÁCERES CÁRDENAS</w:t>
      </w:r>
    </w:p>
    <w:p w14:paraId="1A999AD0" w14:textId="63AA8268" w:rsidR="00077E1C" w:rsidRPr="00077E1C" w:rsidRDefault="00077E1C" w:rsidP="00077E1C">
      <w:pPr>
        <w:jc w:val="both"/>
        <w:rPr>
          <w:rFonts w:ascii="Verdana" w:hAnsi="Verdana" w:cs="Helvetica"/>
          <w:kern w:val="0"/>
          <w:sz w:val="22"/>
          <w:szCs w:val="22"/>
          <w:lang w:val="es-MX"/>
        </w:rPr>
      </w:pPr>
      <w:r>
        <w:rPr>
          <w:rFonts w:ascii="Verdana" w:hAnsi="Verdana" w:cs="Helvetica"/>
          <w:kern w:val="0"/>
          <w:sz w:val="22"/>
          <w:szCs w:val="22"/>
          <w:lang w:val="es-MX"/>
        </w:rPr>
        <w:t>Directora General</w:t>
      </w:r>
    </w:p>
    <w:p w14:paraId="58E83AAD" w14:textId="77777777" w:rsidR="00013179" w:rsidRDefault="00013179" w:rsidP="00077E1C">
      <w:pPr>
        <w:rPr>
          <w:rFonts w:ascii="Verdana" w:hAnsi="Verdana" w:cs="Helvetica"/>
          <w:kern w:val="0"/>
          <w:sz w:val="22"/>
          <w:szCs w:val="22"/>
          <w:lang w:val="es-MX"/>
        </w:rPr>
      </w:pPr>
    </w:p>
    <w:p w14:paraId="6B4B43DC" w14:textId="1F45451C" w:rsidR="00077E1C" w:rsidRPr="00B616B0" w:rsidRDefault="00077E1C" w:rsidP="00077E1C">
      <w:pPr>
        <w:rPr>
          <w:rFonts w:ascii="Verdana" w:hAnsi="Verdana" w:cs="Helvetica"/>
          <w:kern w:val="0"/>
          <w:sz w:val="18"/>
          <w:szCs w:val="18"/>
          <w:lang w:val="pt-PT"/>
        </w:rPr>
      </w:pPr>
      <w:r w:rsidRPr="00B616B0">
        <w:rPr>
          <w:rFonts w:ascii="Verdana" w:hAnsi="Verdana" w:cs="Helvetica"/>
          <w:kern w:val="0"/>
          <w:sz w:val="18"/>
          <w:szCs w:val="18"/>
          <w:lang w:val="pt-PT"/>
        </w:rPr>
        <w:t>Anexo incluido (</w:t>
      </w:r>
      <w:r w:rsidR="0077374B" w:rsidRPr="00B616B0">
        <w:rPr>
          <w:rFonts w:ascii="Verdana" w:hAnsi="Verdana" w:cs="Helvetica"/>
          <w:kern w:val="0"/>
          <w:sz w:val="18"/>
          <w:szCs w:val="18"/>
          <w:lang w:val="pt-PT"/>
        </w:rPr>
        <w:t>Concepto radicado 202410400000081713 del 25 de junio de 2024)</w:t>
      </w:r>
    </w:p>
    <w:p w14:paraId="52E93D79" w14:textId="77777777" w:rsidR="00013179" w:rsidRPr="0077374B" w:rsidRDefault="00013179" w:rsidP="00013179">
      <w:pPr>
        <w:jc w:val="both"/>
        <w:rPr>
          <w:rFonts w:ascii="Verdana" w:hAnsi="Verdana" w:cs="Helvetica"/>
          <w:kern w:val="0"/>
          <w:sz w:val="22"/>
          <w:szCs w:val="22"/>
          <w:lang w:val="pt-PT"/>
        </w:rPr>
      </w:pPr>
    </w:p>
    <w:p w14:paraId="5D87BECF" w14:textId="77777777" w:rsidR="00013179" w:rsidRDefault="00013179" w:rsidP="00391D14">
      <w:pPr>
        <w:rPr>
          <w:rFonts w:ascii="Times New Roman" w:eastAsia="Times New Roman" w:hAnsi="Times New Roman" w:cs="Times New Roman"/>
          <w:kern w:val="0"/>
          <w:lang w:val="pt-PT" w:eastAsia="es-MX"/>
          <w14:ligatures w14:val="none"/>
        </w:rPr>
      </w:pPr>
    </w:p>
    <w:p w14:paraId="20B1B7ED" w14:textId="77777777" w:rsidR="00B616B0" w:rsidRDefault="00B616B0" w:rsidP="00391D14">
      <w:pPr>
        <w:rPr>
          <w:rFonts w:ascii="Times New Roman" w:eastAsia="Times New Roman" w:hAnsi="Times New Roman" w:cs="Times New Roman"/>
          <w:kern w:val="0"/>
          <w:lang w:val="pt-PT" w:eastAsia="es-MX"/>
          <w14:ligatures w14:val="none"/>
        </w:rPr>
      </w:pPr>
    </w:p>
    <w:p w14:paraId="3F391322" w14:textId="77777777" w:rsidR="00B616B0" w:rsidRDefault="00B616B0" w:rsidP="00391D14">
      <w:pPr>
        <w:rPr>
          <w:rFonts w:ascii="Times New Roman" w:eastAsia="Times New Roman" w:hAnsi="Times New Roman" w:cs="Times New Roman"/>
          <w:kern w:val="0"/>
          <w:lang w:val="pt-PT" w:eastAsia="es-MX"/>
          <w14:ligatures w14:val="none"/>
        </w:rPr>
      </w:pPr>
    </w:p>
    <w:p w14:paraId="0E3F3FC5" w14:textId="77777777" w:rsidR="00B616B0" w:rsidRDefault="00B616B0" w:rsidP="00391D14">
      <w:pPr>
        <w:rPr>
          <w:rFonts w:ascii="Times New Roman" w:eastAsia="Times New Roman" w:hAnsi="Times New Roman" w:cs="Times New Roman"/>
          <w:kern w:val="0"/>
          <w:lang w:val="pt-PT" w:eastAsia="es-MX"/>
          <w14:ligatures w14:val="none"/>
        </w:rPr>
      </w:pPr>
    </w:p>
    <w:p w14:paraId="20629F88" w14:textId="77777777" w:rsidR="00B616B0" w:rsidRDefault="00B616B0" w:rsidP="00391D14">
      <w:pPr>
        <w:rPr>
          <w:rFonts w:ascii="Times New Roman" w:eastAsia="Times New Roman" w:hAnsi="Times New Roman" w:cs="Times New Roman"/>
          <w:kern w:val="0"/>
          <w:lang w:val="pt-PT" w:eastAsia="es-MX"/>
          <w14:ligatures w14:val="none"/>
        </w:rPr>
      </w:pPr>
    </w:p>
    <w:p w14:paraId="4027664E" w14:textId="77777777" w:rsidR="00B616B0" w:rsidRDefault="00B616B0" w:rsidP="00391D14">
      <w:pPr>
        <w:rPr>
          <w:rFonts w:ascii="Times New Roman" w:eastAsia="Times New Roman" w:hAnsi="Times New Roman" w:cs="Times New Roman"/>
          <w:kern w:val="0"/>
          <w:lang w:val="pt-PT" w:eastAsia="es-MX"/>
          <w14:ligatures w14:val="none"/>
        </w:rPr>
      </w:pPr>
    </w:p>
    <w:p w14:paraId="0C80028F" w14:textId="77777777" w:rsidR="00B616B0" w:rsidRPr="0077374B" w:rsidRDefault="00B616B0" w:rsidP="00391D14">
      <w:pPr>
        <w:rPr>
          <w:rFonts w:ascii="Times New Roman" w:eastAsia="Times New Roman" w:hAnsi="Times New Roman" w:cs="Times New Roman"/>
          <w:kern w:val="0"/>
          <w:lang w:val="pt-PT" w:eastAsia="es-MX"/>
          <w14:ligatures w14:val="none"/>
        </w:rPr>
      </w:pPr>
    </w:p>
    <w:p w14:paraId="0D909F1F" w14:textId="77777777" w:rsidR="00E42825" w:rsidRPr="00782A1A" w:rsidRDefault="00E42825" w:rsidP="00E42825">
      <w:pPr>
        <w:spacing w:line="216" w:lineRule="auto"/>
        <w:ind w:left="1703" w:right="1703"/>
        <w:jc w:val="center"/>
        <w:rPr>
          <w:rFonts w:ascii="Verdana" w:hAnsi="Verdana"/>
          <w:sz w:val="20"/>
          <w:szCs w:val="20"/>
        </w:rPr>
      </w:pPr>
      <w:r w:rsidRPr="00782A1A">
        <w:rPr>
          <w:rFonts w:ascii="Verdana" w:hAnsi="Verdana"/>
          <w:b/>
          <w:sz w:val="20"/>
          <w:szCs w:val="20"/>
        </w:rPr>
        <w:t xml:space="preserve">MEMORANDO </w:t>
      </w:r>
      <w:r w:rsidRPr="00782A1A">
        <w:rPr>
          <w:rFonts w:ascii="Verdana" w:eastAsia="Courier New" w:hAnsi="Verdana" w:cs="Courier New"/>
          <w:sz w:val="20"/>
          <w:szCs w:val="20"/>
        </w:rPr>
        <w:t>*202410400000081713*</w:t>
      </w:r>
    </w:p>
    <w:p w14:paraId="00351D17" w14:textId="77777777" w:rsidR="00E42825" w:rsidRPr="00782A1A" w:rsidRDefault="00E42825" w:rsidP="00E42825">
      <w:pPr>
        <w:spacing w:after="507" w:line="352" w:lineRule="auto"/>
        <w:ind w:right="2"/>
        <w:jc w:val="center"/>
        <w:rPr>
          <w:rFonts w:ascii="Verdana" w:hAnsi="Verdana"/>
          <w:sz w:val="20"/>
          <w:szCs w:val="20"/>
        </w:rPr>
      </w:pPr>
      <w:r w:rsidRPr="00782A1A">
        <w:rPr>
          <w:rFonts w:ascii="Verdana" w:hAnsi="Verdana"/>
          <w:sz w:val="20"/>
          <w:szCs w:val="20"/>
        </w:rPr>
        <w:t>Radicado No: 202410400000081713</w:t>
      </w:r>
    </w:p>
    <w:p w14:paraId="10A9B102" w14:textId="442A8ED7" w:rsidR="00E42825" w:rsidRPr="00B616B0" w:rsidRDefault="00E42825" w:rsidP="00E42825">
      <w:pPr>
        <w:tabs>
          <w:tab w:val="center" w:pos="3627"/>
        </w:tabs>
        <w:spacing w:after="6" w:line="259" w:lineRule="auto"/>
        <w:ind w:left="-15"/>
        <w:rPr>
          <w:rFonts w:ascii="Verdana" w:hAnsi="Verdana"/>
          <w:color w:val="000000" w:themeColor="text1"/>
          <w:sz w:val="20"/>
          <w:szCs w:val="20"/>
        </w:rPr>
      </w:pPr>
      <w:r w:rsidRPr="00B616B0">
        <w:rPr>
          <w:rFonts w:ascii="Verdana" w:hAnsi="Verdana"/>
          <w:b/>
          <w:color w:val="000000" w:themeColor="text1"/>
          <w:sz w:val="20"/>
          <w:szCs w:val="20"/>
        </w:rPr>
        <w:t xml:space="preserve">Para: </w:t>
      </w:r>
      <w:r w:rsidR="00B616B0">
        <w:rPr>
          <w:rFonts w:ascii="Verdana" w:hAnsi="Verdana"/>
          <w:b/>
          <w:color w:val="000000" w:themeColor="text1"/>
          <w:sz w:val="20"/>
          <w:szCs w:val="20"/>
        </w:rPr>
        <w:tab/>
      </w:r>
      <w:r w:rsidRPr="00B616B0">
        <w:rPr>
          <w:rFonts w:ascii="Verdana" w:hAnsi="Verdana"/>
          <w:b/>
          <w:color w:val="000000" w:themeColor="text1"/>
          <w:sz w:val="20"/>
          <w:szCs w:val="20"/>
        </w:rPr>
        <w:t>ASTRID ELIANA CÁCERES CÁRDENAS</w:t>
      </w:r>
    </w:p>
    <w:p w14:paraId="58F84F4D" w14:textId="77777777" w:rsidR="00E42825" w:rsidRPr="00B616B0" w:rsidRDefault="00E42825" w:rsidP="00E42825">
      <w:pPr>
        <w:ind w:left="718" w:right="4"/>
        <w:rPr>
          <w:rFonts w:ascii="Verdana" w:hAnsi="Verdana"/>
          <w:color w:val="000000" w:themeColor="text1"/>
          <w:sz w:val="20"/>
          <w:szCs w:val="20"/>
        </w:rPr>
      </w:pPr>
      <w:r w:rsidRPr="00B616B0">
        <w:rPr>
          <w:rFonts w:ascii="Verdana" w:hAnsi="Verdana"/>
          <w:color w:val="000000" w:themeColor="text1"/>
          <w:sz w:val="20"/>
          <w:szCs w:val="20"/>
        </w:rPr>
        <w:t xml:space="preserve">          Directora General ICBF</w:t>
      </w:r>
    </w:p>
    <w:p w14:paraId="4907204F" w14:textId="6AD3C90A" w:rsidR="00E42825" w:rsidRPr="00B616B0" w:rsidRDefault="00E42825" w:rsidP="00E42825">
      <w:pPr>
        <w:spacing w:after="231"/>
        <w:ind w:left="1395" w:right="4" w:hanging="1410"/>
        <w:rPr>
          <w:rFonts w:ascii="Verdana" w:hAnsi="Verdana"/>
          <w:color w:val="000000" w:themeColor="text1"/>
          <w:sz w:val="20"/>
          <w:szCs w:val="20"/>
        </w:rPr>
      </w:pPr>
      <w:r w:rsidRPr="00B616B0">
        <w:rPr>
          <w:rFonts w:ascii="Verdana" w:hAnsi="Verdana"/>
          <w:b/>
          <w:color w:val="000000" w:themeColor="text1"/>
          <w:sz w:val="20"/>
          <w:szCs w:val="20"/>
        </w:rPr>
        <w:t xml:space="preserve">Asunto: </w:t>
      </w:r>
      <w:r w:rsidR="00B616B0">
        <w:rPr>
          <w:rFonts w:ascii="Verdana" w:hAnsi="Verdana"/>
          <w:b/>
          <w:color w:val="000000" w:themeColor="text1"/>
          <w:sz w:val="20"/>
          <w:szCs w:val="20"/>
        </w:rPr>
        <w:tab/>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del parágrafo primero del artículo 5 de la Ley 2126 de 2021. </w:t>
      </w:r>
    </w:p>
    <w:p w14:paraId="316F52DD" w14:textId="77777777" w:rsidR="00E42825" w:rsidRPr="00B616B0" w:rsidRDefault="00E42825" w:rsidP="00E42825">
      <w:pPr>
        <w:tabs>
          <w:tab w:val="center" w:pos="2042"/>
        </w:tabs>
        <w:spacing w:after="289"/>
        <w:ind w:left="-15"/>
        <w:rPr>
          <w:rFonts w:ascii="Verdana" w:hAnsi="Verdana"/>
          <w:color w:val="000000" w:themeColor="text1"/>
          <w:sz w:val="20"/>
          <w:szCs w:val="20"/>
        </w:rPr>
      </w:pPr>
      <w:r w:rsidRPr="00B616B0">
        <w:rPr>
          <w:rFonts w:ascii="Verdana" w:hAnsi="Verdana"/>
          <w:b/>
          <w:color w:val="000000" w:themeColor="text1"/>
          <w:sz w:val="20"/>
          <w:szCs w:val="20"/>
        </w:rPr>
        <w:t xml:space="preserve">Fecha: </w:t>
      </w:r>
      <w:r w:rsidRPr="00B616B0">
        <w:rPr>
          <w:rFonts w:ascii="Verdana" w:hAnsi="Verdana"/>
          <w:b/>
          <w:color w:val="000000" w:themeColor="text1"/>
          <w:sz w:val="20"/>
          <w:szCs w:val="20"/>
        </w:rPr>
        <w:tab/>
      </w:r>
      <w:r w:rsidRPr="00B616B0">
        <w:rPr>
          <w:rFonts w:ascii="Verdana" w:hAnsi="Verdana"/>
          <w:color w:val="000000" w:themeColor="text1"/>
          <w:sz w:val="20"/>
          <w:szCs w:val="20"/>
        </w:rPr>
        <w:t>2024-06-25</w:t>
      </w:r>
    </w:p>
    <w:p w14:paraId="16CAABCC" w14:textId="77777777" w:rsidR="00E42825" w:rsidRDefault="00E42825" w:rsidP="00E42825">
      <w:pPr>
        <w:ind w:left="-5" w:right="4"/>
        <w:rPr>
          <w:rFonts w:ascii="Verdana" w:hAnsi="Verdana"/>
          <w:color w:val="000000" w:themeColor="text1"/>
          <w:sz w:val="20"/>
          <w:szCs w:val="20"/>
        </w:rPr>
      </w:pPr>
      <w:r w:rsidRPr="00B616B0">
        <w:rPr>
          <w:rFonts w:ascii="Verdana" w:hAnsi="Verdana"/>
          <w:color w:val="000000" w:themeColor="text1"/>
          <w:sz w:val="20"/>
          <w:szCs w:val="20"/>
        </w:rPr>
        <w:t xml:space="preserve">Respetada </w:t>
      </w:r>
      <w:proofErr w:type="gramStart"/>
      <w:r w:rsidRPr="00B616B0">
        <w:rPr>
          <w:rFonts w:ascii="Verdana" w:hAnsi="Verdana"/>
          <w:color w:val="000000" w:themeColor="text1"/>
          <w:sz w:val="20"/>
          <w:szCs w:val="20"/>
        </w:rPr>
        <w:t>Directora</w:t>
      </w:r>
      <w:proofErr w:type="gramEnd"/>
      <w:r w:rsidRPr="00B616B0">
        <w:rPr>
          <w:rFonts w:ascii="Verdana" w:hAnsi="Verdana"/>
          <w:color w:val="000000" w:themeColor="text1"/>
          <w:sz w:val="20"/>
          <w:szCs w:val="20"/>
        </w:rPr>
        <w:t xml:space="preserve">,  </w:t>
      </w:r>
    </w:p>
    <w:p w14:paraId="0E2D56E4" w14:textId="77777777" w:rsidR="00B616B0" w:rsidRPr="00B616B0" w:rsidRDefault="00B616B0" w:rsidP="00E42825">
      <w:pPr>
        <w:ind w:left="-5" w:right="4"/>
        <w:rPr>
          <w:rFonts w:ascii="Verdana" w:hAnsi="Verdana"/>
          <w:color w:val="000000" w:themeColor="text1"/>
          <w:sz w:val="20"/>
          <w:szCs w:val="20"/>
        </w:rPr>
      </w:pPr>
    </w:p>
    <w:p w14:paraId="782D7DD5"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En virtud de su solicitud expresa de concepto jurídico en relación con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del parágrafo primero del artículo 203 Ley 2294 de 2023 “POR EL CUAL SE EXPIDE EL PLAN NACIONAL DE DESARROLLO 2022- 2026 “COLOMBIA POTENCIA MUNDIAL DE LA VIDA”, de manera atenta y en el marco de nuestras competencias, esta Oficina emite el pronunciamiento solicitado.</w:t>
      </w:r>
    </w:p>
    <w:p w14:paraId="04415496"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Previo al análisis del ordenamiento jurídico vigente y con fundamento en los artículos 23 de la Constitución Política, 26 del C.C., 13 del C.P.A.C.A, sustituido por el artículo 1º de la Ley 1755 de 2015, y el numeral 4º del artículo 6º del Decreto 987 de 2012, esta Oficina da respuesta en los términos que siguen:</w:t>
      </w:r>
    </w:p>
    <w:p w14:paraId="5956A9E0" w14:textId="77777777" w:rsidR="00E42825" w:rsidRPr="00B616B0" w:rsidRDefault="00E42825" w:rsidP="00B616B0">
      <w:pPr>
        <w:pStyle w:val="Ttulo1"/>
        <w:ind w:left="371" w:right="4"/>
        <w:jc w:val="both"/>
        <w:rPr>
          <w:rFonts w:ascii="Verdana" w:hAnsi="Verdana"/>
          <w:b/>
          <w:bCs/>
          <w:color w:val="000000" w:themeColor="text1"/>
          <w:sz w:val="20"/>
          <w:szCs w:val="20"/>
        </w:rPr>
      </w:pPr>
      <w:r w:rsidRPr="00B616B0">
        <w:rPr>
          <w:rFonts w:ascii="Verdana" w:hAnsi="Verdana"/>
          <w:b/>
          <w:bCs/>
          <w:color w:val="000000" w:themeColor="text1"/>
          <w:sz w:val="20"/>
          <w:szCs w:val="20"/>
        </w:rPr>
        <w:t>1. PROBLEMA JURÍDICO</w:t>
      </w:r>
    </w:p>
    <w:p w14:paraId="6CBFD6BB"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En el presente concepto se dará respuesta al problema jurídico, expuesto a través de la siguiente pregunta:</w:t>
      </w:r>
    </w:p>
    <w:p w14:paraId="169DB467" w14:textId="77777777" w:rsidR="00E42825" w:rsidRDefault="00E42825" w:rsidP="00B616B0">
      <w:pPr>
        <w:ind w:right="22"/>
        <w:jc w:val="both"/>
        <w:rPr>
          <w:rFonts w:ascii="Verdana" w:hAnsi="Verdana"/>
          <w:color w:val="000000" w:themeColor="text1"/>
          <w:sz w:val="20"/>
          <w:szCs w:val="20"/>
        </w:rPr>
      </w:pPr>
      <w:r w:rsidRPr="00B616B0">
        <w:rPr>
          <w:rFonts w:ascii="Verdana" w:hAnsi="Verdana"/>
          <w:color w:val="000000" w:themeColor="text1"/>
          <w:sz w:val="20"/>
          <w:szCs w:val="20"/>
        </w:rPr>
        <w:t xml:space="preserve">¿Cómo opera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del parágrafo primero del artículo 203 de la Ley 2294 de 2023, que, a su vez, establece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del parágrafo 1 del artículo 5 y artículo 44 de la Ley 2126 de 2021?</w:t>
      </w:r>
    </w:p>
    <w:p w14:paraId="24F67333" w14:textId="77777777" w:rsidR="00B616B0" w:rsidRPr="00B616B0" w:rsidRDefault="00B616B0" w:rsidP="00B616B0">
      <w:pPr>
        <w:ind w:right="22"/>
        <w:jc w:val="both"/>
        <w:rPr>
          <w:rFonts w:ascii="Verdana" w:hAnsi="Verdana"/>
          <w:color w:val="000000" w:themeColor="text1"/>
          <w:sz w:val="20"/>
          <w:szCs w:val="20"/>
        </w:rPr>
      </w:pPr>
    </w:p>
    <w:p w14:paraId="3B1E9F9F" w14:textId="77777777" w:rsidR="00E42825" w:rsidRPr="00B616B0" w:rsidRDefault="00E42825" w:rsidP="00B616B0">
      <w:pPr>
        <w:spacing w:after="223" w:line="259" w:lineRule="auto"/>
        <w:ind w:left="426"/>
        <w:jc w:val="both"/>
        <w:rPr>
          <w:rFonts w:ascii="Verdana" w:hAnsi="Verdana"/>
          <w:color w:val="000000" w:themeColor="text1"/>
          <w:sz w:val="20"/>
          <w:szCs w:val="20"/>
        </w:rPr>
      </w:pPr>
      <w:r w:rsidRPr="00B616B0">
        <w:rPr>
          <w:rFonts w:ascii="Verdana" w:hAnsi="Verdana"/>
          <w:b/>
          <w:color w:val="000000" w:themeColor="text1"/>
          <w:sz w:val="20"/>
          <w:szCs w:val="20"/>
        </w:rPr>
        <w:t>2. RUTA METODOLÓGICA PARA RESPONDER EL PROBLEMA JURÍDICO</w:t>
      </w:r>
    </w:p>
    <w:p w14:paraId="20DE6630"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Para dar respuesta al problema jurídico: (i) se revisarán los antecedentes del problema jurídico planteado; (</w:t>
      </w:r>
      <w:proofErr w:type="spellStart"/>
      <w:r w:rsidRPr="00B616B0">
        <w:rPr>
          <w:rFonts w:ascii="Verdana" w:hAnsi="Verdana"/>
          <w:color w:val="000000" w:themeColor="text1"/>
          <w:sz w:val="20"/>
          <w:szCs w:val="20"/>
        </w:rPr>
        <w:t>ii</w:t>
      </w:r>
      <w:proofErr w:type="spellEnd"/>
      <w:r w:rsidRPr="00B616B0">
        <w:rPr>
          <w:rFonts w:ascii="Verdana" w:hAnsi="Verdana"/>
          <w:color w:val="000000" w:themeColor="text1"/>
          <w:sz w:val="20"/>
          <w:szCs w:val="20"/>
        </w:rPr>
        <w:t>) se establecerá el marco jurídico aplicable y (</w:t>
      </w:r>
      <w:proofErr w:type="spellStart"/>
      <w:r w:rsidRPr="00B616B0">
        <w:rPr>
          <w:rFonts w:ascii="Verdana" w:hAnsi="Verdana"/>
          <w:color w:val="000000" w:themeColor="text1"/>
          <w:sz w:val="20"/>
          <w:szCs w:val="20"/>
        </w:rPr>
        <w:t>iii</w:t>
      </w:r>
      <w:proofErr w:type="spellEnd"/>
      <w:r w:rsidRPr="00B616B0">
        <w:rPr>
          <w:rFonts w:ascii="Verdana" w:hAnsi="Verdana"/>
          <w:color w:val="000000" w:themeColor="text1"/>
          <w:sz w:val="20"/>
          <w:szCs w:val="20"/>
        </w:rPr>
        <w:t>) se realizará el respectivo análisis jurídico concerniente a la pregunta formulada y se presentarán las conclusiones.</w:t>
      </w:r>
    </w:p>
    <w:p w14:paraId="0F030799" w14:textId="77777777" w:rsidR="00E42825" w:rsidRPr="00B616B0" w:rsidRDefault="00E42825" w:rsidP="00B616B0">
      <w:pPr>
        <w:pStyle w:val="Ttulo1"/>
        <w:ind w:left="371" w:right="363"/>
        <w:jc w:val="both"/>
        <w:rPr>
          <w:rFonts w:ascii="Verdana" w:hAnsi="Verdana"/>
          <w:b/>
          <w:bCs/>
          <w:color w:val="000000" w:themeColor="text1"/>
          <w:sz w:val="20"/>
          <w:szCs w:val="20"/>
        </w:rPr>
      </w:pPr>
      <w:r w:rsidRPr="00B616B0">
        <w:rPr>
          <w:rFonts w:ascii="Verdana" w:hAnsi="Verdana"/>
          <w:b/>
          <w:bCs/>
          <w:color w:val="000000" w:themeColor="text1"/>
          <w:sz w:val="20"/>
          <w:szCs w:val="20"/>
        </w:rPr>
        <w:t>1. ANTECEDENTES</w:t>
      </w:r>
    </w:p>
    <w:p w14:paraId="024728FD"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Se plantea una confusión al conocer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del parágrafo primero del artículo 203 de la Ley del Plan Nacional de Desarrollo, toda vez que al hacer referencia a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 la Ley 2126 de 2021 no es claro si se debe contabilizar nuevamente los dieciocho (18) meses de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que otorgaba la normativa inicial.</w:t>
      </w:r>
    </w:p>
    <w:p w14:paraId="7EFC326B" w14:textId="77777777" w:rsidR="00E42825" w:rsidRPr="00B616B0" w:rsidRDefault="00E42825" w:rsidP="00B616B0">
      <w:pPr>
        <w:pStyle w:val="Ttulo1"/>
        <w:ind w:left="371" w:right="1"/>
        <w:jc w:val="both"/>
        <w:rPr>
          <w:rFonts w:ascii="Verdana" w:hAnsi="Verdana"/>
          <w:b/>
          <w:bCs/>
          <w:color w:val="000000" w:themeColor="text1"/>
          <w:sz w:val="20"/>
          <w:szCs w:val="20"/>
        </w:rPr>
      </w:pPr>
      <w:r w:rsidRPr="00B616B0">
        <w:rPr>
          <w:rFonts w:ascii="Verdana" w:hAnsi="Verdana"/>
          <w:b/>
          <w:bCs/>
          <w:color w:val="000000" w:themeColor="text1"/>
          <w:sz w:val="20"/>
          <w:szCs w:val="20"/>
        </w:rPr>
        <w:t>2. MARCO NORMATIVO APLICABLE</w:t>
      </w:r>
    </w:p>
    <w:p w14:paraId="2C274223"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Con el fin de resolver el asunto se tendrá en cuenta lo dispuesto en la Constitución Política, las leyes vigentes y la Jurisprudencia de la Corte Constitucional.</w:t>
      </w:r>
    </w:p>
    <w:p w14:paraId="79210EA8" w14:textId="77777777" w:rsidR="00E42825" w:rsidRPr="00B616B0" w:rsidRDefault="00E42825" w:rsidP="00B616B0">
      <w:pPr>
        <w:pStyle w:val="Ttulo1"/>
        <w:ind w:left="371" w:right="2"/>
        <w:jc w:val="both"/>
        <w:rPr>
          <w:rFonts w:ascii="Verdana" w:hAnsi="Verdana"/>
          <w:b/>
          <w:bCs/>
          <w:color w:val="000000" w:themeColor="text1"/>
          <w:sz w:val="20"/>
          <w:szCs w:val="20"/>
        </w:rPr>
      </w:pPr>
      <w:r w:rsidRPr="00B616B0">
        <w:rPr>
          <w:rFonts w:ascii="Verdana" w:hAnsi="Verdana"/>
          <w:b/>
          <w:bCs/>
          <w:color w:val="000000" w:themeColor="text1"/>
          <w:sz w:val="20"/>
          <w:szCs w:val="20"/>
        </w:rPr>
        <w:lastRenderedPageBreak/>
        <w:t>3. ANALISIS JURÍDICO</w:t>
      </w:r>
    </w:p>
    <w:p w14:paraId="043C29FD" w14:textId="77777777" w:rsidR="00E42825" w:rsidRPr="00B616B0" w:rsidRDefault="00E42825" w:rsidP="00B616B0">
      <w:pPr>
        <w:tabs>
          <w:tab w:val="center" w:pos="1859"/>
        </w:tabs>
        <w:spacing w:after="223" w:line="259" w:lineRule="auto"/>
        <w:ind w:left="-15"/>
        <w:jc w:val="both"/>
        <w:rPr>
          <w:rFonts w:ascii="Verdana" w:hAnsi="Verdana"/>
          <w:color w:val="000000" w:themeColor="text1"/>
          <w:sz w:val="20"/>
          <w:szCs w:val="20"/>
        </w:rPr>
      </w:pPr>
      <w:r w:rsidRPr="00B616B0">
        <w:rPr>
          <w:rFonts w:ascii="Verdana" w:hAnsi="Verdana"/>
          <w:b/>
          <w:color w:val="000000" w:themeColor="text1"/>
          <w:sz w:val="20"/>
          <w:szCs w:val="20"/>
        </w:rPr>
        <w:t>3.1</w:t>
      </w:r>
      <w:r w:rsidRPr="00B616B0">
        <w:rPr>
          <w:rFonts w:ascii="Verdana" w:hAnsi="Verdana"/>
          <w:b/>
          <w:color w:val="000000" w:themeColor="text1"/>
          <w:sz w:val="20"/>
          <w:szCs w:val="20"/>
        </w:rPr>
        <w:tab/>
        <w:t>Ley 2126 de 2021:</w:t>
      </w:r>
    </w:p>
    <w:p w14:paraId="13237234"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Estableció la Ley 2126 de 2021 “POR LA CUAL SE REGULA LA CREACIÓN, CONFORMACIÓN Y FUNCIONAMIENTO DE LAS COMISARÍAS DE FAMILIA, SE ESTABLECE EL ÓRGANO RECTOR Y SE DICTAN OTRAS DISPOSICIONES” en los artículos objeto de este concepto lo siguiente:</w:t>
      </w:r>
    </w:p>
    <w:p w14:paraId="356C922A" w14:textId="77777777" w:rsidR="00B616B0" w:rsidRPr="00B616B0" w:rsidRDefault="00B616B0" w:rsidP="00B616B0">
      <w:pPr>
        <w:ind w:left="-5" w:right="4"/>
        <w:jc w:val="both"/>
        <w:rPr>
          <w:rFonts w:ascii="Verdana" w:hAnsi="Verdana"/>
          <w:color w:val="000000" w:themeColor="text1"/>
          <w:sz w:val="20"/>
          <w:szCs w:val="20"/>
        </w:rPr>
      </w:pPr>
    </w:p>
    <w:p w14:paraId="51E0FD92"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5 COMPETENCIA. Los comisarios y comisarías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 comete por uno o más miembros del núcleo familiar, contra uno o más integrantes del mismo, aunque no convivan bajo el mismo techo.</w:t>
      </w:r>
    </w:p>
    <w:p w14:paraId="3F6CAB39"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También serán competentes cuando las anteriores conductas se cometan entre las siguientes personas:</w:t>
      </w:r>
    </w:p>
    <w:p w14:paraId="46F173BC" w14:textId="21301553" w:rsidR="00E42825" w:rsidRPr="00B616B0" w:rsidRDefault="00E42825" w:rsidP="00B616B0">
      <w:pPr>
        <w:numPr>
          <w:ilvl w:val="0"/>
          <w:numId w:val="2"/>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Las y los cónyuges o compañeros permanentes, aunque se hubieren</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separado o divorciado.</w:t>
      </w:r>
    </w:p>
    <w:p w14:paraId="37F1DED2" w14:textId="4CAEE73F" w:rsidR="00E42825" w:rsidRPr="00B616B0" w:rsidRDefault="00E42825" w:rsidP="00B616B0">
      <w:pPr>
        <w:numPr>
          <w:ilvl w:val="0"/>
          <w:numId w:val="2"/>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El padre y la madre de familia, aun cuando no convivan en el mismo</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hogar, si el maltrato se dirige contra el otro progenitor o progenitora.</w:t>
      </w:r>
    </w:p>
    <w:p w14:paraId="54FDEADD" w14:textId="6E69E5C5" w:rsidR="00E42825" w:rsidRPr="00B616B0" w:rsidRDefault="00E42825" w:rsidP="00B616B0">
      <w:pPr>
        <w:numPr>
          <w:ilvl w:val="0"/>
          <w:numId w:val="2"/>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Las Personas encargadas del cuidado de uno o varios miembros de una</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familia en su domicilio o residencia o cualquier lugar en el que se realice la conducta, que no sean parte del núcleo familiar, y de los integrantes de la familia.</w:t>
      </w:r>
    </w:p>
    <w:p w14:paraId="2C28128D" w14:textId="6CEA2A69" w:rsidR="00E42825" w:rsidRPr="00B616B0" w:rsidRDefault="00E42825" w:rsidP="00B616B0">
      <w:pPr>
        <w:numPr>
          <w:ilvl w:val="0"/>
          <w:numId w:val="2"/>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Personas que residan en el mismo hogar o integren la unidad doméstica</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sin relación de parentesco.</w:t>
      </w:r>
    </w:p>
    <w:p w14:paraId="185C8524" w14:textId="2CF21D90" w:rsidR="00E42825" w:rsidRPr="00B616B0" w:rsidRDefault="00E42825" w:rsidP="00B616B0">
      <w:pPr>
        <w:numPr>
          <w:ilvl w:val="0"/>
          <w:numId w:val="2"/>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Personas con las que se sostiene o se haya sostenido una relación de</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 xml:space="preserve">pareja, </w:t>
      </w:r>
      <w:r w:rsidR="00B616B0">
        <w:rPr>
          <w:rFonts w:ascii="Verdana" w:hAnsi="Verdana"/>
          <w:color w:val="000000" w:themeColor="text1"/>
          <w:sz w:val="20"/>
          <w:szCs w:val="20"/>
        </w:rPr>
        <w:t xml:space="preserve">cohabitación </w:t>
      </w:r>
      <w:r w:rsidRPr="00B616B0">
        <w:rPr>
          <w:rFonts w:ascii="Verdana" w:hAnsi="Verdana"/>
          <w:color w:val="000000" w:themeColor="text1"/>
          <w:sz w:val="20"/>
          <w:szCs w:val="20"/>
        </w:rPr>
        <w:t>o no, de carácter permanente que se caracterice por una clara e inequívoca vocación de estabilidad.</w:t>
      </w:r>
    </w:p>
    <w:p w14:paraId="306C685B"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b/>
          <w:color w:val="000000" w:themeColor="text1"/>
          <w:sz w:val="20"/>
          <w:szCs w:val="20"/>
        </w:rPr>
        <w:t>PARÁGRAFO 1</w:t>
      </w:r>
      <w:r w:rsidRPr="00B616B0">
        <w:rPr>
          <w:rFonts w:ascii="Verdana" w:hAnsi="Verdana"/>
          <w:color w:val="000000" w:themeColor="text1"/>
          <w:sz w:val="20"/>
          <w:szCs w:val="20"/>
        </w:rPr>
        <w:t>. Cuando en un mismo municipio concurran Defensorías de Familia y Comisarías de Familia, la competencia se determinará así:</w:t>
      </w:r>
    </w:p>
    <w:p w14:paraId="642CEF65" w14:textId="77777777" w:rsidR="00B616B0" w:rsidRPr="00B616B0" w:rsidRDefault="00B616B0" w:rsidP="00B616B0">
      <w:pPr>
        <w:ind w:left="715" w:right="22"/>
        <w:jc w:val="both"/>
        <w:rPr>
          <w:rFonts w:ascii="Verdana" w:hAnsi="Verdana"/>
          <w:color w:val="000000" w:themeColor="text1"/>
          <w:sz w:val="20"/>
          <w:szCs w:val="20"/>
        </w:rPr>
      </w:pPr>
    </w:p>
    <w:p w14:paraId="49EC4054" w14:textId="5F64EC0F" w:rsidR="00E42825" w:rsidRPr="00B616B0" w:rsidRDefault="00E42825" w:rsidP="00B616B0">
      <w:pPr>
        <w:numPr>
          <w:ilvl w:val="0"/>
          <w:numId w:val="3"/>
        </w:numPr>
        <w:spacing w:after="253" w:line="229" w:lineRule="auto"/>
        <w:ind w:right="22"/>
        <w:jc w:val="both"/>
        <w:rPr>
          <w:rFonts w:ascii="Verdana" w:hAnsi="Verdana"/>
          <w:color w:val="000000" w:themeColor="text1"/>
          <w:sz w:val="20"/>
          <w:szCs w:val="20"/>
        </w:rPr>
      </w:pPr>
      <w:r w:rsidRPr="00B616B0">
        <w:rPr>
          <w:rFonts w:ascii="Verdana" w:hAnsi="Verdana"/>
          <w:color w:val="000000" w:themeColor="text1"/>
          <w:sz w:val="20"/>
          <w:szCs w:val="20"/>
        </w:rPr>
        <w:t>El comisario o la comisaria de familia se encargará de prevenir, garantizar</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y restablecer los derechos de los niños, niñas y adolescentes cuando se presenten vulneraciones o amenazas de derechos dentro del contexto de la violencia familiar, excepto cuando se trate de cualquier forma de violencia sexual.</w:t>
      </w:r>
    </w:p>
    <w:p w14:paraId="076CA51F" w14:textId="3DC0F7FB" w:rsidR="00E42825" w:rsidRPr="00B616B0" w:rsidRDefault="00E42825" w:rsidP="00B616B0">
      <w:pPr>
        <w:numPr>
          <w:ilvl w:val="0"/>
          <w:numId w:val="3"/>
        </w:numPr>
        <w:spacing w:after="253" w:line="229" w:lineRule="auto"/>
        <w:ind w:right="22"/>
        <w:jc w:val="both"/>
        <w:rPr>
          <w:rFonts w:ascii="Verdana" w:hAnsi="Verdana"/>
          <w:color w:val="000000" w:themeColor="text1"/>
          <w:sz w:val="20"/>
          <w:szCs w:val="20"/>
        </w:rPr>
      </w:pPr>
      <w:r w:rsidRPr="00B616B0">
        <w:rPr>
          <w:rFonts w:ascii="Verdana" w:hAnsi="Verdana"/>
          <w:color w:val="000000" w:themeColor="text1"/>
          <w:sz w:val="20"/>
          <w:szCs w:val="20"/>
        </w:rPr>
        <w:t>El defensor o la defensora de familia se encargará de prevenir, garantizar</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y restablecer los derechos de los niños, niñas y adolescentes en las circunstancias de vulneración o amenaza de derechos diferentes de los suscitados en el contexto de la violencia familiar.</w:t>
      </w:r>
    </w:p>
    <w:p w14:paraId="6E073820" w14:textId="2EF62DAE" w:rsidR="00E42825" w:rsidRPr="00B616B0" w:rsidRDefault="00E42825" w:rsidP="00B616B0">
      <w:pPr>
        <w:numPr>
          <w:ilvl w:val="0"/>
          <w:numId w:val="3"/>
        </w:numPr>
        <w:spacing w:after="253" w:line="229" w:lineRule="auto"/>
        <w:ind w:right="22"/>
        <w:jc w:val="both"/>
        <w:rPr>
          <w:rFonts w:ascii="Verdana" w:hAnsi="Verdana"/>
          <w:color w:val="000000" w:themeColor="text1"/>
          <w:sz w:val="20"/>
          <w:szCs w:val="20"/>
        </w:rPr>
      </w:pPr>
      <w:r w:rsidRPr="00B616B0">
        <w:rPr>
          <w:rFonts w:ascii="Verdana" w:hAnsi="Verdana"/>
          <w:color w:val="000000" w:themeColor="text1"/>
          <w:sz w:val="20"/>
          <w:szCs w:val="20"/>
        </w:rPr>
        <w:t>El defensor o la defensora de familia será competente respecto de</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cualquier forma de violencia sexual, sin distinción de quien cometa la vulneración. En caso de existir dentro del mismo núcleo familiar otros niños, niñas y adolescentes víctimas de violencias distintas a la sexual, el defensor o la defensora de familia asumirá competencia frente a todos ellos.</w:t>
      </w:r>
    </w:p>
    <w:p w14:paraId="260127BA" w14:textId="77777777" w:rsidR="00E42825" w:rsidRPr="00B616B0" w:rsidRDefault="00E42825" w:rsidP="00B616B0">
      <w:pPr>
        <w:numPr>
          <w:ilvl w:val="0"/>
          <w:numId w:val="3"/>
        </w:numPr>
        <w:spacing w:after="253" w:line="229" w:lineRule="auto"/>
        <w:ind w:right="22"/>
        <w:jc w:val="both"/>
        <w:rPr>
          <w:rFonts w:ascii="Verdana" w:hAnsi="Verdana"/>
          <w:color w:val="000000" w:themeColor="text1"/>
          <w:sz w:val="20"/>
          <w:szCs w:val="20"/>
        </w:rPr>
      </w:pPr>
      <w:r w:rsidRPr="00B616B0">
        <w:rPr>
          <w:rFonts w:ascii="Verdana" w:hAnsi="Verdana"/>
          <w:color w:val="000000" w:themeColor="text1"/>
          <w:sz w:val="20"/>
          <w:szCs w:val="20"/>
        </w:rPr>
        <w:lastRenderedPageBreak/>
        <w:t xml:space="preserve">En aquellos casos en los cuales además de la violencia sexual en el contexto familiar contra el niño, niña o adolescente, se hayan presentado hechos de violencia contra uno o varios de los integrantes adultos de su núcleo familiar, la competencia será asumida por el comisario o la comisaria de familia. </w:t>
      </w:r>
    </w:p>
    <w:p w14:paraId="155DC70A"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w:t>
      </w:r>
    </w:p>
    <w:p w14:paraId="49A99483" w14:textId="77777777" w:rsidR="00E42825" w:rsidRPr="00B616B0" w:rsidRDefault="00E42825" w:rsidP="00B616B0">
      <w:pPr>
        <w:spacing w:after="28"/>
        <w:ind w:left="703" w:right="15"/>
        <w:jc w:val="both"/>
        <w:rPr>
          <w:rFonts w:ascii="Verdana" w:hAnsi="Verdana"/>
          <w:color w:val="000000" w:themeColor="text1"/>
          <w:sz w:val="20"/>
          <w:szCs w:val="20"/>
        </w:rPr>
      </w:pPr>
      <w:r w:rsidRPr="00B616B0">
        <w:rPr>
          <w:rFonts w:ascii="Verdana" w:hAnsi="Verdana"/>
          <w:b/>
          <w:color w:val="000000" w:themeColor="text1"/>
          <w:sz w:val="20"/>
          <w:szCs w:val="20"/>
        </w:rPr>
        <w:t>Nota: De conformidad con lo dispuesto en el parágrafo 1° del</w:t>
      </w:r>
    </w:p>
    <w:p w14:paraId="09B3432E" w14:textId="77777777" w:rsidR="00E42825" w:rsidRDefault="00E42825" w:rsidP="00B616B0">
      <w:pPr>
        <w:ind w:left="703" w:right="15"/>
        <w:jc w:val="both"/>
        <w:rPr>
          <w:rFonts w:ascii="Verdana" w:hAnsi="Verdana"/>
          <w:b/>
          <w:color w:val="000000" w:themeColor="text1"/>
          <w:sz w:val="20"/>
          <w:szCs w:val="20"/>
        </w:rPr>
      </w:pPr>
      <w:r w:rsidRPr="00B616B0">
        <w:rPr>
          <w:rFonts w:ascii="Verdana" w:hAnsi="Verdana"/>
          <w:b/>
          <w:color w:val="000000" w:themeColor="text1"/>
          <w:sz w:val="20"/>
          <w:szCs w:val="20"/>
        </w:rPr>
        <w:t>Artículo 203 de la Ley 2294 de 2023; el parágrafo 1° del presente Artículo entrará a regir a partir del 1° de julio de 2024.”</w:t>
      </w:r>
    </w:p>
    <w:p w14:paraId="6C9643ED" w14:textId="77777777" w:rsidR="00B616B0" w:rsidRPr="00B616B0" w:rsidRDefault="00B616B0" w:rsidP="00B616B0">
      <w:pPr>
        <w:ind w:left="703" w:right="15"/>
        <w:jc w:val="both"/>
        <w:rPr>
          <w:rFonts w:ascii="Verdana" w:hAnsi="Verdana"/>
          <w:color w:val="000000" w:themeColor="text1"/>
          <w:sz w:val="20"/>
          <w:szCs w:val="20"/>
        </w:rPr>
      </w:pPr>
    </w:p>
    <w:p w14:paraId="3D24EA2B"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Por su parte, el </w:t>
      </w:r>
      <w:proofErr w:type="spellStart"/>
      <w:r w:rsidRPr="00B616B0">
        <w:rPr>
          <w:rFonts w:ascii="Verdana" w:hAnsi="Verdana"/>
          <w:color w:val="000000" w:themeColor="text1"/>
          <w:sz w:val="20"/>
          <w:szCs w:val="20"/>
        </w:rPr>
        <w:t>articulo</w:t>
      </w:r>
      <w:proofErr w:type="spellEnd"/>
      <w:r w:rsidRPr="00B616B0">
        <w:rPr>
          <w:rFonts w:ascii="Verdana" w:hAnsi="Verdana"/>
          <w:color w:val="000000" w:themeColor="text1"/>
          <w:sz w:val="20"/>
          <w:szCs w:val="20"/>
        </w:rPr>
        <w:t xml:space="preserve"> 44 establece lo siguiente: </w:t>
      </w:r>
    </w:p>
    <w:p w14:paraId="58C2C458" w14:textId="77777777" w:rsidR="00B616B0" w:rsidRPr="00B616B0" w:rsidRDefault="00B616B0" w:rsidP="00B616B0">
      <w:pPr>
        <w:ind w:left="-5" w:right="4"/>
        <w:jc w:val="both"/>
        <w:rPr>
          <w:rFonts w:ascii="Verdana" w:hAnsi="Verdana"/>
          <w:color w:val="000000" w:themeColor="text1"/>
          <w:sz w:val="20"/>
          <w:szCs w:val="20"/>
        </w:rPr>
      </w:pPr>
    </w:p>
    <w:p w14:paraId="4C383EC6"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“ARTÍCULO 44. El Gobierno nacional en cabeza del Instituto Colombiano de Bienestar Familiar en coordinación con las entidades competentes, </w:t>
      </w:r>
      <w:r w:rsidRPr="00B616B0">
        <w:rPr>
          <w:rFonts w:ascii="Verdana" w:hAnsi="Verdana"/>
          <w:b/>
          <w:color w:val="000000" w:themeColor="text1"/>
          <w:sz w:val="20"/>
          <w:szCs w:val="20"/>
        </w:rPr>
        <w:t>en un plazo no mayor a dieciocho (18) meses, a partir de la vigencia de la presente ley,</w:t>
      </w:r>
      <w:r w:rsidRPr="00B616B0">
        <w:rPr>
          <w:rFonts w:ascii="Verdana" w:hAnsi="Verdana"/>
          <w:color w:val="000000" w:themeColor="text1"/>
          <w:sz w:val="20"/>
          <w:szCs w:val="20"/>
        </w:rPr>
        <w:t xml:space="preserve"> tomará las medidas administrativas y presupuestales necesarias de acuerdo con el Marco Fiscal de Mediano Plazo, para fortalecer la capacidad institucional de las Defensorías de Familia y mejorar las condiciones laborales de los defensores de familia a nivel nacional, con el fin de garantizar el cumplimiento eficiente, eficaz y efectivo de sus funciones las cuales están orientadas a prevenir, proteger, garantizar y restablecer los derechos de los niños, niñas y adolescentes”.</w:t>
      </w:r>
    </w:p>
    <w:p w14:paraId="097A15A8" w14:textId="77777777" w:rsidR="00B616B0" w:rsidRPr="00B616B0" w:rsidRDefault="00B616B0" w:rsidP="00B616B0">
      <w:pPr>
        <w:ind w:left="715" w:right="22"/>
        <w:jc w:val="both"/>
        <w:rPr>
          <w:rFonts w:ascii="Verdana" w:hAnsi="Verdana"/>
          <w:color w:val="000000" w:themeColor="text1"/>
          <w:sz w:val="20"/>
          <w:szCs w:val="20"/>
        </w:rPr>
      </w:pPr>
    </w:p>
    <w:p w14:paraId="24CD12E4" w14:textId="77777777" w:rsidR="00E42825" w:rsidRPr="00B616B0" w:rsidRDefault="00E42825" w:rsidP="00B616B0">
      <w:pPr>
        <w:tabs>
          <w:tab w:val="center" w:pos="3653"/>
        </w:tabs>
        <w:spacing w:after="223" w:line="259" w:lineRule="auto"/>
        <w:ind w:left="-15"/>
        <w:jc w:val="both"/>
        <w:rPr>
          <w:rFonts w:ascii="Verdana" w:hAnsi="Verdana"/>
          <w:color w:val="000000" w:themeColor="text1"/>
          <w:sz w:val="20"/>
          <w:szCs w:val="20"/>
        </w:rPr>
      </w:pPr>
      <w:r w:rsidRPr="00B616B0">
        <w:rPr>
          <w:rFonts w:ascii="Verdana" w:hAnsi="Verdana"/>
          <w:b/>
          <w:color w:val="000000" w:themeColor="text1"/>
          <w:sz w:val="20"/>
          <w:szCs w:val="20"/>
        </w:rPr>
        <w:t>3.2</w:t>
      </w:r>
      <w:r w:rsidRPr="00B616B0">
        <w:rPr>
          <w:rFonts w:ascii="Verdana" w:hAnsi="Verdana"/>
          <w:b/>
          <w:color w:val="000000" w:themeColor="text1"/>
          <w:sz w:val="20"/>
          <w:szCs w:val="20"/>
        </w:rPr>
        <w:tab/>
        <w:t xml:space="preserve">Ley 2294 de 2023, Plan Nacional de Desarrollo: </w:t>
      </w:r>
    </w:p>
    <w:p w14:paraId="6A5A69F3"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La Ley 2294 de 2023, a través de la cual se expide el Plan Nacional de Desarrollo 2022-2026 “Colombia Potencia Mundial de la Vida”, establece en su artículo 203 la creación del;</w:t>
      </w:r>
    </w:p>
    <w:p w14:paraId="5760E8A9" w14:textId="77777777" w:rsidR="00B616B0" w:rsidRPr="00B616B0" w:rsidRDefault="00B616B0" w:rsidP="00B616B0">
      <w:pPr>
        <w:ind w:left="-5" w:right="4"/>
        <w:jc w:val="both"/>
        <w:rPr>
          <w:rFonts w:ascii="Verdana" w:hAnsi="Verdana"/>
          <w:color w:val="000000" w:themeColor="text1"/>
          <w:sz w:val="20"/>
          <w:szCs w:val="20"/>
        </w:rPr>
      </w:pPr>
    </w:p>
    <w:p w14:paraId="299F872A"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“…Sistema Nacional de Justicia Familiar como un conjunto de actores, políticas, programas, estrategias, principios, normas y rutas de articulación para la atención, prevención, promoción y restablecimiento de derechos de las personas, de manera prevalente de las niñas, niños y adolescentes, que sean víctimas o estén en riesgo de cualquier forma de vulneración dentro del contexto de la familia. La estructuración del sistema tendrá como eje el fortalecimiento de las Defensorías de Familia, las Comisarías de Familia y demás autoridades administrativas encargadas de la protección integral y restablecimiento de los derechos de la infancia, la adolescencia y las familias, garantizando la capacidad administrativa, financiera, cobertura territorial y las condiciones necesarias para la prestación óptima de sus servicios. El funcionamiento del Sistema Nacional de Protección Integral a la Familia se articulará con el Sistema Nacional de Cuidado a partir de los principios de universalidad, corresponsabilidad social y de género, promoción de la autonomía, participación y solidaridad en el financiamiento.</w:t>
      </w:r>
    </w:p>
    <w:p w14:paraId="681121B5" w14:textId="77777777" w:rsidR="00E42825" w:rsidRDefault="00E42825" w:rsidP="00B616B0">
      <w:pPr>
        <w:ind w:left="703" w:right="15"/>
        <w:jc w:val="both"/>
        <w:rPr>
          <w:rFonts w:ascii="Verdana" w:hAnsi="Verdana"/>
          <w:b/>
          <w:color w:val="000000" w:themeColor="text1"/>
          <w:sz w:val="20"/>
          <w:szCs w:val="20"/>
        </w:rPr>
      </w:pPr>
      <w:r w:rsidRPr="00B616B0">
        <w:rPr>
          <w:rFonts w:ascii="Verdana" w:hAnsi="Verdana"/>
          <w:b/>
          <w:color w:val="000000" w:themeColor="text1"/>
          <w:sz w:val="20"/>
          <w:szCs w:val="20"/>
        </w:rPr>
        <w:t>PARÁGRAFO PRIMERO. Con el fin de asegurar el tránsito institucional hacia la estructuración del Sistema Nacional de Justicia Familiar, el parágrafo 1 del artículo 5 y el artículo 44 de la Ley 2126 de 2021, entrarán a regir a partir del 1 de julio de 2024”.</w:t>
      </w:r>
    </w:p>
    <w:p w14:paraId="6330D740" w14:textId="77777777" w:rsidR="00B616B0" w:rsidRPr="00B616B0" w:rsidRDefault="00B616B0" w:rsidP="00B616B0">
      <w:pPr>
        <w:ind w:left="703" w:right="15"/>
        <w:jc w:val="both"/>
        <w:rPr>
          <w:rFonts w:ascii="Verdana" w:hAnsi="Verdana"/>
          <w:color w:val="000000" w:themeColor="text1"/>
          <w:sz w:val="20"/>
          <w:szCs w:val="20"/>
        </w:rPr>
      </w:pPr>
    </w:p>
    <w:p w14:paraId="74471995" w14:textId="77777777" w:rsidR="00E42825" w:rsidRPr="00B616B0" w:rsidRDefault="00E42825" w:rsidP="00B616B0">
      <w:pPr>
        <w:tabs>
          <w:tab w:val="center" w:pos="3018"/>
        </w:tabs>
        <w:spacing w:after="223" w:line="259" w:lineRule="auto"/>
        <w:ind w:left="-15"/>
        <w:jc w:val="both"/>
        <w:rPr>
          <w:rFonts w:ascii="Verdana" w:hAnsi="Verdana"/>
          <w:color w:val="000000" w:themeColor="text1"/>
          <w:sz w:val="20"/>
          <w:szCs w:val="20"/>
        </w:rPr>
      </w:pPr>
      <w:r w:rsidRPr="00B616B0">
        <w:rPr>
          <w:rFonts w:ascii="Verdana" w:hAnsi="Verdana"/>
          <w:b/>
          <w:color w:val="000000" w:themeColor="text1"/>
          <w:sz w:val="20"/>
          <w:szCs w:val="20"/>
        </w:rPr>
        <w:t>3.3</w:t>
      </w:r>
      <w:r w:rsidRPr="00B616B0">
        <w:rPr>
          <w:rFonts w:ascii="Verdana" w:hAnsi="Verdana"/>
          <w:b/>
          <w:color w:val="000000" w:themeColor="text1"/>
          <w:sz w:val="20"/>
          <w:szCs w:val="20"/>
        </w:rPr>
        <w:tab/>
        <w:t>Competencia para interpretar la Ley:</w:t>
      </w:r>
    </w:p>
    <w:p w14:paraId="66AD5A7E"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El artículo 150 de la Constitución Política establece:</w:t>
      </w:r>
    </w:p>
    <w:p w14:paraId="23758D3C"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lastRenderedPageBreak/>
        <w:t>“Corresponde al Congreso hacer las leyes. Por medio de ellas ejerce las siguientes funciones: 1. Interpretar, reformar y derogar las leyes”.</w:t>
      </w:r>
    </w:p>
    <w:p w14:paraId="204D7D50" w14:textId="77777777" w:rsidR="00B616B0" w:rsidRPr="00B616B0" w:rsidRDefault="00B616B0" w:rsidP="00B616B0">
      <w:pPr>
        <w:ind w:left="715" w:right="22"/>
        <w:jc w:val="both"/>
        <w:rPr>
          <w:rFonts w:ascii="Verdana" w:hAnsi="Verdana"/>
          <w:color w:val="000000" w:themeColor="text1"/>
          <w:sz w:val="20"/>
          <w:szCs w:val="20"/>
        </w:rPr>
      </w:pPr>
    </w:p>
    <w:p w14:paraId="6FB7FB21"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En este mismo sentido, el Código Civil Colombiano reza:</w:t>
      </w:r>
    </w:p>
    <w:p w14:paraId="768F844E" w14:textId="77777777" w:rsidR="00B616B0" w:rsidRPr="00B616B0" w:rsidRDefault="00B616B0" w:rsidP="00B616B0">
      <w:pPr>
        <w:ind w:left="-5" w:right="4"/>
        <w:jc w:val="both"/>
        <w:rPr>
          <w:rFonts w:ascii="Verdana" w:hAnsi="Verdana"/>
          <w:color w:val="000000" w:themeColor="text1"/>
          <w:sz w:val="20"/>
          <w:szCs w:val="20"/>
        </w:rPr>
      </w:pPr>
    </w:p>
    <w:p w14:paraId="002A1402"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25. &lt;INTERPRETACIÓN POR EL LEGISLADOR&gt;.  La interpretación que se hace para fijar el sentido de una ley oscura, de una manera general, sólo al legislador”.</w:t>
      </w:r>
    </w:p>
    <w:p w14:paraId="22AA0756" w14:textId="77777777" w:rsidR="00B616B0" w:rsidRPr="00B616B0" w:rsidRDefault="00B616B0" w:rsidP="00B616B0">
      <w:pPr>
        <w:ind w:left="715" w:right="22"/>
        <w:jc w:val="both"/>
        <w:rPr>
          <w:rFonts w:ascii="Verdana" w:hAnsi="Verdana"/>
          <w:color w:val="000000" w:themeColor="text1"/>
          <w:sz w:val="20"/>
          <w:szCs w:val="20"/>
        </w:rPr>
      </w:pPr>
    </w:p>
    <w:p w14:paraId="694E3D4F" w14:textId="77777777" w:rsidR="00E42825" w:rsidRDefault="00E42825" w:rsidP="00B616B0">
      <w:pPr>
        <w:ind w:right="22"/>
        <w:jc w:val="both"/>
        <w:rPr>
          <w:rFonts w:ascii="Verdana" w:hAnsi="Verdana"/>
          <w:color w:val="000000" w:themeColor="text1"/>
          <w:sz w:val="20"/>
          <w:szCs w:val="20"/>
        </w:rPr>
      </w:pPr>
      <w:r w:rsidRPr="00B616B0">
        <w:rPr>
          <w:rFonts w:ascii="Verdana" w:hAnsi="Verdana"/>
          <w:color w:val="000000" w:themeColor="text1"/>
          <w:sz w:val="20"/>
          <w:szCs w:val="20"/>
        </w:rPr>
        <w:t>Mediante sentencia C-820 de 2006, la Corte Constitucional declaró condicionalmente exequible el artículo en cita, en el sentido de “entender que la interpretación constitucional que de la ley oscura hace la Corte Constitucional, tiene carácter obligatorio y general”.</w:t>
      </w:r>
    </w:p>
    <w:p w14:paraId="3898D38D" w14:textId="77777777" w:rsidR="00B616B0" w:rsidRPr="00B616B0" w:rsidRDefault="00B616B0" w:rsidP="00B616B0">
      <w:pPr>
        <w:ind w:right="22"/>
        <w:jc w:val="both"/>
        <w:rPr>
          <w:rFonts w:ascii="Verdana" w:hAnsi="Verdana"/>
          <w:color w:val="000000" w:themeColor="text1"/>
          <w:sz w:val="20"/>
          <w:szCs w:val="20"/>
        </w:rPr>
      </w:pPr>
    </w:p>
    <w:p w14:paraId="7992DC75" w14:textId="77777777" w:rsidR="00E42825" w:rsidRPr="00B616B0" w:rsidRDefault="00E42825" w:rsidP="00B616B0">
      <w:pPr>
        <w:spacing w:after="28"/>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26. &lt;INTERPRETACIÓN DOCTRINAL&gt;. Los jueces y los</w:t>
      </w:r>
    </w:p>
    <w:p w14:paraId="12207E26"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funcionarios públicos, en la aplicación de las leyes a los casos particulares y en los negocios administrativos, las interpretan por vía de doctrina, en busca de su verdadero sentido, así como los particulares emplean su propio criterio para acomodar las determinaciones generales de la ley a sus hechos e intereses peculiares”.</w:t>
      </w:r>
    </w:p>
    <w:p w14:paraId="2EED39D6" w14:textId="77777777" w:rsidR="00B616B0" w:rsidRPr="00B616B0" w:rsidRDefault="00B616B0" w:rsidP="00B616B0">
      <w:pPr>
        <w:ind w:left="715" w:right="22"/>
        <w:jc w:val="both"/>
        <w:rPr>
          <w:rFonts w:ascii="Verdana" w:hAnsi="Verdana"/>
          <w:color w:val="000000" w:themeColor="text1"/>
          <w:sz w:val="20"/>
          <w:szCs w:val="20"/>
        </w:rPr>
      </w:pPr>
    </w:p>
    <w:p w14:paraId="03944536" w14:textId="77777777" w:rsidR="00E42825" w:rsidRPr="00B616B0" w:rsidRDefault="00E42825" w:rsidP="00B616B0">
      <w:pPr>
        <w:spacing w:after="10"/>
        <w:ind w:left="-5" w:right="4"/>
        <w:jc w:val="both"/>
        <w:rPr>
          <w:rFonts w:ascii="Verdana" w:hAnsi="Verdana"/>
          <w:color w:val="000000" w:themeColor="text1"/>
          <w:sz w:val="20"/>
          <w:szCs w:val="20"/>
        </w:rPr>
      </w:pPr>
      <w:r w:rsidRPr="00B616B0">
        <w:rPr>
          <w:rFonts w:ascii="Verdana" w:hAnsi="Verdana"/>
          <w:color w:val="000000" w:themeColor="text1"/>
          <w:sz w:val="20"/>
          <w:szCs w:val="20"/>
        </w:rPr>
        <w:t>Por su parte, frente a la vigencia de la Ley, la Corte Constitucional se pronunció en sentencia C-084 de 1996, así:</w:t>
      </w:r>
    </w:p>
    <w:p w14:paraId="6A2FCE14" w14:textId="77777777" w:rsidR="00E42825" w:rsidRPr="00B616B0" w:rsidRDefault="00E42825" w:rsidP="00B616B0">
      <w:pPr>
        <w:spacing w:line="259" w:lineRule="auto"/>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4701CE93" w14:textId="77777777" w:rsidR="00E42825" w:rsidRPr="00B616B0" w:rsidRDefault="00E42825" w:rsidP="00B616B0">
      <w:pPr>
        <w:spacing w:after="256"/>
        <w:ind w:left="708"/>
        <w:jc w:val="both"/>
        <w:rPr>
          <w:rFonts w:ascii="Verdana" w:hAnsi="Verdana"/>
          <w:color w:val="000000" w:themeColor="text1"/>
          <w:sz w:val="20"/>
          <w:szCs w:val="20"/>
        </w:rPr>
      </w:pPr>
      <w:r w:rsidRPr="00B616B0">
        <w:rPr>
          <w:rFonts w:ascii="Verdana" w:hAnsi="Verdana"/>
          <w:color w:val="000000" w:themeColor="text1"/>
          <w:sz w:val="20"/>
          <w:szCs w:val="20"/>
        </w:rPr>
        <w:t>“Competencia del legislador para determinar la iniciación de la vigencia de las leyes.</w:t>
      </w:r>
    </w:p>
    <w:p w14:paraId="2B5EBA2A" w14:textId="77777777" w:rsidR="00E42825" w:rsidRPr="00B616B0" w:rsidRDefault="00E42825" w:rsidP="00B616B0">
      <w:pPr>
        <w:spacing w:after="28"/>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6C18B226" w14:textId="77777777" w:rsidR="00E42825" w:rsidRPr="00B616B0" w:rsidRDefault="00E42825" w:rsidP="00B616B0">
      <w:pPr>
        <w:spacing w:line="259" w:lineRule="auto"/>
        <w:ind w:left="708"/>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0A77544B" w14:textId="77777777" w:rsidR="00E42825" w:rsidRPr="00B616B0" w:rsidRDefault="00E42825" w:rsidP="00B616B0">
      <w:pPr>
        <w:spacing w:after="10"/>
        <w:ind w:left="715" w:right="22"/>
        <w:jc w:val="both"/>
        <w:rPr>
          <w:rFonts w:ascii="Verdana" w:hAnsi="Verdana"/>
          <w:color w:val="000000" w:themeColor="text1"/>
          <w:sz w:val="20"/>
          <w:szCs w:val="20"/>
        </w:rPr>
      </w:pPr>
      <w:r w:rsidRPr="00B616B0">
        <w:rPr>
          <w:rFonts w:ascii="Verdana" w:hAnsi="Verdana"/>
          <w:color w:val="000000" w:themeColor="text1"/>
          <w:sz w:val="20"/>
          <w:szCs w:val="20"/>
        </w:rPr>
        <w:t>La solución del problema lleva necesariamente a la conclusión de que esa tarea le corresponde ejercerla al legislador, por ser éste quien cuenta con la potestad exclusiva de "hacer las leyes", según lo ordena el artículo 150 del ordenamiento superior. La función legislativa de "hacer las leyes" incluye de manera concreta dos prerrogativas: por un lado, implica determinar el contenido de la ley, y, por el otro, legislar sobre cualquier tema que parezca relevante dentro de lo jurídico. Esta segunda función constituiría lo que se ha llamado la “cláusula general de competencia legislativa”.</w:t>
      </w:r>
    </w:p>
    <w:p w14:paraId="1EE977B9" w14:textId="77777777" w:rsidR="00E42825" w:rsidRPr="00B616B0" w:rsidRDefault="00E42825" w:rsidP="00B616B0">
      <w:pPr>
        <w:spacing w:line="259" w:lineRule="auto"/>
        <w:ind w:left="708"/>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7DA2A9B4" w14:textId="77777777" w:rsidR="00E42825" w:rsidRPr="00B616B0" w:rsidRDefault="00E42825" w:rsidP="00B616B0">
      <w:pPr>
        <w:spacing w:after="10"/>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Ahora bien: si el legislador es el llamado a decidir el contenido de la Ley, resulta obvio que dentro de la valoración política que debe hacer sobre la conveniencia del específico control que ella propone, se incluya la relativa al señalamiento del momento a partir del cual dicha normatividad empieza a surtir efectos, pues sólo a él compete valorar la realidad social, política, económica, etc., para poder determinar la fecha en que han de entrar a regir las disposiciones que expide. </w:t>
      </w:r>
    </w:p>
    <w:p w14:paraId="645552C1" w14:textId="77777777" w:rsidR="00E42825" w:rsidRPr="00B616B0" w:rsidRDefault="00E42825" w:rsidP="00B616B0">
      <w:pPr>
        <w:spacing w:line="259" w:lineRule="auto"/>
        <w:ind w:left="708"/>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38549366"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Aclarado que es al mismo legislador a quien le corresponde decidir el momento en el que la Ley ha de surtir efectos, conviene agregar que dicha atribución puede ejercerla a través de uno de los siguientes mecanismos: 1) Incluyendo en el mismo cuerpo de la Ley un artículo en el que señale expresamente la fecha a partir de la cual ésta comienza a regir; o 2) Expidiendo una Ley especial en la que regule en forma genérica este asunto, la que tendría operatividad </w:t>
      </w:r>
      <w:r w:rsidRPr="00B616B0">
        <w:rPr>
          <w:rFonts w:ascii="Verdana" w:hAnsi="Verdana"/>
          <w:color w:val="000000" w:themeColor="text1"/>
          <w:sz w:val="20"/>
          <w:szCs w:val="20"/>
        </w:rPr>
        <w:lastRenderedPageBreak/>
        <w:t>únicamente en los casos en que el mismo legislador no hubiera señalado en el texto de la ley respectiva la fecha de vigencia”.</w:t>
      </w:r>
    </w:p>
    <w:p w14:paraId="24D326A7" w14:textId="77777777" w:rsidR="00B616B0" w:rsidRPr="00B616B0" w:rsidRDefault="00B616B0" w:rsidP="00B616B0">
      <w:pPr>
        <w:ind w:left="715" w:right="22"/>
        <w:jc w:val="both"/>
        <w:rPr>
          <w:rFonts w:ascii="Verdana" w:hAnsi="Verdana"/>
          <w:color w:val="000000" w:themeColor="text1"/>
          <w:sz w:val="20"/>
          <w:szCs w:val="20"/>
        </w:rPr>
      </w:pPr>
    </w:p>
    <w:p w14:paraId="1FA78F5E" w14:textId="77777777" w:rsidR="00E42825" w:rsidRPr="00B616B0" w:rsidRDefault="00E42825" w:rsidP="00B616B0">
      <w:pPr>
        <w:tabs>
          <w:tab w:val="center" w:pos="2766"/>
        </w:tabs>
        <w:spacing w:after="223" w:line="259" w:lineRule="auto"/>
        <w:ind w:left="-15"/>
        <w:jc w:val="both"/>
        <w:rPr>
          <w:rFonts w:ascii="Verdana" w:hAnsi="Verdana"/>
          <w:color w:val="000000" w:themeColor="text1"/>
          <w:sz w:val="20"/>
          <w:szCs w:val="20"/>
        </w:rPr>
      </w:pPr>
      <w:r w:rsidRPr="00B616B0">
        <w:rPr>
          <w:rFonts w:ascii="Verdana" w:hAnsi="Verdana"/>
          <w:b/>
          <w:color w:val="000000" w:themeColor="text1"/>
          <w:sz w:val="20"/>
          <w:szCs w:val="20"/>
        </w:rPr>
        <w:t>3.4</w:t>
      </w:r>
      <w:r w:rsidRPr="00B616B0">
        <w:rPr>
          <w:rFonts w:ascii="Verdana" w:hAnsi="Verdana"/>
          <w:b/>
          <w:color w:val="000000" w:themeColor="text1"/>
          <w:sz w:val="20"/>
          <w:szCs w:val="20"/>
        </w:rPr>
        <w:tab/>
      </w:r>
      <w:proofErr w:type="gramStart"/>
      <w:r w:rsidRPr="00B616B0">
        <w:rPr>
          <w:rFonts w:ascii="Verdana" w:hAnsi="Verdana"/>
          <w:b/>
          <w:color w:val="000000" w:themeColor="text1"/>
          <w:sz w:val="20"/>
          <w:szCs w:val="20"/>
        </w:rPr>
        <w:t>Entrada en vigencia</w:t>
      </w:r>
      <w:proofErr w:type="gramEnd"/>
      <w:r w:rsidRPr="00B616B0">
        <w:rPr>
          <w:rFonts w:ascii="Verdana" w:hAnsi="Verdana"/>
          <w:b/>
          <w:color w:val="000000" w:themeColor="text1"/>
          <w:sz w:val="20"/>
          <w:szCs w:val="20"/>
        </w:rPr>
        <w:t xml:space="preserve"> de las leyes:</w:t>
      </w:r>
    </w:p>
    <w:p w14:paraId="7A33BE6B"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El Código Civil Colombiano, en su capítulo tercero, respecto de los efectos de la Ley, establece: </w:t>
      </w:r>
    </w:p>
    <w:p w14:paraId="39CC3302" w14:textId="77777777" w:rsidR="00B616B0" w:rsidRPr="00B616B0" w:rsidRDefault="00B616B0" w:rsidP="00B616B0">
      <w:pPr>
        <w:ind w:left="-5" w:right="4"/>
        <w:jc w:val="both"/>
        <w:rPr>
          <w:rFonts w:ascii="Verdana" w:hAnsi="Verdana"/>
          <w:color w:val="000000" w:themeColor="text1"/>
          <w:sz w:val="20"/>
          <w:szCs w:val="20"/>
        </w:rPr>
      </w:pPr>
    </w:p>
    <w:p w14:paraId="2E1D14B2"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11. &lt;OBLIGATORIEDAD DE LA LEY - MOMENTO DESDE EL CUAL SURTE EFECTOS&gt;. La ley es obligatoria y surte sus efectos desde el día en que ella misma se designa, y en todo caso después de su promulgación.</w:t>
      </w:r>
    </w:p>
    <w:p w14:paraId="1B8DC22A" w14:textId="77777777" w:rsidR="00B616B0" w:rsidRPr="00B616B0" w:rsidRDefault="00B616B0" w:rsidP="00B616B0">
      <w:pPr>
        <w:ind w:left="715" w:right="22"/>
        <w:jc w:val="both"/>
        <w:rPr>
          <w:rFonts w:ascii="Verdana" w:hAnsi="Verdana"/>
          <w:color w:val="000000" w:themeColor="text1"/>
          <w:sz w:val="20"/>
          <w:szCs w:val="20"/>
        </w:rPr>
      </w:pPr>
    </w:p>
    <w:p w14:paraId="2CAFB407"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12. &lt;PROMULGACIÓN DE LA LEY - CONCEPTO&gt;. La promulgación de la ley se hará insertándola en el Diario Oficial, y enviándola en esta forma a los estados y a los territorios.</w:t>
      </w:r>
    </w:p>
    <w:p w14:paraId="123DA8B7" w14:textId="77777777" w:rsidR="00B616B0" w:rsidRPr="00B616B0" w:rsidRDefault="00B616B0" w:rsidP="00B616B0">
      <w:pPr>
        <w:ind w:left="715" w:right="22"/>
        <w:jc w:val="both"/>
        <w:rPr>
          <w:rFonts w:ascii="Verdana" w:hAnsi="Verdana"/>
          <w:color w:val="000000" w:themeColor="text1"/>
          <w:sz w:val="20"/>
          <w:szCs w:val="20"/>
        </w:rPr>
      </w:pPr>
    </w:p>
    <w:p w14:paraId="6B9A2F55"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En la capital de la Unión se entenderá promulgada el día mismo de la inserción de la ley en el periódico oficial; y los estados y en los territorios, tres días en la capital y quince en los distritos y poblaciones de que se compongan, después del recibo de dicho periódico por el presidente o gobernador del estado o por el prefecto del territorio respectivo; a cuyo efecto estos funcionarios harán llevar por su secretario un registro especial en que se anote el día del recibo de cada número del Diario Oficial, dando aviso de ello por el inmediato correo a la secretaría de lo interior y relaciones exteriores”.</w:t>
      </w:r>
    </w:p>
    <w:p w14:paraId="4B6754AD" w14:textId="77777777" w:rsidR="00B616B0" w:rsidRPr="00B616B0" w:rsidRDefault="00B616B0" w:rsidP="00B616B0">
      <w:pPr>
        <w:ind w:left="715" w:right="22"/>
        <w:jc w:val="both"/>
        <w:rPr>
          <w:rFonts w:ascii="Verdana" w:hAnsi="Verdana"/>
          <w:color w:val="000000" w:themeColor="text1"/>
          <w:sz w:val="20"/>
          <w:szCs w:val="20"/>
        </w:rPr>
      </w:pPr>
    </w:p>
    <w:p w14:paraId="1516B1F7" w14:textId="77777777" w:rsidR="00E42825" w:rsidRPr="00B616B0" w:rsidRDefault="00E42825" w:rsidP="00B616B0">
      <w:pPr>
        <w:spacing w:after="10"/>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Posteriormente, la Ley 4 de 1913 -Código de Régimen Político y Municipal-, en cuyos artículos 52 y 53 se consagra la reglamentación supletiva sobre la fecha de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 las leyes, aplicable a falta de disposición expresa del legislador dentro de la nueva Ley que expide.</w:t>
      </w:r>
    </w:p>
    <w:p w14:paraId="22B5FB5E" w14:textId="77777777" w:rsidR="00E42825" w:rsidRPr="00B616B0" w:rsidRDefault="00E42825" w:rsidP="00B616B0">
      <w:pPr>
        <w:spacing w:line="259" w:lineRule="auto"/>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3A790630" w14:textId="77777777" w:rsidR="00E42825" w:rsidRPr="00B616B0" w:rsidRDefault="00E42825" w:rsidP="00B616B0">
      <w:pPr>
        <w:spacing w:after="10"/>
        <w:ind w:left="-5" w:right="4"/>
        <w:jc w:val="both"/>
        <w:rPr>
          <w:rFonts w:ascii="Verdana" w:hAnsi="Verdana"/>
          <w:color w:val="000000" w:themeColor="text1"/>
          <w:sz w:val="20"/>
          <w:szCs w:val="20"/>
        </w:rPr>
      </w:pPr>
      <w:r w:rsidRPr="00B616B0">
        <w:rPr>
          <w:rFonts w:ascii="Verdana" w:hAnsi="Verdana"/>
          <w:color w:val="000000" w:themeColor="text1"/>
          <w:sz w:val="20"/>
          <w:szCs w:val="20"/>
        </w:rPr>
        <w:t>En el artículo 52 se establece, como regla general, que la Ley obliga en virtud de su promulgación y su observancia comienza dos (2) meses después de promulgada. Estos dos meses, en criterio de la Corte, constituyen un período de vacancia que se presume suficiente para que los asociados conozcan la Ley, lo que se ha denominado “sistema sincrónico”.</w:t>
      </w:r>
    </w:p>
    <w:p w14:paraId="4FEF2C63" w14:textId="77777777" w:rsidR="00E42825" w:rsidRPr="00B616B0" w:rsidRDefault="00E42825" w:rsidP="00B616B0">
      <w:pPr>
        <w:spacing w:line="259" w:lineRule="auto"/>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2586C0B6" w14:textId="77777777" w:rsidR="00E42825" w:rsidRPr="00B616B0" w:rsidRDefault="00E42825" w:rsidP="00B616B0">
      <w:pPr>
        <w:spacing w:after="10"/>
        <w:ind w:left="-5" w:right="4"/>
        <w:jc w:val="both"/>
        <w:rPr>
          <w:rFonts w:ascii="Verdana" w:hAnsi="Verdana"/>
          <w:color w:val="000000" w:themeColor="text1"/>
          <w:sz w:val="20"/>
          <w:szCs w:val="20"/>
        </w:rPr>
      </w:pPr>
      <w:r w:rsidRPr="00B616B0">
        <w:rPr>
          <w:rFonts w:ascii="Verdana" w:hAnsi="Verdana"/>
          <w:color w:val="000000" w:themeColor="text1"/>
          <w:sz w:val="20"/>
          <w:szCs w:val="20"/>
        </w:rPr>
        <w:t>Y, el artículo 53, consagra algunas excepciones a esta regla general, esto es, que dicho principio no se aplica en los siguientes casos:</w:t>
      </w:r>
    </w:p>
    <w:p w14:paraId="3D9BCB6D" w14:textId="77777777" w:rsidR="00E42825" w:rsidRPr="00B616B0" w:rsidRDefault="00E42825" w:rsidP="00B616B0">
      <w:pPr>
        <w:spacing w:line="259" w:lineRule="auto"/>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1CD7EF1D" w14:textId="77777777" w:rsidR="00E42825" w:rsidRPr="00B616B0" w:rsidRDefault="00E42825" w:rsidP="00B616B0">
      <w:pPr>
        <w:ind w:left="703" w:right="15"/>
        <w:jc w:val="both"/>
        <w:rPr>
          <w:rFonts w:ascii="Verdana" w:hAnsi="Verdana"/>
          <w:color w:val="000000" w:themeColor="text1"/>
          <w:sz w:val="20"/>
          <w:szCs w:val="20"/>
        </w:rPr>
      </w:pPr>
      <w:r w:rsidRPr="00B616B0">
        <w:rPr>
          <w:rFonts w:ascii="Verdana" w:hAnsi="Verdana"/>
          <w:b/>
          <w:color w:val="000000" w:themeColor="text1"/>
          <w:sz w:val="20"/>
          <w:szCs w:val="20"/>
        </w:rPr>
        <w:t xml:space="preserve">“1. Cuando la ley misma establece el momento de su </w:t>
      </w:r>
      <w:proofErr w:type="gramStart"/>
      <w:r w:rsidRPr="00B616B0">
        <w:rPr>
          <w:rFonts w:ascii="Verdana" w:hAnsi="Verdana"/>
          <w:b/>
          <w:color w:val="000000" w:themeColor="text1"/>
          <w:sz w:val="20"/>
          <w:szCs w:val="20"/>
        </w:rPr>
        <w:t>entrada en vigencia</w:t>
      </w:r>
      <w:proofErr w:type="gramEnd"/>
      <w:r w:rsidRPr="00B616B0">
        <w:rPr>
          <w:rFonts w:ascii="Verdana" w:hAnsi="Verdana"/>
          <w:b/>
          <w:color w:val="000000" w:themeColor="text1"/>
          <w:sz w:val="20"/>
          <w:szCs w:val="20"/>
        </w:rPr>
        <w:t>;</w:t>
      </w:r>
    </w:p>
    <w:p w14:paraId="22FCEF33"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2. Cuando el Congreso autorice al Gobierno para establecer dicha fecha; y 3. Cuando por causa de guerra u otra similar se encuentre interrumpido el servicio de correo entre la capital y los municipios, caso en el cual los dos meses deben contarse desde el momento en el que se restablezcan las comunicaciones.”</w:t>
      </w:r>
    </w:p>
    <w:p w14:paraId="5C712BD3" w14:textId="77777777" w:rsidR="00E42825" w:rsidRPr="00B616B0" w:rsidRDefault="00E42825" w:rsidP="00B616B0">
      <w:pPr>
        <w:spacing w:after="10"/>
        <w:ind w:left="-5" w:right="4"/>
        <w:jc w:val="both"/>
        <w:rPr>
          <w:rFonts w:ascii="Verdana" w:hAnsi="Verdana"/>
          <w:color w:val="000000" w:themeColor="text1"/>
          <w:sz w:val="20"/>
          <w:szCs w:val="20"/>
        </w:rPr>
      </w:pPr>
      <w:r w:rsidRPr="00B616B0">
        <w:rPr>
          <w:rFonts w:ascii="Verdana" w:hAnsi="Verdana"/>
          <w:color w:val="000000" w:themeColor="text1"/>
          <w:sz w:val="20"/>
          <w:szCs w:val="20"/>
        </w:rPr>
        <w:t>Bajo esta línea argumentativa, la Corte Constitucional, en la sentencia C-957 de 1999, afirmó:</w:t>
      </w:r>
    </w:p>
    <w:p w14:paraId="7CAB359C" w14:textId="77777777" w:rsidR="00E42825" w:rsidRPr="00B616B0" w:rsidRDefault="00E42825" w:rsidP="00B616B0">
      <w:pPr>
        <w:spacing w:line="259" w:lineRule="auto"/>
        <w:jc w:val="both"/>
        <w:rPr>
          <w:rFonts w:ascii="Verdana" w:hAnsi="Verdana"/>
          <w:color w:val="000000" w:themeColor="text1"/>
          <w:sz w:val="20"/>
          <w:szCs w:val="20"/>
        </w:rPr>
      </w:pPr>
      <w:r w:rsidRPr="00B616B0">
        <w:rPr>
          <w:rFonts w:ascii="Verdana" w:hAnsi="Verdana"/>
          <w:color w:val="000000" w:themeColor="text1"/>
          <w:sz w:val="20"/>
          <w:szCs w:val="20"/>
        </w:rPr>
        <w:t xml:space="preserve"> </w:t>
      </w:r>
    </w:p>
    <w:p w14:paraId="4F349A75"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En lo relativo a su vigencia, como regla general, la ley comienza a regir a partir de su promulgación, salvo que el legislador, en ejercicio de su competencia constitucional, mediante precepto expreso </w:t>
      </w:r>
      <w:r w:rsidRPr="00B616B0">
        <w:rPr>
          <w:rFonts w:ascii="Verdana" w:hAnsi="Verdana"/>
          <w:b/>
          <w:color w:val="000000" w:themeColor="text1"/>
          <w:sz w:val="20"/>
          <w:szCs w:val="20"/>
        </w:rPr>
        <w:t>determine una fecha diversa a aquella, facultad igualmente predicable del legislador extraordinario.</w:t>
      </w:r>
      <w:r w:rsidRPr="00B616B0">
        <w:rPr>
          <w:rFonts w:ascii="Verdana" w:hAnsi="Verdana"/>
          <w:color w:val="000000" w:themeColor="text1"/>
          <w:sz w:val="20"/>
          <w:szCs w:val="20"/>
        </w:rPr>
        <w:t xml:space="preserve"> Los efectos jurídicos de los actos legislativos y de las leyes que se producen a partir </w:t>
      </w:r>
      <w:r w:rsidRPr="00B616B0">
        <w:rPr>
          <w:rFonts w:ascii="Verdana" w:hAnsi="Verdana"/>
          <w:color w:val="000000" w:themeColor="text1"/>
          <w:sz w:val="20"/>
          <w:szCs w:val="20"/>
        </w:rPr>
        <w:lastRenderedPageBreak/>
        <w:t xml:space="preserve">de la promulgación en el Diario Oficial, dan lugar a su oponibilidad y obligatoriedad sin que por ello se afecte la validez ni la existencia de </w:t>
      </w:r>
      <w:proofErr w:type="gramStart"/>
      <w:r w:rsidRPr="00B616B0">
        <w:rPr>
          <w:rFonts w:ascii="Verdana" w:hAnsi="Verdana"/>
          <w:color w:val="000000" w:themeColor="text1"/>
          <w:sz w:val="20"/>
          <w:szCs w:val="20"/>
        </w:rPr>
        <w:t>los mismos</w:t>
      </w:r>
      <w:proofErr w:type="gramEnd"/>
      <w:r w:rsidRPr="00B616B0">
        <w:rPr>
          <w:rFonts w:ascii="Verdana" w:hAnsi="Verdana"/>
          <w:color w:val="000000" w:themeColor="text1"/>
          <w:sz w:val="20"/>
          <w:szCs w:val="20"/>
        </w:rPr>
        <w:t>.</w:t>
      </w:r>
    </w:p>
    <w:p w14:paraId="6247994C" w14:textId="77777777" w:rsidR="00B616B0" w:rsidRPr="00B616B0" w:rsidRDefault="00B616B0" w:rsidP="00B616B0">
      <w:pPr>
        <w:ind w:left="715" w:right="22"/>
        <w:jc w:val="both"/>
        <w:rPr>
          <w:rFonts w:ascii="Verdana" w:hAnsi="Verdana"/>
          <w:color w:val="000000" w:themeColor="text1"/>
          <w:sz w:val="20"/>
          <w:szCs w:val="20"/>
        </w:rPr>
      </w:pPr>
    </w:p>
    <w:p w14:paraId="30164CDA"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Finalmente, frente a la vigencia de normas previas que sean modificadas por leyes posteriores, la Corte Constitucional en sentencia C-302 de 1999, indicó: </w:t>
      </w:r>
    </w:p>
    <w:p w14:paraId="3D42681E" w14:textId="77777777" w:rsidR="00B616B0" w:rsidRPr="00B616B0" w:rsidRDefault="00B616B0" w:rsidP="00B616B0">
      <w:pPr>
        <w:ind w:left="-5" w:right="4"/>
        <w:jc w:val="both"/>
        <w:rPr>
          <w:rFonts w:ascii="Verdana" w:hAnsi="Verdana"/>
          <w:color w:val="000000" w:themeColor="text1"/>
          <w:sz w:val="20"/>
          <w:szCs w:val="20"/>
        </w:rPr>
      </w:pPr>
    </w:p>
    <w:p w14:paraId="628F1292"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 las normas se produce únicamente como resultado de una decisión tomada discrecionalmente por quien tiene la competencia para hacerlas, esto es, el mismo legislador. </w:t>
      </w:r>
      <w:r w:rsidRPr="00B616B0">
        <w:rPr>
          <w:rFonts w:ascii="Verdana" w:hAnsi="Verdana"/>
          <w:b/>
          <w:color w:val="000000" w:themeColor="text1"/>
          <w:sz w:val="20"/>
          <w:szCs w:val="20"/>
        </w:rPr>
        <w:t xml:space="preserve">Al </w:t>
      </w:r>
      <w:proofErr w:type="gramStart"/>
      <w:r w:rsidRPr="00B616B0">
        <w:rPr>
          <w:rFonts w:ascii="Verdana" w:hAnsi="Verdana"/>
          <w:b/>
          <w:color w:val="000000" w:themeColor="text1"/>
          <w:sz w:val="20"/>
          <w:szCs w:val="20"/>
        </w:rPr>
        <w:t>entrar en vigencia</w:t>
      </w:r>
      <w:proofErr w:type="gramEnd"/>
      <w:r w:rsidRPr="00B616B0">
        <w:rPr>
          <w:rFonts w:ascii="Verdana" w:hAnsi="Verdana"/>
          <w:b/>
          <w:color w:val="000000" w:themeColor="text1"/>
          <w:sz w:val="20"/>
          <w:szCs w:val="20"/>
        </w:rPr>
        <w:t xml:space="preserve"> las normas nuevas quedan automáticamente derogadas las antes vigentes en relación con cada uno de los contenidos normativos que en aquéllas se establecen”.</w:t>
      </w:r>
      <w:r w:rsidRPr="00B616B0">
        <w:rPr>
          <w:rFonts w:ascii="Verdana" w:hAnsi="Verdana"/>
          <w:color w:val="000000" w:themeColor="text1"/>
          <w:sz w:val="20"/>
          <w:szCs w:val="20"/>
        </w:rPr>
        <w:t xml:space="preserve"> </w:t>
      </w:r>
    </w:p>
    <w:p w14:paraId="398EDA0F" w14:textId="77777777" w:rsidR="00B616B0" w:rsidRPr="00B616B0" w:rsidRDefault="00B616B0" w:rsidP="00B616B0">
      <w:pPr>
        <w:ind w:left="715" w:right="22"/>
        <w:jc w:val="both"/>
        <w:rPr>
          <w:rFonts w:ascii="Verdana" w:hAnsi="Verdana"/>
          <w:color w:val="000000" w:themeColor="text1"/>
          <w:sz w:val="20"/>
          <w:szCs w:val="20"/>
        </w:rPr>
      </w:pPr>
    </w:p>
    <w:p w14:paraId="25C860E7" w14:textId="77777777" w:rsidR="00E42825" w:rsidRPr="00B616B0" w:rsidRDefault="00E42825" w:rsidP="00B616B0">
      <w:pPr>
        <w:spacing w:after="223" w:line="259" w:lineRule="auto"/>
        <w:ind w:left="-5"/>
        <w:jc w:val="both"/>
        <w:rPr>
          <w:rFonts w:ascii="Verdana" w:hAnsi="Verdana"/>
          <w:color w:val="000000" w:themeColor="text1"/>
          <w:sz w:val="20"/>
          <w:szCs w:val="20"/>
        </w:rPr>
      </w:pPr>
      <w:r w:rsidRPr="00B616B0">
        <w:rPr>
          <w:rFonts w:ascii="Verdana" w:hAnsi="Verdana"/>
          <w:b/>
          <w:color w:val="000000" w:themeColor="text1"/>
          <w:sz w:val="20"/>
          <w:szCs w:val="20"/>
        </w:rPr>
        <w:t>3.5.</w:t>
      </w:r>
      <w:r w:rsidRPr="00B616B0">
        <w:rPr>
          <w:rFonts w:ascii="Verdana" w:hAnsi="Verdana"/>
          <w:color w:val="000000" w:themeColor="text1"/>
          <w:sz w:val="20"/>
          <w:szCs w:val="20"/>
        </w:rPr>
        <w:t xml:space="preserve"> </w:t>
      </w:r>
      <w:r w:rsidRPr="00B616B0">
        <w:rPr>
          <w:rFonts w:ascii="Verdana" w:hAnsi="Verdana"/>
          <w:b/>
          <w:color w:val="000000" w:themeColor="text1"/>
          <w:sz w:val="20"/>
          <w:szCs w:val="20"/>
        </w:rPr>
        <w:t>De la interpretación Sistemática</w:t>
      </w:r>
    </w:p>
    <w:p w14:paraId="133A4D0C"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La interpretación sistemática es una herramienta ampliamente utilizada en la construcción del derecho. Se aplica cuando se encuentran enunciados particulares que carecen de elementos claros para determinar su alcance dispositivo. Su objetivo principal es integrar el ordenamiento jurídico y evitar que las disposiciones normativas sean interpretadas de manera aislada.</w:t>
      </w:r>
    </w:p>
    <w:p w14:paraId="7B98E539" w14:textId="77777777" w:rsidR="00B616B0" w:rsidRPr="00B616B0" w:rsidRDefault="00B616B0" w:rsidP="00B616B0">
      <w:pPr>
        <w:ind w:left="-5" w:right="4"/>
        <w:jc w:val="both"/>
        <w:rPr>
          <w:rFonts w:ascii="Verdana" w:hAnsi="Verdana"/>
          <w:color w:val="000000" w:themeColor="text1"/>
          <w:sz w:val="20"/>
          <w:szCs w:val="20"/>
        </w:rPr>
      </w:pPr>
    </w:p>
    <w:p w14:paraId="3EAA71A4"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En esta clase de interpretación, se hace necesario analizar de forma coherente, lógica y ordenada las normas aplicables al caso en particular. El objetivo es buscar una integración o unidad de materia que permita una comprensión razonable y completa frente a cualquier limitación de una disposición específica.</w:t>
      </w:r>
    </w:p>
    <w:p w14:paraId="6BEC27C5" w14:textId="77777777" w:rsidR="00B616B0" w:rsidRPr="00B616B0" w:rsidRDefault="00B616B0" w:rsidP="00B616B0">
      <w:pPr>
        <w:ind w:left="-5" w:right="4"/>
        <w:jc w:val="both"/>
        <w:rPr>
          <w:rFonts w:ascii="Verdana" w:hAnsi="Verdana"/>
          <w:color w:val="000000" w:themeColor="text1"/>
          <w:sz w:val="20"/>
          <w:szCs w:val="20"/>
        </w:rPr>
      </w:pPr>
    </w:p>
    <w:p w14:paraId="2BD687D5"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Frente a la interpretación sistemática, la Corte Constitucional en sentencia C-569 de 2000, indicó:</w:t>
      </w:r>
    </w:p>
    <w:p w14:paraId="72BF1EDE" w14:textId="77777777" w:rsidR="00B616B0" w:rsidRPr="00B616B0" w:rsidRDefault="00B616B0" w:rsidP="00B616B0">
      <w:pPr>
        <w:ind w:left="-5" w:right="4"/>
        <w:jc w:val="both"/>
        <w:rPr>
          <w:rFonts w:ascii="Verdana" w:hAnsi="Verdana"/>
          <w:color w:val="000000" w:themeColor="text1"/>
          <w:sz w:val="20"/>
          <w:szCs w:val="20"/>
        </w:rPr>
      </w:pPr>
    </w:p>
    <w:p w14:paraId="6025B564" w14:textId="77777777" w:rsidR="00E42825" w:rsidRDefault="00E42825" w:rsidP="00B616B0">
      <w:pPr>
        <w:ind w:left="576" w:right="22"/>
        <w:jc w:val="both"/>
        <w:rPr>
          <w:rFonts w:ascii="Verdana" w:hAnsi="Verdana"/>
          <w:color w:val="000000" w:themeColor="text1"/>
          <w:sz w:val="20"/>
          <w:szCs w:val="20"/>
        </w:rPr>
      </w:pPr>
      <w:r w:rsidRPr="00B616B0">
        <w:rPr>
          <w:rFonts w:ascii="Verdana" w:hAnsi="Verdana"/>
          <w:color w:val="000000" w:themeColor="text1"/>
          <w:sz w:val="20"/>
          <w:szCs w:val="20"/>
        </w:rPr>
        <w:t>“De nada sirve el ejercicio de interpretación que se reduce a los límites de una sola disposición –v.gr. el artículo acusado-, cuando la adecuada compresión de dicho precepto depende de la integración de artículos contenidos en otras regulaciones. El ordenamiento jurídico presenta con frecuencia normas incompletas, cuyo contenido y finalidad deben articularse junto a otras reglas; sólo de este modo es posible superar supuestas incongruencias al interior de un orden normativo. La integración de normas jurídicas, por virtud de la remisión que hace una de ellas, sólo es concebible en la medida en que dicha operación completa el sentido de disposiciones que dependen mutuamente para su cabal aplicación. No se trata de una manera analógica de interpretar el derecho, o de extender el imperio de alguna disposición a asuntos no contemplados por el ordenamiento legal.”</w:t>
      </w:r>
    </w:p>
    <w:p w14:paraId="690A0464" w14:textId="77777777" w:rsidR="00B616B0" w:rsidRPr="00B616B0" w:rsidRDefault="00B616B0" w:rsidP="00B616B0">
      <w:pPr>
        <w:ind w:left="576" w:right="22"/>
        <w:jc w:val="both"/>
        <w:rPr>
          <w:rFonts w:ascii="Verdana" w:hAnsi="Verdana"/>
          <w:color w:val="000000" w:themeColor="text1"/>
          <w:sz w:val="20"/>
          <w:szCs w:val="20"/>
        </w:rPr>
      </w:pPr>
    </w:p>
    <w:p w14:paraId="21ACB451"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En el caso objeto de estudio, resulta pertinente aplicar la figura de la interpretación sistemática con base en lo consagrado en el numeral 3.1, en relación con lo consagrado en el numeral 3.2 del presente pronunciamiento. Esto se debe a que, en cualquier circunstancia, dichas normas no pueden ser interpretadas de manera aislada, en aras de garantizar el interés superior del menor de edad.</w:t>
      </w:r>
    </w:p>
    <w:p w14:paraId="720CAB09" w14:textId="77777777" w:rsidR="00B616B0" w:rsidRPr="00B616B0" w:rsidRDefault="00B616B0" w:rsidP="00B616B0">
      <w:pPr>
        <w:ind w:left="-5" w:right="4"/>
        <w:jc w:val="both"/>
        <w:rPr>
          <w:rFonts w:ascii="Verdana" w:hAnsi="Verdana"/>
          <w:color w:val="000000" w:themeColor="text1"/>
          <w:sz w:val="20"/>
          <w:szCs w:val="20"/>
        </w:rPr>
      </w:pPr>
    </w:p>
    <w:p w14:paraId="798E4BFB"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Así las cosas, se debe citar nuevamente los artículos referenciados en los numerales 3.1 y 3.2, con el fin de establecer la interpretación a la cual se pretende llegar, veamos:</w:t>
      </w:r>
    </w:p>
    <w:p w14:paraId="0CC7DF9B" w14:textId="77777777" w:rsidR="00B616B0" w:rsidRPr="00B616B0" w:rsidRDefault="00B616B0" w:rsidP="00B616B0">
      <w:pPr>
        <w:ind w:left="-5" w:right="4"/>
        <w:jc w:val="both"/>
        <w:rPr>
          <w:rFonts w:ascii="Verdana" w:hAnsi="Verdana"/>
          <w:color w:val="000000" w:themeColor="text1"/>
          <w:sz w:val="20"/>
          <w:szCs w:val="20"/>
        </w:rPr>
      </w:pPr>
    </w:p>
    <w:p w14:paraId="6305E41A"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Ley 2126 de 2021: </w:t>
      </w:r>
    </w:p>
    <w:p w14:paraId="740CA677"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“ARTÍCULO 5 COMPETENCIA. (…)</w:t>
      </w:r>
    </w:p>
    <w:p w14:paraId="245B0816"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b/>
          <w:color w:val="000000" w:themeColor="text1"/>
          <w:sz w:val="20"/>
          <w:szCs w:val="20"/>
        </w:rPr>
        <w:lastRenderedPageBreak/>
        <w:t>PARÁGRAFO 1</w:t>
      </w:r>
      <w:r w:rsidRPr="00B616B0">
        <w:rPr>
          <w:rFonts w:ascii="Verdana" w:hAnsi="Verdana"/>
          <w:color w:val="000000" w:themeColor="text1"/>
          <w:sz w:val="20"/>
          <w:szCs w:val="20"/>
        </w:rPr>
        <w:t>. Cuando en un mismo municipio concurran Defensorías de Familia y Comisarías de Familia, la competencia se determinará así:</w:t>
      </w:r>
    </w:p>
    <w:p w14:paraId="5351FA59" w14:textId="77777777" w:rsidR="00E42825" w:rsidRPr="00B616B0" w:rsidRDefault="00E42825" w:rsidP="00B616B0">
      <w:pPr>
        <w:numPr>
          <w:ilvl w:val="0"/>
          <w:numId w:val="4"/>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 xml:space="preserve">El comisario o la comisaria de familia se encargará de prevenir, </w:t>
      </w:r>
      <w:proofErr w:type="spellStart"/>
      <w:r w:rsidRPr="00B616B0">
        <w:rPr>
          <w:rFonts w:ascii="Verdana" w:hAnsi="Verdana"/>
          <w:color w:val="000000" w:themeColor="text1"/>
          <w:sz w:val="20"/>
          <w:szCs w:val="20"/>
        </w:rPr>
        <w:t>garantizary</w:t>
      </w:r>
      <w:proofErr w:type="spellEnd"/>
      <w:r w:rsidRPr="00B616B0">
        <w:rPr>
          <w:rFonts w:ascii="Verdana" w:hAnsi="Verdana"/>
          <w:color w:val="000000" w:themeColor="text1"/>
          <w:sz w:val="20"/>
          <w:szCs w:val="20"/>
        </w:rPr>
        <w:t xml:space="preserve"> restablecer los derechos de los niños, niñas y adolescentes cuando se presenten vulneraciones o amenazas de derechos dentro del contexto de la violencia familiar, excepto cuando se trate de cualquier forma de violencia sexual.</w:t>
      </w:r>
    </w:p>
    <w:p w14:paraId="0AFE17AE" w14:textId="45F720B1" w:rsidR="00E42825" w:rsidRPr="00B616B0" w:rsidRDefault="00E42825" w:rsidP="00B616B0">
      <w:pPr>
        <w:numPr>
          <w:ilvl w:val="0"/>
          <w:numId w:val="4"/>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El defensor o la defensora de familia se encargará de prevenir, garantizar</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y restablecer los derechos de los niños, niñas y adolescentes en las circunstancias de vulneración o amenaza de derechos diferentes de los suscitados en el contexto de la violencia familiar.</w:t>
      </w:r>
    </w:p>
    <w:p w14:paraId="50DF1E8A" w14:textId="6AD9F0C8" w:rsidR="00E42825" w:rsidRPr="00B616B0" w:rsidRDefault="00E42825" w:rsidP="00B616B0">
      <w:pPr>
        <w:numPr>
          <w:ilvl w:val="0"/>
          <w:numId w:val="4"/>
        </w:numPr>
        <w:spacing w:after="253" w:line="229" w:lineRule="auto"/>
        <w:ind w:right="22" w:hanging="10"/>
        <w:jc w:val="both"/>
        <w:rPr>
          <w:rFonts w:ascii="Verdana" w:hAnsi="Verdana"/>
          <w:color w:val="000000" w:themeColor="text1"/>
          <w:sz w:val="20"/>
          <w:szCs w:val="20"/>
        </w:rPr>
      </w:pPr>
      <w:r w:rsidRPr="00B616B0">
        <w:rPr>
          <w:rFonts w:ascii="Verdana" w:hAnsi="Verdana"/>
          <w:color w:val="000000" w:themeColor="text1"/>
          <w:sz w:val="20"/>
          <w:szCs w:val="20"/>
        </w:rPr>
        <w:t>El defensor o la defensora de familia será competente respecto de</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cualquier forma de violencia sexual, sin distinción de quien cometa la vulneración. En caso de existir dentro del mismo núcleo familiar otros niños, niñas y adolescentes víctimas de violencias distintas a la sexual, el defensor o la defensora de familia asumirá competencia frente a todos ellos.</w:t>
      </w:r>
    </w:p>
    <w:p w14:paraId="1AA3740B"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4.En aquellos casos en los cuales además de la violencia sexual en el contexto familiar contra el niño, niña o adolescente, se hayan presentado hechos de violencia contra uno o varios de los integrantes adultos de su núcleo familiar, la competencia será asumida por el comisario o la comisaria de familia. </w:t>
      </w:r>
    </w:p>
    <w:p w14:paraId="0BA790A8"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w:t>
      </w:r>
    </w:p>
    <w:p w14:paraId="36653B86" w14:textId="77777777" w:rsidR="00E42825" w:rsidRPr="00B616B0" w:rsidRDefault="00E42825" w:rsidP="00B616B0">
      <w:pPr>
        <w:spacing w:after="28"/>
        <w:ind w:left="703" w:right="15"/>
        <w:jc w:val="both"/>
        <w:rPr>
          <w:rFonts w:ascii="Verdana" w:hAnsi="Verdana"/>
          <w:color w:val="000000" w:themeColor="text1"/>
          <w:sz w:val="20"/>
          <w:szCs w:val="20"/>
        </w:rPr>
      </w:pPr>
      <w:r w:rsidRPr="00B616B0">
        <w:rPr>
          <w:rFonts w:ascii="Verdana" w:hAnsi="Verdana"/>
          <w:b/>
          <w:color w:val="000000" w:themeColor="text1"/>
          <w:sz w:val="20"/>
          <w:szCs w:val="20"/>
        </w:rPr>
        <w:t>Nota: De conformidad con lo dispuesto en el parágrafo 1° del</w:t>
      </w:r>
    </w:p>
    <w:p w14:paraId="64A949E3" w14:textId="77777777" w:rsidR="00E42825" w:rsidRPr="00B616B0" w:rsidRDefault="00E42825" w:rsidP="00B616B0">
      <w:pPr>
        <w:spacing w:after="28"/>
        <w:ind w:left="703" w:right="15"/>
        <w:jc w:val="both"/>
        <w:rPr>
          <w:rFonts w:ascii="Verdana" w:hAnsi="Verdana"/>
          <w:color w:val="000000" w:themeColor="text1"/>
          <w:sz w:val="20"/>
          <w:szCs w:val="20"/>
        </w:rPr>
      </w:pPr>
      <w:r w:rsidRPr="00B616B0">
        <w:rPr>
          <w:rFonts w:ascii="Verdana" w:hAnsi="Verdana"/>
          <w:b/>
          <w:color w:val="000000" w:themeColor="text1"/>
          <w:sz w:val="20"/>
          <w:szCs w:val="20"/>
        </w:rPr>
        <w:t>Artículo 203 de la Ley 2294 de 2023; el parágrafo 1° del presente</w:t>
      </w:r>
    </w:p>
    <w:p w14:paraId="4D846ADF" w14:textId="77777777" w:rsidR="00E42825" w:rsidRPr="00B616B0" w:rsidRDefault="00E42825" w:rsidP="00B616B0">
      <w:pPr>
        <w:ind w:left="703" w:right="15"/>
        <w:jc w:val="both"/>
        <w:rPr>
          <w:rFonts w:ascii="Verdana" w:hAnsi="Verdana"/>
          <w:color w:val="000000" w:themeColor="text1"/>
          <w:sz w:val="20"/>
          <w:szCs w:val="20"/>
        </w:rPr>
      </w:pPr>
      <w:r w:rsidRPr="00B616B0">
        <w:rPr>
          <w:rFonts w:ascii="Verdana" w:hAnsi="Verdana"/>
          <w:b/>
          <w:color w:val="000000" w:themeColor="text1"/>
          <w:sz w:val="20"/>
          <w:szCs w:val="20"/>
        </w:rPr>
        <w:t>Artículo entrará a regir a partir del 1° de julio de 2024.”</w:t>
      </w:r>
    </w:p>
    <w:p w14:paraId="6C04CBF2"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Artículo 44 ibidem: </w:t>
      </w:r>
    </w:p>
    <w:p w14:paraId="0F10E214" w14:textId="77777777" w:rsidR="00E42825"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“ARTÍCULO 44. El Gobierno nacional en cabeza del Instituto Colombiano de Bienestar Familiar en coordinación con las entidades competentes, </w:t>
      </w:r>
      <w:r w:rsidRPr="00B616B0">
        <w:rPr>
          <w:rFonts w:ascii="Verdana" w:hAnsi="Verdana"/>
          <w:b/>
          <w:color w:val="000000" w:themeColor="text1"/>
          <w:sz w:val="20"/>
          <w:szCs w:val="20"/>
        </w:rPr>
        <w:t>en un plazo no mayor a dieciocho (18) meses, a partir de la vigencia de la presente ley,</w:t>
      </w:r>
      <w:r w:rsidRPr="00B616B0">
        <w:rPr>
          <w:rFonts w:ascii="Verdana" w:hAnsi="Verdana"/>
          <w:color w:val="000000" w:themeColor="text1"/>
          <w:sz w:val="20"/>
          <w:szCs w:val="20"/>
        </w:rPr>
        <w:t xml:space="preserve"> tomará las medidas administrativas y presupuestales necesarias de acuerdo con el Marco Fiscal de Mediano Plazo, para fortalecer la capacidad institucional de las Defensorías de Familia y mejorar las condiciones laborales de los defensores de familia a nivel nacional, con el fin de garantizar el cumplimiento eficiente, eficaz y efectivo de sus funciones las cuales están orientadas a prevenir, proteger, garantizar y restablecer los derechos de los niños, niñas y adolescentes”.</w:t>
      </w:r>
    </w:p>
    <w:p w14:paraId="2D155D0E" w14:textId="77777777" w:rsidR="00B616B0" w:rsidRPr="00B616B0" w:rsidRDefault="00B616B0" w:rsidP="00B616B0">
      <w:pPr>
        <w:ind w:left="715" w:right="22"/>
        <w:jc w:val="both"/>
        <w:rPr>
          <w:rFonts w:ascii="Verdana" w:hAnsi="Verdana"/>
          <w:color w:val="000000" w:themeColor="text1"/>
          <w:sz w:val="20"/>
          <w:szCs w:val="20"/>
        </w:rPr>
      </w:pPr>
    </w:p>
    <w:p w14:paraId="15BDC0C1"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Por su parte, la Ley 2294 de 2023, Plan Nacional de Desarrollo, indica:</w:t>
      </w:r>
    </w:p>
    <w:p w14:paraId="2B987B64"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Artículo 203: </w:t>
      </w:r>
    </w:p>
    <w:p w14:paraId="272A9EBD" w14:textId="77777777" w:rsidR="00B616B0" w:rsidRPr="00B616B0" w:rsidRDefault="00B616B0" w:rsidP="00B616B0">
      <w:pPr>
        <w:ind w:left="-5" w:right="4"/>
        <w:jc w:val="both"/>
        <w:rPr>
          <w:rFonts w:ascii="Verdana" w:hAnsi="Verdana"/>
          <w:color w:val="000000" w:themeColor="text1"/>
          <w:sz w:val="20"/>
          <w:szCs w:val="20"/>
        </w:rPr>
      </w:pPr>
    </w:p>
    <w:p w14:paraId="13C2658D" w14:textId="77777777" w:rsidR="00E42825" w:rsidRPr="00B616B0" w:rsidRDefault="00E42825" w:rsidP="00B616B0">
      <w:pPr>
        <w:ind w:left="715" w:right="22"/>
        <w:jc w:val="both"/>
        <w:rPr>
          <w:rFonts w:ascii="Verdana" w:hAnsi="Verdana"/>
          <w:color w:val="000000" w:themeColor="text1"/>
          <w:sz w:val="20"/>
          <w:szCs w:val="20"/>
        </w:rPr>
      </w:pPr>
      <w:r w:rsidRPr="00B616B0">
        <w:rPr>
          <w:rFonts w:ascii="Verdana" w:hAnsi="Verdana"/>
          <w:color w:val="000000" w:themeColor="text1"/>
          <w:sz w:val="20"/>
          <w:szCs w:val="20"/>
        </w:rPr>
        <w:t xml:space="preserve">“…Sistema Nacional de Justicia Familiar como un conjunto de actores, políticas, programas, estrategias, principios, normas y rutas de articulación para la atención, prevención, promoción y restablecimiento de derechos de las personas, de manera prevalente de las niñas, niños y adolescentes, que sean víctimas o estén en riesgo de cualquier forma de vulneración dentro del contexto de la familia. La estructuración del sistema tendrá como eje el fortalecimiento de las Defensorías de Familia, las Comisarías de Familia y demás autoridades administrativas encargadas de la protección integral y restablecimiento de los derechos de la infancia, la adolescencia y las familias, garantizando la capacidad administrativa, financiera, cobertura territorial y las condiciones necesarias para la prestación óptima de sus servicios. El funcionamiento del Sistema Nacional de Protección Integral a la Familia se articulará con el Sistema Nacional de Cuidado </w:t>
      </w:r>
      <w:r w:rsidRPr="00B616B0">
        <w:rPr>
          <w:rFonts w:ascii="Verdana" w:hAnsi="Verdana"/>
          <w:color w:val="000000" w:themeColor="text1"/>
          <w:sz w:val="20"/>
          <w:szCs w:val="20"/>
        </w:rPr>
        <w:lastRenderedPageBreak/>
        <w:t>a partir de los principios de universalidad, corresponsabilidad social y de género, promoción de la autonomía, participación y solidaridad en el financiamiento.</w:t>
      </w:r>
    </w:p>
    <w:p w14:paraId="23BE8ADF" w14:textId="77777777" w:rsidR="00E42825" w:rsidRDefault="00E42825" w:rsidP="00B616B0">
      <w:pPr>
        <w:ind w:left="703" w:right="15"/>
        <w:jc w:val="both"/>
        <w:rPr>
          <w:rFonts w:ascii="Verdana" w:hAnsi="Verdana"/>
          <w:b/>
          <w:color w:val="000000" w:themeColor="text1"/>
          <w:sz w:val="20"/>
          <w:szCs w:val="20"/>
        </w:rPr>
      </w:pPr>
      <w:r w:rsidRPr="00B616B0">
        <w:rPr>
          <w:rFonts w:ascii="Verdana" w:hAnsi="Verdana"/>
          <w:b/>
          <w:color w:val="000000" w:themeColor="text1"/>
          <w:sz w:val="20"/>
          <w:szCs w:val="20"/>
        </w:rPr>
        <w:t>PARÁGRAFO PRIMERO. Con el fin de asegurar el tránsito institucional hacia la estructuración del Sistema Nacional de Justicia Familiar, el parágrafo 1 del artículo 5 y el artículo 44 de la Ley 2126 de 2021, entrarán a regir a partir del 1 de julio de 2024”.</w:t>
      </w:r>
    </w:p>
    <w:p w14:paraId="4118269D" w14:textId="77777777" w:rsidR="00B616B0" w:rsidRPr="00B616B0" w:rsidRDefault="00B616B0" w:rsidP="00B616B0">
      <w:pPr>
        <w:ind w:left="703" w:right="15"/>
        <w:jc w:val="both"/>
        <w:rPr>
          <w:rFonts w:ascii="Verdana" w:hAnsi="Verdana"/>
          <w:color w:val="000000" w:themeColor="text1"/>
          <w:sz w:val="20"/>
          <w:szCs w:val="20"/>
        </w:rPr>
      </w:pPr>
    </w:p>
    <w:p w14:paraId="5FE24CC6"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Como bien se enunció, el parágrafo 1 del artículo 5 de la Ley 2126 de 2021, atribuye unas nuevas competencias a los Defensores de Familia, normatividad que según la Ley 2294 de 2023, entraría a regir a partir del 1 de julio de 2024; mientras tanto, el artículo 44 de la misma Ley 2126 de 2021 concede un plazo de dieciocho (18) meses, a partir de la vigencia de dicho precepto normativo, lo cual, no se podría interpretar de manera distinta al espíritu del legislador, el cual apunta a la adopción de las medidas administrativas y presupuestales correspondientes, en el marco fiscal de mediano plazo, bajo los principios de planeación y progresividad, con el fin de lograr la puesta en funcionamiento del Sistema Nacional de Justicia Familiar, previa su estructuración y que el Instituto tenga la capacidad institucional para asumir la competencia establecida en el parágrafo primero del artículo 5 de la Ley 2126 de 2021.</w:t>
      </w:r>
    </w:p>
    <w:p w14:paraId="34165A7F" w14:textId="77777777" w:rsidR="00B616B0" w:rsidRPr="00B616B0" w:rsidRDefault="00B616B0" w:rsidP="00B616B0">
      <w:pPr>
        <w:ind w:left="-5" w:right="4"/>
        <w:jc w:val="both"/>
        <w:rPr>
          <w:rFonts w:ascii="Verdana" w:hAnsi="Verdana"/>
          <w:color w:val="000000" w:themeColor="text1"/>
          <w:sz w:val="20"/>
          <w:szCs w:val="20"/>
        </w:rPr>
      </w:pPr>
    </w:p>
    <w:p w14:paraId="07A837E0"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Dicha justificación es razonable, teniendo en cuenta que las acciones encaminadas a la implementación de un nuevo Sistema, se dará en la medida que la Entidad cuente con la apropiación de los recursos requeridos para fortalecer su capacidad institucional. </w:t>
      </w:r>
    </w:p>
    <w:p w14:paraId="5B744E16" w14:textId="77777777" w:rsidR="00E42825" w:rsidRPr="00B616B0" w:rsidRDefault="00E42825" w:rsidP="00B616B0">
      <w:pPr>
        <w:pStyle w:val="Ttulo1"/>
        <w:ind w:left="371"/>
        <w:jc w:val="both"/>
        <w:rPr>
          <w:rFonts w:ascii="Verdana" w:hAnsi="Verdana"/>
          <w:b/>
          <w:bCs/>
          <w:color w:val="000000" w:themeColor="text1"/>
          <w:sz w:val="20"/>
          <w:szCs w:val="20"/>
        </w:rPr>
      </w:pPr>
      <w:r w:rsidRPr="00B616B0">
        <w:rPr>
          <w:rFonts w:ascii="Verdana" w:hAnsi="Verdana"/>
          <w:b/>
          <w:bCs/>
          <w:color w:val="000000" w:themeColor="text1"/>
          <w:sz w:val="20"/>
          <w:szCs w:val="20"/>
        </w:rPr>
        <w:t>5. CONCLUSIONES</w:t>
      </w:r>
    </w:p>
    <w:p w14:paraId="17E4874C" w14:textId="589A9553" w:rsidR="00E42825" w:rsidRPr="00B616B0" w:rsidRDefault="00E42825" w:rsidP="00B616B0">
      <w:pPr>
        <w:numPr>
          <w:ilvl w:val="0"/>
          <w:numId w:val="5"/>
        </w:numPr>
        <w:spacing w:after="253" w:line="229" w:lineRule="auto"/>
        <w:ind w:right="4" w:hanging="10"/>
        <w:jc w:val="both"/>
        <w:rPr>
          <w:rFonts w:ascii="Verdana" w:hAnsi="Verdana"/>
          <w:color w:val="000000" w:themeColor="text1"/>
          <w:sz w:val="20"/>
          <w:szCs w:val="20"/>
        </w:rPr>
      </w:pPr>
      <w:r w:rsidRPr="00B616B0">
        <w:rPr>
          <w:rFonts w:ascii="Verdana" w:hAnsi="Verdana"/>
          <w:color w:val="000000" w:themeColor="text1"/>
          <w:sz w:val="20"/>
          <w:szCs w:val="20"/>
        </w:rPr>
        <w:t xml:space="preserve">La interpretación de la </w:t>
      </w:r>
      <w:proofErr w:type="gramStart"/>
      <w:r w:rsidRPr="00B616B0">
        <w:rPr>
          <w:rFonts w:ascii="Verdana" w:hAnsi="Verdana"/>
          <w:color w:val="000000" w:themeColor="text1"/>
          <w:sz w:val="20"/>
          <w:szCs w:val="20"/>
        </w:rPr>
        <w:t>entrada en vigencia</w:t>
      </w:r>
      <w:proofErr w:type="gramEnd"/>
      <w:r w:rsidRPr="00B616B0">
        <w:rPr>
          <w:rFonts w:ascii="Verdana" w:hAnsi="Verdana"/>
          <w:color w:val="000000" w:themeColor="text1"/>
          <w:sz w:val="20"/>
          <w:szCs w:val="20"/>
        </w:rPr>
        <w:t xml:space="preserve"> de las leyes corresponde al legislador.</w:t>
      </w:r>
      <w:r w:rsidR="00B616B0">
        <w:rPr>
          <w:rFonts w:ascii="Verdana" w:hAnsi="Verdana"/>
          <w:color w:val="000000" w:themeColor="text1"/>
          <w:sz w:val="20"/>
          <w:szCs w:val="20"/>
        </w:rPr>
        <w:t xml:space="preserve"> </w:t>
      </w:r>
      <w:proofErr w:type="gramStart"/>
      <w:r w:rsidRPr="00B616B0">
        <w:rPr>
          <w:rFonts w:ascii="Verdana" w:hAnsi="Verdana"/>
          <w:color w:val="000000" w:themeColor="text1"/>
          <w:sz w:val="20"/>
          <w:szCs w:val="20"/>
        </w:rPr>
        <w:t>Los</w:t>
      </w:r>
      <w:proofErr w:type="gramEnd"/>
      <w:r w:rsidRPr="00B616B0">
        <w:rPr>
          <w:rFonts w:ascii="Verdana" w:hAnsi="Verdana"/>
          <w:color w:val="000000" w:themeColor="text1"/>
          <w:sz w:val="20"/>
          <w:szCs w:val="20"/>
        </w:rPr>
        <w:t xml:space="preserve"> funcionarios públicos podrán realizar interpretación legal de la Ley en aplicación a casos concretos, sin que puedan generar interpretaciones de carácter general y abstracto. </w:t>
      </w:r>
    </w:p>
    <w:p w14:paraId="35273844" w14:textId="3D5F6D2A" w:rsidR="00E42825" w:rsidRPr="00B616B0" w:rsidRDefault="00E42825" w:rsidP="00B616B0">
      <w:pPr>
        <w:numPr>
          <w:ilvl w:val="0"/>
          <w:numId w:val="5"/>
        </w:numPr>
        <w:spacing w:after="253" w:line="229" w:lineRule="auto"/>
        <w:ind w:right="4" w:hanging="10"/>
        <w:jc w:val="both"/>
        <w:rPr>
          <w:rFonts w:ascii="Verdana" w:hAnsi="Verdana"/>
          <w:color w:val="000000" w:themeColor="text1"/>
          <w:sz w:val="20"/>
          <w:szCs w:val="20"/>
        </w:rPr>
      </w:pPr>
      <w:r w:rsidRPr="00B616B0">
        <w:rPr>
          <w:rFonts w:ascii="Verdana" w:hAnsi="Verdana"/>
          <w:color w:val="000000" w:themeColor="text1"/>
          <w:sz w:val="20"/>
          <w:szCs w:val="20"/>
        </w:rPr>
        <w:t>De acuerdo con el análisis realizado por esta Oficina, atendiendo los métodos de</w:t>
      </w:r>
      <w:r w:rsidR="00B616B0">
        <w:rPr>
          <w:rFonts w:ascii="Verdana" w:hAnsi="Verdana"/>
          <w:color w:val="000000" w:themeColor="text1"/>
          <w:sz w:val="20"/>
          <w:szCs w:val="20"/>
        </w:rPr>
        <w:t xml:space="preserve"> </w:t>
      </w:r>
      <w:r w:rsidRPr="00B616B0">
        <w:rPr>
          <w:rFonts w:ascii="Verdana" w:hAnsi="Verdana"/>
          <w:color w:val="000000" w:themeColor="text1"/>
          <w:sz w:val="20"/>
          <w:szCs w:val="20"/>
        </w:rPr>
        <w:t xml:space="preserve">interpretación jurídica, es dable concluir que el parágrafo 1 del </w:t>
      </w:r>
      <w:proofErr w:type="spellStart"/>
      <w:r w:rsidRPr="00B616B0">
        <w:rPr>
          <w:rFonts w:ascii="Verdana" w:hAnsi="Verdana"/>
          <w:color w:val="000000" w:themeColor="text1"/>
          <w:sz w:val="20"/>
          <w:szCs w:val="20"/>
        </w:rPr>
        <w:t>articulo</w:t>
      </w:r>
      <w:proofErr w:type="spellEnd"/>
      <w:r w:rsidRPr="00B616B0">
        <w:rPr>
          <w:rFonts w:ascii="Verdana" w:hAnsi="Verdana"/>
          <w:color w:val="000000" w:themeColor="text1"/>
          <w:sz w:val="20"/>
          <w:szCs w:val="20"/>
        </w:rPr>
        <w:t xml:space="preserve"> 5 de la Ley 2126, entraría a regir a los 18 meses contados a partir de la fecha señalada en el parágrafo 1 del artículo 203 de la Ley 2294 de 2023.</w:t>
      </w:r>
    </w:p>
    <w:p w14:paraId="3CA65162" w14:textId="77777777" w:rsidR="00E42825" w:rsidRPr="00B616B0"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 xml:space="preserve">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1º de la Ley 1755 de 2015. </w:t>
      </w:r>
    </w:p>
    <w:p w14:paraId="538CFDC8" w14:textId="77777777" w:rsidR="00E42825" w:rsidRDefault="00E42825" w:rsidP="00B616B0">
      <w:pPr>
        <w:ind w:left="-5" w:right="4"/>
        <w:jc w:val="both"/>
        <w:rPr>
          <w:rFonts w:ascii="Verdana" w:hAnsi="Verdana"/>
          <w:color w:val="000000" w:themeColor="text1"/>
          <w:sz w:val="20"/>
          <w:szCs w:val="20"/>
        </w:rPr>
      </w:pPr>
      <w:r w:rsidRPr="00B616B0">
        <w:rPr>
          <w:rFonts w:ascii="Verdana" w:hAnsi="Verdana"/>
          <w:color w:val="000000" w:themeColor="text1"/>
          <w:sz w:val="20"/>
          <w:szCs w:val="20"/>
        </w:rPr>
        <w:t>No obstante lo anterior, tiene carácter vinculante para las dependencias internas del Instituto, las autoridades administrativas que hacen parte del Sistema Nacional de Bienestar familiar</w:t>
      </w:r>
      <w:r w:rsidRPr="00B616B0">
        <w:rPr>
          <w:rFonts w:ascii="Verdana" w:hAnsi="Verdana"/>
          <w:color w:val="000000" w:themeColor="text1"/>
          <w:sz w:val="20"/>
          <w:szCs w:val="20"/>
          <w:vertAlign w:val="superscript"/>
        </w:rPr>
        <w:footnoteReference w:id="1"/>
      </w:r>
      <w:r w:rsidRPr="00B616B0">
        <w:rPr>
          <w:rFonts w:ascii="Verdana" w:hAnsi="Verdana"/>
          <w:color w:val="000000" w:themeColor="text1"/>
          <w:sz w:val="20"/>
          <w:szCs w:val="20"/>
        </w:rPr>
        <w:t xml:space="preserve">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14:paraId="343ECB0E" w14:textId="77777777" w:rsidR="00B616B0" w:rsidRDefault="00B616B0" w:rsidP="00B616B0">
      <w:pPr>
        <w:ind w:left="-5" w:right="4"/>
        <w:jc w:val="both"/>
        <w:rPr>
          <w:rFonts w:ascii="Verdana" w:hAnsi="Verdana"/>
          <w:color w:val="000000" w:themeColor="text1"/>
          <w:sz w:val="20"/>
          <w:szCs w:val="20"/>
        </w:rPr>
      </w:pPr>
    </w:p>
    <w:p w14:paraId="7AEAE2F8" w14:textId="4DDC2AFC" w:rsidR="00B616B0" w:rsidRDefault="00B616B0" w:rsidP="00B616B0">
      <w:pPr>
        <w:ind w:left="-5" w:right="4"/>
        <w:jc w:val="both"/>
        <w:rPr>
          <w:rFonts w:ascii="Verdana" w:hAnsi="Verdana"/>
          <w:color w:val="000000" w:themeColor="text1"/>
          <w:sz w:val="20"/>
          <w:szCs w:val="20"/>
        </w:rPr>
      </w:pPr>
      <w:r>
        <w:rPr>
          <w:rFonts w:ascii="Verdana" w:hAnsi="Verdana"/>
          <w:color w:val="000000" w:themeColor="text1"/>
          <w:sz w:val="20"/>
          <w:szCs w:val="20"/>
        </w:rPr>
        <w:t>Cordialmente,</w:t>
      </w:r>
    </w:p>
    <w:p w14:paraId="012D5BD7" w14:textId="77777777" w:rsidR="00B616B0" w:rsidRDefault="00B616B0" w:rsidP="00B616B0">
      <w:pPr>
        <w:ind w:left="-5" w:right="4"/>
        <w:jc w:val="center"/>
        <w:rPr>
          <w:rFonts w:ascii="Verdana" w:hAnsi="Verdana"/>
          <w:color w:val="000000" w:themeColor="text1"/>
          <w:sz w:val="20"/>
          <w:szCs w:val="20"/>
        </w:rPr>
      </w:pPr>
    </w:p>
    <w:p w14:paraId="74B74590" w14:textId="6409CE81" w:rsidR="00B616B0" w:rsidRPr="00B616B0" w:rsidRDefault="00B616B0" w:rsidP="00B616B0">
      <w:pPr>
        <w:ind w:left="-5" w:right="4"/>
        <w:jc w:val="center"/>
        <w:rPr>
          <w:rFonts w:ascii="Verdana" w:hAnsi="Verdana"/>
          <w:b/>
          <w:bCs/>
          <w:color w:val="000000" w:themeColor="text1"/>
          <w:sz w:val="20"/>
          <w:szCs w:val="20"/>
          <w:lang w:val="pt-PT"/>
        </w:rPr>
      </w:pPr>
      <w:r w:rsidRPr="00B616B0">
        <w:rPr>
          <w:rFonts w:ascii="Verdana" w:hAnsi="Verdana"/>
          <w:b/>
          <w:bCs/>
          <w:color w:val="000000" w:themeColor="text1"/>
          <w:sz w:val="20"/>
          <w:szCs w:val="20"/>
          <w:lang w:val="pt-PT"/>
        </w:rPr>
        <w:t>JAIME RICARDO SAAVEDRA PATARROYO</w:t>
      </w:r>
    </w:p>
    <w:p w14:paraId="67FC9184" w14:textId="3B1A88A0" w:rsidR="00391D14" w:rsidRPr="00B616B0" w:rsidRDefault="00B616B0" w:rsidP="00B616B0">
      <w:pPr>
        <w:ind w:left="-5" w:right="4"/>
        <w:jc w:val="center"/>
        <w:rPr>
          <w:rFonts w:ascii="Verdana" w:hAnsi="Verdana" w:cs="Helvetica"/>
          <w:color w:val="000000" w:themeColor="text1"/>
          <w:kern w:val="0"/>
          <w:sz w:val="20"/>
          <w:szCs w:val="20"/>
          <w:lang w:val="pt-PT"/>
        </w:rPr>
      </w:pPr>
      <w:r w:rsidRPr="00B616B0">
        <w:rPr>
          <w:rFonts w:ascii="Verdana" w:hAnsi="Verdana"/>
          <w:color w:val="000000" w:themeColor="text1"/>
          <w:sz w:val="20"/>
          <w:szCs w:val="20"/>
        </w:rPr>
        <w:t>Jefe Oficina Asesora J</w:t>
      </w:r>
      <w:r>
        <w:rPr>
          <w:rFonts w:ascii="Verdana" w:hAnsi="Verdana"/>
          <w:color w:val="000000" w:themeColor="text1"/>
          <w:sz w:val="20"/>
          <w:szCs w:val="20"/>
        </w:rPr>
        <w:t>urídica (E)</w:t>
      </w:r>
    </w:p>
    <w:sectPr w:rsidR="00391D14" w:rsidRPr="00B616B0" w:rsidSect="00630584">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F0DB" w14:textId="77777777" w:rsidR="00E2646F" w:rsidRDefault="00E2646F" w:rsidP="00E42825">
      <w:r>
        <w:separator/>
      </w:r>
    </w:p>
  </w:endnote>
  <w:endnote w:type="continuationSeparator" w:id="0">
    <w:p w14:paraId="7BA000CD" w14:textId="77777777" w:rsidR="00E2646F" w:rsidRDefault="00E2646F" w:rsidP="00E4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360D" w14:textId="77777777" w:rsidR="00E2646F" w:rsidRDefault="00E2646F" w:rsidP="00E42825">
      <w:r>
        <w:separator/>
      </w:r>
    </w:p>
  </w:footnote>
  <w:footnote w:type="continuationSeparator" w:id="0">
    <w:p w14:paraId="6AEE7C28" w14:textId="77777777" w:rsidR="00E2646F" w:rsidRDefault="00E2646F" w:rsidP="00E42825">
      <w:r>
        <w:continuationSeparator/>
      </w:r>
    </w:p>
  </w:footnote>
  <w:footnote w:id="1">
    <w:p w14:paraId="35C36A1D" w14:textId="77777777" w:rsidR="00E42825" w:rsidRDefault="00E42825" w:rsidP="00E42825">
      <w:pPr>
        <w:pStyle w:val="footnotedescription"/>
      </w:pPr>
      <w:r>
        <w:rPr>
          <w:rStyle w:val="footnotemark"/>
        </w:rPr>
        <w:footnoteRef/>
      </w:r>
      <w:r>
        <w:t xml:space="preserve"> Artículo 31 parágrafo 1 de la Ley 2126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27E"/>
    <w:multiLevelType w:val="hybridMultilevel"/>
    <w:tmpl w:val="D2909588"/>
    <w:lvl w:ilvl="0" w:tplc="188050AE">
      <w:start w:val="1"/>
      <w:numFmt w:val="lowerLetter"/>
      <w:lvlText w:val="%1."/>
      <w:lvlJc w:val="left"/>
      <w:pPr>
        <w:ind w:left="7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0941D00">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D22E400">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02609E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D8AA74A">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37EB700">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7263FB0">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13EDD8E">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22AC82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7D7FE3"/>
    <w:multiLevelType w:val="hybridMultilevel"/>
    <w:tmpl w:val="1DAE2648"/>
    <w:lvl w:ilvl="0" w:tplc="24B8E9F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9CEB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F613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D273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CB4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AD8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2654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989C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4298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E50AF3"/>
    <w:multiLevelType w:val="hybridMultilevel"/>
    <w:tmpl w:val="87C2B472"/>
    <w:lvl w:ilvl="0" w:tplc="E9BC75A6">
      <w:start w:val="1"/>
      <w:numFmt w:val="decimal"/>
      <w:lvlText w:val="%1."/>
      <w:lvlJc w:val="left"/>
      <w:pPr>
        <w:ind w:left="7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2165FF2">
      <w:start w:val="1"/>
      <w:numFmt w:val="lowerLetter"/>
      <w:lvlText w:val="%2"/>
      <w:lvlJc w:val="left"/>
      <w:pPr>
        <w:ind w:left="1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3D45856">
      <w:start w:val="1"/>
      <w:numFmt w:val="lowerRoman"/>
      <w:lvlText w:val="%3"/>
      <w:lvlJc w:val="left"/>
      <w:pPr>
        <w:ind w:left="2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ED20516">
      <w:start w:val="1"/>
      <w:numFmt w:val="decimal"/>
      <w:lvlText w:val="%4"/>
      <w:lvlJc w:val="left"/>
      <w:pPr>
        <w:ind w:left="3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70944E08">
      <w:start w:val="1"/>
      <w:numFmt w:val="lowerLetter"/>
      <w:lvlText w:val="%5"/>
      <w:lvlJc w:val="left"/>
      <w:pPr>
        <w:ind w:left="39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BE0D138">
      <w:start w:val="1"/>
      <w:numFmt w:val="lowerRoman"/>
      <w:lvlText w:val="%6"/>
      <w:lvlJc w:val="left"/>
      <w:pPr>
        <w:ind w:left="46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4E08116">
      <w:start w:val="1"/>
      <w:numFmt w:val="decimal"/>
      <w:lvlText w:val="%7"/>
      <w:lvlJc w:val="left"/>
      <w:pPr>
        <w:ind w:left="53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A8AEE18">
      <w:start w:val="1"/>
      <w:numFmt w:val="lowerLetter"/>
      <w:lvlText w:val="%8"/>
      <w:lvlJc w:val="left"/>
      <w:pPr>
        <w:ind w:left="61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0185478">
      <w:start w:val="1"/>
      <w:numFmt w:val="lowerRoman"/>
      <w:lvlText w:val="%9"/>
      <w:lvlJc w:val="left"/>
      <w:pPr>
        <w:ind w:left="68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601883"/>
    <w:multiLevelType w:val="hybridMultilevel"/>
    <w:tmpl w:val="2822F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41666F"/>
    <w:multiLevelType w:val="hybridMultilevel"/>
    <w:tmpl w:val="FA68120A"/>
    <w:lvl w:ilvl="0" w:tplc="75B41DE2">
      <w:start w:val="1"/>
      <w:numFmt w:val="decimal"/>
      <w:lvlText w:val="%1."/>
      <w:lvlJc w:val="left"/>
      <w:pPr>
        <w:ind w:left="106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81ABD08">
      <w:start w:val="1"/>
      <w:numFmt w:val="lowerLetter"/>
      <w:lvlText w:val="%2"/>
      <w:lvlJc w:val="left"/>
      <w:pPr>
        <w:ind w:left="117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0922BA8">
      <w:start w:val="1"/>
      <w:numFmt w:val="lowerRoman"/>
      <w:lvlText w:val="%3"/>
      <w:lvlJc w:val="left"/>
      <w:pPr>
        <w:ind w:left="189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1284F1A">
      <w:start w:val="1"/>
      <w:numFmt w:val="decimal"/>
      <w:lvlText w:val="%4"/>
      <w:lvlJc w:val="left"/>
      <w:pPr>
        <w:ind w:left="26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02A319C">
      <w:start w:val="1"/>
      <w:numFmt w:val="lowerLetter"/>
      <w:lvlText w:val="%5"/>
      <w:lvlJc w:val="left"/>
      <w:pPr>
        <w:ind w:left="33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57049F2">
      <w:start w:val="1"/>
      <w:numFmt w:val="lowerRoman"/>
      <w:lvlText w:val="%6"/>
      <w:lvlJc w:val="left"/>
      <w:pPr>
        <w:ind w:left="405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96A4CE8">
      <w:start w:val="1"/>
      <w:numFmt w:val="decimal"/>
      <w:lvlText w:val="%7"/>
      <w:lvlJc w:val="left"/>
      <w:pPr>
        <w:ind w:left="477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F7DAF8F6">
      <w:start w:val="1"/>
      <w:numFmt w:val="lowerLetter"/>
      <w:lvlText w:val="%8"/>
      <w:lvlJc w:val="left"/>
      <w:pPr>
        <w:ind w:left="549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C2E5924">
      <w:start w:val="1"/>
      <w:numFmt w:val="lowerRoman"/>
      <w:lvlText w:val="%9"/>
      <w:lvlJc w:val="left"/>
      <w:pPr>
        <w:ind w:left="62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16cid:durableId="460147263">
    <w:abstractNumId w:val="3"/>
  </w:num>
  <w:num w:numId="2" w16cid:durableId="2097482019">
    <w:abstractNumId w:val="0"/>
  </w:num>
  <w:num w:numId="3" w16cid:durableId="832335694">
    <w:abstractNumId w:val="4"/>
  </w:num>
  <w:num w:numId="4" w16cid:durableId="663974136">
    <w:abstractNumId w:val="2"/>
  </w:num>
  <w:num w:numId="5" w16cid:durableId="183606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84"/>
    <w:rsid w:val="00013179"/>
    <w:rsid w:val="00077E1C"/>
    <w:rsid w:val="001230D2"/>
    <w:rsid w:val="001C7FD6"/>
    <w:rsid w:val="002054EB"/>
    <w:rsid w:val="00391D14"/>
    <w:rsid w:val="004036EC"/>
    <w:rsid w:val="00455D92"/>
    <w:rsid w:val="00456DCA"/>
    <w:rsid w:val="0049727D"/>
    <w:rsid w:val="00516C46"/>
    <w:rsid w:val="00525BEB"/>
    <w:rsid w:val="00630584"/>
    <w:rsid w:val="0077374B"/>
    <w:rsid w:val="009D1CC3"/>
    <w:rsid w:val="00AF4D11"/>
    <w:rsid w:val="00B304AD"/>
    <w:rsid w:val="00B616B0"/>
    <w:rsid w:val="00C6146A"/>
    <w:rsid w:val="00E2646F"/>
    <w:rsid w:val="00E428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2960"/>
  <w15:chartTrackingRefBased/>
  <w15:docId w15:val="{45C68B8F-DF59-814F-8E28-C5DC5917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05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05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05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05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05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05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05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05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05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05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05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05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05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05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05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0584"/>
    <w:rPr>
      <w:rFonts w:eastAsiaTheme="majorEastAsia" w:cstheme="majorBidi"/>
      <w:color w:val="272727" w:themeColor="text1" w:themeTint="D8"/>
    </w:rPr>
  </w:style>
  <w:style w:type="paragraph" w:styleId="Ttulo">
    <w:name w:val="Title"/>
    <w:basedOn w:val="Normal"/>
    <w:next w:val="Normal"/>
    <w:link w:val="TtuloCar"/>
    <w:uiPriority w:val="10"/>
    <w:qFormat/>
    <w:rsid w:val="006305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05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058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05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58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30584"/>
    <w:rPr>
      <w:i/>
      <w:iCs/>
      <w:color w:val="404040" w:themeColor="text1" w:themeTint="BF"/>
    </w:rPr>
  </w:style>
  <w:style w:type="paragraph" w:styleId="Prrafodelista">
    <w:name w:val="List Paragraph"/>
    <w:basedOn w:val="Normal"/>
    <w:uiPriority w:val="34"/>
    <w:qFormat/>
    <w:rsid w:val="00630584"/>
    <w:pPr>
      <w:ind w:left="720"/>
      <w:contextualSpacing/>
    </w:pPr>
  </w:style>
  <w:style w:type="character" w:styleId="nfasisintenso">
    <w:name w:val="Intense Emphasis"/>
    <w:basedOn w:val="Fuentedeprrafopredeter"/>
    <w:uiPriority w:val="21"/>
    <w:qFormat/>
    <w:rsid w:val="00630584"/>
    <w:rPr>
      <w:i/>
      <w:iCs/>
      <w:color w:val="0F4761" w:themeColor="accent1" w:themeShade="BF"/>
    </w:rPr>
  </w:style>
  <w:style w:type="paragraph" w:styleId="Citadestacada">
    <w:name w:val="Intense Quote"/>
    <w:basedOn w:val="Normal"/>
    <w:next w:val="Normal"/>
    <w:link w:val="CitadestacadaCar"/>
    <w:uiPriority w:val="30"/>
    <w:qFormat/>
    <w:rsid w:val="0063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0584"/>
    <w:rPr>
      <w:i/>
      <w:iCs/>
      <w:color w:val="0F4761" w:themeColor="accent1" w:themeShade="BF"/>
    </w:rPr>
  </w:style>
  <w:style w:type="character" w:styleId="Referenciaintensa">
    <w:name w:val="Intense Reference"/>
    <w:basedOn w:val="Fuentedeprrafopredeter"/>
    <w:uiPriority w:val="32"/>
    <w:qFormat/>
    <w:rsid w:val="00630584"/>
    <w:rPr>
      <w:b/>
      <w:bCs/>
      <w:smallCaps/>
      <w:color w:val="0F4761" w:themeColor="accent1" w:themeShade="BF"/>
      <w:spacing w:val="5"/>
    </w:rPr>
  </w:style>
  <w:style w:type="paragraph" w:styleId="NormalWeb">
    <w:name w:val="Normal (Web)"/>
    <w:basedOn w:val="Normal"/>
    <w:uiPriority w:val="99"/>
    <w:semiHidden/>
    <w:unhideWhenUsed/>
    <w:rsid w:val="00630584"/>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footnotedescription">
    <w:name w:val="footnote description"/>
    <w:next w:val="Normal"/>
    <w:link w:val="footnotedescriptionChar"/>
    <w:hidden/>
    <w:rsid w:val="00E42825"/>
    <w:pPr>
      <w:spacing w:line="259" w:lineRule="auto"/>
    </w:pPr>
    <w:rPr>
      <w:rFonts w:ascii="Calibri" w:eastAsia="Calibri" w:hAnsi="Calibri" w:cs="Calibri"/>
      <w:color w:val="000000"/>
      <w:sz w:val="20"/>
      <w:lang w:eastAsia="es-CO"/>
    </w:rPr>
  </w:style>
  <w:style w:type="character" w:customStyle="1" w:styleId="footnotedescriptionChar">
    <w:name w:val="footnote description Char"/>
    <w:link w:val="footnotedescription"/>
    <w:rsid w:val="00E42825"/>
    <w:rPr>
      <w:rFonts w:ascii="Calibri" w:eastAsia="Calibri" w:hAnsi="Calibri" w:cs="Calibri"/>
      <w:color w:val="000000"/>
      <w:sz w:val="20"/>
      <w:lang w:eastAsia="es-CO"/>
    </w:rPr>
  </w:style>
  <w:style w:type="character" w:customStyle="1" w:styleId="footnotemark">
    <w:name w:val="footnote mark"/>
    <w:hidden/>
    <w:rsid w:val="00E42825"/>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043BE-16BF-4983-9D70-B48CE8DBEFCF}"/>
</file>

<file path=customXml/itemProps2.xml><?xml version="1.0" encoding="utf-8"?>
<ds:datastoreItem xmlns:ds="http://schemas.openxmlformats.org/officeDocument/2006/customXml" ds:itemID="{73D7B708-AE7D-490B-BBC8-7BCDA8AFC895}"/>
</file>

<file path=customXml/itemProps3.xml><?xml version="1.0" encoding="utf-8"?>
<ds:datastoreItem xmlns:ds="http://schemas.openxmlformats.org/officeDocument/2006/customXml" ds:itemID="{639E215F-CD7E-4213-9692-E1CCA8307787}"/>
</file>

<file path=docProps/app.xml><?xml version="1.0" encoding="utf-8"?>
<Properties xmlns="http://schemas.openxmlformats.org/officeDocument/2006/extended-properties" xmlns:vt="http://schemas.openxmlformats.org/officeDocument/2006/docPropsVTypes">
  <Template>Normal</Template>
  <TotalTime>43</TotalTime>
  <Pages>10</Pages>
  <Words>4215</Words>
  <Characters>23184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Santiago Cely Mendoza</dc:creator>
  <cp:keywords/>
  <dc:description/>
  <cp:lastModifiedBy>Daniel Eduardo Lozano Bocanegra</cp:lastModifiedBy>
  <cp:revision>5</cp:revision>
  <dcterms:created xsi:type="dcterms:W3CDTF">2026-04-13T15:00:00Z</dcterms:created>
  <dcterms:modified xsi:type="dcterms:W3CDTF">2026-04-13T15:58:00Z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