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96B3" w14:textId="282DB154" w:rsidR="003D125E" w:rsidRPr="003D125E" w:rsidRDefault="003D125E" w:rsidP="003D125E">
      <w:pPr>
        <w:jc w:val="both"/>
        <w:rPr>
          <w:rFonts w:ascii="Verdana" w:hAnsi="Verdana"/>
          <w:sz w:val="20"/>
          <w:szCs w:val="20"/>
        </w:rPr>
      </w:pPr>
      <w:r w:rsidRPr="003D125E">
        <w:rPr>
          <w:rFonts w:ascii="Verdana" w:hAnsi="Verdana"/>
          <w:sz w:val="20"/>
          <w:szCs w:val="20"/>
        </w:rPr>
        <w:t xml:space="preserve">Nota: Pérdida de fuerza ejecutoria, teniendo en cuenta que la función prevista en el numeral 3 del </w:t>
      </w:r>
      <w:proofErr w:type="gramStart"/>
      <w:r w:rsidRPr="003D125E">
        <w:rPr>
          <w:rFonts w:ascii="Verdana" w:hAnsi="Verdana"/>
          <w:sz w:val="20"/>
          <w:szCs w:val="20"/>
        </w:rPr>
        <w:t>artículo  2</w:t>
      </w:r>
      <w:proofErr w:type="gramEnd"/>
      <w:r w:rsidRPr="003D125E">
        <w:rPr>
          <w:rFonts w:ascii="Verdana" w:hAnsi="Verdana"/>
          <w:sz w:val="20"/>
          <w:szCs w:val="20"/>
        </w:rPr>
        <w:t xml:space="preserve"> de la Ley 1142 de 2007 fue declarada INEXEQUIBLE</w:t>
      </w:r>
    </w:p>
    <w:p w14:paraId="746529E1" w14:textId="09952463" w:rsidR="003D125E" w:rsidRPr="003D125E" w:rsidRDefault="003D125E" w:rsidP="003D125E">
      <w:pPr>
        <w:jc w:val="center"/>
        <w:rPr>
          <w:rFonts w:ascii="Verdana" w:hAnsi="Verdana"/>
          <w:b/>
          <w:bCs/>
          <w:sz w:val="22"/>
          <w:szCs w:val="22"/>
        </w:rPr>
      </w:pPr>
      <w:r w:rsidRPr="003D125E">
        <w:rPr>
          <w:rFonts w:ascii="Verdana" w:hAnsi="Verdana"/>
          <w:b/>
          <w:bCs/>
          <w:sz w:val="22"/>
          <w:szCs w:val="22"/>
        </w:rPr>
        <w:t>CIRCULAR 2 DE 2008</w:t>
      </w:r>
    </w:p>
    <w:p w14:paraId="763ECD88" w14:textId="7F64854B" w:rsidR="003D125E" w:rsidRPr="003D125E" w:rsidRDefault="003D125E" w:rsidP="003D125E">
      <w:pPr>
        <w:jc w:val="center"/>
        <w:rPr>
          <w:rFonts w:ascii="Verdana" w:hAnsi="Verdana"/>
          <w:b/>
          <w:bCs/>
          <w:sz w:val="22"/>
          <w:szCs w:val="22"/>
        </w:rPr>
      </w:pPr>
      <w:r w:rsidRPr="003D125E">
        <w:rPr>
          <w:rFonts w:ascii="Verdana" w:hAnsi="Verdana"/>
          <w:b/>
          <w:bCs/>
          <w:sz w:val="22"/>
          <w:szCs w:val="22"/>
        </w:rPr>
        <w:t>(7 de febrero)</w:t>
      </w:r>
    </w:p>
    <w:p w14:paraId="625FCE18" w14:textId="77777777" w:rsidR="003D125E" w:rsidRPr="003D125E" w:rsidRDefault="003D125E" w:rsidP="003D125E">
      <w:pPr>
        <w:jc w:val="center"/>
        <w:rPr>
          <w:rFonts w:ascii="Verdana" w:hAnsi="Verdana"/>
          <w:b/>
          <w:bCs/>
          <w:sz w:val="22"/>
          <w:szCs w:val="22"/>
        </w:rPr>
      </w:pPr>
      <w:r w:rsidRPr="003D125E">
        <w:rPr>
          <w:rFonts w:ascii="Verdana" w:hAnsi="Verdana"/>
          <w:b/>
          <w:bCs/>
          <w:sz w:val="22"/>
          <w:szCs w:val="22"/>
        </w:rPr>
        <w:t>INSTITUTO COLOMBIANO DE BIENESTAR FAMILIAR</w:t>
      </w:r>
    </w:p>
    <w:p w14:paraId="4BF6420D" w14:textId="77777777" w:rsidR="003D125E" w:rsidRPr="003D125E" w:rsidRDefault="003D125E" w:rsidP="003D125E">
      <w:pPr>
        <w:jc w:val="both"/>
        <w:rPr>
          <w:rFonts w:ascii="Verdana" w:hAnsi="Verdana"/>
          <w:sz w:val="22"/>
          <w:szCs w:val="22"/>
        </w:rPr>
      </w:pPr>
      <w:r w:rsidRPr="003D125E">
        <w:rPr>
          <w:rFonts w:ascii="Verdana" w:hAnsi="Verdana"/>
          <w:sz w:val="22"/>
          <w:szCs w:val="22"/>
        </w:rPr>
        <w:t>Para:</w:t>
      </w:r>
      <w:r w:rsidRPr="003D125E">
        <w:rPr>
          <w:rFonts w:ascii="Verdana" w:hAnsi="Verdana"/>
          <w:sz w:val="22"/>
          <w:szCs w:val="22"/>
        </w:rPr>
        <w:tab/>
      </w:r>
      <w:proofErr w:type="gramStart"/>
      <w:r w:rsidRPr="003D125E">
        <w:rPr>
          <w:rFonts w:ascii="Verdana" w:hAnsi="Verdana"/>
          <w:sz w:val="22"/>
          <w:szCs w:val="22"/>
        </w:rPr>
        <w:t>Directores Regionales</w:t>
      </w:r>
      <w:proofErr w:type="gramEnd"/>
      <w:r w:rsidRPr="003D125E">
        <w:rPr>
          <w:rFonts w:ascii="Verdana" w:hAnsi="Verdana"/>
          <w:sz w:val="22"/>
          <w:szCs w:val="22"/>
        </w:rPr>
        <w:t xml:space="preserve"> y Seccionales, Centros Zonales y Defensores de Familia</w:t>
      </w:r>
    </w:p>
    <w:p w14:paraId="4150C7C3" w14:textId="77777777" w:rsidR="003D125E" w:rsidRPr="003D125E" w:rsidRDefault="003D125E" w:rsidP="003D125E">
      <w:pPr>
        <w:jc w:val="both"/>
        <w:rPr>
          <w:rFonts w:ascii="Verdana" w:hAnsi="Verdana"/>
          <w:sz w:val="22"/>
          <w:szCs w:val="22"/>
        </w:rPr>
      </w:pPr>
      <w:r w:rsidRPr="003D125E">
        <w:rPr>
          <w:rFonts w:ascii="Verdana" w:hAnsi="Verdana"/>
          <w:sz w:val="22"/>
          <w:szCs w:val="22"/>
        </w:rPr>
        <w:t>Asunto:</w:t>
      </w:r>
      <w:r w:rsidRPr="003D125E">
        <w:rPr>
          <w:rFonts w:ascii="Verdana" w:hAnsi="Verdana"/>
          <w:sz w:val="22"/>
          <w:szCs w:val="22"/>
        </w:rPr>
        <w:tab/>
        <w:t>Valoración Positiva para la aplicación de los beneficios de la querella en el Delito de Violencia Intrafamiliar.</w:t>
      </w:r>
    </w:p>
    <w:p w14:paraId="1AAF6231" w14:textId="2DCE049C" w:rsidR="003D125E" w:rsidRPr="003D125E" w:rsidRDefault="003D125E" w:rsidP="003D125E">
      <w:pPr>
        <w:jc w:val="both"/>
        <w:rPr>
          <w:rFonts w:ascii="Verdana" w:hAnsi="Verdana"/>
          <w:sz w:val="22"/>
          <w:szCs w:val="22"/>
        </w:rPr>
      </w:pPr>
      <w:r w:rsidRPr="003D125E">
        <w:rPr>
          <w:rFonts w:ascii="Verdana" w:hAnsi="Verdana"/>
          <w:sz w:val="22"/>
          <w:szCs w:val="22"/>
        </w:rPr>
        <w:t>En ejercicio de las facultades consagradas en el parágrafo del artículo 11 y el artículo 205 de la Ley 1098 de 2006, y con el propósito de contribuir a su adecuada aplicación y cumplimiento, por la presente Circular se imparten directrices en relación con la función prevista en el numeral 3 del artículo 2 de la Ley 1142 de 2007</w:t>
      </w:r>
      <w:r w:rsidR="00F32324">
        <w:rPr>
          <w:rStyle w:val="Refdenotaalfinal"/>
          <w:rFonts w:ascii="Verdana" w:hAnsi="Verdana"/>
          <w:sz w:val="22"/>
          <w:szCs w:val="22"/>
        </w:rPr>
        <w:endnoteReference w:id="1"/>
      </w:r>
      <w:r w:rsidRPr="003D125E">
        <w:rPr>
          <w:rFonts w:ascii="Verdana" w:hAnsi="Verdana"/>
          <w:sz w:val="22"/>
          <w:szCs w:val="22"/>
        </w:rPr>
        <w:t>, que es de carácter obligatorio y se ejecutará por el Instituto Colombiano de Bienestar familiar a través de las Defensorías de Familia y con el apoyo de los equipos interdisciplinarios, de conformidad con el artículo 79 y el numeral 3 del artículo 82 del Código de la Infancia y la Adolescencia. Para tal efecto se observará lo siguiente:</w:t>
      </w:r>
    </w:p>
    <w:p w14:paraId="7737D029" w14:textId="521DE156"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Concepto:</w:t>
      </w:r>
    </w:p>
    <w:p w14:paraId="3339B6D2" w14:textId="77777777" w:rsidR="003D125E" w:rsidRPr="003D125E" w:rsidRDefault="003D125E" w:rsidP="003D125E">
      <w:pPr>
        <w:jc w:val="both"/>
        <w:rPr>
          <w:rFonts w:ascii="Verdana" w:hAnsi="Verdana"/>
          <w:sz w:val="22"/>
          <w:szCs w:val="22"/>
        </w:rPr>
      </w:pPr>
      <w:r w:rsidRPr="003D125E">
        <w:rPr>
          <w:rFonts w:ascii="Verdana" w:hAnsi="Verdana"/>
          <w:sz w:val="22"/>
          <w:szCs w:val="22"/>
        </w:rPr>
        <w:t>Se entiende por valoración el acto por medio del cual el ICBF-Defensor de Familia- manifiesta a la autoridad competente su apreciación fundamentada y razonada sobre las condiciones personales del agresor, las de su núcleo familiar básico, las circunstancias sociales de ambos y aquellas en que se produjo el hecho punible, con el objeto de determinar la conveniencia o inconveniencia de conceder los beneficios de la querella. La valoración corresponde exclusivamente al Defensor de Familia, quien para el efecto contará con el respectivo equipo interdisciplinario. Su sentido puede ser positivo o negativo.</w:t>
      </w:r>
    </w:p>
    <w:p w14:paraId="03CC558A" w14:textId="775820EB"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Presupuestos</w:t>
      </w:r>
    </w:p>
    <w:p w14:paraId="50FA3100" w14:textId="77777777" w:rsidR="003D125E" w:rsidRPr="003D125E" w:rsidRDefault="003D125E" w:rsidP="003D125E">
      <w:pPr>
        <w:pStyle w:val="Prrafodelista"/>
        <w:numPr>
          <w:ilvl w:val="0"/>
          <w:numId w:val="3"/>
        </w:numPr>
        <w:jc w:val="both"/>
        <w:rPr>
          <w:rFonts w:ascii="Verdana" w:hAnsi="Verdana"/>
          <w:sz w:val="22"/>
          <w:szCs w:val="22"/>
        </w:rPr>
      </w:pPr>
      <w:r w:rsidRPr="003D125E">
        <w:rPr>
          <w:rFonts w:ascii="Verdana" w:hAnsi="Verdana"/>
          <w:sz w:val="22"/>
          <w:szCs w:val="22"/>
        </w:rPr>
        <w:t>Para efectos de emitir la valoración, se tendrán en cuenta los lineamientos técnicos impartidos por el Instituto Colombiano de Bienestar Familiar de conformidad con la Ley 1098 de 2006.</w:t>
      </w:r>
    </w:p>
    <w:p w14:paraId="2936AABD" w14:textId="77777777" w:rsidR="003D125E" w:rsidRPr="003D125E" w:rsidRDefault="003D125E" w:rsidP="003D125E">
      <w:pPr>
        <w:pStyle w:val="Prrafodelista"/>
        <w:numPr>
          <w:ilvl w:val="0"/>
          <w:numId w:val="3"/>
        </w:numPr>
        <w:jc w:val="both"/>
        <w:rPr>
          <w:rFonts w:ascii="Verdana" w:hAnsi="Verdana"/>
          <w:sz w:val="22"/>
          <w:szCs w:val="22"/>
        </w:rPr>
      </w:pPr>
      <w:r w:rsidRPr="003D125E">
        <w:rPr>
          <w:rFonts w:ascii="Verdana" w:hAnsi="Verdana"/>
          <w:sz w:val="22"/>
          <w:szCs w:val="22"/>
        </w:rPr>
        <w:t xml:space="preserve">La valoración, cualquiera que sea su sentido (esto es, favorable o desfavorable), deberá estar soportada en los resultados de la investigación sociofamiliar, estudios de antecedentes y valoraciones psicológicas que se practiquen o hayan sido practicados tanto a los miembros del grupo familiar como al agresor, y en todas aquellas </w:t>
      </w:r>
      <w:r w:rsidRPr="003D125E">
        <w:rPr>
          <w:rFonts w:ascii="Verdana" w:hAnsi="Verdana"/>
          <w:sz w:val="22"/>
          <w:szCs w:val="22"/>
        </w:rPr>
        <w:lastRenderedPageBreak/>
        <w:t>circunstancias que rodeen el entorno social y familiar de los mismos, así como la naturaleza y características del delito.</w:t>
      </w:r>
    </w:p>
    <w:p w14:paraId="3140D10E" w14:textId="77777777" w:rsidR="003D125E" w:rsidRPr="003D125E" w:rsidRDefault="003D125E" w:rsidP="003D125E">
      <w:pPr>
        <w:pStyle w:val="Prrafodelista"/>
        <w:numPr>
          <w:ilvl w:val="0"/>
          <w:numId w:val="3"/>
        </w:numPr>
        <w:jc w:val="both"/>
        <w:rPr>
          <w:rFonts w:ascii="Verdana" w:hAnsi="Verdana"/>
          <w:sz w:val="22"/>
          <w:szCs w:val="22"/>
        </w:rPr>
      </w:pPr>
      <w:r w:rsidRPr="003D125E">
        <w:rPr>
          <w:rFonts w:ascii="Verdana" w:hAnsi="Verdana"/>
          <w:sz w:val="22"/>
          <w:szCs w:val="22"/>
        </w:rPr>
        <w:t>Los beneficios no pueden ser otorgados con desconocimiento de la protección integral, el interés superior y la prevalencia de los derechos de los niños, niñas y adolescentes ni de la protección debida contra actos que puedan afectar su integridad personal o ser constitutivos de tortura, tratos crueles, inhumanos o degradantes, y debe quedar garantizada la reparación o la indemnización económica de la víctima del injusto, tal como lo prevé el artículo 71 de la Ley.906 de 2004 y la Ley 1142 de 2007, en aplicación del principio de oportunidad y en aras de garantizar el derecho constitucional a la intimidad familiar previsto en los artículos 15 y 42 de la Constitución Política.</w:t>
      </w:r>
    </w:p>
    <w:p w14:paraId="1EA0C900" w14:textId="2879DD80"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Criterios:</w:t>
      </w:r>
    </w:p>
    <w:p w14:paraId="5961E52E" w14:textId="6B6B2855" w:rsidR="003D125E" w:rsidRPr="003D125E" w:rsidRDefault="003D125E" w:rsidP="003D125E">
      <w:pPr>
        <w:jc w:val="both"/>
        <w:rPr>
          <w:rFonts w:ascii="Verdana" w:hAnsi="Verdana"/>
          <w:sz w:val="22"/>
          <w:szCs w:val="22"/>
        </w:rPr>
      </w:pPr>
      <w:r w:rsidRPr="003D125E">
        <w:rPr>
          <w:rFonts w:ascii="Verdana" w:hAnsi="Verdana"/>
          <w:sz w:val="22"/>
          <w:szCs w:val="22"/>
        </w:rPr>
        <w:t>Para la valoración, las Defensorías de Familia deberán tener en cuenta como mínimo lo siguiente:</w:t>
      </w:r>
    </w:p>
    <w:p w14:paraId="1BA20B47"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Que la valoración positiva no afecte la protección integral, el interés superior y la prevalencia de los derechos de los niños, niñas o adolescentes, sean o no las víctimas del hecho punible.</w:t>
      </w:r>
    </w:p>
    <w:p w14:paraId="3297560C"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La evaluación de los factores de riesgo y protectores de la salud física y síquica de las víctimas.</w:t>
      </w:r>
    </w:p>
    <w:p w14:paraId="72CCC720"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La incapacidad o secuelas generadas por la agresión al(los) integrante(s) del grupo familiar.</w:t>
      </w:r>
    </w:p>
    <w:p w14:paraId="34FFFC61"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La voluntad de las víctimas y que la misma sea libre e informada.</w:t>
      </w:r>
    </w:p>
    <w:p w14:paraId="5B81E27D"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El compromiso del agresor de no incurrir en actos futuros constitutivos de violencia intrafamiliar.</w:t>
      </w:r>
    </w:p>
    <w:p w14:paraId="20DAB9AB"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Si el agresor es reincidente en las conductas investigadas.</w:t>
      </w:r>
    </w:p>
    <w:p w14:paraId="021189F3"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Los antecedentes penales.</w:t>
      </w:r>
    </w:p>
    <w:p w14:paraId="75E5E4EC" w14:textId="77777777" w:rsidR="003D125E" w:rsidRPr="003D125E" w:rsidRDefault="003D125E" w:rsidP="003D125E">
      <w:pPr>
        <w:pStyle w:val="Prrafodelista"/>
        <w:numPr>
          <w:ilvl w:val="0"/>
          <w:numId w:val="4"/>
        </w:numPr>
        <w:jc w:val="both"/>
        <w:rPr>
          <w:rFonts w:ascii="Verdana" w:hAnsi="Verdana"/>
          <w:sz w:val="22"/>
          <w:szCs w:val="22"/>
        </w:rPr>
      </w:pPr>
      <w:r w:rsidRPr="003D125E">
        <w:rPr>
          <w:rFonts w:ascii="Verdana" w:hAnsi="Verdana"/>
          <w:sz w:val="22"/>
          <w:szCs w:val="22"/>
        </w:rPr>
        <w:t>Los demás aspectos que contribuyan a la convivencia y desarrollo armónico de la familia.</w:t>
      </w:r>
    </w:p>
    <w:p w14:paraId="10B5293F" w14:textId="112F9E47"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Competencia:</w:t>
      </w:r>
    </w:p>
    <w:p w14:paraId="10FBFF8D" w14:textId="77777777" w:rsidR="003D125E" w:rsidRPr="003D125E" w:rsidRDefault="003D125E" w:rsidP="003D125E">
      <w:pPr>
        <w:jc w:val="both"/>
        <w:rPr>
          <w:rFonts w:ascii="Verdana" w:hAnsi="Verdana"/>
          <w:sz w:val="22"/>
          <w:szCs w:val="22"/>
        </w:rPr>
      </w:pPr>
      <w:r w:rsidRPr="003D125E">
        <w:rPr>
          <w:rFonts w:ascii="Verdana" w:hAnsi="Verdana"/>
          <w:sz w:val="22"/>
          <w:szCs w:val="22"/>
        </w:rPr>
        <w:t xml:space="preserve">En los municipios en donde haya un único Defensor de Familia éste será el competente para proferir la valoración de que trata la Ley 1142 de 2007, según las áreas de influencia determinadas por el ICBF. En los distritos o municipios donde exista más de un Defensor de Familia y un solo Centro Zonal, el reparto lo hará el Coordinador del Centro Zonal. En los lugares donde funcione más de un Centro Zonal, el reparto corresponderá al </w:t>
      </w:r>
      <w:proofErr w:type="gramStart"/>
      <w:r w:rsidRPr="003D125E">
        <w:rPr>
          <w:rFonts w:ascii="Verdana" w:hAnsi="Verdana"/>
          <w:sz w:val="22"/>
          <w:szCs w:val="22"/>
        </w:rPr>
        <w:t>Director Regional</w:t>
      </w:r>
      <w:proofErr w:type="gramEnd"/>
      <w:r w:rsidRPr="003D125E">
        <w:rPr>
          <w:rFonts w:ascii="Verdana" w:hAnsi="Verdana"/>
          <w:sz w:val="22"/>
          <w:szCs w:val="22"/>
        </w:rPr>
        <w:t xml:space="preserve"> o Seccional, según listado de Defensorías de Familia y Centros Zonales que se adjunta a la presente circular.</w:t>
      </w:r>
    </w:p>
    <w:p w14:paraId="760407DA" w14:textId="21EF111B" w:rsidR="003D125E" w:rsidRPr="003D125E" w:rsidRDefault="003D125E" w:rsidP="003D125E">
      <w:pPr>
        <w:jc w:val="both"/>
        <w:rPr>
          <w:rFonts w:ascii="Verdana" w:hAnsi="Verdana"/>
          <w:sz w:val="22"/>
          <w:szCs w:val="22"/>
        </w:rPr>
      </w:pPr>
      <w:r w:rsidRPr="003D125E">
        <w:rPr>
          <w:rFonts w:ascii="Verdana" w:hAnsi="Verdana"/>
          <w:sz w:val="22"/>
          <w:szCs w:val="22"/>
        </w:rPr>
        <w:lastRenderedPageBreak/>
        <w:t>Para el ejercicio de la función asignada en la Ley 1142 de 2007 al ICBF, no se aplica la competencia subsidiaria establecida en el artículo 98 del Código de Infancia y Adolescencia.</w:t>
      </w:r>
    </w:p>
    <w:p w14:paraId="1B72AF5C" w14:textId="6F762582"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Término para emitir la valoración:</w:t>
      </w:r>
    </w:p>
    <w:p w14:paraId="2FFB281C" w14:textId="6A0B2646" w:rsidR="003D125E" w:rsidRPr="003D125E" w:rsidRDefault="003D125E" w:rsidP="003D125E">
      <w:pPr>
        <w:jc w:val="both"/>
        <w:rPr>
          <w:rFonts w:ascii="Verdana" w:hAnsi="Verdana"/>
          <w:sz w:val="22"/>
          <w:szCs w:val="22"/>
        </w:rPr>
      </w:pPr>
      <w:r w:rsidRPr="003D125E">
        <w:rPr>
          <w:rFonts w:ascii="Verdana" w:hAnsi="Verdana"/>
          <w:sz w:val="22"/>
          <w:szCs w:val="22"/>
        </w:rPr>
        <w:t>El término para emitir la valoración será el que fije la autoridad competente. Si ésta no lo fija, deberá realizarse dentro de los diez (10) días hábiles siguientes al recibo de la correspondiente solicitud, salvo que se requiera practicar diligencias en lugar diferente de donde funciona la Defensoría de Familia, caso en el cual se ampliará hasta por cinco (5) días hábiles más.</w:t>
      </w:r>
    </w:p>
    <w:p w14:paraId="67037CCE" w14:textId="1549CF18"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Procedimiento</w:t>
      </w:r>
    </w:p>
    <w:p w14:paraId="0BD7DD2E"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La solicitud de valoración la dirigirá la autoridad competente al Defensor de Familia encargado de practicarla o al funcionario a quien corresponda efectuar el reparto, según lo indicado en el numeral 4 de la presente circular.</w:t>
      </w:r>
    </w:p>
    <w:p w14:paraId="734CE83A"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Cuando haya lugar a reparto, se designará la Defensoría de Familia y el equipo técnico interdisciplinario a más tardar dentro del día hábil siguiente. En el evento en que el Defensor de Familia no cuente con el equipo técnico interdisciplinario, éste obtendrá el apoyo del equipo técnico interdisciplinario de la Comisaría de Familia del mismo lugar, y en su ausencia se debe acudir al apoyo de los profesionales que trabajen directa o indirectamente con la infancia y la familia en la localidad, según lo establecido en el inciso tercero del artículo 84 de la Ley 1098 de 2006.</w:t>
      </w:r>
    </w:p>
    <w:p w14:paraId="6875F3F3"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Para efectos de emitir la valoración, el Defensor de Familia deberá apoyarse en los documentos que obran en los expedientes administrativo y judicial. En caso de requerir elementos de juicio adicionales para el efecto, adelantará las gestiones que sean necesarias.</w:t>
      </w:r>
    </w:p>
    <w:p w14:paraId="101CAD49"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Con los informes y/o valoraciones de los integrantes del equipo técnico interdisciplinario, se procederá a elaborar el documento contentivo de la</w:t>
      </w:r>
    </w:p>
    <w:p w14:paraId="37309499"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valoración, en donde se consignará el resumen de las actuaciones realizadas por el equipo, los documentos tenidos en cuenta, los conceptos de cada área y en forma clara y expresa el sentido de la valoración, esto es, si es positiva o</w:t>
      </w:r>
    </w:p>
    <w:p w14:paraId="5DC18B92"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negativa.</w:t>
      </w:r>
    </w:p>
    <w:p w14:paraId="65143FA5" w14:textId="77777777" w:rsidR="003D125E" w:rsidRPr="003D125E" w:rsidRDefault="003D125E" w:rsidP="003D125E">
      <w:pPr>
        <w:pStyle w:val="Prrafodelista"/>
        <w:numPr>
          <w:ilvl w:val="0"/>
          <w:numId w:val="5"/>
        </w:numPr>
        <w:jc w:val="both"/>
        <w:rPr>
          <w:rFonts w:ascii="Verdana" w:hAnsi="Verdana"/>
          <w:sz w:val="22"/>
          <w:szCs w:val="22"/>
        </w:rPr>
      </w:pPr>
      <w:r w:rsidRPr="003D125E">
        <w:rPr>
          <w:rFonts w:ascii="Verdana" w:hAnsi="Verdana"/>
          <w:sz w:val="22"/>
          <w:szCs w:val="22"/>
        </w:rPr>
        <w:t>El documento contentivo de la valoración deberá estar autorizado con las firmas del Defensor de Familia y quienes hayan intervenido en ella.</w:t>
      </w:r>
    </w:p>
    <w:p w14:paraId="607DF51D" w14:textId="5127A39E" w:rsidR="003D125E" w:rsidRPr="003D125E" w:rsidRDefault="003D125E" w:rsidP="003D125E">
      <w:pPr>
        <w:pStyle w:val="Prrafodelista"/>
        <w:numPr>
          <w:ilvl w:val="0"/>
          <w:numId w:val="2"/>
        </w:numPr>
        <w:jc w:val="both"/>
        <w:rPr>
          <w:rFonts w:ascii="Verdana" w:hAnsi="Verdana"/>
          <w:sz w:val="22"/>
          <w:szCs w:val="22"/>
        </w:rPr>
      </w:pPr>
      <w:r w:rsidRPr="003D125E">
        <w:rPr>
          <w:rFonts w:ascii="Verdana" w:hAnsi="Verdana"/>
          <w:sz w:val="22"/>
          <w:szCs w:val="22"/>
        </w:rPr>
        <w:t>Remisión al Juez o Fiscal:</w:t>
      </w:r>
    </w:p>
    <w:p w14:paraId="0C21DDCE" w14:textId="4E3DF1FD" w:rsidR="003D125E" w:rsidRPr="003D125E" w:rsidRDefault="003D125E" w:rsidP="003D125E">
      <w:pPr>
        <w:jc w:val="both"/>
        <w:rPr>
          <w:rFonts w:ascii="Verdana" w:hAnsi="Verdana"/>
          <w:sz w:val="22"/>
          <w:szCs w:val="22"/>
        </w:rPr>
      </w:pPr>
      <w:r w:rsidRPr="003D125E">
        <w:rPr>
          <w:rFonts w:ascii="Verdana" w:hAnsi="Verdana"/>
          <w:sz w:val="22"/>
          <w:szCs w:val="22"/>
        </w:rPr>
        <w:t>La valoración deberá ser remitida por el Defensor de Familia a la autoridad que la solicitó, a más tardar dentro del día hábil siguiente a su formalización.</w:t>
      </w:r>
    </w:p>
    <w:p w14:paraId="5CF64B1C" w14:textId="45C56792" w:rsidR="003D125E" w:rsidRPr="003D125E" w:rsidRDefault="003D125E" w:rsidP="003D125E">
      <w:pPr>
        <w:jc w:val="both"/>
        <w:rPr>
          <w:rFonts w:ascii="Verdana" w:hAnsi="Verdana"/>
          <w:sz w:val="22"/>
          <w:szCs w:val="22"/>
        </w:rPr>
      </w:pPr>
      <w:r w:rsidRPr="003D125E">
        <w:rPr>
          <w:rFonts w:ascii="Verdana" w:hAnsi="Verdana"/>
          <w:sz w:val="22"/>
          <w:szCs w:val="22"/>
        </w:rPr>
        <w:lastRenderedPageBreak/>
        <w:t>Copia de la valoración deberá ser enviada al Comisario de Familia para que asuma lo de su competencia acorde con lo dispuesto en el artículo 7 del Decreto 4840 de 2007.</w:t>
      </w:r>
    </w:p>
    <w:p w14:paraId="42C3215C" w14:textId="148C18E1" w:rsidR="003D125E" w:rsidRPr="003D125E" w:rsidRDefault="003D125E" w:rsidP="003D125E">
      <w:pPr>
        <w:jc w:val="both"/>
        <w:rPr>
          <w:rFonts w:ascii="Verdana" w:hAnsi="Verdana"/>
          <w:sz w:val="22"/>
          <w:szCs w:val="22"/>
        </w:rPr>
      </w:pPr>
      <w:r w:rsidRPr="003D125E">
        <w:rPr>
          <w:rFonts w:ascii="Verdana" w:hAnsi="Verdana"/>
          <w:sz w:val="22"/>
          <w:szCs w:val="22"/>
        </w:rPr>
        <w:t>El cumplimiento de la presente circular es responsabilidad de sus destinatarios.</w:t>
      </w:r>
    </w:p>
    <w:p w14:paraId="03E96099" w14:textId="0C74269F" w:rsidR="003D125E" w:rsidRPr="003D125E" w:rsidRDefault="003D125E" w:rsidP="003D125E">
      <w:pPr>
        <w:jc w:val="both"/>
        <w:rPr>
          <w:rFonts w:ascii="Verdana" w:hAnsi="Verdana"/>
          <w:sz w:val="22"/>
          <w:szCs w:val="22"/>
        </w:rPr>
      </w:pPr>
      <w:r w:rsidRPr="003D125E">
        <w:rPr>
          <w:rFonts w:ascii="Verdana" w:hAnsi="Verdana"/>
          <w:sz w:val="22"/>
          <w:szCs w:val="22"/>
        </w:rPr>
        <w:t>Cordialmente,</w:t>
      </w:r>
    </w:p>
    <w:p w14:paraId="403F1FE5" w14:textId="5BAF4794" w:rsidR="003D125E" w:rsidRPr="003D125E" w:rsidRDefault="003D125E" w:rsidP="003D125E">
      <w:pPr>
        <w:jc w:val="center"/>
        <w:rPr>
          <w:rFonts w:ascii="Verdana" w:hAnsi="Verdana"/>
          <w:b/>
          <w:bCs/>
          <w:sz w:val="22"/>
          <w:szCs w:val="22"/>
        </w:rPr>
      </w:pPr>
      <w:r w:rsidRPr="003D125E">
        <w:rPr>
          <w:rFonts w:ascii="Verdana" w:hAnsi="Verdana"/>
          <w:b/>
          <w:bCs/>
          <w:sz w:val="22"/>
          <w:szCs w:val="22"/>
        </w:rPr>
        <w:t>ELVIRA FORERO HERNANDEZ</w:t>
      </w:r>
    </w:p>
    <w:p w14:paraId="7632392F" w14:textId="68967C22" w:rsidR="00A724C4" w:rsidRPr="003D125E" w:rsidRDefault="003D125E" w:rsidP="003D125E">
      <w:pPr>
        <w:jc w:val="center"/>
        <w:rPr>
          <w:rFonts w:ascii="Verdana" w:hAnsi="Verdana"/>
          <w:sz w:val="22"/>
          <w:szCs w:val="22"/>
        </w:rPr>
      </w:pPr>
      <w:r w:rsidRPr="003D125E">
        <w:rPr>
          <w:rFonts w:ascii="Verdana" w:hAnsi="Verdana"/>
          <w:sz w:val="22"/>
          <w:szCs w:val="22"/>
        </w:rPr>
        <w:t>DIRECTORA GENERAL</w:t>
      </w:r>
    </w:p>
    <w:sectPr w:rsidR="00A724C4" w:rsidRPr="003D12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CBB6" w14:textId="77777777" w:rsidR="00F32324" w:rsidRDefault="00F32324" w:rsidP="00F32324">
      <w:pPr>
        <w:spacing w:after="0" w:line="240" w:lineRule="auto"/>
      </w:pPr>
      <w:r>
        <w:separator/>
      </w:r>
    </w:p>
  </w:endnote>
  <w:endnote w:type="continuationSeparator" w:id="0">
    <w:p w14:paraId="75C755D4" w14:textId="77777777" w:rsidR="00F32324" w:rsidRDefault="00F32324" w:rsidP="00F32324">
      <w:pPr>
        <w:spacing w:after="0" w:line="240" w:lineRule="auto"/>
      </w:pPr>
      <w:r>
        <w:continuationSeparator/>
      </w:r>
    </w:p>
  </w:endnote>
  <w:endnote w:id="1">
    <w:p w14:paraId="53939F3A" w14:textId="548ECE48" w:rsidR="00F32324" w:rsidRPr="00F32324" w:rsidRDefault="00F32324" w:rsidP="00F32324">
      <w:pPr>
        <w:pStyle w:val="Textonotaalfinal"/>
        <w:jc w:val="both"/>
        <w:rPr>
          <w:rFonts w:ascii="Verdana" w:hAnsi="Verdana"/>
          <w:lang w:val="es-MX"/>
        </w:rPr>
      </w:pPr>
      <w:r w:rsidRPr="00F32324">
        <w:rPr>
          <w:rStyle w:val="Refdenotaalfinal"/>
          <w:rFonts w:ascii="Verdana" w:hAnsi="Verdana"/>
          <w:sz w:val="18"/>
          <w:szCs w:val="18"/>
        </w:rPr>
        <w:endnoteRef/>
      </w:r>
      <w:r w:rsidRPr="00F32324">
        <w:rPr>
          <w:rFonts w:ascii="Verdana" w:hAnsi="Verdana"/>
          <w:sz w:val="18"/>
          <w:szCs w:val="18"/>
        </w:rPr>
        <w:t xml:space="preserve"> </w:t>
      </w:r>
      <w:r w:rsidRPr="00F32324">
        <w:rPr>
          <w:rFonts w:ascii="Verdana" w:hAnsi="Verdana"/>
          <w:sz w:val="18"/>
          <w:szCs w:val="18"/>
        </w:rPr>
        <w:t xml:space="preserve">“…3. De los procesos por delitos que requieren </w:t>
      </w:r>
      <w:proofErr w:type="gramStart"/>
      <w:r w:rsidRPr="00F32324">
        <w:rPr>
          <w:rFonts w:ascii="Verdana" w:hAnsi="Verdana"/>
          <w:sz w:val="18"/>
          <w:szCs w:val="18"/>
        </w:rPr>
        <w:t>querella</w:t>
      </w:r>
      <w:proofErr w:type="gramEnd"/>
      <w:r w:rsidRPr="00F32324">
        <w:rPr>
          <w:rFonts w:ascii="Verdana" w:hAnsi="Verdana"/>
          <w:sz w:val="18"/>
          <w:szCs w:val="18"/>
        </w:rPr>
        <w:t xml:space="preserve"> aunque el sujeto pasivo sea un menor de edad, un inimputable, o la persona haya sido sorprendida en flagrancia e implique investigación oficiosa. La investigación de oficio no impide aplicar cuando la decisión se considere necesaria, los efectos propios de la querella para beneficio y reparación integral de la víctima del injusto. En los delitos de violencia intrafamiliar, los beneficios quedarán supeditados a la valoración positiva del Instituto Colombiano de Bienestar Familiar”.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58B4" w14:textId="77777777" w:rsidR="00F32324" w:rsidRDefault="00F32324" w:rsidP="00F32324">
      <w:pPr>
        <w:spacing w:after="0" w:line="240" w:lineRule="auto"/>
      </w:pPr>
      <w:r>
        <w:separator/>
      </w:r>
    </w:p>
  </w:footnote>
  <w:footnote w:type="continuationSeparator" w:id="0">
    <w:p w14:paraId="199EE6BE" w14:textId="77777777" w:rsidR="00F32324" w:rsidRDefault="00F32324" w:rsidP="00F3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49B"/>
    <w:multiLevelType w:val="hybridMultilevel"/>
    <w:tmpl w:val="775EED18"/>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420321"/>
    <w:multiLevelType w:val="hybridMultilevel"/>
    <w:tmpl w:val="7DC8E6B2"/>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177F1D"/>
    <w:multiLevelType w:val="hybridMultilevel"/>
    <w:tmpl w:val="A2C62C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5492393"/>
    <w:multiLevelType w:val="hybridMultilevel"/>
    <w:tmpl w:val="ADD4513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E47A4B"/>
    <w:multiLevelType w:val="hybridMultilevel"/>
    <w:tmpl w:val="E9CE25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7868294">
    <w:abstractNumId w:val="2"/>
  </w:num>
  <w:num w:numId="2" w16cid:durableId="983049174">
    <w:abstractNumId w:val="4"/>
  </w:num>
  <w:num w:numId="3" w16cid:durableId="693768561">
    <w:abstractNumId w:val="1"/>
  </w:num>
  <w:num w:numId="4" w16cid:durableId="687292384">
    <w:abstractNumId w:val="0"/>
  </w:num>
  <w:num w:numId="5" w16cid:durableId="212260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39"/>
    <w:rsid w:val="00243CB4"/>
    <w:rsid w:val="003D125E"/>
    <w:rsid w:val="007152E7"/>
    <w:rsid w:val="00A724C4"/>
    <w:rsid w:val="00C75339"/>
    <w:rsid w:val="00DF1379"/>
    <w:rsid w:val="00F323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B429"/>
  <w15:chartTrackingRefBased/>
  <w15:docId w15:val="{41FC94B8-00FF-42DB-B651-AB9BEF28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5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53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53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53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53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53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53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53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3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53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53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53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53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53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53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53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5339"/>
    <w:rPr>
      <w:rFonts w:eastAsiaTheme="majorEastAsia" w:cstheme="majorBidi"/>
      <w:color w:val="272727" w:themeColor="text1" w:themeTint="D8"/>
    </w:rPr>
  </w:style>
  <w:style w:type="paragraph" w:styleId="Ttulo">
    <w:name w:val="Title"/>
    <w:basedOn w:val="Normal"/>
    <w:next w:val="Normal"/>
    <w:link w:val="TtuloCar"/>
    <w:uiPriority w:val="10"/>
    <w:qFormat/>
    <w:rsid w:val="00C75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3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3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3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5339"/>
    <w:pPr>
      <w:spacing w:before="160"/>
      <w:jc w:val="center"/>
    </w:pPr>
    <w:rPr>
      <w:i/>
      <w:iCs/>
      <w:color w:val="404040" w:themeColor="text1" w:themeTint="BF"/>
    </w:rPr>
  </w:style>
  <w:style w:type="character" w:customStyle="1" w:styleId="CitaCar">
    <w:name w:val="Cita Car"/>
    <w:basedOn w:val="Fuentedeprrafopredeter"/>
    <w:link w:val="Cita"/>
    <w:uiPriority w:val="29"/>
    <w:rsid w:val="00C75339"/>
    <w:rPr>
      <w:i/>
      <w:iCs/>
      <w:color w:val="404040" w:themeColor="text1" w:themeTint="BF"/>
    </w:rPr>
  </w:style>
  <w:style w:type="paragraph" w:styleId="Prrafodelista">
    <w:name w:val="List Paragraph"/>
    <w:basedOn w:val="Normal"/>
    <w:uiPriority w:val="34"/>
    <w:qFormat/>
    <w:rsid w:val="00C75339"/>
    <w:pPr>
      <w:ind w:left="720"/>
      <w:contextualSpacing/>
    </w:pPr>
  </w:style>
  <w:style w:type="character" w:styleId="nfasisintenso">
    <w:name w:val="Intense Emphasis"/>
    <w:basedOn w:val="Fuentedeprrafopredeter"/>
    <w:uiPriority w:val="21"/>
    <w:qFormat/>
    <w:rsid w:val="00C75339"/>
    <w:rPr>
      <w:i/>
      <w:iCs/>
      <w:color w:val="0F4761" w:themeColor="accent1" w:themeShade="BF"/>
    </w:rPr>
  </w:style>
  <w:style w:type="paragraph" w:styleId="Citadestacada">
    <w:name w:val="Intense Quote"/>
    <w:basedOn w:val="Normal"/>
    <w:next w:val="Normal"/>
    <w:link w:val="CitadestacadaCar"/>
    <w:uiPriority w:val="30"/>
    <w:qFormat/>
    <w:rsid w:val="00C75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5339"/>
    <w:rPr>
      <w:i/>
      <w:iCs/>
      <w:color w:val="0F4761" w:themeColor="accent1" w:themeShade="BF"/>
    </w:rPr>
  </w:style>
  <w:style w:type="character" w:styleId="Referenciaintensa">
    <w:name w:val="Intense Reference"/>
    <w:basedOn w:val="Fuentedeprrafopredeter"/>
    <w:uiPriority w:val="32"/>
    <w:qFormat/>
    <w:rsid w:val="00C75339"/>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F3232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2324"/>
    <w:rPr>
      <w:sz w:val="20"/>
      <w:szCs w:val="20"/>
    </w:rPr>
  </w:style>
  <w:style w:type="character" w:styleId="Refdenotaalfinal">
    <w:name w:val="endnote reference"/>
    <w:basedOn w:val="Fuentedeprrafopredeter"/>
    <w:uiPriority w:val="99"/>
    <w:semiHidden/>
    <w:unhideWhenUsed/>
    <w:rsid w:val="00F32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76670-3AC2-4FF7-BBC0-C63551641BC9}">
  <ds:schemaRefs>
    <ds:schemaRef ds:uri="http://schemas.openxmlformats.org/officeDocument/2006/bibliography"/>
  </ds:schemaRefs>
</ds:datastoreItem>
</file>

<file path=customXml/itemProps2.xml><?xml version="1.0" encoding="utf-8"?>
<ds:datastoreItem xmlns:ds="http://schemas.openxmlformats.org/officeDocument/2006/customXml" ds:itemID="{8C193D42-16AD-4B48-8B3F-0777C2156A48}"/>
</file>

<file path=customXml/itemProps3.xml><?xml version="1.0" encoding="utf-8"?>
<ds:datastoreItem xmlns:ds="http://schemas.openxmlformats.org/officeDocument/2006/customXml" ds:itemID="{F959E59E-2972-4523-92B8-90EFC6BE535D}"/>
</file>

<file path=customXml/itemProps4.xml><?xml version="1.0" encoding="utf-8"?>
<ds:datastoreItem xmlns:ds="http://schemas.openxmlformats.org/officeDocument/2006/customXml" ds:itemID="{82B5DD40-AC74-4797-83B6-69C27E09EF65}"/>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6077</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2026-02-05T16:22:00Z</dcterms:created>
  <dcterms:modified xsi:type="dcterms:W3CDTF">2026-02-05T17:01:00Z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