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F7484B" w:rsidRDefault="000E27FB">
      <w:pPr>
        <w:shd w:val="clear" w:color="auto" w:fill="FFFFFF"/>
        <w:spacing w:after="240"/>
        <w:jc w:val="center"/>
        <w:rPr>
          <w:rFonts w:ascii="Verdana" w:eastAsia="Verdana" w:hAnsi="Verdana" w:cs="Verdana"/>
          <w:b/>
          <w:bCs/>
        </w:rPr>
      </w:pPr>
      <w:r>
        <w:rPr>
          <w:rFonts w:ascii="Verdana" w:eastAsia="Verdana" w:hAnsi="Verdana" w:cs="Verdana"/>
          <w:b/>
          <w:bCs/>
        </w:rPr>
        <w:t>CIRCULAR 19 DE 2011</w:t>
      </w:r>
    </w:p>
    <w:p w:rsidR="00F7484B" w:rsidRDefault="000E27FB">
      <w:pPr>
        <w:shd w:val="clear" w:color="auto" w:fill="FFFFFF"/>
        <w:spacing w:after="240"/>
        <w:jc w:val="center"/>
        <w:rPr>
          <w:rFonts w:ascii="Verdana" w:eastAsia="Verdana" w:hAnsi="Verdana" w:cs="Verdana"/>
        </w:rPr>
      </w:pPr>
      <w:r>
        <w:rPr>
          <w:rFonts w:ascii="Verdana" w:eastAsia="Verdana" w:hAnsi="Verdana" w:cs="Verdana"/>
        </w:rPr>
        <w:t>(abril 26)</w:t>
      </w:r>
    </w:p>
    <w:p w:rsidR="00F7484B" w:rsidRDefault="000E27FB">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 ICBF</w:t>
      </w:r>
    </w:p>
    <w:tbl>
      <w:tblPr>
        <w:tblStyle w:val="a"/>
        <w:tblW w:w="877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470"/>
        <w:gridCol w:w="7305"/>
      </w:tblGrid>
      <w:tr w:rsidR="00F7484B">
        <w:trPr>
          <w:trHeight w:val="270"/>
        </w:trPr>
        <w:tc>
          <w:tcPr>
            <w:tcW w:w="1470" w:type="dxa"/>
            <w:tcBorders>
              <w:top w:val="nil"/>
              <w:left w:val="nil"/>
              <w:bottom w:val="nil"/>
              <w:right w:val="nil"/>
            </w:tcBorders>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Para:</w:t>
            </w:r>
          </w:p>
        </w:tc>
        <w:tc>
          <w:tcPr>
            <w:tcW w:w="7305" w:type="dxa"/>
            <w:tcBorders>
              <w:top w:val="nil"/>
              <w:left w:val="nil"/>
              <w:bottom w:val="nil"/>
              <w:right w:val="nil"/>
            </w:tcBorders>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Directores y directoras regionales</w:t>
            </w:r>
          </w:p>
        </w:tc>
      </w:tr>
      <w:tr w:rsidR="00F7484B">
        <w:trPr>
          <w:trHeight w:val="270"/>
        </w:trPr>
        <w:tc>
          <w:tcPr>
            <w:tcW w:w="1470" w:type="dxa"/>
            <w:tcBorders>
              <w:top w:val="nil"/>
              <w:left w:val="nil"/>
              <w:bottom w:val="nil"/>
              <w:right w:val="nil"/>
            </w:tcBorders>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Asunto:</w:t>
            </w:r>
          </w:p>
        </w:tc>
        <w:tc>
          <w:tcPr>
            <w:tcW w:w="7305" w:type="dxa"/>
            <w:tcBorders>
              <w:top w:val="nil"/>
              <w:left w:val="nil"/>
              <w:bottom w:val="nil"/>
              <w:right w:val="nil"/>
            </w:tcBorders>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programa alimentación escolar de clase mundial</w:t>
            </w:r>
          </w:p>
        </w:tc>
      </w:tr>
      <w:tr w:rsidR="00F7484B">
        <w:trPr>
          <w:trHeight w:val="270"/>
        </w:trPr>
        <w:tc>
          <w:tcPr>
            <w:tcW w:w="1470" w:type="dxa"/>
            <w:tcBorders>
              <w:top w:val="nil"/>
              <w:left w:val="nil"/>
              <w:bottom w:val="nil"/>
              <w:right w:val="nil"/>
            </w:tcBorders>
            <w:tcMar>
              <w:top w:w="0" w:type="dxa"/>
              <w:left w:w="0" w:type="dxa"/>
              <w:bottom w:w="0" w:type="dxa"/>
              <w:right w:w="0" w:type="dxa"/>
            </w:tcMar>
          </w:tcPr>
          <w:p w:rsidR="00F7484B" w:rsidRDefault="00F7484B">
            <w:pPr>
              <w:spacing w:line="294" w:lineRule="auto"/>
              <w:jc w:val="both"/>
              <w:rPr>
                <w:rFonts w:ascii="Verdana" w:eastAsia="Verdana" w:hAnsi="Verdana" w:cs="Verdana"/>
              </w:rPr>
            </w:pPr>
          </w:p>
        </w:tc>
        <w:tc>
          <w:tcPr>
            <w:tcW w:w="7305" w:type="dxa"/>
            <w:tcBorders>
              <w:top w:val="nil"/>
              <w:left w:val="nil"/>
              <w:bottom w:val="nil"/>
              <w:right w:val="nil"/>
            </w:tcBorders>
            <w:tcMar>
              <w:top w:w="0" w:type="dxa"/>
              <w:left w:w="0" w:type="dxa"/>
              <w:bottom w:w="0" w:type="dxa"/>
              <w:right w:w="0" w:type="dxa"/>
            </w:tcMar>
          </w:tcPr>
          <w:p w:rsidR="00F7484B" w:rsidRDefault="00F7484B">
            <w:pPr>
              <w:spacing w:line="294" w:lineRule="auto"/>
              <w:jc w:val="both"/>
              <w:rPr>
                <w:rFonts w:ascii="Verdana" w:eastAsia="Verdana" w:hAnsi="Verdana" w:cs="Verdana"/>
              </w:rPr>
            </w:pPr>
          </w:p>
        </w:tc>
      </w:tr>
    </w:tbl>
    <w:p w:rsidR="00F7484B" w:rsidRDefault="000E27FB">
      <w:pPr>
        <w:shd w:val="clear" w:color="auto" w:fill="FFFFFF"/>
        <w:spacing w:after="240"/>
        <w:jc w:val="both"/>
        <w:rPr>
          <w:rFonts w:ascii="Verdana" w:eastAsia="Verdana" w:hAnsi="Verdana" w:cs="Verdana"/>
        </w:rPr>
      </w:pPr>
      <w:r>
        <w:rPr>
          <w:rFonts w:ascii="Verdana" w:eastAsia="Verdana" w:hAnsi="Verdana" w:cs="Verdana"/>
        </w:rPr>
        <w:t xml:space="preserve">De manera atenta, les recuerdo la obligatoriedad de dar estricto cumplimiento a lo establecido en los Lineamientos Técnico Administrativos y Estándares del Programa de Alimentación Escolar - PAE aprobados mediante Resolución </w:t>
      </w:r>
      <w:r>
        <w:rPr>
          <w:rFonts w:ascii="Verdana" w:eastAsia="Verdana" w:hAnsi="Verdana" w:cs="Verdana"/>
        </w:rPr>
        <w:t>6054</w:t>
      </w:r>
      <w:r>
        <w:rPr>
          <w:rFonts w:ascii="Verdana" w:eastAsia="Verdana" w:hAnsi="Verdana" w:cs="Verdana"/>
        </w:rPr>
        <w:t>del 30 de diciembre de 2010, los compromisos adquiridos en la reunión de Directores del 10 y 11 de febrero de 2011, especialmente en lo relacionado con el seguimiento y control de la operación del PAE, para lo cual deberán tener en cuenta las siguientes precisiones:</w:t>
      </w:r>
    </w:p>
    <w:p w:rsidR="00F7484B" w:rsidRDefault="000E27FB">
      <w:pPr>
        <w:shd w:val="clear" w:color="auto" w:fill="FFFFFF"/>
        <w:spacing w:after="240"/>
        <w:jc w:val="both"/>
        <w:rPr>
          <w:rFonts w:ascii="Verdana" w:eastAsia="Verdana" w:hAnsi="Verdana" w:cs="Verdana"/>
        </w:rPr>
      </w:pPr>
      <w:r>
        <w:rPr>
          <w:rFonts w:ascii="Verdana" w:eastAsia="Verdana" w:hAnsi="Verdana" w:cs="Verdana"/>
        </w:rPr>
        <w:t xml:space="preserve">-- Reunión mensual con los operadores del Programa con el fin de verificar la adecuada ejecución del PAE y evidenciar los avances e inconvenientes presentados durante el mes; adjunto herramienta para ser diligenciada con la información suministrada por cada operador; copia del acta de esta reunión deberá remitirse escaneada a la Gerencia del Programa Alimentación Escolar, correo electrónico </w:t>
      </w:r>
      <w:r>
        <w:rPr>
          <w:rFonts w:ascii="Verdana" w:eastAsia="Verdana" w:hAnsi="Verdana" w:cs="Verdana"/>
          <w:u w:val="single"/>
        </w:rPr>
        <w:t>Eduardo.Ramirez@icbf.gov.co</w:t>
      </w:r>
      <w:r>
        <w:rPr>
          <w:rFonts w:ascii="Verdana" w:eastAsia="Verdana" w:hAnsi="Verdana" w:cs="Verdana"/>
        </w:rPr>
        <w:t>., a más tardar dentro de los 8 días siguientes de la reunión.</w:t>
      </w:r>
    </w:p>
    <w:p w:rsidR="00F7484B" w:rsidRDefault="000E27FB">
      <w:pPr>
        <w:shd w:val="clear" w:color="auto" w:fill="FFFFFF"/>
        <w:spacing w:after="240"/>
        <w:jc w:val="both"/>
        <w:rPr>
          <w:rFonts w:ascii="Verdana" w:eastAsia="Verdana" w:hAnsi="Verdana" w:cs="Verdana"/>
        </w:rPr>
      </w:pPr>
      <w:r>
        <w:rPr>
          <w:rFonts w:ascii="Verdana" w:eastAsia="Verdana" w:hAnsi="Verdana" w:cs="Verdana"/>
        </w:rPr>
        <w:t>-- Informar mensualmente a la Gerencia del Programa los efectos generados en cada región como consecuencia de la ola invernal y las gestiones adelantadas para mitigarlos.</w:t>
      </w:r>
    </w:p>
    <w:p w:rsidR="00F7484B" w:rsidRDefault="000E27FB">
      <w:pPr>
        <w:shd w:val="clear" w:color="auto" w:fill="FFFFFF"/>
        <w:spacing w:after="240"/>
        <w:jc w:val="both"/>
        <w:rPr>
          <w:rFonts w:ascii="Verdana" w:eastAsia="Verdana" w:hAnsi="Verdana" w:cs="Verdana"/>
        </w:rPr>
      </w:pPr>
      <w:r>
        <w:rPr>
          <w:rFonts w:ascii="Verdana" w:eastAsia="Verdana" w:hAnsi="Verdana" w:cs="Verdana"/>
        </w:rPr>
        <w:t>-- Coordinar con el operador y el establecimiento educativo o unidad aplicativa para garantizar la adecuada entrega de las raciones diarias del complemento alimentario correspondiente.</w:t>
      </w:r>
    </w:p>
    <w:p w:rsidR="00F7484B" w:rsidRDefault="000E27FB">
      <w:pPr>
        <w:shd w:val="clear" w:color="auto" w:fill="FFFFFF"/>
        <w:spacing w:after="240"/>
        <w:jc w:val="both"/>
        <w:rPr>
          <w:rFonts w:ascii="Verdana" w:eastAsia="Verdana" w:hAnsi="Verdana" w:cs="Verdana"/>
        </w:rPr>
      </w:pPr>
      <w:r>
        <w:rPr>
          <w:rFonts w:ascii="Verdana" w:eastAsia="Verdana" w:hAnsi="Verdana" w:cs="Verdana"/>
        </w:rPr>
        <w:t>-- Dar estricto cumplimiento al Manual de Legalización de Cuentas, de acuerdo al tipo de operador; Tipo 1: Asociaciones de Padres de Familia, Juntas de Acción Comunal, Cabildos, Asociaciones Indígenas y los consorcios y uniones temporales conformados exclusivamente por Asociaciones de Padres de Familia, Juntas de Acción Comunal o Cabildos y Asociaciones Indígenas que administren el Programa de Alimentación Escolar; Tipo 2; Entidades sin ánimo de lucro tales como Cajas de compensación, Cooperativas, Fundacio</w:t>
      </w:r>
      <w:r>
        <w:rPr>
          <w:rFonts w:ascii="Verdana" w:eastAsia="Verdana" w:hAnsi="Verdana" w:cs="Verdana"/>
        </w:rPr>
        <w:t>nes, Corporaciones y consorcios y uniones temporales conformadas por entidades sin ánimo de lucro, entre otros.</w:t>
      </w:r>
    </w:p>
    <w:p w:rsidR="00F7484B" w:rsidRDefault="000E27FB">
      <w:pPr>
        <w:shd w:val="clear" w:color="auto" w:fill="FFFFFF"/>
        <w:spacing w:after="240"/>
        <w:jc w:val="both"/>
        <w:rPr>
          <w:rFonts w:ascii="Verdana" w:eastAsia="Verdana" w:hAnsi="Verdana" w:cs="Verdana"/>
        </w:rPr>
      </w:pPr>
      <w:r>
        <w:rPr>
          <w:rFonts w:ascii="Verdana" w:eastAsia="Verdana" w:hAnsi="Verdana" w:cs="Verdana"/>
        </w:rPr>
        <w:t xml:space="preserve">-- Permitir y facilitar a los organismos de control, veedurías ciudadanas y a la comunidad en general el ejercicio del control social en los términos de la Ley </w:t>
      </w:r>
      <w:r>
        <w:rPr>
          <w:rFonts w:ascii="Verdana" w:eastAsia="Verdana" w:hAnsi="Verdana" w:cs="Verdana"/>
        </w:rPr>
        <w:t>850</w:t>
      </w:r>
      <w:r>
        <w:rPr>
          <w:rFonts w:ascii="Verdana" w:eastAsia="Verdana" w:hAnsi="Verdana" w:cs="Verdana"/>
        </w:rPr>
        <w:t xml:space="preserve"> de 2003.</w:t>
      </w:r>
    </w:p>
    <w:p w:rsidR="00F7484B" w:rsidRDefault="000E27FB">
      <w:pPr>
        <w:shd w:val="clear" w:color="auto" w:fill="FFFFFF"/>
        <w:spacing w:after="240"/>
        <w:jc w:val="both"/>
        <w:rPr>
          <w:rFonts w:ascii="Verdana" w:eastAsia="Verdana" w:hAnsi="Verdana" w:cs="Verdana"/>
        </w:rPr>
      </w:pPr>
      <w:r>
        <w:rPr>
          <w:rFonts w:ascii="Verdana" w:eastAsia="Verdana" w:hAnsi="Verdana" w:cs="Verdana"/>
        </w:rPr>
        <w:t>-- Verificar la conformación de los Comités de Seguimiento al PAE en cumplimiento de lo establecido en la Cir</w:t>
      </w:r>
      <w:r>
        <w:rPr>
          <w:rFonts w:ascii="Verdana" w:eastAsia="Verdana" w:hAnsi="Verdana" w:cs="Verdana"/>
        </w:rPr>
        <w:lastRenderedPageBreak/>
        <w:t xml:space="preserve">cular </w:t>
      </w:r>
      <w:r>
        <w:rPr>
          <w:rFonts w:ascii="Verdana" w:eastAsia="Verdana" w:hAnsi="Verdana" w:cs="Verdana"/>
        </w:rPr>
        <w:t>017</w:t>
      </w:r>
      <w:r>
        <w:rPr>
          <w:rFonts w:ascii="Verdana" w:eastAsia="Verdana" w:hAnsi="Verdana" w:cs="Verdana"/>
        </w:rPr>
        <w:t xml:space="preserve"> de 2010 firmada de manera conjunta por el ICBF y el Programa Presidencial para le Modernización, Eficiencia, Transparencia y Lucha contra la Corrupción.</w:t>
      </w:r>
    </w:p>
    <w:p w:rsidR="00F7484B" w:rsidRDefault="000E27FB">
      <w:pPr>
        <w:shd w:val="clear" w:color="auto" w:fill="FFFFFF"/>
        <w:spacing w:after="240"/>
        <w:jc w:val="both"/>
        <w:rPr>
          <w:rFonts w:ascii="Verdana" w:eastAsia="Verdana" w:hAnsi="Verdana" w:cs="Verdana"/>
        </w:rPr>
      </w:pPr>
      <w:r>
        <w:rPr>
          <w:rFonts w:ascii="Verdana" w:eastAsia="Verdana" w:hAnsi="Verdana" w:cs="Verdana"/>
        </w:rPr>
        <w:t>-- Socializar a todos los actores del Programa Alimentación Escolar la Línea 018000 91 8080 opción 3 y el correo electrónico restaurantesescolaresconcalidad@icbf.gov.co para que informen sobre la ejecución del PAE en cada una de sus regiones.</w:t>
      </w:r>
    </w:p>
    <w:p w:rsidR="00F7484B" w:rsidRDefault="000E27FB">
      <w:pPr>
        <w:shd w:val="clear" w:color="auto" w:fill="FFFFFF"/>
        <w:spacing w:after="240"/>
        <w:jc w:val="both"/>
        <w:rPr>
          <w:rFonts w:ascii="Verdana" w:eastAsia="Verdana" w:hAnsi="Verdana" w:cs="Verdana"/>
        </w:rPr>
      </w:pPr>
      <w:r>
        <w:rPr>
          <w:rFonts w:ascii="Verdana" w:eastAsia="Verdana" w:hAnsi="Verdana" w:cs="Verdana"/>
        </w:rPr>
        <w:t>-- Elaborar el cronograma de mesas públicas a realizar durante la presente vigencia y remitirlo a la Gerencia del Programa a través del correo electrónico Eduardo.Ramirez@icbf.gov.co; igualmente se deben remitir las actas correspondientes para su respectivo seguimiento y verificación del cumplimiento de los compromisos a más tardar el 06 de mayo de2011.</w:t>
      </w:r>
    </w:p>
    <w:p w:rsidR="00F7484B" w:rsidRDefault="000E27FB">
      <w:pPr>
        <w:shd w:val="clear" w:color="auto" w:fill="FFFFFF"/>
        <w:spacing w:after="240"/>
        <w:jc w:val="both"/>
        <w:rPr>
          <w:rFonts w:ascii="Verdana" w:eastAsia="Verdana" w:hAnsi="Verdana" w:cs="Verdana"/>
        </w:rPr>
      </w:pPr>
      <w:r>
        <w:rPr>
          <w:rFonts w:ascii="Verdana" w:eastAsia="Verdana" w:hAnsi="Verdana" w:cs="Verdana"/>
        </w:rPr>
        <w:t>Cordial saludo</w:t>
      </w:r>
    </w:p>
    <w:p w:rsidR="00F7484B" w:rsidRDefault="000E27FB">
      <w:pPr>
        <w:shd w:val="clear" w:color="auto" w:fill="FFFFFF"/>
        <w:spacing w:after="240"/>
        <w:jc w:val="center"/>
        <w:rPr>
          <w:rFonts w:ascii="Verdana" w:eastAsia="Verdana" w:hAnsi="Verdana" w:cs="Verdana"/>
          <w:b/>
          <w:bCs/>
        </w:rPr>
      </w:pPr>
      <w:r>
        <w:rPr>
          <w:rFonts w:ascii="Verdana" w:eastAsia="Verdana" w:hAnsi="Verdana" w:cs="Verdana"/>
          <w:b/>
          <w:bCs/>
        </w:rPr>
        <w:t>ELVIRA FORERO HERNANDEZ</w:t>
      </w:r>
    </w:p>
    <w:p w:rsidR="00F7484B" w:rsidRDefault="000E27FB">
      <w:pPr>
        <w:shd w:val="clear" w:color="auto" w:fill="FFFFFF"/>
        <w:spacing w:after="240"/>
        <w:jc w:val="center"/>
        <w:rPr>
          <w:rFonts w:ascii="Verdana" w:eastAsia="Verdana" w:hAnsi="Verdana" w:cs="Verdana"/>
        </w:rPr>
      </w:pPr>
      <w:r>
        <w:rPr>
          <w:rFonts w:ascii="Verdana" w:eastAsia="Verdana" w:hAnsi="Verdana" w:cs="Verdana"/>
        </w:rPr>
        <w:t>Directora General</w:t>
      </w:r>
    </w:p>
    <w:p w:rsidR="00F7484B" w:rsidRDefault="000E27FB">
      <w:pPr>
        <w:shd w:val="clear" w:color="auto" w:fill="FFFFFF"/>
        <w:spacing w:after="240"/>
        <w:jc w:val="center"/>
        <w:rPr>
          <w:rFonts w:ascii="Verdana" w:eastAsia="Verdana" w:hAnsi="Verdana" w:cs="Verdana"/>
        </w:rPr>
      </w:pPr>
      <w:r>
        <w:rPr>
          <w:rFonts w:ascii="Verdana" w:eastAsia="Verdana" w:hAnsi="Verdana" w:cs="Verdana"/>
        </w:rPr>
        <w:t>HERRAMIENTA PARA EL SEGUIMIENTO MENSUAL A ENTIDADES CONTRATISTAS PAE 2011</w:t>
      </w:r>
    </w:p>
    <w:tbl>
      <w:tblPr>
        <w:tblStyle w:val="a0"/>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715"/>
        <w:gridCol w:w="2524"/>
        <w:gridCol w:w="1646"/>
        <w:gridCol w:w="781"/>
        <w:gridCol w:w="1578"/>
        <w:gridCol w:w="781"/>
      </w:tblGrid>
      <w:tr w:rsidR="00F7484B">
        <w:trPr>
          <w:trHeight w:val="540"/>
        </w:trPr>
        <w:tc>
          <w:tcPr>
            <w:tcW w:w="1714" w:type="dxa"/>
            <w:tcBorders>
              <w:top w:val="nil"/>
              <w:left w:val="nil"/>
              <w:bottom w:val="nil"/>
              <w:right w:val="nil"/>
            </w:tcBorders>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LOGISTICA</w:t>
            </w:r>
          </w:p>
        </w:tc>
        <w:tc>
          <w:tcPr>
            <w:tcW w:w="2523" w:type="dxa"/>
            <w:tcBorders>
              <w:top w:val="nil"/>
              <w:left w:val="nil"/>
              <w:bottom w:val="nil"/>
              <w:right w:val="nil"/>
            </w:tcBorders>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COORDINACION INSTERINSTITUCIONAL</w:t>
            </w:r>
          </w:p>
        </w:tc>
        <w:tc>
          <w:tcPr>
            <w:tcW w:w="4784" w:type="dxa"/>
            <w:gridSpan w:val="4"/>
            <w:tcBorders>
              <w:top w:val="nil"/>
              <w:left w:val="nil"/>
              <w:bottom w:val="nil"/>
              <w:right w:val="nil"/>
            </w:tcBorders>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ADMINISTRACION</w:t>
            </w:r>
          </w:p>
        </w:tc>
      </w:tr>
      <w:tr w:rsidR="00F7484B">
        <w:trPr>
          <w:trHeight w:val="405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1. Compras locales: La entidad contratista ha realizado acciones con evidencia en la región y realiza la compra local de alimentos.</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1. a. Ente territorial .la entidad contratista ha realizado gestión con los entes territoriales y presenta evidencias y acuerdos concretos de cofinanciación.</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1. plan de presupuesto e inversión anual a. La entidad contratista presenta plan de presupuesto e inversión de los recursos del PAE y lo ejecuta garantizando </w:t>
            </w:r>
            <w:r>
              <w:rPr>
                <w:rFonts w:ascii="Verdana" w:eastAsia="Verdana" w:hAnsi="Verdana" w:cs="Verdana"/>
              </w:rPr>
              <w:lastRenderedPageBreak/>
              <w:t>1 a correcta prestación del servicio.</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lastRenderedPageBreak/>
              <w:t>Verde</w:t>
            </w:r>
          </w:p>
        </w:tc>
      </w:tr>
      <w:tr w:rsidR="00F7484B">
        <w:trPr>
          <w:trHeight w:val="351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2. La entidad contratista ha realizado acciones con evidencia en la región para la compra local de alimentos pero no compra alimentos localmente.</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ha realizado evidencias de gestión con los entes territoriales pero no ha logrado acuerdos de cofinanciación</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presenta plan de presupuesto e inversión anual de los recursos del PAE, pero presenta algunas inconsistencias en la ejecución del mismo.</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r>
      <w:tr w:rsidR="00F7484B">
        <w:trPr>
          <w:trHeight w:val="351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3. La entidad contratista no ha realizado acciones con evidencia en la región para la compra local de alimentos hni &lt;sic&gt; hace compra local de alimentos.</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ha realizado ninguna gestión con los entes territoriales.</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presenta plan de presupuesto e inversión anual de los recursos del PAE y presenta graves dificultades para garantizar la ejecución del servicio</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r>
      <w:tr w:rsidR="00F7484B">
        <w:trPr>
          <w:trHeight w:val="270"/>
        </w:trPr>
        <w:tc>
          <w:tcPr>
            <w:tcW w:w="4237"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c>
          <w:tcPr>
            <w:tcW w:w="2426"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c>
          <w:tcPr>
            <w:tcW w:w="2358"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r>
      <w:tr w:rsidR="00F7484B">
        <w:trPr>
          <w:trHeight w:val="486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2. Almacenamiento: a la entidad contratista ha ejecutado acciones para garantizar el almacenamiento adecuado de los alimentos en las unidades de servicio y bodegas de alimentos centrales</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2. Comités de seguimiento PAE :</w:t>
            </w:r>
          </w:p>
          <w:p w:rsidR="00F7484B" w:rsidRDefault="000E27FB">
            <w:pPr>
              <w:spacing w:line="294" w:lineRule="auto"/>
              <w:jc w:val="both"/>
              <w:rPr>
                <w:rFonts w:ascii="Verdana" w:eastAsia="Verdana" w:hAnsi="Verdana" w:cs="Verdana"/>
              </w:rPr>
            </w:pPr>
            <w:r>
              <w:rPr>
                <w:rFonts w:ascii="Verdana" w:eastAsia="Verdana" w:hAnsi="Verdana" w:cs="Verdana"/>
              </w:rPr>
              <w:t>a. La entidad contratista tiene evidencias que ha conformado el comité de seguimiento PAE con evidencias y realiza seguimiento al programa de alimentación escolar en cada unidad.</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2. Informe de ejecución mensual: a. La entidad contratista ha realizado la presentación de los avances de ejecución técnica y financiera mensualmente cumpliendo todos los requisitos exigidos al supervisores del contrato.</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r>
      <w:tr w:rsidR="00F7484B">
        <w:trPr>
          <w:trHeight w:val="432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ha ejecutado acciones para garantizar el almacenamiento adecuado de los alimentos pero existen fallas en el almacenamiento en las unidades de servicio y bodegas de alimentos centrales</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tiene evidencias que ha conformado el comité de seguimiento PAE con evidencias pero no ha realizado seguimiento al programa de alimentación escolar en cada unidad.</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ha realizado la presentación de los avances de ejecución técnica y financiera mensualmente pero no ha cumplido con todos los requisitos exigidos a los supervisores del contrato.</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r>
      <w:tr w:rsidR="00F7484B">
        <w:trPr>
          <w:trHeight w:val="432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ha ejecutado acciones para garantizar el almacenamiento adecuado de los alimentos pero existen fallas en el almacenamiento en las unidades de servicio y bodegas de alimentos centrales</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ha conformado el comité de seguimiento y no realiza seguimiento al programa de alimentación escolar en cada unidad.</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no ha realizado la presentación de los avances de ejecución técnica y financiera mensualmente y no ha cumplido con todos los requisitos exigidos a los supervisores del contrato.</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r>
      <w:tr w:rsidR="00F7484B">
        <w:trPr>
          <w:trHeight w:val="270"/>
        </w:trPr>
        <w:tc>
          <w:tcPr>
            <w:tcW w:w="4237"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c>
          <w:tcPr>
            <w:tcW w:w="2426"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c>
          <w:tcPr>
            <w:tcW w:w="2358"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r>
      <w:tr w:rsidR="00F7484B">
        <w:trPr>
          <w:trHeight w:val="486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3. Transporte: a.la entidad contratista ha ejecutado acciones para garantizar el transporte adecuado de los alimentos a las unidades de servicio y de bodegas de alimentos centrales</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3. Participación en mesas públicas: a. La entidad contratista tiene evidencias que ha participado activamente en las mesas públicas municipales y se le reconoce la adecuada ejecución de los recursos del PAE y calidad en la prestación del servicio.</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2. Informe ejecutivo de gestión: a. La entidad contratista ha presentado el informe ejecutivo establecido mensualmente a la Subdirección de Niñez y Adolescencia.</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r>
      <w:tr w:rsidR="00F7484B">
        <w:trPr>
          <w:trHeight w:val="432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ha ejecutado acciones para garantizar el transporte + adecuado de los alimentos pero existen fallas en el almacenamiento en las unidades de servicio y bodegas de alimentos centrales</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tiene evidencias que ha participado activamente en las mesas públicas municipales pero ha tenido dificultades sobre la ejecución de los recursos del PAE y calidad en la prestación del servicio.</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ha presentado el informe ejecutivo e a la Subdirección de Niñez y Adolescencia pero no presenta la información establecida.</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r>
      <w:tr w:rsidR="00F7484B">
        <w:trPr>
          <w:trHeight w:val="459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ha ejecutado acciones para garantizar el transporte adecuado de los alimentos y por lo tanto existen fallas graves en el almacenamiento en las unidades de servicio y bodegas de alimentos centrales.</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tiene evidencias que ha participado en las mesas públicas municipales y ha tenido problemas sobre la ejecución de los recursos del PAE y calidad en la prestación del servicio.</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ha presentado el informe ejecutivo establecido mensualmente a la Subdirección de Niñez y Adolescencia.</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r>
      <w:tr w:rsidR="00F7484B">
        <w:trPr>
          <w:trHeight w:val="270"/>
        </w:trPr>
        <w:tc>
          <w:tcPr>
            <w:tcW w:w="4237"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c>
          <w:tcPr>
            <w:tcW w:w="2426"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c>
          <w:tcPr>
            <w:tcW w:w="2358"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r>
      <w:tr w:rsidR="00F7484B">
        <w:trPr>
          <w:trHeight w:val="513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4. Control de uso de alimentos: a. La entidad contratista realiza registro adecuado de verificación de entrada y salida de alimentos en la unidad de servicio y los saldos de los alimentos corresponden a los días del ciclo de menús por ejecutar en la semana</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3. Organismos de salud. a. La entidad contratista ha realizado gestión con los orgasnismos &lt;sic&gt; de salud y presenta evidencias y acuerdos concretos de cooodinación &lt;sic&gt;</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2. pago a proveedores a. La entidad contratista ha realizado acuerdos de pago a los proveedores y estos se han realizado cumplidamente.</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r>
      <w:tr w:rsidR="00F7484B">
        <w:trPr>
          <w:trHeight w:val="513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realiza registro de verificación de entrada y salida de alimentos en la unidad de servicio pero no es acdecuado &lt;sic&gt; y los saldos de los alimentos no corresponden a los días del ciclo de menus aprobados que falta por ejecutar en la semana.</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ha realizado gestión con los orgasnismos &lt;sic&gt; de salud presenta evidencias pero no se han realizado acciones acuerdos concretos de cooodinación.&lt;sic&gt;</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ha realizado acuerdos de pago a los proveedores y estos no se han realizado cumplidamente</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r>
      <w:tr w:rsidR="00F7484B">
        <w:trPr>
          <w:trHeight w:val="4050"/>
        </w:trPr>
        <w:tc>
          <w:tcPr>
            <w:tcW w:w="1714"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realiza registro de verificación de entrada y salida de alimentos en la unidad de servicio y los saldos de los alimentos no corresponden a lo establecido en 1 ciclo de menús aprobado.</w:t>
            </w:r>
          </w:p>
        </w:tc>
        <w:tc>
          <w:tcPr>
            <w:tcW w:w="2523"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164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ha realizado gestión con los orgasnismos &lt;sic&gt; de salud y no presenta evidencias y acuerdos concretos de cooodinación &lt;sic&gt;</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1577"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no ha realizado los pago a los proveedores cumplidamente.</w:t>
            </w:r>
          </w:p>
        </w:tc>
        <w:tc>
          <w:tcPr>
            <w:tcW w:w="781"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r>
    </w:tbl>
    <w:p w:rsidR="00F7484B" w:rsidRDefault="000E27FB">
      <w:pPr>
        <w:shd w:val="clear" w:color="auto" w:fill="FFFFFF"/>
        <w:spacing w:after="240"/>
        <w:jc w:val="both"/>
        <w:rPr>
          <w:rFonts w:ascii="Verdana" w:eastAsia="Verdana" w:hAnsi="Verdana" w:cs="Verdana"/>
        </w:rPr>
      </w:pPr>
      <w:r>
        <w:rPr>
          <w:rFonts w:ascii="Verdana" w:eastAsia="Verdana" w:hAnsi="Verdana" w:cs="Verdana"/>
        </w:rPr>
        <w:t>Dirección de Prevención</w:t>
      </w:r>
    </w:p>
    <w:p w:rsidR="00F7484B" w:rsidRDefault="000E27FB">
      <w:pPr>
        <w:shd w:val="clear" w:color="auto" w:fill="FFFFFF"/>
        <w:spacing w:after="240"/>
        <w:jc w:val="both"/>
        <w:rPr>
          <w:rFonts w:ascii="Verdana" w:eastAsia="Verdana" w:hAnsi="Verdana" w:cs="Verdana"/>
        </w:rPr>
      </w:pPr>
      <w:r>
        <w:rPr>
          <w:rFonts w:ascii="Verdana" w:eastAsia="Verdana" w:hAnsi="Verdana" w:cs="Verdana"/>
        </w:rPr>
        <w:t>Subdirección de Niñez y Adolescencia</w:t>
      </w:r>
    </w:p>
    <w:tbl>
      <w:tblPr>
        <w:tblStyle w:val="a1"/>
        <w:tblW w:w="83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675"/>
        <w:gridCol w:w="1005"/>
        <w:gridCol w:w="2820"/>
        <w:gridCol w:w="855"/>
      </w:tblGrid>
      <w:tr w:rsidR="00F7484B">
        <w:trPr>
          <w:trHeight w:val="27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TALENTO HUMANO</w:t>
            </w:r>
          </w:p>
        </w:tc>
        <w:tc>
          <w:tcPr>
            <w:tcW w:w="4680" w:type="dxa"/>
            <w:gridSpan w:val="3"/>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PRESTACION DEL SERVICIO</w:t>
            </w:r>
          </w:p>
        </w:tc>
      </w:tr>
      <w:tr w:rsidR="00F7484B">
        <w:trPr>
          <w:trHeight w:val="243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1. Talento humano contratado a. La entidad contratista ha contratado por tiempo completo y al personal administrativo: Gerente, nutricionista, financiero &lt;sic&gt;  por regional y coordinador por municipio.</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1. Ciclo de menús a. La entidad ocntratista &lt;sic&gt; presentó de manera oportuna y completa el ciclo de minutas para su aprobación por ICBF y se está dando cumplimiento en las unidades de servicio.</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r>
      <w:tr w:rsidR="00F7484B">
        <w:trPr>
          <w:trHeight w:val="243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ha contratado de manera parcial al personal administrativo: Gerente, nutricionista, finaciero &lt;sic&gt; por regional coordinador por municipio.</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ocntratista &lt;sic&gt; presentó de manera completa el ciclo de minutas para su aprobación por ICBF pero se presento de manera inoportuna y se aplazó su cumplimiento en las unidades de servicio.</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r>
      <w:tr w:rsidR="00F7484B">
        <w:trPr>
          <w:trHeight w:val="243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ha contratado por tiempo completo y al personal administrativo: Gerente, nutricionista, finaciero &lt;sic&gt;por regional y coordinador por municipio.</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ocntratista &lt;sic&gt; presentó de manera inoportuna, inmpleta &lt;sic&gt; el ciclo de minutas para su aprobación por ICBF y aún no se está cumplimiento en las unidades de servicio.</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r>
      <w:tr w:rsidR="00F7484B">
        <w:trPr>
          <w:trHeight w:val="270"/>
        </w:trPr>
        <w:tc>
          <w:tcPr>
            <w:tcW w:w="4680"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c>
          <w:tcPr>
            <w:tcW w:w="3675"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r>
      <w:tr w:rsidR="00F7484B">
        <w:trPr>
          <w:trHeight w:val="351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2. Personal manipulador de alimentos: a. La entidad contratista presenta las evidencias de cumplimiento total de los requisitos del proceso de selección de los manipuladores de alimentos, encargados de la preparación empaque almacenamiento transporte de alimentos ( carne de manipulación de alimentos, reconocimiento médico ,mayoría de edad y ser alfabeta)</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2. Registro de beneficiarios a. La entidad contratista realiza el registro diario y el control de asistencia de los niños, niñas y adolescentes, sobre las raciones entregadas a los beneficiarios del servicio en el formato establecido. </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r>
      <w:tr w:rsidR="00F7484B">
        <w:trPr>
          <w:trHeight w:val="297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 La entidad contratista presenta las evidencias de cumplimiento parcial de los requisitos del proceso de selección de los manipuladores de alimentos,, encargados de la preparación empaque almacenamiento transporte de alimentos (carne de manipulación de alimentos , reconocimiento médico mayoría de edad y ser alfabeta)</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realiza el registro diario y el control de asistencia de los niños, niñas y adolescentes, sobre las raciones entregadas a los beneficiarios del servicio pero no utiliza el formato establecido.</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r>
      <w:tr w:rsidR="00F7484B">
        <w:trPr>
          <w:trHeight w:val="324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 La entidad contratista no presenta las evidencias de cumplimiento de los requisitos del proceso de selección de los manipuladores de alimentos, encargados de la preparación empaque, transporte alamcenamiento &lt;sic&gt; .transporte de alimentos (carne de manipulación de alimentos, reconocimiento médico ,mayoría de edad y ser alfabeta)</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realiza el registro diario y el control de asistencia de los niños, niñas y adolescentes, sobre las raciones entregadas a los beneficiarios del servicio</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r>
      <w:tr w:rsidR="00F7484B">
        <w:trPr>
          <w:trHeight w:val="270"/>
        </w:trPr>
        <w:tc>
          <w:tcPr>
            <w:tcW w:w="4680"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c>
          <w:tcPr>
            <w:tcW w:w="3675"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r>
      <w:tr w:rsidR="00F7484B">
        <w:trPr>
          <w:trHeight w:val="540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3. Número de manipuladores: a. La entidad contratista ha realizado la vinculación efectiva del número de personas, que se estipula para atender el servicio, de acuerdo con el número de niños, niñas y adolescentes „ el tipo de complemento alimentario y el tiempo necesario para su realización en el servicio.</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3. plan de sanemaiento &lt;sic&gt; a .La entidad contratista presenta evidencias practicas de completa ejecución del plan de saneamiento en técnicas de limpieza y desinfección de alimentos, menaje, equipos y espacios locativos de la unidad de servicio y personal manipulador de alimentos, control de plagas y roedores ,manejo adecuado de basuras, reciclaje de materiales , manejo del agua y capacitación al personal</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r>
      <w:tr w:rsidR="00F7484B">
        <w:trPr>
          <w:trHeight w:val="297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presenta incompleta temporalmente en algunas unidades de servicio la vinculación del número de personas, que se estipula para atender el servicio, de acuerdo con el número de niños, niñas y adolescentes , el tipo de complemento alimentario y el tiempo necesario para su realización en el servicio</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presenta evidencias incompletas de ejecución de algún componente del plan de saneamiento.</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r>
      <w:tr w:rsidR="00F7484B">
        <w:trPr>
          <w:trHeight w:val="270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 La entidad contratista presenta incompleta en todas las unidades de servicio la vinculación del número de personas, que se estipula para atender el servicio, de acuerdo con el número de niños, niñas y adolescentes, el tipo de complemento alimentario y el tiempo necesario para su realización en el servicio.</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presenta evidencias prácticas de la ejecución de los componentes del plan de saneamiento.</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r>
      <w:tr w:rsidR="00F7484B">
        <w:trPr>
          <w:trHeight w:val="270"/>
        </w:trPr>
        <w:tc>
          <w:tcPr>
            <w:tcW w:w="4680"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c>
          <w:tcPr>
            <w:tcW w:w="3675" w:type="dxa"/>
            <w:gridSpan w:val="2"/>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 xml:space="preserve"> </w:t>
            </w:r>
          </w:p>
        </w:tc>
      </w:tr>
      <w:tr w:rsidR="00F7484B">
        <w:trPr>
          <w:trHeight w:val="324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3. Capacitación continuada al personal a. La entidad contratista presenta plan de capacitación continuada a todo el personal manipulador de alimentos, almcenamiento,&lt;sic&gt; transporte, distribución, empaque) y responsable en las instituciones educativas, y lo ejecuta según el cronograma.</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3. diagnóstico de dotación y equipos a .La entidad contratista presenta evidencias de elaboración de diagnostico de necesidades de dotación y equipos por unidad de servicio y ha realizado acciones para el mejoramiento de necesidades.</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Verde</w:t>
            </w:r>
          </w:p>
        </w:tc>
      </w:tr>
      <w:tr w:rsidR="00F7484B">
        <w:trPr>
          <w:trHeight w:val="270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presenta plan de capacitación continuada a todo el personal manipulador de alimentos, almcenamiento,&lt;sic&gt; transporte, distribución, empaque) y responsable en las instituciones educativas, pero presenta incumplimiento a la ejecuiin &lt;sic&gt; según el cronograma.</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presenta evidencias de elaboración de diagnostico de necesidades de dotación y equipos por unidad de servicio pero no ha acciones para el mejoramiento de necesidades.</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amarillo</w:t>
            </w:r>
          </w:p>
        </w:tc>
      </w:tr>
      <w:tr w:rsidR="00F7484B">
        <w:trPr>
          <w:trHeight w:val="2160"/>
        </w:trPr>
        <w:tc>
          <w:tcPr>
            <w:tcW w:w="367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c. La entidad contratista no presenta plan de capacitación continuada a todo el personal manipulador de alimentos, almcenamiento,&lt;sic&gt; transporte, distribución, empaque) y responsable en las instituciones educativas.</w:t>
            </w:r>
          </w:p>
        </w:tc>
        <w:tc>
          <w:tcPr>
            <w:tcW w:w="100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c>
          <w:tcPr>
            <w:tcW w:w="2820"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b. La entidad contratista NO presenta evidencias de elaboración de diagnostico de necesidades de dotación y equipos por unidad de servicio.</w:t>
            </w:r>
          </w:p>
        </w:tc>
        <w:tc>
          <w:tcPr>
            <w:tcW w:w="855" w:type="dxa"/>
            <w:tcBorders>
              <w:top w:val="nil"/>
              <w:left w:val="nil"/>
              <w:bottom w:val="nil"/>
              <w:right w:val="nil"/>
            </w:tcBorders>
            <w:shd w:val="clear" w:color="auto" w:fill="auto"/>
            <w:tcMar>
              <w:top w:w="0" w:type="dxa"/>
              <w:left w:w="0" w:type="dxa"/>
              <w:bottom w:w="0" w:type="dxa"/>
              <w:right w:w="0" w:type="dxa"/>
            </w:tcMar>
          </w:tcPr>
          <w:p w:rsidR="00F7484B" w:rsidRDefault="000E27FB">
            <w:pPr>
              <w:spacing w:line="294" w:lineRule="auto"/>
              <w:jc w:val="both"/>
              <w:rPr>
                <w:rFonts w:ascii="Verdana" w:eastAsia="Verdana" w:hAnsi="Verdana" w:cs="Verdana"/>
              </w:rPr>
            </w:pPr>
            <w:r>
              <w:rPr>
                <w:rFonts w:ascii="Verdana" w:eastAsia="Verdana" w:hAnsi="Verdana" w:cs="Verdana"/>
              </w:rPr>
              <w:t>Rojo</w:t>
            </w:r>
          </w:p>
        </w:tc>
      </w:tr>
    </w:tbl>
    <w:p w:rsidR="00F7484B" w:rsidRDefault="000E27FB">
      <w:pPr>
        <w:shd w:val="clear" w:color="auto" w:fill="FFFFFF"/>
        <w:jc w:val="both"/>
        <w:rPr>
          <w:rFonts w:ascii="Verdana" w:eastAsia="Verdana" w:hAnsi="Verdana" w:cs="Verdana"/>
        </w:rPr>
      </w:pPr>
      <w:r>
        <w:rPr>
          <w:rFonts w:ascii="Verdana" w:eastAsia="Verdana" w:hAnsi="Verdana" w:cs="Verdana"/>
          <w:noProof/>
        </w:rPr>
        <w:drawing>
          <wp:inline distT="114300" distB="114300" distL="114300" distR="114300">
            <wp:extent cx="152400" cy="152400"/>
            <wp:effectExtent l="0" t="0" r="0" b="0"/>
            <wp:docPr id="1" name="image1.png" descr="Ir al inicio"/>
            <wp:cNvGraphicFramePr/>
            <a:graphic xmlns:a="http://schemas.openxmlformats.org/drawingml/2006/main">
              <a:graphicData uri="http://schemas.openxmlformats.org/drawingml/2006/picture">
                <pic:pic xmlns:pic="http://schemas.openxmlformats.org/drawingml/2006/picture">
                  <pic:nvPicPr>
                    <pic:cNvPr id="0" name="image1.png" descr="Ir al inicio"/>
                    <pic:cNvPicPr preferRelativeResize="0"/>
                  </pic:nvPicPr>
                  <pic:blipFill>
                    <a:blip r:embed="rId4"/>
                    <a:srcRect/>
                    <a:stretch>
                      <a:fillRect/>
                    </a:stretch>
                  </pic:blipFill>
                  <pic:spPr>
                    <a:xfrm>
                      <a:off x="0" y="0"/>
                      <a:ext cx="152400" cy="152400"/>
                    </a:xfrm>
                    <a:prstGeom prst="rect">
                      <a:avLst/>
                    </a:prstGeom>
                    <a:ln/>
                  </pic:spPr>
                </pic:pic>
              </a:graphicData>
            </a:graphic>
          </wp:inline>
        </w:drawing>
      </w:r>
    </w:p>
    <w:p w:rsidR="00F7484B" w:rsidRDefault="00F7484B">
      <w:pPr>
        <w:rPr>
          <w:rFonts w:ascii="Verdana" w:eastAsia="Verdana" w:hAnsi="Verdana" w:cs="Verdana"/>
        </w:rPr>
      </w:pPr>
    </w:p>
    <w:sectPr w:rsidR="00F7484B">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1AB484B-FAB7-4EE8-9215-3829D9453BC3}"/>
    <w:embedBold r:id="rId2" w:fontKey="{FA0C0C9D-CF17-428A-AA2A-DD041B3DC319}"/>
  </w:font>
  <w:font w:name="Calibri">
    <w:panose1 w:val="020F0502020204030204"/>
    <w:charset w:val="00"/>
    <w:family w:val="swiss"/>
    <w:pitch w:val="variable"/>
    <w:sig w:usb0="E4002EFF" w:usb1="C200247B" w:usb2="00000009" w:usb3="00000000" w:csb0="000001FF" w:csb1="00000000"/>
    <w:embedRegular r:id="rId3" w:fontKey="{F79A03C9-A65C-4FC1-95EE-445ABCA8D153}"/>
  </w:font>
  <w:font w:name="Cambria">
    <w:panose1 w:val="02040503050406030204"/>
    <w:charset w:val="00"/>
    <w:family w:val="roman"/>
    <w:pitch w:val="variable"/>
    <w:sig w:usb0="E00006FF" w:usb1="420024FF" w:usb2="02000000" w:usb3="00000000" w:csb0="0000019F" w:csb1="00000000"/>
    <w:embedRegular r:id="rId4" w:fontKey="{B33A47F6-C28B-472F-8668-AD907E1276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484B"/>
    <w:rsid w:val="000D1DB8"/>
    <w:rsid w:val="000E27FB"/>
    <w:rsid w:val="0073065A"/>
    <w:rsid w:val="00F748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9F949A-1643-4875-B51C-A6E49FA23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tcPr>
      <w:shd w:val="clear" w:color="auto" w:fill="FFFFFF"/>
    </w:tcPr>
  </w:style>
  <w:style w:type="table" w:customStyle="1" w:styleId="a0">
    <w:basedOn w:val="TableNormal"/>
    <w:tblPr>
      <w:tblStyleRowBandSize w:val="1"/>
      <w:tblStyleColBandSize w:val="1"/>
    </w:tblPr>
    <w:tcPr>
      <w:shd w:val="clear" w:color="auto" w:fill="FFFFFF"/>
    </w:tcPr>
  </w:style>
  <w:style w:type="table" w:customStyle="1" w:styleId="a1">
    <w:basedOn w:val="TableNormal"/>
    <w:tblPr>
      <w:tblStyleRowBandSize w:val="1"/>
      <w:tblStyleColBandSize w:val="1"/>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F191E37-CE3E-4EBE-BD71-A1829FAE0933}"/>
</file>

<file path=customXml/itemProps2.xml><?xml version="1.0" encoding="utf-8"?>
<ds:datastoreItem xmlns:ds="http://schemas.openxmlformats.org/officeDocument/2006/customXml" ds:itemID="{B1D39711-D68D-4866-9905-A31BECE86D70}"/>
</file>

<file path=customXml/itemProps3.xml><?xml version="1.0" encoding="utf-8"?>
<ds:datastoreItem xmlns:ds="http://schemas.openxmlformats.org/officeDocument/2006/customXml" ds:itemID="{0FBA8F90-1559-4479-85F6-4557A83B29C2}"/>
</file>

<file path=docProps/app.xml><?xml version="1.0" encoding="utf-8"?>
<Properties xmlns="http://schemas.openxmlformats.org/officeDocument/2006/extended-properties" xmlns:vt="http://schemas.openxmlformats.org/officeDocument/2006/docPropsVTypes">
  <Template>Normal</Template>
  <TotalTime>0</TotalTime>
  <Pages>3</Pages>
  <Words>2475</Words>
  <Characters>13615</Characters>
  <Application>Microsoft Office Word</Application>
  <DocSecurity>0</DocSecurity>
  <Lines>113</Lines>
  <Paragraphs>32</Paragraphs>
  <ScaleCrop>false</ScaleCrop>
  <Company/>
  <LinksUpToDate>false</LinksUpToDate>
  <CharactersWithSpaces>16058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Jose Patricio Lizca Alvarez</cp:lastModifiedBy>
  <cp:revision>2</cp:revision>
  <dcterms:created xsi:type="dcterms:W3CDTF">2026-04-22T10:47:00Z</dcterms:created>
  <dcterms:modified xsi:type="dcterms:W3CDTF">2026-04-22T10:47:00Z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