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83BDB4" w14:textId="77777777" w:rsidR="000D0103" w:rsidRPr="000D0103" w:rsidRDefault="000D0103" w:rsidP="000D0103">
      <w:pPr>
        <w:jc w:val="center"/>
        <w:rPr>
          <w:rFonts w:ascii="Verdana" w:hAnsi="Verdana"/>
          <w:b/>
          <w:bCs/>
          <w:sz w:val="22"/>
          <w:szCs w:val="22"/>
        </w:rPr>
      </w:pPr>
      <w:r w:rsidRPr="000D0103">
        <w:rPr>
          <w:rFonts w:ascii="Verdana" w:hAnsi="Verdana"/>
          <w:b/>
          <w:bCs/>
          <w:sz w:val="22"/>
          <w:szCs w:val="22"/>
        </w:rPr>
        <w:t>CIRCULAR 19 DE 2003</w:t>
      </w:r>
    </w:p>
    <w:p w14:paraId="5211738A" w14:textId="77777777" w:rsidR="000D0103" w:rsidRPr="000D0103" w:rsidRDefault="000D0103" w:rsidP="000D0103">
      <w:pPr>
        <w:jc w:val="center"/>
        <w:rPr>
          <w:rFonts w:ascii="Verdana" w:hAnsi="Verdana"/>
          <w:b/>
          <w:bCs/>
          <w:sz w:val="22"/>
          <w:szCs w:val="22"/>
        </w:rPr>
      </w:pPr>
      <w:r w:rsidRPr="000D0103">
        <w:rPr>
          <w:rFonts w:ascii="Verdana" w:hAnsi="Verdana"/>
          <w:b/>
          <w:bCs/>
          <w:sz w:val="22"/>
          <w:szCs w:val="22"/>
        </w:rPr>
        <w:t>(29 octubre)</w:t>
      </w:r>
    </w:p>
    <w:p w14:paraId="0D63AAE2" w14:textId="77777777" w:rsidR="000D0103" w:rsidRPr="000D0103" w:rsidRDefault="000D0103" w:rsidP="000D0103">
      <w:pPr>
        <w:jc w:val="center"/>
        <w:rPr>
          <w:rFonts w:ascii="Verdana" w:hAnsi="Verdana"/>
          <w:b/>
          <w:bCs/>
          <w:sz w:val="22"/>
          <w:szCs w:val="22"/>
        </w:rPr>
      </w:pPr>
      <w:r w:rsidRPr="000D0103">
        <w:rPr>
          <w:rFonts w:ascii="Verdana" w:hAnsi="Verdana"/>
          <w:b/>
          <w:bCs/>
          <w:sz w:val="22"/>
          <w:szCs w:val="22"/>
        </w:rPr>
        <w:t>INSTITUTO COLOMBIANO DE BIENESTAR FAMILIAR</w:t>
      </w:r>
    </w:p>
    <w:p w14:paraId="439F693C" w14:textId="77777777" w:rsidR="000D0103" w:rsidRPr="000D0103" w:rsidRDefault="000D0103" w:rsidP="000D0103">
      <w:pPr>
        <w:jc w:val="both"/>
        <w:rPr>
          <w:rFonts w:ascii="Verdana" w:hAnsi="Verdana"/>
          <w:sz w:val="22"/>
          <w:szCs w:val="22"/>
        </w:rPr>
      </w:pPr>
      <w:r w:rsidRPr="000D0103">
        <w:rPr>
          <w:rFonts w:ascii="Verdana" w:hAnsi="Verdana"/>
          <w:sz w:val="22"/>
          <w:szCs w:val="22"/>
        </w:rPr>
        <w:t>Bogotá, DC 29 de Octubre de 2003.</w:t>
      </w:r>
    </w:p>
    <w:p w14:paraId="5594F810" w14:textId="77777777" w:rsidR="000D0103" w:rsidRPr="000D0103" w:rsidRDefault="000D0103" w:rsidP="000D0103">
      <w:pPr>
        <w:jc w:val="both"/>
        <w:rPr>
          <w:rFonts w:ascii="Verdana" w:hAnsi="Verdana"/>
          <w:sz w:val="22"/>
          <w:szCs w:val="22"/>
        </w:rPr>
      </w:pPr>
      <w:r w:rsidRPr="000D0103">
        <w:rPr>
          <w:rFonts w:ascii="Verdana" w:hAnsi="Verdana"/>
          <w:sz w:val="22"/>
          <w:szCs w:val="22"/>
        </w:rPr>
        <w:t>Para: Directores regionales, secretaría general, directores, subdirectores, jefes de oficina y contadores</w:t>
      </w:r>
    </w:p>
    <w:p w14:paraId="4EFD72C6" w14:textId="77777777" w:rsidR="000D0103" w:rsidRPr="000D0103" w:rsidRDefault="000D0103" w:rsidP="000D0103">
      <w:pPr>
        <w:jc w:val="both"/>
        <w:rPr>
          <w:rFonts w:ascii="Verdana" w:hAnsi="Verdana"/>
          <w:sz w:val="22"/>
          <w:szCs w:val="22"/>
        </w:rPr>
      </w:pPr>
      <w:r w:rsidRPr="000D0103">
        <w:rPr>
          <w:rFonts w:ascii="Verdana" w:hAnsi="Verdana"/>
          <w:sz w:val="22"/>
          <w:szCs w:val="22"/>
        </w:rPr>
        <w:t>De: Dirección general del i.c.b.f.</w:t>
      </w:r>
    </w:p>
    <w:p w14:paraId="6C290485" w14:textId="77777777" w:rsidR="000D0103" w:rsidRPr="000D0103" w:rsidRDefault="000D0103" w:rsidP="000D0103">
      <w:pPr>
        <w:jc w:val="both"/>
        <w:rPr>
          <w:rFonts w:ascii="Verdana" w:hAnsi="Verdana"/>
          <w:sz w:val="22"/>
          <w:szCs w:val="22"/>
        </w:rPr>
      </w:pPr>
      <w:r w:rsidRPr="000D0103">
        <w:rPr>
          <w:rFonts w:ascii="Verdana" w:hAnsi="Verdana"/>
          <w:sz w:val="22"/>
          <w:szCs w:val="22"/>
        </w:rPr>
        <w:t>Asunto: Saneamiento contable de los estados financieros del instituto</w:t>
      </w:r>
    </w:p>
    <w:p w14:paraId="7C9F6669" w14:textId="26F26E7E" w:rsidR="000D0103" w:rsidRPr="000D0103" w:rsidRDefault="000D0103" w:rsidP="000D0103">
      <w:pPr>
        <w:jc w:val="both"/>
        <w:rPr>
          <w:rFonts w:ascii="Verdana" w:hAnsi="Verdana"/>
          <w:sz w:val="22"/>
          <w:szCs w:val="22"/>
        </w:rPr>
      </w:pPr>
      <w:r w:rsidRPr="000D0103">
        <w:rPr>
          <w:rFonts w:ascii="Verdana" w:hAnsi="Verdana"/>
          <w:sz w:val="22"/>
          <w:szCs w:val="22"/>
        </w:rPr>
        <w:t>Como es de su conocimiento, la Ley</w:t>
      </w:r>
      <w:r>
        <w:rPr>
          <w:rFonts w:ascii="Verdana" w:hAnsi="Verdana"/>
          <w:sz w:val="22"/>
          <w:szCs w:val="22"/>
        </w:rPr>
        <w:t xml:space="preserve"> 716</w:t>
      </w:r>
      <w:r w:rsidRPr="000D0103">
        <w:rPr>
          <w:rFonts w:ascii="Verdana" w:hAnsi="Verdana"/>
          <w:sz w:val="22"/>
          <w:szCs w:val="22"/>
        </w:rPr>
        <w:t> de 2001 establece la obligatoriedad de los entes del Sector Público, de adelantar las gestiones administrativas necesarias para depurar la información contable, de manera que los estados financieros revelen en forma fidedigna la realidad económica, financiera y patrimonial de las entidades, y fija la competencia y responsabilidad en el máximo organismo colegiado de dirección, que para el caso del Instituto es el Consejo Directivo.</w:t>
      </w:r>
    </w:p>
    <w:p w14:paraId="0A28D358" w14:textId="77777777" w:rsidR="000D0103" w:rsidRPr="000D0103" w:rsidRDefault="000D0103" w:rsidP="000D0103">
      <w:pPr>
        <w:jc w:val="both"/>
        <w:rPr>
          <w:rFonts w:ascii="Verdana" w:hAnsi="Verdana"/>
          <w:sz w:val="22"/>
          <w:szCs w:val="22"/>
        </w:rPr>
      </w:pPr>
      <w:r w:rsidRPr="000D0103">
        <w:rPr>
          <w:rFonts w:ascii="Verdana" w:hAnsi="Verdana"/>
          <w:sz w:val="22"/>
          <w:szCs w:val="22"/>
        </w:rPr>
        <w:t>En cumplimiento de la citada disposición, de los decretos 1282 de 2003; 1914 y 1915 de 2003, de la Circular Externa 050 de 2002, la Carta Circular 042 de 2003 y demás normas y procedimientos expedidos por la Contaduría General de la Nación, la situación financiera, económica y social del Instituto, deberá contar con la totalidad de los bienes, derechos y obligaciones y la situación del patrimonio </w:t>
      </w:r>
      <w:r w:rsidRPr="000D0103">
        <w:rPr>
          <w:rFonts w:ascii="Verdana" w:hAnsi="Verdana"/>
          <w:b/>
          <w:bCs/>
          <w:sz w:val="22"/>
          <w:szCs w:val="22"/>
        </w:rPr>
        <w:t>debidamente soportados y depurados en un 100% a más tardar el próximo 31 de diciembre del año en curso.</w:t>
      </w:r>
    </w:p>
    <w:p w14:paraId="5B407A8F" w14:textId="77777777" w:rsidR="000D0103" w:rsidRPr="000D0103" w:rsidRDefault="000D0103" w:rsidP="000D0103">
      <w:pPr>
        <w:jc w:val="both"/>
        <w:rPr>
          <w:rFonts w:ascii="Verdana" w:hAnsi="Verdana"/>
          <w:sz w:val="22"/>
          <w:szCs w:val="22"/>
        </w:rPr>
      </w:pPr>
      <w:r w:rsidRPr="000D0103">
        <w:rPr>
          <w:rFonts w:ascii="Verdana" w:hAnsi="Verdana"/>
          <w:sz w:val="22"/>
          <w:szCs w:val="22"/>
        </w:rPr>
        <w:t>A efectos de lo anterior, el Instituto contará la dirección de la firma consultora Edgar Nieto &amp; Asociados y coordinada por la doctora Carmen Rosa Cortés Rodríguez, por tanto solicito en forma especial poner a disposición de la doctora Cortés y su equipo de trabajo, a más tardar el próximo lunes 10 de noviembre, </w:t>
      </w:r>
      <w:r w:rsidRPr="000D0103">
        <w:rPr>
          <w:rFonts w:ascii="Verdana" w:hAnsi="Verdana"/>
          <w:b/>
          <w:bCs/>
          <w:sz w:val="22"/>
          <w:szCs w:val="22"/>
        </w:rPr>
        <w:t>los soportes físicos debidamente legalizados</w:t>
      </w:r>
      <w:r w:rsidRPr="000D0103">
        <w:rPr>
          <w:rFonts w:ascii="Verdana" w:hAnsi="Verdana"/>
          <w:sz w:val="22"/>
          <w:szCs w:val="22"/>
        </w:rPr>
        <w:t>, que respaldan la existencia de cada uno de los registros auxiliares que aparecen en la contabilidad, representativos de los bienes, derechos y obligaciones tanto reales como potenciales (demandas o litigios en contra o a favor).</w:t>
      </w:r>
    </w:p>
    <w:p w14:paraId="53AAA481" w14:textId="77777777" w:rsidR="000D0103" w:rsidRPr="000D0103" w:rsidRDefault="000D0103" w:rsidP="000D0103">
      <w:pPr>
        <w:jc w:val="both"/>
        <w:rPr>
          <w:rFonts w:ascii="Verdana" w:hAnsi="Verdana"/>
          <w:sz w:val="22"/>
          <w:szCs w:val="22"/>
        </w:rPr>
      </w:pPr>
      <w:r w:rsidRPr="000D0103">
        <w:rPr>
          <w:rFonts w:ascii="Verdana" w:hAnsi="Verdana"/>
          <w:sz w:val="22"/>
          <w:szCs w:val="22"/>
        </w:rPr>
        <w:t>Debe entenderse por documento físico debidamente legalizado, aquel que ha sido expedido por funcionario competente, es original o auténtico y para el caso de las obligaciones</w:t>
      </w:r>
      <w:r w:rsidRPr="000D0103">
        <w:rPr>
          <w:rFonts w:ascii="Verdana" w:hAnsi="Verdana"/>
          <w:b/>
          <w:bCs/>
          <w:sz w:val="22"/>
          <w:szCs w:val="22"/>
          <w:vertAlign w:val="superscript"/>
        </w:rPr>
        <w:t>[1</w:t>
      </w:r>
      <w:r w:rsidRPr="000D0103">
        <w:rPr>
          <w:rFonts w:ascii="Verdana" w:hAnsi="Verdana"/>
          <w:sz w:val="22"/>
          <w:szCs w:val="22"/>
        </w:rPr>
        <w:t>  pendientes de pago tiene el respectivo registro presupuestal. En el evento que existan obligaciones que carezcan de este requisito deberán ponerse a disposición del equipo de saneamiento contable para los fines pertinentes.</w:t>
      </w:r>
    </w:p>
    <w:p w14:paraId="5475B98F" w14:textId="77777777" w:rsidR="000D0103" w:rsidRPr="000D0103" w:rsidRDefault="000D0103" w:rsidP="000D0103">
      <w:pPr>
        <w:jc w:val="both"/>
        <w:rPr>
          <w:rFonts w:ascii="Verdana" w:hAnsi="Verdana"/>
          <w:sz w:val="22"/>
          <w:szCs w:val="22"/>
        </w:rPr>
      </w:pPr>
      <w:r w:rsidRPr="000D0103">
        <w:rPr>
          <w:rFonts w:ascii="Verdana" w:hAnsi="Verdana"/>
          <w:sz w:val="22"/>
          <w:szCs w:val="22"/>
        </w:rPr>
        <w:lastRenderedPageBreak/>
        <w:t>En todo caso, y tendiendo en cuenta que en algunas Regionales se han hecho algunos avances en el proceso de depuración de las cuentas del balance, es preciso que se haga entrega de la documentación que soporta las respectivas propuestas de ajuste.</w:t>
      </w:r>
    </w:p>
    <w:p w14:paraId="435C94D7" w14:textId="77777777" w:rsidR="000D0103" w:rsidRPr="000D0103" w:rsidRDefault="000D0103" w:rsidP="000D0103">
      <w:pPr>
        <w:jc w:val="both"/>
        <w:rPr>
          <w:rFonts w:ascii="Verdana" w:hAnsi="Verdana"/>
          <w:sz w:val="22"/>
          <w:szCs w:val="22"/>
        </w:rPr>
      </w:pPr>
      <w:r w:rsidRPr="000D0103">
        <w:rPr>
          <w:rFonts w:ascii="Verdana" w:hAnsi="Verdana"/>
          <w:sz w:val="22"/>
          <w:szCs w:val="22"/>
        </w:rPr>
        <w:t>La fecha de corte establecida para llevar a cabo el programa de saneamiento contable es el 30 de septiembre del año en curso.</w:t>
      </w:r>
    </w:p>
    <w:p w14:paraId="51C6D98A" w14:textId="77777777" w:rsidR="000D0103" w:rsidRPr="000D0103" w:rsidRDefault="000D0103" w:rsidP="000D0103">
      <w:pPr>
        <w:jc w:val="both"/>
        <w:rPr>
          <w:rFonts w:ascii="Verdana" w:hAnsi="Verdana"/>
          <w:sz w:val="22"/>
          <w:szCs w:val="22"/>
        </w:rPr>
      </w:pPr>
      <w:r w:rsidRPr="000D0103">
        <w:rPr>
          <w:rFonts w:ascii="Verdana" w:hAnsi="Verdana"/>
          <w:sz w:val="22"/>
          <w:szCs w:val="22"/>
        </w:rPr>
        <w:t>Para mayor claridad y celeridad a continuación se indican algunos de los documentos que sirven para soportar los registros contables:</w:t>
      </w:r>
    </w:p>
    <w:p w14:paraId="54947061" w14:textId="77777777" w:rsidR="000D0103" w:rsidRPr="000D0103" w:rsidRDefault="000D0103" w:rsidP="000D0103">
      <w:pPr>
        <w:numPr>
          <w:ilvl w:val="0"/>
          <w:numId w:val="1"/>
        </w:numPr>
        <w:jc w:val="both"/>
        <w:rPr>
          <w:rFonts w:ascii="Verdana" w:hAnsi="Verdana"/>
          <w:sz w:val="22"/>
          <w:szCs w:val="22"/>
        </w:rPr>
      </w:pPr>
      <w:r w:rsidRPr="000D0103">
        <w:rPr>
          <w:rFonts w:ascii="Verdana" w:hAnsi="Verdana"/>
          <w:sz w:val="22"/>
          <w:szCs w:val="22"/>
        </w:rPr>
        <w:t>Copia de las respectivas conciliaciones bancarias e identificación de las partidas conciliatorias donde se pueda establecer su antigüedad y valor.</w:t>
      </w:r>
    </w:p>
    <w:p w14:paraId="5DA80CA2" w14:textId="77777777" w:rsidR="000D0103" w:rsidRPr="000D0103" w:rsidRDefault="000D0103" w:rsidP="000D0103">
      <w:pPr>
        <w:jc w:val="both"/>
        <w:rPr>
          <w:rFonts w:ascii="Verdana" w:hAnsi="Verdana"/>
          <w:sz w:val="22"/>
          <w:szCs w:val="22"/>
        </w:rPr>
      </w:pPr>
      <w:r w:rsidRPr="000D0103">
        <w:rPr>
          <w:rFonts w:ascii="Verdana" w:hAnsi="Verdana"/>
          <w:sz w:val="22"/>
          <w:szCs w:val="22"/>
        </w:rPr>
        <w:t>Relación de las cuentas inactivas con indicación del valor y el último movimiento.</w:t>
      </w:r>
    </w:p>
    <w:p w14:paraId="12F98310" w14:textId="77777777" w:rsidR="000D0103" w:rsidRPr="000D0103" w:rsidRDefault="000D0103" w:rsidP="000D0103">
      <w:pPr>
        <w:jc w:val="both"/>
        <w:rPr>
          <w:rFonts w:ascii="Verdana" w:hAnsi="Verdana"/>
          <w:sz w:val="22"/>
          <w:szCs w:val="22"/>
        </w:rPr>
      </w:pPr>
      <w:r w:rsidRPr="000D0103">
        <w:rPr>
          <w:rFonts w:ascii="Verdana" w:hAnsi="Verdana"/>
          <w:sz w:val="22"/>
          <w:szCs w:val="22"/>
        </w:rPr>
        <w:t>Copia de la base de datos donde se detalle el valor nominal, fecha de vencimiento y tasa de los TES.</w:t>
      </w:r>
    </w:p>
    <w:p w14:paraId="0925B8FC" w14:textId="77777777" w:rsidR="000D0103" w:rsidRPr="000D0103" w:rsidRDefault="000D0103" w:rsidP="000D0103">
      <w:pPr>
        <w:jc w:val="both"/>
        <w:rPr>
          <w:rFonts w:ascii="Verdana" w:hAnsi="Verdana"/>
          <w:sz w:val="22"/>
          <w:szCs w:val="22"/>
        </w:rPr>
      </w:pPr>
      <w:r w:rsidRPr="000D0103">
        <w:rPr>
          <w:rFonts w:ascii="Verdana" w:hAnsi="Verdana"/>
          <w:sz w:val="22"/>
          <w:szCs w:val="22"/>
        </w:rPr>
        <w:t>Relación de las inversiones en entidades privadas donde se indique número del título, entidad, valor nominal, valor intrínseco, número de acciones y demás datos que permitan tener un conocimiento claro sobre las mismas.</w:t>
      </w:r>
    </w:p>
    <w:p w14:paraId="0736498F" w14:textId="77777777" w:rsidR="000D0103" w:rsidRPr="000D0103" w:rsidRDefault="000D0103" w:rsidP="000D0103">
      <w:pPr>
        <w:jc w:val="both"/>
        <w:rPr>
          <w:rFonts w:ascii="Verdana" w:hAnsi="Verdana"/>
          <w:sz w:val="22"/>
          <w:szCs w:val="22"/>
        </w:rPr>
      </w:pPr>
      <w:r w:rsidRPr="000D0103">
        <w:rPr>
          <w:rFonts w:ascii="Verdana" w:hAnsi="Verdana"/>
          <w:sz w:val="22"/>
          <w:szCs w:val="22"/>
        </w:rPr>
        <w:t>Documentos que acrediten el valor de los derechos por concepto de transferencias del gobierno nacional.</w:t>
      </w:r>
    </w:p>
    <w:p w14:paraId="48B0944B" w14:textId="77777777" w:rsidR="000D0103" w:rsidRPr="000D0103" w:rsidRDefault="000D0103" w:rsidP="000D0103">
      <w:pPr>
        <w:jc w:val="both"/>
        <w:rPr>
          <w:rFonts w:ascii="Verdana" w:hAnsi="Verdana"/>
          <w:sz w:val="22"/>
          <w:szCs w:val="22"/>
        </w:rPr>
      </w:pPr>
      <w:r w:rsidRPr="000D0103">
        <w:rPr>
          <w:rFonts w:ascii="Verdana" w:hAnsi="Verdana"/>
          <w:sz w:val="22"/>
          <w:szCs w:val="22"/>
        </w:rPr>
        <w:t>Copia de las liquidaciones debidamente ejecutoriadas, que soporten el valor de los aportes y cotizaciones (pagarés, resoluciones, acuerdos y convenios de pago, jurisdicción coactiva) y de los documentos donde se refleje la gestión de cobro adelantada por cada Seccional hasta la fecha para cada uno de los casos citados; estos documentos deberán clasificarse por vigencia y aportar el medio magnético con la información al mayor grado de detalle.</w:t>
      </w:r>
    </w:p>
    <w:p w14:paraId="3935D491" w14:textId="77777777" w:rsidR="000D0103" w:rsidRPr="000D0103" w:rsidRDefault="000D0103" w:rsidP="000D0103">
      <w:pPr>
        <w:numPr>
          <w:ilvl w:val="0"/>
          <w:numId w:val="2"/>
        </w:numPr>
        <w:jc w:val="both"/>
        <w:rPr>
          <w:rFonts w:ascii="Verdana" w:hAnsi="Verdana"/>
          <w:sz w:val="22"/>
          <w:szCs w:val="22"/>
        </w:rPr>
      </w:pPr>
      <w:r w:rsidRPr="000D0103">
        <w:rPr>
          <w:rFonts w:ascii="Verdana" w:hAnsi="Verdana"/>
          <w:sz w:val="22"/>
          <w:szCs w:val="22"/>
        </w:rPr>
        <w:t>Relación y soportes documentales que respaldan el valor de los préstamos concedidos, clasificados por vigencias (indicar fecha de causación), donde se incluya Nit, cédula de ciudadanía y/o nombre o razón social, domicilio o dirección y, valor discriminando capital e intereses causados a la fecha de corte.</w:t>
      </w:r>
    </w:p>
    <w:p w14:paraId="612897EA" w14:textId="77777777" w:rsidR="000D0103" w:rsidRPr="000D0103" w:rsidRDefault="000D0103" w:rsidP="000D0103">
      <w:pPr>
        <w:jc w:val="both"/>
        <w:rPr>
          <w:rFonts w:ascii="Verdana" w:hAnsi="Verdana"/>
          <w:sz w:val="22"/>
          <w:szCs w:val="22"/>
        </w:rPr>
      </w:pPr>
      <w:r w:rsidRPr="000D0103">
        <w:rPr>
          <w:rFonts w:ascii="Verdana" w:hAnsi="Verdana"/>
          <w:sz w:val="22"/>
          <w:szCs w:val="22"/>
        </w:rPr>
        <w:t>Copia de la relación y documentos que soportan los contratos suscritos, liquidados y en ejecución, donde se pueda establecer el valor de los anticipos pendientes de legalizar por concepto de adquisición de bienes o servicios. En el evento que existan contratos terminados cuyo objeto se haya cumplido a satisfacción indicarlo así en la relación, si por el contrario, hay contratos que se encuentran en proceso jurídico o de reclamación informar la instancia en que se encuentran.</w:t>
      </w:r>
    </w:p>
    <w:p w14:paraId="6D58D2A8" w14:textId="77777777" w:rsidR="000D0103" w:rsidRPr="000D0103" w:rsidRDefault="000D0103" w:rsidP="000D0103">
      <w:pPr>
        <w:jc w:val="both"/>
        <w:rPr>
          <w:rFonts w:ascii="Verdana" w:hAnsi="Verdana"/>
          <w:sz w:val="22"/>
          <w:szCs w:val="22"/>
        </w:rPr>
      </w:pPr>
      <w:r w:rsidRPr="000D0103">
        <w:rPr>
          <w:rFonts w:ascii="Verdana" w:hAnsi="Verdana"/>
          <w:sz w:val="22"/>
          <w:szCs w:val="22"/>
        </w:rPr>
        <w:lastRenderedPageBreak/>
        <w:t>Copia o evidencia documental debidamente legalizada, que soporta el valor de los anticipos sobre convenios y acuerdos, avances para viáticos y gastos de viaje y/o para proyectos de inversión.</w:t>
      </w:r>
    </w:p>
    <w:p w14:paraId="03967165" w14:textId="77777777" w:rsidR="000D0103" w:rsidRPr="000D0103" w:rsidRDefault="000D0103" w:rsidP="000D0103">
      <w:pPr>
        <w:jc w:val="both"/>
        <w:rPr>
          <w:rFonts w:ascii="Verdana" w:hAnsi="Verdana"/>
          <w:sz w:val="22"/>
          <w:szCs w:val="22"/>
        </w:rPr>
      </w:pPr>
      <w:r w:rsidRPr="000D0103">
        <w:rPr>
          <w:rFonts w:ascii="Verdana" w:hAnsi="Verdana"/>
          <w:sz w:val="22"/>
          <w:szCs w:val="22"/>
        </w:rPr>
        <w:t>Copia debidamente legalizada de los contratos que soportan la entrega de recursos para a adquisición de bienes, o entregados en administración (Bienestarina - sistematización, fideicomisos etc.)</w:t>
      </w:r>
    </w:p>
    <w:p w14:paraId="3D88D4A2" w14:textId="77777777" w:rsidR="000D0103" w:rsidRPr="000D0103" w:rsidRDefault="000D0103" w:rsidP="000D0103">
      <w:pPr>
        <w:jc w:val="both"/>
        <w:rPr>
          <w:rFonts w:ascii="Verdana" w:hAnsi="Verdana"/>
          <w:sz w:val="22"/>
          <w:szCs w:val="22"/>
        </w:rPr>
      </w:pPr>
      <w:r w:rsidRPr="000D0103">
        <w:rPr>
          <w:rFonts w:ascii="Verdana" w:hAnsi="Verdana"/>
          <w:sz w:val="22"/>
          <w:szCs w:val="22"/>
        </w:rPr>
        <w:t>Copia del reglamento de créditos a empleados, copia de los contratos y garantías suscritas por los deudores que aparecen en las bases de datos con saldos pendientes de pago, separar los funcionarios activos y exfuncionarios, clasificar por vigencia. Aportar la información correspondiente en medio magnético. En todo caso deberá indicarse el valor de los intereses causados hasta la fecha de corte (rendimientos de deudores).</w:t>
      </w:r>
    </w:p>
    <w:p w14:paraId="45521362" w14:textId="77777777" w:rsidR="000D0103" w:rsidRPr="000D0103" w:rsidRDefault="000D0103" w:rsidP="000D0103">
      <w:pPr>
        <w:jc w:val="both"/>
        <w:rPr>
          <w:rFonts w:ascii="Verdana" w:hAnsi="Verdana"/>
          <w:sz w:val="22"/>
          <w:szCs w:val="22"/>
        </w:rPr>
      </w:pPr>
      <w:r w:rsidRPr="000D0103">
        <w:rPr>
          <w:rFonts w:ascii="Verdana" w:hAnsi="Verdana"/>
          <w:sz w:val="22"/>
          <w:szCs w:val="22"/>
        </w:rPr>
        <w:t>Relación en medio impreso y magnético de los cheques devueltos donde se incluya entre otros fecha de giro, banco, valor, girador, origen de la operación y fecha de la última consignación.</w:t>
      </w:r>
    </w:p>
    <w:p w14:paraId="78BE69D8" w14:textId="77777777" w:rsidR="000D0103" w:rsidRPr="000D0103" w:rsidRDefault="000D0103" w:rsidP="000D0103">
      <w:pPr>
        <w:jc w:val="both"/>
        <w:rPr>
          <w:rFonts w:ascii="Verdana" w:hAnsi="Verdana"/>
          <w:sz w:val="22"/>
          <w:szCs w:val="22"/>
        </w:rPr>
      </w:pPr>
      <w:r w:rsidRPr="000D0103">
        <w:rPr>
          <w:rFonts w:ascii="Verdana" w:hAnsi="Verdana"/>
          <w:sz w:val="22"/>
          <w:szCs w:val="22"/>
        </w:rPr>
        <w:t>Copia del acto administrativo que autorizó el traslado de los deudores a difícil cobro (préstamos a madres comunitarias, aportes y cotizaciones, de las políticas o instrucciones impartidas a nivel institucional sobre el tema, incluyendo la constitución de provisiones)</w:t>
      </w:r>
    </w:p>
    <w:p w14:paraId="3BEF7C1B" w14:textId="77777777" w:rsidR="000D0103" w:rsidRPr="000D0103" w:rsidRDefault="000D0103" w:rsidP="000D0103">
      <w:pPr>
        <w:jc w:val="both"/>
        <w:rPr>
          <w:rFonts w:ascii="Verdana" w:hAnsi="Verdana"/>
          <w:sz w:val="22"/>
          <w:szCs w:val="22"/>
        </w:rPr>
      </w:pPr>
      <w:r w:rsidRPr="000D0103">
        <w:rPr>
          <w:rFonts w:ascii="Verdana" w:hAnsi="Verdana"/>
          <w:sz w:val="22"/>
          <w:szCs w:val="22"/>
        </w:rPr>
        <w:t>Relación de bienes que justifican los saldos registrados en la cuenta de inventarios.</w:t>
      </w:r>
    </w:p>
    <w:p w14:paraId="6D78DC5E" w14:textId="77777777" w:rsidR="000D0103" w:rsidRPr="000D0103" w:rsidRDefault="000D0103" w:rsidP="000D0103">
      <w:pPr>
        <w:jc w:val="both"/>
        <w:rPr>
          <w:rFonts w:ascii="Verdana" w:hAnsi="Verdana"/>
          <w:sz w:val="22"/>
          <w:szCs w:val="22"/>
        </w:rPr>
      </w:pPr>
      <w:r w:rsidRPr="000D0103">
        <w:rPr>
          <w:rFonts w:ascii="Verdana" w:hAnsi="Verdana"/>
          <w:sz w:val="22"/>
          <w:szCs w:val="22"/>
        </w:rPr>
        <w:t>Copia del último informe remitido a la Contaduría General de la Nación relacionado con los bienes inmuebles y de los respectivos certificados de tradición y libertad. En el caso que no se tenga la evidencia documentaria que acredite la propiedad de algunos de estos bienes aportar los documentos que acrediten la posesión sobre los mismos por parte del instituto. En todo caso la documentación e información deberá clasificarse en: Inmuebles en uso, no explotados (es decir no están en uso por parte del Instituto ni sobre los mismos se recibe alguna renta), en poder de terceros, en comodato, recibidos en dación de pago, recibidos o entregados en administración, inservibles, nuevos en bodega y, aquellos que están pendientes por legalizar.</w:t>
      </w:r>
    </w:p>
    <w:p w14:paraId="50AAE3B4" w14:textId="77777777" w:rsidR="000D0103" w:rsidRPr="000D0103" w:rsidRDefault="000D0103" w:rsidP="000D0103">
      <w:pPr>
        <w:jc w:val="both"/>
        <w:rPr>
          <w:rFonts w:ascii="Verdana" w:hAnsi="Verdana"/>
          <w:sz w:val="22"/>
          <w:szCs w:val="22"/>
        </w:rPr>
      </w:pPr>
      <w:r w:rsidRPr="000D0103">
        <w:rPr>
          <w:rFonts w:ascii="Verdana" w:hAnsi="Verdana"/>
          <w:sz w:val="22"/>
          <w:szCs w:val="22"/>
        </w:rPr>
        <w:t>Cuadro analítico donde se refleje el proceso de homologación de los grupos de inventario según el respectivo Kárdex de inventarios y cada una de las cuentas del activo.</w:t>
      </w:r>
    </w:p>
    <w:p w14:paraId="46EE5D69" w14:textId="77777777" w:rsidR="000D0103" w:rsidRPr="000D0103" w:rsidRDefault="000D0103" w:rsidP="000D0103">
      <w:pPr>
        <w:jc w:val="both"/>
        <w:rPr>
          <w:rFonts w:ascii="Verdana" w:hAnsi="Verdana"/>
          <w:sz w:val="22"/>
          <w:szCs w:val="22"/>
        </w:rPr>
      </w:pPr>
      <w:r w:rsidRPr="000D0103">
        <w:rPr>
          <w:rFonts w:ascii="Verdana" w:hAnsi="Verdana"/>
          <w:sz w:val="22"/>
          <w:szCs w:val="22"/>
        </w:rPr>
        <w:t>Relación en medio magnético y evidencia documentaria que soporta el valor de los bienes recibidos en dación en pago, en comodato o entregados en administración.</w:t>
      </w:r>
    </w:p>
    <w:p w14:paraId="41826A00" w14:textId="77777777" w:rsidR="000D0103" w:rsidRPr="000D0103" w:rsidRDefault="000D0103" w:rsidP="000D0103">
      <w:pPr>
        <w:jc w:val="both"/>
        <w:rPr>
          <w:rFonts w:ascii="Verdana" w:hAnsi="Verdana"/>
          <w:sz w:val="22"/>
          <w:szCs w:val="22"/>
        </w:rPr>
      </w:pPr>
      <w:r w:rsidRPr="000D0103">
        <w:rPr>
          <w:rFonts w:ascii="Verdana" w:hAnsi="Verdana"/>
          <w:sz w:val="22"/>
          <w:szCs w:val="22"/>
        </w:rPr>
        <w:t>Relación de los funcionarios, exfuncionarios o contratistas con su número de identificación y dirección o domicilio y monto de la responsabilidad, indicando en todo caso la fecha de causación.</w:t>
      </w:r>
    </w:p>
    <w:p w14:paraId="43294835" w14:textId="77777777" w:rsidR="000D0103" w:rsidRPr="000D0103" w:rsidRDefault="000D0103" w:rsidP="000D0103">
      <w:pPr>
        <w:jc w:val="both"/>
        <w:rPr>
          <w:rFonts w:ascii="Verdana" w:hAnsi="Verdana"/>
          <w:sz w:val="22"/>
          <w:szCs w:val="22"/>
        </w:rPr>
      </w:pPr>
      <w:r w:rsidRPr="000D0103">
        <w:rPr>
          <w:rFonts w:ascii="Verdana" w:hAnsi="Verdana"/>
          <w:sz w:val="22"/>
          <w:szCs w:val="22"/>
        </w:rPr>
        <w:t>Como punto de control y cruce se requieren los Estados de Cuenta por proveedor debidamente suscritos por los responsables de la respectiva dependencia.</w:t>
      </w:r>
    </w:p>
    <w:p w14:paraId="21C3FAAA" w14:textId="77777777" w:rsidR="000D0103" w:rsidRPr="000D0103" w:rsidRDefault="000D0103" w:rsidP="000D0103">
      <w:pPr>
        <w:jc w:val="both"/>
        <w:rPr>
          <w:rFonts w:ascii="Verdana" w:hAnsi="Verdana"/>
          <w:sz w:val="22"/>
          <w:szCs w:val="22"/>
        </w:rPr>
      </w:pPr>
      <w:r w:rsidRPr="000D0103">
        <w:rPr>
          <w:rFonts w:ascii="Verdana" w:hAnsi="Verdana"/>
          <w:sz w:val="22"/>
          <w:szCs w:val="22"/>
        </w:rPr>
        <w:t>El área de cuentas por pagar deberá entregar el inventario de las órdenes de pago anuladas, indicando el Nit o número de identificación, razón social completa, valor, o informar si se reexpidió una nueva orden.</w:t>
      </w:r>
    </w:p>
    <w:p w14:paraId="76740453" w14:textId="77777777" w:rsidR="000D0103" w:rsidRPr="000D0103" w:rsidRDefault="000D0103" w:rsidP="000D0103">
      <w:pPr>
        <w:jc w:val="both"/>
        <w:rPr>
          <w:rFonts w:ascii="Verdana" w:hAnsi="Verdana"/>
          <w:sz w:val="22"/>
          <w:szCs w:val="22"/>
        </w:rPr>
      </w:pPr>
      <w:r w:rsidRPr="000D0103">
        <w:rPr>
          <w:rFonts w:ascii="Verdana" w:hAnsi="Verdana"/>
          <w:sz w:val="22"/>
          <w:szCs w:val="22"/>
        </w:rPr>
        <w:t>No está por demás aclarar, que en caso que se tengan cuentas por pagar pendientes de recepcionar, o que estén pendientes de trámite por que adolecen de algún requisito para su legalización y sobre las cuales hay evidencia que se recibió el bien o servicio a satisfacción deberá informarse al grupo de saneamiento contable destacado en cada regional.</w:t>
      </w:r>
    </w:p>
    <w:p w14:paraId="5BD6E9AC" w14:textId="7A7D5D7E" w:rsidR="000D0103" w:rsidRPr="000D0103" w:rsidRDefault="000D0103" w:rsidP="000D0103">
      <w:pPr>
        <w:jc w:val="both"/>
        <w:rPr>
          <w:rFonts w:ascii="Verdana" w:hAnsi="Verdana"/>
          <w:sz w:val="22"/>
          <w:szCs w:val="22"/>
        </w:rPr>
      </w:pPr>
      <w:r w:rsidRPr="000D0103">
        <w:rPr>
          <w:rFonts w:ascii="Verdana" w:hAnsi="Verdana"/>
          <w:sz w:val="22"/>
          <w:szCs w:val="22"/>
        </w:rPr>
        <w:t>La documentación e información anterior deberá entregarse al grupo de saneamiento destacado en cada Regional o Agencia, en medio impreso y magnético y debidamente suscrita por los jefes que tienen a su cargo las distintas tareas. Es responsabilidad de todos los servidores públicos del ICBF, entregar en forma oportuna y completa la información solicitada en la fecha citada, en aras de poder cumplir con el término establecido por la Ley </w:t>
      </w:r>
      <w:r w:rsidRPr="00733920">
        <w:rPr>
          <w:rFonts w:ascii="Verdana" w:hAnsi="Verdana"/>
          <w:sz w:val="22"/>
          <w:szCs w:val="22"/>
        </w:rPr>
        <w:t>716</w:t>
      </w:r>
      <w:r w:rsidRPr="000D0103">
        <w:rPr>
          <w:rFonts w:ascii="Verdana" w:hAnsi="Verdana"/>
          <w:sz w:val="22"/>
          <w:szCs w:val="22"/>
        </w:rPr>
        <w:t> de 2001.</w:t>
      </w:r>
    </w:p>
    <w:p w14:paraId="5ECF5FB2" w14:textId="77777777" w:rsidR="000D0103" w:rsidRPr="000D0103" w:rsidRDefault="000D0103" w:rsidP="000D0103">
      <w:pPr>
        <w:jc w:val="both"/>
        <w:rPr>
          <w:rFonts w:ascii="Verdana" w:hAnsi="Verdana"/>
          <w:sz w:val="22"/>
          <w:szCs w:val="22"/>
        </w:rPr>
      </w:pPr>
      <w:r w:rsidRPr="000D0103">
        <w:rPr>
          <w:rFonts w:ascii="Verdana" w:hAnsi="Verdana"/>
          <w:sz w:val="22"/>
          <w:szCs w:val="22"/>
        </w:rPr>
        <w:t>Es importante aclarar que en este proceso es indispensable </w:t>
      </w:r>
      <w:r w:rsidRPr="000D0103">
        <w:rPr>
          <w:rFonts w:ascii="Verdana" w:hAnsi="Verdana"/>
          <w:b/>
          <w:bCs/>
          <w:sz w:val="22"/>
          <w:szCs w:val="22"/>
          <w:u w:val="single"/>
        </w:rPr>
        <w:t>el concurso de todas las áreas que directa o indirectamente generan información base para el registro contable</w:t>
      </w:r>
      <w:r w:rsidRPr="000D0103">
        <w:rPr>
          <w:rFonts w:ascii="Verdana" w:hAnsi="Verdana"/>
          <w:sz w:val="22"/>
          <w:szCs w:val="22"/>
        </w:rPr>
        <w:t>, tales como: Tesorería, Presupuesto, Recaudo, Contabilidad (quien debe liderarlo), Almacén, Administrativa, Jurídica, Recursos Humanos, Técnica, Sistemas de información, etc.</w:t>
      </w:r>
    </w:p>
    <w:p w14:paraId="5497254D" w14:textId="77777777" w:rsidR="000D0103" w:rsidRPr="000D0103" w:rsidRDefault="000D0103" w:rsidP="000D0103">
      <w:pPr>
        <w:jc w:val="both"/>
        <w:rPr>
          <w:rFonts w:ascii="Verdana" w:hAnsi="Verdana"/>
          <w:sz w:val="22"/>
          <w:szCs w:val="22"/>
        </w:rPr>
      </w:pPr>
      <w:r w:rsidRPr="000D0103">
        <w:rPr>
          <w:rFonts w:ascii="Verdana" w:hAnsi="Verdana"/>
          <w:sz w:val="22"/>
          <w:szCs w:val="22"/>
        </w:rPr>
        <w:t>Con un cordial saludo,</w:t>
      </w:r>
    </w:p>
    <w:p w14:paraId="4D18646A" w14:textId="77777777" w:rsidR="000D0103" w:rsidRDefault="000D0103" w:rsidP="000D0103">
      <w:pPr>
        <w:jc w:val="center"/>
        <w:rPr>
          <w:rFonts w:ascii="Verdana" w:hAnsi="Verdana"/>
          <w:b/>
          <w:bCs/>
          <w:sz w:val="22"/>
          <w:szCs w:val="22"/>
        </w:rPr>
      </w:pPr>
    </w:p>
    <w:p w14:paraId="457EDB8E" w14:textId="3D85B25D" w:rsidR="000D0103" w:rsidRPr="000D0103" w:rsidRDefault="000D0103" w:rsidP="000D0103">
      <w:pPr>
        <w:jc w:val="center"/>
        <w:rPr>
          <w:rFonts w:ascii="Verdana" w:hAnsi="Verdana"/>
          <w:sz w:val="22"/>
          <w:szCs w:val="22"/>
        </w:rPr>
      </w:pPr>
      <w:r w:rsidRPr="000D0103">
        <w:rPr>
          <w:rFonts w:ascii="Verdana" w:hAnsi="Verdana"/>
          <w:b/>
          <w:bCs/>
          <w:sz w:val="22"/>
          <w:szCs w:val="22"/>
        </w:rPr>
        <w:t>BEATRÍZ LONDOÑO SOTO</w:t>
      </w:r>
    </w:p>
    <w:p w14:paraId="2EB9B599" w14:textId="77777777" w:rsidR="000D0103" w:rsidRPr="000D0103" w:rsidRDefault="000D0103" w:rsidP="000D0103">
      <w:pPr>
        <w:jc w:val="center"/>
        <w:rPr>
          <w:rFonts w:ascii="Verdana" w:hAnsi="Verdana"/>
          <w:sz w:val="22"/>
          <w:szCs w:val="22"/>
        </w:rPr>
      </w:pPr>
      <w:r w:rsidRPr="000D0103">
        <w:rPr>
          <w:rFonts w:ascii="Verdana" w:hAnsi="Verdana"/>
          <w:sz w:val="22"/>
          <w:szCs w:val="22"/>
        </w:rPr>
        <w:t>Directora General</w:t>
      </w:r>
    </w:p>
    <w:p w14:paraId="4F8CFAB0" w14:textId="77777777" w:rsidR="007E46F5" w:rsidRPr="000D0103" w:rsidRDefault="007E46F5" w:rsidP="000D0103">
      <w:pPr>
        <w:jc w:val="both"/>
      </w:pPr>
    </w:p>
    <w:sectPr w:rsidR="007E46F5" w:rsidRPr="000D010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0A5276"/>
    <w:multiLevelType w:val="multilevel"/>
    <w:tmpl w:val="5A18D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D1C2834"/>
    <w:multiLevelType w:val="multilevel"/>
    <w:tmpl w:val="26D89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2534638">
    <w:abstractNumId w:val="0"/>
  </w:num>
  <w:num w:numId="2" w16cid:durableId="5671567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103"/>
    <w:rsid w:val="00050F65"/>
    <w:rsid w:val="000D0103"/>
    <w:rsid w:val="000D1DB8"/>
    <w:rsid w:val="00733920"/>
    <w:rsid w:val="00752FB3"/>
    <w:rsid w:val="007E46F5"/>
    <w:rsid w:val="00A42548"/>
    <w:rsid w:val="00E93D0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BB6084"/>
  <w15:chartTrackingRefBased/>
  <w15:docId w15:val="{816BA15D-5F96-46B6-B8E3-782C6004B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0D010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0D010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0D0103"/>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0D0103"/>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0D0103"/>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0D0103"/>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0D0103"/>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0D0103"/>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0D0103"/>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D0103"/>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0D0103"/>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0D0103"/>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0D0103"/>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0D0103"/>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0D0103"/>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0D0103"/>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0D0103"/>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0D0103"/>
    <w:rPr>
      <w:rFonts w:eastAsiaTheme="majorEastAsia" w:cstheme="majorBidi"/>
      <w:color w:val="272727" w:themeColor="text1" w:themeTint="D8"/>
    </w:rPr>
  </w:style>
  <w:style w:type="paragraph" w:styleId="Ttulo">
    <w:name w:val="Title"/>
    <w:basedOn w:val="Normal"/>
    <w:next w:val="Normal"/>
    <w:link w:val="TtuloCar"/>
    <w:uiPriority w:val="10"/>
    <w:qFormat/>
    <w:rsid w:val="000D01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0D010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0D0103"/>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0D0103"/>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0D0103"/>
    <w:pPr>
      <w:spacing w:before="160"/>
      <w:jc w:val="center"/>
    </w:pPr>
    <w:rPr>
      <w:i/>
      <w:iCs/>
      <w:color w:val="404040" w:themeColor="text1" w:themeTint="BF"/>
    </w:rPr>
  </w:style>
  <w:style w:type="character" w:customStyle="1" w:styleId="CitaCar">
    <w:name w:val="Cita Car"/>
    <w:basedOn w:val="Fuentedeprrafopredeter"/>
    <w:link w:val="Cita"/>
    <w:uiPriority w:val="29"/>
    <w:rsid w:val="000D0103"/>
    <w:rPr>
      <w:i/>
      <w:iCs/>
      <w:color w:val="404040" w:themeColor="text1" w:themeTint="BF"/>
    </w:rPr>
  </w:style>
  <w:style w:type="paragraph" w:styleId="Prrafodelista">
    <w:name w:val="List Paragraph"/>
    <w:basedOn w:val="Normal"/>
    <w:uiPriority w:val="34"/>
    <w:qFormat/>
    <w:rsid w:val="000D0103"/>
    <w:pPr>
      <w:ind w:left="720"/>
      <w:contextualSpacing/>
    </w:pPr>
  </w:style>
  <w:style w:type="character" w:styleId="nfasisintenso">
    <w:name w:val="Intense Emphasis"/>
    <w:basedOn w:val="Fuentedeprrafopredeter"/>
    <w:uiPriority w:val="21"/>
    <w:qFormat/>
    <w:rsid w:val="000D0103"/>
    <w:rPr>
      <w:i/>
      <w:iCs/>
      <w:color w:val="0F4761" w:themeColor="accent1" w:themeShade="BF"/>
    </w:rPr>
  </w:style>
  <w:style w:type="paragraph" w:styleId="Citadestacada">
    <w:name w:val="Intense Quote"/>
    <w:basedOn w:val="Normal"/>
    <w:next w:val="Normal"/>
    <w:link w:val="CitadestacadaCar"/>
    <w:uiPriority w:val="30"/>
    <w:qFormat/>
    <w:rsid w:val="000D01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0D0103"/>
    <w:rPr>
      <w:i/>
      <w:iCs/>
      <w:color w:val="0F4761" w:themeColor="accent1" w:themeShade="BF"/>
    </w:rPr>
  </w:style>
  <w:style w:type="character" w:styleId="Referenciaintensa">
    <w:name w:val="Intense Reference"/>
    <w:basedOn w:val="Fuentedeprrafopredeter"/>
    <w:uiPriority w:val="32"/>
    <w:qFormat/>
    <w:rsid w:val="000D0103"/>
    <w:rPr>
      <w:b/>
      <w:bCs/>
      <w:smallCaps/>
      <w:color w:val="0F4761" w:themeColor="accent1" w:themeShade="BF"/>
      <w:spacing w:val="5"/>
    </w:rPr>
  </w:style>
  <w:style w:type="character" w:styleId="Hipervnculo">
    <w:name w:val="Hyperlink"/>
    <w:basedOn w:val="Fuentedeprrafopredeter"/>
    <w:uiPriority w:val="99"/>
    <w:unhideWhenUsed/>
    <w:rsid w:val="000D0103"/>
    <w:rPr>
      <w:color w:val="467886" w:themeColor="hyperlink"/>
      <w:u w:val="single"/>
    </w:rPr>
  </w:style>
  <w:style w:type="character" w:styleId="Mencinsinresolver">
    <w:name w:val="Unresolved Mention"/>
    <w:basedOn w:val="Fuentedeprrafopredeter"/>
    <w:uiPriority w:val="99"/>
    <w:semiHidden/>
    <w:unhideWhenUsed/>
    <w:rsid w:val="000D01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2941A28-F43D-4974-8BFA-9ECA930A1434}"/>
</file>

<file path=customXml/itemProps2.xml><?xml version="1.0" encoding="utf-8"?>
<ds:datastoreItem xmlns:ds="http://schemas.openxmlformats.org/officeDocument/2006/customXml" ds:itemID="{5F1DB264-5356-4261-8C30-4560C0A933D5}"/>
</file>

<file path=customXml/itemProps3.xml><?xml version="1.0" encoding="utf-8"?>
<ds:datastoreItem xmlns:ds="http://schemas.openxmlformats.org/officeDocument/2006/customXml" ds:itemID="{44286D9E-4648-492C-BE65-229A987382F8}"/>
</file>

<file path=docProps/app.xml><?xml version="1.0" encoding="utf-8"?>
<Properties xmlns="http://schemas.openxmlformats.org/officeDocument/2006/extended-properties" xmlns:vt="http://schemas.openxmlformats.org/officeDocument/2006/docPropsVTypes">
  <Template>Normal</Template>
  <TotalTime>2</TotalTime>
  <Pages>3</Pages>
  <Words>1366</Words>
  <Characters>7517</Characters>
  <Application>Microsoft Office Word</Application>
  <DocSecurity>0</DocSecurity>
  <Lines>62</Lines>
  <Paragraphs>17</Paragraphs>
  <ScaleCrop>false</ScaleCrop>
  <Company/>
  <LinksUpToDate>false</LinksUpToDate>
  <CharactersWithSpaces>8866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Eduardo Lozano Bocanegra</dc:creator>
  <cp:keywords/>
  <dc:description/>
  <cp:lastModifiedBy>Jose Patricio Lizca Alvarez</cp:lastModifiedBy>
  <cp:revision>2</cp:revision>
  <dcterms:created xsi:type="dcterms:W3CDTF">2026-01-05T20:35:00Z</dcterms:created>
  <dcterms:modified xsi:type="dcterms:W3CDTF">2026-04-22T10:26:00Z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