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7472" w14:textId="77777777" w:rsidR="00F938DB" w:rsidRPr="00F938DB" w:rsidRDefault="00F938DB" w:rsidP="00F938DB">
      <w:pPr>
        <w:jc w:val="center"/>
        <w:rPr>
          <w:rFonts w:ascii="Verdana" w:hAnsi="Verdana"/>
          <w:sz w:val="22"/>
          <w:szCs w:val="22"/>
        </w:rPr>
      </w:pPr>
      <w:r w:rsidRPr="00F938DB">
        <w:rPr>
          <w:rFonts w:ascii="Verdana" w:hAnsi="Verdana"/>
          <w:b/>
          <w:bCs/>
          <w:sz w:val="22"/>
          <w:szCs w:val="22"/>
        </w:rPr>
        <w:t>CIRCULAR 16 DE 2005</w:t>
      </w:r>
    </w:p>
    <w:p w14:paraId="4767F1FC" w14:textId="77777777" w:rsidR="00F938DB" w:rsidRPr="00F938DB" w:rsidRDefault="00F938DB" w:rsidP="00F938DB">
      <w:pPr>
        <w:jc w:val="center"/>
        <w:rPr>
          <w:rFonts w:ascii="Verdana" w:hAnsi="Verdana"/>
          <w:sz w:val="22"/>
          <w:szCs w:val="22"/>
        </w:rPr>
      </w:pPr>
      <w:r w:rsidRPr="00F938DB">
        <w:rPr>
          <w:rFonts w:ascii="Verdana" w:hAnsi="Verdana"/>
          <w:sz w:val="22"/>
          <w:szCs w:val="22"/>
        </w:rPr>
        <w:t>(6 diciembre)</w:t>
      </w:r>
    </w:p>
    <w:p w14:paraId="1D220075" w14:textId="77777777" w:rsidR="00F938DB" w:rsidRPr="00F938DB" w:rsidRDefault="00F938DB" w:rsidP="00F938DB">
      <w:pPr>
        <w:jc w:val="center"/>
        <w:rPr>
          <w:rFonts w:ascii="Verdana" w:hAnsi="Verdana"/>
          <w:sz w:val="22"/>
          <w:szCs w:val="22"/>
        </w:rPr>
      </w:pPr>
      <w:r w:rsidRPr="00F938DB">
        <w:rPr>
          <w:rFonts w:ascii="Verdana" w:hAnsi="Verdana"/>
          <w:b/>
          <w:bCs/>
          <w:sz w:val="22"/>
          <w:szCs w:val="22"/>
        </w:rPr>
        <w:t>INSTITUTO COLOMBIANO DE BIENESTAR FAMILIAR</w:t>
      </w:r>
    </w:p>
    <w:p w14:paraId="3C7849EB" w14:textId="20E2A08E" w:rsidR="00F938DB" w:rsidRPr="00F938DB" w:rsidRDefault="00F938DB" w:rsidP="00F938DB">
      <w:pPr>
        <w:jc w:val="both"/>
        <w:rPr>
          <w:rFonts w:ascii="Verdana" w:hAnsi="Verdana"/>
          <w:sz w:val="22"/>
          <w:szCs w:val="22"/>
        </w:rPr>
      </w:pPr>
      <w:r w:rsidRPr="00F938DB">
        <w:rPr>
          <w:rFonts w:ascii="Verdana" w:hAnsi="Verdana"/>
          <w:b/>
          <w:bCs/>
          <w:sz w:val="22"/>
          <w:szCs w:val="22"/>
        </w:rPr>
        <w:t>Para</w:t>
      </w:r>
      <w:r w:rsidRPr="00F938DB">
        <w:rPr>
          <w:rFonts w:ascii="Verdana" w:hAnsi="Verdana"/>
          <w:sz w:val="22"/>
          <w:szCs w:val="22"/>
        </w:rPr>
        <w:t xml:space="preserve">: </w:t>
      </w:r>
      <w:r w:rsidRPr="00F938DB">
        <w:rPr>
          <w:rFonts w:ascii="Verdana" w:hAnsi="Verdana"/>
          <w:sz w:val="22"/>
          <w:szCs w:val="22"/>
        </w:rPr>
        <w:t xml:space="preserve">Secretaría General, </w:t>
      </w:r>
      <w:proofErr w:type="gramStart"/>
      <w:r w:rsidRPr="00F938DB">
        <w:rPr>
          <w:rFonts w:ascii="Verdana" w:hAnsi="Verdana"/>
          <w:sz w:val="22"/>
          <w:szCs w:val="22"/>
        </w:rPr>
        <w:t>Directores</w:t>
      </w:r>
      <w:proofErr w:type="gramEnd"/>
      <w:r w:rsidRPr="00F938DB">
        <w:rPr>
          <w:rFonts w:ascii="Verdana" w:hAnsi="Verdana"/>
          <w:sz w:val="22"/>
          <w:szCs w:val="22"/>
        </w:rPr>
        <w:t xml:space="preserve">, </w:t>
      </w:r>
      <w:proofErr w:type="gramStart"/>
      <w:r w:rsidRPr="00F938DB">
        <w:rPr>
          <w:rFonts w:ascii="Verdana" w:hAnsi="Verdana"/>
          <w:sz w:val="22"/>
          <w:szCs w:val="22"/>
        </w:rPr>
        <w:t>Jefes</w:t>
      </w:r>
      <w:proofErr w:type="gramEnd"/>
      <w:r w:rsidRPr="00F938DB">
        <w:rPr>
          <w:rFonts w:ascii="Verdana" w:hAnsi="Verdana"/>
          <w:sz w:val="22"/>
          <w:szCs w:val="22"/>
        </w:rPr>
        <w:t xml:space="preserve"> De Oficina Sede Nacional Y </w:t>
      </w:r>
      <w:proofErr w:type="gramStart"/>
      <w:r w:rsidRPr="00F938DB">
        <w:rPr>
          <w:rFonts w:ascii="Verdana" w:hAnsi="Verdana"/>
          <w:sz w:val="22"/>
          <w:szCs w:val="22"/>
        </w:rPr>
        <w:t>Directores Regionales</w:t>
      </w:r>
      <w:proofErr w:type="gramEnd"/>
      <w:r w:rsidRPr="00F938DB">
        <w:rPr>
          <w:rFonts w:ascii="Verdana" w:hAnsi="Verdana"/>
          <w:sz w:val="22"/>
          <w:szCs w:val="22"/>
        </w:rPr>
        <w:t xml:space="preserve"> </w:t>
      </w:r>
      <w:r>
        <w:rPr>
          <w:rFonts w:ascii="Verdana" w:hAnsi="Verdana"/>
          <w:sz w:val="22"/>
          <w:szCs w:val="22"/>
        </w:rPr>
        <w:t>y</w:t>
      </w:r>
      <w:r w:rsidRPr="00F938DB">
        <w:rPr>
          <w:rFonts w:ascii="Verdana" w:hAnsi="Verdana"/>
          <w:sz w:val="22"/>
          <w:szCs w:val="22"/>
        </w:rPr>
        <w:t xml:space="preserve"> De Agencia</w:t>
      </w:r>
      <w:r w:rsidRPr="00F938DB">
        <w:rPr>
          <w:rFonts w:ascii="Verdana" w:hAnsi="Verdana"/>
          <w:sz w:val="22"/>
          <w:szCs w:val="22"/>
        </w:rPr>
        <w:t>.</w:t>
      </w:r>
    </w:p>
    <w:p w14:paraId="6DB885CC" w14:textId="70BDFBD9" w:rsidR="00F938DB" w:rsidRPr="00F938DB" w:rsidRDefault="00F938DB" w:rsidP="00F938DB">
      <w:pPr>
        <w:jc w:val="both"/>
        <w:rPr>
          <w:rFonts w:ascii="Verdana" w:hAnsi="Verdana"/>
          <w:sz w:val="22"/>
          <w:szCs w:val="22"/>
        </w:rPr>
      </w:pPr>
      <w:r w:rsidRPr="00F938DB">
        <w:rPr>
          <w:rFonts w:ascii="Verdana" w:hAnsi="Verdana"/>
          <w:b/>
          <w:bCs/>
          <w:sz w:val="22"/>
          <w:szCs w:val="22"/>
        </w:rPr>
        <w:t>Asunto:</w:t>
      </w:r>
      <w:r w:rsidRPr="00F938DB">
        <w:rPr>
          <w:rFonts w:ascii="Verdana" w:hAnsi="Verdana"/>
          <w:sz w:val="22"/>
          <w:szCs w:val="22"/>
        </w:rPr>
        <w:t xml:space="preserve"> Decreto No. 4436 del 28 de noviembre de 2005 “por el cual se reglamenta el artículo 34 de la ley 962 de 2005, y se señalan los derechos notariales correspondientes.</w:t>
      </w:r>
    </w:p>
    <w:p w14:paraId="5AF1E39C" w14:textId="00F93EBD" w:rsidR="00F938DB" w:rsidRPr="00F938DB" w:rsidRDefault="00F938DB" w:rsidP="00F938DB">
      <w:pPr>
        <w:jc w:val="both"/>
        <w:rPr>
          <w:rFonts w:ascii="Verdana" w:hAnsi="Verdana"/>
          <w:sz w:val="22"/>
          <w:szCs w:val="22"/>
        </w:rPr>
      </w:pPr>
      <w:r w:rsidRPr="00F938DB">
        <w:rPr>
          <w:rFonts w:ascii="Verdana" w:hAnsi="Verdana"/>
          <w:sz w:val="22"/>
          <w:szCs w:val="22"/>
        </w:rPr>
        <w:t>La ley 962 de 2005 </w:t>
      </w:r>
      <w:r w:rsidRPr="00F938DB">
        <w:rPr>
          <w:rFonts w:ascii="Verdana" w:hAnsi="Verdana"/>
          <w:i/>
          <w:iCs/>
          <w:sz w:val="22"/>
          <w:szCs w:val="22"/>
        </w:rPr>
        <w:t>“Por la cual se dictan disposiciones sobre racionalización de trámites y procedimientos administrativos de </w:t>
      </w:r>
      <w:r w:rsidRPr="00F938DB">
        <w:rPr>
          <w:rFonts w:ascii="Verdana" w:hAnsi="Verdana"/>
          <w:sz w:val="22"/>
          <w:szCs w:val="22"/>
        </w:rPr>
        <w:t>los </w:t>
      </w:r>
      <w:r w:rsidRPr="00F938DB">
        <w:rPr>
          <w:rFonts w:ascii="Verdana" w:hAnsi="Verdana"/>
          <w:i/>
          <w:iCs/>
          <w:sz w:val="22"/>
          <w:szCs w:val="22"/>
        </w:rPr>
        <w:t>organismos y entidades del Estado y de los particulares que ejercen funciones públicas o prestan servicios públicos” </w:t>
      </w:r>
      <w:r w:rsidRPr="00F938DB">
        <w:rPr>
          <w:rFonts w:ascii="Verdana" w:hAnsi="Verdana"/>
          <w:sz w:val="22"/>
          <w:szCs w:val="22"/>
        </w:rPr>
        <w:t>en su artículo 34 consagró la facultad a los Notarios para el divorcio por mutuo acuerdo, así:</w:t>
      </w:r>
    </w:p>
    <w:p w14:paraId="0CB5C54C" w14:textId="77777777" w:rsidR="00F938DB" w:rsidRPr="00F938DB" w:rsidRDefault="00F938DB" w:rsidP="00F938DB">
      <w:pPr>
        <w:jc w:val="both"/>
        <w:rPr>
          <w:rFonts w:ascii="Verdana" w:hAnsi="Verdana"/>
          <w:sz w:val="22"/>
          <w:szCs w:val="22"/>
        </w:rPr>
      </w:pPr>
      <w:r w:rsidRPr="00F938DB">
        <w:rPr>
          <w:rFonts w:ascii="Verdana" w:hAnsi="Verdana"/>
          <w:i/>
          <w:iCs/>
          <w:sz w:val="22"/>
          <w:szCs w:val="22"/>
        </w:rPr>
        <w:t>“DIVORCIO ANTE NOTARIO. </w:t>
      </w:r>
      <w:r w:rsidRPr="00F938DB">
        <w:rPr>
          <w:rFonts w:ascii="Verdana" w:hAnsi="Verdana"/>
          <w:sz w:val="22"/>
          <w:szCs w:val="22"/>
        </w:rPr>
        <w:t>Podrá convenirse ante Notario, por mutuo acuerdo de los cónyuges, por intermedio de abogado, mediante escritura pública, la cesación de los efectos civiles de todo matrimonio religioso y el divorcio del</w:t>
      </w:r>
    </w:p>
    <w:p w14:paraId="345E9E1F" w14:textId="77777777" w:rsidR="00F938DB" w:rsidRPr="00F938DB" w:rsidRDefault="00F938DB" w:rsidP="00F938DB">
      <w:pPr>
        <w:jc w:val="both"/>
        <w:rPr>
          <w:rFonts w:ascii="Verdana" w:hAnsi="Verdana"/>
          <w:sz w:val="22"/>
          <w:szCs w:val="22"/>
        </w:rPr>
      </w:pPr>
      <w:r w:rsidRPr="00F938DB">
        <w:rPr>
          <w:rFonts w:ascii="Verdana" w:hAnsi="Verdana"/>
          <w:sz w:val="22"/>
          <w:szCs w:val="22"/>
        </w:rPr>
        <w:t xml:space="preserve">El divorcio y la cesación de los efectos civiles ante </w:t>
      </w:r>
      <w:proofErr w:type="gramStart"/>
      <w:r w:rsidRPr="00F938DB">
        <w:rPr>
          <w:rFonts w:ascii="Verdana" w:hAnsi="Verdana"/>
          <w:sz w:val="22"/>
          <w:szCs w:val="22"/>
        </w:rPr>
        <w:t>Notario,</w:t>
      </w:r>
      <w:proofErr w:type="gramEnd"/>
      <w:r w:rsidRPr="00F938DB">
        <w:rPr>
          <w:rFonts w:ascii="Verdana" w:hAnsi="Verdana"/>
          <w:sz w:val="22"/>
          <w:szCs w:val="22"/>
        </w:rPr>
        <w:t xml:space="preserve"> producirán los mismos efectos que el decretado judicialmente.</w:t>
      </w:r>
    </w:p>
    <w:p w14:paraId="2CE4D6DE" w14:textId="77777777" w:rsidR="00F938DB" w:rsidRPr="00F938DB" w:rsidRDefault="00F938DB" w:rsidP="00F938DB">
      <w:pPr>
        <w:jc w:val="both"/>
        <w:rPr>
          <w:rFonts w:ascii="Verdana" w:hAnsi="Verdana"/>
          <w:sz w:val="22"/>
          <w:szCs w:val="22"/>
        </w:rPr>
      </w:pPr>
      <w:r w:rsidRPr="00F938DB">
        <w:rPr>
          <w:rFonts w:ascii="Verdana" w:hAnsi="Verdana"/>
          <w:sz w:val="22"/>
          <w:szCs w:val="22"/>
        </w:rPr>
        <w:t>PARÁGRAFO. El Defensor de Familia intervendrá únicamente cuando existan hijos menores; para este efecto se le notificará el acuerdo al que han llegado los cónyuges con el objeto de que rinda su concepto en lo que tiene que ver con la protección de los hijos menores de edad.”</w:t>
      </w:r>
    </w:p>
    <w:p w14:paraId="6213C0B0" w14:textId="77777777" w:rsidR="00F938DB" w:rsidRPr="00F938DB" w:rsidRDefault="00F938DB" w:rsidP="00F938DB">
      <w:pPr>
        <w:jc w:val="both"/>
        <w:rPr>
          <w:rFonts w:ascii="Verdana" w:hAnsi="Verdana"/>
          <w:sz w:val="22"/>
          <w:szCs w:val="22"/>
        </w:rPr>
      </w:pPr>
      <w:r w:rsidRPr="00F938DB">
        <w:rPr>
          <w:rFonts w:ascii="Verdana" w:hAnsi="Verdana"/>
          <w:sz w:val="22"/>
          <w:szCs w:val="22"/>
        </w:rPr>
        <w:t>El Superintendente de Notariado y Registro mediante Oficio No.066293 del 9 de noviembre del año en curso, solicitó integrar un Grupo de Trabajo Interinstitucional con el Ministerio del Interior y de Justicia, la Oficina Jurídica de la Presidencia de la República, el ICBF y la Superintendencia de Notariado y Registro para analizar la reglamentación del Decreto en lo atinente a la intervención del Defensor de Familia.</w:t>
      </w:r>
    </w:p>
    <w:p w14:paraId="2AD40910" w14:textId="66DF1422" w:rsidR="00F938DB" w:rsidRPr="00F938DB" w:rsidRDefault="00F938DB" w:rsidP="00F938DB">
      <w:pPr>
        <w:jc w:val="both"/>
        <w:rPr>
          <w:rFonts w:ascii="Verdana" w:hAnsi="Verdana"/>
          <w:sz w:val="22"/>
          <w:szCs w:val="22"/>
        </w:rPr>
      </w:pPr>
      <w:r w:rsidRPr="00F938DB">
        <w:rPr>
          <w:rFonts w:ascii="Verdana" w:hAnsi="Verdana"/>
          <w:sz w:val="22"/>
          <w:szCs w:val="22"/>
        </w:rPr>
        <w:t>Se participó en la reunión de trabajo convocada por la Oficina Jurídica de la Presidencia de la República y la Dirección General, se pronunció mediante Oficio No.056653 del 25 de noviembre de 2005. Por Decreto No.4436 del 28 de noviembre de 2005 se reglamentó el artículo 34 de la ley 962 de 2005 y se señalaron los derechos notariales correspondientes.</w:t>
      </w:r>
    </w:p>
    <w:p w14:paraId="236C7E96" w14:textId="7EF72A5F" w:rsidR="00F938DB" w:rsidRPr="00F938DB" w:rsidRDefault="00F938DB" w:rsidP="00F938DB">
      <w:pPr>
        <w:jc w:val="both"/>
        <w:rPr>
          <w:rFonts w:ascii="Verdana" w:hAnsi="Verdana"/>
          <w:sz w:val="22"/>
          <w:szCs w:val="22"/>
        </w:rPr>
      </w:pPr>
      <w:r w:rsidRPr="00F938DB">
        <w:rPr>
          <w:rFonts w:ascii="Verdana" w:hAnsi="Verdana"/>
          <w:sz w:val="22"/>
          <w:szCs w:val="22"/>
        </w:rPr>
        <w:t>Por considerarlo del mayor interés público y toda vez que en concordancia con el artículo 277 numeral </w:t>
      </w:r>
      <w:r w:rsidRPr="00F938DB">
        <w:rPr>
          <w:rFonts w:ascii="Verdana" w:hAnsi="Verdana"/>
          <w:i/>
          <w:iCs/>
          <w:sz w:val="22"/>
          <w:szCs w:val="22"/>
        </w:rPr>
        <w:t>15 </w:t>
      </w:r>
      <w:r w:rsidRPr="00F938DB">
        <w:rPr>
          <w:rFonts w:ascii="Verdana" w:hAnsi="Verdana"/>
          <w:sz w:val="22"/>
          <w:szCs w:val="22"/>
        </w:rPr>
        <w:t xml:space="preserve">del Código del Menor en la ley se establecen importantes responsabilidades para el Instituto Colombiano de Bienestar </w:t>
      </w:r>
      <w:r w:rsidRPr="00F938DB">
        <w:rPr>
          <w:rFonts w:ascii="Verdana" w:hAnsi="Verdana"/>
          <w:sz w:val="22"/>
          <w:szCs w:val="22"/>
        </w:rPr>
        <w:lastRenderedPageBreak/>
        <w:t>Familiar a través del Defensor de Familia, de manera atenta adjunto en cuatro (4) folios copia del citado Decreto para su divulgación, estricto cumplimiento e inmediata aplicación haciendo un especial y cordial llamado a todos los Defensores de Familia del país para que su intervención se dirija sin escatimar esfuerzo alguno a garantizar el interés superior de los -niños y la prevalencia de sus derechos humanos fundamentales sobre toda otra consideración.</w:t>
      </w:r>
    </w:p>
    <w:p w14:paraId="1440F6D1" w14:textId="77777777" w:rsidR="00F938DB" w:rsidRPr="00F938DB" w:rsidRDefault="00F938DB" w:rsidP="00F938DB">
      <w:pPr>
        <w:rPr>
          <w:rFonts w:ascii="Verdana" w:hAnsi="Verdana"/>
          <w:sz w:val="22"/>
          <w:szCs w:val="22"/>
        </w:rPr>
      </w:pPr>
      <w:r w:rsidRPr="00F938DB">
        <w:rPr>
          <w:rFonts w:ascii="Verdana" w:hAnsi="Verdana"/>
          <w:sz w:val="22"/>
          <w:szCs w:val="22"/>
        </w:rPr>
        <w:t>Cordial saludo,</w:t>
      </w:r>
    </w:p>
    <w:p w14:paraId="1B497DDB" w14:textId="77777777" w:rsidR="00F938DB" w:rsidRPr="00F938DB" w:rsidRDefault="00F938DB" w:rsidP="00F938DB">
      <w:pPr>
        <w:jc w:val="center"/>
        <w:rPr>
          <w:rFonts w:ascii="Verdana" w:hAnsi="Verdana"/>
          <w:sz w:val="22"/>
          <w:szCs w:val="22"/>
        </w:rPr>
      </w:pPr>
      <w:r w:rsidRPr="00F938DB">
        <w:rPr>
          <w:rFonts w:ascii="Verdana" w:hAnsi="Verdana"/>
          <w:b/>
          <w:bCs/>
          <w:sz w:val="22"/>
          <w:szCs w:val="22"/>
        </w:rPr>
        <w:t>BEATRÍZ LONDOÑO SOTO</w:t>
      </w:r>
    </w:p>
    <w:p w14:paraId="6D6DEA6F" w14:textId="77777777" w:rsidR="00F938DB" w:rsidRPr="00F938DB" w:rsidRDefault="00F938DB" w:rsidP="00F938DB">
      <w:pPr>
        <w:jc w:val="center"/>
        <w:rPr>
          <w:rFonts w:ascii="Verdana" w:hAnsi="Verdana"/>
          <w:sz w:val="22"/>
          <w:szCs w:val="22"/>
        </w:rPr>
      </w:pPr>
      <w:r w:rsidRPr="00F938DB">
        <w:rPr>
          <w:rFonts w:ascii="Verdana" w:hAnsi="Verdana"/>
          <w:sz w:val="22"/>
          <w:szCs w:val="22"/>
        </w:rPr>
        <w:t>Directora General</w:t>
      </w:r>
    </w:p>
    <w:p w14:paraId="79DD09E2" w14:textId="77777777" w:rsidR="00F938DB" w:rsidRPr="00F938DB" w:rsidRDefault="00F938DB">
      <w:pPr>
        <w:rPr>
          <w:rFonts w:ascii="Verdana" w:hAnsi="Verdana"/>
          <w:sz w:val="22"/>
          <w:szCs w:val="22"/>
        </w:rPr>
      </w:pPr>
    </w:p>
    <w:sectPr w:rsidR="00F938DB" w:rsidRPr="00F938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DB"/>
    <w:rsid w:val="00403D67"/>
    <w:rsid w:val="00F938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8718"/>
  <w15:chartTrackingRefBased/>
  <w15:docId w15:val="{46556739-DF3B-4512-BFC0-035EE900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93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93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938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938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938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938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938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938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938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38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938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938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938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938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938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938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938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938DB"/>
    <w:rPr>
      <w:rFonts w:eastAsiaTheme="majorEastAsia" w:cstheme="majorBidi"/>
      <w:color w:val="272727" w:themeColor="text1" w:themeTint="D8"/>
    </w:rPr>
  </w:style>
  <w:style w:type="paragraph" w:styleId="Ttulo">
    <w:name w:val="Title"/>
    <w:basedOn w:val="Normal"/>
    <w:next w:val="Normal"/>
    <w:link w:val="TtuloCar"/>
    <w:uiPriority w:val="10"/>
    <w:qFormat/>
    <w:rsid w:val="00F93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938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938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938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938DB"/>
    <w:pPr>
      <w:spacing w:before="160"/>
      <w:jc w:val="center"/>
    </w:pPr>
    <w:rPr>
      <w:i/>
      <w:iCs/>
      <w:color w:val="404040" w:themeColor="text1" w:themeTint="BF"/>
    </w:rPr>
  </w:style>
  <w:style w:type="character" w:customStyle="1" w:styleId="CitaCar">
    <w:name w:val="Cita Car"/>
    <w:basedOn w:val="Fuentedeprrafopredeter"/>
    <w:link w:val="Cita"/>
    <w:uiPriority w:val="29"/>
    <w:rsid w:val="00F938DB"/>
    <w:rPr>
      <w:i/>
      <w:iCs/>
      <w:color w:val="404040" w:themeColor="text1" w:themeTint="BF"/>
    </w:rPr>
  </w:style>
  <w:style w:type="paragraph" w:styleId="Prrafodelista">
    <w:name w:val="List Paragraph"/>
    <w:basedOn w:val="Normal"/>
    <w:uiPriority w:val="34"/>
    <w:qFormat/>
    <w:rsid w:val="00F938DB"/>
    <w:pPr>
      <w:ind w:left="720"/>
      <w:contextualSpacing/>
    </w:pPr>
  </w:style>
  <w:style w:type="character" w:styleId="nfasisintenso">
    <w:name w:val="Intense Emphasis"/>
    <w:basedOn w:val="Fuentedeprrafopredeter"/>
    <w:uiPriority w:val="21"/>
    <w:qFormat/>
    <w:rsid w:val="00F938DB"/>
    <w:rPr>
      <w:i/>
      <w:iCs/>
      <w:color w:val="0F4761" w:themeColor="accent1" w:themeShade="BF"/>
    </w:rPr>
  </w:style>
  <w:style w:type="paragraph" w:styleId="Citadestacada">
    <w:name w:val="Intense Quote"/>
    <w:basedOn w:val="Normal"/>
    <w:next w:val="Normal"/>
    <w:link w:val="CitadestacadaCar"/>
    <w:uiPriority w:val="30"/>
    <w:qFormat/>
    <w:rsid w:val="00F93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938DB"/>
    <w:rPr>
      <w:i/>
      <w:iCs/>
      <w:color w:val="0F4761" w:themeColor="accent1" w:themeShade="BF"/>
    </w:rPr>
  </w:style>
  <w:style w:type="character" w:styleId="Referenciaintensa">
    <w:name w:val="Intense Reference"/>
    <w:basedOn w:val="Fuentedeprrafopredeter"/>
    <w:uiPriority w:val="32"/>
    <w:qFormat/>
    <w:rsid w:val="00F938DB"/>
    <w:rPr>
      <w:b/>
      <w:bCs/>
      <w:smallCaps/>
      <w:color w:val="0F4761" w:themeColor="accent1" w:themeShade="BF"/>
      <w:spacing w:val="5"/>
    </w:rPr>
  </w:style>
  <w:style w:type="character" w:styleId="Hipervnculo">
    <w:name w:val="Hyperlink"/>
    <w:basedOn w:val="Fuentedeprrafopredeter"/>
    <w:uiPriority w:val="99"/>
    <w:unhideWhenUsed/>
    <w:rsid w:val="00F938DB"/>
    <w:rPr>
      <w:color w:val="467886" w:themeColor="hyperlink"/>
      <w:u w:val="single"/>
    </w:rPr>
  </w:style>
  <w:style w:type="character" w:styleId="Mencinsinresolver">
    <w:name w:val="Unresolved Mention"/>
    <w:basedOn w:val="Fuentedeprrafopredeter"/>
    <w:uiPriority w:val="99"/>
    <w:semiHidden/>
    <w:unhideWhenUsed/>
    <w:rsid w:val="00F93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B2139-E2D9-45F6-90A0-704E5330ADD9}"/>
</file>

<file path=customXml/itemProps2.xml><?xml version="1.0" encoding="utf-8"?>
<ds:datastoreItem xmlns:ds="http://schemas.openxmlformats.org/officeDocument/2006/customXml" ds:itemID="{F8CD12D9-2B87-490E-94E2-5898489C47D7}"/>
</file>

<file path=customXml/itemProps3.xml><?xml version="1.0" encoding="utf-8"?>
<ds:datastoreItem xmlns:ds="http://schemas.openxmlformats.org/officeDocument/2006/customXml" ds:itemID="{5A5F7227-23A2-4A00-BD9E-E7683C1C55B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2407</Characters>
  <Application>Microsoft Office Word</Application>
  <DocSecurity>0</DocSecurity>
  <Lines>52</Lines>
  <Paragraphs>32</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2026-02-05T14:06:00Z</dcterms:created>
  <dcterms:modified xsi:type="dcterms:W3CDTF">2026-02-05T14:13:00Z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