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C7642" w14:textId="1A3B8608" w:rsidR="00E77E04" w:rsidRDefault="00E77E04" w:rsidP="00E77E04">
      <w:pPr>
        <w:jc w:val="center"/>
        <w:rPr>
          <w:rFonts w:ascii="Verdana" w:hAnsi="Verdana"/>
          <w:b/>
          <w:bCs/>
          <w:lang w:val="es-CO"/>
        </w:rPr>
      </w:pPr>
      <w:r w:rsidRPr="00E77E04">
        <w:rPr>
          <w:rFonts w:ascii="Verdana" w:hAnsi="Verdana"/>
          <w:b/>
          <w:bCs/>
          <w:lang w:val="es-CO"/>
        </w:rPr>
        <w:t>CIRCULAR 13 DE 2015</w:t>
      </w:r>
    </w:p>
    <w:p w14:paraId="20453629" w14:textId="77777777" w:rsidR="00E77E04" w:rsidRPr="00E77E04" w:rsidRDefault="00E77E04" w:rsidP="00E77E04">
      <w:pPr>
        <w:jc w:val="center"/>
        <w:rPr>
          <w:rFonts w:ascii="Verdana" w:hAnsi="Verdana"/>
          <w:lang w:val="es-CO"/>
        </w:rPr>
      </w:pPr>
    </w:p>
    <w:p w14:paraId="0D51AC61" w14:textId="77777777" w:rsidR="00E77E04" w:rsidRPr="00E77E04" w:rsidRDefault="00E77E04" w:rsidP="00E77E04">
      <w:pPr>
        <w:jc w:val="center"/>
        <w:rPr>
          <w:rFonts w:ascii="Verdana" w:hAnsi="Verdana"/>
          <w:lang w:val="es-CO"/>
        </w:rPr>
      </w:pPr>
      <w:r w:rsidRPr="00E77E04">
        <w:rPr>
          <w:rFonts w:ascii="Verdana" w:hAnsi="Verdana"/>
          <w:lang w:val="es-CO"/>
        </w:rPr>
        <w:t>(octubre 29)</w:t>
      </w:r>
    </w:p>
    <w:p w14:paraId="7DD5D1CB" w14:textId="77777777" w:rsidR="00E77E04" w:rsidRDefault="00E77E04" w:rsidP="00E77E04">
      <w:pPr>
        <w:jc w:val="center"/>
        <w:rPr>
          <w:rFonts w:ascii="Verdana" w:hAnsi="Verdana"/>
          <w:b/>
          <w:bCs/>
          <w:lang w:val="es-CO"/>
        </w:rPr>
      </w:pPr>
    </w:p>
    <w:p w14:paraId="13A99AD0" w14:textId="58F9AFB0" w:rsidR="00E77E04" w:rsidRPr="00E77E04" w:rsidRDefault="00E77E04" w:rsidP="00E77E04">
      <w:pPr>
        <w:jc w:val="center"/>
        <w:rPr>
          <w:rFonts w:ascii="Verdana" w:hAnsi="Verdana"/>
          <w:lang w:val="es-CO"/>
        </w:rPr>
      </w:pPr>
      <w:r w:rsidRPr="00E77E04">
        <w:rPr>
          <w:rFonts w:ascii="Verdana" w:hAnsi="Verdana"/>
          <w:b/>
          <w:bCs/>
          <w:lang w:val="es-CO"/>
        </w:rPr>
        <w:t>INSTITUTO COLOMBIANO DE BIENESTAR FAMILIAR – ICBF</w:t>
      </w:r>
      <w:r w:rsidRPr="00E77E04">
        <w:rPr>
          <w:rFonts w:ascii="Verdana" w:hAnsi="Verdana"/>
          <w:b/>
          <w:bCs/>
          <w:lang w:val="es-CO"/>
        </w:rPr>
        <w:br/>
      </w:r>
    </w:p>
    <w:tbl>
      <w:tblPr>
        <w:tblW w:w="50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0"/>
        <w:gridCol w:w="7629"/>
      </w:tblGrid>
      <w:tr w:rsidR="00E77E04" w:rsidRPr="00E77E04" w14:paraId="19AC73D2" w14:textId="77777777">
        <w:trPr>
          <w:tblCellSpacing w:w="15" w:type="dxa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A4CB7E" w14:textId="77777777" w:rsidR="00E77E04" w:rsidRPr="00E77E04" w:rsidRDefault="00E77E04" w:rsidP="00E77E04">
            <w:pPr>
              <w:jc w:val="both"/>
              <w:rPr>
                <w:rFonts w:ascii="Verdana" w:hAnsi="Verdana"/>
                <w:lang w:val="es-CO"/>
              </w:rPr>
            </w:pPr>
            <w:r w:rsidRPr="00E77E04">
              <w:rPr>
                <w:rFonts w:ascii="Verdana" w:hAnsi="Verdana"/>
                <w:lang w:val="es-CO"/>
              </w:rPr>
              <w:t>PARA:</w:t>
            </w:r>
          </w:p>
        </w:tc>
        <w:tc>
          <w:tcPr>
            <w:tcW w:w="42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1F87E1" w14:textId="77777777" w:rsidR="00E77E04" w:rsidRPr="00E77E04" w:rsidRDefault="00E77E04" w:rsidP="00E77E04">
            <w:pPr>
              <w:jc w:val="both"/>
              <w:rPr>
                <w:rFonts w:ascii="Verdana" w:hAnsi="Verdana"/>
                <w:lang w:val="es-CO"/>
              </w:rPr>
            </w:pPr>
            <w:r w:rsidRPr="00E77E04">
              <w:rPr>
                <w:rFonts w:ascii="Verdana" w:hAnsi="Verdana"/>
                <w:lang w:val="es-CO"/>
              </w:rPr>
              <w:t>DIRECTORES REGIONALES, DIRECTORES SEDE NACIONAL Y JEFES DE OFICINA SEDE NACIONAL</w:t>
            </w:r>
          </w:p>
        </w:tc>
      </w:tr>
      <w:tr w:rsidR="00E77E04" w:rsidRPr="00E77E04" w14:paraId="2CB17C30" w14:textId="77777777">
        <w:trPr>
          <w:tblCellSpacing w:w="15" w:type="dxa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E3F1CB" w14:textId="77777777" w:rsidR="00E77E04" w:rsidRPr="00E77E04" w:rsidRDefault="00E77E04" w:rsidP="00E77E04">
            <w:pPr>
              <w:jc w:val="both"/>
              <w:rPr>
                <w:rFonts w:ascii="Verdana" w:hAnsi="Verdana"/>
                <w:lang w:val="es-CO"/>
              </w:rPr>
            </w:pPr>
            <w:r w:rsidRPr="00E77E04">
              <w:rPr>
                <w:rFonts w:ascii="Verdana" w:hAnsi="Verdana"/>
                <w:lang w:val="es-CO"/>
              </w:rPr>
              <w:t>ASUNTO:</w:t>
            </w:r>
          </w:p>
        </w:tc>
        <w:tc>
          <w:tcPr>
            <w:tcW w:w="42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BFBC8E" w14:textId="77777777" w:rsidR="00E77E04" w:rsidRPr="00E77E04" w:rsidRDefault="00E77E04" w:rsidP="00E77E04">
            <w:pPr>
              <w:jc w:val="both"/>
              <w:rPr>
                <w:rFonts w:ascii="Verdana" w:hAnsi="Verdana"/>
                <w:lang w:val="es-CO"/>
              </w:rPr>
            </w:pPr>
            <w:r w:rsidRPr="00E77E04">
              <w:rPr>
                <w:rFonts w:ascii="Verdana" w:hAnsi="Verdana"/>
                <w:lang w:val="es-CO"/>
              </w:rPr>
              <w:t>Directrices manejo de Gravamen a los Movimientos Financieros -GMF.</w:t>
            </w:r>
          </w:p>
        </w:tc>
      </w:tr>
    </w:tbl>
    <w:p w14:paraId="2FF606CB" w14:textId="77777777" w:rsidR="00E77E04" w:rsidRDefault="00E77E04" w:rsidP="00E77E04">
      <w:pPr>
        <w:jc w:val="both"/>
        <w:rPr>
          <w:rFonts w:ascii="Verdana" w:hAnsi="Verdana"/>
          <w:lang w:val="es-CO"/>
        </w:rPr>
      </w:pPr>
      <w:r w:rsidRPr="00E77E04">
        <w:rPr>
          <w:rFonts w:ascii="Verdana" w:hAnsi="Verdana"/>
          <w:lang w:val="es-CO"/>
        </w:rPr>
        <w:t>De manera atenta y con el fin orientar el manejo de los recursos que las áreas en la Sede Nacional y las Direcciones Regionales tienen disponibles en los rubros de Gravámenes a los Movimientos Financieros- GMF, se informa lo siguiente:</w:t>
      </w:r>
    </w:p>
    <w:p w14:paraId="622B8725" w14:textId="77777777" w:rsidR="00E77E04" w:rsidRPr="00E77E04" w:rsidRDefault="00E77E04" w:rsidP="00E77E04">
      <w:pPr>
        <w:jc w:val="both"/>
        <w:rPr>
          <w:rFonts w:ascii="Verdana" w:hAnsi="Verdana"/>
          <w:lang w:val="es-CO"/>
        </w:rPr>
      </w:pPr>
    </w:p>
    <w:p w14:paraId="0C6F6CEC" w14:textId="77777777" w:rsidR="00E77E04" w:rsidRDefault="00E77E04" w:rsidP="00E77E04">
      <w:pPr>
        <w:jc w:val="both"/>
        <w:rPr>
          <w:rFonts w:ascii="Verdana" w:hAnsi="Verdana"/>
          <w:lang w:val="es-CO"/>
        </w:rPr>
      </w:pPr>
      <w:r w:rsidRPr="00E77E04">
        <w:rPr>
          <w:rFonts w:ascii="Verdana" w:hAnsi="Verdana"/>
          <w:lang w:val="es-CO"/>
        </w:rPr>
        <w:t xml:space="preserve">Con el inicio de la implementación del Sistema de Cuenta Única Nacional -SCUN el 18 de agosto de 2015, la Tesorería General de la Nación tuvo cambios en sus procesos de recaudo y administración de recursos que financian el Presupuesto General Nación-PGN, los cuales conllevaron a los siguientes beneficios: i) mejorar del rol del Estado como pagador, </w:t>
      </w:r>
      <w:proofErr w:type="spellStart"/>
      <w:r w:rsidRPr="00E77E04">
        <w:rPr>
          <w:rFonts w:ascii="Verdana" w:hAnsi="Verdana"/>
          <w:lang w:val="es-CO"/>
        </w:rPr>
        <w:t>ii</w:t>
      </w:r>
      <w:proofErr w:type="spellEnd"/>
      <w:r w:rsidRPr="00E77E04">
        <w:rPr>
          <w:rFonts w:ascii="Verdana" w:hAnsi="Verdana"/>
          <w:lang w:val="es-CO"/>
        </w:rPr>
        <w:t xml:space="preserve">) optimizar las labores de programación financiera, </w:t>
      </w:r>
      <w:proofErr w:type="spellStart"/>
      <w:r w:rsidRPr="00E77E04">
        <w:rPr>
          <w:rFonts w:ascii="Verdana" w:hAnsi="Verdana"/>
          <w:lang w:val="es-CO"/>
        </w:rPr>
        <w:t>iii</w:t>
      </w:r>
      <w:proofErr w:type="spellEnd"/>
      <w:r w:rsidRPr="00E77E04">
        <w:rPr>
          <w:rFonts w:ascii="Verdana" w:hAnsi="Verdana"/>
          <w:lang w:val="es-CO"/>
        </w:rPr>
        <w:t xml:space="preserve">) racionaliza el manejo de los fondos públicos, </w:t>
      </w:r>
      <w:proofErr w:type="spellStart"/>
      <w:r w:rsidRPr="00E77E04">
        <w:rPr>
          <w:rFonts w:ascii="Verdana" w:hAnsi="Verdana"/>
          <w:lang w:val="es-CO"/>
        </w:rPr>
        <w:t>iv</w:t>
      </w:r>
      <w:proofErr w:type="spellEnd"/>
      <w:r w:rsidRPr="00E77E04">
        <w:rPr>
          <w:rFonts w:ascii="Verdana" w:hAnsi="Verdana"/>
          <w:lang w:val="es-CO"/>
        </w:rPr>
        <w:t>) elimina estacionalidades de fondos y v) Centraliza en la Dirección del Tesoro Nacional todos los recursos financieros de la Nación, los recursos propios y Fondos Especiales de las entidades que conforman el Presupuesto General de la Nación-PGN, entre otros beneficios.</w:t>
      </w:r>
    </w:p>
    <w:p w14:paraId="5F7EDFDF" w14:textId="77777777" w:rsidR="00E77E04" w:rsidRPr="00E77E04" w:rsidRDefault="00E77E04" w:rsidP="00E77E04">
      <w:pPr>
        <w:jc w:val="both"/>
        <w:rPr>
          <w:rFonts w:ascii="Verdana" w:hAnsi="Verdana"/>
          <w:lang w:val="es-CO"/>
        </w:rPr>
      </w:pPr>
    </w:p>
    <w:p w14:paraId="29B23EAD" w14:textId="77777777" w:rsidR="00E77E04" w:rsidRDefault="00E77E04" w:rsidP="00E77E04">
      <w:pPr>
        <w:jc w:val="both"/>
        <w:rPr>
          <w:rFonts w:ascii="Verdana" w:hAnsi="Verdana"/>
          <w:lang w:val="es-CO"/>
        </w:rPr>
      </w:pPr>
      <w:r w:rsidRPr="00E77E04">
        <w:rPr>
          <w:rFonts w:ascii="Verdana" w:hAnsi="Verdana"/>
          <w:lang w:val="es-CO"/>
        </w:rPr>
        <w:t xml:space="preserve">En ese sentido, las entidades que conforman el PGN no deben tener en sus presupuestos recursos destinados y disponibles para garantizar los Gravámenes a los Movimientos Financieros después de la fecha de implementación de la SCUN (18 de </w:t>
      </w:r>
      <w:proofErr w:type="gramStart"/>
      <w:r w:rsidRPr="00E77E04">
        <w:rPr>
          <w:rFonts w:ascii="Verdana" w:hAnsi="Verdana"/>
          <w:lang w:val="es-CO"/>
        </w:rPr>
        <w:t>Agosto</w:t>
      </w:r>
      <w:proofErr w:type="gramEnd"/>
      <w:r w:rsidRPr="00E77E04">
        <w:rPr>
          <w:rFonts w:ascii="Verdana" w:hAnsi="Verdana"/>
          <w:lang w:val="es-CO"/>
        </w:rPr>
        <w:t xml:space="preserve"> de 2015), salvo para atender los pagos con traspaso a pagaduría. Por lo tanto, los recursos disponibles en estos rubros deberán ser trasladados a rubros misionales de acuerdo con la necesidad de cada área.</w:t>
      </w:r>
    </w:p>
    <w:p w14:paraId="1B93C2F8" w14:textId="77777777" w:rsidR="00E77E04" w:rsidRPr="00E77E04" w:rsidRDefault="00E77E04" w:rsidP="00E77E04">
      <w:pPr>
        <w:jc w:val="both"/>
        <w:rPr>
          <w:rFonts w:ascii="Verdana" w:hAnsi="Verdana"/>
          <w:lang w:val="es-CO"/>
        </w:rPr>
      </w:pPr>
    </w:p>
    <w:p w14:paraId="361B3B61" w14:textId="77777777" w:rsidR="00E77E04" w:rsidRDefault="00E77E04" w:rsidP="00E77E04">
      <w:pPr>
        <w:jc w:val="both"/>
        <w:rPr>
          <w:rFonts w:ascii="Verdana" w:hAnsi="Verdana"/>
          <w:lang w:val="es-CO"/>
        </w:rPr>
      </w:pPr>
      <w:r w:rsidRPr="00E77E04">
        <w:rPr>
          <w:rFonts w:ascii="Verdana" w:hAnsi="Verdana"/>
          <w:lang w:val="es-CO"/>
        </w:rPr>
        <w:t xml:space="preserve">Es importante precisar que en los rubros de Gravámenes a los Movimientos Financieros-GMF, excepcionalmente sólo deben quedar los recursos proyectados para cubrir los pagos con traspaso a pagaduría y aquellos que a la fecha del 18 de </w:t>
      </w:r>
      <w:proofErr w:type="gramStart"/>
      <w:r w:rsidRPr="00E77E04">
        <w:rPr>
          <w:rFonts w:ascii="Verdana" w:hAnsi="Verdana"/>
          <w:lang w:val="es-CO"/>
        </w:rPr>
        <w:t>Agosto</w:t>
      </w:r>
      <w:proofErr w:type="gramEnd"/>
      <w:r w:rsidRPr="00E77E04">
        <w:rPr>
          <w:rFonts w:ascii="Verdana" w:hAnsi="Verdana"/>
          <w:lang w:val="es-CO"/>
        </w:rPr>
        <w:t>, fueron causados pero su pago no se ha efectuado.</w:t>
      </w:r>
    </w:p>
    <w:p w14:paraId="6F4C9AF1" w14:textId="77777777" w:rsidR="00E77E04" w:rsidRPr="00E77E04" w:rsidRDefault="00E77E04" w:rsidP="00E77E04">
      <w:pPr>
        <w:jc w:val="both"/>
        <w:rPr>
          <w:rFonts w:ascii="Verdana" w:hAnsi="Verdana"/>
          <w:lang w:val="es-CO"/>
        </w:rPr>
      </w:pPr>
    </w:p>
    <w:p w14:paraId="4DC1CB7C" w14:textId="77777777" w:rsidR="00E77E04" w:rsidRDefault="00E77E04" w:rsidP="00E77E04">
      <w:pPr>
        <w:jc w:val="both"/>
        <w:rPr>
          <w:rFonts w:ascii="Verdana" w:hAnsi="Verdana"/>
          <w:lang w:val="es-CO"/>
        </w:rPr>
      </w:pPr>
      <w:r w:rsidRPr="00E77E04">
        <w:rPr>
          <w:rFonts w:ascii="Verdana" w:hAnsi="Verdana"/>
          <w:lang w:val="es-CO"/>
        </w:rPr>
        <w:t xml:space="preserve">Las modificaciones que requieran hacer las áreas con el propósito de liberar los recursos disponibles en los rubros de Gravamen a los Movimientos </w:t>
      </w:r>
      <w:proofErr w:type="gramStart"/>
      <w:r w:rsidRPr="00E77E04">
        <w:rPr>
          <w:rFonts w:ascii="Verdana" w:hAnsi="Verdana"/>
          <w:lang w:val="es-CO"/>
        </w:rPr>
        <w:t>Financieros,</w:t>
      </w:r>
      <w:proofErr w:type="gramEnd"/>
      <w:r w:rsidRPr="00E77E04">
        <w:rPr>
          <w:rFonts w:ascii="Verdana" w:hAnsi="Verdana"/>
          <w:lang w:val="es-CO"/>
        </w:rPr>
        <w:t xml:space="preserve"> deberán seguir los procedimientos establecidos para tal fin.</w:t>
      </w:r>
    </w:p>
    <w:p w14:paraId="63FA51B1" w14:textId="77777777" w:rsidR="00E77E04" w:rsidRPr="00E77E04" w:rsidRDefault="00E77E04" w:rsidP="00E77E04">
      <w:pPr>
        <w:jc w:val="both"/>
        <w:rPr>
          <w:rFonts w:ascii="Verdana" w:hAnsi="Verdana"/>
          <w:lang w:val="es-CO"/>
        </w:rPr>
      </w:pPr>
    </w:p>
    <w:p w14:paraId="1EA82652" w14:textId="77777777" w:rsidR="00E77E04" w:rsidRDefault="00E77E04" w:rsidP="00E77E04">
      <w:pPr>
        <w:jc w:val="both"/>
        <w:rPr>
          <w:rFonts w:ascii="Verdana" w:hAnsi="Verdana"/>
          <w:lang w:val="es-CO"/>
        </w:rPr>
      </w:pPr>
      <w:r w:rsidRPr="00E77E04">
        <w:rPr>
          <w:rFonts w:ascii="Verdana" w:hAnsi="Verdana"/>
          <w:lang w:val="es-CO"/>
        </w:rPr>
        <w:t xml:space="preserve">Las modificaciones a los rubros presupuéstales se deben realizar a más tardar el día 4 de </w:t>
      </w:r>
      <w:proofErr w:type="gramStart"/>
      <w:r w:rsidRPr="00E77E04">
        <w:rPr>
          <w:rFonts w:ascii="Verdana" w:hAnsi="Verdana"/>
          <w:lang w:val="es-CO"/>
        </w:rPr>
        <w:t>Noviembre</w:t>
      </w:r>
      <w:proofErr w:type="gramEnd"/>
      <w:r w:rsidRPr="00E77E04">
        <w:rPr>
          <w:rFonts w:ascii="Verdana" w:hAnsi="Verdana"/>
          <w:lang w:val="es-CO"/>
        </w:rPr>
        <w:t xml:space="preserve"> de 2015.</w:t>
      </w:r>
    </w:p>
    <w:p w14:paraId="10608870" w14:textId="77777777" w:rsidR="00E77E04" w:rsidRPr="00E77E04" w:rsidRDefault="00E77E04" w:rsidP="00E77E04">
      <w:pPr>
        <w:jc w:val="both"/>
        <w:rPr>
          <w:rFonts w:ascii="Verdana" w:hAnsi="Verdana"/>
          <w:lang w:val="es-CO"/>
        </w:rPr>
      </w:pPr>
    </w:p>
    <w:p w14:paraId="33D2DC33" w14:textId="77777777" w:rsidR="00E77E04" w:rsidRDefault="00E77E04" w:rsidP="00E77E04">
      <w:pPr>
        <w:jc w:val="both"/>
        <w:rPr>
          <w:rFonts w:ascii="Verdana" w:hAnsi="Verdana"/>
          <w:lang w:val="es-CO"/>
        </w:rPr>
      </w:pPr>
      <w:r w:rsidRPr="00E77E04">
        <w:rPr>
          <w:rFonts w:ascii="Verdana" w:hAnsi="Verdana"/>
          <w:lang w:val="es-CO"/>
        </w:rPr>
        <w:t>Cordial saludo,</w:t>
      </w:r>
    </w:p>
    <w:p w14:paraId="02C7F6E0" w14:textId="77777777" w:rsidR="00E77E04" w:rsidRPr="00E77E04" w:rsidRDefault="00E77E04" w:rsidP="00E77E04">
      <w:pPr>
        <w:jc w:val="both"/>
        <w:rPr>
          <w:rFonts w:ascii="Verdana" w:hAnsi="Verdana"/>
          <w:lang w:val="es-CO"/>
        </w:rPr>
      </w:pPr>
    </w:p>
    <w:p w14:paraId="3B566426" w14:textId="77777777" w:rsidR="00E77E04" w:rsidRDefault="00E77E04" w:rsidP="00E77E04">
      <w:pPr>
        <w:jc w:val="center"/>
        <w:rPr>
          <w:rFonts w:ascii="Verdana" w:hAnsi="Verdana"/>
          <w:b/>
          <w:bCs/>
          <w:lang w:val="es-CO"/>
        </w:rPr>
      </w:pPr>
      <w:r w:rsidRPr="00E77E04">
        <w:rPr>
          <w:rFonts w:ascii="Verdana" w:hAnsi="Verdana"/>
          <w:b/>
          <w:bCs/>
          <w:lang w:val="es-CO"/>
        </w:rPr>
        <w:t>CRISTINA PLAZAS MICHELSEN</w:t>
      </w:r>
    </w:p>
    <w:p w14:paraId="300355C8" w14:textId="77777777" w:rsidR="00E77E04" w:rsidRPr="00E77E04" w:rsidRDefault="00E77E04" w:rsidP="00E77E04">
      <w:pPr>
        <w:jc w:val="center"/>
        <w:rPr>
          <w:rFonts w:ascii="Verdana" w:hAnsi="Verdana"/>
          <w:lang w:val="es-CO"/>
        </w:rPr>
      </w:pPr>
    </w:p>
    <w:p w14:paraId="7C4CD48D" w14:textId="77777777" w:rsidR="00E77E04" w:rsidRPr="00E77E04" w:rsidRDefault="00E77E04" w:rsidP="00E77E04">
      <w:pPr>
        <w:jc w:val="center"/>
        <w:rPr>
          <w:rFonts w:ascii="Verdana" w:hAnsi="Verdana"/>
          <w:lang w:val="es-CO"/>
        </w:rPr>
      </w:pPr>
      <w:r w:rsidRPr="00E77E04">
        <w:rPr>
          <w:rFonts w:ascii="Verdana" w:hAnsi="Verdana"/>
          <w:lang w:val="es-CO"/>
        </w:rPr>
        <w:t>Directora General</w:t>
      </w:r>
    </w:p>
    <w:p w14:paraId="0000003B" w14:textId="77777777" w:rsidR="00802375" w:rsidRPr="00E77E04" w:rsidRDefault="00802375" w:rsidP="00E77E04">
      <w:pPr>
        <w:jc w:val="both"/>
        <w:rPr>
          <w:rFonts w:ascii="Verdana" w:hAnsi="Verdana"/>
          <w:lang w:val="es-CO"/>
        </w:rPr>
      </w:pPr>
    </w:p>
    <w:sectPr w:rsidR="00802375" w:rsidRPr="00E77E0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290BEA3-2ED7-4C81-9A19-5B2732C20990}"/>
    <w:embedBold r:id="rId2" w:fontKey="{84179692-DD3E-4C15-AB9F-7D6DCA9E23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875F50B-68C0-45D4-BBB8-190AF7218F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63A2C4-A62D-4889-A10B-299F911B7E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375"/>
    <w:rsid w:val="00802375"/>
    <w:rsid w:val="00C31353"/>
    <w:rsid w:val="00E7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3A1F9"/>
  <w15:docId w15:val="{0533DD5C-5B5C-42C5-9DBC-362B6370B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FBA910-6448-46E0-B07E-BAB294EBC68E}"/>
</file>

<file path=customXml/itemProps2.xml><?xml version="1.0" encoding="utf-8"?>
<ds:datastoreItem xmlns:ds="http://schemas.openxmlformats.org/officeDocument/2006/customXml" ds:itemID="{0CA89A8A-15B2-4D65-BA9E-7EA27EB29E48}"/>
</file>

<file path=customXml/itemProps3.xml><?xml version="1.0" encoding="utf-8"?>
<ds:datastoreItem xmlns:ds="http://schemas.openxmlformats.org/officeDocument/2006/customXml" ds:itemID="{70C36357-3B35-4779-8695-CD6B8F7207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1991</Characters>
  <Application>Microsoft Office Word</Application>
  <DocSecurity>0</DocSecurity>
  <Lines>16</Lines>
  <Paragraphs>4</Paragraphs>
  <ScaleCrop>false</ScaleCrop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2</cp:revision>
  <dcterms:created xsi:type="dcterms:W3CDTF">2026-04-24T14:57:00Z</dcterms:created>
  <dcterms:modified xsi:type="dcterms:W3CDTF">2026-04-24T14:57:00Z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