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B58F" w14:textId="77777777" w:rsidR="003334F4" w:rsidRPr="008643CF" w:rsidRDefault="003334F4" w:rsidP="00385FE9">
      <w:pPr>
        <w:jc w:val="center"/>
        <w:rPr>
          <w:rFonts w:ascii="Verdana" w:hAnsi="Verdana"/>
          <w:sz w:val="22"/>
          <w:szCs w:val="22"/>
        </w:rPr>
      </w:pPr>
      <w:r w:rsidRPr="008643CF">
        <w:rPr>
          <w:rFonts w:ascii="Verdana" w:hAnsi="Verdana"/>
          <w:b/>
          <w:bCs/>
          <w:sz w:val="22"/>
          <w:szCs w:val="22"/>
        </w:rPr>
        <w:t>CIRCULAR 13 DE 2007</w:t>
      </w:r>
    </w:p>
    <w:p w14:paraId="41C7EC3E" w14:textId="1AAB73A9" w:rsidR="003334F4" w:rsidRPr="008643CF" w:rsidRDefault="00385FE9" w:rsidP="00385FE9">
      <w:pPr>
        <w:jc w:val="center"/>
        <w:rPr>
          <w:rFonts w:ascii="Verdana" w:hAnsi="Verdana"/>
          <w:b/>
          <w:bCs/>
          <w:sz w:val="22"/>
          <w:szCs w:val="22"/>
        </w:rPr>
      </w:pPr>
      <w:r w:rsidRPr="008643CF">
        <w:rPr>
          <w:rFonts w:ascii="Verdana" w:hAnsi="Verdana"/>
          <w:b/>
          <w:bCs/>
          <w:sz w:val="22"/>
          <w:szCs w:val="22"/>
        </w:rPr>
        <w:t>(6 de</w:t>
      </w:r>
      <w:r w:rsidR="003334F4" w:rsidRPr="008643CF">
        <w:rPr>
          <w:rFonts w:ascii="Verdana" w:hAnsi="Verdana"/>
          <w:b/>
          <w:bCs/>
          <w:sz w:val="22"/>
          <w:szCs w:val="22"/>
        </w:rPr>
        <w:t xml:space="preserve"> junio)</w:t>
      </w:r>
    </w:p>
    <w:p w14:paraId="0C4AFD23" w14:textId="77777777" w:rsidR="003334F4" w:rsidRPr="008643CF" w:rsidRDefault="003334F4" w:rsidP="00385FE9">
      <w:pPr>
        <w:jc w:val="center"/>
        <w:rPr>
          <w:rFonts w:ascii="Verdana" w:hAnsi="Verdana"/>
          <w:sz w:val="22"/>
          <w:szCs w:val="22"/>
        </w:rPr>
      </w:pPr>
      <w:r w:rsidRPr="008643CF">
        <w:rPr>
          <w:rFonts w:ascii="Verdana" w:hAnsi="Verdana"/>
          <w:b/>
          <w:bCs/>
          <w:sz w:val="22"/>
          <w:szCs w:val="22"/>
        </w:rPr>
        <w:t>INSTITUTO COLOMBIANO DE BIENESTAR FAMILIAR</w:t>
      </w:r>
    </w:p>
    <w:p w14:paraId="2D1ADCA9" w14:textId="77777777" w:rsidR="003334F4" w:rsidRPr="008643CF" w:rsidRDefault="003334F4" w:rsidP="003334F4">
      <w:pPr>
        <w:rPr>
          <w:rFonts w:ascii="Verdana" w:hAnsi="Verdana"/>
          <w:sz w:val="22"/>
          <w:szCs w:val="22"/>
        </w:rPr>
      </w:pPr>
      <w:r w:rsidRPr="008643CF">
        <w:rPr>
          <w:rFonts w:ascii="Verdana" w:hAnsi="Verdana"/>
          <w:sz w:val="22"/>
          <w:szCs w:val="22"/>
        </w:rPr>
        <w:t xml:space="preserve">Para: </w:t>
      </w:r>
      <w:proofErr w:type="gramStart"/>
      <w:r w:rsidRPr="008643CF">
        <w:rPr>
          <w:rFonts w:ascii="Verdana" w:hAnsi="Verdana"/>
          <w:sz w:val="22"/>
          <w:szCs w:val="22"/>
        </w:rPr>
        <w:t>Directores</w:t>
      </w:r>
      <w:proofErr w:type="gramEnd"/>
      <w:r w:rsidRPr="008643CF">
        <w:rPr>
          <w:rFonts w:ascii="Verdana" w:hAnsi="Verdana"/>
          <w:sz w:val="22"/>
          <w:szCs w:val="22"/>
        </w:rPr>
        <w:t xml:space="preserve"> regionales</w:t>
      </w:r>
    </w:p>
    <w:p w14:paraId="7A90091F" w14:textId="77777777" w:rsidR="003334F4" w:rsidRPr="008643CF" w:rsidRDefault="003334F4" w:rsidP="003334F4">
      <w:pPr>
        <w:rPr>
          <w:rFonts w:ascii="Verdana" w:hAnsi="Verdana"/>
          <w:sz w:val="22"/>
          <w:szCs w:val="22"/>
        </w:rPr>
      </w:pPr>
      <w:r w:rsidRPr="008643CF">
        <w:rPr>
          <w:rFonts w:ascii="Verdana" w:hAnsi="Verdana"/>
          <w:sz w:val="22"/>
          <w:szCs w:val="22"/>
        </w:rPr>
        <w:t>Asunto: Pago de aportes a la seguridad social de madres comunitarias mediante la pila - aclaraciones para las organizaciones administradoras del programa de hogares de bienestar</w:t>
      </w:r>
    </w:p>
    <w:p w14:paraId="02BAE047" w14:textId="77777777" w:rsidR="003334F4" w:rsidRPr="008643CF" w:rsidRDefault="003334F4" w:rsidP="003334F4">
      <w:pPr>
        <w:rPr>
          <w:rFonts w:ascii="Verdana" w:hAnsi="Verdana"/>
          <w:sz w:val="22"/>
          <w:szCs w:val="22"/>
        </w:rPr>
      </w:pPr>
      <w:r w:rsidRPr="008643CF">
        <w:rPr>
          <w:rFonts w:ascii="Verdana" w:hAnsi="Verdana"/>
          <w:sz w:val="22"/>
          <w:szCs w:val="22"/>
        </w:rPr>
        <w:t xml:space="preserve">Apreciados </w:t>
      </w:r>
      <w:proofErr w:type="gramStart"/>
      <w:r w:rsidRPr="008643CF">
        <w:rPr>
          <w:rFonts w:ascii="Verdana" w:hAnsi="Verdana"/>
          <w:sz w:val="22"/>
          <w:szCs w:val="22"/>
        </w:rPr>
        <w:t>Directores</w:t>
      </w:r>
      <w:proofErr w:type="gramEnd"/>
      <w:r w:rsidRPr="008643CF">
        <w:rPr>
          <w:rFonts w:ascii="Verdana" w:hAnsi="Verdana"/>
          <w:sz w:val="22"/>
          <w:szCs w:val="22"/>
        </w:rPr>
        <w:t>:</w:t>
      </w:r>
    </w:p>
    <w:p w14:paraId="563ABA91" w14:textId="77777777" w:rsidR="003334F4" w:rsidRPr="008643CF" w:rsidRDefault="003334F4" w:rsidP="003334F4">
      <w:pPr>
        <w:rPr>
          <w:rFonts w:ascii="Verdana" w:hAnsi="Verdana"/>
          <w:sz w:val="22"/>
          <w:szCs w:val="22"/>
        </w:rPr>
      </w:pPr>
      <w:r w:rsidRPr="008643CF">
        <w:rPr>
          <w:rFonts w:ascii="Verdana" w:hAnsi="Verdana"/>
          <w:sz w:val="22"/>
          <w:szCs w:val="22"/>
        </w:rPr>
        <w:t>El pasado 24 de mayo, el Ministerio de la Protección Social realizó algunas aclaraciones para las Organizaciones Administradoras del Programa de Hogares de Bienestar en cuanto al pago de aportes a la seguridad social de las madres comunitarias, y en particular frente a la forma en la que se debe diligenciar el formulario único de aportes y que se describen a continuación:</w:t>
      </w:r>
    </w:p>
    <w:p w14:paraId="26141E0D" w14:textId="77777777" w:rsidR="003334F4" w:rsidRPr="008643CF" w:rsidRDefault="003334F4" w:rsidP="003334F4">
      <w:pPr>
        <w:rPr>
          <w:rFonts w:ascii="Verdana" w:hAnsi="Verdana"/>
          <w:sz w:val="22"/>
          <w:szCs w:val="22"/>
        </w:rPr>
      </w:pPr>
      <w:r w:rsidRPr="008643CF">
        <w:rPr>
          <w:rFonts w:ascii="Verdana" w:hAnsi="Verdana"/>
          <w:sz w:val="22"/>
          <w:szCs w:val="22"/>
        </w:rPr>
        <w:t>En lo que tiene que ver con el pago que deben realizar las Organizaciones Administradoras del Programa Hogares de Bienestar, el Ministerio estableció las siguientes disposiciones:</w:t>
      </w:r>
    </w:p>
    <w:p w14:paraId="6CD1AD3D" w14:textId="77777777" w:rsidR="003334F4" w:rsidRPr="008643CF" w:rsidRDefault="003334F4" w:rsidP="003334F4">
      <w:pPr>
        <w:numPr>
          <w:ilvl w:val="0"/>
          <w:numId w:val="1"/>
        </w:numPr>
        <w:rPr>
          <w:rFonts w:ascii="Verdana" w:hAnsi="Verdana"/>
          <w:sz w:val="22"/>
          <w:szCs w:val="22"/>
        </w:rPr>
      </w:pPr>
      <w:r w:rsidRPr="008643CF">
        <w:rPr>
          <w:rFonts w:ascii="Verdana" w:hAnsi="Verdana"/>
          <w:sz w:val="22"/>
          <w:szCs w:val="22"/>
        </w:rPr>
        <w:t>Las Asociaciones deberán utilizar en el campo 20 del sistema (tipo de aportante) el tipo de aportante 7, para efectos de permitir realizar los aportes de las Madres Comunitarias, equivalentes al 4% del Ingreso Base de Cotización, el cual corresponde a la suma que reciben como bonificación del Instituto Colombiano de Bienestar Familiar.</w:t>
      </w:r>
    </w:p>
    <w:p w14:paraId="42EFF92B" w14:textId="77777777" w:rsidR="003334F4" w:rsidRPr="008643CF" w:rsidRDefault="003334F4" w:rsidP="003334F4">
      <w:pPr>
        <w:rPr>
          <w:rFonts w:ascii="Verdana" w:hAnsi="Verdana"/>
          <w:sz w:val="22"/>
          <w:szCs w:val="22"/>
        </w:rPr>
      </w:pPr>
      <w:r w:rsidRPr="008643CF">
        <w:rPr>
          <w:rFonts w:ascii="Verdana" w:hAnsi="Verdana"/>
          <w:sz w:val="22"/>
          <w:szCs w:val="22"/>
        </w:rPr>
        <w:t>En el campo 5 (tipo de cotizante) las Asociaciones deberán utilizar el tipo de cotizante 4, correspondiente a Madres Comunitarias.</w:t>
      </w:r>
    </w:p>
    <w:p w14:paraId="0B36B1C7" w14:textId="77777777" w:rsidR="003334F4" w:rsidRPr="008643CF" w:rsidRDefault="003334F4" w:rsidP="003334F4">
      <w:pPr>
        <w:rPr>
          <w:rFonts w:ascii="Verdana" w:hAnsi="Verdana"/>
          <w:sz w:val="22"/>
          <w:szCs w:val="22"/>
        </w:rPr>
      </w:pPr>
      <w:r w:rsidRPr="008643CF">
        <w:rPr>
          <w:rFonts w:ascii="Verdana" w:hAnsi="Verdana"/>
          <w:sz w:val="22"/>
          <w:szCs w:val="22"/>
        </w:rPr>
        <w:t>Cuando se utilice el tipo de cotizante 4, sólo son obligatorios los aportes al Sistema de Salud y el Ingreso Base de Cotización será la suma que reciben por concepto de bonificación del ICBF, a una tasa del 4%.</w:t>
      </w:r>
    </w:p>
    <w:p w14:paraId="4C4ED9E3" w14:textId="77777777" w:rsidR="003334F4" w:rsidRPr="008643CF" w:rsidRDefault="003334F4" w:rsidP="003334F4">
      <w:pPr>
        <w:rPr>
          <w:rFonts w:ascii="Verdana" w:hAnsi="Verdana"/>
          <w:sz w:val="22"/>
          <w:szCs w:val="22"/>
        </w:rPr>
      </w:pPr>
      <w:r w:rsidRPr="008643CF">
        <w:rPr>
          <w:rFonts w:ascii="Verdana" w:hAnsi="Verdana"/>
          <w:sz w:val="22"/>
          <w:szCs w:val="22"/>
        </w:rPr>
        <w:t>Dentro del esquema de la Planilla Integrada de Liquidación de Aportes están los Operadores de Información, que son los encargados de facilitar la relación entre los aportantes y las administradoras para el recaudo de los aportes a los diferentes subsistemas de la Protección Social.</w:t>
      </w:r>
    </w:p>
    <w:p w14:paraId="0809B4F5" w14:textId="77777777" w:rsidR="003334F4" w:rsidRPr="008643CF" w:rsidRDefault="003334F4" w:rsidP="003334F4">
      <w:pPr>
        <w:rPr>
          <w:rFonts w:ascii="Verdana" w:hAnsi="Verdana"/>
          <w:sz w:val="22"/>
          <w:szCs w:val="22"/>
        </w:rPr>
      </w:pPr>
      <w:r w:rsidRPr="008643CF">
        <w:rPr>
          <w:rFonts w:ascii="Verdana" w:hAnsi="Verdana"/>
          <w:sz w:val="22"/>
          <w:szCs w:val="22"/>
        </w:rPr>
        <w:t>Por eso, cuando se trata de un aportante tipo 7, el Operador de Información deberá verificar que la Organización Administradora del Programa Hogares de Bienestar se encuentra vinculada al Programa Hogares Comunitarios del ICBF, mediante la confirmación en el registro, que se comunicará a través de la página web del Instituto.</w:t>
      </w:r>
    </w:p>
    <w:p w14:paraId="776FC629" w14:textId="77777777" w:rsidR="003334F4" w:rsidRPr="008643CF" w:rsidRDefault="003334F4" w:rsidP="003334F4">
      <w:pPr>
        <w:rPr>
          <w:rFonts w:ascii="Verdana" w:hAnsi="Verdana"/>
          <w:sz w:val="22"/>
          <w:szCs w:val="22"/>
        </w:rPr>
      </w:pPr>
      <w:r w:rsidRPr="008643CF">
        <w:rPr>
          <w:rFonts w:ascii="Verdana" w:hAnsi="Verdana"/>
          <w:sz w:val="22"/>
          <w:szCs w:val="22"/>
        </w:rPr>
        <w:t>Con la PILA, los recaudos son canalizados a través de un solo paquete de pagos a la Seguridad Social Integral y parafiscales, de modo que se reducen los trámites para los aportantes, los costos de cheques, auxiliares de nómina y mensajeros y se facilita la liquidación de aportes, debido a que se maneja un solo formulario y no cuatro, como hasta ahora.</w:t>
      </w:r>
    </w:p>
    <w:p w14:paraId="161204B7" w14:textId="77777777" w:rsidR="003334F4" w:rsidRPr="008643CF" w:rsidRDefault="003334F4" w:rsidP="003334F4">
      <w:pPr>
        <w:rPr>
          <w:rFonts w:ascii="Verdana" w:hAnsi="Verdana"/>
          <w:sz w:val="22"/>
          <w:szCs w:val="22"/>
        </w:rPr>
      </w:pPr>
      <w:r w:rsidRPr="008643CF">
        <w:rPr>
          <w:rFonts w:ascii="Verdana" w:hAnsi="Verdana"/>
          <w:sz w:val="22"/>
          <w:szCs w:val="22"/>
        </w:rPr>
        <w:lastRenderedPageBreak/>
        <w:t>El sistema permite también mayor claridad en las transacciones, agilidad en los procesos de Seguridad Social y organización de los pagos de acuerdo con el número del NIT.</w:t>
      </w:r>
    </w:p>
    <w:p w14:paraId="4C4B90A9" w14:textId="77777777" w:rsidR="003334F4" w:rsidRPr="008643CF" w:rsidRDefault="003334F4" w:rsidP="003334F4">
      <w:pPr>
        <w:rPr>
          <w:rFonts w:ascii="Verdana" w:hAnsi="Verdana"/>
          <w:sz w:val="22"/>
          <w:szCs w:val="22"/>
        </w:rPr>
      </w:pPr>
      <w:r w:rsidRPr="008643CF">
        <w:rPr>
          <w:rFonts w:ascii="Verdana" w:hAnsi="Verdana"/>
          <w:sz w:val="22"/>
          <w:szCs w:val="22"/>
        </w:rPr>
        <w:t xml:space="preserve">Finalmente, el 1° de junio, se colgó en la página Web del Instituto un </w:t>
      </w:r>
      <w:proofErr w:type="gramStart"/>
      <w:r w:rsidRPr="008643CF">
        <w:rPr>
          <w:rFonts w:ascii="Verdana" w:hAnsi="Verdana"/>
          <w:sz w:val="22"/>
          <w:szCs w:val="22"/>
        </w:rPr>
        <w:t>link</w:t>
      </w:r>
      <w:proofErr w:type="gramEnd"/>
      <w:r w:rsidRPr="008643CF">
        <w:rPr>
          <w:rFonts w:ascii="Verdana" w:hAnsi="Verdana"/>
          <w:sz w:val="22"/>
          <w:szCs w:val="22"/>
        </w:rPr>
        <w:t xml:space="preserve"> con el listado de todas las Asociaciones que agrupan a los Hogares Comunitarios de Bienestar o a las Madres Comunitarias. Conforme con la información reportada por la Subdirección de Asesoría Territorial de la Sede Nacional, se detectaron algunas inconsistencias entre la información suministrada a la Subdirección de Asesoría Territorial y la información que tiene la Subdirección de programación.</w:t>
      </w:r>
    </w:p>
    <w:p w14:paraId="09F9755F" w14:textId="77777777" w:rsidR="003334F4" w:rsidRPr="008643CF" w:rsidRDefault="003334F4" w:rsidP="003334F4">
      <w:pPr>
        <w:rPr>
          <w:rFonts w:ascii="Verdana" w:hAnsi="Verdana"/>
          <w:sz w:val="22"/>
          <w:szCs w:val="22"/>
        </w:rPr>
      </w:pPr>
      <w:r w:rsidRPr="008643CF">
        <w:rPr>
          <w:rFonts w:ascii="Verdana" w:hAnsi="Verdana"/>
          <w:sz w:val="22"/>
          <w:szCs w:val="22"/>
        </w:rPr>
        <w:t>En consecuencia, se solicita de manera urgente ajustar la base de datos correspondiente al número de Asociaciones u Organizaciones Administradoras del Programa de Hogares de Bienestar.</w:t>
      </w:r>
    </w:p>
    <w:p w14:paraId="4218660C" w14:textId="77777777" w:rsidR="003334F4" w:rsidRPr="008643CF" w:rsidRDefault="003334F4" w:rsidP="003334F4">
      <w:pPr>
        <w:rPr>
          <w:rFonts w:ascii="Verdana" w:hAnsi="Verdana"/>
          <w:sz w:val="22"/>
          <w:szCs w:val="22"/>
        </w:rPr>
      </w:pPr>
      <w:r w:rsidRPr="008643CF">
        <w:rPr>
          <w:rFonts w:ascii="Verdana" w:hAnsi="Verdana"/>
          <w:sz w:val="22"/>
          <w:szCs w:val="22"/>
        </w:rPr>
        <w:t>Finalmente, esta información deberá ser divulgada a todos los Centro Zonales y Asociaciones u Organizaciones Administradoras del Programa de Hogares de Bienestar con el Boletín Informativo que se expedirá para el efecto.</w:t>
      </w:r>
    </w:p>
    <w:p w14:paraId="3D0FBE77" w14:textId="77777777" w:rsidR="003334F4" w:rsidRPr="008643CF" w:rsidRDefault="003334F4" w:rsidP="003334F4">
      <w:pPr>
        <w:rPr>
          <w:rFonts w:ascii="Verdana" w:hAnsi="Verdana"/>
          <w:sz w:val="22"/>
          <w:szCs w:val="22"/>
        </w:rPr>
      </w:pPr>
      <w:r w:rsidRPr="008643CF">
        <w:rPr>
          <w:rFonts w:ascii="Verdana" w:hAnsi="Verdana"/>
          <w:sz w:val="22"/>
          <w:szCs w:val="22"/>
        </w:rPr>
        <w:t>Cordial saludo,</w:t>
      </w:r>
    </w:p>
    <w:p w14:paraId="200AA87C" w14:textId="77777777" w:rsidR="003334F4" w:rsidRPr="008643CF" w:rsidRDefault="003334F4" w:rsidP="00385FE9">
      <w:pPr>
        <w:jc w:val="center"/>
        <w:rPr>
          <w:rFonts w:ascii="Verdana" w:hAnsi="Verdana"/>
          <w:sz w:val="22"/>
          <w:szCs w:val="22"/>
        </w:rPr>
      </w:pPr>
      <w:r w:rsidRPr="008643CF">
        <w:rPr>
          <w:rFonts w:ascii="Verdana" w:hAnsi="Verdana"/>
          <w:b/>
          <w:bCs/>
          <w:sz w:val="22"/>
          <w:szCs w:val="22"/>
        </w:rPr>
        <w:t>ELVIRA FORERO HERNANDEZ</w:t>
      </w:r>
    </w:p>
    <w:p w14:paraId="53EE5AF0" w14:textId="77777777" w:rsidR="003334F4" w:rsidRPr="008643CF" w:rsidRDefault="003334F4" w:rsidP="00385FE9">
      <w:pPr>
        <w:jc w:val="center"/>
        <w:rPr>
          <w:rFonts w:ascii="Verdana" w:hAnsi="Verdana"/>
          <w:sz w:val="22"/>
          <w:szCs w:val="22"/>
        </w:rPr>
      </w:pPr>
      <w:r w:rsidRPr="008643CF">
        <w:rPr>
          <w:rFonts w:ascii="Verdana" w:hAnsi="Verdana"/>
          <w:sz w:val="22"/>
          <w:szCs w:val="22"/>
        </w:rPr>
        <w:t>Directora General</w:t>
      </w:r>
    </w:p>
    <w:p w14:paraId="7A23845F" w14:textId="77777777" w:rsidR="003334F4" w:rsidRPr="008643CF" w:rsidRDefault="003334F4" w:rsidP="003334F4">
      <w:pPr>
        <w:rPr>
          <w:rFonts w:ascii="Verdana" w:hAnsi="Verdana"/>
          <w:sz w:val="22"/>
          <w:szCs w:val="22"/>
        </w:rPr>
      </w:pPr>
      <w:r w:rsidRPr="008643CF">
        <w:rPr>
          <w:rFonts w:ascii="Verdana" w:hAnsi="Verdana"/>
          <w:b/>
          <w:bCs/>
          <w:sz w:val="22"/>
          <w:szCs w:val="22"/>
        </w:rPr>
        <w:t>Aclaraciones al pago de aportes a la Seguridad Social</w:t>
      </w:r>
    </w:p>
    <w:p w14:paraId="3F9A32E3" w14:textId="77777777" w:rsidR="003334F4" w:rsidRPr="008643CF" w:rsidRDefault="003334F4" w:rsidP="003334F4">
      <w:pPr>
        <w:rPr>
          <w:rFonts w:ascii="Verdana" w:hAnsi="Verdana"/>
          <w:sz w:val="22"/>
          <w:szCs w:val="22"/>
        </w:rPr>
      </w:pPr>
      <w:r w:rsidRPr="008643CF">
        <w:rPr>
          <w:rFonts w:ascii="Verdana" w:hAnsi="Verdana"/>
          <w:b/>
          <w:bCs/>
          <w:sz w:val="22"/>
          <w:szCs w:val="22"/>
        </w:rPr>
        <w:t>para las Organizaciones Administradoras de los</w:t>
      </w:r>
    </w:p>
    <w:p w14:paraId="199F0A68" w14:textId="77777777" w:rsidR="003334F4" w:rsidRPr="008643CF" w:rsidRDefault="003334F4" w:rsidP="003334F4">
      <w:pPr>
        <w:rPr>
          <w:rFonts w:ascii="Verdana" w:hAnsi="Verdana"/>
          <w:sz w:val="22"/>
          <w:szCs w:val="22"/>
        </w:rPr>
      </w:pPr>
      <w:r w:rsidRPr="008643CF">
        <w:rPr>
          <w:rFonts w:ascii="Verdana" w:hAnsi="Verdana"/>
          <w:b/>
          <w:bCs/>
          <w:sz w:val="22"/>
          <w:szCs w:val="22"/>
        </w:rPr>
        <w:t>Hogares Comunitarios de Bienestar</w:t>
      </w:r>
    </w:p>
    <w:p w14:paraId="055EE664" w14:textId="77777777" w:rsidR="003334F4" w:rsidRPr="008643CF" w:rsidRDefault="003334F4" w:rsidP="003334F4">
      <w:pPr>
        <w:rPr>
          <w:rFonts w:ascii="Verdana" w:hAnsi="Verdana"/>
          <w:sz w:val="22"/>
          <w:szCs w:val="22"/>
        </w:rPr>
      </w:pPr>
      <w:r w:rsidRPr="008643CF">
        <w:rPr>
          <w:rFonts w:ascii="Verdana" w:hAnsi="Verdana"/>
          <w:sz w:val="22"/>
          <w:szCs w:val="22"/>
        </w:rPr>
        <w:t>La implementación de la Planilla Integrada de Liquidación de Aportes (PILA) inició en el mes de agosto de 2005 y se hace obligatoria para todos los aportantes a partir del mes de septiembre de 2007.</w:t>
      </w:r>
    </w:p>
    <w:p w14:paraId="24B93D0E" w14:textId="77777777" w:rsidR="003334F4" w:rsidRPr="008643CF" w:rsidRDefault="003334F4" w:rsidP="003334F4">
      <w:pPr>
        <w:rPr>
          <w:rFonts w:ascii="Verdana" w:hAnsi="Verdana"/>
          <w:sz w:val="22"/>
          <w:szCs w:val="22"/>
        </w:rPr>
      </w:pPr>
      <w:r w:rsidRPr="008643CF">
        <w:rPr>
          <w:rFonts w:ascii="Verdana" w:hAnsi="Verdana"/>
          <w:sz w:val="22"/>
          <w:szCs w:val="22"/>
        </w:rPr>
        <w:t>El sistema permite que los aportantes realicen el pago integrado a la Seguridad Social y demás parafiscales, a través de transferencias electrónicas de fondos, empleando un único formato, la Pila.</w:t>
      </w:r>
    </w:p>
    <w:p w14:paraId="71681ACC" w14:textId="77777777" w:rsidR="003334F4" w:rsidRPr="008643CF" w:rsidRDefault="003334F4" w:rsidP="003334F4">
      <w:pPr>
        <w:rPr>
          <w:rFonts w:ascii="Verdana" w:hAnsi="Verdana"/>
          <w:sz w:val="22"/>
          <w:szCs w:val="22"/>
        </w:rPr>
      </w:pPr>
      <w:r w:rsidRPr="008643CF">
        <w:rPr>
          <w:rFonts w:ascii="Verdana" w:hAnsi="Verdana"/>
          <w:sz w:val="22"/>
          <w:szCs w:val="22"/>
        </w:rPr>
        <w:t>El Ministerio de la Protección Social realizó algunas aclaraciones frente a la forma en la que se debe diligenciar el formulario único de aportes. En lo que tiene que ver con el pago que deben realizar las Organizaciones Administradoras del Programa Hogares de Bienestar, el ministerio estableció las siguientes disposiciones:</w:t>
      </w:r>
    </w:p>
    <w:p w14:paraId="41D906B6" w14:textId="77777777" w:rsidR="003334F4" w:rsidRPr="008643CF" w:rsidRDefault="003334F4" w:rsidP="003334F4">
      <w:pPr>
        <w:numPr>
          <w:ilvl w:val="0"/>
          <w:numId w:val="2"/>
        </w:numPr>
        <w:rPr>
          <w:rFonts w:ascii="Verdana" w:hAnsi="Verdana"/>
          <w:sz w:val="22"/>
          <w:szCs w:val="22"/>
        </w:rPr>
      </w:pPr>
      <w:r w:rsidRPr="008643CF">
        <w:rPr>
          <w:rFonts w:ascii="Verdana" w:hAnsi="Verdana"/>
          <w:sz w:val="22"/>
          <w:szCs w:val="22"/>
        </w:rPr>
        <w:t>Las Asociaciones deberán utilizar en el campo 20 del sistema (tipo de aportante) el tipo de aportante 7, para efectos de permitir realizar los aportes de las Madres Comunitarias, equivalentes al 4% del Ingreso Base de Cotización, el cual corresponde a la suma que reciben como bonificación del Instituto Colombiano de Bienestar Familiar.</w:t>
      </w:r>
    </w:p>
    <w:p w14:paraId="3DE33EAC" w14:textId="77777777" w:rsidR="003334F4" w:rsidRPr="008643CF" w:rsidRDefault="003334F4" w:rsidP="003334F4">
      <w:pPr>
        <w:rPr>
          <w:rFonts w:ascii="Verdana" w:hAnsi="Verdana"/>
          <w:sz w:val="22"/>
          <w:szCs w:val="22"/>
        </w:rPr>
      </w:pPr>
      <w:r w:rsidRPr="008643CF">
        <w:rPr>
          <w:rFonts w:ascii="Verdana" w:hAnsi="Verdana"/>
          <w:sz w:val="22"/>
          <w:szCs w:val="22"/>
        </w:rPr>
        <w:t>En el campo 5 (tipo de cotizante) las Asociaciones deberán utilizar el tipo de cotizante 4, correspondiente a Madres Comunitarias.</w:t>
      </w:r>
    </w:p>
    <w:p w14:paraId="51E81C0F" w14:textId="77777777" w:rsidR="003334F4" w:rsidRPr="008643CF" w:rsidRDefault="003334F4" w:rsidP="003334F4">
      <w:pPr>
        <w:rPr>
          <w:rFonts w:ascii="Verdana" w:hAnsi="Verdana"/>
          <w:sz w:val="22"/>
          <w:szCs w:val="22"/>
        </w:rPr>
      </w:pPr>
      <w:r w:rsidRPr="008643CF">
        <w:rPr>
          <w:rFonts w:ascii="Verdana" w:hAnsi="Verdana"/>
          <w:sz w:val="22"/>
          <w:szCs w:val="22"/>
        </w:rPr>
        <w:lastRenderedPageBreak/>
        <w:t>Cuando se utilice el tipo de cotizante 4, sólo son obligatorios los aportes al Sistema de Salud y el Ingreso Base de Cotización será la suma que reciben por concepto de bonificación del ICBF, a una tasa del 4%.</w:t>
      </w:r>
    </w:p>
    <w:p w14:paraId="5089418B" w14:textId="77777777" w:rsidR="003334F4" w:rsidRPr="008643CF" w:rsidRDefault="003334F4" w:rsidP="003334F4">
      <w:pPr>
        <w:rPr>
          <w:rFonts w:ascii="Verdana" w:hAnsi="Verdana"/>
          <w:sz w:val="22"/>
          <w:szCs w:val="22"/>
        </w:rPr>
      </w:pPr>
      <w:r w:rsidRPr="008643CF">
        <w:rPr>
          <w:rFonts w:ascii="Verdana" w:hAnsi="Verdana"/>
          <w:sz w:val="22"/>
          <w:szCs w:val="22"/>
        </w:rPr>
        <w:t>Dentro del esquema de la Planilla Integrada de Liquidación de Aportes están los Operadores de Información, que son los encargados de facilitar la relación entre los aportantes y las administradoras para el recaudo de los aportes a los diferentes subsistemas de la Protección Social.</w:t>
      </w:r>
    </w:p>
    <w:p w14:paraId="3CA44005" w14:textId="77777777" w:rsidR="003334F4" w:rsidRPr="008643CF" w:rsidRDefault="003334F4" w:rsidP="003334F4">
      <w:pPr>
        <w:rPr>
          <w:rFonts w:ascii="Verdana" w:hAnsi="Verdana"/>
          <w:sz w:val="22"/>
          <w:szCs w:val="22"/>
        </w:rPr>
      </w:pPr>
      <w:r w:rsidRPr="008643CF">
        <w:rPr>
          <w:rFonts w:ascii="Verdana" w:hAnsi="Verdana"/>
          <w:sz w:val="22"/>
          <w:szCs w:val="22"/>
        </w:rPr>
        <w:t>Por eso, cuando se trata de un aportante tipo 7, el Operador de Información deberá verificar que la Organización Administradora del Programa Hogares de Bienestar se encuentra vinculada al Programa Hogares Comunitarios del ICBF, mediante la confirmación en el registro, que se comunicará a través de la página web del Instituto.</w:t>
      </w:r>
    </w:p>
    <w:p w14:paraId="0438E772" w14:textId="77777777" w:rsidR="003334F4" w:rsidRPr="008643CF" w:rsidRDefault="003334F4" w:rsidP="003334F4">
      <w:pPr>
        <w:rPr>
          <w:rFonts w:ascii="Verdana" w:hAnsi="Verdana"/>
          <w:sz w:val="22"/>
          <w:szCs w:val="22"/>
        </w:rPr>
      </w:pPr>
      <w:r w:rsidRPr="008643CF">
        <w:rPr>
          <w:rFonts w:ascii="Verdana" w:hAnsi="Verdana"/>
          <w:sz w:val="22"/>
          <w:szCs w:val="22"/>
        </w:rPr>
        <w:t>Con la PILA, los recaudos son canalizados a través de un solo paquete de pagos a la Seguridad Social Integral y parafiscales, de modo que se reducen los trámites para los aportantes, los costos de cheques, auxiliares de nómina y mensajeros y se facilita la liquidación de aportes, debido a que se maneja un solo formulario y no cuatro, como hasta ahora.</w:t>
      </w:r>
    </w:p>
    <w:p w14:paraId="1613BBE9" w14:textId="77777777" w:rsidR="003334F4" w:rsidRPr="008643CF" w:rsidRDefault="003334F4" w:rsidP="003334F4">
      <w:pPr>
        <w:rPr>
          <w:rFonts w:ascii="Verdana" w:hAnsi="Verdana"/>
          <w:sz w:val="22"/>
          <w:szCs w:val="22"/>
        </w:rPr>
      </w:pPr>
      <w:r w:rsidRPr="008643CF">
        <w:rPr>
          <w:rFonts w:ascii="Verdana" w:hAnsi="Verdana"/>
          <w:sz w:val="22"/>
          <w:szCs w:val="22"/>
        </w:rPr>
        <w:t>El sistema permite también mayor claridad en las transacciones, agilidad en los procesos de Seguridad Social y organización de los pagos de acuerdo con el número del NIT.</w:t>
      </w:r>
    </w:p>
    <w:p w14:paraId="0E1C95AA" w14:textId="77777777" w:rsidR="003334F4" w:rsidRPr="008643CF" w:rsidRDefault="003334F4" w:rsidP="003334F4">
      <w:pPr>
        <w:rPr>
          <w:rFonts w:ascii="Verdana" w:hAnsi="Verdana"/>
          <w:sz w:val="22"/>
          <w:szCs w:val="22"/>
        </w:rPr>
      </w:pPr>
      <w:r w:rsidRPr="008643CF">
        <w:rPr>
          <w:rFonts w:ascii="Verdana" w:hAnsi="Verdana"/>
          <w:b/>
          <w:bCs/>
          <w:sz w:val="22"/>
          <w:szCs w:val="22"/>
        </w:rPr>
        <w:t>MAYORES INFORMES</w:t>
      </w:r>
    </w:p>
    <w:p w14:paraId="79A66130" w14:textId="77777777" w:rsidR="003334F4" w:rsidRPr="008643CF" w:rsidRDefault="003334F4" w:rsidP="003334F4">
      <w:pPr>
        <w:rPr>
          <w:rFonts w:ascii="Verdana" w:hAnsi="Verdana"/>
          <w:sz w:val="22"/>
          <w:szCs w:val="22"/>
        </w:rPr>
      </w:pPr>
      <w:r w:rsidRPr="008643CF">
        <w:rPr>
          <w:rFonts w:ascii="Verdana" w:hAnsi="Verdana"/>
          <w:sz w:val="22"/>
          <w:szCs w:val="22"/>
        </w:rPr>
        <w:t>Teléfono: 4377630 Extensiones: 1091 y 1099</w:t>
      </w:r>
    </w:p>
    <w:p w14:paraId="7EEB64BF" w14:textId="77777777" w:rsidR="003334F4" w:rsidRPr="008643CF" w:rsidRDefault="003334F4" w:rsidP="003334F4">
      <w:pPr>
        <w:rPr>
          <w:rFonts w:ascii="Verdana" w:hAnsi="Verdana"/>
          <w:sz w:val="22"/>
          <w:szCs w:val="22"/>
        </w:rPr>
      </w:pPr>
      <w:r w:rsidRPr="008643CF">
        <w:rPr>
          <w:rFonts w:ascii="Verdana" w:hAnsi="Verdana"/>
          <w:sz w:val="22"/>
          <w:szCs w:val="22"/>
        </w:rPr>
        <w:t>Línea Nacional 018000918080</w:t>
      </w:r>
    </w:p>
    <w:p w14:paraId="2784EC66" w14:textId="77777777" w:rsidR="003334F4" w:rsidRPr="008643CF" w:rsidRDefault="003334F4" w:rsidP="003334F4">
      <w:pPr>
        <w:rPr>
          <w:rFonts w:ascii="Verdana" w:hAnsi="Verdana"/>
          <w:sz w:val="22"/>
          <w:szCs w:val="22"/>
        </w:rPr>
      </w:pPr>
      <w:r w:rsidRPr="008643CF">
        <w:rPr>
          <w:rFonts w:ascii="Verdana" w:hAnsi="Verdana"/>
          <w:sz w:val="22"/>
          <w:szCs w:val="22"/>
        </w:rPr>
        <w:t>www.icbf.qov.co</w:t>
      </w:r>
    </w:p>
    <w:p w14:paraId="6D5519CD" w14:textId="77777777" w:rsidR="0088588F" w:rsidRPr="008643CF" w:rsidRDefault="0088588F" w:rsidP="003334F4">
      <w:pPr>
        <w:rPr>
          <w:rFonts w:ascii="Verdana" w:hAnsi="Verdana"/>
          <w:sz w:val="22"/>
          <w:szCs w:val="22"/>
        </w:rPr>
      </w:pPr>
    </w:p>
    <w:sectPr w:rsidR="0088588F" w:rsidRPr="008643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B433F"/>
    <w:multiLevelType w:val="multilevel"/>
    <w:tmpl w:val="340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540CA"/>
    <w:multiLevelType w:val="multilevel"/>
    <w:tmpl w:val="8150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557504">
    <w:abstractNumId w:val="1"/>
  </w:num>
  <w:num w:numId="2" w16cid:durableId="174440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A7"/>
    <w:rsid w:val="00015D2A"/>
    <w:rsid w:val="00177817"/>
    <w:rsid w:val="002E33F3"/>
    <w:rsid w:val="003334F4"/>
    <w:rsid w:val="00385FE9"/>
    <w:rsid w:val="00490B89"/>
    <w:rsid w:val="00550F5C"/>
    <w:rsid w:val="008643CF"/>
    <w:rsid w:val="0088588F"/>
    <w:rsid w:val="00CA44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B4EF"/>
  <w15:chartTrackingRefBased/>
  <w15:docId w15:val="{40B7E1E6-EDC2-4F60-94F6-6AFF9A4C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4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4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44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44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A44A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A44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A44A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A44A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A44A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44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44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44A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44A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A44A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A44A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A44A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A44A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A44A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A44A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44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44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44A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A44A7"/>
    <w:pPr>
      <w:spacing w:before="160"/>
      <w:jc w:val="center"/>
    </w:pPr>
    <w:rPr>
      <w:i/>
      <w:iCs/>
      <w:color w:val="404040" w:themeColor="text1" w:themeTint="BF"/>
    </w:rPr>
  </w:style>
  <w:style w:type="character" w:customStyle="1" w:styleId="CitaCar">
    <w:name w:val="Cita Car"/>
    <w:basedOn w:val="Fuentedeprrafopredeter"/>
    <w:link w:val="Cita"/>
    <w:uiPriority w:val="29"/>
    <w:rsid w:val="00CA44A7"/>
    <w:rPr>
      <w:i/>
      <w:iCs/>
      <w:color w:val="404040" w:themeColor="text1" w:themeTint="BF"/>
    </w:rPr>
  </w:style>
  <w:style w:type="paragraph" w:styleId="Prrafodelista">
    <w:name w:val="List Paragraph"/>
    <w:basedOn w:val="Normal"/>
    <w:uiPriority w:val="34"/>
    <w:qFormat/>
    <w:rsid w:val="00CA44A7"/>
    <w:pPr>
      <w:ind w:left="720"/>
      <w:contextualSpacing/>
    </w:pPr>
  </w:style>
  <w:style w:type="character" w:styleId="nfasisintenso">
    <w:name w:val="Intense Emphasis"/>
    <w:basedOn w:val="Fuentedeprrafopredeter"/>
    <w:uiPriority w:val="21"/>
    <w:qFormat/>
    <w:rsid w:val="00CA44A7"/>
    <w:rPr>
      <w:i/>
      <w:iCs/>
      <w:color w:val="0F4761" w:themeColor="accent1" w:themeShade="BF"/>
    </w:rPr>
  </w:style>
  <w:style w:type="paragraph" w:styleId="Citadestacada">
    <w:name w:val="Intense Quote"/>
    <w:basedOn w:val="Normal"/>
    <w:next w:val="Normal"/>
    <w:link w:val="CitadestacadaCar"/>
    <w:uiPriority w:val="30"/>
    <w:qFormat/>
    <w:rsid w:val="00CA4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44A7"/>
    <w:rPr>
      <w:i/>
      <w:iCs/>
      <w:color w:val="0F4761" w:themeColor="accent1" w:themeShade="BF"/>
    </w:rPr>
  </w:style>
  <w:style w:type="character" w:styleId="Referenciaintensa">
    <w:name w:val="Intense Reference"/>
    <w:basedOn w:val="Fuentedeprrafopredeter"/>
    <w:uiPriority w:val="32"/>
    <w:qFormat/>
    <w:rsid w:val="00CA44A7"/>
    <w:rPr>
      <w:b/>
      <w:bCs/>
      <w:smallCaps/>
      <w:color w:val="0F4761" w:themeColor="accent1" w:themeShade="BF"/>
      <w:spacing w:val="5"/>
    </w:rPr>
  </w:style>
  <w:style w:type="character" w:styleId="Hipervnculo">
    <w:name w:val="Hyperlink"/>
    <w:basedOn w:val="Fuentedeprrafopredeter"/>
    <w:uiPriority w:val="99"/>
    <w:unhideWhenUsed/>
    <w:rsid w:val="003334F4"/>
    <w:rPr>
      <w:color w:val="467886" w:themeColor="hyperlink"/>
      <w:u w:val="single"/>
    </w:rPr>
  </w:style>
  <w:style w:type="character" w:styleId="Mencinsinresolver">
    <w:name w:val="Unresolved Mention"/>
    <w:basedOn w:val="Fuentedeprrafopredeter"/>
    <w:uiPriority w:val="99"/>
    <w:semiHidden/>
    <w:unhideWhenUsed/>
    <w:rsid w:val="00333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03438-A666-4FEE-9516-1E7AE11D407A}"/>
</file>

<file path=customXml/itemProps2.xml><?xml version="1.0" encoding="utf-8"?>
<ds:datastoreItem xmlns:ds="http://schemas.openxmlformats.org/officeDocument/2006/customXml" ds:itemID="{E93EF993-CE32-4FB1-BEF5-F8FEA4CCF6C8}"/>
</file>

<file path=customXml/itemProps3.xml><?xml version="1.0" encoding="utf-8"?>
<ds:datastoreItem xmlns:ds="http://schemas.openxmlformats.org/officeDocument/2006/customXml" ds:itemID="{EE5853D8-CE9F-40E1-B18E-2C7F38FC393D}"/>
</file>

<file path=docProps/app.xml><?xml version="1.0" encoding="utf-8"?>
<Properties xmlns="http://schemas.openxmlformats.org/officeDocument/2006/extended-properties" xmlns:vt="http://schemas.openxmlformats.org/officeDocument/2006/docPropsVTypes">
  <Template>Normal</Template>
  <TotalTime>3</TotalTime>
  <Pages>3</Pages>
  <Words>983</Words>
  <Characters>5411</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2026-02-04T18:55:00Z</dcterms:created>
  <dcterms:modified xsi:type="dcterms:W3CDTF">2026-02-04T19:54:00Z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