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555B" w14:textId="77777777" w:rsidR="00895B4B" w:rsidRPr="00895B4B" w:rsidRDefault="00895B4B" w:rsidP="00895B4B">
      <w:pPr>
        <w:jc w:val="center"/>
        <w:rPr>
          <w:rFonts w:ascii="Verdana" w:hAnsi="Verdana"/>
          <w:sz w:val="22"/>
          <w:szCs w:val="22"/>
        </w:rPr>
      </w:pPr>
      <w:r w:rsidRPr="00895B4B">
        <w:rPr>
          <w:rFonts w:ascii="Verdana" w:hAnsi="Verdana"/>
          <w:b/>
          <w:bCs/>
          <w:sz w:val="22"/>
          <w:szCs w:val="22"/>
        </w:rPr>
        <w:t>CIRCULAR 13 DE 2004</w:t>
      </w:r>
    </w:p>
    <w:p w14:paraId="024B5210" w14:textId="77777777" w:rsidR="00895B4B" w:rsidRPr="00895B4B" w:rsidRDefault="00895B4B" w:rsidP="00895B4B">
      <w:pPr>
        <w:jc w:val="center"/>
        <w:rPr>
          <w:rFonts w:ascii="Verdana" w:hAnsi="Verdana"/>
          <w:sz w:val="22"/>
          <w:szCs w:val="22"/>
        </w:rPr>
      </w:pPr>
      <w:r w:rsidRPr="00895B4B">
        <w:rPr>
          <w:rFonts w:ascii="Verdana" w:hAnsi="Verdana"/>
          <w:sz w:val="22"/>
          <w:szCs w:val="22"/>
        </w:rPr>
        <w:t>(15 abril)</w:t>
      </w:r>
    </w:p>
    <w:p w14:paraId="4478B9BD" w14:textId="77777777" w:rsidR="00895B4B" w:rsidRPr="00895B4B" w:rsidRDefault="00895B4B" w:rsidP="00895B4B">
      <w:pPr>
        <w:jc w:val="center"/>
        <w:rPr>
          <w:rFonts w:ascii="Verdana" w:hAnsi="Verdana"/>
          <w:sz w:val="22"/>
          <w:szCs w:val="22"/>
        </w:rPr>
      </w:pPr>
      <w:r w:rsidRPr="00895B4B">
        <w:rPr>
          <w:rFonts w:ascii="Verdana" w:hAnsi="Verdana"/>
          <w:b/>
          <w:bCs/>
          <w:sz w:val="22"/>
          <w:szCs w:val="22"/>
        </w:rPr>
        <w:t>INSTITUTO COLOMBIANO DE BIENESTAR FAMILIAR</w:t>
      </w:r>
    </w:p>
    <w:p w14:paraId="667A580E" w14:textId="77777777" w:rsidR="00895B4B" w:rsidRPr="00895B4B" w:rsidRDefault="00895B4B" w:rsidP="00895B4B">
      <w:pPr>
        <w:jc w:val="both"/>
        <w:rPr>
          <w:rFonts w:ascii="Verdana" w:hAnsi="Verdana"/>
          <w:sz w:val="22"/>
          <w:szCs w:val="22"/>
        </w:rPr>
      </w:pPr>
      <w:r w:rsidRPr="00895B4B">
        <w:rPr>
          <w:rFonts w:ascii="Verdana" w:hAnsi="Verdana"/>
          <w:sz w:val="22"/>
          <w:szCs w:val="22"/>
        </w:rPr>
        <w:t>Para: directores regionales y de agencias.</w:t>
      </w:r>
    </w:p>
    <w:p w14:paraId="7E910D77" w14:textId="77777777" w:rsidR="00895B4B" w:rsidRPr="00895B4B" w:rsidRDefault="00895B4B" w:rsidP="00895B4B">
      <w:pPr>
        <w:jc w:val="both"/>
        <w:rPr>
          <w:rFonts w:ascii="Verdana" w:hAnsi="Verdana"/>
          <w:sz w:val="22"/>
          <w:szCs w:val="22"/>
        </w:rPr>
      </w:pPr>
      <w:r w:rsidRPr="00895B4B">
        <w:rPr>
          <w:rFonts w:ascii="Verdana" w:hAnsi="Verdana"/>
          <w:sz w:val="22"/>
          <w:szCs w:val="22"/>
        </w:rPr>
        <w:t>Asunto: respeto al derecho fundamental a la igualdad, a la libertad de conciencia y de cultos.</w:t>
      </w:r>
    </w:p>
    <w:p w14:paraId="1DBE7C27" w14:textId="77777777" w:rsidR="00895B4B" w:rsidRPr="00895B4B" w:rsidRDefault="00895B4B" w:rsidP="00895B4B">
      <w:pPr>
        <w:jc w:val="both"/>
        <w:rPr>
          <w:rFonts w:ascii="Verdana" w:hAnsi="Verdana"/>
          <w:sz w:val="22"/>
          <w:szCs w:val="22"/>
        </w:rPr>
      </w:pPr>
      <w:r w:rsidRPr="00895B4B">
        <w:rPr>
          <w:rFonts w:ascii="Verdana" w:hAnsi="Verdana"/>
          <w:sz w:val="22"/>
          <w:szCs w:val="22"/>
        </w:rPr>
        <w:t>Una regla fundamental en la prestación del servicio público de bienestar familiar es la observancia del mandato constitucional de protección a los derechos fundamentales a la igualdad, a la libertad de conciencia y de cultos conforme lo señala la Constitución Política y la jurisprudencia constitucional.</w:t>
      </w:r>
    </w:p>
    <w:p w14:paraId="2FADA9A1" w14:textId="77777777" w:rsidR="00895B4B" w:rsidRPr="00895B4B" w:rsidRDefault="00895B4B" w:rsidP="00895B4B">
      <w:pPr>
        <w:jc w:val="both"/>
        <w:rPr>
          <w:rFonts w:ascii="Verdana" w:hAnsi="Verdana"/>
          <w:sz w:val="22"/>
          <w:szCs w:val="22"/>
        </w:rPr>
      </w:pPr>
      <w:r w:rsidRPr="00895B4B">
        <w:rPr>
          <w:rFonts w:ascii="Verdana" w:hAnsi="Verdana"/>
          <w:sz w:val="22"/>
          <w:szCs w:val="22"/>
        </w:rPr>
        <w:t xml:space="preserve">Estos mandatos que no son discrecionales sino de obligatorio cumplimiento, deben integrarse al comportamiento institucional y ético de todos los </w:t>
      </w:r>
      <w:proofErr w:type="gramStart"/>
      <w:r w:rsidRPr="00895B4B">
        <w:rPr>
          <w:rFonts w:ascii="Verdana" w:hAnsi="Verdana"/>
          <w:sz w:val="22"/>
          <w:szCs w:val="22"/>
        </w:rPr>
        <w:t>servidores públicos y prestadores públicos</w:t>
      </w:r>
      <w:proofErr w:type="gramEnd"/>
      <w:r w:rsidRPr="00895B4B">
        <w:rPr>
          <w:rFonts w:ascii="Verdana" w:hAnsi="Verdana"/>
          <w:sz w:val="22"/>
          <w:szCs w:val="22"/>
        </w:rPr>
        <w:t xml:space="preserve"> y privados del servicio de bienestar familiar.</w:t>
      </w:r>
    </w:p>
    <w:p w14:paraId="34514793" w14:textId="7D2AB17C" w:rsidR="00895B4B" w:rsidRPr="00895B4B" w:rsidRDefault="00895B4B" w:rsidP="00895B4B">
      <w:pPr>
        <w:jc w:val="both"/>
        <w:rPr>
          <w:rFonts w:ascii="Verdana" w:hAnsi="Verdana"/>
          <w:sz w:val="22"/>
          <w:szCs w:val="22"/>
        </w:rPr>
      </w:pPr>
      <w:r w:rsidRPr="00895B4B">
        <w:rPr>
          <w:rFonts w:ascii="Verdana" w:hAnsi="Verdana"/>
          <w:sz w:val="22"/>
          <w:szCs w:val="22"/>
        </w:rPr>
        <w:t>El artículo</w:t>
      </w:r>
      <w:r>
        <w:rPr>
          <w:rFonts w:ascii="Verdana" w:hAnsi="Verdana"/>
          <w:sz w:val="22"/>
          <w:szCs w:val="22"/>
        </w:rPr>
        <w:t xml:space="preserve"> 13</w:t>
      </w:r>
      <w:r w:rsidRPr="00895B4B">
        <w:rPr>
          <w:rFonts w:ascii="Verdana" w:hAnsi="Verdana"/>
          <w:sz w:val="22"/>
          <w:szCs w:val="22"/>
        </w:rPr>
        <w:t> de la Constitución Política, garantiza a todos los colombianos la misma protección y trato de las autoridades, así como los mismos derechos, libertades y oportunidades. En cuanto a un tratamiento distinto la Corte,</w:t>
      </w:r>
      <w:r w:rsidRPr="00895B4B">
        <w:rPr>
          <w:rFonts w:ascii="Verdana" w:hAnsi="Verdana"/>
          <w:b/>
          <w:bCs/>
          <w:sz w:val="22"/>
          <w:szCs w:val="22"/>
          <w:vertAlign w:val="superscript"/>
        </w:rPr>
        <w:t>[1</w:t>
      </w:r>
      <w:r w:rsidRPr="00895B4B">
        <w:rPr>
          <w:rFonts w:ascii="Verdana" w:hAnsi="Verdana"/>
          <w:sz w:val="22"/>
          <w:szCs w:val="22"/>
        </w:rPr>
        <w:t> ha señalado que si bien la igualdad formal no es reacia a que se establezcan diferencias en el trato, pues ella debe ser interpretada conforme a la conocida regla de justicia según la cual, hay que tratar igual a lo igual y desigual a lo desigual, sí supone que todos los individuos, como sujetos de derechos, deben ser tratados con la misma consideración y reconocimiento, y que, ante todo, un tratamiento distinto, debe justificarse con argumentos de razonabilidad y proporcionalidad.</w:t>
      </w:r>
    </w:p>
    <w:p w14:paraId="2D33B42F" w14:textId="77777777" w:rsidR="00895B4B" w:rsidRPr="00895B4B" w:rsidRDefault="00895B4B" w:rsidP="00895B4B">
      <w:pPr>
        <w:jc w:val="both"/>
        <w:rPr>
          <w:rFonts w:ascii="Verdana" w:hAnsi="Verdana"/>
          <w:sz w:val="22"/>
          <w:szCs w:val="22"/>
        </w:rPr>
      </w:pPr>
      <w:r w:rsidRPr="00895B4B">
        <w:rPr>
          <w:rFonts w:ascii="Verdana" w:hAnsi="Verdana"/>
          <w:sz w:val="22"/>
          <w:szCs w:val="22"/>
        </w:rPr>
        <w:t xml:space="preserve">En este punto, también cabe introducir el significado del principio de no discriminación, el cual está asociado con el perfil negativo de la igualdad, da cuenta de ciertos criterios que deben ser irrelevantes a la hora de distinguir situaciones para otorgar tratamientos distintos. Estos motivos o criterios que en la Constitución se enuncian, aunque no en forma taxativa, aluden a aquellas categorías que se consideran sospechosas, pues su uso ha estado históricamente asociado a prácticas que tienden a subvalorar y a colocar en situaciones de desventaja a ciertas personas o grupos, </w:t>
      </w:r>
      <w:proofErr w:type="spellStart"/>
      <w:r w:rsidRPr="00895B4B">
        <w:rPr>
          <w:rFonts w:ascii="Verdana" w:hAnsi="Verdana"/>
          <w:sz w:val="22"/>
          <w:szCs w:val="22"/>
        </w:rPr>
        <w:t>vrg</w:t>
      </w:r>
      <w:proofErr w:type="spellEnd"/>
      <w:r w:rsidRPr="00895B4B">
        <w:rPr>
          <w:rFonts w:ascii="Verdana" w:hAnsi="Verdana"/>
          <w:sz w:val="22"/>
          <w:szCs w:val="22"/>
        </w:rPr>
        <w:t>. mujeres, homosexuales, indígenas, entre otros. Los criterios sospechosos son, en últimas, categorías que </w:t>
      </w:r>
      <w:r w:rsidRPr="00895B4B">
        <w:rPr>
          <w:rFonts w:ascii="Verdana" w:hAnsi="Verdana"/>
          <w:i/>
          <w:iCs/>
          <w:sz w:val="22"/>
          <w:szCs w:val="22"/>
        </w:rPr>
        <w:t>“(i) se fundan en rasgos permanentes de las personas, de las cuales éstas no pueden prescindir por voluntad propia a riesgo de perder su identidad; (</w:t>
      </w:r>
      <w:proofErr w:type="spellStart"/>
      <w:r w:rsidRPr="00895B4B">
        <w:rPr>
          <w:rFonts w:ascii="Verdana" w:hAnsi="Verdana"/>
          <w:i/>
          <w:iCs/>
          <w:sz w:val="22"/>
          <w:szCs w:val="22"/>
        </w:rPr>
        <w:t>iii</w:t>
      </w:r>
      <w:proofErr w:type="spellEnd"/>
      <w:r w:rsidRPr="00895B4B">
        <w:rPr>
          <w:rFonts w:ascii="Verdana" w:hAnsi="Verdana"/>
          <w:i/>
          <w:iCs/>
          <w:sz w:val="22"/>
          <w:szCs w:val="22"/>
        </w:rPr>
        <w:t>) han estado sometidas, históricamente, a patrones de valoración cultural que tienden a menospreciarías; y, (</w:t>
      </w:r>
      <w:proofErr w:type="spellStart"/>
      <w:r w:rsidRPr="00895B4B">
        <w:rPr>
          <w:rFonts w:ascii="Verdana" w:hAnsi="Verdana"/>
          <w:i/>
          <w:iCs/>
          <w:sz w:val="22"/>
          <w:szCs w:val="22"/>
        </w:rPr>
        <w:t>iii</w:t>
      </w:r>
      <w:proofErr w:type="spellEnd"/>
      <w:r w:rsidRPr="00895B4B">
        <w:rPr>
          <w:rFonts w:ascii="Verdana" w:hAnsi="Verdana"/>
          <w:i/>
          <w:iCs/>
          <w:sz w:val="22"/>
          <w:szCs w:val="22"/>
        </w:rPr>
        <w:t xml:space="preserve">) no constituyen, per se, criterios con base en los cuales sea posible efectuar una distribución o reparto racional y equitativo de bienes, </w:t>
      </w:r>
      <w:r w:rsidRPr="00895B4B">
        <w:rPr>
          <w:rFonts w:ascii="Verdana" w:hAnsi="Verdana"/>
          <w:i/>
          <w:iCs/>
          <w:sz w:val="22"/>
          <w:szCs w:val="22"/>
        </w:rPr>
        <w:lastRenderedPageBreak/>
        <w:t xml:space="preserve">derechos o cargas sociales. El constituyente consideró, entonces, que cuando se acude a esas características o factores para establecer diferencias en el trato, se presume que se ha incurrido en una conducta injusta y arbitraria que viola el derecho a la </w:t>
      </w:r>
      <w:proofErr w:type="gramStart"/>
      <w:r w:rsidRPr="00895B4B">
        <w:rPr>
          <w:rFonts w:ascii="Verdana" w:hAnsi="Verdana"/>
          <w:i/>
          <w:iCs/>
          <w:sz w:val="22"/>
          <w:szCs w:val="22"/>
        </w:rPr>
        <w:t>igualdad.</w:t>
      </w:r>
      <w:r w:rsidRPr="00895B4B">
        <w:rPr>
          <w:rFonts w:ascii="Verdana" w:hAnsi="Verdana"/>
          <w:b/>
          <w:bCs/>
          <w:i/>
          <w:iCs/>
          <w:sz w:val="22"/>
          <w:szCs w:val="22"/>
          <w:vertAlign w:val="superscript"/>
        </w:rPr>
        <w:t>[</w:t>
      </w:r>
      <w:proofErr w:type="gramEnd"/>
      <w:r w:rsidRPr="00895B4B">
        <w:rPr>
          <w:rFonts w:ascii="Verdana" w:hAnsi="Verdana"/>
          <w:b/>
          <w:bCs/>
          <w:i/>
          <w:iCs/>
          <w:sz w:val="22"/>
          <w:szCs w:val="22"/>
          <w:vertAlign w:val="superscript"/>
        </w:rPr>
        <w:t>2</w:t>
      </w:r>
    </w:p>
    <w:p w14:paraId="33944A7D" w14:textId="3A7E9E3E" w:rsidR="00895B4B" w:rsidRPr="00895B4B" w:rsidRDefault="00895B4B" w:rsidP="00895B4B">
      <w:pPr>
        <w:jc w:val="both"/>
        <w:rPr>
          <w:rFonts w:ascii="Verdana" w:hAnsi="Verdana"/>
          <w:sz w:val="22"/>
          <w:szCs w:val="22"/>
        </w:rPr>
      </w:pPr>
      <w:r w:rsidRPr="00895B4B">
        <w:rPr>
          <w:rFonts w:ascii="Verdana" w:hAnsi="Verdana"/>
          <w:sz w:val="22"/>
          <w:szCs w:val="22"/>
        </w:rPr>
        <w:t>En cuanto a la </w:t>
      </w:r>
      <w:r w:rsidRPr="00895B4B">
        <w:rPr>
          <w:rFonts w:ascii="Verdana" w:hAnsi="Verdana"/>
          <w:b/>
          <w:bCs/>
          <w:sz w:val="22"/>
          <w:szCs w:val="22"/>
        </w:rPr>
        <w:t>libertad de conciencia</w:t>
      </w:r>
      <w:r w:rsidRPr="00895B4B">
        <w:rPr>
          <w:rFonts w:ascii="Verdana" w:hAnsi="Verdana"/>
          <w:sz w:val="22"/>
          <w:szCs w:val="22"/>
        </w:rPr>
        <w:t> consagrada en el artículo</w:t>
      </w:r>
      <w:r>
        <w:rPr>
          <w:rFonts w:ascii="Verdana" w:hAnsi="Verdana"/>
          <w:sz w:val="22"/>
          <w:szCs w:val="22"/>
        </w:rPr>
        <w:t xml:space="preserve"> 18</w:t>
      </w:r>
      <w:r w:rsidRPr="00895B4B">
        <w:rPr>
          <w:rFonts w:ascii="Verdana" w:hAnsi="Verdana"/>
          <w:sz w:val="22"/>
          <w:szCs w:val="22"/>
        </w:rPr>
        <w:t> de la Constitución Política, también la Corte Constitucional ha señalado importantes criterios jurisprudenciales, considerando que esta consiste en la facultad de profesar o no alguna religión o creencia, de elegir la que se desee o de cambiarla. Se ejerce en el fuero interno de la persona y no requiere de manifestaciones externas. El individuo se reserva el derecho de creer o no. No puede ser objeto de coerción. Por </w:t>
      </w:r>
      <w:r w:rsidRPr="00895B4B">
        <w:rPr>
          <w:rFonts w:ascii="Verdana" w:hAnsi="Verdana"/>
          <w:i/>
          <w:iCs/>
          <w:sz w:val="22"/>
          <w:szCs w:val="22"/>
        </w:rPr>
        <w:t>conciencia </w:t>
      </w:r>
      <w:r w:rsidRPr="00895B4B">
        <w:rPr>
          <w:rFonts w:ascii="Verdana" w:hAnsi="Verdana"/>
          <w:sz w:val="22"/>
          <w:szCs w:val="22"/>
        </w:rPr>
        <w:t xml:space="preserve">usualmente se entiende el propio e íntimo discernimiento sobre lo que está bien y lo que está mal. Es la facultad del entendimiento de formular juicios prácticos en relación con lo que resulta ser una acción correcta frente a una situación concreta que se presenta de facto. En otras palabras, es la facultad de discernir entre lo que resulta ser el bien o el mal moral, pero en relación con lo que concretamente, en determinada situación, debemos hacer o no hacer. Se ejerce siempre de modo individual. En cuanto prerrogativa personal, la conciencia a la que se refiere la libertad constitucionalmente </w:t>
      </w:r>
      <w:proofErr w:type="gramStart"/>
      <w:r w:rsidRPr="00895B4B">
        <w:rPr>
          <w:rFonts w:ascii="Verdana" w:hAnsi="Verdana"/>
          <w:sz w:val="22"/>
          <w:szCs w:val="22"/>
        </w:rPr>
        <w:t>protegida,</w:t>
      </w:r>
      <w:proofErr w:type="gramEnd"/>
      <w:r w:rsidRPr="00895B4B">
        <w:rPr>
          <w:rFonts w:ascii="Verdana" w:hAnsi="Verdana"/>
          <w:sz w:val="22"/>
          <w:szCs w:val="22"/>
        </w:rPr>
        <w:t xml:space="preserve"> es la conciencia subjetiva, o mejor, la regla subjetiva de </w:t>
      </w:r>
      <w:proofErr w:type="gramStart"/>
      <w:r w:rsidRPr="00895B4B">
        <w:rPr>
          <w:rFonts w:ascii="Verdana" w:hAnsi="Verdana"/>
          <w:sz w:val="22"/>
          <w:szCs w:val="22"/>
        </w:rPr>
        <w:t>moralidad.</w:t>
      </w:r>
      <w:r w:rsidRPr="00895B4B">
        <w:rPr>
          <w:rFonts w:ascii="Verdana" w:hAnsi="Verdana"/>
          <w:b/>
          <w:bCs/>
          <w:sz w:val="22"/>
          <w:szCs w:val="22"/>
          <w:vertAlign w:val="superscript"/>
        </w:rPr>
        <w:t>[</w:t>
      </w:r>
      <w:proofErr w:type="gramEnd"/>
      <w:r w:rsidRPr="00895B4B">
        <w:rPr>
          <w:rFonts w:ascii="Verdana" w:hAnsi="Verdana"/>
          <w:b/>
          <w:bCs/>
          <w:sz w:val="22"/>
          <w:szCs w:val="22"/>
          <w:vertAlign w:val="superscript"/>
        </w:rPr>
        <w:t>3</w:t>
      </w:r>
    </w:p>
    <w:p w14:paraId="5AFA67F6" w14:textId="12EFA21E" w:rsidR="00895B4B" w:rsidRPr="00895B4B" w:rsidRDefault="00895B4B" w:rsidP="00895B4B">
      <w:pPr>
        <w:jc w:val="both"/>
        <w:rPr>
          <w:rFonts w:ascii="Verdana" w:hAnsi="Verdana"/>
          <w:sz w:val="22"/>
          <w:szCs w:val="22"/>
        </w:rPr>
      </w:pPr>
      <w:r w:rsidRPr="00895B4B">
        <w:rPr>
          <w:rFonts w:ascii="Verdana" w:hAnsi="Verdana"/>
          <w:sz w:val="22"/>
          <w:szCs w:val="22"/>
        </w:rPr>
        <w:t>Al referirse a la </w:t>
      </w:r>
      <w:r w:rsidRPr="00895B4B">
        <w:rPr>
          <w:rFonts w:ascii="Verdana" w:hAnsi="Verdana"/>
          <w:b/>
          <w:bCs/>
          <w:sz w:val="22"/>
          <w:szCs w:val="22"/>
        </w:rPr>
        <w:t>libertad de cultos</w:t>
      </w:r>
      <w:r w:rsidRPr="00895B4B">
        <w:rPr>
          <w:rFonts w:ascii="Verdana" w:hAnsi="Verdana"/>
          <w:sz w:val="22"/>
          <w:szCs w:val="22"/>
        </w:rPr>
        <w:t xml:space="preserve">, como un derecho de estirpe constitucional y fundamental la Corte ha manifestado expresamente que la religión comporta no sólo una creencia o acto de fe, sino, básicamente, una relación personal del hombre con Dios, que se traduce en el seguimiento de un sistema moral y en la práctica de un culto. El núcleo esencial de la libertad de religión es, justamente, la facultad de una relación con Dios que resulta ser protegida como derecho. La libertad de </w:t>
      </w:r>
      <w:proofErr w:type="gramStart"/>
      <w:r w:rsidRPr="00895B4B">
        <w:rPr>
          <w:rFonts w:ascii="Verdana" w:hAnsi="Verdana"/>
          <w:sz w:val="22"/>
          <w:szCs w:val="22"/>
        </w:rPr>
        <w:t>cultos,</w:t>
      </w:r>
      <w:proofErr w:type="gramEnd"/>
      <w:r w:rsidRPr="00895B4B">
        <w:rPr>
          <w:rFonts w:ascii="Verdana" w:hAnsi="Verdana"/>
          <w:sz w:val="22"/>
          <w:szCs w:val="22"/>
        </w:rPr>
        <w:t xml:space="preserve"> no es más que un aspecto de la libertad religiosa, el aspecto externo que se comprende en ella. No es, por tanto, un derecho autónomo. En efecto, la religión consiste en una relación personal con Dios, la cual se expresa exteriormente a través del culto público o privado; el culto, por su parte, es el conjunto de demostraciones exteriores presentadas a Dios; luego, sin la relación con Dios, esto es sin religión, no se da un culto. De donde se concluye que la libertad de cultos no es más que una consecuencia de la libertad religiosa. Por ello el artículo </w:t>
      </w:r>
      <w:r>
        <w:rPr>
          <w:rFonts w:ascii="Verdana" w:hAnsi="Verdana"/>
          <w:sz w:val="22"/>
          <w:szCs w:val="22"/>
        </w:rPr>
        <w:t xml:space="preserve">19 </w:t>
      </w:r>
      <w:r w:rsidRPr="00895B4B">
        <w:rPr>
          <w:rFonts w:ascii="Verdana" w:hAnsi="Verdana"/>
          <w:sz w:val="22"/>
          <w:szCs w:val="22"/>
        </w:rPr>
        <w:t xml:space="preserve">de la Constitución Política se refiere conjuntamente a la libertad religiosa y a la libertad de </w:t>
      </w:r>
      <w:proofErr w:type="gramStart"/>
      <w:r w:rsidRPr="00895B4B">
        <w:rPr>
          <w:rFonts w:ascii="Verdana" w:hAnsi="Verdana"/>
          <w:sz w:val="22"/>
          <w:szCs w:val="22"/>
        </w:rPr>
        <w:t>cultos.</w:t>
      </w:r>
      <w:r w:rsidRPr="00895B4B">
        <w:rPr>
          <w:rFonts w:ascii="Verdana" w:hAnsi="Verdana"/>
          <w:b/>
          <w:bCs/>
          <w:sz w:val="22"/>
          <w:szCs w:val="22"/>
          <w:vertAlign w:val="superscript"/>
        </w:rPr>
        <w:t>[</w:t>
      </w:r>
      <w:proofErr w:type="gramEnd"/>
      <w:r w:rsidRPr="00895B4B">
        <w:rPr>
          <w:rFonts w:ascii="Verdana" w:hAnsi="Verdana"/>
          <w:b/>
          <w:bCs/>
          <w:sz w:val="22"/>
          <w:szCs w:val="22"/>
          <w:vertAlign w:val="superscript"/>
        </w:rPr>
        <w:t>4</w:t>
      </w:r>
    </w:p>
    <w:p w14:paraId="53733E4E" w14:textId="6DFE263F" w:rsidR="00895B4B" w:rsidRPr="00895B4B" w:rsidRDefault="00895B4B" w:rsidP="00895B4B">
      <w:pPr>
        <w:jc w:val="both"/>
        <w:rPr>
          <w:rFonts w:ascii="Verdana" w:hAnsi="Verdana"/>
          <w:sz w:val="22"/>
          <w:szCs w:val="22"/>
        </w:rPr>
      </w:pPr>
      <w:r w:rsidRPr="00895B4B">
        <w:rPr>
          <w:rFonts w:ascii="Verdana" w:hAnsi="Verdana"/>
          <w:sz w:val="22"/>
          <w:szCs w:val="22"/>
        </w:rPr>
        <w:t xml:space="preserve">Respecto a los derechos de las comunidades religiosas, el inciso segundo del </w:t>
      </w:r>
      <w:r>
        <w:rPr>
          <w:rFonts w:ascii="Verdana" w:hAnsi="Verdana"/>
          <w:sz w:val="22"/>
          <w:szCs w:val="22"/>
        </w:rPr>
        <w:t>artículo 19</w:t>
      </w:r>
      <w:r w:rsidRPr="00895B4B">
        <w:rPr>
          <w:rFonts w:ascii="Verdana" w:hAnsi="Verdana"/>
          <w:sz w:val="22"/>
          <w:szCs w:val="22"/>
        </w:rPr>
        <w:t> Constitucional no hace otra cosa que garantizarles, los mismos derechos que en materia de religión reconoce la Carta a las personas naturales. Por consiguiente, toda confesión religiosa tiene en Colombia, según lo ha señalado la Corte </w:t>
      </w:r>
      <w:r w:rsidRPr="00895B4B">
        <w:rPr>
          <w:rFonts w:ascii="Verdana" w:hAnsi="Verdana"/>
          <w:i/>
          <w:iCs/>
          <w:sz w:val="22"/>
          <w:szCs w:val="22"/>
        </w:rPr>
        <w:t xml:space="preserve">“el derecho de inmunidad para regirse por sus propias normas, </w:t>
      </w:r>
      <w:r w:rsidRPr="00895B4B">
        <w:rPr>
          <w:rFonts w:ascii="Verdana" w:hAnsi="Verdana"/>
          <w:i/>
          <w:iCs/>
          <w:sz w:val="22"/>
          <w:szCs w:val="22"/>
        </w:rPr>
        <w:lastRenderedPageBreak/>
        <w:t>para honrar a la divinidad con culto público, para ayudar a sus miembros en el ejercicio de la vida religiosa y sostenerlos mediante la doctrina, así como para promover instituciones en las que sus seguidores colaboren con el fin de ordenar la propia vida según sus principios religiosos”.</w:t>
      </w:r>
    </w:p>
    <w:p w14:paraId="072A0C6F" w14:textId="4410CB2D" w:rsidR="00895B4B" w:rsidRPr="00895B4B" w:rsidRDefault="00895B4B" w:rsidP="00895B4B">
      <w:pPr>
        <w:jc w:val="both"/>
        <w:rPr>
          <w:rFonts w:ascii="Verdana" w:hAnsi="Verdana"/>
          <w:sz w:val="22"/>
          <w:szCs w:val="22"/>
        </w:rPr>
      </w:pPr>
      <w:r w:rsidRPr="00895B4B">
        <w:rPr>
          <w:rFonts w:ascii="Verdana" w:hAnsi="Verdana"/>
          <w:sz w:val="22"/>
          <w:szCs w:val="22"/>
        </w:rPr>
        <w:t>De conformidad con lo anterior, y teniendo en cuenta el contenido y alcances del derecho a la libertad de cultos, es importante indicar que al igual que los demás derechos fundamentales, el derecho a la libertad religiosa se encuentra sujeto a ciertos límites, que no son otros que aquellos que permitan armonizar el legítimo ejercicio de ese derecho, con los derechos ajenos y las exigencias del justo orden público y la seguridad jurídica de todos. Además, como garantía de la protección que se pretende lograr con la consagración de tal libertad, tampoco será admisible el abuso del derecho por parte de su titular (C.P., artículo</w:t>
      </w:r>
      <w:r>
        <w:rPr>
          <w:rFonts w:ascii="Verdana" w:hAnsi="Verdana"/>
          <w:sz w:val="22"/>
          <w:szCs w:val="22"/>
        </w:rPr>
        <w:t xml:space="preserve"> 95 </w:t>
      </w:r>
      <w:r w:rsidRPr="00895B4B">
        <w:rPr>
          <w:rFonts w:ascii="Verdana" w:hAnsi="Verdana"/>
          <w:sz w:val="22"/>
          <w:szCs w:val="22"/>
        </w:rPr>
        <w:t>-1</w:t>
      </w:r>
      <w:proofErr w:type="gramStart"/>
      <w:r w:rsidRPr="00895B4B">
        <w:rPr>
          <w:rFonts w:ascii="Verdana" w:hAnsi="Verdana"/>
          <w:sz w:val="22"/>
          <w:szCs w:val="22"/>
        </w:rPr>
        <w:t>).</w:t>
      </w:r>
      <w:r w:rsidRPr="00895B4B">
        <w:rPr>
          <w:rFonts w:ascii="Verdana" w:hAnsi="Verdana"/>
          <w:b/>
          <w:bCs/>
          <w:sz w:val="22"/>
          <w:szCs w:val="22"/>
          <w:vertAlign w:val="superscript"/>
        </w:rPr>
        <w:t>[</w:t>
      </w:r>
      <w:proofErr w:type="gramEnd"/>
      <w:r w:rsidRPr="00895B4B">
        <w:rPr>
          <w:rFonts w:ascii="Verdana" w:hAnsi="Verdana"/>
          <w:b/>
          <w:bCs/>
          <w:sz w:val="22"/>
          <w:szCs w:val="22"/>
          <w:vertAlign w:val="superscript"/>
        </w:rPr>
        <w:t>5</w:t>
      </w:r>
    </w:p>
    <w:p w14:paraId="732BA67C" w14:textId="77777777" w:rsidR="00895B4B" w:rsidRPr="00895B4B" w:rsidRDefault="00895B4B" w:rsidP="00895B4B">
      <w:pPr>
        <w:jc w:val="both"/>
        <w:rPr>
          <w:rFonts w:ascii="Verdana" w:hAnsi="Verdana"/>
          <w:sz w:val="22"/>
          <w:szCs w:val="22"/>
        </w:rPr>
      </w:pPr>
      <w:r w:rsidRPr="00895B4B">
        <w:rPr>
          <w:rFonts w:ascii="Verdana" w:hAnsi="Verdana"/>
          <w:sz w:val="22"/>
          <w:szCs w:val="22"/>
        </w:rPr>
        <w:t>Lo anterior, compromete al servidor público a respetar y proteger estos derechos dando plenas garantías en el trato a las personas, humanizando el servicio y aplicando de manera permanente tres de los principios fundamentales de todo Estado Social de Derecho: (i) el respeto de la dignidad humana, (</w:t>
      </w:r>
      <w:proofErr w:type="spellStart"/>
      <w:r w:rsidRPr="00895B4B">
        <w:rPr>
          <w:rFonts w:ascii="Verdana" w:hAnsi="Verdana"/>
          <w:sz w:val="22"/>
          <w:szCs w:val="22"/>
        </w:rPr>
        <w:t>ii</w:t>
      </w:r>
      <w:proofErr w:type="spellEnd"/>
      <w:r w:rsidRPr="00895B4B">
        <w:rPr>
          <w:rFonts w:ascii="Verdana" w:hAnsi="Verdana"/>
          <w:sz w:val="22"/>
          <w:szCs w:val="22"/>
        </w:rPr>
        <w:t>) la solidaridad de las personas y, (</w:t>
      </w:r>
      <w:proofErr w:type="spellStart"/>
      <w:r w:rsidRPr="00895B4B">
        <w:rPr>
          <w:rFonts w:ascii="Verdana" w:hAnsi="Verdana"/>
          <w:sz w:val="22"/>
          <w:szCs w:val="22"/>
        </w:rPr>
        <w:t>iii</w:t>
      </w:r>
      <w:proofErr w:type="spellEnd"/>
      <w:r w:rsidRPr="00895B4B">
        <w:rPr>
          <w:rFonts w:ascii="Verdana" w:hAnsi="Verdana"/>
          <w:sz w:val="22"/>
          <w:szCs w:val="22"/>
        </w:rPr>
        <w:t xml:space="preserve">) la prevalencia del interés general. De tal suerte todos los actos que se desarrollen en la prestación del </w:t>
      </w:r>
      <w:proofErr w:type="gramStart"/>
      <w:r w:rsidRPr="00895B4B">
        <w:rPr>
          <w:rFonts w:ascii="Verdana" w:hAnsi="Verdana"/>
          <w:sz w:val="22"/>
          <w:szCs w:val="22"/>
        </w:rPr>
        <w:t>servicio,</w:t>
      </w:r>
      <w:proofErr w:type="gramEnd"/>
      <w:r w:rsidRPr="00895B4B">
        <w:rPr>
          <w:rFonts w:ascii="Verdana" w:hAnsi="Verdana"/>
          <w:sz w:val="22"/>
          <w:szCs w:val="22"/>
        </w:rPr>
        <w:t xml:space="preserve"> deben guiarse hacia la finalidad de la protección del interés superior de los menores de edad, como elemento orientador del cumplimiento de la misión que la Constitución, la ley y la sociedad le encomiendan al ICBF.</w:t>
      </w:r>
    </w:p>
    <w:p w14:paraId="6C9ECAAC" w14:textId="0EB03CDC" w:rsidR="00895B4B" w:rsidRPr="00895B4B" w:rsidRDefault="00895B4B" w:rsidP="00895B4B">
      <w:pPr>
        <w:jc w:val="both"/>
        <w:rPr>
          <w:rFonts w:ascii="Verdana" w:hAnsi="Verdana"/>
          <w:sz w:val="22"/>
          <w:szCs w:val="22"/>
        </w:rPr>
      </w:pPr>
      <w:r w:rsidRPr="00895B4B">
        <w:rPr>
          <w:rFonts w:ascii="Verdana" w:hAnsi="Verdana"/>
          <w:sz w:val="22"/>
          <w:szCs w:val="22"/>
        </w:rPr>
        <w:t>Estos derechos deben entenderse, también, en el marco del respeto por la familia y, por las personas que acuden al Instituto, obrando en armonía con lo preceptuado por los artículos</w:t>
      </w:r>
      <w:r>
        <w:rPr>
          <w:rFonts w:ascii="Verdana" w:hAnsi="Verdana"/>
          <w:sz w:val="22"/>
          <w:szCs w:val="22"/>
        </w:rPr>
        <w:t xml:space="preserve"> 44</w:t>
      </w:r>
      <w:r w:rsidRPr="00895B4B">
        <w:rPr>
          <w:rFonts w:ascii="Verdana" w:hAnsi="Verdana"/>
          <w:sz w:val="22"/>
          <w:szCs w:val="22"/>
        </w:rPr>
        <w:t> de la Constitución Política;</w:t>
      </w:r>
      <w:r>
        <w:rPr>
          <w:rFonts w:ascii="Verdana" w:hAnsi="Verdana"/>
          <w:sz w:val="22"/>
          <w:szCs w:val="22"/>
        </w:rPr>
        <w:t xml:space="preserve"> 1-1 </w:t>
      </w:r>
      <w:r w:rsidRPr="00895B4B">
        <w:rPr>
          <w:rFonts w:ascii="Verdana" w:hAnsi="Verdana"/>
          <w:sz w:val="22"/>
          <w:szCs w:val="22"/>
        </w:rPr>
        <w:t>y </w:t>
      </w:r>
      <w:r>
        <w:rPr>
          <w:rFonts w:ascii="Verdana" w:hAnsi="Verdana"/>
          <w:sz w:val="22"/>
          <w:szCs w:val="22"/>
        </w:rPr>
        <w:t>20</w:t>
      </w:r>
      <w:r w:rsidRPr="00895B4B">
        <w:rPr>
          <w:rFonts w:ascii="Verdana" w:hAnsi="Verdana"/>
          <w:sz w:val="22"/>
          <w:szCs w:val="22"/>
        </w:rPr>
        <w:t> del Código del Menor y, </w:t>
      </w:r>
      <w:r>
        <w:rPr>
          <w:rFonts w:ascii="Verdana" w:hAnsi="Verdana"/>
          <w:sz w:val="22"/>
          <w:szCs w:val="22"/>
        </w:rPr>
        <w:t>3</w:t>
      </w:r>
      <w:r w:rsidRPr="00895B4B">
        <w:rPr>
          <w:rFonts w:ascii="Verdana" w:hAnsi="Verdana"/>
          <w:sz w:val="22"/>
          <w:szCs w:val="22"/>
        </w:rPr>
        <w:t> de la Convención sobre los Derechos del Niño - ley 12 de 1991; habida cuenta que los derechos de los niños prevalecen sobre los derechos de los demás, que su interés superior es privilegiado en todo el ordenamiento jurídico y también debe serlo en el ejercicio cotidiano de las funciones y actividades que desarrollan todos los servidores públicos y los prestadores particulares del servicio público de bienestar familiar.</w:t>
      </w:r>
    </w:p>
    <w:p w14:paraId="22D20A6B" w14:textId="77777777" w:rsidR="00895B4B" w:rsidRPr="00895B4B" w:rsidRDefault="00895B4B" w:rsidP="00895B4B">
      <w:pPr>
        <w:jc w:val="both"/>
        <w:rPr>
          <w:rFonts w:ascii="Verdana" w:hAnsi="Verdana"/>
          <w:sz w:val="22"/>
          <w:szCs w:val="22"/>
        </w:rPr>
      </w:pPr>
      <w:r w:rsidRPr="00895B4B">
        <w:rPr>
          <w:rFonts w:ascii="Verdana" w:hAnsi="Verdana"/>
          <w:sz w:val="22"/>
          <w:szCs w:val="22"/>
        </w:rPr>
        <w:t>Cordial saludo,</w:t>
      </w:r>
    </w:p>
    <w:p w14:paraId="6EE66DEE" w14:textId="77777777" w:rsidR="00895B4B" w:rsidRPr="00895B4B" w:rsidRDefault="00895B4B" w:rsidP="00895B4B">
      <w:pPr>
        <w:jc w:val="both"/>
        <w:rPr>
          <w:rFonts w:ascii="Verdana" w:hAnsi="Verdana"/>
          <w:sz w:val="22"/>
          <w:szCs w:val="22"/>
        </w:rPr>
      </w:pPr>
      <w:r w:rsidRPr="00895B4B">
        <w:rPr>
          <w:rFonts w:ascii="Verdana" w:hAnsi="Verdana"/>
          <w:b/>
          <w:bCs/>
          <w:sz w:val="22"/>
          <w:szCs w:val="22"/>
        </w:rPr>
        <w:t>BEATRÍZ LONDOÑO SOTO</w:t>
      </w:r>
    </w:p>
    <w:p w14:paraId="1914331B" w14:textId="77777777" w:rsidR="00895B4B" w:rsidRPr="00895B4B" w:rsidRDefault="00895B4B" w:rsidP="00895B4B">
      <w:pPr>
        <w:jc w:val="both"/>
        <w:rPr>
          <w:rFonts w:ascii="Verdana" w:hAnsi="Verdana"/>
          <w:sz w:val="22"/>
          <w:szCs w:val="22"/>
        </w:rPr>
      </w:pPr>
      <w:r w:rsidRPr="00895B4B">
        <w:rPr>
          <w:rFonts w:ascii="Verdana" w:hAnsi="Verdana"/>
          <w:sz w:val="22"/>
          <w:szCs w:val="22"/>
        </w:rPr>
        <w:t>Directora General</w:t>
      </w:r>
    </w:p>
    <w:p w14:paraId="36F95F29" w14:textId="71B3C71E" w:rsidR="00895B4B" w:rsidRPr="00895B4B" w:rsidRDefault="00895B4B" w:rsidP="00895B4B">
      <w:pPr>
        <w:jc w:val="both"/>
        <w:rPr>
          <w:rFonts w:ascii="Verdana" w:hAnsi="Verdana"/>
          <w:sz w:val="22"/>
          <w:szCs w:val="22"/>
        </w:rPr>
      </w:pPr>
      <w:r w:rsidRPr="00895B4B">
        <w:rPr>
          <w:rFonts w:ascii="Verdana" w:hAnsi="Verdana"/>
          <w:b/>
          <w:bCs/>
          <w:sz w:val="22"/>
          <w:szCs w:val="22"/>
        </w:rPr>
        <w:t>1. Sentencia C-</w:t>
      </w:r>
      <w:r>
        <w:rPr>
          <w:rFonts w:ascii="Verdana" w:hAnsi="Verdana"/>
          <w:b/>
          <w:bCs/>
          <w:sz w:val="22"/>
          <w:szCs w:val="22"/>
        </w:rPr>
        <w:t>371</w:t>
      </w:r>
      <w:r w:rsidRPr="00895B4B">
        <w:rPr>
          <w:rFonts w:ascii="Verdana" w:hAnsi="Verdana"/>
          <w:b/>
          <w:bCs/>
          <w:sz w:val="22"/>
          <w:szCs w:val="22"/>
        </w:rPr>
        <w:t> del 29/mar/2000, M.P. Dr. Carlos Gaviria Díaz.</w:t>
      </w:r>
    </w:p>
    <w:p w14:paraId="17C48542" w14:textId="77777777" w:rsidR="00895B4B" w:rsidRPr="00895B4B" w:rsidRDefault="00895B4B" w:rsidP="00895B4B">
      <w:pPr>
        <w:jc w:val="both"/>
        <w:rPr>
          <w:rFonts w:ascii="Verdana" w:hAnsi="Verdana"/>
          <w:sz w:val="22"/>
          <w:szCs w:val="22"/>
        </w:rPr>
      </w:pPr>
      <w:r w:rsidRPr="00895B4B">
        <w:rPr>
          <w:rFonts w:ascii="Verdana" w:hAnsi="Verdana"/>
          <w:b/>
          <w:bCs/>
          <w:sz w:val="22"/>
          <w:szCs w:val="22"/>
        </w:rPr>
        <w:t xml:space="preserve">2. CONSTITUCIÓN POLÍTICA DE COLOMBIA, FUNDAMENTOS, Material extraído de la Jurisprudencia de la corte constitucional, Trabajo de compilación realizado por el doctor Iván Humberto </w:t>
      </w:r>
      <w:proofErr w:type="spellStart"/>
      <w:r w:rsidRPr="00895B4B">
        <w:rPr>
          <w:rFonts w:ascii="Verdana" w:hAnsi="Verdana"/>
          <w:b/>
          <w:bCs/>
          <w:sz w:val="22"/>
          <w:szCs w:val="22"/>
        </w:rPr>
        <w:t>Escrucería</w:t>
      </w:r>
      <w:proofErr w:type="spellEnd"/>
      <w:r w:rsidRPr="00895B4B">
        <w:rPr>
          <w:rFonts w:ascii="Verdana" w:hAnsi="Verdana"/>
          <w:b/>
          <w:bCs/>
          <w:sz w:val="22"/>
          <w:szCs w:val="22"/>
        </w:rPr>
        <w:t xml:space="preserve"> Mayolo.</w:t>
      </w:r>
    </w:p>
    <w:p w14:paraId="6938F4E3" w14:textId="77777777" w:rsidR="00895B4B" w:rsidRPr="00895B4B" w:rsidRDefault="00895B4B" w:rsidP="00895B4B">
      <w:pPr>
        <w:jc w:val="both"/>
        <w:rPr>
          <w:rFonts w:ascii="Verdana" w:hAnsi="Verdana"/>
          <w:sz w:val="22"/>
          <w:szCs w:val="22"/>
        </w:rPr>
      </w:pPr>
      <w:r w:rsidRPr="00895B4B">
        <w:rPr>
          <w:rFonts w:ascii="Verdana" w:hAnsi="Verdana"/>
          <w:b/>
          <w:bCs/>
          <w:sz w:val="22"/>
          <w:szCs w:val="22"/>
        </w:rPr>
        <w:lastRenderedPageBreak/>
        <w:t xml:space="preserve">3. Obra citada, Dr. Iván Humberto </w:t>
      </w:r>
      <w:proofErr w:type="spellStart"/>
      <w:r w:rsidRPr="00895B4B">
        <w:rPr>
          <w:rFonts w:ascii="Verdana" w:hAnsi="Verdana"/>
          <w:b/>
          <w:bCs/>
          <w:sz w:val="22"/>
          <w:szCs w:val="22"/>
        </w:rPr>
        <w:t>Escrucería</w:t>
      </w:r>
      <w:proofErr w:type="spellEnd"/>
      <w:r w:rsidRPr="00895B4B">
        <w:rPr>
          <w:rFonts w:ascii="Verdana" w:hAnsi="Verdana"/>
          <w:b/>
          <w:bCs/>
          <w:sz w:val="22"/>
          <w:szCs w:val="22"/>
        </w:rPr>
        <w:t xml:space="preserve"> Mayolo.</w:t>
      </w:r>
    </w:p>
    <w:p w14:paraId="4917A658" w14:textId="77777777" w:rsidR="00895B4B" w:rsidRPr="00895B4B" w:rsidRDefault="00895B4B" w:rsidP="00895B4B">
      <w:pPr>
        <w:jc w:val="both"/>
        <w:rPr>
          <w:rFonts w:ascii="Verdana" w:hAnsi="Verdana"/>
          <w:sz w:val="22"/>
          <w:szCs w:val="22"/>
        </w:rPr>
      </w:pPr>
      <w:r w:rsidRPr="00895B4B">
        <w:rPr>
          <w:rFonts w:ascii="Verdana" w:hAnsi="Verdana"/>
          <w:b/>
          <w:bCs/>
          <w:sz w:val="22"/>
          <w:szCs w:val="22"/>
        </w:rPr>
        <w:t xml:space="preserve">4. Obra citada, Dr. Iván Humberto </w:t>
      </w:r>
      <w:proofErr w:type="spellStart"/>
      <w:r w:rsidRPr="00895B4B">
        <w:rPr>
          <w:rFonts w:ascii="Verdana" w:hAnsi="Verdana"/>
          <w:b/>
          <w:bCs/>
          <w:sz w:val="22"/>
          <w:szCs w:val="22"/>
        </w:rPr>
        <w:t>Escrucería</w:t>
      </w:r>
      <w:proofErr w:type="spellEnd"/>
      <w:r w:rsidRPr="00895B4B">
        <w:rPr>
          <w:rFonts w:ascii="Verdana" w:hAnsi="Verdana"/>
          <w:b/>
          <w:bCs/>
          <w:sz w:val="22"/>
          <w:szCs w:val="22"/>
        </w:rPr>
        <w:t xml:space="preserve"> Mayolo.</w:t>
      </w:r>
    </w:p>
    <w:p w14:paraId="2B555DCE" w14:textId="77777777" w:rsidR="00895B4B" w:rsidRPr="00895B4B" w:rsidRDefault="00895B4B" w:rsidP="00895B4B">
      <w:pPr>
        <w:jc w:val="both"/>
        <w:rPr>
          <w:rFonts w:ascii="Verdana" w:hAnsi="Verdana"/>
          <w:sz w:val="22"/>
          <w:szCs w:val="22"/>
        </w:rPr>
      </w:pPr>
      <w:r w:rsidRPr="00895B4B">
        <w:rPr>
          <w:rFonts w:ascii="Verdana" w:hAnsi="Verdana"/>
          <w:b/>
          <w:bCs/>
          <w:sz w:val="22"/>
          <w:szCs w:val="22"/>
        </w:rPr>
        <w:t xml:space="preserve">5. Obra Citada, Dr. Iván Humberto </w:t>
      </w:r>
      <w:proofErr w:type="spellStart"/>
      <w:r w:rsidRPr="00895B4B">
        <w:rPr>
          <w:rFonts w:ascii="Verdana" w:hAnsi="Verdana"/>
          <w:b/>
          <w:bCs/>
          <w:sz w:val="22"/>
          <w:szCs w:val="22"/>
        </w:rPr>
        <w:t>Escrucería</w:t>
      </w:r>
      <w:proofErr w:type="spellEnd"/>
      <w:r w:rsidRPr="00895B4B">
        <w:rPr>
          <w:rFonts w:ascii="Verdana" w:hAnsi="Verdana"/>
          <w:b/>
          <w:bCs/>
          <w:sz w:val="22"/>
          <w:szCs w:val="22"/>
        </w:rPr>
        <w:t xml:space="preserve"> Mayolo.</w:t>
      </w:r>
    </w:p>
    <w:p w14:paraId="697AFBA3" w14:textId="77777777" w:rsidR="007E46F5" w:rsidRPr="00895B4B" w:rsidRDefault="007E46F5" w:rsidP="00895B4B">
      <w:pPr>
        <w:jc w:val="both"/>
      </w:pPr>
    </w:p>
    <w:sectPr w:rsidR="007E46F5" w:rsidRPr="00895B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A0"/>
    <w:rsid w:val="00050F65"/>
    <w:rsid w:val="00752FB3"/>
    <w:rsid w:val="007E46F5"/>
    <w:rsid w:val="00895B4B"/>
    <w:rsid w:val="00A42548"/>
    <w:rsid w:val="00D453A0"/>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5E6A"/>
  <w15:chartTrackingRefBased/>
  <w15:docId w15:val="{FF4E5CF4-400B-4FB6-A0EC-5FA03B8E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5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5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53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53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53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53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53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53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53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53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53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53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53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53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53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53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53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53A0"/>
    <w:rPr>
      <w:rFonts w:eastAsiaTheme="majorEastAsia" w:cstheme="majorBidi"/>
      <w:color w:val="272727" w:themeColor="text1" w:themeTint="D8"/>
    </w:rPr>
  </w:style>
  <w:style w:type="paragraph" w:styleId="Ttulo">
    <w:name w:val="Title"/>
    <w:basedOn w:val="Normal"/>
    <w:next w:val="Normal"/>
    <w:link w:val="TtuloCar"/>
    <w:uiPriority w:val="10"/>
    <w:qFormat/>
    <w:rsid w:val="00D45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53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53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53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53A0"/>
    <w:pPr>
      <w:spacing w:before="160"/>
      <w:jc w:val="center"/>
    </w:pPr>
    <w:rPr>
      <w:i/>
      <w:iCs/>
      <w:color w:val="404040" w:themeColor="text1" w:themeTint="BF"/>
    </w:rPr>
  </w:style>
  <w:style w:type="character" w:customStyle="1" w:styleId="CitaCar">
    <w:name w:val="Cita Car"/>
    <w:basedOn w:val="Fuentedeprrafopredeter"/>
    <w:link w:val="Cita"/>
    <w:uiPriority w:val="29"/>
    <w:rsid w:val="00D453A0"/>
    <w:rPr>
      <w:i/>
      <w:iCs/>
      <w:color w:val="404040" w:themeColor="text1" w:themeTint="BF"/>
    </w:rPr>
  </w:style>
  <w:style w:type="paragraph" w:styleId="Prrafodelista">
    <w:name w:val="List Paragraph"/>
    <w:basedOn w:val="Normal"/>
    <w:uiPriority w:val="34"/>
    <w:qFormat/>
    <w:rsid w:val="00D453A0"/>
    <w:pPr>
      <w:ind w:left="720"/>
      <w:contextualSpacing/>
    </w:pPr>
  </w:style>
  <w:style w:type="character" w:styleId="nfasisintenso">
    <w:name w:val="Intense Emphasis"/>
    <w:basedOn w:val="Fuentedeprrafopredeter"/>
    <w:uiPriority w:val="21"/>
    <w:qFormat/>
    <w:rsid w:val="00D453A0"/>
    <w:rPr>
      <w:i/>
      <w:iCs/>
      <w:color w:val="0F4761" w:themeColor="accent1" w:themeShade="BF"/>
    </w:rPr>
  </w:style>
  <w:style w:type="paragraph" w:styleId="Citadestacada">
    <w:name w:val="Intense Quote"/>
    <w:basedOn w:val="Normal"/>
    <w:next w:val="Normal"/>
    <w:link w:val="CitadestacadaCar"/>
    <w:uiPriority w:val="30"/>
    <w:qFormat/>
    <w:rsid w:val="00D45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53A0"/>
    <w:rPr>
      <w:i/>
      <w:iCs/>
      <w:color w:val="0F4761" w:themeColor="accent1" w:themeShade="BF"/>
    </w:rPr>
  </w:style>
  <w:style w:type="character" w:styleId="Referenciaintensa">
    <w:name w:val="Intense Reference"/>
    <w:basedOn w:val="Fuentedeprrafopredeter"/>
    <w:uiPriority w:val="32"/>
    <w:qFormat/>
    <w:rsid w:val="00D453A0"/>
    <w:rPr>
      <w:b/>
      <w:bCs/>
      <w:smallCaps/>
      <w:color w:val="0F4761" w:themeColor="accent1" w:themeShade="BF"/>
      <w:spacing w:val="5"/>
    </w:rPr>
  </w:style>
  <w:style w:type="character" w:styleId="Hipervnculo">
    <w:name w:val="Hyperlink"/>
    <w:basedOn w:val="Fuentedeprrafopredeter"/>
    <w:uiPriority w:val="99"/>
    <w:unhideWhenUsed/>
    <w:rsid w:val="00895B4B"/>
    <w:rPr>
      <w:color w:val="467886" w:themeColor="hyperlink"/>
      <w:u w:val="single"/>
    </w:rPr>
  </w:style>
  <w:style w:type="character" w:styleId="Mencinsinresolver">
    <w:name w:val="Unresolved Mention"/>
    <w:basedOn w:val="Fuentedeprrafopredeter"/>
    <w:uiPriority w:val="99"/>
    <w:semiHidden/>
    <w:unhideWhenUsed/>
    <w:rsid w:val="0089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1792D-AB4B-473D-B012-EA90572427B1}"/>
</file>

<file path=customXml/itemProps2.xml><?xml version="1.0" encoding="utf-8"?>
<ds:datastoreItem xmlns:ds="http://schemas.openxmlformats.org/officeDocument/2006/customXml" ds:itemID="{500E3E17-A492-4348-8E48-062B195C7807}"/>
</file>

<file path=customXml/itemProps3.xml><?xml version="1.0" encoding="utf-8"?>
<ds:datastoreItem xmlns:ds="http://schemas.openxmlformats.org/officeDocument/2006/customXml" ds:itemID="{E7AE563B-8E30-4522-ACF5-010105D19BA8}"/>
</file>

<file path=docProps/app.xml><?xml version="1.0" encoding="utf-8"?>
<Properties xmlns="http://schemas.openxmlformats.org/officeDocument/2006/extended-properties" xmlns:vt="http://schemas.openxmlformats.org/officeDocument/2006/docPropsVTypes">
  <Template>Normal</Template>
  <TotalTime>3</TotalTime>
  <Pages>4</Pages>
  <Words>1282</Words>
  <Characters>7054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2026-01-05T20:53:00Z</dcterms:created>
  <dcterms:modified xsi:type="dcterms:W3CDTF">2026-01-05T21:17:00Z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