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30C96" w14:textId="77777777" w:rsidR="00630584" w:rsidRPr="00391D14" w:rsidRDefault="00630584" w:rsidP="00630584">
      <w:pPr>
        <w:rPr>
          <w:rFonts w:ascii="Verdana" w:eastAsia="Times New Roman" w:hAnsi="Verdana" w:cs="Times New Roman"/>
          <w:color w:val="000000"/>
          <w:kern w:val="0"/>
          <w:sz w:val="22"/>
          <w:szCs w:val="22"/>
          <w:lang w:eastAsia="es-MX"/>
          <w14:ligatures w14:val="none"/>
        </w:rPr>
      </w:pPr>
    </w:p>
    <w:p w14:paraId="323699B4" w14:textId="1531D058" w:rsidR="00630584" w:rsidRDefault="00630584" w:rsidP="00630584">
      <w:pPr>
        <w:jc w:val="center"/>
        <w:rPr>
          <w:rFonts w:ascii="Verdana" w:eastAsia="Times New Roman" w:hAnsi="Verdana" w:cs="Times New Roman"/>
          <w:b/>
          <w:bCs/>
          <w:color w:val="000000"/>
          <w:kern w:val="0"/>
          <w:sz w:val="22"/>
          <w:szCs w:val="22"/>
          <w:lang w:eastAsia="es-MX"/>
          <w14:ligatures w14:val="none"/>
        </w:rPr>
      </w:pPr>
      <w:r w:rsidRPr="00391D14">
        <w:rPr>
          <w:rFonts w:ascii="Verdana" w:eastAsia="Times New Roman" w:hAnsi="Verdana" w:cs="Times New Roman"/>
          <w:b/>
          <w:bCs/>
          <w:color w:val="000000"/>
          <w:kern w:val="0"/>
          <w:sz w:val="22"/>
          <w:szCs w:val="22"/>
          <w:lang w:eastAsia="es-MX"/>
          <w14:ligatures w14:val="none"/>
        </w:rPr>
        <w:t>CIRCULAR No. 001 DE 202</w:t>
      </w:r>
      <w:r w:rsidR="00013179">
        <w:rPr>
          <w:rFonts w:ascii="Verdana" w:eastAsia="Times New Roman" w:hAnsi="Verdana" w:cs="Times New Roman"/>
          <w:b/>
          <w:bCs/>
          <w:color w:val="000000"/>
          <w:kern w:val="0"/>
          <w:sz w:val="22"/>
          <w:szCs w:val="22"/>
          <w:lang w:eastAsia="es-MX"/>
          <w14:ligatures w14:val="none"/>
        </w:rPr>
        <w:t>4</w:t>
      </w:r>
    </w:p>
    <w:p w14:paraId="6DD3665A" w14:textId="77777777" w:rsidR="00013179" w:rsidRDefault="00013179" w:rsidP="00630584">
      <w:pPr>
        <w:jc w:val="center"/>
        <w:rPr>
          <w:rFonts w:ascii="Verdana" w:eastAsia="Times New Roman" w:hAnsi="Verdana" w:cs="Times New Roman"/>
          <w:b/>
          <w:bCs/>
          <w:color w:val="000000"/>
          <w:kern w:val="0"/>
          <w:sz w:val="22"/>
          <w:szCs w:val="22"/>
          <w:lang w:eastAsia="es-MX"/>
          <w14:ligatures w14:val="none"/>
        </w:rPr>
      </w:pPr>
    </w:p>
    <w:p w14:paraId="6930C810" w14:textId="3D98EC04" w:rsidR="00013179" w:rsidRPr="00013179" w:rsidRDefault="00013179" w:rsidP="00630584">
      <w:pPr>
        <w:jc w:val="center"/>
        <w:rPr>
          <w:rFonts w:ascii="Verdana" w:eastAsia="Times New Roman" w:hAnsi="Verdana" w:cs="Times New Roman"/>
          <w:color w:val="000000"/>
          <w:kern w:val="0"/>
          <w:sz w:val="22"/>
          <w:szCs w:val="22"/>
          <w:lang w:eastAsia="es-MX"/>
          <w14:ligatures w14:val="none"/>
        </w:rPr>
      </w:pPr>
      <w:r w:rsidRPr="00013179">
        <w:rPr>
          <w:rFonts w:ascii="Verdana" w:eastAsia="Times New Roman" w:hAnsi="Verdana" w:cs="Times New Roman"/>
          <w:color w:val="000000"/>
          <w:kern w:val="0"/>
          <w:sz w:val="22"/>
          <w:szCs w:val="22"/>
          <w:lang w:eastAsia="es-MX"/>
          <w14:ligatures w14:val="none"/>
        </w:rPr>
        <w:t>(26 de junio)</w:t>
      </w:r>
    </w:p>
    <w:p w14:paraId="63944952" w14:textId="77777777" w:rsidR="00391D14" w:rsidRDefault="00391D14" w:rsidP="00391D14">
      <w:pPr>
        <w:jc w:val="both"/>
        <w:rPr>
          <w:rFonts w:ascii="Verdana" w:hAnsi="Verdana" w:cs="Helvetica"/>
          <w:kern w:val="0"/>
          <w:sz w:val="22"/>
          <w:szCs w:val="22"/>
          <w:lang w:val="es-MX"/>
        </w:rPr>
      </w:pPr>
    </w:p>
    <w:p w14:paraId="4A484ABC" w14:textId="20E66DAA" w:rsidR="00013179" w:rsidRDefault="00013179" w:rsidP="00391D14">
      <w:pPr>
        <w:jc w:val="both"/>
        <w:rPr>
          <w:rFonts w:ascii="Verdana" w:hAnsi="Verdana" w:cs="Helvetica"/>
          <w:kern w:val="0"/>
          <w:sz w:val="22"/>
          <w:szCs w:val="22"/>
          <w:lang w:val="es-MX"/>
        </w:rPr>
      </w:pPr>
      <w:r w:rsidRPr="00013179">
        <w:rPr>
          <w:rFonts w:ascii="Verdana" w:hAnsi="Verdana" w:cs="Helvetica"/>
          <w:b/>
          <w:bCs/>
          <w:kern w:val="0"/>
          <w:sz w:val="22"/>
          <w:szCs w:val="22"/>
          <w:lang w:val="es-MX"/>
        </w:rPr>
        <w:t>PARA</w:t>
      </w:r>
      <w:r>
        <w:rPr>
          <w:rFonts w:ascii="Verdana" w:hAnsi="Verdana" w:cs="Helvetica"/>
          <w:kern w:val="0"/>
          <w:sz w:val="22"/>
          <w:szCs w:val="22"/>
          <w:lang w:val="es-MX"/>
        </w:rPr>
        <w:t>: DIRECTORES, SUBDIRECTORES, JEFES DE OFICINA, DIRECTORES REGIONALES, COORDINADORES DE GRUPO</w:t>
      </w:r>
    </w:p>
    <w:p w14:paraId="6A348FE3" w14:textId="77777777" w:rsidR="00013179" w:rsidRDefault="00013179" w:rsidP="00391D14">
      <w:pPr>
        <w:jc w:val="both"/>
        <w:rPr>
          <w:rFonts w:ascii="Verdana" w:hAnsi="Verdana" w:cs="Helvetica"/>
          <w:kern w:val="0"/>
          <w:sz w:val="22"/>
          <w:szCs w:val="22"/>
          <w:lang w:val="es-MX"/>
        </w:rPr>
      </w:pPr>
    </w:p>
    <w:p w14:paraId="55FDE010" w14:textId="328936E9" w:rsidR="00013179" w:rsidRDefault="00013179" w:rsidP="00391D14">
      <w:pPr>
        <w:jc w:val="both"/>
        <w:rPr>
          <w:rFonts w:ascii="Verdana" w:hAnsi="Verdana" w:cs="Helvetica"/>
          <w:kern w:val="0"/>
          <w:sz w:val="22"/>
          <w:szCs w:val="22"/>
          <w:lang w:val="es-MX"/>
        </w:rPr>
      </w:pPr>
      <w:r w:rsidRPr="00013179">
        <w:rPr>
          <w:rFonts w:ascii="Verdana" w:hAnsi="Verdana" w:cs="Helvetica"/>
          <w:b/>
          <w:bCs/>
          <w:kern w:val="0"/>
          <w:sz w:val="22"/>
          <w:szCs w:val="22"/>
          <w:lang w:val="es-MX"/>
        </w:rPr>
        <w:t>DE</w:t>
      </w:r>
      <w:r>
        <w:rPr>
          <w:rFonts w:ascii="Verdana" w:hAnsi="Verdana" w:cs="Helvetica"/>
          <w:kern w:val="0"/>
          <w:sz w:val="22"/>
          <w:szCs w:val="22"/>
          <w:lang w:val="es-MX"/>
        </w:rPr>
        <w:t>: DIRECTORA GENERAL</w:t>
      </w:r>
    </w:p>
    <w:p w14:paraId="39E3CD29" w14:textId="77777777" w:rsidR="00013179" w:rsidRDefault="00013179" w:rsidP="00391D14">
      <w:pPr>
        <w:jc w:val="both"/>
        <w:rPr>
          <w:rFonts w:ascii="Verdana" w:hAnsi="Verdana" w:cs="Helvetica"/>
          <w:kern w:val="0"/>
          <w:sz w:val="22"/>
          <w:szCs w:val="22"/>
          <w:lang w:val="es-MX"/>
        </w:rPr>
      </w:pPr>
    </w:p>
    <w:p w14:paraId="5496FFE5" w14:textId="77777777" w:rsidR="00013179" w:rsidRDefault="00013179" w:rsidP="00391D14">
      <w:pPr>
        <w:jc w:val="both"/>
        <w:rPr>
          <w:rFonts w:ascii="Verdana" w:hAnsi="Verdana" w:cs="Helvetica"/>
          <w:kern w:val="0"/>
          <w:sz w:val="22"/>
          <w:szCs w:val="22"/>
          <w:lang w:val="es-MX"/>
        </w:rPr>
      </w:pPr>
    </w:p>
    <w:p w14:paraId="657BAC19" w14:textId="381C0112" w:rsidR="00013179" w:rsidRDefault="00013179" w:rsidP="00391D14">
      <w:pPr>
        <w:jc w:val="both"/>
        <w:rPr>
          <w:rFonts w:ascii="Verdana" w:hAnsi="Verdana" w:cs="Helvetica"/>
          <w:kern w:val="0"/>
          <w:sz w:val="22"/>
          <w:szCs w:val="22"/>
          <w:lang w:val="es-MX"/>
        </w:rPr>
      </w:pPr>
      <w:r w:rsidRPr="00013179">
        <w:rPr>
          <w:rFonts w:ascii="Verdana" w:hAnsi="Verdana" w:cs="Helvetica"/>
          <w:b/>
          <w:bCs/>
          <w:kern w:val="0"/>
          <w:sz w:val="22"/>
          <w:szCs w:val="22"/>
          <w:lang w:val="es-MX"/>
        </w:rPr>
        <w:t>Asunto</w:t>
      </w:r>
      <w:r>
        <w:rPr>
          <w:rFonts w:ascii="Verdana" w:hAnsi="Verdana" w:cs="Helvetica"/>
          <w:kern w:val="0"/>
          <w:sz w:val="22"/>
          <w:szCs w:val="22"/>
          <w:lang w:val="es-MX"/>
        </w:rPr>
        <w:t>: Comisiones de Servicio y Desplazamiento en el marco de las directrices de Austeridad</w:t>
      </w:r>
    </w:p>
    <w:p w14:paraId="76BA49ED" w14:textId="77777777" w:rsidR="00013179" w:rsidRDefault="00013179" w:rsidP="00391D14">
      <w:pPr>
        <w:jc w:val="both"/>
        <w:rPr>
          <w:rFonts w:ascii="Verdana" w:hAnsi="Verdana" w:cs="Helvetica"/>
          <w:kern w:val="0"/>
          <w:sz w:val="22"/>
          <w:szCs w:val="22"/>
          <w:lang w:val="es-MX"/>
        </w:rPr>
      </w:pPr>
    </w:p>
    <w:p w14:paraId="584D53A8" w14:textId="77777777" w:rsidR="00013179" w:rsidRDefault="00013179" w:rsidP="00391D14">
      <w:pPr>
        <w:jc w:val="both"/>
        <w:rPr>
          <w:rFonts w:ascii="Verdana" w:hAnsi="Verdana" w:cs="Helvetica"/>
          <w:kern w:val="0"/>
          <w:sz w:val="22"/>
          <w:szCs w:val="22"/>
          <w:lang w:val="es-MX"/>
        </w:rPr>
      </w:pPr>
    </w:p>
    <w:p w14:paraId="75ABAC80" w14:textId="211997DB" w:rsidR="00013179" w:rsidRDefault="00013179" w:rsidP="00391D14">
      <w:pPr>
        <w:jc w:val="both"/>
        <w:rPr>
          <w:rFonts w:ascii="Verdana" w:hAnsi="Verdana" w:cs="Helvetica"/>
          <w:kern w:val="0"/>
          <w:sz w:val="22"/>
          <w:szCs w:val="22"/>
          <w:lang w:val="es-MX"/>
        </w:rPr>
      </w:pPr>
      <w:r>
        <w:rPr>
          <w:rFonts w:ascii="Verdana" w:hAnsi="Verdana" w:cs="Helvetica"/>
          <w:kern w:val="0"/>
          <w:sz w:val="22"/>
          <w:szCs w:val="22"/>
          <w:lang w:val="es-MX"/>
        </w:rPr>
        <w:t>Cordial saludo.</w:t>
      </w:r>
    </w:p>
    <w:p w14:paraId="499CCBC6" w14:textId="77777777" w:rsidR="00013179" w:rsidRDefault="00013179" w:rsidP="00391D14">
      <w:pPr>
        <w:jc w:val="both"/>
        <w:rPr>
          <w:rFonts w:ascii="Verdana" w:hAnsi="Verdana" w:cs="Helvetica"/>
          <w:kern w:val="0"/>
          <w:sz w:val="22"/>
          <w:szCs w:val="22"/>
          <w:lang w:val="es-MX"/>
        </w:rPr>
      </w:pPr>
    </w:p>
    <w:p w14:paraId="4CEA8483" w14:textId="77777777" w:rsidR="00013179" w:rsidRDefault="00013179" w:rsidP="00391D14">
      <w:pPr>
        <w:jc w:val="both"/>
        <w:rPr>
          <w:rFonts w:ascii="Verdana" w:hAnsi="Verdana" w:cs="Helvetica"/>
          <w:kern w:val="0"/>
          <w:sz w:val="22"/>
          <w:szCs w:val="22"/>
          <w:lang w:val="es-MX"/>
        </w:rPr>
      </w:pPr>
    </w:p>
    <w:p w14:paraId="1745591C" w14:textId="0C5988FE" w:rsidR="00391D14" w:rsidRDefault="00013179" w:rsidP="00013179">
      <w:pPr>
        <w:jc w:val="both"/>
        <w:rPr>
          <w:rFonts w:ascii="Verdana" w:hAnsi="Verdana" w:cs="Helvetica"/>
          <w:kern w:val="0"/>
          <w:sz w:val="22"/>
          <w:szCs w:val="22"/>
          <w:lang w:val="es-MX"/>
        </w:rPr>
      </w:pPr>
      <w:r w:rsidRPr="00013179">
        <w:rPr>
          <w:rFonts w:ascii="Verdana" w:hAnsi="Verdana" w:cs="Helvetica"/>
          <w:kern w:val="0"/>
          <w:sz w:val="22"/>
          <w:szCs w:val="22"/>
          <w:lang w:val="es-MX"/>
        </w:rPr>
        <w:t xml:space="preserve">En atención </w:t>
      </w:r>
      <w:r>
        <w:rPr>
          <w:rFonts w:ascii="Verdana" w:hAnsi="Verdana" w:cs="Helvetica"/>
          <w:kern w:val="0"/>
          <w:sz w:val="22"/>
          <w:szCs w:val="22"/>
          <w:lang w:val="es-MX"/>
        </w:rPr>
        <w:t xml:space="preserve">a lo previsto en </w:t>
      </w:r>
      <w:proofErr w:type="gramStart"/>
      <w:r>
        <w:rPr>
          <w:rFonts w:ascii="Verdana" w:hAnsi="Verdana" w:cs="Helvetica"/>
          <w:kern w:val="0"/>
          <w:sz w:val="22"/>
          <w:szCs w:val="22"/>
          <w:lang w:val="es-MX"/>
        </w:rPr>
        <w:t>los artículo</w:t>
      </w:r>
      <w:proofErr w:type="gramEnd"/>
      <w:r>
        <w:rPr>
          <w:rFonts w:ascii="Verdana" w:hAnsi="Verdana" w:cs="Helvetica"/>
          <w:kern w:val="0"/>
          <w:sz w:val="22"/>
          <w:szCs w:val="22"/>
          <w:lang w:val="es-MX"/>
        </w:rPr>
        <w:t xml:space="preserve"> 6, 7, 8, 9, 10 y 11 del Decreto 0199 de 2024 “Por el cual se establece el Plan de Austeridad del Gasto 2024 para los órganos que hacen parte del Presupuesto General de la Nación” y con el fin de hacer uso eficiente de los recursos públicos asignados al ICBF, de manera atenta solicito implementar las siguientes instrucciones en lo referente a la programación de desplazamientos y comisiones de servicio de funcionarios y colaboradores de la entidad:</w:t>
      </w:r>
    </w:p>
    <w:p w14:paraId="4C0ED617" w14:textId="77777777" w:rsidR="00013179" w:rsidRDefault="00013179" w:rsidP="00013179">
      <w:pPr>
        <w:jc w:val="both"/>
        <w:rPr>
          <w:rFonts w:ascii="Verdana" w:hAnsi="Verdana" w:cs="Helvetica"/>
          <w:kern w:val="0"/>
          <w:sz w:val="22"/>
          <w:szCs w:val="22"/>
          <w:lang w:val="es-MX"/>
        </w:rPr>
      </w:pPr>
    </w:p>
    <w:p w14:paraId="31AF690B" w14:textId="2BBA1BD6" w:rsidR="00013179" w:rsidRDefault="00013179" w:rsidP="00013179">
      <w:pPr>
        <w:pStyle w:val="Prrafodelista"/>
        <w:numPr>
          <w:ilvl w:val="0"/>
          <w:numId w:val="1"/>
        </w:numPr>
        <w:jc w:val="both"/>
        <w:rPr>
          <w:rFonts w:ascii="Verdana" w:hAnsi="Verdana" w:cs="Helvetica"/>
          <w:kern w:val="0"/>
          <w:sz w:val="22"/>
          <w:szCs w:val="22"/>
          <w:lang w:val="es-MX"/>
        </w:rPr>
      </w:pPr>
      <w:r>
        <w:rPr>
          <w:rFonts w:ascii="Verdana" w:hAnsi="Verdana" w:cs="Helvetica"/>
          <w:kern w:val="0"/>
          <w:sz w:val="22"/>
          <w:szCs w:val="22"/>
          <w:lang w:val="es-MX"/>
        </w:rPr>
        <w:t>Promover y dar prelación a los encuentros virtuales y no presenciales sobre las actividades que impliquen desplazamiento físico de los servidores y colaboradores de manera que estos sean mínimos y plenamente justificados.</w:t>
      </w:r>
    </w:p>
    <w:p w14:paraId="018DA409" w14:textId="77777777" w:rsidR="00013179" w:rsidRDefault="00013179" w:rsidP="00013179">
      <w:pPr>
        <w:pStyle w:val="Prrafodelista"/>
        <w:jc w:val="both"/>
        <w:rPr>
          <w:rFonts w:ascii="Verdana" w:hAnsi="Verdana" w:cs="Helvetica"/>
          <w:kern w:val="0"/>
          <w:sz w:val="22"/>
          <w:szCs w:val="22"/>
          <w:lang w:val="es-MX"/>
        </w:rPr>
      </w:pPr>
    </w:p>
    <w:p w14:paraId="29C3232B" w14:textId="4F68C0B3" w:rsidR="00013179" w:rsidRDefault="00013179" w:rsidP="00013179">
      <w:pPr>
        <w:pStyle w:val="Prrafodelista"/>
        <w:jc w:val="both"/>
        <w:rPr>
          <w:rFonts w:ascii="Verdana" w:hAnsi="Verdana" w:cs="Helvetica"/>
          <w:kern w:val="0"/>
          <w:sz w:val="22"/>
          <w:szCs w:val="22"/>
          <w:lang w:val="es-MX"/>
        </w:rPr>
      </w:pPr>
      <w:r>
        <w:rPr>
          <w:rFonts w:ascii="Verdana" w:hAnsi="Verdana" w:cs="Helvetica"/>
          <w:kern w:val="0"/>
          <w:sz w:val="22"/>
          <w:szCs w:val="22"/>
          <w:lang w:val="es-MX"/>
        </w:rPr>
        <w:t>En lo posible, gestionar acciones apoyados con los colaboradores ubicados en las Direcciones Regionales y/o Centros Zonales de la sede nacional. En caso de que definitivamente se requiera el desplazamiento, el número de personas designadas para viajar sea el mínimo, cuyos perfiles estén directamente relacionados con el objeto de la comisión y la necesidad de su asistencia sea plenamente justificada.</w:t>
      </w:r>
    </w:p>
    <w:p w14:paraId="0C4DB96B" w14:textId="77777777" w:rsidR="00013179" w:rsidRDefault="00013179" w:rsidP="00013179">
      <w:pPr>
        <w:pStyle w:val="Prrafodelista"/>
        <w:rPr>
          <w:rFonts w:ascii="Verdana" w:hAnsi="Verdana" w:cs="Helvetica"/>
          <w:kern w:val="0"/>
          <w:sz w:val="22"/>
          <w:szCs w:val="22"/>
          <w:lang w:val="es-MX"/>
        </w:rPr>
      </w:pPr>
    </w:p>
    <w:p w14:paraId="4A3B3C89" w14:textId="3328FE0A" w:rsidR="00013179" w:rsidRDefault="00013179" w:rsidP="00013179">
      <w:pPr>
        <w:pStyle w:val="Prrafodelista"/>
        <w:numPr>
          <w:ilvl w:val="0"/>
          <w:numId w:val="1"/>
        </w:numPr>
        <w:jc w:val="both"/>
        <w:rPr>
          <w:rFonts w:ascii="Verdana" w:hAnsi="Verdana" w:cs="Helvetica"/>
          <w:kern w:val="0"/>
          <w:sz w:val="22"/>
          <w:szCs w:val="22"/>
          <w:lang w:val="es-MX"/>
        </w:rPr>
      </w:pPr>
      <w:r>
        <w:rPr>
          <w:rFonts w:ascii="Verdana" w:hAnsi="Verdana" w:cs="Helvetica"/>
          <w:kern w:val="0"/>
          <w:sz w:val="22"/>
          <w:szCs w:val="22"/>
          <w:lang w:val="es-MX"/>
        </w:rPr>
        <w:t>Cuando la comisión de servicios requiera que el colaborador pernocte en el lugar de la comisión, ésta deberá estar igualmente justificada.</w:t>
      </w:r>
    </w:p>
    <w:p w14:paraId="0B40F7A6" w14:textId="77777777" w:rsidR="00013179" w:rsidRDefault="00013179" w:rsidP="00013179">
      <w:pPr>
        <w:pStyle w:val="Prrafodelista"/>
        <w:jc w:val="both"/>
        <w:rPr>
          <w:rFonts w:ascii="Verdana" w:hAnsi="Verdana" w:cs="Helvetica"/>
          <w:kern w:val="0"/>
          <w:sz w:val="22"/>
          <w:szCs w:val="22"/>
          <w:lang w:val="es-MX"/>
        </w:rPr>
      </w:pPr>
    </w:p>
    <w:p w14:paraId="0237F703" w14:textId="213C6456" w:rsidR="00013179" w:rsidRDefault="00013179" w:rsidP="00013179">
      <w:pPr>
        <w:pStyle w:val="Prrafodelista"/>
        <w:numPr>
          <w:ilvl w:val="0"/>
          <w:numId w:val="1"/>
        </w:numPr>
        <w:jc w:val="both"/>
        <w:rPr>
          <w:rFonts w:ascii="Verdana" w:hAnsi="Verdana" w:cs="Helvetica"/>
          <w:kern w:val="0"/>
          <w:sz w:val="22"/>
          <w:szCs w:val="22"/>
          <w:lang w:val="es-MX"/>
        </w:rPr>
      </w:pPr>
      <w:r>
        <w:rPr>
          <w:rFonts w:ascii="Verdana" w:hAnsi="Verdana" w:cs="Helvetica"/>
          <w:kern w:val="0"/>
          <w:sz w:val="22"/>
          <w:szCs w:val="22"/>
          <w:lang w:val="es-MX"/>
        </w:rPr>
        <w:t>Cuando se requiera el desplazamiento de más de un funcionario o contratista, es necesario que las funciones u obligaciones propias del empleo o contrato estén directamente relacionadas con el objeto de la comisión, para lo cual se requiere soportar documentalmente la razonabilidad y necesidad de la asistencia del número de funcionarios y/o contratistas individualizando la justificación por cada uno de ellos.</w:t>
      </w:r>
    </w:p>
    <w:p w14:paraId="0F75B65B" w14:textId="77777777" w:rsidR="00013179" w:rsidRPr="00013179" w:rsidRDefault="00013179" w:rsidP="00013179">
      <w:pPr>
        <w:pStyle w:val="Prrafodelista"/>
        <w:rPr>
          <w:rFonts w:ascii="Verdana" w:hAnsi="Verdana" w:cs="Helvetica"/>
          <w:kern w:val="0"/>
          <w:sz w:val="22"/>
          <w:szCs w:val="22"/>
          <w:lang w:val="es-MX"/>
        </w:rPr>
      </w:pPr>
    </w:p>
    <w:p w14:paraId="1EE69884" w14:textId="25F285C5" w:rsidR="00013179" w:rsidRDefault="00013179" w:rsidP="00013179">
      <w:pPr>
        <w:pStyle w:val="Prrafodelista"/>
        <w:numPr>
          <w:ilvl w:val="0"/>
          <w:numId w:val="1"/>
        </w:numPr>
        <w:jc w:val="both"/>
        <w:rPr>
          <w:rFonts w:ascii="Verdana" w:hAnsi="Verdana" w:cs="Helvetica"/>
          <w:kern w:val="0"/>
          <w:sz w:val="22"/>
          <w:szCs w:val="22"/>
          <w:lang w:val="es-MX"/>
        </w:rPr>
      </w:pPr>
      <w:r>
        <w:rPr>
          <w:rFonts w:ascii="Verdana" w:hAnsi="Verdana" w:cs="Helvetica"/>
          <w:kern w:val="0"/>
          <w:sz w:val="22"/>
          <w:szCs w:val="22"/>
          <w:lang w:val="es-MX"/>
        </w:rPr>
        <w:lastRenderedPageBreak/>
        <w:t>Debido a los costos de tiquetes aéreos, se requiere que toda solicitud de comisión de servicios se realice con la antelación establecida en la Resolución No. 0398 de enero de 2022 o aquella que la modifique, sustituya o derogue, los cuales corresponden como mínimo a cinco (5) días de antelación al primer día de la comisión.</w:t>
      </w:r>
    </w:p>
    <w:p w14:paraId="69188428" w14:textId="77777777" w:rsidR="00013179" w:rsidRPr="00013179" w:rsidRDefault="00013179" w:rsidP="00013179">
      <w:pPr>
        <w:pStyle w:val="Prrafodelista"/>
        <w:rPr>
          <w:rFonts w:ascii="Verdana" w:hAnsi="Verdana" w:cs="Helvetica"/>
          <w:kern w:val="0"/>
          <w:sz w:val="22"/>
          <w:szCs w:val="22"/>
          <w:lang w:val="es-MX"/>
        </w:rPr>
      </w:pPr>
    </w:p>
    <w:p w14:paraId="27A7BD5E" w14:textId="2D910974" w:rsidR="00013179" w:rsidRDefault="00013179" w:rsidP="00013179">
      <w:pPr>
        <w:pStyle w:val="Prrafodelista"/>
        <w:jc w:val="both"/>
        <w:rPr>
          <w:rFonts w:ascii="Verdana" w:hAnsi="Verdana" w:cs="Helvetica"/>
          <w:kern w:val="0"/>
          <w:sz w:val="22"/>
          <w:szCs w:val="22"/>
          <w:lang w:val="es-MX"/>
        </w:rPr>
      </w:pPr>
      <w:r>
        <w:rPr>
          <w:rFonts w:ascii="Verdana" w:hAnsi="Verdana" w:cs="Helvetica"/>
          <w:kern w:val="0"/>
          <w:sz w:val="22"/>
          <w:szCs w:val="22"/>
          <w:lang w:val="es-MX"/>
        </w:rPr>
        <w:t>Para las comisiones extraordinarias (excepción) se debe contar con mínimo dos (2) días hábiles de ant</w:t>
      </w:r>
      <w:r w:rsidR="00077E1C">
        <w:rPr>
          <w:rFonts w:ascii="Verdana" w:hAnsi="Verdana" w:cs="Helvetica"/>
          <w:kern w:val="0"/>
          <w:sz w:val="22"/>
          <w:szCs w:val="22"/>
          <w:lang w:val="es-MX"/>
        </w:rPr>
        <w:t>es del inicio de la comisión. Salvo en casos tales como: desastres naturales, compromisos de Presidencia, compromisos de Dirección General, situaciones que afecten la vulnerabilidad de los derechos de protección de niños, niñas y adolescentes, denuncias, situaciones de representación legal de la entidad ante despachos judiciales que llegaron sobre la fecha de asistencia y los casos en que el secretario general autorice por necesidades del servicio.</w:t>
      </w:r>
    </w:p>
    <w:p w14:paraId="4B5F2F32" w14:textId="77777777" w:rsidR="00077E1C" w:rsidRDefault="00077E1C" w:rsidP="00077E1C">
      <w:pPr>
        <w:jc w:val="both"/>
        <w:rPr>
          <w:rFonts w:ascii="Verdana" w:hAnsi="Verdana" w:cs="Helvetica"/>
          <w:kern w:val="0"/>
          <w:sz w:val="22"/>
          <w:szCs w:val="22"/>
          <w:lang w:val="es-MX"/>
        </w:rPr>
      </w:pPr>
    </w:p>
    <w:p w14:paraId="3828D4C8" w14:textId="3A47BC05" w:rsidR="00077E1C" w:rsidRDefault="00077E1C" w:rsidP="00077E1C">
      <w:pPr>
        <w:jc w:val="both"/>
        <w:rPr>
          <w:rFonts w:ascii="Verdana" w:hAnsi="Verdana" w:cs="Helvetica"/>
          <w:kern w:val="0"/>
          <w:sz w:val="22"/>
          <w:szCs w:val="22"/>
          <w:lang w:val="es-MX"/>
        </w:rPr>
      </w:pPr>
      <w:r>
        <w:rPr>
          <w:rFonts w:ascii="Verdana" w:hAnsi="Verdana" w:cs="Helvetica"/>
          <w:kern w:val="0"/>
          <w:sz w:val="22"/>
          <w:szCs w:val="22"/>
          <w:lang w:val="es-MX"/>
        </w:rPr>
        <w:t>Las directrices antes mencionadas serán de obligatoria aplicación a partir de la fecha,</w:t>
      </w:r>
    </w:p>
    <w:p w14:paraId="704CEB4E" w14:textId="77777777" w:rsidR="00077E1C" w:rsidRDefault="00077E1C" w:rsidP="00077E1C">
      <w:pPr>
        <w:jc w:val="both"/>
        <w:rPr>
          <w:rFonts w:ascii="Verdana" w:hAnsi="Verdana" w:cs="Helvetica"/>
          <w:kern w:val="0"/>
          <w:sz w:val="22"/>
          <w:szCs w:val="22"/>
          <w:lang w:val="es-MX"/>
        </w:rPr>
      </w:pPr>
    </w:p>
    <w:p w14:paraId="644B9ED9" w14:textId="53282CBF" w:rsidR="00077E1C" w:rsidRDefault="00077E1C" w:rsidP="00077E1C">
      <w:pPr>
        <w:jc w:val="both"/>
        <w:rPr>
          <w:rFonts w:ascii="Verdana" w:hAnsi="Verdana" w:cs="Helvetica"/>
          <w:kern w:val="0"/>
          <w:sz w:val="22"/>
          <w:szCs w:val="22"/>
          <w:lang w:val="es-MX"/>
        </w:rPr>
      </w:pPr>
      <w:r>
        <w:rPr>
          <w:rFonts w:ascii="Verdana" w:hAnsi="Verdana" w:cs="Helvetica"/>
          <w:kern w:val="0"/>
          <w:sz w:val="22"/>
          <w:szCs w:val="22"/>
          <w:lang w:val="es-MX"/>
        </w:rPr>
        <w:t>Cordialmente,</w:t>
      </w:r>
    </w:p>
    <w:p w14:paraId="66B0346C" w14:textId="77777777" w:rsidR="00077E1C" w:rsidRDefault="00077E1C" w:rsidP="00077E1C">
      <w:pPr>
        <w:jc w:val="both"/>
        <w:rPr>
          <w:rFonts w:ascii="Verdana" w:hAnsi="Verdana" w:cs="Helvetica"/>
          <w:kern w:val="0"/>
          <w:sz w:val="22"/>
          <w:szCs w:val="22"/>
          <w:lang w:val="es-MX"/>
        </w:rPr>
      </w:pPr>
    </w:p>
    <w:p w14:paraId="3C283BAF" w14:textId="77777777" w:rsidR="00077E1C" w:rsidRDefault="00077E1C" w:rsidP="00077E1C">
      <w:pPr>
        <w:jc w:val="both"/>
        <w:rPr>
          <w:rFonts w:ascii="Verdana" w:hAnsi="Verdana" w:cs="Helvetica"/>
          <w:kern w:val="0"/>
          <w:sz w:val="22"/>
          <w:szCs w:val="22"/>
          <w:lang w:val="es-MX"/>
        </w:rPr>
      </w:pPr>
    </w:p>
    <w:p w14:paraId="3AE3DB8F" w14:textId="64FA31A5" w:rsidR="00077E1C" w:rsidRPr="00077E1C" w:rsidRDefault="00077E1C" w:rsidP="00077E1C">
      <w:pPr>
        <w:jc w:val="both"/>
        <w:rPr>
          <w:rFonts w:ascii="Verdana" w:hAnsi="Verdana" w:cs="Helvetica"/>
          <w:b/>
          <w:bCs/>
          <w:kern w:val="0"/>
          <w:sz w:val="22"/>
          <w:szCs w:val="22"/>
          <w:lang w:val="es-MX"/>
        </w:rPr>
      </w:pPr>
      <w:r w:rsidRPr="00077E1C">
        <w:rPr>
          <w:rFonts w:ascii="Verdana" w:hAnsi="Verdana" w:cs="Helvetica"/>
          <w:b/>
          <w:bCs/>
          <w:kern w:val="0"/>
          <w:sz w:val="22"/>
          <w:szCs w:val="22"/>
          <w:lang w:val="es-MX"/>
        </w:rPr>
        <w:t>ASTRID ELIANA CÁCERES CÁRDENAS</w:t>
      </w:r>
    </w:p>
    <w:p w14:paraId="1A999AD0" w14:textId="63AA8268" w:rsidR="00077E1C" w:rsidRPr="00077E1C" w:rsidRDefault="00077E1C" w:rsidP="00077E1C">
      <w:pPr>
        <w:jc w:val="both"/>
        <w:rPr>
          <w:rFonts w:ascii="Verdana" w:hAnsi="Verdana" w:cs="Helvetica"/>
          <w:kern w:val="0"/>
          <w:sz w:val="22"/>
          <w:szCs w:val="22"/>
          <w:lang w:val="es-MX"/>
        </w:rPr>
      </w:pPr>
      <w:r>
        <w:rPr>
          <w:rFonts w:ascii="Verdana" w:hAnsi="Verdana" w:cs="Helvetica"/>
          <w:kern w:val="0"/>
          <w:sz w:val="22"/>
          <w:szCs w:val="22"/>
          <w:lang w:val="es-MX"/>
        </w:rPr>
        <w:t>Directora General</w:t>
      </w:r>
    </w:p>
    <w:p w14:paraId="58E83AAD" w14:textId="77777777" w:rsidR="00013179" w:rsidRDefault="00013179" w:rsidP="00077E1C">
      <w:pPr>
        <w:rPr>
          <w:rFonts w:ascii="Verdana" w:hAnsi="Verdana" w:cs="Helvetica"/>
          <w:kern w:val="0"/>
          <w:sz w:val="22"/>
          <w:szCs w:val="22"/>
          <w:lang w:val="es-MX"/>
        </w:rPr>
      </w:pPr>
    </w:p>
    <w:p w14:paraId="6B4B43DC" w14:textId="2C88A8D2" w:rsidR="00077E1C" w:rsidRPr="00077E1C" w:rsidRDefault="00077E1C" w:rsidP="00077E1C">
      <w:pPr>
        <w:rPr>
          <w:rFonts w:ascii="Verdana" w:hAnsi="Verdana" w:cs="Helvetica"/>
          <w:kern w:val="0"/>
          <w:sz w:val="22"/>
          <w:szCs w:val="22"/>
          <w:lang w:val="pt-PT"/>
        </w:rPr>
      </w:pPr>
      <w:r w:rsidRPr="00077E1C">
        <w:rPr>
          <w:rFonts w:ascii="Verdana" w:hAnsi="Verdana" w:cs="Helvetica"/>
          <w:kern w:val="0"/>
          <w:sz w:val="22"/>
          <w:szCs w:val="22"/>
          <w:lang w:val="pt-PT"/>
        </w:rPr>
        <w:t>Anexo no incluido (Decreto 0199 d</w:t>
      </w:r>
      <w:r>
        <w:rPr>
          <w:rFonts w:ascii="Verdana" w:hAnsi="Verdana" w:cs="Helvetica"/>
          <w:kern w:val="0"/>
          <w:sz w:val="22"/>
          <w:szCs w:val="22"/>
          <w:lang w:val="pt-PT"/>
        </w:rPr>
        <w:t>e 2024)</w:t>
      </w:r>
    </w:p>
    <w:p w14:paraId="52E93D79" w14:textId="77777777" w:rsidR="00013179" w:rsidRPr="00077E1C" w:rsidRDefault="00013179" w:rsidP="00013179">
      <w:pPr>
        <w:jc w:val="both"/>
        <w:rPr>
          <w:rFonts w:ascii="Verdana" w:hAnsi="Verdana" w:cs="Helvetica"/>
          <w:kern w:val="0"/>
          <w:sz w:val="22"/>
          <w:szCs w:val="22"/>
          <w:lang w:val="pt-PT"/>
        </w:rPr>
      </w:pPr>
    </w:p>
    <w:p w14:paraId="5D87BECF" w14:textId="77777777" w:rsidR="00013179" w:rsidRPr="00077E1C" w:rsidRDefault="00013179" w:rsidP="00391D14">
      <w:pPr>
        <w:rPr>
          <w:rFonts w:ascii="Times New Roman" w:eastAsia="Times New Roman" w:hAnsi="Times New Roman" w:cs="Times New Roman"/>
          <w:kern w:val="0"/>
          <w:lang w:val="pt-PT" w:eastAsia="es-MX"/>
          <w14:ligatures w14:val="none"/>
        </w:rPr>
      </w:pPr>
    </w:p>
    <w:p w14:paraId="67FC9184" w14:textId="1524266D" w:rsidR="00391D14" w:rsidRPr="00077E1C" w:rsidRDefault="00391D14" w:rsidP="00391D14">
      <w:pPr>
        <w:jc w:val="center"/>
        <w:rPr>
          <w:rFonts w:ascii="Verdana" w:hAnsi="Verdana" w:cs="Helvetica"/>
          <w:kern w:val="0"/>
          <w:sz w:val="22"/>
          <w:szCs w:val="22"/>
          <w:lang w:val="pt-PT"/>
        </w:rPr>
      </w:pPr>
    </w:p>
    <w:sectPr w:rsidR="00391D14" w:rsidRPr="00077E1C" w:rsidSect="00630584">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01883"/>
    <w:multiLevelType w:val="hybridMultilevel"/>
    <w:tmpl w:val="2822FE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60147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584"/>
    <w:rsid w:val="00013179"/>
    <w:rsid w:val="00077E1C"/>
    <w:rsid w:val="00391D14"/>
    <w:rsid w:val="004036EC"/>
    <w:rsid w:val="00455D92"/>
    <w:rsid w:val="0049727D"/>
    <w:rsid w:val="00525BEB"/>
    <w:rsid w:val="00630584"/>
    <w:rsid w:val="009D1CC3"/>
    <w:rsid w:val="00B304AD"/>
    <w:rsid w:val="00C614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92960"/>
  <w15:chartTrackingRefBased/>
  <w15:docId w15:val="{45C68B8F-DF59-814F-8E28-C5DC59177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30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30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3058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3058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3058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3058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3058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3058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3058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058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3058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3058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3058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3058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3058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3058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3058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30584"/>
    <w:rPr>
      <w:rFonts w:eastAsiaTheme="majorEastAsia" w:cstheme="majorBidi"/>
      <w:color w:val="272727" w:themeColor="text1" w:themeTint="D8"/>
    </w:rPr>
  </w:style>
  <w:style w:type="paragraph" w:styleId="Ttulo">
    <w:name w:val="Title"/>
    <w:basedOn w:val="Normal"/>
    <w:next w:val="Normal"/>
    <w:link w:val="TtuloCar"/>
    <w:uiPriority w:val="10"/>
    <w:qFormat/>
    <w:rsid w:val="0063058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305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3058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3058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3058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30584"/>
    <w:rPr>
      <w:i/>
      <w:iCs/>
      <w:color w:val="404040" w:themeColor="text1" w:themeTint="BF"/>
    </w:rPr>
  </w:style>
  <w:style w:type="paragraph" w:styleId="Prrafodelista">
    <w:name w:val="List Paragraph"/>
    <w:basedOn w:val="Normal"/>
    <w:uiPriority w:val="34"/>
    <w:qFormat/>
    <w:rsid w:val="00630584"/>
    <w:pPr>
      <w:ind w:left="720"/>
      <w:contextualSpacing/>
    </w:pPr>
  </w:style>
  <w:style w:type="character" w:styleId="nfasisintenso">
    <w:name w:val="Intense Emphasis"/>
    <w:basedOn w:val="Fuentedeprrafopredeter"/>
    <w:uiPriority w:val="21"/>
    <w:qFormat/>
    <w:rsid w:val="00630584"/>
    <w:rPr>
      <w:i/>
      <w:iCs/>
      <w:color w:val="0F4761" w:themeColor="accent1" w:themeShade="BF"/>
    </w:rPr>
  </w:style>
  <w:style w:type="paragraph" w:styleId="Citadestacada">
    <w:name w:val="Intense Quote"/>
    <w:basedOn w:val="Normal"/>
    <w:next w:val="Normal"/>
    <w:link w:val="CitadestacadaCar"/>
    <w:uiPriority w:val="30"/>
    <w:qFormat/>
    <w:rsid w:val="00630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30584"/>
    <w:rPr>
      <w:i/>
      <w:iCs/>
      <w:color w:val="0F4761" w:themeColor="accent1" w:themeShade="BF"/>
    </w:rPr>
  </w:style>
  <w:style w:type="character" w:styleId="Referenciaintensa">
    <w:name w:val="Intense Reference"/>
    <w:basedOn w:val="Fuentedeprrafopredeter"/>
    <w:uiPriority w:val="32"/>
    <w:qFormat/>
    <w:rsid w:val="00630584"/>
    <w:rPr>
      <w:b/>
      <w:bCs/>
      <w:smallCaps/>
      <w:color w:val="0F4761" w:themeColor="accent1" w:themeShade="BF"/>
      <w:spacing w:val="5"/>
    </w:rPr>
  </w:style>
  <w:style w:type="paragraph" w:styleId="NormalWeb">
    <w:name w:val="Normal (Web)"/>
    <w:basedOn w:val="Normal"/>
    <w:uiPriority w:val="99"/>
    <w:semiHidden/>
    <w:unhideWhenUsed/>
    <w:rsid w:val="00630584"/>
    <w:pPr>
      <w:spacing w:before="100" w:beforeAutospacing="1" w:after="100" w:afterAutospacing="1"/>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4C1C7F-5652-42D7-BDD6-22A373F4A0FD}"/>
</file>

<file path=customXml/itemProps2.xml><?xml version="1.0" encoding="utf-8"?>
<ds:datastoreItem xmlns:ds="http://schemas.openxmlformats.org/officeDocument/2006/customXml" ds:itemID="{1F4FF101-7B80-4A8F-B378-0E2120211BEB}"/>
</file>

<file path=customXml/itemProps3.xml><?xml version="1.0" encoding="utf-8"?>
<ds:datastoreItem xmlns:ds="http://schemas.openxmlformats.org/officeDocument/2006/customXml" ds:itemID="{9AD4FBE8-A784-4068-8C06-4C854A4D3196}"/>
</file>

<file path=docProps/app.xml><?xml version="1.0" encoding="utf-8"?>
<Properties xmlns="http://schemas.openxmlformats.org/officeDocument/2006/extended-properties" xmlns:vt="http://schemas.openxmlformats.org/officeDocument/2006/docPropsVTypes">
  <Template>Normal</Template>
  <TotalTime>4</TotalTime>
  <Pages>2</Pages>
  <Words>466</Words>
  <Characters>2566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Santiago Cely Mendoza</dc:creator>
  <cp:keywords/>
  <dc:description/>
  <cp:lastModifiedBy>Daniel Eduardo Lozano Bocanegra</cp:lastModifiedBy>
  <cp:revision>2</cp:revision>
  <dcterms:created xsi:type="dcterms:W3CDTF">2026-04-13T14:58:00Z</dcterms:created>
  <dcterms:modified xsi:type="dcterms:W3CDTF">2026-04-13T14:58:00Z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