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19EA2" w14:textId="4D083BAD" w:rsidR="00557B8D" w:rsidRPr="00557B8D" w:rsidRDefault="00557B8D" w:rsidP="00557B8D">
      <w:pPr>
        <w:shd w:val="clear" w:color="auto" w:fill="FFFFFF"/>
        <w:spacing w:after="240"/>
        <w:rPr>
          <w:rFonts w:ascii="Verdana" w:eastAsia="Verdana" w:hAnsi="Verdana" w:cs="Verdana"/>
          <w:lang w:val="pt-PT"/>
        </w:rPr>
      </w:pPr>
      <w:r w:rsidRPr="00557B8D">
        <w:rPr>
          <w:rFonts w:ascii="Verdana" w:eastAsia="Verdana" w:hAnsi="Verdana" w:cs="Verdana"/>
          <w:lang w:val="pt-PT"/>
        </w:rPr>
        <w:t>Nota: Circular D</w:t>
      </w:r>
      <w:r>
        <w:rPr>
          <w:rFonts w:ascii="Verdana" w:eastAsia="Verdana" w:hAnsi="Verdana" w:cs="Verdana"/>
          <w:lang w:val="pt-PT"/>
        </w:rPr>
        <w:t>erogada por la Circular 3 de 2023</w:t>
      </w:r>
    </w:p>
    <w:p w14:paraId="2F242C61" w14:textId="390B8ECA" w:rsidR="005948C2" w:rsidRPr="00557B8D" w:rsidRDefault="005730D2">
      <w:pPr>
        <w:shd w:val="clear" w:color="auto" w:fill="FFFFFF"/>
        <w:spacing w:after="240"/>
        <w:jc w:val="center"/>
        <w:rPr>
          <w:rFonts w:ascii="Verdana" w:eastAsia="Verdana" w:hAnsi="Verdana" w:cs="Verdana"/>
          <w:b/>
          <w:bCs/>
          <w:lang w:val="pt-PT"/>
        </w:rPr>
      </w:pPr>
      <w:r w:rsidRPr="00557B8D">
        <w:rPr>
          <w:rFonts w:ascii="Verdana" w:eastAsia="Verdana" w:hAnsi="Verdana" w:cs="Verdana"/>
          <w:b/>
          <w:bCs/>
          <w:lang w:val="pt-PT"/>
        </w:rPr>
        <w:t>CIRCULAR 1 DE 2014</w:t>
      </w:r>
    </w:p>
    <w:p w14:paraId="19C75F14" w14:textId="77777777" w:rsidR="005948C2" w:rsidRDefault="005730D2">
      <w:pPr>
        <w:shd w:val="clear" w:color="auto" w:fill="FFFFFF"/>
        <w:spacing w:after="24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(</w:t>
      </w:r>
      <w:proofErr w:type="gramStart"/>
      <w:r>
        <w:rPr>
          <w:rFonts w:ascii="Verdana" w:eastAsia="Verdana" w:hAnsi="Verdana" w:cs="Verdana"/>
        </w:rPr>
        <w:t>Septiembre</w:t>
      </w:r>
      <w:proofErr w:type="gramEnd"/>
      <w:r>
        <w:rPr>
          <w:rFonts w:ascii="Verdana" w:eastAsia="Verdana" w:hAnsi="Verdana" w:cs="Verdana"/>
        </w:rPr>
        <w:t xml:space="preserve"> 24)</w:t>
      </w:r>
    </w:p>
    <w:p w14:paraId="109753F1" w14:textId="77777777" w:rsidR="005948C2" w:rsidRDefault="005730D2">
      <w:pPr>
        <w:shd w:val="clear" w:color="auto" w:fill="FFFFFF"/>
        <w:spacing w:after="24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INSTITUTO COLOMBIANO DE BIENESTAR FAMILIAR – ICBF</w:t>
      </w:r>
    </w:p>
    <w:tbl>
      <w:tblPr>
        <w:tblStyle w:val="a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71"/>
        <w:gridCol w:w="7854"/>
      </w:tblGrid>
      <w:tr w:rsidR="005948C2" w14:paraId="2FD9FA07" w14:textId="77777777">
        <w:trPr>
          <w:trHeight w:val="240"/>
        </w:trPr>
        <w:tc>
          <w:tcPr>
            <w:tcW w:w="11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BF794" w14:textId="77777777" w:rsidR="005948C2" w:rsidRDefault="005730D2">
            <w:pPr>
              <w:shd w:val="clear" w:color="auto" w:fill="FFFFFF"/>
              <w:spacing w:line="245" w:lineRule="auto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Para:</w:t>
            </w:r>
          </w:p>
        </w:tc>
        <w:tc>
          <w:tcPr>
            <w:tcW w:w="78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5B6FD" w14:textId="77777777" w:rsidR="005948C2" w:rsidRDefault="005730D2">
            <w:pPr>
              <w:shd w:val="clear" w:color="auto" w:fill="FFFFFF"/>
              <w:spacing w:line="245" w:lineRule="auto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Directores, subdirectores, jefes de oficina y directores regionales</w:t>
            </w:r>
          </w:p>
        </w:tc>
      </w:tr>
      <w:tr w:rsidR="005948C2" w14:paraId="3BA2260C" w14:textId="77777777">
        <w:trPr>
          <w:trHeight w:val="240"/>
        </w:trPr>
        <w:tc>
          <w:tcPr>
            <w:tcW w:w="11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9AA85" w14:textId="77777777" w:rsidR="005948C2" w:rsidRDefault="005730D2">
            <w:pPr>
              <w:shd w:val="clear" w:color="auto" w:fill="FFFFFF"/>
              <w:spacing w:line="245" w:lineRule="auto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Asunto:</w:t>
            </w:r>
          </w:p>
        </w:tc>
        <w:tc>
          <w:tcPr>
            <w:tcW w:w="78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F9134" w14:textId="77777777" w:rsidR="005948C2" w:rsidRDefault="005730D2">
            <w:pPr>
              <w:shd w:val="clear" w:color="auto" w:fill="FFFFFF"/>
              <w:spacing w:line="245" w:lineRule="auto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Instrucciones para dar respuesta a requerimientos de entes de control y congreso de la república.</w:t>
            </w:r>
          </w:p>
        </w:tc>
      </w:tr>
    </w:tbl>
    <w:p w14:paraId="569A7001" w14:textId="77777777" w:rsidR="005948C2" w:rsidRDefault="005730D2">
      <w:pPr>
        <w:shd w:val="clear" w:color="auto" w:fill="FFFFFF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 </w:t>
      </w:r>
    </w:p>
    <w:p w14:paraId="7DC7B871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De manera atenta y con el fin de garantizar que los requerimientos realizados por los Entes de Control y el Congreso de la </w:t>
      </w:r>
      <w:proofErr w:type="gramStart"/>
      <w:r>
        <w:rPr>
          <w:rFonts w:ascii="Verdana" w:eastAsia="Verdana" w:hAnsi="Verdana" w:cs="Verdana"/>
        </w:rPr>
        <w:t>República,</w:t>
      </w:r>
      <w:proofErr w:type="gramEnd"/>
      <w:r>
        <w:rPr>
          <w:rFonts w:ascii="Verdana" w:eastAsia="Verdana" w:hAnsi="Verdana" w:cs="Verdana"/>
        </w:rPr>
        <w:t xml:space="preserve"> sean atendidos con oportunidad, pertinencia y certeza, se imparten las siguientes instrucciones respecto del procedimiento que se debe llevar a cabo desde su recepción hasta la radicación de las respuestas:</w:t>
      </w:r>
    </w:p>
    <w:p w14:paraId="71FBBE55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Requerimientos Entes de Control y Congreso de la República</w:t>
      </w:r>
    </w:p>
    <w:p w14:paraId="61C1C9AC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Todo requerimiento que ingrese al ICBF, proveniente de la Procuraduría General de la Nación, Procuraduría Delegada para los Derechos de la Infancia y la Adolescencia y el Congreso de la República y que este Dirigido a la Dirección General deberá ser direccionado por el Grupo de Gestión Documental de la Dirección Administrativa en la Sede de la Dirección General o quien haga sus veces en las Regionales, y por las Direcciones misionales que reciban electrónicamente los mismos, de manera inmediata a la Oficina Asesora Jurídica, quien se encargará de direccionarlos a las diferentes áreas dependiendo del asunto objeto del requerimiento o petición y su competencia.</w:t>
      </w:r>
    </w:p>
    <w:p w14:paraId="6262C2FE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</w:rPr>
        <w:t>Igualmente</w:t>
      </w:r>
      <w:proofErr w:type="gramEnd"/>
      <w:r>
        <w:rPr>
          <w:rFonts w:ascii="Verdana" w:eastAsia="Verdana" w:hAnsi="Verdana" w:cs="Verdana"/>
        </w:rPr>
        <w:t xml:space="preserve"> la Oficina Asesora Jurídica dará a conocer a la Subdirección General cuando el tema sea misional y a la </w:t>
      </w:r>
      <w:proofErr w:type="gramStart"/>
      <w:r>
        <w:rPr>
          <w:rFonts w:ascii="Verdana" w:eastAsia="Verdana" w:hAnsi="Verdana" w:cs="Verdana"/>
        </w:rPr>
        <w:t>Secretaria General</w:t>
      </w:r>
      <w:proofErr w:type="gramEnd"/>
      <w:r>
        <w:rPr>
          <w:rFonts w:ascii="Verdana" w:eastAsia="Verdana" w:hAnsi="Verdana" w:cs="Verdana"/>
        </w:rPr>
        <w:t xml:space="preserve"> cuando sea un asunto de apoyo, para que impartan las instrucciones que consideren necesarias para cada caso en concreto.</w:t>
      </w:r>
    </w:p>
    <w:p w14:paraId="01DF7F9E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Una vez el requerimiento sea direccionado a la Oficina Asesora Jurídica, ésta será la encargada de hacer seguimiento a las respuestas, vigilar el cumplimiento de los términos legales y la pertinencia y oportunidad de la información a remitir.</w:t>
      </w:r>
    </w:p>
    <w:p w14:paraId="762F6EBE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Para el efecto remitirá el requerimiento a las áreas competentes por medio electrónico, informando:</w:t>
      </w:r>
    </w:p>
    <w:p w14:paraId="14B85E86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1. La distribución de las preguntas entre las distintas áreas del instituto de acuerdo con su competencia.</w:t>
      </w:r>
    </w:p>
    <w:p w14:paraId="000EE9AA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2. El término para remitir el proyecto de respuesta, el cual será de un (1) día desde el recibo del requerimiento, para que el área misional o de apoyo envíe la información pertinente.</w:t>
      </w:r>
    </w:p>
    <w:p w14:paraId="5726CDF6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3. La Oficina Asesora jurídica realizará el control de legalidad y consolidación de documento de respuesta para firma de la Dirección General en el término de un (1) día.</w:t>
      </w:r>
    </w:p>
    <w:p w14:paraId="06B840D8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 En la eventualidad en que se requieran ajustes o aclaración de la información, los mismos se solicitaran de forma inmediata por la Oficina Asesora jurídica y en el mismo día el área competente deberá devolver el proyecto de respuesta con las aclaraciones o correcciones solicitadas.</w:t>
      </w:r>
    </w:p>
    <w:p w14:paraId="659C63DA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5. En todo caso los documentos de respuesta deben ser radicados en la Dirección General para la firma correspondiente con antelación mínima de dos (2) días a su vencimiento.</w:t>
      </w:r>
    </w:p>
    <w:p w14:paraId="3BAF83AD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La información que se remita a la Oficina Asesora Jurídica debe estar certificada por el </w:t>
      </w:r>
      <w:proofErr w:type="gramStart"/>
      <w:r>
        <w:rPr>
          <w:rFonts w:ascii="Verdana" w:eastAsia="Verdana" w:hAnsi="Verdana" w:cs="Verdana"/>
        </w:rPr>
        <w:t>Director</w:t>
      </w:r>
      <w:proofErr w:type="gramEnd"/>
      <w:r>
        <w:rPr>
          <w:rFonts w:ascii="Verdana" w:eastAsia="Verdana" w:hAnsi="Verdana" w:cs="Verdana"/>
        </w:rPr>
        <w:t xml:space="preserve"> o </w:t>
      </w:r>
      <w:proofErr w:type="gramStart"/>
      <w:r>
        <w:rPr>
          <w:rFonts w:ascii="Verdana" w:eastAsia="Verdana" w:hAnsi="Verdana" w:cs="Verdana"/>
        </w:rPr>
        <w:t>Jefe</w:t>
      </w:r>
      <w:proofErr w:type="gramEnd"/>
      <w:r>
        <w:rPr>
          <w:rFonts w:ascii="Verdana" w:eastAsia="Verdana" w:hAnsi="Verdana" w:cs="Verdana"/>
        </w:rPr>
        <w:t xml:space="preserve"> de Oficina competente y cumplir con criterios de certeza y oportunidad respecto de la materia del requerimiento.</w:t>
      </w:r>
    </w:p>
    <w:p w14:paraId="575B69C0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En todos los requerimientos donde se solicite información sobre presupuesto, programación y ejecución de metas sociales y financieras, la información deberá ser validada por la Dirección de Planeación y Control de Gestión.</w:t>
      </w:r>
    </w:p>
    <w:p w14:paraId="68F4C5C9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La presente Circular deroga las disposiciones que le sean contrarias relacionadas con el trámite de respuesta a las peticiones de Entes de Control y Congreso de la República, en especial las circulares Nos. 3 y 5 de 2012.</w:t>
      </w:r>
    </w:p>
    <w:p w14:paraId="1154A476" w14:textId="77777777" w:rsidR="005948C2" w:rsidRDefault="005730D2">
      <w:pPr>
        <w:shd w:val="clear" w:color="auto" w:fill="FFFFFF"/>
        <w:spacing w:after="24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Cordial saludo,</w:t>
      </w:r>
    </w:p>
    <w:p w14:paraId="773600AE" w14:textId="77777777" w:rsidR="005948C2" w:rsidRDefault="005730D2">
      <w:pPr>
        <w:shd w:val="clear" w:color="auto" w:fill="FFFFFF"/>
        <w:spacing w:after="240"/>
        <w:jc w:val="center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CRISTINA PLAZAS MICHELSEN</w:t>
      </w:r>
    </w:p>
    <w:p w14:paraId="6DC50DCB" w14:textId="77777777" w:rsidR="005948C2" w:rsidRDefault="005730D2">
      <w:pPr>
        <w:shd w:val="clear" w:color="auto" w:fill="FFFFFF"/>
        <w:spacing w:after="24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Directora General</w:t>
      </w:r>
    </w:p>
    <w:p w14:paraId="3BAF04E1" w14:textId="77777777" w:rsidR="005948C2" w:rsidRDefault="005948C2">
      <w:pPr>
        <w:rPr>
          <w:rFonts w:ascii="Verdana" w:eastAsia="Verdana" w:hAnsi="Verdana" w:cs="Verdana"/>
        </w:rPr>
      </w:pPr>
    </w:p>
    <w:p w14:paraId="445B0760" w14:textId="77777777" w:rsidR="005948C2" w:rsidRDefault="005948C2">
      <w:pPr>
        <w:rPr>
          <w:rFonts w:ascii="Verdana" w:eastAsia="Verdana" w:hAnsi="Verdana" w:cs="Verdana"/>
        </w:rPr>
      </w:pPr>
    </w:p>
    <w:sectPr w:rsidR="005948C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869D0367-EBF9-49F4-BE1D-BAE723A1FF8F}"/>
    <w:embedBold r:id="rId2" w:fontKey="{A9CC9E83-2EE5-423C-B40E-FCFA2A5A9D7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D746A6C-6553-450C-BA9A-135E778DBF1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68518C4-F1FC-4E29-966A-1425B005DF8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8C2"/>
    <w:rsid w:val="000D1DB8"/>
    <w:rsid w:val="00141908"/>
    <w:rsid w:val="00557B8D"/>
    <w:rsid w:val="005730D2"/>
    <w:rsid w:val="005948C2"/>
    <w:rsid w:val="0063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1279C"/>
  <w15:docId w15:val="{8F9F949A-1643-4875-B51C-A6E49FA2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08C58B39498E4896A2054B5FC01AEB" ma:contentTypeVersion="3" ma:contentTypeDescription="Crear nuevo documento." ma:contentTypeScope="" ma:versionID="b4d173dae77e0f6cefc0a12b2bbb2e99">
  <xsd:schema xmlns:xsd="http://www.w3.org/2001/XMLSchema" xmlns:xs="http://www.w3.org/2001/XMLSchema" xmlns:p="http://schemas.microsoft.com/office/2006/metadata/properties" xmlns:ns2="83b6216f-50ca-4067-8039-c588814c8876" targetNamespace="http://schemas.microsoft.com/office/2006/metadata/properties" ma:root="true" ma:fieldsID="eca3e6bf47cf396c8fb42fde65a041b6" ns2:_="">
    <xsd:import namespace="83b6216f-50ca-4067-8039-c588814c88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b6216f-50ca-4067-8039-c588814c8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D02DB-B1A1-4137-BB00-6562114BFE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2404AF-E8A4-4E87-A077-B00C64B8AD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0F7006-9456-490E-9D60-CA1A246373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b6216f-50ca-4067-8039-c588814c8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Eduardo Lozano Bocanegra</dc:creator>
  <cp:lastModifiedBy>Daniel Eduardo Lozano Bocanegra</cp:lastModifiedBy>
  <cp:revision>2</cp:revision>
  <dcterms:created xsi:type="dcterms:W3CDTF">2026-09-02T20:36:00Z</dcterms:created>
  <dcterms:modified xsi:type="dcterms:W3CDTF">2026-09-02T20:36:00Z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0x0101002C08C58B39498E4896A2054B5FC01AEB</vt:lpwstr>
  </property>
</Properties>
</file>