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38FE" w14:textId="77777777" w:rsidR="0082776D" w:rsidRPr="0082776D" w:rsidRDefault="0082776D" w:rsidP="0082776D">
      <w:pPr>
        <w:jc w:val="center"/>
        <w:rPr>
          <w:rFonts w:ascii="Verdana" w:hAnsi="Verdana"/>
          <w:sz w:val="22"/>
          <w:szCs w:val="22"/>
        </w:rPr>
      </w:pPr>
      <w:r w:rsidRPr="0082776D">
        <w:rPr>
          <w:rFonts w:ascii="Verdana" w:hAnsi="Verdana"/>
          <w:b/>
          <w:bCs/>
          <w:sz w:val="22"/>
          <w:szCs w:val="22"/>
        </w:rPr>
        <w:t>CIRCULAR 1 DE 2006</w:t>
      </w:r>
    </w:p>
    <w:p w14:paraId="277C4E67" w14:textId="77777777" w:rsidR="0082776D" w:rsidRPr="0082776D" w:rsidRDefault="0082776D" w:rsidP="0082776D">
      <w:pPr>
        <w:jc w:val="center"/>
        <w:rPr>
          <w:rFonts w:ascii="Verdana" w:hAnsi="Verdana"/>
          <w:sz w:val="22"/>
          <w:szCs w:val="22"/>
        </w:rPr>
      </w:pPr>
      <w:r w:rsidRPr="0082776D">
        <w:rPr>
          <w:rFonts w:ascii="Verdana" w:hAnsi="Verdana"/>
          <w:sz w:val="22"/>
          <w:szCs w:val="22"/>
        </w:rPr>
        <w:t>(23 enero)</w:t>
      </w:r>
    </w:p>
    <w:p w14:paraId="1CF59496" w14:textId="77777777" w:rsidR="0082776D" w:rsidRPr="0082776D" w:rsidRDefault="0082776D" w:rsidP="0082776D">
      <w:pPr>
        <w:jc w:val="center"/>
        <w:rPr>
          <w:rFonts w:ascii="Verdana" w:hAnsi="Verdana"/>
          <w:sz w:val="22"/>
          <w:szCs w:val="22"/>
        </w:rPr>
      </w:pPr>
      <w:r w:rsidRPr="0082776D">
        <w:rPr>
          <w:rFonts w:ascii="Verdana" w:hAnsi="Verdana"/>
          <w:b/>
          <w:bCs/>
          <w:sz w:val="22"/>
          <w:szCs w:val="22"/>
        </w:rPr>
        <w:t>INSTITUTO COLOMBIANO DE BIENESTAR FAMILIAR</w:t>
      </w:r>
    </w:p>
    <w:p w14:paraId="67DEBF1D" w14:textId="77777777" w:rsidR="0082776D" w:rsidRPr="0082776D" w:rsidRDefault="0082776D" w:rsidP="0082776D">
      <w:pPr>
        <w:jc w:val="both"/>
        <w:rPr>
          <w:rFonts w:ascii="Verdana" w:hAnsi="Verdana"/>
          <w:sz w:val="22"/>
          <w:szCs w:val="22"/>
        </w:rPr>
      </w:pPr>
      <w:r w:rsidRPr="0082776D">
        <w:rPr>
          <w:rFonts w:ascii="Verdana" w:hAnsi="Verdana"/>
          <w:sz w:val="22"/>
          <w:szCs w:val="22"/>
        </w:rPr>
        <w:t>Para:</w:t>
      </w:r>
      <w:r w:rsidRPr="0082776D">
        <w:rPr>
          <w:rFonts w:ascii="Verdana" w:hAnsi="Verdana"/>
          <w:sz w:val="22"/>
          <w:szCs w:val="22"/>
        </w:rPr>
        <w:tab/>
        <w:t>Directores, coordinadores y analistas de presupuesto de regionales y agencias.</w:t>
      </w:r>
    </w:p>
    <w:p w14:paraId="13D91AD2" w14:textId="67569F90" w:rsidR="0082776D" w:rsidRDefault="0082776D" w:rsidP="0082776D">
      <w:pPr>
        <w:jc w:val="both"/>
        <w:rPr>
          <w:rFonts w:ascii="Verdana" w:hAnsi="Verdana"/>
          <w:sz w:val="22"/>
          <w:szCs w:val="22"/>
        </w:rPr>
      </w:pPr>
      <w:r w:rsidRPr="0082776D">
        <w:rPr>
          <w:rFonts w:ascii="Verdana" w:hAnsi="Verdana"/>
          <w:sz w:val="22"/>
          <w:szCs w:val="22"/>
        </w:rPr>
        <w:t>Asunto:</w:t>
      </w:r>
      <w:r w:rsidRPr="0082776D">
        <w:rPr>
          <w:rFonts w:ascii="Verdana" w:hAnsi="Verdana"/>
          <w:sz w:val="22"/>
          <w:szCs w:val="22"/>
        </w:rPr>
        <w:tab/>
        <w:t xml:space="preserve">Cumplimiento ley de </w:t>
      </w:r>
      <w:proofErr w:type="spellStart"/>
      <w:r w:rsidRPr="0082776D">
        <w:rPr>
          <w:rFonts w:ascii="Verdana" w:hAnsi="Verdana"/>
          <w:sz w:val="22"/>
          <w:szCs w:val="22"/>
        </w:rPr>
        <w:t>garantias</w:t>
      </w:r>
      <w:proofErr w:type="spellEnd"/>
      <w:r w:rsidRPr="0082776D">
        <w:rPr>
          <w:rFonts w:ascii="Verdana" w:hAnsi="Verdana"/>
          <w:sz w:val="22"/>
          <w:szCs w:val="22"/>
        </w:rPr>
        <w:t xml:space="preserve"> y registro presupuestal de contratos</w:t>
      </w:r>
    </w:p>
    <w:p w14:paraId="3036B89A" w14:textId="4E5AFE42" w:rsidR="0082776D" w:rsidRPr="0082776D" w:rsidRDefault="0082776D" w:rsidP="0082776D">
      <w:pPr>
        <w:jc w:val="both"/>
        <w:rPr>
          <w:rFonts w:ascii="Verdana" w:hAnsi="Verdana"/>
          <w:sz w:val="22"/>
          <w:szCs w:val="22"/>
        </w:rPr>
      </w:pPr>
      <w:r w:rsidRPr="0082776D">
        <w:rPr>
          <w:rFonts w:ascii="Verdana" w:hAnsi="Verdana"/>
          <w:sz w:val="22"/>
          <w:szCs w:val="22"/>
        </w:rPr>
        <w:t xml:space="preserve">La Ley No. 996 de noviembre 24 de 2005, mediante la cual se reglamenta la elección del </w:t>
      </w:r>
      <w:proofErr w:type="gramStart"/>
      <w:r w:rsidRPr="0082776D">
        <w:rPr>
          <w:rFonts w:ascii="Verdana" w:hAnsi="Verdana"/>
          <w:sz w:val="22"/>
          <w:szCs w:val="22"/>
        </w:rPr>
        <w:t>Presidente</w:t>
      </w:r>
      <w:proofErr w:type="gramEnd"/>
      <w:r w:rsidRPr="0082776D">
        <w:rPr>
          <w:rFonts w:ascii="Verdana" w:hAnsi="Verdana"/>
          <w:sz w:val="22"/>
          <w:szCs w:val="22"/>
        </w:rPr>
        <w:t xml:space="preserve"> de la República, establece en el Artículo 33° lo siguiente: </w:t>
      </w:r>
      <w:r w:rsidRPr="0082776D">
        <w:rPr>
          <w:rFonts w:ascii="Verdana" w:hAnsi="Verdana"/>
          <w:b/>
          <w:bCs/>
          <w:i/>
          <w:iCs/>
          <w:sz w:val="22"/>
          <w:szCs w:val="22"/>
        </w:rPr>
        <w:t>“Restricciones a la contratación pública</w:t>
      </w:r>
      <w:r w:rsidRPr="0082776D">
        <w:rPr>
          <w:rFonts w:ascii="Verdana" w:hAnsi="Verdana"/>
          <w:i/>
          <w:iCs/>
          <w:sz w:val="22"/>
          <w:szCs w:val="22"/>
        </w:rPr>
        <w:t>. Durante los cuatro (4) meses anteriores a la elección Presidencial y hasta la realización de la elección en la segunda vuelta, si fuera el caso, queda prohibida la contratación directa por parte de los entes del Estado”.</w:t>
      </w:r>
    </w:p>
    <w:p w14:paraId="3E54C137" w14:textId="387E093F" w:rsidR="0082776D" w:rsidRPr="0082776D" w:rsidRDefault="0082776D" w:rsidP="0082776D">
      <w:pPr>
        <w:jc w:val="both"/>
        <w:rPr>
          <w:rFonts w:ascii="Verdana" w:hAnsi="Verdana"/>
          <w:sz w:val="22"/>
          <w:szCs w:val="22"/>
        </w:rPr>
      </w:pPr>
      <w:r w:rsidRPr="0082776D">
        <w:rPr>
          <w:rFonts w:ascii="Verdana" w:hAnsi="Verdana"/>
          <w:sz w:val="22"/>
          <w:szCs w:val="22"/>
        </w:rPr>
        <w:t>El Artículo </w:t>
      </w:r>
      <w:r w:rsidRPr="0082776D">
        <w:rPr>
          <w:rFonts w:ascii="Verdana" w:hAnsi="Verdana"/>
          <w:i/>
          <w:iCs/>
          <w:sz w:val="22"/>
          <w:szCs w:val="22"/>
        </w:rPr>
        <w:t>71° </w:t>
      </w:r>
      <w:r w:rsidRPr="0082776D">
        <w:rPr>
          <w:rFonts w:ascii="Verdana" w:hAnsi="Verdana"/>
          <w:sz w:val="22"/>
          <w:szCs w:val="22"/>
        </w:rPr>
        <w:t>del Decreto 111 de </w:t>
      </w:r>
      <w:r w:rsidRPr="0082776D">
        <w:rPr>
          <w:rFonts w:ascii="Verdana" w:hAnsi="Verdana"/>
          <w:i/>
          <w:iCs/>
          <w:sz w:val="22"/>
          <w:szCs w:val="22"/>
        </w:rPr>
        <w:t>1996, </w:t>
      </w:r>
      <w:r w:rsidRPr="0082776D">
        <w:rPr>
          <w:rFonts w:ascii="Verdana" w:hAnsi="Verdana"/>
          <w:sz w:val="22"/>
          <w:szCs w:val="22"/>
        </w:rPr>
        <w:t>que compila el Estatuto Orgánico de Presupuesto señala: </w:t>
      </w:r>
      <w:r w:rsidRPr="0082776D">
        <w:rPr>
          <w:rFonts w:ascii="Verdana" w:hAnsi="Verdana"/>
          <w:i/>
          <w:iCs/>
          <w:sz w:val="22"/>
          <w:szCs w:val="22"/>
        </w:rPr>
        <w:t>“Todos los actos administrativos que afecten las apropiaciones presupuestales deberán contar con certificados de disponibilidad presupuestal previos que garanticen la existencia de apropiación suficiente para atender estos pagos. Igualmente, estos compromisos deberán contar con registro presupuestal para que los recursos con él financiados no sean desviados a ningún otro fin...”</w:t>
      </w:r>
    </w:p>
    <w:p w14:paraId="54853515" w14:textId="44056FA2" w:rsidR="0082776D" w:rsidRPr="0082776D" w:rsidRDefault="0082776D" w:rsidP="0082776D">
      <w:pPr>
        <w:jc w:val="both"/>
        <w:rPr>
          <w:rFonts w:ascii="Verdana" w:hAnsi="Verdana"/>
          <w:sz w:val="22"/>
          <w:szCs w:val="22"/>
        </w:rPr>
      </w:pPr>
      <w:r w:rsidRPr="0082776D">
        <w:rPr>
          <w:rFonts w:ascii="Verdana" w:hAnsi="Verdana"/>
          <w:sz w:val="22"/>
          <w:szCs w:val="22"/>
        </w:rPr>
        <w:t>El Artículo </w:t>
      </w:r>
      <w:r w:rsidRPr="0082776D">
        <w:rPr>
          <w:rFonts w:ascii="Verdana" w:hAnsi="Verdana"/>
          <w:i/>
          <w:iCs/>
          <w:sz w:val="22"/>
          <w:szCs w:val="22"/>
        </w:rPr>
        <w:t>19</w:t>
      </w:r>
      <w:r w:rsidRPr="0082776D">
        <w:rPr>
          <w:rFonts w:ascii="Verdana" w:hAnsi="Verdana"/>
          <w:sz w:val="22"/>
          <w:szCs w:val="22"/>
        </w:rPr>
        <w:t> del Decreto No. 4730 del 28 de diciembre de 2005, ordena: </w:t>
      </w:r>
      <w:r w:rsidRPr="0082776D">
        <w:rPr>
          <w:rFonts w:ascii="Verdana" w:hAnsi="Verdana"/>
          <w:i/>
          <w:iCs/>
          <w:sz w:val="22"/>
          <w:szCs w:val="22"/>
        </w:rPr>
        <w:t>“Los compromisos presupuestales, requieren para su perfeccionamiento del registro presupuestal”.</w:t>
      </w:r>
    </w:p>
    <w:p w14:paraId="15523D8C" w14:textId="77777777" w:rsidR="0082776D" w:rsidRPr="0082776D" w:rsidRDefault="0082776D" w:rsidP="0082776D">
      <w:pPr>
        <w:jc w:val="both"/>
        <w:rPr>
          <w:rFonts w:ascii="Verdana" w:hAnsi="Verdana"/>
          <w:sz w:val="22"/>
          <w:szCs w:val="22"/>
        </w:rPr>
      </w:pPr>
      <w:r w:rsidRPr="0082776D">
        <w:rPr>
          <w:rFonts w:ascii="Verdana" w:hAnsi="Verdana"/>
          <w:sz w:val="22"/>
          <w:szCs w:val="22"/>
        </w:rPr>
        <w:t xml:space="preserve">Teniendo en cuenta lo anterior, los contratos deben quedar firmados y con registro presupuestal de la fecha de la suscripción, para su perfeccionamiento. La responsabilidad directa del cumplimiento de este </w:t>
      </w:r>
      <w:proofErr w:type="gramStart"/>
      <w:r w:rsidRPr="0082776D">
        <w:rPr>
          <w:rFonts w:ascii="Verdana" w:hAnsi="Verdana"/>
          <w:sz w:val="22"/>
          <w:szCs w:val="22"/>
        </w:rPr>
        <w:t>requisito,</w:t>
      </w:r>
      <w:proofErr w:type="gramEnd"/>
      <w:r w:rsidRPr="0082776D">
        <w:rPr>
          <w:rFonts w:ascii="Verdana" w:hAnsi="Verdana"/>
          <w:sz w:val="22"/>
          <w:szCs w:val="22"/>
        </w:rPr>
        <w:t xml:space="preserve"> reside en los </w:t>
      </w:r>
      <w:proofErr w:type="gramStart"/>
      <w:r w:rsidRPr="0082776D">
        <w:rPr>
          <w:rFonts w:ascii="Verdana" w:hAnsi="Verdana"/>
          <w:sz w:val="22"/>
          <w:szCs w:val="22"/>
        </w:rPr>
        <w:t>Directores Regionales</w:t>
      </w:r>
      <w:proofErr w:type="gramEnd"/>
      <w:r w:rsidRPr="0082776D">
        <w:rPr>
          <w:rFonts w:ascii="Verdana" w:hAnsi="Verdana"/>
          <w:sz w:val="22"/>
          <w:szCs w:val="22"/>
        </w:rPr>
        <w:t xml:space="preserve"> y de Agencia.</w:t>
      </w:r>
    </w:p>
    <w:p w14:paraId="0F0FF250" w14:textId="417581E0" w:rsidR="0082776D" w:rsidRPr="0082776D" w:rsidRDefault="0082776D" w:rsidP="0082776D">
      <w:pPr>
        <w:jc w:val="both"/>
        <w:rPr>
          <w:rFonts w:ascii="Verdana" w:hAnsi="Verdana"/>
          <w:sz w:val="22"/>
          <w:szCs w:val="22"/>
        </w:rPr>
      </w:pPr>
      <w:r w:rsidRPr="0082776D">
        <w:rPr>
          <w:rFonts w:ascii="Verdana" w:hAnsi="Verdana"/>
          <w:sz w:val="22"/>
          <w:szCs w:val="22"/>
        </w:rPr>
        <w:t>Con el propósito de adelantar el seguimiento estricto al cumplimiento de la Ley 996 de 2005, comedidamente me permito solicitar a cada Director Regional o de Agencia, gestionar lo pertinente para que los Coordinadores Administrativos y /o Financieros y/o los Analistas de Presupuesto, remitan a la Dirección Financiera el día 28 de enero del año en curso, vía fax, copia del último Registro Presupuestal expedido y firmado en virtud del proceso de contratación adelantado hasta el 27 de enero de 2006.</w:t>
      </w:r>
    </w:p>
    <w:p w14:paraId="71CFA15B" w14:textId="77777777" w:rsidR="0082776D" w:rsidRPr="0082776D" w:rsidRDefault="0082776D" w:rsidP="0082776D">
      <w:pPr>
        <w:jc w:val="both"/>
        <w:rPr>
          <w:rFonts w:ascii="Verdana" w:hAnsi="Verdana"/>
          <w:sz w:val="22"/>
          <w:szCs w:val="22"/>
        </w:rPr>
      </w:pPr>
      <w:r w:rsidRPr="0082776D">
        <w:rPr>
          <w:rFonts w:ascii="Verdana" w:hAnsi="Verdana"/>
          <w:sz w:val="22"/>
          <w:szCs w:val="22"/>
        </w:rPr>
        <w:t>La Dirección Financiera y la Subdirección de Sistemas dispondrán lo pertinente para establecer la verificación y el control para el cumplimiento de esta circular.</w:t>
      </w:r>
    </w:p>
    <w:p w14:paraId="456E0609" w14:textId="77777777" w:rsidR="0082776D" w:rsidRPr="0082776D" w:rsidRDefault="0082776D" w:rsidP="0082776D">
      <w:pPr>
        <w:jc w:val="both"/>
        <w:rPr>
          <w:rFonts w:ascii="Verdana" w:hAnsi="Verdana"/>
          <w:sz w:val="22"/>
          <w:szCs w:val="22"/>
        </w:rPr>
      </w:pPr>
      <w:r w:rsidRPr="0082776D">
        <w:rPr>
          <w:rFonts w:ascii="Verdana" w:hAnsi="Verdana"/>
          <w:sz w:val="22"/>
          <w:szCs w:val="22"/>
        </w:rPr>
        <w:lastRenderedPageBreak/>
        <w:t>La fecha de cierre presupuestal continúa como está establecido, debiendo estar en la Dirección Financiera el 1° de febrero de 2006, el Informe de Ejecución Presupuestal del mes de enero de 2006.</w:t>
      </w:r>
    </w:p>
    <w:p w14:paraId="28EA695A" w14:textId="77777777" w:rsidR="0082776D" w:rsidRPr="0082776D" w:rsidRDefault="0082776D" w:rsidP="0082776D">
      <w:pPr>
        <w:rPr>
          <w:rFonts w:ascii="Verdana" w:hAnsi="Verdana"/>
          <w:sz w:val="22"/>
          <w:szCs w:val="22"/>
        </w:rPr>
      </w:pPr>
      <w:r w:rsidRPr="0082776D">
        <w:rPr>
          <w:rFonts w:ascii="Verdana" w:hAnsi="Verdana"/>
          <w:sz w:val="22"/>
          <w:szCs w:val="22"/>
        </w:rPr>
        <w:t>Cordialmente,</w:t>
      </w:r>
    </w:p>
    <w:p w14:paraId="43D8729E" w14:textId="77777777" w:rsidR="0082776D" w:rsidRPr="0082776D" w:rsidRDefault="0082776D" w:rsidP="0082776D">
      <w:pPr>
        <w:jc w:val="center"/>
        <w:rPr>
          <w:rFonts w:ascii="Verdana" w:hAnsi="Verdana"/>
          <w:sz w:val="22"/>
          <w:szCs w:val="22"/>
        </w:rPr>
      </w:pPr>
      <w:r w:rsidRPr="0082776D">
        <w:rPr>
          <w:rFonts w:ascii="Verdana" w:hAnsi="Verdana"/>
          <w:b/>
          <w:bCs/>
          <w:sz w:val="22"/>
          <w:szCs w:val="22"/>
        </w:rPr>
        <w:t>BEATRÍZ LONDOÑO SOTO</w:t>
      </w:r>
    </w:p>
    <w:p w14:paraId="61B1F7D4" w14:textId="77777777" w:rsidR="0082776D" w:rsidRPr="0082776D" w:rsidRDefault="0082776D" w:rsidP="0082776D">
      <w:pPr>
        <w:jc w:val="center"/>
        <w:rPr>
          <w:rFonts w:ascii="Verdana" w:hAnsi="Verdana"/>
          <w:sz w:val="22"/>
          <w:szCs w:val="22"/>
        </w:rPr>
      </w:pPr>
      <w:r w:rsidRPr="0082776D">
        <w:rPr>
          <w:rFonts w:ascii="Verdana" w:hAnsi="Verdana"/>
          <w:sz w:val="22"/>
          <w:szCs w:val="22"/>
        </w:rPr>
        <w:t>Directora General</w:t>
      </w:r>
    </w:p>
    <w:p w14:paraId="227B99E3" w14:textId="77777777" w:rsidR="0082776D" w:rsidRPr="0082776D" w:rsidRDefault="0082776D">
      <w:pPr>
        <w:rPr>
          <w:rFonts w:ascii="Verdana" w:hAnsi="Verdana"/>
          <w:sz w:val="22"/>
          <w:szCs w:val="22"/>
        </w:rPr>
      </w:pPr>
    </w:p>
    <w:sectPr w:rsidR="0082776D" w:rsidRPr="008277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6D"/>
    <w:rsid w:val="00403D67"/>
    <w:rsid w:val="008277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868F"/>
  <w15:chartTrackingRefBased/>
  <w15:docId w15:val="{06505BA0-6B88-42C6-862D-2D2CF785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7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7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7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7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7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7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7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7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7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77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77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77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77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77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77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77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776D"/>
    <w:rPr>
      <w:rFonts w:eastAsiaTheme="majorEastAsia" w:cstheme="majorBidi"/>
      <w:color w:val="272727" w:themeColor="text1" w:themeTint="D8"/>
    </w:rPr>
  </w:style>
  <w:style w:type="paragraph" w:styleId="Ttulo">
    <w:name w:val="Title"/>
    <w:basedOn w:val="Normal"/>
    <w:next w:val="Normal"/>
    <w:link w:val="TtuloCar"/>
    <w:uiPriority w:val="10"/>
    <w:qFormat/>
    <w:rsid w:val="00827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7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77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7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776D"/>
    <w:pPr>
      <w:spacing w:before="160"/>
      <w:jc w:val="center"/>
    </w:pPr>
    <w:rPr>
      <w:i/>
      <w:iCs/>
      <w:color w:val="404040" w:themeColor="text1" w:themeTint="BF"/>
    </w:rPr>
  </w:style>
  <w:style w:type="character" w:customStyle="1" w:styleId="CitaCar">
    <w:name w:val="Cita Car"/>
    <w:basedOn w:val="Fuentedeprrafopredeter"/>
    <w:link w:val="Cita"/>
    <w:uiPriority w:val="29"/>
    <w:rsid w:val="0082776D"/>
    <w:rPr>
      <w:i/>
      <w:iCs/>
      <w:color w:val="404040" w:themeColor="text1" w:themeTint="BF"/>
    </w:rPr>
  </w:style>
  <w:style w:type="paragraph" w:styleId="Prrafodelista">
    <w:name w:val="List Paragraph"/>
    <w:basedOn w:val="Normal"/>
    <w:uiPriority w:val="34"/>
    <w:qFormat/>
    <w:rsid w:val="0082776D"/>
    <w:pPr>
      <w:ind w:left="720"/>
      <w:contextualSpacing/>
    </w:pPr>
  </w:style>
  <w:style w:type="character" w:styleId="nfasisintenso">
    <w:name w:val="Intense Emphasis"/>
    <w:basedOn w:val="Fuentedeprrafopredeter"/>
    <w:uiPriority w:val="21"/>
    <w:qFormat/>
    <w:rsid w:val="0082776D"/>
    <w:rPr>
      <w:i/>
      <w:iCs/>
      <w:color w:val="0F4761" w:themeColor="accent1" w:themeShade="BF"/>
    </w:rPr>
  </w:style>
  <w:style w:type="paragraph" w:styleId="Citadestacada">
    <w:name w:val="Intense Quote"/>
    <w:basedOn w:val="Normal"/>
    <w:next w:val="Normal"/>
    <w:link w:val="CitadestacadaCar"/>
    <w:uiPriority w:val="30"/>
    <w:qFormat/>
    <w:rsid w:val="00827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76D"/>
    <w:rPr>
      <w:i/>
      <w:iCs/>
      <w:color w:val="0F4761" w:themeColor="accent1" w:themeShade="BF"/>
    </w:rPr>
  </w:style>
  <w:style w:type="character" w:styleId="Referenciaintensa">
    <w:name w:val="Intense Reference"/>
    <w:basedOn w:val="Fuentedeprrafopredeter"/>
    <w:uiPriority w:val="32"/>
    <w:qFormat/>
    <w:rsid w:val="0082776D"/>
    <w:rPr>
      <w:b/>
      <w:bCs/>
      <w:smallCaps/>
      <w:color w:val="0F4761" w:themeColor="accent1" w:themeShade="BF"/>
      <w:spacing w:val="5"/>
    </w:rPr>
  </w:style>
  <w:style w:type="character" w:styleId="Hipervnculo">
    <w:name w:val="Hyperlink"/>
    <w:basedOn w:val="Fuentedeprrafopredeter"/>
    <w:uiPriority w:val="99"/>
    <w:unhideWhenUsed/>
    <w:rsid w:val="0082776D"/>
    <w:rPr>
      <w:color w:val="467886" w:themeColor="hyperlink"/>
      <w:u w:val="single"/>
    </w:rPr>
  </w:style>
  <w:style w:type="character" w:styleId="Mencinsinresolver">
    <w:name w:val="Unresolved Mention"/>
    <w:basedOn w:val="Fuentedeprrafopredeter"/>
    <w:uiPriority w:val="99"/>
    <w:semiHidden/>
    <w:unhideWhenUsed/>
    <w:rsid w:val="0082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FBABE-16B2-41FC-978E-58FD874E34C4}"/>
</file>

<file path=customXml/itemProps2.xml><?xml version="1.0" encoding="utf-8"?>
<ds:datastoreItem xmlns:ds="http://schemas.openxmlformats.org/officeDocument/2006/customXml" ds:itemID="{31B0A507-75DC-4B8B-941E-7923AC0147CA}"/>
</file>

<file path=customXml/itemProps3.xml><?xml version="1.0" encoding="utf-8"?>
<ds:datastoreItem xmlns:ds="http://schemas.openxmlformats.org/officeDocument/2006/customXml" ds:itemID="{2A0D7A6E-6341-4AEA-8FC5-CC4FF5166635}"/>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2106</Characters>
  <Application>Microsoft Office Word</Application>
  <DocSecurity>0</DocSecurity>
  <Lines>45</Lines>
  <Paragraphs>28</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2026-02-05T14:06:00Z</dcterms:created>
  <dcterms:modified xsi:type="dcterms:W3CDTF">2026-02-05T14:16:00Z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