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DB0D" w14:textId="275660AF" w:rsidR="000B4793" w:rsidRDefault="00C21B70" w:rsidP="00C21B70">
      <w:pPr>
        <w:jc w:val="center"/>
        <w:rPr>
          <w:rFonts w:ascii="Verdana" w:hAnsi="Verdana"/>
          <w:b/>
          <w:bCs/>
        </w:rPr>
      </w:pPr>
      <w:r w:rsidRPr="00C21B70">
        <w:rPr>
          <w:rFonts w:ascii="Verdana" w:hAnsi="Verdana"/>
          <w:b/>
          <w:bCs/>
        </w:rPr>
        <w:t>ACUERDO 5 DE 2002</w:t>
      </w:r>
    </w:p>
    <w:p w14:paraId="0896FB97" w14:textId="50C2507D" w:rsidR="00C21B70" w:rsidRPr="001D73CA" w:rsidRDefault="00C21B70" w:rsidP="00C21B70">
      <w:pPr>
        <w:rPr>
          <w:rFonts w:ascii="Verdana" w:hAnsi="Verdana"/>
          <w:sz w:val="20"/>
          <w:szCs w:val="20"/>
        </w:rPr>
      </w:pPr>
      <w:r w:rsidRPr="001D73CA">
        <w:rPr>
          <w:rFonts w:ascii="Verdana" w:hAnsi="Verdana"/>
          <w:sz w:val="20"/>
          <w:szCs w:val="20"/>
        </w:rPr>
        <w:t xml:space="preserve">Fecha de Expedición: </w:t>
      </w:r>
      <w:r w:rsidRPr="00C21B70">
        <w:rPr>
          <w:rFonts w:ascii="Verdana" w:hAnsi="Verdana"/>
          <w:sz w:val="20"/>
          <w:szCs w:val="20"/>
        </w:rPr>
        <w:t xml:space="preserve">3 de abril </w:t>
      </w:r>
      <w:r w:rsidRPr="001D73CA">
        <w:rPr>
          <w:rFonts w:ascii="Verdana" w:hAnsi="Verdana"/>
          <w:sz w:val="20"/>
          <w:szCs w:val="20"/>
        </w:rPr>
        <w:t xml:space="preserve">de </w:t>
      </w:r>
      <w:r>
        <w:rPr>
          <w:rFonts w:ascii="Verdana" w:hAnsi="Verdana"/>
          <w:sz w:val="20"/>
          <w:szCs w:val="20"/>
        </w:rPr>
        <w:t>2002</w:t>
      </w:r>
    </w:p>
    <w:p w14:paraId="233E837C" w14:textId="573E28BF" w:rsidR="00C21B70" w:rsidRPr="001D73CA" w:rsidRDefault="00C21B70" w:rsidP="00C21B70">
      <w:pPr>
        <w:rPr>
          <w:rFonts w:ascii="Verdana" w:hAnsi="Verdana"/>
          <w:sz w:val="20"/>
          <w:szCs w:val="20"/>
        </w:rPr>
      </w:pPr>
      <w:r w:rsidRPr="001D73CA">
        <w:rPr>
          <w:rFonts w:ascii="Verdana" w:hAnsi="Verdana"/>
          <w:sz w:val="20"/>
          <w:szCs w:val="20"/>
        </w:rPr>
        <w:t xml:space="preserve">Fecha de entrada en vigencia: </w:t>
      </w:r>
      <w:r w:rsidRPr="00C21B70">
        <w:rPr>
          <w:rFonts w:ascii="Verdana" w:hAnsi="Verdana"/>
          <w:sz w:val="20"/>
          <w:szCs w:val="20"/>
        </w:rPr>
        <w:t>3 de abril</w:t>
      </w:r>
      <w:r w:rsidRPr="00C21B70">
        <w:rPr>
          <w:rFonts w:ascii="Verdana" w:hAnsi="Verdana"/>
          <w:sz w:val="20"/>
          <w:szCs w:val="20"/>
        </w:rPr>
        <w:t xml:space="preserve"> </w:t>
      </w:r>
      <w:r w:rsidRPr="001D73CA">
        <w:rPr>
          <w:rFonts w:ascii="Verdana" w:hAnsi="Verdana"/>
          <w:sz w:val="20"/>
          <w:szCs w:val="20"/>
        </w:rPr>
        <w:t xml:space="preserve">de </w:t>
      </w:r>
      <w:r>
        <w:rPr>
          <w:rFonts w:ascii="Verdana" w:hAnsi="Verdana"/>
          <w:sz w:val="20"/>
          <w:szCs w:val="20"/>
        </w:rPr>
        <w:t>2002</w:t>
      </w:r>
    </w:p>
    <w:p w14:paraId="3046E54B" w14:textId="77777777" w:rsidR="00C21B70" w:rsidRPr="001D73CA" w:rsidRDefault="00C21B70" w:rsidP="00C21B70">
      <w:pPr>
        <w:rPr>
          <w:rFonts w:ascii="Verdana" w:hAnsi="Verdana"/>
          <w:sz w:val="20"/>
          <w:szCs w:val="20"/>
        </w:rPr>
      </w:pPr>
      <w:r w:rsidRPr="001D73CA">
        <w:rPr>
          <w:rFonts w:ascii="Verdana" w:hAnsi="Verdana"/>
          <w:sz w:val="20"/>
          <w:szCs w:val="20"/>
        </w:rPr>
        <w:t xml:space="preserve">Estado de la vigencia: </w:t>
      </w:r>
      <w:r>
        <w:rPr>
          <w:rFonts w:ascii="Verdana" w:hAnsi="Verdana"/>
          <w:sz w:val="20"/>
          <w:szCs w:val="20"/>
        </w:rPr>
        <w:t>Vigente.</w:t>
      </w:r>
    </w:p>
    <w:p w14:paraId="2AD73F65" w14:textId="77777777" w:rsidR="00C21B70" w:rsidRPr="001D73CA" w:rsidRDefault="00C21B70" w:rsidP="00C21B70">
      <w:pPr>
        <w:rPr>
          <w:rFonts w:ascii="Verdana" w:hAnsi="Verdana"/>
          <w:sz w:val="20"/>
          <w:szCs w:val="20"/>
        </w:rPr>
      </w:pPr>
      <w:r w:rsidRPr="001D73CA">
        <w:rPr>
          <w:rFonts w:ascii="Verdana" w:hAnsi="Verdana"/>
          <w:sz w:val="20"/>
          <w:szCs w:val="20"/>
        </w:rPr>
        <w:t xml:space="preserve"> </w:t>
      </w:r>
    </w:p>
    <w:p w14:paraId="1EA7D4AB" w14:textId="77777777" w:rsidR="00C21B70" w:rsidRPr="001D73CA" w:rsidRDefault="00C21B70" w:rsidP="00C21B70">
      <w:pPr>
        <w:rPr>
          <w:rFonts w:ascii="Verdana" w:hAnsi="Verdana"/>
          <w:sz w:val="20"/>
          <w:szCs w:val="20"/>
        </w:rPr>
      </w:pPr>
      <w:r w:rsidRPr="001D73CA">
        <w:rPr>
          <w:rFonts w:ascii="Verdana" w:hAnsi="Verdana"/>
          <w:sz w:val="20"/>
          <w:szCs w:val="20"/>
        </w:rPr>
        <w:t>Fecha de publicación en Diario Oficial: N/A</w:t>
      </w:r>
    </w:p>
    <w:p w14:paraId="279668D5" w14:textId="77777777" w:rsidR="00C21B70" w:rsidRPr="001D73CA" w:rsidRDefault="00C21B70" w:rsidP="00C21B70">
      <w:pPr>
        <w:rPr>
          <w:rFonts w:ascii="Verdana" w:hAnsi="Verdana"/>
          <w:sz w:val="20"/>
          <w:szCs w:val="20"/>
        </w:rPr>
      </w:pPr>
      <w:r w:rsidRPr="001D73CA">
        <w:rPr>
          <w:rFonts w:ascii="Verdana" w:hAnsi="Verdana"/>
          <w:sz w:val="20"/>
          <w:szCs w:val="20"/>
        </w:rPr>
        <w:t>Número del Diario Oficial: N/A</w:t>
      </w:r>
    </w:p>
    <w:p w14:paraId="07DD4A35" w14:textId="0CCEF6A7" w:rsidR="00C21B70" w:rsidRPr="00C21B70" w:rsidRDefault="00C21B70" w:rsidP="00C21B70">
      <w:pPr>
        <w:jc w:val="center"/>
        <w:rPr>
          <w:rFonts w:ascii="Verdana" w:hAnsi="Verdana"/>
          <w:b/>
          <w:bCs/>
        </w:rPr>
      </w:pPr>
      <w:r w:rsidRPr="00C21B70">
        <w:rPr>
          <w:rFonts w:ascii="Verdana" w:hAnsi="Verdana"/>
          <w:b/>
          <w:bCs/>
        </w:rPr>
        <w:t>ACUERDO 5 DE 2002</w:t>
      </w:r>
    </w:p>
    <w:p w14:paraId="0BFE7A1F" w14:textId="043C2D1A" w:rsidR="00C21B70" w:rsidRPr="00C21B70" w:rsidRDefault="00C21B70" w:rsidP="00C21B70">
      <w:pPr>
        <w:jc w:val="center"/>
        <w:rPr>
          <w:rFonts w:ascii="Verdana" w:hAnsi="Verdana"/>
        </w:rPr>
      </w:pPr>
      <w:r w:rsidRPr="00C21B70">
        <w:rPr>
          <w:rFonts w:ascii="Verdana" w:hAnsi="Verdana"/>
        </w:rPr>
        <w:t>(</w:t>
      </w:r>
      <w:r>
        <w:rPr>
          <w:rFonts w:ascii="Verdana" w:hAnsi="Verdana"/>
        </w:rPr>
        <w:t xml:space="preserve">3 de </w:t>
      </w:r>
      <w:r w:rsidRPr="00C21B70">
        <w:rPr>
          <w:rFonts w:ascii="Verdana" w:hAnsi="Verdana"/>
        </w:rPr>
        <w:t>abril)</w:t>
      </w:r>
    </w:p>
    <w:p w14:paraId="56DE49E1" w14:textId="139B0448" w:rsidR="00C21B70" w:rsidRPr="00C21B70" w:rsidRDefault="00C21B70" w:rsidP="00C21B70">
      <w:pPr>
        <w:jc w:val="center"/>
        <w:rPr>
          <w:rFonts w:ascii="Verdana" w:hAnsi="Verdana"/>
          <w:b/>
          <w:bCs/>
        </w:rPr>
      </w:pPr>
      <w:r w:rsidRPr="00C21B70">
        <w:rPr>
          <w:rFonts w:ascii="Verdana" w:hAnsi="Verdana"/>
          <w:b/>
          <w:bCs/>
        </w:rPr>
        <w:t>INSTITUTO COLOMBIANO DE BIENESTAR FAMILIAR</w:t>
      </w:r>
    </w:p>
    <w:p w14:paraId="2E0B25E7" w14:textId="3CFFFCB9" w:rsidR="00C21B70" w:rsidRPr="00C21B70" w:rsidRDefault="00C21B70" w:rsidP="00C21B70">
      <w:pPr>
        <w:jc w:val="center"/>
        <w:rPr>
          <w:rFonts w:ascii="Verdana" w:hAnsi="Verdana"/>
        </w:rPr>
      </w:pPr>
      <w:r w:rsidRPr="00C21B70">
        <w:rPr>
          <w:rFonts w:ascii="Verdana" w:hAnsi="Verdana"/>
        </w:rPr>
        <w:t>“Por el cual se fija la tasa compensatoria y se dictan otras disposiciones para la atención integral al menor de 7 años en Hogares Infantiles”</w:t>
      </w:r>
    </w:p>
    <w:p w14:paraId="7FE75164" w14:textId="438F1262" w:rsidR="00C21B70" w:rsidRPr="00C21B70" w:rsidRDefault="00C21B70" w:rsidP="00C21B70">
      <w:pPr>
        <w:jc w:val="center"/>
        <w:rPr>
          <w:rFonts w:ascii="Verdana" w:hAnsi="Verdana"/>
          <w:b/>
          <w:bCs/>
        </w:rPr>
      </w:pPr>
      <w:r w:rsidRPr="00C21B70">
        <w:rPr>
          <w:rFonts w:ascii="Verdana" w:hAnsi="Verdana"/>
          <w:b/>
          <w:bCs/>
        </w:rPr>
        <w:t>EL CONSEJO DIRECTIVO DEL INSTITUTO COLOMBIANO DE BIENESTAR</w:t>
      </w:r>
    </w:p>
    <w:p w14:paraId="3DB7DCCF" w14:textId="62C116E3" w:rsidR="00C21B70" w:rsidRPr="00C21B70" w:rsidRDefault="00C21B70" w:rsidP="00C21B70">
      <w:pPr>
        <w:jc w:val="center"/>
        <w:rPr>
          <w:rFonts w:ascii="Verdana" w:hAnsi="Verdana"/>
          <w:b/>
          <w:bCs/>
        </w:rPr>
      </w:pPr>
      <w:r w:rsidRPr="00C21B70">
        <w:rPr>
          <w:rFonts w:ascii="Verdana" w:hAnsi="Verdana"/>
          <w:b/>
          <w:bCs/>
        </w:rPr>
        <w:t>FAMILIAR</w:t>
      </w:r>
    </w:p>
    <w:p w14:paraId="5416ADD9" w14:textId="2497E1C7" w:rsidR="00C21B70" w:rsidRPr="00C21B70" w:rsidRDefault="00C21B70" w:rsidP="00C21B70">
      <w:pPr>
        <w:jc w:val="center"/>
        <w:rPr>
          <w:rFonts w:ascii="Verdana" w:hAnsi="Verdana"/>
        </w:rPr>
      </w:pPr>
      <w:r w:rsidRPr="00C21B70">
        <w:rPr>
          <w:rFonts w:ascii="Verdana" w:hAnsi="Verdana"/>
        </w:rPr>
        <w:t>En uso de sus facultades legales y estatutarias y</w:t>
      </w:r>
    </w:p>
    <w:p w14:paraId="37C7EFE4" w14:textId="71BD4490" w:rsidR="00C21B70" w:rsidRDefault="00C21B70" w:rsidP="00C21B70">
      <w:pPr>
        <w:jc w:val="center"/>
        <w:rPr>
          <w:rFonts w:ascii="Verdana" w:hAnsi="Verdana"/>
          <w:b/>
          <w:bCs/>
        </w:rPr>
      </w:pPr>
      <w:r w:rsidRPr="00C21B70">
        <w:rPr>
          <w:rFonts w:ascii="Verdana" w:hAnsi="Verdana"/>
          <w:b/>
          <w:bCs/>
        </w:rPr>
        <w:t>CONSIDERANDO:</w:t>
      </w:r>
    </w:p>
    <w:p w14:paraId="5C926757" w14:textId="626F5F8F" w:rsidR="00C21B70" w:rsidRPr="00C21B70" w:rsidRDefault="00C21B70" w:rsidP="00C21B70">
      <w:pPr>
        <w:jc w:val="both"/>
        <w:rPr>
          <w:rFonts w:ascii="Verdana" w:hAnsi="Verdana"/>
        </w:rPr>
      </w:pPr>
      <w:r w:rsidRPr="00C21B70">
        <w:rPr>
          <w:rFonts w:ascii="Verdana" w:hAnsi="Verdana"/>
        </w:rPr>
        <w:t>Que el Decreto 2388 de 1979, en su artículo 69 (modificado por el Decreto 0599 de 1988), fija las bases sobre las cuales el Consejo Directivo debe definir el valor de las tasas compensatorias para la Atención Integral al Preescolar en Hogares Infantiles.</w:t>
      </w:r>
    </w:p>
    <w:p w14:paraId="69B97722" w14:textId="65B1EDA1" w:rsidR="00C21B70" w:rsidRPr="00C21B70" w:rsidRDefault="00C21B70" w:rsidP="00C21B70">
      <w:pPr>
        <w:jc w:val="both"/>
        <w:rPr>
          <w:rFonts w:ascii="Verdana" w:hAnsi="Verdana"/>
        </w:rPr>
      </w:pPr>
      <w:r w:rsidRPr="00C21B70">
        <w:rPr>
          <w:rFonts w:ascii="Verdana" w:hAnsi="Verdana"/>
        </w:rPr>
        <w:t>Que es función del Consejo Directivo, según lo dispuesto en la Ley 7ª de 1979, artículo 26, literal g, fijar la participación económica para la atención integral al preescolar en los Hogares Infantiles.</w:t>
      </w:r>
    </w:p>
    <w:p w14:paraId="59033D27" w14:textId="75F61CEA" w:rsidR="00C21B70" w:rsidRPr="00C21B70" w:rsidRDefault="00C21B70" w:rsidP="00C21B70">
      <w:pPr>
        <w:jc w:val="both"/>
        <w:rPr>
          <w:rFonts w:ascii="Verdana" w:hAnsi="Verdana"/>
        </w:rPr>
      </w:pPr>
      <w:r w:rsidRPr="00C21B70">
        <w:rPr>
          <w:rFonts w:ascii="Verdana" w:hAnsi="Verdana"/>
        </w:rPr>
        <w:t>Que mediante Acuerdo 023 del 19 de noviembre de 2001, el Consejo Directivo revocó el Acuerdo No. 011 de 1993, que fijaba las tasas compensatorias para los usuarios de los Hogares Infantiles.</w:t>
      </w:r>
    </w:p>
    <w:p w14:paraId="0433523E" w14:textId="7DC03EA1" w:rsidR="00C21B70" w:rsidRPr="00C21B70" w:rsidRDefault="00C21B70" w:rsidP="00C21B70">
      <w:pPr>
        <w:jc w:val="both"/>
        <w:rPr>
          <w:rFonts w:ascii="Verdana" w:hAnsi="Verdana"/>
        </w:rPr>
      </w:pPr>
      <w:r w:rsidRPr="00C21B70">
        <w:rPr>
          <w:rFonts w:ascii="Verdana" w:hAnsi="Verdana"/>
        </w:rPr>
        <w:t>Que se hace necesario nivelar y ajustar progresivamente las tasas compensatorias de acuerdo al estudio diagnóstico realizado por el Instituto Colombiano de Bienestar Familiar en el año 2001.</w:t>
      </w:r>
    </w:p>
    <w:p w14:paraId="160BDD39" w14:textId="532FAFFB" w:rsidR="00C21B70" w:rsidRPr="00C21B70" w:rsidRDefault="00C21B70" w:rsidP="00C21B70">
      <w:pPr>
        <w:jc w:val="both"/>
        <w:rPr>
          <w:rFonts w:ascii="Verdana" w:hAnsi="Verdana"/>
        </w:rPr>
      </w:pPr>
      <w:r w:rsidRPr="00C21B70">
        <w:rPr>
          <w:rFonts w:ascii="Verdana" w:hAnsi="Verdana"/>
        </w:rPr>
        <w:t>Que de conformidad con los considerandos anteriores se hace necesario expedir el Acuerdo que regule el cobro de tasas compensatorias en los Hogares Infantiles.</w:t>
      </w:r>
    </w:p>
    <w:p w14:paraId="0F841036" w14:textId="677F1602" w:rsidR="00C21B70" w:rsidRPr="00C21B70" w:rsidRDefault="00C21B70" w:rsidP="00C21B70">
      <w:pPr>
        <w:jc w:val="both"/>
        <w:rPr>
          <w:rFonts w:ascii="Verdana" w:hAnsi="Verdana"/>
        </w:rPr>
      </w:pPr>
      <w:proofErr w:type="gramStart"/>
      <w:r w:rsidRPr="00C21B70">
        <w:rPr>
          <w:rFonts w:ascii="Verdana" w:hAnsi="Verdana"/>
        </w:rPr>
        <w:t>Que</w:t>
      </w:r>
      <w:proofErr w:type="gramEnd"/>
      <w:r w:rsidRPr="00C21B70">
        <w:rPr>
          <w:rFonts w:ascii="Verdana" w:hAnsi="Verdana"/>
        </w:rPr>
        <w:t xml:space="preserve"> en mérito de lo expuesto,</w:t>
      </w:r>
    </w:p>
    <w:p w14:paraId="28C49C6C" w14:textId="117C452A" w:rsidR="00C21B70" w:rsidRPr="00C21B70" w:rsidRDefault="00C21B70" w:rsidP="00C21B70">
      <w:pPr>
        <w:jc w:val="center"/>
        <w:rPr>
          <w:rFonts w:ascii="Verdana" w:hAnsi="Verdana"/>
          <w:b/>
          <w:bCs/>
        </w:rPr>
      </w:pPr>
      <w:r w:rsidRPr="00C21B70">
        <w:rPr>
          <w:rFonts w:ascii="Verdana" w:hAnsi="Verdana"/>
          <w:b/>
          <w:bCs/>
        </w:rPr>
        <w:t>ACUERDA:</w:t>
      </w:r>
    </w:p>
    <w:p w14:paraId="510F307D" w14:textId="0F527598" w:rsidR="00C21B70" w:rsidRPr="00C21B70" w:rsidRDefault="00C21B70" w:rsidP="00C21B70">
      <w:pPr>
        <w:jc w:val="both"/>
        <w:rPr>
          <w:rFonts w:ascii="Verdana" w:hAnsi="Verdana"/>
        </w:rPr>
      </w:pPr>
      <w:r w:rsidRPr="00C21B70">
        <w:rPr>
          <w:rFonts w:ascii="Verdana" w:hAnsi="Verdana"/>
          <w:b/>
          <w:bCs/>
        </w:rPr>
        <w:lastRenderedPageBreak/>
        <w:t xml:space="preserve">ARTÍCULO </w:t>
      </w:r>
      <w:r w:rsidRPr="00C21B70">
        <w:rPr>
          <w:rFonts w:ascii="Verdana" w:hAnsi="Verdana"/>
          <w:b/>
          <w:bCs/>
        </w:rPr>
        <w:t>1o</w:t>
      </w:r>
      <w:r w:rsidRPr="00C21B70">
        <w:rPr>
          <w:rFonts w:ascii="Verdana" w:hAnsi="Verdana"/>
        </w:rPr>
        <w:t>. La tasa compensatoria de los padres o personas responsables del cuidado de los niños usuarios de los Hogares Infantiles no podrá ser diferente a la resultante de aplicar la siguiente tabla tomando como base los ingresos familiares y el salario mínimo legal mensual vigente.</w:t>
      </w:r>
    </w:p>
    <w:p w14:paraId="04FC4E23" w14:textId="5171B544" w:rsidR="00C21B70" w:rsidRPr="00C21B70" w:rsidRDefault="00C21B70" w:rsidP="00C21B70">
      <w:pPr>
        <w:jc w:val="both"/>
        <w:rPr>
          <w:rFonts w:ascii="Verdana" w:hAnsi="Verdana"/>
          <w:b/>
          <w:bCs/>
        </w:rPr>
      </w:pPr>
      <w:r w:rsidRPr="00C21B70">
        <w:rPr>
          <w:rFonts w:ascii="Verdana" w:hAnsi="Verdana"/>
          <w:b/>
          <w:bCs/>
        </w:rPr>
        <w:t>AÑO 2002</w:t>
      </w:r>
    </w:p>
    <w:tbl>
      <w:tblPr>
        <w:tblStyle w:val="Tablaconcuadrcula"/>
        <w:tblW w:w="4750" w:type="pct"/>
        <w:tblLook w:val="04A0" w:firstRow="1" w:lastRow="0" w:firstColumn="1" w:lastColumn="0" w:noHBand="0" w:noVBand="1"/>
      </w:tblPr>
      <w:tblGrid>
        <w:gridCol w:w="1288"/>
        <w:gridCol w:w="4346"/>
        <w:gridCol w:w="2753"/>
      </w:tblGrid>
      <w:tr w:rsidR="00C21B70" w:rsidRPr="00C21B70" w14:paraId="426256EA" w14:textId="77777777" w:rsidTr="00C21B70">
        <w:tc>
          <w:tcPr>
            <w:tcW w:w="750" w:type="pct"/>
            <w:hideMark/>
          </w:tcPr>
          <w:p w14:paraId="45D79766" w14:textId="77777777" w:rsidR="00C21B70" w:rsidRPr="00C21B70" w:rsidRDefault="00C21B70" w:rsidP="00C21B70">
            <w:pPr>
              <w:spacing w:after="160" w:line="259" w:lineRule="auto"/>
              <w:jc w:val="both"/>
              <w:rPr>
                <w:rFonts w:ascii="Verdana" w:hAnsi="Verdana"/>
              </w:rPr>
            </w:pPr>
            <w:r w:rsidRPr="00C21B70">
              <w:rPr>
                <w:rFonts w:ascii="Verdana" w:hAnsi="Verdana"/>
                <w:b/>
                <w:bCs/>
              </w:rPr>
              <w:t>NIVELES</w:t>
            </w:r>
          </w:p>
        </w:tc>
        <w:tc>
          <w:tcPr>
            <w:tcW w:w="2600" w:type="pct"/>
            <w:hideMark/>
          </w:tcPr>
          <w:p w14:paraId="7AD7FA42" w14:textId="77777777" w:rsidR="00C21B70" w:rsidRPr="00C21B70" w:rsidRDefault="00C21B70" w:rsidP="00C21B70">
            <w:pPr>
              <w:spacing w:after="160" w:line="259" w:lineRule="auto"/>
              <w:jc w:val="both"/>
              <w:rPr>
                <w:rFonts w:ascii="Verdana" w:hAnsi="Verdana"/>
              </w:rPr>
            </w:pPr>
            <w:r w:rsidRPr="00C21B70">
              <w:rPr>
                <w:rFonts w:ascii="Verdana" w:hAnsi="Verdana"/>
                <w:b/>
                <w:bCs/>
              </w:rPr>
              <w:t>INGRESOS FAMILIARES EN SALARIOS</w:t>
            </w:r>
          </w:p>
        </w:tc>
        <w:tc>
          <w:tcPr>
            <w:tcW w:w="1650" w:type="pct"/>
            <w:hideMark/>
          </w:tcPr>
          <w:p w14:paraId="4AA8A22C" w14:textId="77777777" w:rsidR="00C21B70" w:rsidRPr="00C21B70" w:rsidRDefault="00C21B70" w:rsidP="00C21B70">
            <w:pPr>
              <w:spacing w:after="160" w:line="259" w:lineRule="auto"/>
              <w:jc w:val="both"/>
              <w:rPr>
                <w:rFonts w:ascii="Verdana" w:hAnsi="Verdana"/>
              </w:rPr>
            </w:pPr>
            <w:r w:rsidRPr="00C21B70">
              <w:rPr>
                <w:rFonts w:ascii="Verdana" w:hAnsi="Verdana"/>
                <w:b/>
                <w:bCs/>
              </w:rPr>
              <w:t>PORCENTAJE DE TASA COMPENSATORIA</w:t>
            </w:r>
          </w:p>
        </w:tc>
      </w:tr>
      <w:tr w:rsidR="00C21B70" w:rsidRPr="00C21B70" w14:paraId="5FF29D92" w14:textId="77777777" w:rsidTr="00C21B70">
        <w:tc>
          <w:tcPr>
            <w:tcW w:w="750" w:type="pct"/>
            <w:hideMark/>
          </w:tcPr>
          <w:p w14:paraId="51AD1C2F" w14:textId="77777777" w:rsidR="00C21B70" w:rsidRPr="00C21B70" w:rsidRDefault="00C21B70" w:rsidP="00C21B70">
            <w:pPr>
              <w:spacing w:after="160" w:line="259" w:lineRule="auto"/>
              <w:jc w:val="both"/>
              <w:rPr>
                <w:rFonts w:ascii="Verdana" w:hAnsi="Verdana"/>
              </w:rPr>
            </w:pPr>
            <w:r w:rsidRPr="00C21B70">
              <w:rPr>
                <w:rFonts w:ascii="Verdana" w:hAnsi="Verdana"/>
              </w:rPr>
              <w:t>1</w:t>
            </w:r>
          </w:p>
        </w:tc>
        <w:tc>
          <w:tcPr>
            <w:tcW w:w="2600" w:type="pct"/>
            <w:hideMark/>
          </w:tcPr>
          <w:p w14:paraId="791F145B" w14:textId="77777777" w:rsidR="00C21B70" w:rsidRPr="00C21B70" w:rsidRDefault="00C21B70" w:rsidP="00C21B70">
            <w:pPr>
              <w:spacing w:after="160" w:line="259" w:lineRule="auto"/>
              <w:jc w:val="both"/>
              <w:rPr>
                <w:rFonts w:ascii="Verdana" w:hAnsi="Verdana"/>
              </w:rPr>
            </w:pPr>
            <w:r w:rsidRPr="00C21B70">
              <w:rPr>
                <w:rFonts w:ascii="Verdana" w:hAnsi="Verdana"/>
              </w:rPr>
              <w:t>Sin ingreso y hasta 1 S.M.L.</w:t>
            </w:r>
            <w:proofErr w:type="gramStart"/>
            <w:r w:rsidRPr="00C21B70">
              <w:rPr>
                <w:rFonts w:ascii="Verdana" w:hAnsi="Verdana"/>
              </w:rPr>
              <w:t>M.V</w:t>
            </w:r>
            <w:proofErr w:type="gramEnd"/>
          </w:p>
        </w:tc>
        <w:tc>
          <w:tcPr>
            <w:tcW w:w="1650" w:type="pct"/>
            <w:hideMark/>
          </w:tcPr>
          <w:p w14:paraId="385CECBB" w14:textId="77777777" w:rsidR="00C21B70" w:rsidRPr="00C21B70" w:rsidRDefault="00C21B70" w:rsidP="00C21B70">
            <w:pPr>
              <w:spacing w:after="160" w:line="259" w:lineRule="auto"/>
              <w:jc w:val="both"/>
              <w:rPr>
                <w:rFonts w:ascii="Verdana" w:hAnsi="Verdana"/>
              </w:rPr>
            </w:pPr>
            <w:r w:rsidRPr="00C21B70">
              <w:rPr>
                <w:rFonts w:ascii="Verdana" w:hAnsi="Verdana"/>
              </w:rPr>
              <w:t>Entre 1.5% y 6.0%</w:t>
            </w:r>
          </w:p>
        </w:tc>
      </w:tr>
      <w:tr w:rsidR="00C21B70" w:rsidRPr="00C21B70" w14:paraId="1CE93613" w14:textId="77777777" w:rsidTr="00C21B70">
        <w:tc>
          <w:tcPr>
            <w:tcW w:w="750" w:type="pct"/>
            <w:hideMark/>
          </w:tcPr>
          <w:p w14:paraId="7993C97F" w14:textId="77777777" w:rsidR="00C21B70" w:rsidRPr="00C21B70" w:rsidRDefault="00C21B70" w:rsidP="00C21B70">
            <w:pPr>
              <w:spacing w:after="160" w:line="259" w:lineRule="auto"/>
              <w:jc w:val="both"/>
              <w:rPr>
                <w:rFonts w:ascii="Verdana" w:hAnsi="Verdana"/>
              </w:rPr>
            </w:pPr>
            <w:r w:rsidRPr="00C21B70">
              <w:rPr>
                <w:rFonts w:ascii="Verdana" w:hAnsi="Verdana"/>
              </w:rPr>
              <w:t>2</w:t>
            </w:r>
          </w:p>
        </w:tc>
        <w:tc>
          <w:tcPr>
            <w:tcW w:w="2600" w:type="pct"/>
            <w:hideMark/>
          </w:tcPr>
          <w:p w14:paraId="35A5F6B6" w14:textId="77777777" w:rsidR="00C21B70" w:rsidRPr="00C21B70" w:rsidRDefault="00C21B70" w:rsidP="00C21B70">
            <w:pPr>
              <w:spacing w:after="160" w:line="259" w:lineRule="auto"/>
              <w:jc w:val="both"/>
              <w:rPr>
                <w:rFonts w:ascii="Verdana" w:hAnsi="Verdana"/>
              </w:rPr>
            </w:pPr>
            <w:r w:rsidRPr="00C21B70">
              <w:rPr>
                <w:rFonts w:ascii="Verdana" w:hAnsi="Verdana"/>
              </w:rPr>
              <w:t>Más de 1 S.M.L.M.V y hasta 2 S.M.L.</w:t>
            </w:r>
            <w:proofErr w:type="gramStart"/>
            <w:r w:rsidRPr="00C21B70">
              <w:rPr>
                <w:rFonts w:ascii="Verdana" w:hAnsi="Verdana"/>
              </w:rPr>
              <w:t>M.V</w:t>
            </w:r>
            <w:proofErr w:type="gramEnd"/>
          </w:p>
        </w:tc>
        <w:tc>
          <w:tcPr>
            <w:tcW w:w="1650" w:type="pct"/>
            <w:hideMark/>
          </w:tcPr>
          <w:p w14:paraId="3AF67B69" w14:textId="77777777" w:rsidR="00C21B70" w:rsidRPr="00C21B70" w:rsidRDefault="00C21B70" w:rsidP="00C21B70">
            <w:pPr>
              <w:spacing w:after="160" w:line="259" w:lineRule="auto"/>
              <w:jc w:val="both"/>
              <w:rPr>
                <w:rFonts w:ascii="Verdana" w:hAnsi="Verdana"/>
              </w:rPr>
            </w:pPr>
            <w:r w:rsidRPr="00C21B70">
              <w:rPr>
                <w:rFonts w:ascii="Verdana" w:hAnsi="Verdana"/>
              </w:rPr>
              <w:t>Entre 2.0% y 7.0%</w:t>
            </w:r>
          </w:p>
        </w:tc>
      </w:tr>
      <w:tr w:rsidR="00C21B70" w:rsidRPr="00C21B70" w14:paraId="2BFF9A14" w14:textId="77777777" w:rsidTr="00C21B70">
        <w:tc>
          <w:tcPr>
            <w:tcW w:w="750" w:type="pct"/>
            <w:hideMark/>
          </w:tcPr>
          <w:p w14:paraId="39CC42F5" w14:textId="77777777" w:rsidR="00C21B70" w:rsidRPr="00C21B70" w:rsidRDefault="00C21B70" w:rsidP="00C21B70">
            <w:pPr>
              <w:spacing w:after="160" w:line="259" w:lineRule="auto"/>
              <w:jc w:val="both"/>
              <w:rPr>
                <w:rFonts w:ascii="Verdana" w:hAnsi="Verdana"/>
              </w:rPr>
            </w:pPr>
            <w:r w:rsidRPr="00C21B70">
              <w:rPr>
                <w:rFonts w:ascii="Verdana" w:hAnsi="Verdana"/>
              </w:rPr>
              <w:t>3</w:t>
            </w:r>
          </w:p>
        </w:tc>
        <w:tc>
          <w:tcPr>
            <w:tcW w:w="2600" w:type="pct"/>
            <w:hideMark/>
          </w:tcPr>
          <w:p w14:paraId="6C31727D" w14:textId="77777777" w:rsidR="00C21B70" w:rsidRPr="00C21B70" w:rsidRDefault="00C21B70" w:rsidP="00C21B70">
            <w:pPr>
              <w:spacing w:after="160" w:line="259" w:lineRule="auto"/>
              <w:jc w:val="both"/>
              <w:rPr>
                <w:rFonts w:ascii="Verdana" w:hAnsi="Verdana"/>
              </w:rPr>
            </w:pPr>
            <w:r w:rsidRPr="00C21B70">
              <w:rPr>
                <w:rFonts w:ascii="Verdana" w:hAnsi="Verdana"/>
              </w:rPr>
              <w:t>Más de 2 S.M.L.M.V y hasta 3 S.M.L.</w:t>
            </w:r>
            <w:proofErr w:type="gramStart"/>
            <w:r w:rsidRPr="00C21B70">
              <w:rPr>
                <w:rFonts w:ascii="Verdana" w:hAnsi="Verdana"/>
              </w:rPr>
              <w:t>M.V</w:t>
            </w:r>
            <w:proofErr w:type="gramEnd"/>
          </w:p>
        </w:tc>
        <w:tc>
          <w:tcPr>
            <w:tcW w:w="1650" w:type="pct"/>
            <w:hideMark/>
          </w:tcPr>
          <w:p w14:paraId="40021C2C" w14:textId="77777777" w:rsidR="00C21B70" w:rsidRPr="00C21B70" w:rsidRDefault="00C21B70" w:rsidP="00C21B70">
            <w:pPr>
              <w:spacing w:after="160" w:line="259" w:lineRule="auto"/>
              <w:jc w:val="both"/>
              <w:rPr>
                <w:rFonts w:ascii="Verdana" w:hAnsi="Verdana"/>
              </w:rPr>
            </w:pPr>
            <w:r w:rsidRPr="00C21B70">
              <w:rPr>
                <w:rFonts w:ascii="Verdana" w:hAnsi="Verdana"/>
              </w:rPr>
              <w:t>Entre 2.5% y 7.0%</w:t>
            </w:r>
          </w:p>
        </w:tc>
      </w:tr>
      <w:tr w:rsidR="00C21B70" w:rsidRPr="00C21B70" w14:paraId="04F9FCAA" w14:textId="77777777" w:rsidTr="00C21B70">
        <w:tc>
          <w:tcPr>
            <w:tcW w:w="750" w:type="pct"/>
            <w:hideMark/>
          </w:tcPr>
          <w:p w14:paraId="07C6BFCB" w14:textId="77777777" w:rsidR="00C21B70" w:rsidRPr="00C21B70" w:rsidRDefault="00C21B70" w:rsidP="00C21B70">
            <w:pPr>
              <w:spacing w:after="160" w:line="259" w:lineRule="auto"/>
              <w:jc w:val="both"/>
              <w:rPr>
                <w:rFonts w:ascii="Verdana" w:hAnsi="Verdana"/>
              </w:rPr>
            </w:pPr>
            <w:r w:rsidRPr="00C21B70">
              <w:rPr>
                <w:rFonts w:ascii="Verdana" w:hAnsi="Verdana"/>
              </w:rPr>
              <w:t>4</w:t>
            </w:r>
          </w:p>
        </w:tc>
        <w:tc>
          <w:tcPr>
            <w:tcW w:w="2600" w:type="pct"/>
            <w:hideMark/>
          </w:tcPr>
          <w:p w14:paraId="6EB89002" w14:textId="77777777" w:rsidR="00C21B70" w:rsidRPr="00C21B70" w:rsidRDefault="00C21B70" w:rsidP="00C21B70">
            <w:pPr>
              <w:spacing w:after="160" w:line="259" w:lineRule="auto"/>
              <w:jc w:val="both"/>
              <w:rPr>
                <w:rFonts w:ascii="Verdana" w:hAnsi="Verdana"/>
              </w:rPr>
            </w:pPr>
            <w:r w:rsidRPr="00C21B70">
              <w:rPr>
                <w:rFonts w:ascii="Verdana" w:hAnsi="Verdana"/>
              </w:rPr>
              <w:t>Más de 3 S.M.L.M.V y hasta 4 S.M.L.</w:t>
            </w:r>
            <w:proofErr w:type="gramStart"/>
            <w:r w:rsidRPr="00C21B70">
              <w:rPr>
                <w:rFonts w:ascii="Verdana" w:hAnsi="Verdana"/>
              </w:rPr>
              <w:t>M.V</w:t>
            </w:r>
            <w:proofErr w:type="gramEnd"/>
          </w:p>
        </w:tc>
        <w:tc>
          <w:tcPr>
            <w:tcW w:w="1650" w:type="pct"/>
            <w:hideMark/>
          </w:tcPr>
          <w:p w14:paraId="39797E95" w14:textId="77777777" w:rsidR="00C21B70" w:rsidRPr="00C21B70" w:rsidRDefault="00C21B70" w:rsidP="00C21B70">
            <w:pPr>
              <w:spacing w:after="160" w:line="259" w:lineRule="auto"/>
              <w:jc w:val="both"/>
              <w:rPr>
                <w:rFonts w:ascii="Verdana" w:hAnsi="Verdana"/>
              </w:rPr>
            </w:pPr>
            <w:r w:rsidRPr="00C21B70">
              <w:rPr>
                <w:rFonts w:ascii="Verdana" w:hAnsi="Verdana"/>
              </w:rPr>
              <w:t>Entre 3.5% y 7.0%</w:t>
            </w:r>
          </w:p>
        </w:tc>
      </w:tr>
      <w:tr w:rsidR="00C21B70" w:rsidRPr="00C21B70" w14:paraId="7D6EDAF7" w14:textId="77777777" w:rsidTr="00C21B70">
        <w:tc>
          <w:tcPr>
            <w:tcW w:w="750" w:type="pct"/>
            <w:hideMark/>
          </w:tcPr>
          <w:p w14:paraId="055EB3C5" w14:textId="77777777" w:rsidR="00C21B70" w:rsidRPr="00C21B70" w:rsidRDefault="00C21B70" w:rsidP="00C21B70">
            <w:pPr>
              <w:spacing w:after="160" w:line="259" w:lineRule="auto"/>
              <w:jc w:val="both"/>
              <w:rPr>
                <w:rFonts w:ascii="Verdana" w:hAnsi="Verdana"/>
              </w:rPr>
            </w:pPr>
            <w:r w:rsidRPr="00C21B70">
              <w:rPr>
                <w:rFonts w:ascii="Verdana" w:hAnsi="Verdana"/>
              </w:rPr>
              <w:t>5</w:t>
            </w:r>
          </w:p>
        </w:tc>
        <w:tc>
          <w:tcPr>
            <w:tcW w:w="2600" w:type="pct"/>
            <w:hideMark/>
          </w:tcPr>
          <w:p w14:paraId="1D232DE9" w14:textId="77777777" w:rsidR="00C21B70" w:rsidRPr="00C21B70" w:rsidRDefault="00C21B70" w:rsidP="00C21B70">
            <w:pPr>
              <w:spacing w:after="160" w:line="259" w:lineRule="auto"/>
              <w:jc w:val="both"/>
              <w:rPr>
                <w:rFonts w:ascii="Verdana" w:hAnsi="Verdana"/>
              </w:rPr>
            </w:pPr>
            <w:r w:rsidRPr="00C21B70">
              <w:rPr>
                <w:rFonts w:ascii="Verdana" w:hAnsi="Verdana"/>
              </w:rPr>
              <w:t>Más de 4 S.M.L.M.V y hasta 5 S.M.L.</w:t>
            </w:r>
            <w:proofErr w:type="gramStart"/>
            <w:r w:rsidRPr="00C21B70">
              <w:rPr>
                <w:rFonts w:ascii="Verdana" w:hAnsi="Verdana"/>
              </w:rPr>
              <w:t>M.V</w:t>
            </w:r>
            <w:proofErr w:type="gramEnd"/>
          </w:p>
        </w:tc>
        <w:tc>
          <w:tcPr>
            <w:tcW w:w="1650" w:type="pct"/>
            <w:hideMark/>
          </w:tcPr>
          <w:p w14:paraId="69A516F6" w14:textId="77777777" w:rsidR="00C21B70" w:rsidRPr="00C21B70" w:rsidRDefault="00C21B70" w:rsidP="00C21B70">
            <w:pPr>
              <w:spacing w:after="160" w:line="259" w:lineRule="auto"/>
              <w:jc w:val="both"/>
              <w:rPr>
                <w:rFonts w:ascii="Verdana" w:hAnsi="Verdana"/>
              </w:rPr>
            </w:pPr>
            <w:r w:rsidRPr="00C21B70">
              <w:rPr>
                <w:rFonts w:ascii="Verdana" w:hAnsi="Verdana"/>
              </w:rPr>
              <w:t>Entre 4.0% y 8.5%</w:t>
            </w:r>
          </w:p>
        </w:tc>
      </w:tr>
      <w:tr w:rsidR="00C21B70" w:rsidRPr="00C21B70" w14:paraId="34F367B9" w14:textId="77777777" w:rsidTr="00C21B70">
        <w:tc>
          <w:tcPr>
            <w:tcW w:w="750" w:type="pct"/>
            <w:hideMark/>
          </w:tcPr>
          <w:p w14:paraId="20D342BF" w14:textId="77777777" w:rsidR="00C21B70" w:rsidRPr="00C21B70" w:rsidRDefault="00C21B70" w:rsidP="00C21B70">
            <w:pPr>
              <w:spacing w:after="160" w:line="259" w:lineRule="auto"/>
              <w:jc w:val="both"/>
              <w:rPr>
                <w:rFonts w:ascii="Verdana" w:hAnsi="Verdana"/>
              </w:rPr>
            </w:pPr>
            <w:r w:rsidRPr="00C21B70">
              <w:rPr>
                <w:rFonts w:ascii="Verdana" w:hAnsi="Verdana"/>
              </w:rPr>
              <w:t>6</w:t>
            </w:r>
          </w:p>
        </w:tc>
        <w:tc>
          <w:tcPr>
            <w:tcW w:w="2600" w:type="pct"/>
            <w:hideMark/>
          </w:tcPr>
          <w:p w14:paraId="63B46D88" w14:textId="77777777" w:rsidR="00C21B70" w:rsidRPr="00C21B70" w:rsidRDefault="00C21B70" w:rsidP="00C21B70">
            <w:pPr>
              <w:spacing w:after="160" w:line="259" w:lineRule="auto"/>
              <w:jc w:val="both"/>
              <w:rPr>
                <w:rFonts w:ascii="Verdana" w:hAnsi="Verdana"/>
              </w:rPr>
            </w:pPr>
            <w:r w:rsidRPr="00C21B70">
              <w:rPr>
                <w:rFonts w:ascii="Verdana" w:hAnsi="Verdana"/>
              </w:rPr>
              <w:t>Más de 5 S.M.L.</w:t>
            </w:r>
            <w:proofErr w:type="gramStart"/>
            <w:r w:rsidRPr="00C21B70">
              <w:rPr>
                <w:rFonts w:ascii="Verdana" w:hAnsi="Verdana"/>
              </w:rPr>
              <w:t>M.V</w:t>
            </w:r>
            <w:proofErr w:type="gramEnd"/>
          </w:p>
        </w:tc>
        <w:tc>
          <w:tcPr>
            <w:tcW w:w="1650" w:type="pct"/>
            <w:hideMark/>
          </w:tcPr>
          <w:p w14:paraId="1BDAD393" w14:textId="77777777" w:rsidR="00C21B70" w:rsidRPr="00C21B70" w:rsidRDefault="00C21B70" w:rsidP="00C21B70">
            <w:pPr>
              <w:spacing w:after="160" w:line="259" w:lineRule="auto"/>
              <w:jc w:val="both"/>
              <w:rPr>
                <w:rFonts w:ascii="Verdana" w:hAnsi="Verdana"/>
              </w:rPr>
            </w:pPr>
            <w:r w:rsidRPr="00C21B70">
              <w:rPr>
                <w:rFonts w:ascii="Verdana" w:hAnsi="Verdana"/>
              </w:rPr>
              <w:t>Entre 4.5% y 10.0%</w:t>
            </w:r>
          </w:p>
        </w:tc>
      </w:tr>
    </w:tbl>
    <w:p w14:paraId="1243D031" w14:textId="6975FB8B" w:rsidR="00C21B70" w:rsidRDefault="00C21B70" w:rsidP="00C21B70">
      <w:pPr>
        <w:jc w:val="both"/>
        <w:rPr>
          <w:rFonts w:ascii="Verdana" w:hAnsi="Verdana"/>
        </w:rPr>
      </w:pPr>
    </w:p>
    <w:p w14:paraId="6E3FED98" w14:textId="3690E1CC" w:rsidR="00C21B70" w:rsidRDefault="00C21B70" w:rsidP="00C21B70">
      <w:pPr>
        <w:jc w:val="both"/>
        <w:rPr>
          <w:rFonts w:ascii="Verdana" w:hAnsi="Verdana"/>
          <w:b/>
          <w:bCs/>
        </w:rPr>
      </w:pPr>
      <w:r w:rsidRPr="00C21B70">
        <w:rPr>
          <w:rFonts w:ascii="Verdana" w:hAnsi="Verdana"/>
          <w:b/>
          <w:bCs/>
        </w:rPr>
        <w:t>AÑO 2003</w:t>
      </w:r>
    </w:p>
    <w:tbl>
      <w:tblPr>
        <w:tblStyle w:val="Tablaconcuadrcula"/>
        <w:tblW w:w="4750" w:type="pct"/>
        <w:tblLook w:val="04A0" w:firstRow="1" w:lastRow="0" w:firstColumn="1" w:lastColumn="0" w:noHBand="0" w:noVBand="1"/>
      </w:tblPr>
      <w:tblGrid>
        <w:gridCol w:w="1288"/>
        <w:gridCol w:w="4346"/>
        <w:gridCol w:w="2753"/>
      </w:tblGrid>
      <w:tr w:rsidR="00C21B70" w:rsidRPr="00C21B70" w14:paraId="2EA68B6B" w14:textId="77777777" w:rsidTr="00C21B70">
        <w:tc>
          <w:tcPr>
            <w:tcW w:w="750" w:type="pct"/>
            <w:hideMark/>
          </w:tcPr>
          <w:p w14:paraId="32F86FFE"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NIVELES</w:t>
            </w:r>
          </w:p>
        </w:tc>
        <w:tc>
          <w:tcPr>
            <w:tcW w:w="2600" w:type="pct"/>
            <w:hideMark/>
          </w:tcPr>
          <w:p w14:paraId="7FED3684"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INGRESOS FAMILIARES EN SALARIOS</w:t>
            </w:r>
          </w:p>
        </w:tc>
        <w:tc>
          <w:tcPr>
            <w:tcW w:w="1650" w:type="pct"/>
            <w:hideMark/>
          </w:tcPr>
          <w:p w14:paraId="4A515E96"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PORCENTAJE DE TASA COMPENSATORIA</w:t>
            </w:r>
          </w:p>
        </w:tc>
      </w:tr>
      <w:tr w:rsidR="00C21B70" w:rsidRPr="00C21B70" w14:paraId="05D6313A" w14:textId="77777777" w:rsidTr="00C21B70">
        <w:tc>
          <w:tcPr>
            <w:tcW w:w="750" w:type="pct"/>
            <w:hideMark/>
          </w:tcPr>
          <w:p w14:paraId="463F4310"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1</w:t>
            </w:r>
          </w:p>
        </w:tc>
        <w:tc>
          <w:tcPr>
            <w:tcW w:w="2600" w:type="pct"/>
            <w:hideMark/>
          </w:tcPr>
          <w:p w14:paraId="03FCA9B0"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Sin ingreso y hasta 1 S.M.L.</w:t>
            </w:r>
            <w:proofErr w:type="gramStart"/>
            <w:r w:rsidRPr="00C21B70">
              <w:rPr>
                <w:rFonts w:ascii="Verdana" w:hAnsi="Verdana"/>
                <w:b/>
                <w:bCs/>
              </w:rPr>
              <w:t>M.V</w:t>
            </w:r>
            <w:proofErr w:type="gramEnd"/>
          </w:p>
        </w:tc>
        <w:tc>
          <w:tcPr>
            <w:tcW w:w="1650" w:type="pct"/>
            <w:hideMark/>
          </w:tcPr>
          <w:p w14:paraId="0F06757F"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Entre 1.5% y 5.0%</w:t>
            </w:r>
          </w:p>
        </w:tc>
      </w:tr>
      <w:tr w:rsidR="00C21B70" w:rsidRPr="00C21B70" w14:paraId="413F15C9" w14:textId="77777777" w:rsidTr="00C21B70">
        <w:tc>
          <w:tcPr>
            <w:tcW w:w="750" w:type="pct"/>
            <w:hideMark/>
          </w:tcPr>
          <w:p w14:paraId="052B385E"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2</w:t>
            </w:r>
          </w:p>
        </w:tc>
        <w:tc>
          <w:tcPr>
            <w:tcW w:w="2600" w:type="pct"/>
            <w:hideMark/>
          </w:tcPr>
          <w:p w14:paraId="661E2DC3"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Más de 1 S.M.L.M.V y hasta 2 S.M.L.</w:t>
            </w:r>
            <w:proofErr w:type="gramStart"/>
            <w:r w:rsidRPr="00C21B70">
              <w:rPr>
                <w:rFonts w:ascii="Verdana" w:hAnsi="Verdana"/>
                <w:b/>
                <w:bCs/>
              </w:rPr>
              <w:t>M.V</w:t>
            </w:r>
            <w:proofErr w:type="gramEnd"/>
          </w:p>
        </w:tc>
        <w:tc>
          <w:tcPr>
            <w:tcW w:w="1650" w:type="pct"/>
            <w:hideMark/>
          </w:tcPr>
          <w:p w14:paraId="2ECE73D9"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Entre 2.0% y 6.0%</w:t>
            </w:r>
          </w:p>
        </w:tc>
      </w:tr>
      <w:tr w:rsidR="00C21B70" w:rsidRPr="00C21B70" w14:paraId="7B57E9E4" w14:textId="77777777" w:rsidTr="00C21B70">
        <w:tc>
          <w:tcPr>
            <w:tcW w:w="750" w:type="pct"/>
            <w:hideMark/>
          </w:tcPr>
          <w:p w14:paraId="2C33A493"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3</w:t>
            </w:r>
          </w:p>
        </w:tc>
        <w:tc>
          <w:tcPr>
            <w:tcW w:w="2600" w:type="pct"/>
            <w:hideMark/>
          </w:tcPr>
          <w:p w14:paraId="543D6C19"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Más de 2 S.M.L.M.V y hasta 3 S.M.L.</w:t>
            </w:r>
            <w:proofErr w:type="gramStart"/>
            <w:r w:rsidRPr="00C21B70">
              <w:rPr>
                <w:rFonts w:ascii="Verdana" w:hAnsi="Verdana"/>
                <w:b/>
                <w:bCs/>
              </w:rPr>
              <w:t>M.V</w:t>
            </w:r>
            <w:proofErr w:type="gramEnd"/>
          </w:p>
        </w:tc>
        <w:tc>
          <w:tcPr>
            <w:tcW w:w="1650" w:type="pct"/>
            <w:hideMark/>
          </w:tcPr>
          <w:p w14:paraId="5368ECF9"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Entre 3.0% y 6.5%</w:t>
            </w:r>
          </w:p>
        </w:tc>
      </w:tr>
      <w:tr w:rsidR="00C21B70" w:rsidRPr="00C21B70" w14:paraId="5AF7FC1B" w14:textId="77777777" w:rsidTr="00C21B70">
        <w:tc>
          <w:tcPr>
            <w:tcW w:w="750" w:type="pct"/>
            <w:hideMark/>
          </w:tcPr>
          <w:p w14:paraId="76B4BD12"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4</w:t>
            </w:r>
          </w:p>
        </w:tc>
        <w:tc>
          <w:tcPr>
            <w:tcW w:w="2600" w:type="pct"/>
            <w:hideMark/>
          </w:tcPr>
          <w:p w14:paraId="0EC65573"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Más de 3 S.M.L.M.V y hasta 4 S.M.L.</w:t>
            </w:r>
            <w:proofErr w:type="gramStart"/>
            <w:r w:rsidRPr="00C21B70">
              <w:rPr>
                <w:rFonts w:ascii="Verdana" w:hAnsi="Verdana"/>
                <w:b/>
                <w:bCs/>
              </w:rPr>
              <w:t>M.V</w:t>
            </w:r>
            <w:proofErr w:type="gramEnd"/>
          </w:p>
        </w:tc>
        <w:tc>
          <w:tcPr>
            <w:tcW w:w="1650" w:type="pct"/>
            <w:hideMark/>
          </w:tcPr>
          <w:p w14:paraId="69C8E4A2"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Entre 4.5% y 7.0%</w:t>
            </w:r>
          </w:p>
        </w:tc>
      </w:tr>
      <w:tr w:rsidR="00C21B70" w:rsidRPr="00C21B70" w14:paraId="3F0993CF" w14:textId="77777777" w:rsidTr="00C21B70">
        <w:tc>
          <w:tcPr>
            <w:tcW w:w="750" w:type="pct"/>
            <w:hideMark/>
          </w:tcPr>
          <w:p w14:paraId="768F8F2B"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5</w:t>
            </w:r>
          </w:p>
        </w:tc>
        <w:tc>
          <w:tcPr>
            <w:tcW w:w="2600" w:type="pct"/>
            <w:hideMark/>
          </w:tcPr>
          <w:p w14:paraId="7C744C05"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Más de 4 S.M.L.M.V y hasta 5 S.M.L.</w:t>
            </w:r>
            <w:proofErr w:type="gramStart"/>
            <w:r w:rsidRPr="00C21B70">
              <w:rPr>
                <w:rFonts w:ascii="Verdana" w:hAnsi="Verdana"/>
                <w:b/>
                <w:bCs/>
              </w:rPr>
              <w:t>M.V</w:t>
            </w:r>
            <w:proofErr w:type="gramEnd"/>
          </w:p>
        </w:tc>
        <w:tc>
          <w:tcPr>
            <w:tcW w:w="1650" w:type="pct"/>
            <w:hideMark/>
          </w:tcPr>
          <w:p w14:paraId="14954F22"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Entre 5.0% y 8.5%</w:t>
            </w:r>
          </w:p>
        </w:tc>
      </w:tr>
      <w:tr w:rsidR="00C21B70" w:rsidRPr="00C21B70" w14:paraId="4D8A94F7" w14:textId="77777777" w:rsidTr="00C21B70">
        <w:tc>
          <w:tcPr>
            <w:tcW w:w="750" w:type="pct"/>
            <w:hideMark/>
          </w:tcPr>
          <w:p w14:paraId="6D783879"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6</w:t>
            </w:r>
          </w:p>
        </w:tc>
        <w:tc>
          <w:tcPr>
            <w:tcW w:w="2600" w:type="pct"/>
            <w:hideMark/>
          </w:tcPr>
          <w:p w14:paraId="381B76B7"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Más de 5 S.M.L.</w:t>
            </w:r>
            <w:proofErr w:type="gramStart"/>
            <w:r w:rsidRPr="00C21B70">
              <w:rPr>
                <w:rFonts w:ascii="Verdana" w:hAnsi="Verdana"/>
                <w:b/>
                <w:bCs/>
              </w:rPr>
              <w:t>M.V</w:t>
            </w:r>
            <w:proofErr w:type="gramEnd"/>
          </w:p>
        </w:tc>
        <w:tc>
          <w:tcPr>
            <w:tcW w:w="1650" w:type="pct"/>
            <w:hideMark/>
          </w:tcPr>
          <w:p w14:paraId="10A60E98" w14:textId="77777777" w:rsidR="00C21B70" w:rsidRPr="00C21B70" w:rsidRDefault="00C21B70" w:rsidP="00C21B70">
            <w:pPr>
              <w:spacing w:after="160" w:line="259" w:lineRule="auto"/>
              <w:jc w:val="both"/>
              <w:rPr>
                <w:rFonts w:ascii="Verdana" w:hAnsi="Verdana"/>
                <w:b/>
                <w:bCs/>
              </w:rPr>
            </w:pPr>
            <w:r w:rsidRPr="00C21B70">
              <w:rPr>
                <w:rFonts w:ascii="Verdana" w:hAnsi="Verdana"/>
                <w:b/>
                <w:bCs/>
              </w:rPr>
              <w:t>Entre 5.5% y 10.0%</w:t>
            </w:r>
          </w:p>
        </w:tc>
      </w:tr>
    </w:tbl>
    <w:p w14:paraId="6F331D2F" w14:textId="7A92BF24" w:rsidR="00C21B70" w:rsidRDefault="00C21B70" w:rsidP="00C21B70">
      <w:pPr>
        <w:jc w:val="both"/>
        <w:rPr>
          <w:rFonts w:ascii="Verdana" w:hAnsi="Verdana"/>
          <w:b/>
          <w:bCs/>
        </w:rPr>
      </w:pPr>
    </w:p>
    <w:p w14:paraId="6ABBC01C" w14:textId="1341EBD0" w:rsidR="00C21B70" w:rsidRDefault="00C21B70" w:rsidP="00C21B70">
      <w:pPr>
        <w:jc w:val="both"/>
        <w:rPr>
          <w:rFonts w:ascii="Verdana" w:hAnsi="Verdana"/>
          <w:b/>
          <w:bCs/>
        </w:rPr>
      </w:pPr>
      <w:r w:rsidRPr="00C21B70">
        <w:rPr>
          <w:rFonts w:ascii="Verdana" w:hAnsi="Verdana"/>
          <w:b/>
          <w:bCs/>
        </w:rPr>
        <w:lastRenderedPageBreak/>
        <w:t>AÑO 2004</w:t>
      </w:r>
    </w:p>
    <w:tbl>
      <w:tblPr>
        <w:tblStyle w:val="Tablaconcuadrcula"/>
        <w:tblW w:w="4750" w:type="pct"/>
        <w:tblLook w:val="04A0" w:firstRow="1" w:lastRow="0" w:firstColumn="1" w:lastColumn="0" w:noHBand="0" w:noVBand="1"/>
      </w:tblPr>
      <w:tblGrid>
        <w:gridCol w:w="1288"/>
        <w:gridCol w:w="4346"/>
        <w:gridCol w:w="2753"/>
      </w:tblGrid>
      <w:tr w:rsidR="00C21B70" w:rsidRPr="00C21B70" w14:paraId="51A947FE" w14:textId="77777777" w:rsidTr="00C21B70">
        <w:tc>
          <w:tcPr>
            <w:tcW w:w="750" w:type="pct"/>
            <w:hideMark/>
          </w:tcPr>
          <w:p w14:paraId="54FE02E6" w14:textId="77777777" w:rsidR="00C21B70" w:rsidRPr="00C21B70" w:rsidRDefault="00C21B70" w:rsidP="00C21B70">
            <w:pPr>
              <w:spacing w:after="160" w:line="259" w:lineRule="auto"/>
              <w:jc w:val="both"/>
              <w:rPr>
                <w:rFonts w:ascii="Verdana" w:hAnsi="Verdana"/>
              </w:rPr>
            </w:pPr>
            <w:r w:rsidRPr="00C21B70">
              <w:rPr>
                <w:rFonts w:ascii="Verdana" w:hAnsi="Verdana"/>
                <w:b/>
                <w:bCs/>
              </w:rPr>
              <w:t>NIVELES</w:t>
            </w:r>
          </w:p>
        </w:tc>
        <w:tc>
          <w:tcPr>
            <w:tcW w:w="2600" w:type="pct"/>
            <w:hideMark/>
          </w:tcPr>
          <w:p w14:paraId="2FC2167C" w14:textId="77777777" w:rsidR="00C21B70" w:rsidRPr="00C21B70" w:rsidRDefault="00C21B70" w:rsidP="00C21B70">
            <w:pPr>
              <w:spacing w:after="160" w:line="259" w:lineRule="auto"/>
              <w:jc w:val="both"/>
              <w:rPr>
                <w:rFonts w:ascii="Verdana" w:hAnsi="Verdana"/>
              </w:rPr>
            </w:pPr>
            <w:r w:rsidRPr="00C21B70">
              <w:rPr>
                <w:rFonts w:ascii="Verdana" w:hAnsi="Verdana"/>
                <w:b/>
                <w:bCs/>
              </w:rPr>
              <w:t>INGRESOS FAMILIARES EN SALARIOS</w:t>
            </w:r>
          </w:p>
        </w:tc>
        <w:tc>
          <w:tcPr>
            <w:tcW w:w="1650" w:type="pct"/>
            <w:hideMark/>
          </w:tcPr>
          <w:p w14:paraId="43E56039" w14:textId="77777777" w:rsidR="00C21B70" w:rsidRPr="00C21B70" w:rsidRDefault="00C21B70" w:rsidP="00C21B70">
            <w:pPr>
              <w:spacing w:after="160" w:line="259" w:lineRule="auto"/>
              <w:jc w:val="both"/>
              <w:rPr>
                <w:rFonts w:ascii="Verdana" w:hAnsi="Verdana"/>
              </w:rPr>
            </w:pPr>
            <w:r w:rsidRPr="00C21B70">
              <w:rPr>
                <w:rFonts w:ascii="Verdana" w:hAnsi="Verdana"/>
                <w:b/>
                <w:bCs/>
              </w:rPr>
              <w:t>PORCENTAJE DE TASA COMPENSATORIA</w:t>
            </w:r>
          </w:p>
        </w:tc>
      </w:tr>
      <w:tr w:rsidR="00C21B70" w:rsidRPr="00C21B70" w14:paraId="0E804BF9" w14:textId="77777777" w:rsidTr="00C21B70">
        <w:tc>
          <w:tcPr>
            <w:tcW w:w="750" w:type="pct"/>
            <w:hideMark/>
          </w:tcPr>
          <w:p w14:paraId="663BBA95" w14:textId="77777777" w:rsidR="00C21B70" w:rsidRPr="00C21B70" w:rsidRDefault="00C21B70" w:rsidP="00C21B70">
            <w:pPr>
              <w:spacing w:after="160" w:line="259" w:lineRule="auto"/>
              <w:jc w:val="both"/>
              <w:rPr>
                <w:rFonts w:ascii="Verdana" w:hAnsi="Verdana"/>
              </w:rPr>
            </w:pPr>
            <w:r w:rsidRPr="00C21B70">
              <w:rPr>
                <w:rFonts w:ascii="Verdana" w:hAnsi="Verdana"/>
              </w:rPr>
              <w:t>1</w:t>
            </w:r>
          </w:p>
        </w:tc>
        <w:tc>
          <w:tcPr>
            <w:tcW w:w="2600" w:type="pct"/>
            <w:hideMark/>
          </w:tcPr>
          <w:p w14:paraId="1C71C1C5" w14:textId="77777777" w:rsidR="00C21B70" w:rsidRPr="00C21B70" w:rsidRDefault="00C21B70" w:rsidP="00C21B70">
            <w:pPr>
              <w:spacing w:after="160" w:line="259" w:lineRule="auto"/>
              <w:jc w:val="both"/>
              <w:rPr>
                <w:rFonts w:ascii="Verdana" w:hAnsi="Verdana"/>
              </w:rPr>
            </w:pPr>
            <w:r w:rsidRPr="00C21B70">
              <w:rPr>
                <w:rFonts w:ascii="Verdana" w:hAnsi="Verdana"/>
              </w:rPr>
              <w:t>Sin ingreso y hasta 1 S.M.L.</w:t>
            </w:r>
            <w:proofErr w:type="gramStart"/>
            <w:r w:rsidRPr="00C21B70">
              <w:rPr>
                <w:rFonts w:ascii="Verdana" w:hAnsi="Verdana"/>
              </w:rPr>
              <w:t>M.V</w:t>
            </w:r>
            <w:proofErr w:type="gramEnd"/>
          </w:p>
        </w:tc>
        <w:tc>
          <w:tcPr>
            <w:tcW w:w="1650" w:type="pct"/>
            <w:hideMark/>
          </w:tcPr>
          <w:p w14:paraId="53235BA9" w14:textId="77777777" w:rsidR="00C21B70" w:rsidRPr="00C21B70" w:rsidRDefault="00C21B70" w:rsidP="00C21B70">
            <w:pPr>
              <w:spacing w:after="160" w:line="259" w:lineRule="auto"/>
              <w:jc w:val="both"/>
              <w:rPr>
                <w:rFonts w:ascii="Verdana" w:hAnsi="Verdana"/>
              </w:rPr>
            </w:pPr>
            <w:r w:rsidRPr="00C21B70">
              <w:rPr>
                <w:rFonts w:ascii="Verdana" w:hAnsi="Verdana"/>
              </w:rPr>
              <w:t>Entre 1.5% y 4.0%</w:t>
            </w:r>
          </w:p>
        </w:tc>
      </w:tr>
      <w:tr w:rsidR="00C21B70" w:rsidRPr="00C21B70" w14:paraId="44B52B1E" w14:textId="77777777" w:rsidTr="00C21B70">
        <w:tc>
          <w:tcPr>
            <w:tcW w:w="750" w:type="pct"/>
            <w:hideMark/>
          </w:tcPr>
          <w:p w14:paraId="6AEF404F" w14:textId="77777777" w:rsidR="00C21B70" w:rsidRPr="00C21B70" w:rsidRDefault="00C21B70" w:rsidP="00C21B70">
            <w:pPr>
              <w:spacing w:after="160" w:line="259" w:lineRule="auto"/>
              <w:jc w:val="both"/>
              <w:rPr>
                <w:rFonts w:ascii="Verdana" w:hAnsi="Verdana"/>
              </w:rPr>
            </w:pPr>
            <w:r w:rsidRPr="00C21B70">
              <w:rPr>
                <w:rFonts w:ascii="Verdana" w:hAnsi="Verdana"/>
              </w:rPr>
              <w:t>2</w:t>
            </w:r>
          </w:p>
        </w:tc>
        <w:tc>
          <w:tcPr>
            <w:tcW w:w="2600" w:type="pct"/>
            <w:hideMark/>
          </w:tcPr>
          <w:p w14:paraId="77830105" w14:textId="77777777" w:rsidR="00C21B70" w:rsidRPr="00C21B70" w:rsidRDefault="00C21B70" w:rsidP="00C21B70">
            <w:pPr>
              <w:spacing w:after="160" w:line="259" w:lineRule="auto"/>
              <w:jc w:val="both"/>
              <w:rPr>
                <w:rFonts w:ascii="Verdana" w:hAnsi="Verdana"/>
              </w:rPr>
            </w:pPr>
            <w:r w:rsidRPr="00C21B70">
              <w:rPr>
                <w:rFonts w:ascii="Verdana" w:hAnsi="Verdana"/>
              </w:rPr>
              <w:t>Más de 1 S.M.L.M.V y hasta 2 S.M.L.</w:t>
            </w:r>
            <w:proofErr w:type="gramStart"/>
            <w:r w:rsidRPr="00C21B70">
              <w:rPr>
                <w:rFonts w:ascii="Verdana" w:hAnsi="Verdana"/>
              </w:rPr>
              <w:t>M.V</w:t>
            </w:r>
            <w:proofErr w:type="gramEnd"/>
          </w:p>
        </w:tc>
        <w:tc>
          <w:tcPr>
            <w:tcW w:w="1650" w:type="pct"/>
            <w:hideMark/>
          </w:tcPr>
          <w:p w14:paraId="77CB136D" w14:textId="77777777" w:rsidR="00C21B70" w:rsidRPr="00C21B70" w:rsidRDefault="00C21B70" w:rsidP="00C21B70">
            <w:pPr>
              <w:spacing w:after="160" w:line="259" w:lineRule="auto"/>
              <w:jc w:val="both"/>
              <w:rPr>
                <w:rFonts w:ascii="Verdana" w:hAnsi="Verdana"/>
              </w:rPr>
            </w:pPr>
            <w:r w:rsidRPr="00C21B70">
              <w:rPr>
                <w:rFonts w:ascii="Verdana" w:hAnsi="Verdana"/>
              </w:rPr>
              <w:t>Entre 2.5% y 5.0%</w:t>
            </w:r>
          </w:p>
        </w:tc>
      </w:tr>
      <w:tr w:rsidR="00C21B70" w:rsidRPr="00C21B70" w14:paraId="42ECF1EC" w14:textId="77777777" w:rsidTr="00C21B70">
        <w:tc>
          <w:tcPr>
            <w:tcW w:w="750" w:type="pct"/>
            <w:hideMark/>
          </w:tcPr>
          <w:p w14:paraId="7543F4BD" w14:textId="77777777" w:rsidR="00C21B70" w:rsidRPr="00C21B70" w:rsidRDefault="00C21B70" w:rsidP="00C21B70">
            <w:pPr>
              <w:spacing w:after="160" w:line="259" w:lineRule="auto"/>
              <w:jc w:val="both"/>
              <w:rPr>
                <w:rFonts w:ascii="Verdana" w:hAnsi="Verdana"/>
              </w:rPr>
            </w:pPr>
            <w:r w:rsidRPr="00C21B70">
              <w:rPr>
                <w:rFonts w:ascii="Verdana" w:hAnsi="Verdana"/>
              </w:rPr>
              <w:t>3</w:t>
            </w:r>
          </w:p>
        </w:tc>
        <w:tc>
          <w:tcPr>
            <w:tcW w:w="2600" w:type="pct"/>
            <w:hideMark/>
          </w:tcPr>
          <w:p w14:paraId="4B10E481" w14:textId="77777777" w:rsidR="00C21B70" w:rsidRPr="00C21B70" w:rsidRDefault="00C21B70" w:rsidP="00C21B70">
            <w:pPr>
              <w:spacing w:after="160" w:line="259" w:lineRule="auto"/>
              <w:jc w:val="both"/>
              <w:rPr>
                <w:rFonts w:ascii="Verdana" w:hAnsi="Verdana"/>
              </w:rPr>
            </w:pPr>
            <w:r w:rsidRPr="00C21B70">
              <w:rPr>
                <w:rFonts w:ascii="Verdana" w:hAnsi="Verdana"/>
              </w:rPr>
              <w:t>Más de 2 S.M.L.M.V y hasta 3 S.M.L.</w:t>
            </w:r>
            <w:proofErr w:type="gramStart"/>
            <w:r w:rsidRPr="00C21B70">
              <w:rPr>
                <w:rFonts w:ascii="Verdana" w:hAnsi="Verdana"/>
              </w:rPr>
              <w:t>M.V</w:t>
            </w:r>
            <w:proofErr w:type="gramEnd"/>
          </w:p>
        </w:tc>
        <w:tc>
          <w:tcPr>
            <w:tcW w:w="1650" w:type="pct"/>
            <w:hideMark/>
          </w:tcPr>
          <w:p w14:paraId="621B0DCA" w14:textId="77777777" w:rsidR="00C21B70" w:rsidRPr="00C21B70" w:rsidRDefault="00C21B70" w:rsidP="00C21B70">
            <w:pPr>
              <w:spacing w:after="160" w:line="259" w:lineRule="auto"/>
              <w:jc w:val="both"/>
              <w:rPr>
                <w:rFonts w:ascii="Verdana" w:hAnsi="Verdana"/>
              </w:rPr>
            </w:pPr>
            <w:r w:rsidRPr="00C21B70">
              <w:rPr>
                <w:rFonts w:ascii="Verdana" w:hAnsi="Verdana"/>
              </w:rPr>
              <w:t>Entre 3.5% y 6.0%</w:t>
            </w:r>
          </w:p>
        </w:tc>
      </w:tr>
      <w:tr w:rsidR="00C21B70" w:rsidRPr="00C21B70" w14:paraId="6BD053DF" w14:textId="77777777" w:rsidTr="00C21B70">
        <w:tc>
          <w:tcPr>
            <w:tcW w:w="750" w:type="pct"/>
            <w:hideMark/>
          </w:tcPr>
          <w:p w14:paraId="1709C806" w14:textId="77777777" w:rsidR="00C21B70" w:rsidRPr="00C21B70" w:rsidRDefault="00C21B70" w:rsidP="00C21B70">
            <w:pPr>
              <w:spacing w:after="160" w:line="259" w:lineRule="auto"/>
              <w:jc w:val="both"/>
              <w:rPr>
                <w:rFonts w:ascii="Verdana" w:hAnsi="Verdana"/>
              </w:rPr>
            </w:pPr>
            <w:r w:rsidRPr="00C21B70">
              <w:rPr>
                <w:rFonts w:ascii="Verdana" w:hAnsi="Verdana"/>
              </w:rPr>
              <w:t>4</w:t>
            </w:r>
          </w:p>
        </w:tc>
        <w:tc>
          <w:tcPr>
            <w:tcW w:w="2600" w:type="pct"/>
            <w:hideMark/>
          </w:tcPr>
          <w:p w14:paraId="6D4B471F" w14:textId="77777777" w:rsidR="00C21B70" w:rsidRPr="00C21B70" w:rsidRDefault="00C21B70" w:rsidP="00C21B70">
            <w:pPr>
              <w:spacing w:after="160" w:line="259" w:lineRule="auto"/>
              <w:jc w:val="both"/>
              <w:rPr>
                <w:rFonts w:ascii="Verdana" w:hAnsi="Verdana"/>
              </w:rPr>
            </w:pPr>
            <w:r w:rsidRPr="00C21B70">
              <w:rPr>
                <w:rFonts w:ascii="Verdana" w:hAnsi="Verdana"/>
              </w:rPr>
              <w:t>Más de 3 S.M.L.M.V y hasta 4 S.M.L.</w:t>
            </w:r>
            <w:proofErr w:type="gramStart"/>
            <w:r w:rsidRPr="00C21B70">
              <w:rPr>
                <w:rFonts w:ascii="Verdana" w:hAnsi="Verdana"/>
              </w:rPr>
              <w:t>M.V</w:t>
            </w:r>
            <w:proofErr w:type="gramEnd"/>
          </w:p>
        </w:tc>
        <w:tc>
          <w:tcPr>
            <w:tcW w:w="1650" w:type="pct"/>
            <w:hideMark/>
          </w:tcPr>
          <w:p w14:paraId="7BF47242" w14:textId="77777777" w:rsidR="00C21B70" w:rsidRPr="00C21B70" w:rsidRDefault="00C21B70" w:rsidP="00C21B70">
            <w:pPr>
              <w:spacing w:after="160" w:line="259" w:lineRule="auto"/>
              <w:jc w:val="both"/>
              <w:rPr>
                <w:rFonts w:ascii="Verdana" w:hAnsi="Verdana"/>
              </w:rPr>
            </w:pPr>
            <w:r w:rsidRPr="00C21B70">
              <w:rPr>
                <w:rFonts w:ascii="Verdana" w:hAnsi="Verdana"/>
              </w:rPr>
              <w:t>Entre 5.0% y 7.0%</w:t>
            </w:r>
          </w:p>
        </w:tc>
      </w:tr>
      <w:tr w:rsidR="00C21B70" w:rsidRPr="00C21B70" w14:paraId="0AEB4E65" w14:textId="77777777" w:rsidTr="00C21B70">
        <w:tc>
          <w:tcPr>
            <w:tcW w:w="750" w:type="pct"/>
            <w:hideMark/>
          </w:tcPr>
          <w:p w14:paraId="322E82A1" w14:textId="77777777" w:rsidR="00C21B70" w:rsidRPr="00C21B70" w:rsidRDefault="00C21B70" w:rsidP="00C21B70">
            <w:pPr>
              <w:spacing w:after="160" w:line="259" w:lineRule="auto"/>
              <w:jc w:val="both"/>
              <w:rPr>
                <w:rFonts w:ascii="Verdana" w:hAnsi="Verdana"/>
              </w:rPr>
            </w:pPr>
            <w:r w:rsidRPr="00C21B70">
              <w:rPr>
                <w:rFonts w:ascii="Verdana" w:hAnsi="Verdana"/>
              </w:rPr>
              <w:t>5</w:t>
            </w:r>
          </w:p>
        </w:tc>
        <w:tc>
          <w:tcPr>
            <w:tcW w:w="2600" w:type="pct"/>
            <w:hideMark/>
          </w:tcPr>
          <w:p w14:paraId="3D5634A1" w14:textId="77777777" w:rsidR="00C21B70" w:rsidRPr="00C21B70" w:rsidRDefault="00C21B70" w:rsidP="00C21B70">
            <w:pPr>
              <w:spacing w:after="160" w:line="259" w:lineRule="auto"/>
              <w:jc w:val="both"/>
              <w:rPr>
                <w:rFonts w:ascii="Verdana" w:hAnsi="Verdana"/>
              </w:rPr>
            </w:pPr>
            <w:r w:rsidRPr="00C21B70">
              <w:rPr>
                <w:rFonts w:ascii="Verdana" w:hAnsi="Verdana"/>
              </w:rPr>
              <w:t>Más de 4 S.M.L.M.V y hasta 5 S.M.L.</w:t>
            </w:r>
            <w:proofErr w:type="gramStart"/>
            <w:r w:rsidRPr="00C21B70">
              <w:rPr>
                <w:rFonts w:ascii="Verdana" w:hAnsi="Verdana"/>
              </w:rPr>
              <w:t>M.V</w:t>
            </w:r>
            <w:proofErr w:type="gramEnd"/>
          </w:p>
        </w:tc>
        <w:tc>
          <w:tcPr>
            <w:tcW w:w="1650" w:type="pct"/>
            <w:hideMark/>
          </w:tcPr>
          <w:p w14:paraId="2F2DCBAC" w14:textId="77777777" w:rsidR="00C21B70" w:rsidRPr="00C21B70" w:rsidRDefault="00C21B70" w:rsidP="00C21B70">
            <w:pPr>
              <w:spacing w:after="160" w:line="259" w:lineRule="auto"/>
              <w:jc w:val="both"/>
              <w:rPr>
                <w:rFonts w:ascii="Verdana" w:hAnsi="Verdana"/>
              </w:rPr>
            </w:pPr>
            <w:r w:rsidRPr="00C21B70">
              <w:rPr>
                <w:rFonts w:ascii="Verdana" w:hAnsi="Verdana"/>
              </w:rPr>
              <w:t>Entre 6.0% y 8.5%</w:t>
            </w:r>
          </w:p>
        </w:tc>
      </w:tr>
      <w:tr w:rsidR="00C21B70" w:rsidRPr="00C21B70" w14:paraId="3FB9736F" w14:textId="77777777" w:rsidTr="00C21B70">
        <w:tc>
          <w:tcPr>
            <w:tcW w:w="750" w:type="pct"/>
            <w:hideMark/>
          </w:tcPr>
          <w:p w14:paraId="002B220E" w14:textId="77777777" w:rsidR="00C21B70" w:rsidRPr="00C21B70" w:rsidRDefault="00C21B70" w:rsidP="00C21B70">
            <w:pPr>
              <w:spacing w:after="160" w:line="259" w:lineRule="auto"/>
              <w:jc w:val="both"/>
              <w:rPr>
                <w:rFonts w:ascii="Verdana" w:hAnsi="Verdana"/>
              </w:rPr>
            </w:pPr>
            <w:r w:rsidRPr="00C21B70">
              <w:rPr>
                <w:rFonts w:ascii="Verdana" w:hAnsi="Verdana"/>
              </w:rPr>
              <w:t>6</w:t>
            </w:r>
          </w:p>
        </w:tc>
        <w:tc>
          <w:tcPr>
            <w:tcW w:w="2600" w:type="pct"/>
            <w:hideMark/>
          </w:tcPr>
          <w:p w14:paraId="11C630C1" w14:textId="77777777" w:rsidR="00C21B70" w:rsidRPr="00C21B70" w:rsidRDefault="00C21B70" w:rsidP="00C21B70">
            <w:pPr>
              <w:spacing w:after="160" w:line="259" w:lineRule="auto"/>
              <w:jc w:val="both"/>
              <w:rPr>
                <w:rFonts w:ascii="Verdana" w:hAnsi="Verdana"/>
              </w:rPr>
            </w:pPr>
            <w:r w:rsidRPr="00C21B70">
              <w:rPr>
                <w:rFonts w:ascii="Verdana" w:hAnsi="Verdana"/>
              </w:rPr>
              <w:t>Más de 5 S.M.L.</w:t>
            </w:r>
            <w:proofErr w:type="gramStart"/>
            <w:r w:rsidRPr="00C21B70">
              <w:rPr>
                <w:rFonts w:ascii="Verdana" w:hAnsi="Verdana"/>
              </w:rPr>
              <w:t>M.V</w:t>
            </w:r>
            <w:proofErr w:type="gramEnd"/>
          </w:p>
        </w:tc>
        <w:tc>
          <w:tcPr>
            <w:tcW w:w="1650" w:type="pct"/>
            <w:hideMark/>
          </w:tcPr>
          <w:p w14:paraId="7B492265" w14:textId="77777777" w:rsidR="00C21B70" w:rsidRPr="00C21B70" w:rsidRDefault="00C21B70" w:rsidP="00C21B70">
            <w:pPr>
              <w:spacing w:after="160" w:line="259" w:lineRule="auto"/>
              <w:jc w:val="both"/>
              <w:rPr>
                <w:rFonts w:ascii="Verdana" w:hAnsi="Verdana"/>
              </w:rPr>
            </w:pPr>
            <w:r w:rsidRPr="00C21B70">
              <w:rPr>
                <w:rFonts w:ascii="Verdana" w:hAnsi="Verdana"/>
              </w:rPr>
              <w:t>Entre 7.0% y 10.0%</w:t>
            </w:r>
          </w:p>
        </w:tc>
      </w:tr>
    </w:tbl>
    <w:p w14:paraId="63005304" w14:textId="094121D4" w:rsidR="00C21B70" w:rsidRDefault="00C21B70" w:rsidP="00C21B70">
      <w:pPr>
        <w:jc w:val="both"/>
        <w:rPr>
          <w:rFonts w:ascii="Verdana" w:hAnsi="Verdana"/>
        </w:rPr>
      </w:pPr>
    </w:p>
    <w:p w14:paraId="22BB8621" w14:textId="42EED4BE" w:rsidR="00C21B70" w:rsidRDefault="00C21B70" w:rsidP="00C21B70">
      <w:pPr>
        <w:jc w:val="both"/>
        <w:rPr>
          <w:rFonts w:ascii="Verdana" w:hAnsi="Verdana"/>
          <w:b/>
          <w:bCs/>
        </w:rPr>
      </w:pPr>
      <w:r w:rsidRPr="00C21B70">
        <w:rPr>
          <w:rFonts w:ascii="Verdana" w:hAnsi="Verdana"/>
          <w:b/>
          <w:bCs/>
        </w:rPr>
        <w:t>AÑO 2005</w:t>
      </w:r>
    </w:p>
    <w:tbl>
      <w:tblPr>
        <w:tblStyle w:val="Tablaconcuadrcula"/>
        <w:tblW w:w="4750" w:type="pct"/>
        <w:tblLook w:val="04A0" w:firstRow="1" w:lastRow="0" w:firstColumn="1" w:lastColumn="0" w:noHBand="0" w:noVBand="1"/>
      </w:tblPr>
      <w:tblGrid>
        <w:gridCol w:w="1288"/>
        <w:gridCol w:w="4346"/>
        <w:gridCol w:w="2753"/>
      </w:tblGrid>
      <w:tr w:rsidR="00C21B70" w:rsidRPr="00C21B70" w14:paraId="3409B768" w14:textId="77777777" w:rsidTr="00C21B70">
        <w:tc>
          <w:tcPr>
            <w:tcW w:w="750" w:type="pct"/>
            <w:hideMark/>
          </w:tcPr>
          <w:p w14:paraId="6A32F90D" w14:textId="77777777" w:rsidR="00C21B70" w:rsidRPr="00C21B70" w:rsidRDefault="00C21B70" w:rsidP="00C21B70">
            <w:pPr>
              <w:spacing w:after="160" w:line="259" w:lineRule="auto"/>
              <w:jc w:val="both"/>
              <w:rPr>
                <w:rFonts w:ascii="Verdana" w:hAnsi="Verdana"/>
              </w:rPr>
            </w:pPr>
            <w:r w:rsidRPr="00C21B70">
              <w:rPr>
                <w:rFonts w:ascii="Verdana" w:hAnsi="Verdana"/>
                <w:b/>
                <w:bCs/>
              </w:rPr>
              <w:t>NIVELES</w:t>
            </w:r>
          </w:p>
        </w:tc>
        <w:tc>
          <w:tcPr>
            <w:tcW w:w="2600" w:type="pct"/>
            <w:hideMark/>
          </w:tcPr>
          <w:p w14:paraId="40896381" w14:textId="77777777" w:rsidR="00C21B70" w:rsidRPr="00C21B70" w:rsidRDefault="00C21B70" w:rsidP="00C21B70">
            <w:pPr>
              <w:spacing w:after="160" w:line="259" w:lineRule="auto"/>
              <w:jc w:val="both"/>
              <w:rPr>
                <w:rFonts w:ascii="Verdana" w:hAnsi="Verdana"/>
              </w:rPr>
            </w:pPr>
            <w:r w:rsidRPr="00C21B70">
              <w:rPr>
                <w:rFonts w:ascii="Verdana" w:hAnsi="Verdana"/>
                <w:b/>
                <w:bCs/>
              </w:rPr>
              <w:t>INGRESOS FAMILIARES EN SALARIOS</w:t>
            </w:r>
          </w:p>
        </w:tc>
        <w:tc>
          <w:tcPr>
            <w:tcW w:w="1650" w:type="pct"/>
            <w:hideMark/>
          </w:tcPr>
          <w:p w14:paraId="71BB2866" w14:textId="77777777" w:rsidR="00C21B70" w:rsidRPr="00C21B70" w:rsidRDefault="00C21B70" w:rsidP="00C21B70">
            <w:pPr>
              <w:spacing w:after="160" w:line="259" w:lineRule="auto"/>
              <w:jc w:val="both"/>
              <w:rPr>
                <w:rFonts w:ascii="Verdana" w:hAnsi="Verdana"/>
              </w:rPr>
            </w:pPr>
            <w:r w:rsidRPr="00C21B70">
              <w:rPr>
                <w:rFonts w:ascii="Verdana" w:hAnsi="Verdana"/>
                <w:b/>
                <w:bCs/>
              </w:rPr>
              <w:t>PORCENTAJE DE TASA COMPENSATORIA</w:t>
            </w:r>
          </w:p>
        </w:tc>
      </w:tr>
      <w:tr w:rsidR="00C21B70" w:rsidRPr="00C21B70" w14:paraId="20A5D56D" w14:textId="77777777" w:rsidTr="00C21B70">
        <w:tc>
          <w:tcPr>
            <w:tcW w:w="750" w:type="pct"/>
            <w:hideMark/>
          </w:tcPr>
          <w:p w14:paraId="73CDEF6A" w14:textId="77777777" w:rsidR="00C21B70" w:rsidRPr="00C21B70" w:rsidRDefault="00C21B70" w:rsidP="00C21B70">
            <w:pPr>
              <w:spacing w:after="160" w:line="259" w:lineRule="auto"/>
              <w:jc w:val="both"/>
              <w:rPr>
                <w:rFonts w:ascii="Verdana" w:hAnsi="Verdana"/>
              </w:rPr>
            </w:pPr>
            <w:r w:rsidRPr="00C21B70">
              <w:rPr>
                <w:rFonts w:ascii="Verdana" w:hAnsi="Verdana"/>
              </w:rPr>
              <w:t>1</w:t>
            </w:r>
          </w:p>
        </w:tc>
        <w:tc>
          <w:tcPr>
            <w:tcW w:w="2600" w:type="pct"/>
            <w:hideMark/>
          </w:tcPr>
          <w:p w14:paraId="3E669F28" w14:textId="77777777" w:rsidR="00C21B70" w:rsidRPr="00C21B70" w:rsidRDefault="00C21B70" w:rsidP="00C21B70">
            <w:pPr>
              <w:spacing w:after="160" w:line="259" w:lineRule="auto"/>
              <w:jc w:val="both"/>
              <w:rPr>
                <w:rFonts w:ascii="Verdana" w:hAnsi="Verdana"/>
              </w:rPr>
            </w:pPr>
            <w:r w:rsidRPr="00C21B70">
              <w:rPr>
                <w:rFonts w:ascii="Verdana" w:hAnsi="Verdana"/>
              </w:rPr>
              <w:t>Sin ingreso y hasta 1 S.M.L.</w:t>
            </w:r>
            <w:proofErr w:type="gramStart"/>
            <w:r w:rsidRPr="00C21B70">
              <w:rPr>
                <w:rFonts w:ascii="Verdana" w:hAnsi="Verdana"/>
              </w:rPr>
              <w:t>M.V</w:t>
            </w:r>
            <w:proofErr w:type="gramEnd"/>
          </w:p>
        </w:tc>
        <w:tc>
          <w:tcPr>
            <w:tcW w:w="1650" w:type="pct"/>
            <w:hideMark/>
          </w:tcPr>
          <w:p w14:paraId="01F49FDF" w14:textId="77777777" w:rsidR="00C21B70" w:rsidRPr="00C21B70" w:rsidRDefault="00C21B70" w:rsidP="00C21B70">
            <w:pPr>
              <w:spacing w:after="160" w:line="259" w:lineRule="auto"/>
              <w:jc w:val="both"/>
              <w:rPr>
                <w:rFonts w:ascii="Verdana" w:hAnsi="Verdana"/>
              </w:rPr>
            </w:pPr>
            <w:r w:rsidRPr="00C21B70">
              <w:rPr>
                <w:rFonts w:ascii="Verdana" w:hAnsi="Verdana"/>
              </w:rPr>
              <w:t>Entre 2.0% y 3.0%</w:t>
            </w:r>
          </w:p>
        </w:tc>
      </w:tr>
      <w:tr w:rsidR="00C21B70" w:rsidRPr="00C21B70" w14:paraId="3EE43AC6" w14:textId="77777777" w:rsidTr="00C21B70">
        <w:tc>
          <w:tcPr>
            <w:tcW w:w="750" w:type="pct"/>
            <w:hideMark/>
          </w:tcPr>
          <w:p w14:paraId="14F97EE9" w14:textId="77777777" w:rsidR="00C21B70" w:rsidRPr="00C21B70" w:rsidRDefault="00C21B70" w:rsidP="00C21B70">
            <w:pPr>
              <w:spacing w:after="160" w:line="259" w:lineRule="auto"/>
              <w:jc w:val="both"/>
              <w:rPr>
                <w:rFonts w:ascii="Verdana" w:hAnsi="Verdana"/>
              </w:rPr>
            </w:pPr>
            <w:r w:rsidRPr="00C21B70">
              <w:rPr>
                <w:rFonts w:ascii="Verdana" w:hAnsi="Verdana"/>
              </w:rPr>
              <w:t>2</w:t>
            </w:r>
          </w:p>
        </w:tc>
        <w:tc>
          <w:tcPr>
            <w:tcW w:w="2600" w:type="pct"/>
            <w:hideMark/>
          </w:tcPr>
          <w:p w14:paraId="42865FA0" w14:textId="77777777" w:rsidR="00C21B70" w:rsidRPr="00C21B70" w:rsidRDefault="00C21B70" w:rsidP="00C21B70">
            <w:pPr>
              <w:spacing w:after="160" w:line="259" w:lineRule="auto"/>
              <w:jc w:val="both"/>
              <w:rPr>
                <w:rFonts w:ascii="Verdana" w:hAnsi="Verdana"/>
              </w:rPr>
            </w:pPr>
            <w:r w:rsidRPr="00C21B70">
              <w:rPr>
                <w:rFonts w:ascii="Verdana" w:hAnsi="Verdana"/>
              </w:rPr>
              <w:t>Más de 1 S.M.L.M.V y hasta 2 S.M.L.</w:t>
            </w:r>
            <w:proofErr w:type="gramStart"/>
            <w:r w:rsidRPr="00C21B70">
              <w:rPr>
                <w:rFonts w:ascii="Verdana" w:hAnsi="Verdana"/>
              </w:rPr>
              <w:t>M.V</w:t>
            </w:r>
            <w:proofErr w:type="gramEnd"/>
          </w:p>
        </w:tc>
        <w:tc>
          <w:tcPr>
            <w:tcW w:w="1650" w:type="pct"/>
            <w:hideMark/>
          </w:tcPr>
          <w:p w14:paraId="380F52B2" w14:textId="77777777" w:rsidR="00C21B70" w:rsidRPr="00C21B70" w:rsidRDefault="00C21B70" w:rsidP="00C21B70">
            <w:pPr>
              <w:spacing w:after="160" w:line="259" w:lineRule="auto"/>
              <w:jc w:val="both"/>
              <w:rPr>
                <w:rFonts w:ascii="Verdana" w:hAnsi="Verdana"/>
              </w:rPr>
            </w:pPr>
            <w:r w:rsidRPr="00C21B70">
              <w:rPr>
                <w:rFonts w:ascii="Verdana" w:hAnsi="Verdana"/>
              </w:rPr>
              <w:t>Entre 3.0% y 4.0%</w:t>
            </w:r>
          </w:p>
        </w:tc>
      </w:tr>
      <w:tr w:rsidR="00C21B70" w:rsidRPr="00C21B70" w14:paraId="3B89F628" w14:textId="77777777" w:rsidTr="00C21B70">
        <w:tc>
          <w:tcPr>
            <w:tcW w:w="750" w:type="pct"/>
            <w:hideMark/>
          </w:tcPr>
          <w:p w14:paraId="54AF9C0A" w14:textId="77777777" w:rsidR="00C21B70" w:rsidRPr="00C21B70" w:rsidRDefault="00C21B70" w:rsidP="00C21B70">
            <w:pPr>
              <w:spacing w:after="160" w:line="259" w:lineRule="auto"/>
              <w:jc w:val="both"/>
              <w:rPr>
                <w:rFonts w:ascii="Verdana" w:hAnsi="Verdana"/>
              </w:rPr>
            </w:pPr>
            <w:r w:rsidRPr="00C21B70">
              <w:rPr>
                <w:rFonts w:ascii="Verdana" w:hAnsi="Verdana"/>
              </w:rPr>
              <w:t>3</w:t>
            </w:r>
          </w:p>
        </w:tc>
        <w:tc>
          <w:tcPr>
            <w:tcW w:w="2600" w:type="pct"/>
            <w:hideMark/>
          </w:tcPr>
          <w:p w14:paraId="70020ADD" w14:textId="77777777" w:rsidR="00C21B70" w:rsidRPr="00C21B70" w:rsidRDefault="00C21B70" w:rsidP="00C21B70">
            <w:pPr>
              <w:spacing w:after="160" w:line="259" w:lineRule="auto"/>
              <w:jc w:val="both"/>
              <w:rPr>
                <w:rFonts w:ascii="Verdana" w:hAnsi="Verdana"/>
              </w:rPr>
            </w:pPr>
            <w:r w:rsidRPr="00C21B70">
              <w:rPr>
                <w:rFonts w:ascii="Verdana" w:hAnsi="Verdana"/>
              </w:rPr>
              <w:t>Más de 2 S.M.L.M.V y hasta 3 S.M.L.</w:t>
            </w:r>
            <w:proofErr w:type="gramStart"/>
            <w:r w:rsidRPr="00C21B70">
              <w:rPr>
                <w:rFonts w:ascii="Verdana" w:hAnsi="Verdana"/>
              </w:rPr>
              <w:t>M.V</w:t>
            </w:r>
            <w:proofErr w:type="gramEnd"/>
          </w:p>
        </w:tc>
        <w:tc>
          <w:tcPr>
            <w:tcW w:w="1650" w:type="pct"/>
            <w:hideMark/>
          </w:tcPr>
          <w:p w14:paraId="1967BB52" w14:textId="77777777" w:rsidR="00C21B70" w:rsidRPr="00C21B70" w:rsidRDefault="00C21B70" w:rsidP="00C21B70">
            <w:pPr>
              <w:spacing w:after="160" w:line="259" w:lineRule="auto"/>
              <w:jc w:val="both"/>
              <w:rPr>
                <w:rFonts w:ascii="Verdana" w:hAnsi="Verdana"/>
              </w:rPr>
            </w:pPr>
            <w:r w:rsidRPr="00C21B70">
              <w:rPr>
                <w:rFonts w:ascii="Verdana" w:hAnsi="Verdana"/>
              </w:rPr>
              <w:t>Entre 4.0% y 5.5%</w:t>
            </w:r>
          </w:p>
        </w:tc>
      </w:tr>
      <w:tr w:rsidR="00C21B70" w:rsidRPr="00C21B70" w14:paraId="2F6C9AEC" w14:textId="77777777" w:rsidTr="00C21B70">
        <w:tc>
          <w:tcPr>
            <w:tcW w:w="750" w:type="pct"/>
            <w:hideMark/>
          </w:tcPr>
          <w:p w14:paraId="36B52D4E" w14:textId="77777777" w:rsidR="00C21B70" w:rsidRPr="00C21B70" w:rsidRDefault="00C21B70" w:rsidP="00C21B70">
            <w:pPr>
              <w:spacing w:after="160" w:line="259" w:lineRule="auto"/>
              <w:jc w:val="both"/>
              <w:rPr>
                <w:rFonts w:ascii="Verdana" w:hAnsi="Verdana"/>
              </w:rPr>
            </w:pPr>
            <w:r w:rsidRPr="00C21B70">
              <w:rPr>
                <w:rFonts w:ascii="Verdana" w:hAnsi="Verdana"/>
              </w:rPr>
              <w:t>4</w:t>
            </w:r>
          </w:p>
        </w:tc>
        <w:tc>
          <w:tcPr>
            <w:tcW w:w="2600" w:type="pct"/>
            <w:hideMark/>
          </w:tcPr>
          <w:p w14:paraId="5F97DBD5" w14:textId="77777777" w:rsidR="00C21B70" w:rsidRPr="00C21B70" w:rsidRDefault="00C21B70" w:rsidP="00C21B70">
            <w:pPr>
              <w:spacing w:after="160" w:line="259" w:lineRule="auto"/>
              <w:jc w:val="both"/>
              <w:rPr>
                <w:rFonts w:ascii="Verdana" w:hAnsi="Verdana"/>
              </w:rPr>
            </w:pPr>
            <w:r w:rsidRPr="00C21B70">
              <w:rPr>
                <w:rFonts w:ascii="Verdana" w:hAnsi="Verdana"/>
              </w:rPr>
              <w:t>Más de 3 S.M.L.M.V y hasta 4 S.M.L.</w:t>
            </w:r>
            <w:proofErr w:type="gramStart"/>
            <w:r w:rsidRPr="00C21B70">
              <w:rPr>
                <w:rFonts w:ascii="Verdana" w:hAnsi="Verdana"/>
              </w:rPr>
              <w:t>M.V</w:t>
            </w:r>
            <w:proofErr w:type="gramEnd"/>
          </w:p>
        </w:tc>
        <w:tc>
          <w:tcPr>
            <w:tcW w:w="1650" w:type="pct"/>
            <w:hideMark/>
          </w:tcPr>
          <w:p w14:paraId="5FD953B1" w14:textId="77777777" w:rsidR="00C21B70" w:rsidRPr="00C21B70" w:rsidRDefault="00C21B70" w:rsidP="00C21B70">
            <w:pPr>
              <w:spacing w:after="160" w:line="259" w:lineRule="auto"/>
              <w:jc w:val="both"/>
              <w:rPr>
                <w:rFonts w:ascii="Verdana" w:hAnsi="Verdana"/>
              </w:rPr>
            </w:pPr>
            <w:r w:rsidRPr="00C21B70">
              <w:rPr>
                <w:rFonts w:ascii="Verdana" w:hAnsi="Verdana"/>
              </w:rPr>
              <w:t>Entre 5.5% y 7.0%</w:t>
            </w:r>
          </w:p>
        </w:tc>
      </w:tr>
      <w:tr w:rsidR="00C21B70" w:rsidRPr="00C21B70" w14:paraId="2EAF1873" w14:textId="77777777" w:rsidTr="00C21B70">
        <w:tc>
          <w:tcPr>
            <w:tcW w:w="750" w:type="pct"/>
            <w:hideMark/>
          </w:tcPr>
          <w:p w14:paraId="74801F9B" w14:textId="77777777" w:rsidR="00C21B70" w:rsidRPr="00C21B70" w:rsidRDefault="00C21B70" w:rsidP="00C21B70">
            <w:pPr>
              <w:spacing w:after="160" w:line="259" w:lineRule="auto"/>
              <w:jc w:val="both"/>
              <w:rPr>
                <w:rFonts w:ascii="Verdana" w:hAnsi="Verdana"/>
              </w:rPr>
            </w:pPr>
            <w:r w:rsidRPr="00C21B70">
              <w:rPr>
                <w:rFonts w:ascii="Verdana" w:hAnsi="Verdana"/>
              </w:rPr>
              <w:t>5</w:t>
            </w:r>
          </w:p>
        </w:tc>
        <w:tc>
          <w:tcPr>
            <w:tcW w:w="2600" w:type="pct"/>
            <w:hideMark/>
          </w:tcPr>
          <w:p w14:paraId="72496F46" w14:textId="77777777" w:rsidR="00C21B70" w:rsidRPr="00C21B70" w:rsidRDefault="00C21B70" w:rsidP="00C21B70">
            <w:pPr>
              <w:spacing w:after="160" w:line="259" w:lineRule="auto"/>
              <w:jc w:val="both"/>
              <w:rPr>
                <w:rFonts w:ascii="Verdana" w:hAnsi="Verdana"/>
              </w:rPr>
            </w:pPr>
            <w:r w:rsidRPr="00C21B70">
              <w:rPr>
                <w:rFonts w:ascii="Verdana" w:hAnsi="Verdana"/>
              </w:rPr>
              <w:t>Más de 4 S.M.L.M.V y hasta 5 S.M.L.</w:t>
            </w:r>
            <w:proofErr w:type="gramStart"/>
            <w:r w:rsidRPr="00C21B70">
              <w:rPr>
                <w:rFonts w:ascii="Verdana" w:hAnsi="Verdana"/>
              </w:rPr>
              <w:t>M.V</w:t>
            </w:r>
            <w:proofErr w:type="gramEnd"/>
          </w:p>
        </w:tc>
        <w:tc>
          <w:tcPr>
            <w:tcW w:w="1650" w:type="pct"/>
            <w:hideMark/>
          </w:tcPr>
          <w:p w14:paraId="063EB4EA" w14:textId="77777777" w:rsidR="00C21B70" w:rsidRPr="00C21B70" w:rsidRDefault="00C21B70" w:rsidP="00C21B70">
            <w:pPr>
              <w:spacing w:after="160" w:line="259" w:lineRule="auto"/>
              <w:jc w:val="both"/>
              <w:rPr>
                <w:rFonts w:ascii="Verdana" w:hAnsi="Verdana"/>
              </w:rPr>
            </w:pPr>
            <w:r w:rsidRPr="00C21B70">
              <w:rPr>
                <w:rFonts w:ascii="Verdana" w:hAnsi="Verdana"/>
              </w:rPr>
              <w:t>Entre 7.0% y 8.5%</w:t>
            </w:r>
          </w:p>
        </w:tc>
      </w:tr>
      <w:tr w:rsidR="00C21B70" w:rsidRPr="00C21B70" w14:paraId="19AA36F8" w14:textId="77777777" w:rsidTr="00C21B70">
        <w:tc>
          <w:tcPr>
            <w:tcW w:w="750" w:type="pct"/>
            <w:hideMark/>
          </w:tcPr>
          <w:p w14:paraId="0E49CA66" w14:textId="77777777" w:rsidR="00C21B70" w:rsidRPr="00C21B70" w:rsidRDefault="00C21B70" w:rsidP="00C21B70">
            <w:pPr>
              <w:spacing w:after="160" w:line="259" w:lineRule="auto"/>
              <w:jc w:val="both"/>
              <w:rPr>
                <w:rFonts w:ascii="Verdana" w:hAnsi="Verdana"/>
              </w:rPr>
            </w:pPr>
            <w:r w:rsidRPr="00C21B70">
              <w:rPr>
                <w:rFonts w:ascii="Verdana" w:hAnsi="Verdana"/>
              </w:rPr>
              <w:t>6</w:t>
            </w:r>
          </w:p>
        </w:tc>
        <w:tc>
          <w:tcPr>
            <w:tcW w:w="2600" w:type="pct"/>
            <w:hideMark/>
          </w:tcPr>
          <w:p w14:paraId="3FE65DA2" w14:textId="77777777" w:rsidR="00C21B70" w:rsidRPr="00C21B70" w:rsidRDefault="00C21B70" w:rsidP="00C21B70">
            <w:pPr>
              <w:spacing w:after="160" w:line="259" w:lineRule="auto"/>
              <w:jc w:val="both"/>
              <w:rPr>
                <w:rFonts w:ascii="Verdana" w:hAnsi="Verdana"/>
              </w:rPr>
            </w:pPr>
            <w:r w:rsidRPr="00C21B70">
              <w:rPr>
                <w:rFonts w:ascii="Verdana" w:hAnsi="Verdana"/>
              </w:rPr>
              <w:t>Más de 5 S.M.L.</w:t>
            </w:r>
            <w:proofErr w:type="gramStart"/>
            <w:r w:rsidRPr="00C21B70">
              <w:rPr>
                <w:rFonts w:ascii="Verdana" w:hAnsi="Verdana"/>
              </w:rPr>
              <w:t>M.V</w:t>
            </w:r>
            <w:proofErr w:type="gramEnd"/>
          </w:p>
        </w:tc>
        <w:tc>
          <w:tcPr>
            <w:tcW w:w="1650" w:type="pct"/>
            <w:hideMark/>
          </w:tcPr>
          <w:p w14:paraId="03A2DAA2" w14:textId="77777777" w:rsidR="00C21B70" w:rsidRPr="00C21B70" w:rsidRDefault="00C21B70" w:rsidP="00C21B70">
            <w:pPr>
              <w:spacing w:after="160" w:line="259" w:lineRule="auto"/>
              <w:jc w:val="both"/>
              <w:rPr>
                <w:rFonts w:ascii="Verdana" w:hAnsi="Verdana"/>
              </w:rPr>
            </w:pPr>
            <w:r w:rsidRPr="00C21B70">
              <w:rPr>
                <w:rFonts w:ascii="Verdana" w:hAnsi="Verdana"/>
              </w:rPr>
              <w:t>Entre 8.5% y 10.0%</w:t>
            </w:r>
          </w:p>
        </w:tc>
      </w:tr>
    </w:tbl>
    <w:p w14:paraId="5F6444E1" w14:textId="0A23FF15" w:rsidR="00C21B70" w:rsidRDefault="00C21B70" w:rsidP="00C21B70">
      <w:pPr>
        <w:jc w:val="both"/>
        <w:rPr>
          <w:rFonts w:ascii="Verdana" w:hAnsi="Verdana"/>
        </w:rPr>
      </w:pPr>
    </w:p>
    <w:p w14:paraId="75E35569" w14:textId="09214C1D" w:rsidR="00C21B70" w:rsidRDefault="00C21B70" w:rsidP="00C21B70">
      <w:pPr>
        <w:jc w:val="both"/>
        <w:rPr>
          <w:rFonts w:ascii="Verdana" w:hAnsi="Verdana"/>
          <w:b/>
          <w:bCs/>
        </w:rPr>
      </w:pPr>
      <w:r w:rsidRPr="00C21B70">
        <w:rPr>
          <w:rFonts w:ascii="Verdana" w:hAnsi="Verdana"/>
          <w:b/>
          <w:bCs/>
        </w:rPr>
        <w:t>AÑO 2006 EN ADELANTE</w:t>
      </w:r>
    </w:p>
    <w:tbl>
      <w:tblPr>
        <w:tblStyle w:val="Tablaconcuadrcula"/>
        <w:tblW w:w="4750" w:type="pct"/>
        <w:tblLook w:val="04A0" w:firstRow="1" w:lastRow="0" w:firstColumn="1" w:lastColumn="0" w:noHBand="0" w:noVBand="1"/>
      </w:tblPr>
      <w:tblGrid>
        <w:gridCol w:w="1288"/>
        <w:gridCol w:w="4346"/>
        <w:gridCol w:w="2753"/>
      </w:tblGrid>
      <w:tr w:rsidR="00C21B70" w:rsidRPr="00C21B70" w14:paraId="1F4D6BF6" w14:textId="77777777" w:rsidTr="00C21B70">
        <w:tc>
          <w:tcPr>
            <w:tcW w:w="750" w:type="pct"/>
            <w:hideMark/>
          </w:tcPr>
          <w:p w14:paraId="5B8E1E03" w14:textId="77777777" w:rsidR="00C21B70" w:rsidRPr="00C21B70" w:rsidRDefault="00C21B70" w:rsidP="00C21B70">
            <w:pPr>
              <w:spacing w:after="160" w:line="259" w:lineRule="auto"/>
              <w:jc w:val="both"/>
              <w:rPr>
                <w:rFonts w:ascii="Verdana" w:hAnsi="Verdana"/>
              </w:rPr>
            </w:pPr>
            <w:r w:rsidRPr="00C21B70">
              <w:rPr>
                <w:rFonts w:ascii="Verdana" w:hAnsi="Verdana"/>
                <w:b/>
                <w:bCs/>
              </w:rPr>
              <w:lastRenderedPageBreak/>
              <w:t>NIVELES</w:t>
            </w:r>
          </w:p>
        </w:tc>
        <w:tc>
          <w:tcPr>
            <w:tcW w:w="2600" w:type="pct"/>
            <w:hideMark/>
          </w:tcPr>
          <w:p w14:paraId="762232C7" w14:textId="77777777" w:rsidR="00C21B70" w:rsidRPr="00C21B70" w:rsidRDefault="00C21B70" w:rsidP="00C21B70">
            <w:pPr>
              <w:spacing w:after="160" w:line="259" w:lineRule="auto"/>
              <w:jc w:val="both"/>
              <w:rPr>
                <w:rFonts w:ascii="Verdana" w:hAnsi="Verdana"/>
              </w:rPr>
            </w:pPr>
            <w:r w:rsidRPr="00C21B70">
              <w:rPr>
                <w:rFonts w:ascii="Verdana" w:hAnsi="Verdana"/>
                <w:b/>
                <w:bCs/>
              </w:rPr>
              <w:t>INGRESOS FAMILIARES EN SALARIOS</w:t>
            </w:r>
          </w:p>
        </w:tc>
        <w:tc>
          <w:tcPr>
            <w:tcW w:w="1650" w:type="pct"/>
            <w:hideMark/>
          </w:tcPr>
          <w:p w14:paraId="1902E665" w14:textId="77777777" w:rsidR="00C21B70" w:rsidRPr="00C21B70" w:rsidRDefault="00C21B70" w:rsidP="00C21B70">
            <w:pPr>
              <w:spacing w:after="160" w:line="259" w:lineRule="auto"/>
              <w:jc w:val="both"/>
              <w:rPr>
                <w:rFonts w:ascii="Verdana" w:hAnsi="Verdana"/>
              </w:rPr>
            </w:pPr>
            <w:r w:rsidRPr="00C21B70">
              <w:rPr>
                <w:rFonts w:ascii="Verdana" w:hAnsi="Verdana"/>
                <w:b/>
                <w:bCs/>
              </w:rPr>
              <w:t>PORCENTAJE DE TASA COMPENSATORIA</w:t>
            </w:r>
          </w:p>
        </w:tc>
      </w:tr>
      <w:tr w:rsidR="00C21B70" w:rsidRPr="00C21B70" w14:paraId="260AC120" w14:textId="77777777" w:rsidTr="00C21B70">
        <w:tc>
          <w:tcPr>
            <w:tcW w:w="750" w:type="pct"/>
            <w:hideMark/>
          </w:tcPr>
          <w:p w14:paraId="783389D7" w14:textId="77777777" w:rsidR="00C21B70" w:rsidRPr="00C21B70" w:rsidRDefault="00C21B70" w:rsidP="00C21B70">
            <w:pPr>
              <w:spacing w:after="160" w:line="259" w:lineRule="auto"/>
              <w:jc w:val="both"/>
              <w:rPr>
                <w:rFonts w:ascii="Verdana" w:hAnsi="Verdana"/>
              </w:rPr>
            </w:pPr>
            <w:r w:rsidRPr="00C21B70">
              <w:rPr>
                <w:rFonts w:ascii="Verdana" w:hAnsi="Verdana"/>
              </w:rPr>
              <w:t>1</w:t>
            </w:r>
          </w:p>
        </w:tc>
        <w:tc>
          <w:tcPr>
            <w:tcW w:w="2600" w:type="pct"/>
            <w:hideMark/>
          </w:tcPr>
          <w:p w14:paraId="6C3BF643" w14:textId="77777777" w:rsidR="00C21B70" w:rsidRPr="00C21B70" w:rsidRDefault="00C21B70" w:rsidP="00C21B70">
            <w:pPr>
              <w:spacing w:after="160" w:line="259" w:lineRule="auto"/>
              <w:jc w:val="both"/>
              <w:rPr>
                <w:rFonts w:ascii="Verdana" w:hAnsi="Verdana"/>
              </w:rPr>
            </w:pPr>
            <w:r w:rsidRPr="00C21B70">
              <w:rPr>
                <w:rFonts w:ascii="Verdana" w:hAnsi="Verdana"/>
              </w:rPr>
              <w:t>Sin ingreso y hasta 1 S.M.L.</w:t>
            </w:r>
            <w:proofErr w:type="gramStart"/>
            <w:r w:rsidRPr="00C21B70">
              <w:rPr>
                <w:rFonts w:ascii="Verdana" w:hAnsi="Verdana"/>
              </w:rPr>
              <w:t>M.V</w:t>
            </w:r>
            <w:proofErr w:type="gramEnd"/>
          </w:p>
        </w:tc>
        <w:tc>
          <w:tcPr>
            <w:tcW w:w="1650" w:type="pct"/>
            <w:hideMark/>
          </w:tcPr>
          <w:p w14:paraId="53635D9A" w14:textId="77777777" w:rsidR="00C21B70" w:rsidRPr="00C21B70" w:rsidRDefault="00C21B70" w:rsidP="00C21B70">
            <w:pPr>
              <w:spacing w:after="160" w:line="259" w:lineRule="auto"/>
              <w:jc w:val="both"/>
              <w:rPr>
                <w:rFonts w:ascii="Verdana" w:hAnsi="Verdana"/>
              </w:rPr>
            </w:pPr>
            <w:r w:rsidRPr="00C21B70">
              <w:rPr>
                <w:rFonts w:ascii="Verdana" w:hAnsi="Verdana"/>
              </w:rPr>
              <w:t>2.5 %</w:t>
            </w:r>
          </w:p>
        </w:tc>
      </w:tr>
      <w:tr w:rsidR="00C21B70" w:rsidRPr="00C21B70" w14:paraId="26F280B8" w14:textId="77777777" w:rsidTr="00C21B70">
        <w:tc>
          <w:tcPr>
            <w:tcW w:w="750" w:type="pct"/>
            <w:hideMark/>
          </w:tcPr>
          <w:p w14:paraId="059FBCD9" w14:textId="77777777" w:rsidR="00C21B70" w:rsidRPr="00C21B70" w:rsidRDefault="00C21B70" w:rsidP="00C21B70">
            <w:pPr>
              <w:spacing w:after="160" w:line="259" w:lineRule="auto"/>
              <w:jc w:val="both"/>
              <w:rPr>
                <w:rFonts w:ascii="Verdana" w:hAnsi="Verdana"/>
              </w:rPr>
            </w:pPr>
            <w:r w:rsidRPr="00C21B70">
              <w:rPr>
                <w:rFonts w:ascii="Verdana" w:hAnsi="Verdana"/>
              </w:rPr>
              <w:t>2</w:t>
            </w:r>
          </w:p>
        </w:tc>
        <w:tc>
          <w:tcPr>
            <w:tcW w:w="2600" w:type="pct"/>
            <w:hideMark/>
          </w:tcPr>
          <w:p w14:paraId="5C1C8A9A" w14:textId="77777777" w:rsidR="00C21B70" w:rsidRPr="00C21B70" w:rsidRDefault="00C21B70" w:rsidP="00C21B70">
            <w:pPr>
              <w:spacing w:after="160" w:line="259" w:lineRule="auto"/>
              <w:jc w:val="both"/>
              <w:rPr>
                <w:rFonts w:ascii="Verdana" w:hAnsi="Verdana"/>
              </w:rPr>
            </w:pPr>
            <w:r w:rsidRPr="00C21B70">
              <w:rPr>
                <w:rFonts w:ascii="Verdana" w:hAnsi="Verdana"/>
              </w:rPr>
              <w:t>Más de 1 S.M.L.M.V y hasta 2 S.M.L.</w:t>
            </w:r>
            <w:proofErr w:type="gramStart"/>
            <w:r w:rsidRPr="00C21B70">
              <w:rPr>
                <w:rFonts w:ascii="Verdana" w:hAnsi="Verdana"/>
              </w:rPr>
              <w:t>M.V</w:t>
            </w:r>
            <w:proofErr w:type="gramEnd"/>
          </w:p>
        </w:tc>
        <w:tc>
          <w:tcPr>
            <w:tcW w:w="1650" w:type="pct"/>
            <w:hideMark/>
          </w:tcPr>
          <w:p w14:paraId="4DFE1182" w14:textId="77777777" w:rsidR="00C21B70" w:rsidRPr="00C21B70" w:rsidRDefault="00C21B70" w:rsidP="00C21B70">
            <w:pPr>
              <w:spacing w:after="160" w:line="259" w:lineRule="auto"/>
              <w:jc w:val="both"/>
              <w:rPr>
                <w:rFonts w:ascii="Verdana" w:hAnsi="Verdana"/>
              </w:rPr>
            </w:pPr>
            <w:r w:rsidRPr="00C21B70">
              <w:rPr>
                <w:rFonts w:ascii="Verdana" w:hAnsi="Verdana"/>
              </w:rPr>
              <w:t>3.5%</w:t>
            </w:r>
          </w:p>
        </w:tc>
      </w:tr>
      <w:tr w:rsidR="00C21B70" w:rsidRPr="00C21B70" w14:paraId="69F630EF" w14:textId="77777777" w:rsidTr="00C21B70">
        <w:tc>
          <w:tcPr>
            <w:tcW w:w="750" w:type="pct"/>
            <w:hideMark/>
          </w:tcPr>
          <w:p w14:paraId="4040DA2D" w14:textId="77777777" w:rsidR="00C21B70" w:rsidRPr="00C21B70" w:rsidRDefault="00C21B70" w:rsidP="00C21B70">
            <w:pPr>
              <w:spacing w:after="160" w:line="259" w:lineRule="auto"/>
              <w:jc w:val="both"/>
              <w:rPr>
                <w:rFonts w:ascii="Verdana" w:hAnsi="Verdana"/>
              </w:rPr>
            </w:pPr>
            <w:r w:rsidRPr="00C21B70">
              <w:rPr>
                <w:rFonts w:ascii="Verdana" w:hAnsi="Verdana"/>
              </w:rPr>
              <w:t>3</w:t>
            </w:r>
          </w:p>
        </w:tc>
        <w:tc>
          <w:tcPr>
            <w:tcW w:w="2600" w:type="pct"/>
            <w:hideMark/>
          </w:tcPr>
          <w:p w14:paraId="12FEC731" w14:textId="77777777" w:rsidR="00C21B70" w:rsidRPr="00C21B70" w:rsidRDefault="00C21B70" w:rsidP="00C21B70">
            <w:pPr>
              <w:spacing w:after="160" w:line="259" w:lineRule="auto"/>
              <w:jc w:val="both"/>
              <w:rPr>
                <w:rFonts w:ascii="Verdana" w:hAnsi="Verdana"/>
              </w:rPr>
            </w:pPr>
            <w:r w:rsidRPr="00C21B70">
              <w:rPr>
                <w:rFonts w:ascii="Verdana" w:hAnsi="Verdana"/>
              </w:rPr>
              <w:t>Más de 2 S.M.L.M.V y hasta 3 S.M.L.</w:t>
            </w:r>
            <w:proofErr w:type="gramStart"/>
            <w:r w:rsidRPr="00C21B70">
              <w:rPr>
                <w:rFonts w:ascii="Verdana" w:hAnsi="Verdana"/>
              </w:rPr>
              <w:t>M.V</w:t>
            </w:r>
            <w:proofErr w:type="gramEnd"/>
          </w:p>
        </w:tc>
        <w:tc>
          <w:tcPr>
            <w:tcW w:w="1650" w:type="pct"/>
            <w:hideMark/>
          </w:tcPr>
          <w:p w14:paraId="532C6A48" w14:textId="77777777" w:rsidR="00C21B70" w:rsidRPr="00C21B70" w:rsidRDefault="00C21B70" w:rsidP="00C21B70">
            <w:pPr>
              <w:spacing w:after="160" w:line="259" w:lineRule="auto"/>
              <w:jc w:val="both"/>
              <w:rPr>
                <w:rFonts w:ascii="Verdana" w:hAnsi="Verdana"/>
              </w:rPr>
            </w:pPr>
            <w:r w:rsidRPr="00C21B70">
              <w:rPr>
                <w:rFonts w:ascii="Verdana" w:hAnsi="Verdana"/>
              </w:rPr>
              <w:t>5.0%</w:t>
            </w:r>
          </w:p>
        </w:tc>
      </w:tr>
      <w:tr w:rsidR="00C21B70" w:rsidRPr="00C21B70" w14:paraId="1AADC0E8" w14:textId="77777777" w:rsidTr="00C21B70">
        <w:tc>
          <w:tcPr>
            <w:tcW w:w="750" w:type="pct"/>
            <w:hideMark/>
          </w:tcPr>
          <w:p w14:paraId="24C0266E" w14:textId="77777777" w:rsidR="00C21B70" w:rsidRPr="00C21B70" w:rsidRDefault="00C21B70" w:rsidP="00C21B70">
            <w:pPr>
              <w:spacing w:after="160" w:line="259" w:lineRule="auto"/>
              <w:jc w:val="both"/>
              <w:rPr>
                <w:rFonts w:ascii="Verdana" w:hAnsi="Verdana"/>
              </w:rPr>
            </w:pPr>
            <w:r w:rsidRPr="00C21B70">
              <w:rPr>
                <w:rFonts w:ascii="Verdana" w:hAnsi="Verdana"/>
              </w:rPr>
              <w:t>4</w:t>
            </w:r>
          </w:p>
        </w:tc>
        <w:tc>
          <w:tcPr>
            <w:tcW w:w="2600" w:type="pct"/>
            <w:hideMark/>
          </w:tcPr>
          <w:p w14:paraId="7A8F091F" w14:textId="77777777" w:rsidR="00C21B70" w:rsidRPr="00C21B70" w:rsidRDefault="00C21B70" w:rsidP="00C21B70">
            <w:pPr>
              <w:spacing w:after="160" w:line="259" w:lineRule="auto"/>
              <w:jc w:val="both"/>
              <w:rPr>
                <w:rFonts w:ascii="Verdana" w:hAnsi="Verdana"/>
              </w:rPr>
            </w:pPr>
            <w:r w:rsidRPr="00C21B70">
              <w:rPr>
                <w:rFonts w:ascii="Verdana" w:hAnsi="Verdana"/>
              </w:rPr>
              <w:t>Más de 3 S.M.L.M.V y hasta 4 S.M.L.</w:t>
            </w:r>
            <w:proofErr w:type="gramStart"/>
            <w:r w:rsidRPr="00C21B70">
              <w:rPr>
                <w:rFonts w:ascii="Verdana" w:hAnsi="Verdana"/>
              </w:rPr>
              <w:t>M.V</w:t>
            </w:r>
            <w:proofErr w:type="gramEnd"/>
          </w:p>
        </w:tc>
        <w:tc>
          <w:tcPr>
            <w:tcW w:w="1650" w:type="pct"/>
            <w:hideMark/>
          </w:tcPr>
          <w:p w14:paraId="5C5DEF2F" w14:textId="77777777" w:rsidR="00C21B70" w:rsidRPr="00C21B70" w:rsidRDefault="00C21B70" w:rsidP="00C21B70">
            <w:pPr>
              <w:spacing w:after="160" w:line="259" w:lineRule="auto"/>
              <w:jc w:val="both"/>
              <w:rPr>
                <w:rFonts w:ascii="Verdana" w:hAnsi="Verdana"/>
              </w:rPr>
            </w:pPr>
            <w:r w:rsidRPr="00C21B70">
              <w:rPr>
                <w:rFonts w:ascii="Verdana" w:hAnsi="Verdana"/>
              </w:rPr>
              <w:t>7.0%</w:t>
            </w:r>
          </w:p>
        </w:tc>
      </w:tr>
      <w:tr w:rsidR="00C21B70" w:rsidRPr="00C21B70" w14:paraId="4ACB8F04" w14:textId="77777777" w:rsidTr="00C21B70">
        <w:tc>
          <w:tcPr>
            <w:tcW w:w="750" w:type="pct"/>
            <w:hideMark/>
          </w:tcPr>
          <w:p w14:paraId="16CE4E2A" w14:textId="77777777" w:rsidR="00C21B70" w:rsidRPr="00C21B70" w:rsidRDefault="00C21B70" w:rsidP="00C21B70">
            <w:pPr>
              <w:spacing w:after="160" w:line="259" w:lineRule="auto"/>
              <w:jc w:val="both"/>
              <w:rPr>
                <w:rFonts w:ascii="Verdana" w:hAnsi="Verdana"/>
              </w:rPr>
            </w:pPr>
            <w:r w:rsidRPr="00C21B70">
              <w:rPr>
                <w:rFonts w:ascii="Verdana" w:hAnsi="Verdana"/>
              </w:rPr>
              <w:t>5</w:t>
            </w:r>
          </w:p>
        </w:tc>
        <w:tc>
          <w:tcPr>
            <w:tcW w:w="2600" w:type="pct"/>
            <w:hideMark/>
          </w:tcPr>
          <w:p w14:paraId="0399587C" w14:textId="77777777" w:rsidR="00C21B70" w:rsidRPr="00C21B70" w:rsidRDefault="00C21B70" w:rsidP="00C21B70">
            <w:pPr>
              <w:spacing w:after="160" w:line="259" w:lineRule="auto"/>
              <w:jc w:val="both"/>
              <w:rPr>
                <w:rFonts w:ascii="Verdana" w:hAnsi="Verdana"/>
              </w:rPr>
            </w:pPr>
            <w:r w:rsidRPr="00C21B70">
              <w:rPr>
                <w:rFonts w:ascii="Verdana" w:hAnsi="Verdana"/>
              </w:rPr>
              <w:t>Más de 4 S.M.L.M.V y hasta 5 S.M.L.</w:t>
            </w:r>
            <w:proofErr w:type="gramStart"/>
            <w:r w:rsidRPr="00C21B70">
              <w:rPr>
                <w:rFonts w:ascii="Verdana" w:hAnsi="Verdana"/>
              </w:rPr>
              <w:t>M.V</w:t>
            </w:r>
            <w:proofErr w:type="gramEnd"/>
          </w:p>
        </w:tc>
        <w:tc>
          <w:tcPr>
            <w:tcW w:w="1650" w:type="pct"/>
            <w:hideMark/>
          </w:tcPr>
          <w:p w14:paraId="2CE43B81" w14:textId="77777777" w:rsidR="00C21B70" w:rsidRPr="00C21B70" w:rsidRDefault="00C21B70" w:rsidP="00C21B70">
            <w:pPr>
              <w:spacing w:after="160" w:line="259" w:lineRule="auto"/>
              <w:jc w:val="both"/>
              <w:rPr>
                <w:rFonts w:ascii="Verdana" w:hAnsi="Verdana"/>
              </w:rPr>
            </w:pPr>
            <w:r w:rsidRPr="00C21B70">
              <w:rPr>
                <w:rFonts w:ascii="Verdana" w:hAnsi="Verdana"/>
              </w:rPr>
              <w:t>8.5%</w:t>
            </w:r>
          </w:p>
        </w:tc>
      </w:tr>
      <w:tr w:rsidR="00C21B70" w:rsidRPr="00C21B70" w14:paraId="7A617632" w14:textId="77777777" w:rsidTr="00C21B70">
        <w:tc>
          <w:tcPr>
            <w:tcW w:w="750" w:type="pct"/>
            <w:hideMark/>
          </w:tcPr>
          <w:p w14:paraId="7E3A6D68" w14:textId="77777777" w:rsidR="00C21B70" w:rsidRPr="00C21B70" w:rsidRDefault="00C21B70" w:rsidP="00C21B70">
            <w:pPr>
              <w:spacing w:after="160" w:line="259" w:lineRule="auto"/>
              <w:jc w:val="both"/>
              <w:rPr>
                <w:rFonts w:ascii="Verdana" w:hAnsi="Verdana"/>
              </w:rPr>
            </w:pPr>
            <w:r w:rsidRPr="00C21B70">
              <w:rPr>
                <w:rFonts w:ascii="Verdana" w:hAnsi="Verdana"/>
              </w:rPr>
              <w:t>6</w:t>
            </w:r>
          </w:p>
        </w:tc>
        <w:tc>
          <w:tcPr>
            <w:tcW w:w="2600" w:type="pct"/>
            <w:hideMark/>
          </w:tcPr>
          <w:p w14:paraId="228430A2" w14:textId="77777777" w:rsidR="00C21B70" w:rsidRPr="00C21B70" w:rsidRDefault="00C21B70" w:rsidP="00C21B70">
            <w:pPr>
              <w:spacing w:after="160" w:line="259" w:lineRule="auto"/>
              <w:jc w:val="both"/>
              <w:rPr>
                <w:rFonts w:ascii="Verdana" w:hAnsi="Verdana"/>
              </w:rPr>
            </w:pPr>
            <w:r w:rsidRPr="00C21B70">
              <w:rPr>
                <w:rFonts w:ascii="Verdana" w:hAnsi="Verdana"/>
              </w:rPr>
              <w:t>Más de 5 S.M.L.</w:t>
            </w:r>
            <w:proofErr w:type="gramStart"/>
            <w:r w:rsidRPr="00C21B70">
              <w:rPr>
                <w:rFonts w:ascii="Verdana" w:hAnsi="Verdana"/>
              </w:rPr>
              <w:t>M.V</w:t>
            </w:r>
            <w:proofErr w:type="gramEnd"/>
          </w:p>
        </w:tc>
        <w:tc>
          <w:tcPr>
            <w:tcW w:w="1650" w:type="pct"/>
            <w:hideMark/>
          </w:tcPr>
          <w:p w14:paraId="444A8873" w14:textId="77777777" w:rsidR="00C21B70" w:rsidRPr="00C21B70" w:rsidRDefault="00C21B70" w:rsidP="00C21B70">
            <w:pPr>
              <w:spacing w:after="160" w:line="259" w:lineRule="auto"/>
              <w:jc w:val="both"/>
              <w:rPr>
                <w:rFonts w:ascii="Verdana" w:hAnsi="Verdana"/>
              </w:rPr>
            </w:pPr>
            <w:r w:rsidRPr="00C21B70">
              <w:rPr>
                <w:rFonts w:ascii="Verdana" w:hAnsi="Verdana"/>
              </w:rPr>
              <w:t>10.0%</w:t>
            </w:r>
          </w:p>
        </w:tc>
      </w:tr>
    </w:tbl>
    <w:p w14:paraId="5D71AE3A" w14:textId="1050AED2" w:rsidR="00C21B70" w:rsidRDefault="00C21B70" w:rsidP="00C21B70">
      <w:pPr>
        <w:jc w:val="both"/>
        <w:rPr>
          <w:rFonts w:ascii="Verdana" w:hAnsi="Verdana"/>
        </w:rPr>
      </w:pPr>
    </w:p>
    <w:p w14:paraId="5F05FB48" w14:textId="61AA551F" w:rsidR="00C21B70" w:rsidRPr="00C21B70" w:rsidRDefault="00C21B70" w:rsidP="00C21B70">
      <w:pPr>
        <w:jc w:val="both"/>
        <w:rPr>
          <w:rFonts w:ascii="Verdana" w:hAnsi="Verdana"/>
        </w:rPr>
      </w:pPr>
      <w:r w:rsidRPr="00C21B70">
        <w:rPr>
          <w:rFonts w:ascii="Verdana" w:hAnsi="Verdana"/>
          <w:b/>
          <w:bCs/>
        </w:rPr>
        <w:t xml:space="preserve">PARÁGRAFO </w:t>
      </w:r>
      <w:r w:rsidRPr="00C21B70">
        <w:rPr>
          <w:rFonts w:ascii="Verdana" w:hAnsi="Verdana"/>
          <w:b/>
          <w:bCs/>
        </w:rPr>
        <w:t>1o</w:t>
      </w:r>
      <w:r w:rsidRPr="00C21B70">
        <w:rPr>
          <w:rFonts w:ascii="Verdana" w:hAnsi="Verdana"/>
          <w:b/>
          <w:bCs/>
        </w:rPr>
        <w:t>.</w:t>
      </w:r>
      <w:r w:rsidRPr="00C21B70">
        <w:rPr>
          <w:rFonts w:ascii="Verdana" w:hAnsi="Verdana"/>
        </w:rPr>
        <w:t xml:space="preserve"> Los valores de las tasas compensatorias deberán acercarse aproximadamente a la centena más cercana por exceso o por defecto.</w:t>
      </w:r>
    </w:p>
    <w:p w14:paraId="43D36614" w14:textId="7F0C9CC5" w:rsidR="00C21B70" w:rsidRPr="00C21B70" w:rsidRDefault="00C21B70" w:rsidP="00C21B70">
      <w:pPr>
        <w:jc w:val="both"/>
        <w:rPr>
          <w:rFonts w:ascii="Verdana" w:hAnsi="Verdana"/>
        </w:rPr>
      </w:pPr>
      <w:r w:rsidRPr="00C21B70">
        <w:rPr>
          <w:rFonts w:ascii="Verdana" w:hAnsi="Verdana"/>
          <w:b/>
          <w:bCs/>
        </w:rPr>
        <w:t xml:space="preserve">PARÁGRAFO </w:t>
      </w:r>
      <w:r w:rsidRPr="00C21B70">
        <w:rPr>
          <w:rFonts w:ascii="Verdana" w:hAnsi="Verdana"/>
          <w:b/>
          <w:bCs/>
        </w:rPr>
        <w:t>2o</w:t>
      </w:r>
      <w:r w:rsidRPr="00C21B70">
        <w:rPr>
          <w:rFonts w:ascii="Verdana" w:hAnsi="Verdana"/>
        </w:rPr>
        <w:t>. Cuando la atención a los niños y niñas se brinde en media jornada el valor mínimo de la tasa compensatoria será el 70% del valor establecido para la jornada completa.</w:t>
      </w:r>
    </w:p>
    <w:p w14:paraId="38C1B7ED" w14:textId="2D689CFA" w:rsidR="00C21B70" w:rsidRPr="00C21B70" w:rsidRDefault="00C21B70" w:rsidP="00C21B70">
      <w:pPr>
        <w:jc w:val="both"/>
        <w:rPr>
          <w:rFonts w:ascii="Verdana" w:hAnsi="Verdana"/>
        </w:rPr>
      </w:pPr>
      <w:r w:rsidRPr="00C21B70">
        <w:rPr>
          <w:rFonts w:ascii="Verdana" w:hAnsi="Verdana"/>
          <w:b/>
          <w:bCs/>
        </w:rPr>
        <w:t xml:space="preserve">PARÁGRAFO </w:t>
      </w:r>
      <w:r w:rsidRPr="00C21B70">
        <w:rPr>
          <w:rFonts w:ascii="Verdana" w:hAnsi="Verdana"/>
          <w:b/>
          <w:bCs/>
        </w:rPr>
        <w:t>3o</w:t>
      </w:r>
      <w:r w:rsidRPr="00C21B70">
        <w:rPr>
          <w:rFonts w:ascii="Verdana" w:hAnsi="Verdana"/>
          <w:b/>
          <w:bCs/>
        </w:rPr>
        <w:t>.</w:t>
      </w:r>
      <w:r w:rsidRPr="00C21B70">
        <w:rPr>
          <w:rFonts w:ascii="Verdana" w:hAnsi="Verdana"/>
        </w:rPr>
        <w:t xml:space="preserve"> Las diferentes unidades de servicio, respetando los mínimos y máximos planteados que son los mecanismos de ajuste, establecerán una cuota de participación única por ingreso familiar por niño, la cual debe tener como fundamento los aportes de las familias durante el año 2001 en términos de salario mínimo legal mensual vigente.</w:t>
      </w:r>
    </w:p>
    <w:p w14:paraId="7AB9E213" w14:textId="5F0D17E1" w:rsidR="00C21B70" w:rsidRPr="00C21B70" w:rsidRDefault="00C21B70" w:rsidP="00C21B70">
      <w:pPr>
        <w:jc w:val="both"/>
        <w:rPr>
          <w:rFonts w:ascii="Verdana" w:hAnsi="Verdana"/>
        </w:rPr>
      </w:pPr>
      <w:r w:rsidRPr="00C21B70">
        <w:rPr>
          <w:rFonts w:ascii="Verdana" w:hAnsi="Verdana"/>
          <w:b/>
          <w:bCs/>
        </w:rPr>
        <w:t xml:space="preserve">PARÁGRAFO </w:t>
      </w:r>
      <w:r w:rsidRPr="00C21B70">
        <w:rPr>
          <w:rFonts w:ascii="Verdana" w:hAnsi="Verdana"/>
          <w:b/>
          <w:bCs/>
        </w:rPr>
        <w:t>4o</w:t>
      </w:r>
      <w:r w:rsidRPr="00C21B70">
        <w:rPr>
          <w:rFonts w:ascii="Verdana" w:hAnsi="Verdana"/>
          <w:b/>
          <w:bCs/>
        </w:rPr>
        <w:t>.</w:t>
      </w:r>
      <w:r w:rsidRPr="00C21B70">
        <w:rPr>
          <w:rFonts w:ascii="Verdana" w:hAnsi="Verdana"/>
        </w:rPr>
        <w:t xml:space="preserve"> Para efectos de establecer la tarifa, dados los rangos definidos por el presente Acuerdo, el Hogar Infantil tendrá en cuenta las tasas del año inmediatamente anterior en términos de salario mínimo legal mensual vigente. El porcentaje que haya sido aplicado el año anterior deberá ser el mismo que se aplique en la actual vigencia. Este incremento solamente puede ser diferente si las tasas difieren de los rangos establecidos, en cuyo caso deberán ajustarse para quedar en el rango correspondiente. Por ningún motivo se podrán establecer cuotas por debajo del mínimo ni por encima del máximo definidos según ingresos familiares. La tarifa debe ser igual para las familias que tengan igual nivel de ingresos.</w:t>
      </w:r>
    </w:p>
    <w:p w14:paraId="0D783107" w14:textId="5AFB8EAE" w:rsidR="00C21B70" w:rsidRPr="00C21B70" w:rsidRDefault="00C21B70" w:rsidP="00C21B70">
      <w:pPr>
        <w:jc w:val="both"/>
        <w:rPr>
          <w:rFonts w:ascii="Verdana" w:hAnsi="Verdana"/>
        </w:rPr>
      </w:pPr>
      <w:r w:rsidRPr="00C21B70">
        <w:rPr>
          <w:rFonts w:ascii="Verdana" w:hAnsi="Verdana"/>
          <w:b/>
          <w:bCs/>
        </w:rPr>
        <w:t xml:space="preserve">ARTÍCULO </w:t>
      </w:r>
      <w:r w:rsidRPr="00C21B70">
        <w:rPr>
          <w:rFonts w:ascii="Verdana" w:hAnsi="Verdana"/>
          <w:b/>
          <w:bCs/>
        </w:rPr>
        <w:t>2o</w:t>
      </w:r>
      <w:r w:rsidRPr="00C21B70">
        <w:rPr>
          <w:rFonts w:ascii="Verdana" w:hAnsi="Verdana"/>
          <w:b/>
          <w:bCs/>
        </w:rPr>
        <w:t>.</w:t>
      </w:r>
      <w:r w:rsidRPr="00C21B70">
        <w:rPr>
          <w:rFonts w:ascii="Verdana" w:hAnsi="Verdana"/>
        </w:rPr>
        <w:t xml:space="preserve"> Para la selección de los usuarios de los Hogares Infantiles, se deberá tener en cuenta la atención de niños y niñas entre tres meses y cinco años de edad, desprotegidos por la ausencia diaria de sus padres o acudientes por razones de trabajo, estudio y otras circunstancias especiales comprobadas, </w:t>
      </w:r>
      <w:r w:rsidRPr="00C21B70">
        <w:rPr>
          <w:rFonts w:ascii="Verdana" w:hAnsi="Verdana"/>
        </w:rPr>
        <w:lastRenderedPageBreak/>
        <w:t>pertenecientes a sectores de población con vulnerabilidad económica, social y psicoafectiva.</w:t>
      </w:r>
    </w:p>
    <w:p w14:paraId="7932121D" w14:textId="3A42ED82" w:rsidR="00C21B70" w:rsidRPr="00C21B70" w:rsidRDefault="00C21B70" w:rsidP="00C21B70">
      <w:pPr>
        <w:jc w:val="both"/>
        <w:rPr>
          <w:rFonts w:ascii="Verdana" w:hAnsi="Verdana"/>
        </w:rPr>
      </w:pPr>
      <w:r w:rsidRPr="00C21B70">
        <w:rPr>
          <w:rFonts w:ascii="Verdana" w:hAnsi="Verdana"/>
          <w:b/>
          <w:bCs/>
        </w:rPr>
        <w:t xml:space="preserve">ARTÍCULO </w:t>
      </w:r>
      <w:r w:rsidRPr="00C21B70">
        <w:rPr>
          <w:rFonts w:ascii="Verdana" w:hAnsi="Verdana"/>
          <w:b/>
          <w:bCs/>
        </w:rPr>
        <w:t>3o</w:t>
      </w:r>
      <w:r w:rsidRPr="00C21B70">
        <w:rPr>
          <w:rFonts w:ascii="Verdana" w:hAnsi="Verdana"/>
          <w:b/>
          <w:bCs/>
        </w:rPr>
        <w:t>.</w:t>
      </w:r>
      <w:r w:rsidRPr="00C21B70">
        <w:rPr>
          <w:rFonts w:ascii="Verdana" w:hAnsi="Verdana"/>
        </w:rPr>
        <w:t xml:space="preserve"> El trabajador asalariado demostrará el monto de sus ingresos mediante la certificación de ingresos y retenciones expedida por el empleador y los trabajadores independientes con copia de la autoliquidación del aporte para seguridad social en salud, en primera instancia o con declaración </w:t>
      </w:r>
      <w:proofErr w:type="spellStart"/>
      <w:r w:rsidRPr="00C21B70">
        <w:rPr>
          <w:rFonts w:ascii="Verdana" w:hAnsi="Verdana"/>
        </w:rPr>
        <w:t>extrajuicio</w:t>
      </w:r>
      <w:proofErr w:type="spellEnd"/>
      <w:r w:rsidRPr="00C21B70">
        <w:rPr>
          <w:rFonts w:ascii="Verdana" w:hAnsi="Verdana"/>
        </w:rPr>
        <w:t xml:space="preserve"> en segunda instancia. Cuando el solicitante no pueda presentar ningún documento la tarifa se establecerá en el estudio derivado de la solicitud de ingreso.</w:t>
      </w:r>
    </w:p>
    <w:p w14:paraId="10EDE570" w14:textId="77777777" w:rsidR="00C21B70" w:rsidRPr="00C21B70" w:rsidRDefault="00C21B70" w:rsidP="00C21B70">
      <w:pPr>
        <w:jc w:val="both"/>
        <w:rPr>
          <w:rFonts w:ascii="Verdana" w:hAnsi="Verdana"/>
        </w:rPr>
      </w:pPr>
      <w:r w:rsidRPr="00C21B70">
        <w:rPr>
          <w:rFonts w:ascii="Verdana" w:hAnsi="Verdana"/>
          <w:b/>
          <w:bCs/>
        </w:rPr>
        <w:t>PARÁGRAFO</w:t>
      </w:r>
      <w:r w:rsidRPr="00C21B70">
        <w:rPr>
          <w:rFonts w:ascii="Verdana" w:hAnsi="Verdana"/>
        </w:rPr>
        <w:t>. Cuando se comprobare que el padre, madre o la persona responsable del cuidado del niño o la niña, presenta constancia de ingresos familiares inferiores a los percibidos realmente o alegare no recibir ingresos y los recibiera, se le aplicará retroactivamente la tasa que le corresponda.</w:t>
      </w:r>
    </w:p>
    <w:p w14:paraId="26BF027C" w14:textId="072B9C7A" w:rsidR="00C21B70" w:rsidRPr="00C21B70" w:rsidRDefault="00C21B70" w:rsidP="00C21B70">
      <w:pPr>
        <w:jc w:val="both"/>
        <w:rPr>
          <w:rFonts w:ascii="Verdana" w:hAnsi="Verdana"/>
        </w:rPr>
      </w:pPr>
      <w:r w:rsidRPr="00C21B70">
        <w:rPr>
          <w:rFonts w:ascii="Verdana" w:hAnsi="Verdana"/>
          <w:b/>
          <w:bCs/>
        </w:rPr>
        <w:t xml:space="preserve">ARTÍCULO </w:t>
      </w:r>
      <w:r w:rsidRPr="00C21B70">
        <w:rPr>
          <w:rFonts w:ascii="Verdana" w:hAnsi="Verdana"/>
          <w:b/>
          <w:bCs/>
        </w:rPr>
        <w:t>4o</w:t>
      </w:r>
      <w:r w:rsidRPr="00C21B70">
        <w:rPr>
          <w:rFonts w:ascii="Verdana" w:hAnsi="Verdana"/>
          <w:b/>
          <w:bCs/>
        </w:rPr>
        <w:t>.</w:t>
      </w:r>
      <w:r w:rsidRPr="00C21B70">
        <w:rPr>
          <w:rFonts w:ascii="Verdana" w:hAnsi="Verdana"/>
        </w:rPr>
        <w:t xml:space="preserve"> Los ingresos provenientes de las tasas compensatorias, los aportes del Instituto Colombiano de Bienestar Familiar y los de otras fuentes forman parte del presupuesto del Hogar Infantil.</w:t>
      </w:r>
    </w:p>
    <w:p w14:paraId="1ACA052C" w14:textId="2D5F3F42" w:rsidR="00C21B70" w:rsidRPr="00C21B70" w:rsidRDefault="00C21B70" w:rsidP="00C21B70">
      <w:pPr>
        <w:jc w:val="both"/>
        <w:rPr>
          <w:rFonts w:ascii="Verdana" w:hAnsi="Verdana"/>
        </w:rPr>
      </w:pPr>
      <w:r w:rsidRPr="00C21B70">
        <w:rPr>
          <w:rFonts w:ascii="Verdana" w:hAnsi="Verdana"/>
          <w:b/>
          <w:bCs/>
        </w:rPr>
        <w:t xml:space="preserve">ARTÍCULO </w:t>
      </w:r>
      <w:r w:rsidRPr="00C21B70">
        <w:rPr>
          <w:rFonts w:ascii="Verdana" w:hAnsi="Verdana"/>
          <w:b/>
          <w:bCs/>
        </w:rPr>
        <w:t>5o</w:t>
      </w:r>
      <w:r w:rsidRPr="00C21B70">
        <w:rPr>
          <w:rFonts w:ascii="Verdana" w:hAnsi="Verdana"/>
          <w:b/>
          <w:bCs/>
        </w:rPr>
        <w:t>.</w:t>
      </w:r>
      <w:r w:rsidRPr="00C21B70">
        <w:rPr>
          <w:rFonts w:ascii="Verdana" w:hAnsi="Verdana"/>
        </w:rPr>
        <w:t xml:space="preserve"> Cualquier otro aporte solicitado a los padres de familia será de carácter voluntario y en ningún caso podrá afectar la permanencia del niño en la institución. Estos recursos se incorporarán al presupuesto del Hogar Infantil.</w:t>
      </w:r>
    </w:p>
    <w:p w14:paraId="350AE9E0" w14:textId="227D24F2" w:rsidR="00C21B70" w:rsidRPr="00C21B70" w:rsidRDefault="00C21B70" w:rsidP="00C21B70">
      <w:pPr>
        <w:jc w:val="both"/>
        <w:rPr>
          <w:rFonts w:ascii="Verdana" w:hAnsi="Verdana"/>
        </w:rPr>
      </w:pPr>
      <w:r w:rsidRPr="00C21B70">
        <w:rPr>
          <w:rFonts w:ascii="Verdana" w:hAnsi="Verdana"/>
          <w:b/>
          <w:bCs/>
        </w:rPr>
        <w:t xml:space="preserve">ARTÍCULO </w:t>
      </w:r>
      <w:r w:rsidRPr="00C21B70">
        <w:rPr>
          <w:rFonts w:ascii="Verdana" w:hAnsi="Verdana"/>
          <w:b/>
          <w:bCs/>
        </w:rPr>
        <w:t>6o</w:t>
      </w:r>
      <w:r w:rsidRPr="00C21B70">
        <w:rPr>
          <w:rFonts w:ascii="Verdana" w:hAnsi="Verdana"/>
          <w:b/>
          <w:bCs/>
        </w:rPr>
        <w:t>.</w:t>
      </w:r>
      <w:r w:rsidRPr="00C21B70">
        <w:rPr>
          <w:rFonts w:ascii="Verdana" w:hAnsi="Verdana"/>
        </w:rPr>
        <w:t xml:space="preserve"> En ningún caso las Entidades Contratistas de los Hogares Infantiles podrán acordar tasas compensatorias diferentes a las señaladas en el presente Acuerdo.</w:t>
      </w:r>
    </w:p>
    <w:p w14:paraId="33B9B5CC" w14:textId="48BA5830" w:rsidR="00C21B70" w:rsidRPr="00C21B70" w:rsidRDefault="00C21B70" w:rsidP="00C21B70">
      <w:pPr>
        <w:jc w:val="both"/>
        <w:rPr>
          <w:rFonts w:ascii="Verdana" w:hAnsi="Verdana"/>
        </w:rPr>
      </w:pPr>
      <w:r w:rsidRPr="00C21B70">
        <w:rPr>
          <w:rFonts w:ascii="Verdana" w:hAnsi="Verdana"/>
          <w:b/>
          <w:bCs/>
        </w:rPr>
        <w:t xml:space="preserve">ARTÍCULO </w:t>
      </w:r>
      <w:r w:rsidRPr="00C21B70">
        <w:rPr>
          <w:rFonts w:ascii="Verdana" w:hAnsi="Verdana"/>
          <w:b/>
          <w:bCs/>
        </w:rPr>
        <w:t>7o</w:t>
      </w:r>
      <w:r w:rsidRPr="00C21B70">
        <w:rPr>
          <w:rFonts w:ascii="Verdana" w:hAnsi="Verdana"/>
          <w:b/>
          <w:bCs/>
        </w:rPr>
        <w:t>.</w:t>
      </w:r>
      <w:r w:rsidRPr="00C21B70">
        <w:rPr>
          <w:rFonts w:ascii="Verdana" w:hAnsi="Verdana"/>
        </w:rPr>
        <w:t xml:space="preserve"> El presente Acuerdo debe fijarse en la cartelera de cada Hogar Infantil, a la vista de los padres usuarios y del público en general, de manera permanente.</w:t>
      </w:r>
    </w:p>
    <w:p w14:paraId="722927A9" w14:textId="5504B098" w:rsidR="00C21B70" w:rsidRPr="00C21B70" w:rsidRDefault="00C21B70" w:rsidP="00C21B70">
      <w:pPr>
        <w:jc w:val="both"/>
        <w:rPr>
          <w:rFonts w:ascii="Verdana" w:hAnsi="Verdana"/>
        </w:rPr>
      </w:pPr>
      <w:r w:rsidRPr="00C21B70">
        <w:rPr>
          <w:rFonts w:ascii="Verdana" w:hAnsi="Verdana"/>
          <w:b/>
          <w:bCs/>
        </w:rPr>
        <w:t xml:space="preserve">ARTÍCULO </w:t>
      </w:r>
      <w:r w:rsidRPr="00C21B70">
        <w:rPr>
          <w:rFonts w:ascii="Verdana" w:hAnsi="Verdana"/>
          <w:b/>
          <w:bCs/>
        </w:rPr>
        <w:t>8o</w:t>
      </w:r>
      <w:r w:rsidRPr="00C21B70">
        <w:rPr>
          <w:rFonts w:ascii="Verdana" w:hAnsi="Verdana"/>
          <w:b/>
          <w:bCs/>
        </w:rPr>
        <w:t>.</w:t>
      </w:r>
      <w:r w:rsidRPr="00C21B70">
        <w:rPr>
          <w:rFonts w:ascii="Verdana" w:hAnsi="Verdana"/>
        </w:rPr>
        <w:t xml:space="preserve"> El presente acuerdo rige a partir de la fecha de su expedición.</w:t>
      </w:r>
    </w:p>
    <w:p w14:paraId="4548C7A8" w14:textId="42F9426C" w:rsidR="00C21B70" w:rsidRPr="00C21B70" w:rsidRDefault="00C21B70" w:rsidP="00C21B70">
      <w:pPr>
        <w:jc w:val="center"/>
        <w:rPr>
          <w:rFonts w:ascii="Verdana" w:hAnsi="Verdana"/>
          <w:b/>
          <w:bCs/>
        </w:rPr>
      </w:pPr>
      <w:r w:rsidRPr="00C21B70">
        <w:rPr>
          <w:rFonts w:ascii="Verdana" w:hAnsi="Verdana"/>
          <w:b/>
          <w:bCs/>
        </w:rPr>
        <w:t>COMUNÍQUESE Y CÚMPLASE</w:t>
      </w:r>
    </w:p>
    <w:p w14:paraId="378A02D5" w14:textId="6201297E" w:rsidR="00C21B70" w:rsidRPr="00C21B70" w:rsidRDefault="00C21B70" w:rsidP="00C21B70">
      <w:pPr>
        <w:jc w:val="center"/>
        <w:rPr>
          <w:rFonts w:ascii="Verdana" w:hAnsi="Verdana"/>
        </w:rPr>
      </w:pPr>
      <w:r w:rsidRPr="00C21B70">
        <w:rPr>
          <w:rFonts w:ascii="Verdana" w:hAnsi="Verdana"/>
        </w:rPr>
        <w:t>DADO EN BOGOTÁ, D.C. A LOS 3 DÍAS DEL MES DE ABRIL DE 2002</w:t>
      </w:r>
    </w:p>
    <w:p w14:paraId="185EA7B4" w14:textId="50920CE3" w:rsidR="00C21B70" w:rsidRPr="00C21B70" w:rsidRDefault="00C21B70" w:rsidP="00C21B70">
      <w:pPr>
        <w:jc w:val="center"/>
        <w:rPr>
          <w:rFonts w:ascii="Verdana" w:hAnsi="Verdana"/>
          <w:b/>
          <w:bCs/>
        </w:rPr>
      </w:pPr>
      <w:r w:rsidRPr="00C21B70">
        <w:rPr>
          <w:rFonts w:ascii="Verdana" w:hAnsi="Verdana"/>
          <w:b/>
          <w:bCs/>
        </w:rPr>
        <w:t>PRESIDENTE CONSEJO DIRECTIVO</w:t>
      </w:r>
    </w:p>
    <w:p w14:paraId="024F74BA" w14:textId="7B77BE89" w:rsidR="00C21B70" w:rsidRPr="00C21B70" w:rsidRDefault="00C21B70" w:rsidP="00C21B70">
      <w:pPr>
        <w:jc w:val="center"/>
        <w:rPr>
          <w:rFonts w:ascii="Verdana" w:hAnsi="Verdana"/>
        </w:rPr>
      </w:pPr>
      <w:r w:rsidRPr="00C21B70">
        <w:rPr>
          <w:rFonts w:ascii="Verdana" w:hAnsi="Verdana"/>
        </w:rPr>
        <w:t>SECRETARIO CONSEJO DIRECTIVO</w:t>
      </w:r>
    </w:p>
    <w:sectPr w:rsidR="00C21B70" w:rsidRPr="00C21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70"/>
    <w:rsid w:val="000B4793"/>
    <w:rsid w:val="00C21B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425C"/>
  <w15:chartTrackingRefBased/>
  <w15:docId w15:val="{D69615ED-48D1-4DAE-BC52-635714C7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1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42538">
      <w:bodyDiv w:val="1"/>
      <w:marLeft w:val="0"/>
      <w:marRight w:val="0"/>
      <w:marTop w:val="0"/>
      <w:marBottom w:val="0"/>
      <w:divBdr>
        <w:top w:val="none" w:sz="0" w:space="0" w:color="auto"/>
        <w:left w:val="none" w:sz="0" w:space="0" w:color="auto"/>
        <w:bottom w:val="none" w:sz="0" w:space="0" w:color="auto"/>
        <w:right w:val="none" w:sz="0" w:space="0" w:color="auto"/>
      </w:divBdr>
    </w:div>
    <w:div w:id="791246284">
      <w:bodyDiv w:val="1"/>
      <w:marLeft w:val="0"/>
      <w:marRight w:val="0"/>
      <w:marTop w:val="0"/>
      <w:marBottom w:val="0"/>
      <w:divBdr>
        <w:top w:val="none" w:sz="0" w:space="0" w:color="auto"/>
        <w:left w:val="none" w:sz="0" w:space="0" w:color="auto"/>
        <w:bottom w:val="none" w:sz="0" w:space="0" w:color="auto"/>
        <w:right w:val="none" w:sz="0" w:space="0" w:color="auto"/>
      </w:divBdr>
    </w:div>
    <w:div w:id="897744612">
      <w:bodyDiv w:val="1"/>
      <w:marLeft w:val="0"/>
      <w:marRight w:val="0"/>
      <w:marTop w:val="0"/>
      <w:marBottom w:val="0"/>
      <w:divBdr>
        <w:top w:val="none" w:sz="0" w:space="0" w:color="auto"/>
        <w:left w:val="none" w:sz="0" w:space="0" w:color="auto"/>
        <w:bottom w:val="none" w:sz="0" w:space="0" w:color="auto"/>
        <w:right w:val="none" w:sz="0" w:space="0" w:color="auto"/>
      </w:divBdr>
    </w:div>
    <w:div w:id="1148670361">
      <w:bodyDiv w:val="1"/>
      <w:marLeft w:val="0"/>
      <w:marRight w:val="0"/>
      <w:marTop w:val="0"/>
      <w:marBottom w:val="0"/>
      <w:divBdr>
        <w:top w:val="none" w:sz="0" w:space="0" w:color="auto"/>
        <w:left w:val="none" w:sz="0" w:space="0" w:color="auto"/>
        <w:bottom w:val="none" w:sz="0" w:space="0" w:color="auto"/>
        <w:right w:val="none" w:sz="0" w:space="0" w:color="auto"/>
      </w:divBdr>
    </w:div>
    <w:div w:id="182524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FC66A-186F-42FE-A754-12D4D218DD36}"/>
</file>

<file path=customXml/itemProps2.xml><?xml version="1.0" encoding="utf-8"?>
<ds:datastoreItem xmlns:ds="http://schemas.openxmlformats.org/officeDocument/2006/customXml" ds:itemID="{6520BD3A-F54D-4DE5-A791-9568FE020FDB}"/>
</file>

<file path=customXml/itemProps3.xml><?xml version="1.0" encoding="utf-8"?>
<ds:datastoreItem xmlns:ds="http://schemas.openxmlformats.org/officeDocument/2006/customXml" ds:itemID="{3000AA19-937D-4671-9492-C248DB8EC8DE}"/>
</file>

<file path=docProps/app.xml><?xml version="1.0" encoding="utf-8"?>
<Properties xmlns="http://schemas.openxmlformats.org/officeDocument/2006/extended-properties" xmlns:vt="http://schemas.openxmlformats.org/officeDocument/2006/docPropsVTypes">
  <Template>Normal</Template>
  <TotalTime>9</TotalTime>
  <Pages>5</Pages>
  <Words>1147</Words>
  <Characters>6312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2026-04-08T16:28:00Z</dcterms:created>
  <dcterms:modified xsi:type="dcterms:W3CDTF">2026-04-08T16:37:00Z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