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1E29" w14:textId="77777777" w:rsidR="00F15D83" w:rsidRPr="00F15D83" w:rsidRDefault="00F15D83" w:rsidP="00F15D83">
      <w:pPr>
        <w:jc w:val="center"/>
      </w:pPr>
      <w:r w:rsidRPr="00F15D83">
        <w:rPr>
          <w:b/>
          <w:bCs/>
        </w:rPr>
        <w:t>ACUERDO 4 DE 1993</w:t>
      </w:r>
    </w:p>
    <w:p w14:paraId="228250D7" w14:textId="2A1A4C3F" w:rsidR="00F15D83" w:rsidRPr="00663CE8" w:rsidRDefault="00F15D83" w:rsidP="00F15D83">
      <w:pPr>
        <w:pStyle w:val="Sinespaciado"/>
        <w:rPr>
          <w:rFonts w:ascii="Verdana" w:hAnsi="Verdana"/>
          <w:sz w:val="20"/>
          <w:szCs w:val="20"/>
        </w:rPr>
      </w:pPr>
      <w:r w:rsidRPr="00663CE8">
        <w:rPr>
          <w:rFonts w:ascii="Verdana" w:hAnsi="Verdana"/>
          <w:sz w:val="20"/>
          <w:szCs w:val="20"/>
        </w:rPr>
        <w:t xml:space="preserve">Fecha de Expedición: </w:t>
      </w:r>
      <w:r w:rsidRPr="00F15D83">
        <w:rPr>
          <w:rFonts w:ascii="Verdana" w:hAnsi="Verdana"/>
          <w:sz w:val="20"/>
          <w:szCs w:val="20"/>
        </w:rPr>
        <w:t>20 de enero</w:t>
      </w:r>
      <w:r>
        <w:rPr>
          <w:rFonts w:ascii="Verdana" w:hAnsi="Verdana"/>
          <w:sz w:val="20"/>
          <w:szCs w:val="20"/>
        </w:rPr>
        <w:t xml:space="preserve"> de 1993 </w:t>
      </w:r>
    </w:p>
    <w:p w14:paraId="7C6414E7" w14:textId="5784A31C" w:rsidR="00F15D83" w:rsidRPr="00663CE8" w:rsidRDefault="00F15D83" w:rsidP="00F15D83">
      <w:pPr>
        <w:pStyle w:val="Sinespaciado"/>
        <w:rPr>
          <w:rFonts w:ascii="Verdana" w:hAnsi="Verdana"/>
          <w:sz w:val="20"/>
          <w:szCs w:val="20"/>
        </w:rPr>
      </w:pPr>
      <w:r w:rsidRPr="00663CE8">
        <w:rPr>
          <w:rFonts w:ascii="Verdana" w:hAnsi="Verdana"/>
          <w:sz w:val="20"/>
          <w:szCs w:val="20"/>
        </w:rPr>
        <w:t xml:space="preserve">Fecha de entrada en vigencia: </w:t>
      </w:r>
      <w:r w:rsidRPr="00F15D83">
        <w:rPr>
          <w:rFonts w:ascii="Verdana" w:hAnsi="Verdana"/>
          <w:sz w:val="20"/>
          <w:szCs w:val="20"/>
        </w:rPr>
        <w:t>20 de enero de 1993</w:t>
      </w:r>
      <w:r>
        <w:rPr>
          <w:rFonts w:ascii="Verdana" w:hAnsi="Verdana"/>
          <w:sz w:val="20"/>
          <w:szCs w:val="20"/>
        </w:rPr>
        <w:t xml:space="preserve"> </w:t>
      </w:r>
      <w:r>
        <w:rPr>
          <w:rFonts w:ascii="Verdana" w:hAnsi="Verdana"/>
          <w:sz w:val="20"/>
          <w:szCs w:val="20"/>
        </w:rPr>
        <w:tab/>
      </w:r>
    </w:p>
    <w:p w14:paraId="2682E917" w14:textId="748170B8" w:rsidR="00F15D83" w:rsidRDefault="00F15D83" w:rsidP="00F15D83">
      <w:pPr>
        <w:pStyle w:val="Sinespaciado"/>
        <w:rPr>
          <w:rFonts w:ascii="Verdana" w:hAnsi="Verdana"/>
          <w:sz w:val="20"/>
          <w:szCs w:val="20"/>
        </w:rPr>
      </w:pPr>
      <w:r w:rsidRPr="00663CE8">
        <w:rPr>
          <w:rFonts w:ascii="Verdana" w:hAnsi="Verdana"/>
          <w:sz w:val="20"/>
          <w:szCs w:val="20"/>
        </w:rPr>
        <w:t xml:space="preserve">Estado de la vigencia: </w:t>
      </w:r>
      <w:r w:rsidRPr="00F15D83">
        <w:rPr>
          <w:rFonts w:ascii="Verdana" w:hAnsi="Verdana"/>
          <w:sz w:val="20"/>
          <w:szCs w:val="20"/>
        </w:rPr>
        <w:t>derogado por el artículo 15 del Acuerdo 1 de 2017</w:t>
      </w:r>
    </w:p>
    <w:p w14:paraId="0734E4E9" w14:textId="77777777" w:rsidR="00F15D83" w:rsidRPr="00663CE8" w:rsidRDefault="00F15D83" w:rsidP="00F15D83">
      <w:pPr>
        <w:pStyle w:val="Sinespaciado"/>
        <w:rPr>
          <w:rFonts w:ascii="Verdana" w:hAnsi="Verdana"/>
          <w:sz w:val="20"/>
          <w:szCs w:val="20"/>
        </w:rPr>
      </w:pPr>
    </w:p>
    <w:p w14:paraId="133E720C" w14:textId="77777777" w:rsidR="00F15D83" w:rsidRPr="00663CE8" w:rsidRDefault="00F15D83" w:rsidP="00F15D83">
      <w:pPr>
        <w:pStyle w:val="Sinespaciado"/>
        <w:rPr>
          <w:rFonts w:ascii="Verdana" w:hAnsi="Verdana"/>
          <w:sz w:val="20"/>
          <w:szCs w:val="20"/>
        </w:rPr>
      </w:pPr>
      <w:r w:rsidRPr="00663CE8">
        <w:rPr>
          <w:rFonts w:ascii="Verdana" w:hAnsi="Verdana"/>
          <w:sz w:val="20"/>
          <w:szCs w:val="20"/>
        </w:rPr>
        <w:t>Fecha de publicación en Diario Oficial: N/A</w:t>
      </w:r>
    </w:p>
    <w:p w14:paraId="5DAA0110" w14:textId="77777777" w:rsidR="00F15D83" w:rsidRDefault="00F15D83" w:rsidP="00F15D83">
      <w:pPr>
        <w:pStyle w:val="Sinespaciado"/>
        <w:rPr>
          <w:rFonts w:ascii="Verdana" w:hAnsi="Verdana"/>
          <w:sz w:val="20"/>
          <w:szCs w:val="20"/>
        </w:rPr>
      </w:pPr>
      <w:r w:rsidRPr="00663CE8">
        <w:rPr>
          <w:rFonts w:ascii="Verdana" w:hAnsi="Verdana"/>
          <w:sz w:val="20"/>
          <w:szCs w:val="20"/>
        </w:rPr>
        <w:t>Número del Diario Oficial: N/A</w:t>
      </w:r>
    </w:p>
    <w:p w14:paraId="5DF7A052" w14:textId="77777777" w:rsidR="00F15D83" w:rsidRPr="00663CE8" w:rsidRDefault="00F15D83" w:rsidP="00F15D83">
      <w:pPr>
        <w:pStyle w:val="Sinespaciado"/>
        <w:rPr>
          <w:rFonts w:ascii="Verdana" w:hAnsi="Verdana"/>
          <w:sz w:val="20"/>
          <w:szCs w:val="20"/>
        </w:rPr>
      </w:pPr>
    </w:p>
    <w:p w14:paraId="5C46834B" w14:textId="77777777" w:rsidR="00F15D83" w:rsidRPr="00F15D83" w:rsidRDefault="00F15D83" w:rsidP="00F15D83">
      <w:pPr>
        <w:jc w:val="center"/>
      </w:pPr>
      <w:r w:rsidRPr="00F15D83">
        <w:rPr>
          <w:b/>
          <w:bCs/>
        </w:rPr>
        <w:t>ACUERDO 4 DE 1993</w:t>
      </w:r>
    </w:p>
    <w:p w14:paraId="1827ABD7" w14:textId="3DC816C6" w:rsidR="00F15D83" w:rsidRPr="00E850AE" w:rsidRDefault="00F15D83" w:rsidP="00F15D83">
      <w:pPr>
        <w:jc w:val="center"/>
      </w:pPr>
      <w:r w:rsidRPr="00E850AE">
        <w:t>(20 de enero)</w:t>
      </w:r>
    </w:p>
    <w:p w14:paraId="12488E79" w14:textId="77777777" w:rsidR="00F15D83" w:rsidRPr="00F15D83" w:rsidRDefault="00F15D83" w:rsidP="00F15D83">
      <w:pPr>
        <w:jc w:val="center"/>
      </w:pPr>
      <w:r w:rsidRPr="00F15D83">
        <w:rPr>
          <w:b/>
          <w:bCs/>
        </w:rPr>
        <w:t>INSTITUTO COLOMBIANO DE BIENESTAR FAMILIAR</w:t>
      </w:r>
    </w:p>
    <w:p w14:paraId="4FC4CFAC" w14:textId="77777777" w:rsidR="00F15D83" w:rsidRPr="00F15D83" w:rsidRDefault="00F15D83" w:rsidP="00F15D83">
      <w:pPr>
        <w:jc w:val="center"/>
      </w:pPr>
      <w:r w:rsidRPr="00F15D83">
        <w:t xml:space="preserve">"Por el cual se establece Prima técnica para los empleos de </w:t>
      </w:r>
      <w:proofErr w:type="gramStart"/>
      <w:r w:rsidRPr="00F15D83">
        <w:t>Secretario General</w:t>
      </w:r>
      <w:proofErr w:type="gramEnd"/>
      <w:r w:rsidRPr="00F15D83">
        <w:t xml:space="preserve"> y </w:t>
      </w:r>
      <w:proofErr w:type="gramStart"/>
      <w:r w:rsidRPr="00F15D83">
        <w:t>Jefe</w:t>
      </w:r>
      <w:proofErr w:type="gramEnd"/>
      <w:r w:rsidRPr="00F15D83">
        <w:t xml:space="preserve"> de Oficina y se determina la ponderación de los factores para su otorgamiento"</w:t>
      </w:r>
    </w:p>
    <w:p w14:paraId="4C5FCBD5" w14:textId="77777777" w:rsidR="00F15D83" w:rsidRPr="00F15D83" w:rsidRDefault="00F15D83" w:rsidP="00F15D83">
      <w:pPr>
        <w:jc w:val="center"/>
      </w:pPr>
      <w:r w:rsidRPr="00F15D83">
        <w:rPr>
          <w:b/>
          <w:bCs/>
        </w:rPr>
        <w:t>LA JUNTA DIRECTIVA DEL INSTITUTO COLOMBIANO DE BIENESTAR FAMILIAR</w:t>
      </w:r>
    </w:p>
    <w:p w14:paraId="121B75C3" w14:textId="5A36C5DF" w:rsidR="00F15D83" w:rsidRPr="00F15D83" w:rsidRDefault="00F15D83" w:rsidP="00F15D83">
      <w:pPr>
        <w:jc w:val="center"/>
      </w:pPr>
      <w:r w:rsidRPr="00F15D83">
        <w:t xml:space="preserve">en uso de sus atribuciones legales y estatutarias, y en especial las conferidas en el artículo 9o. del Decreto 1661 de 1991 y en </w:t>
      </w:r>
      <w:proofErr w:type="gramStart"/>
      <w:r w:rsidRPr="00F15D83">
        <w:t>los artículo</w:t>
      </w:r>
      <w:proofErr w:type="gramEnd"/>
      <w:r w:rsidRPr="00F15D83">
        <w:t xml:space="preserve"> 7o y 8o del Decreto 2164 de 1991, y</w:t>
      </w:r>
    </w:p>
    <w:p w14:paraId="428162FA" w14:textId="77777777" w:rsidR="00F15D83" w:rsidRPr="00F15D83" w:rsidRDefault="00F15D83" w:rsidP="00F15D83">
      <w:pPr>
        <w:jc w:val="center"/>
      </w:pPr>
      <w:r w:rsidRPr="00F15D83">
        <w:rPr>
          <w:b/>
          <w:bCs/>
        </w:rPr>
        <w:t>CONSIDERANDO:</w:t>
      </w:r>
    </w:p>
    <w:p w14:paraId="78BEDFF1" w14:textId="166BF5F2" w:rsidR="00F15D83" w:rsidRPr="00F15D83" w:rsidRDefault="00F15D83" w:rsidP="00F15D83">
      <w:pPr>
        <w:jc w:val="both"/>
      </w:pPr>
      <w:r w:rsidRPr="00F15D83">
        <w:t xml:space="preserve">Que el Decreto 1661 del 27 de junio de 1991 modifica el régimen de Prima Técnica, definiéndola como un reconocimiento económico para atraer o mantener en el servicio del Estado a funcionarios o empleados altamente calificados que se requieran para el desempeño de cargos cuyas funciones demanden la aplicación de conocimientos técnicos o científicos especializados o la realización de labores de dirección o de especial responsabilidad, de acuerdo con las necesidades </w:t>
      </w:r>
      <w:proofErr w:type="spellStart"/>
      <w:r w:rsidRPr="00F15D83">
        <w:t>especificas</w:t>
      </w:r>
      <w:proofErr w:type="spellEnd"/>
      <w:r w:rsidRPr="00F15D83">
        <w:t xml:space="preserve"> de cada organismo. Asimismo, como un reconocimiento al desempeño.</w:t>
      </w:r>
    </w:p>
    <w:p w14:paraId="4DA2198F" w14:textId="5BD08915" w:rsidR="00F15D83" w:rsidRPr="00F15D83" w:rsidRDefault="00F15D83" w:rsidP="00F15D83">
      <w:pPr>
        <w:jc w:val="both"/>
      </w:pPr>
      <w:r w:rsidRPr="00F15D83">
        <w:t xml:space="preserve">Que el Decreto 2164 de 1991, mediante el cual se reglamenta parcialmente el Decreto 1661 de 1991, en su </w:t>
      </w:r>
      <w:proofErr w:type="spellStart"/>
      <w:r w:rsidRPr="00F15D83">
        <w:t>articulo</w:t>
      </w:r>
      <w:proofErr w:type="spellEnd"/>
      <w:r w:rsidRPr="00F15D83">
        <w:t> 7o. establece que las Juntas o Consejos Directivos de las entidades descentralizadas conforme con las necesidades específicas del servicio, con la política de personal que se adopte y con sujeción a la disponibilidad presupuestal, determinarán, por medio de acuerdo, los niveles, las escalas o los grupos ocupacionales, las dependencias y los empleos susceptibles de asignación de prima técnica.</w:t>
      </w:r>
    </w:p>
    <w:p w14:paraId="5EBB6A46" w14:textId="77777777" w:rsidR="00F15D83" w:rsidRPr="00F15D83" w:rsidRDefault="00F15D83" w:rsidP="00F15D83">
      <w:pPr>
        <w:jc w:val="both"/>
      </w:pPr>
      <w:r w:rsidRPr="00F15D83">
        <w:t>Que, igualmente el citado Decreto 2164 de 1991, en su artículo 8o dispone que la ponderación de los factores que determine el porcentaje asignable al empleado, por concepto de Prima Técnica será establecida por Acuerdo o Resolución de las Juntas o Consejos Directivos en las entidades descentralizadas.</w:t>
      </w:r>
    </w:p>
    <w:p w14:paraId="56E8EBC6" w14:textId="77777777" w:rsidR="00F15D83" w:rsidRPr="00F15D83" w:rsidRDefault="00F15D83" w:rsidP="00F15D83">
      <w:pPr>
        <w:jc w:val="both"/>
      </w:pPr>
      <w:r w:rsidRPr="00F15D83">
        <w:lastRenderedPageBreak/>
        <w:t>Que los objetivos y funciones que la Ley le asigna al. Instituto Colombiano de Bienestar Familiar, exigen atraer o mantener en el servicio recurso humano altamente calificado susceptible de otorgamiento de Prima Técnica.</w:t>
      </w:r>
    </w:p>
    <w:p w14:paraId="40A9FDCC" w14:textId="77777777" w:rsidR="00F15D83" w:rsidRPr="00F15D83" w:rsidRDefault="00F15D83" w:rsidP="00F15D83">
      <w:pPr>
        <w:jc w:val="both"/>
      </w:pPr>
      <w:r w:rsidRPr="00F15D83">
        <w:t xml:space="preserve">Que, no </w:t>
      </w:r>
      <w:proofErr w:type="gramStart"/>
      <w:r w:rsidRPr="00F15D83">
        <w:t>obstante</w:t>
      </w:r>
      <w:proofErr w:type="gramEnd"/>
      <w:r w:rsidRPr="00F15D83">
        <w:t xml:space="preserve"> lo estipulado en el considerando anterior, la actual disponibilidad presupuestal conlleva en principio a limitar al máximo el número de empleos que pueden ser susceptibles de asignación de Prima Técnica.</w:t>
      </w:r>
    </w:p>
    <w:p w14:paraId="547A400B" w14:textId="77777777" w:rsidR="00F15D83" w:rsidRPr="00F15D83" w:rsidRDefault="00F15D83" w:rsidP="00F15D83">
      <w:pPr>
        <w:jc w:val="both"/>
      </w:pPr>
      <w:proofErr w:type="gramStart"/>
      <w:r w:rsidRPr="00F15D83">
        <w:t>Que</w:t>
      </w:r>
      <w:proofErr w:type="gramEnd"/>
      <w:r w:rsidRPr="00F15D83">
        <w:t xml:space="preserve"> por tanto, teniendo en cuenta la especial responsabilidad de las funciones que ejercen se han seleccionado los cargos de </w:t>
      </w:r>
      <w:proofErr w:type="gramStart"/>
      <w:r w:rsidRPr="00F15D83">
        <w:t>Secretario General</w:t>
      </w:r>
      <w:proofErr w:type="gramEnd"/>
      <w:r w:rsidRPr="00F15D83">
        <w:t xml:space="preserve"> y </w:t>
      </w:r>
      <w:proofErr w:type="gramStart"/>
      <w:r w:rsidRPr="00F15D83">
        <w:t>Jefe</w:t>
      </w:r>
      <w:proofErr w:type="gramEnd"/>
      <w:r w:rsidRPr="00F15D83">
        <w:t xml:space="preserve"> de Oficina, como susceptibles de asignación de Prima Técnica.</w:t>
      </w:r>
    </w:p>
    <w:p w14:paraId="70F7C407" w14:textId="77777777" w:rsidR="00F15D83" w:rsidRPr="00F15D83" w:rsidRDefault="00F15D83" w:rsidP="00F15D83">
      <w:pPr>
        <w:jc w:val="center"/>
      </w:pPr>
      <w:r w:rsidRPr="00F15D83">
        <w:rPr>
          <w:b/>
          <w:bCs/>
        </w:rPr>
        <w:t>ACUERDA:</w:t>
      </w:r>
    </w:p>
    <w:p w14:paraId="6C283F2B" w14:textId="0ECDD31D" w:rsidR="00F15D83" w:rsidRPr="00F15D83" w:rsidRDefault="00F15D83" w:rsidP="00F15D83">
      <w:pPr>
        <w:jc w:val="both"/>
      </w:pPr>
      <w:bookmarkStart w:id="0" w:name="1"/>
      <w:r w:rsidRPr="00E850AE">
        <w:rPr>
          <w:b/>
          <w:bCs/>
        </w:rPr>
        <w:t xml:space="preserve">ARTICULO </w:t>
      </w:r>
      <w:proofErr w:type="gramStart"/>
      <w:r w:rsidRPr="00E850AE">
        <w:rPr>
          <w:b/>
          <w:bCs/>
        </w:rPr>
        <w:t>PRIMERO.</w:t>
      </w:r>
      <w:bookmarkEnd w:id="0"/>
      <w:r w:rsidRPr="00E850AE">
        <w:rPr>
          <w:b/>
          <w:bCs/>
        </w:rPr>
        <w:t>-</w:t>
      </w:r>
      <w:proofErr w:type="gramEnd"/>
      <w:r w:rsidRPr="00F15D83">
        <w:rPr>
          <w:b/>
          <w:bCs/>
        </w:rPr>
        <w:t xml:space="preserve">  </w:t>
      </w:r>
      <w:proofErr w:type="spellStart"/>
      <w:r w:rsidRPr="00F15D83">
        <w:t>Establécese</w:t>
      </w:r>
      <w:proofErr w:type="spellEnd"/>
      <w:r w:rsidRPr="00F15D83">
        <w:t xml:space="preserve"> Prima Técnica mediante el criterio de evaluación del desempeño para los empleos de </w:t>
      </w:r>
      <w:proofErr w:type="gramStart"/>
      <w:r w:rsidRPr="00F15D83">
        <w:t>Secretario General</w:t>
      </w:r>
      <w:proofErr w:type="gramEnd"/>
      <w:r w:rsidRPr="00F15D83">
        <w:t xml:space="preserve"> y </w:t>
      </w:r>
      <w:proofErr w:type="gramStart"/>
      <w:r w:rsidRPr="00F15D83">
        <w:t>Jefe</w:t>
      </w:r>
      <w:proofErr w:type="gramEnd"/>
      <w:r w:rsidRPr="00F15D83">
        <w:t xml:space="preserve"> de Oficina de la planta de personal del Instituto Colombiano de Bienestar Familiar.</w:t>
      </w:r>
    </w:p>
    <w:p w14:paraId="5F0C53EC" w14:textId="0928A84D" w:rsidR="00F15D83" w:rsidRPr="00F15D83" w:rsidRDefault="00F15D83" w:rsidP="00F15D83">
      <w:pPr>
        <w:jc w:val="both"/>
      </w:pPr>
      <w:bookmarkStart w:id="1" w:name="2"/>
      <w:r w:rsidRPr="00E850AE">
        <w:rPr>
          <w:b/>
          <w:bCs/>
        </w:rPr>
        <w:t xml:space="preserve">ARTICULO </w:t>
      </w:r>
      <w:proofErr w:type="gramStart"/>
      <w:r w:rsidRPr="00E850AE">
        <w:rPr>
          <w:b/>
          <w:bCs/>
        </w:rPr>
        <w:t>SEGUNDO.</w:t>
      </w:r>
      <w:bookmarkEnd w:id="1"/>
      <w:r w:rsidRPr="00E850AE">
        <w:rPr>
          <w:b/>
          <w:bCs/>
        </w:rPr>
        <w:t>-</w:t>
      </w:r>
      <w:proofErr w:type="gramEnd"/>
      <w:r w:rsidRPr="00F15D83">
        <w:rPr>
          <w:b/>
          <w:bCs/>
        </w:rPr>
        <w:t xml:space="preserve">  </w:t>
      </w:r>
      <w:r w:rsidRPr="00F15D83">
        <w:t xml:space="preserve">Para determinar el porcentaje asignable a los empleados, por concepto de Prima Técnica mediante el criterio de evaluación del desempeño, que ocupen los cargos señalados en el artículo anterior, </w:t>
      </w:r>
      <w:proofErr w:type="spellStart"/>
      <w:r w:rsidRPr="00F15D83">
        <w:t>establécense</w:t>
      </w:r>
      <w:proofErr w:type="spellEnd"/>
      <w:r w:rsidRPr="00F15D83">
        <w:t xml:space="preserve"> los </w:t>
      </w:r>
      <w:proofErr w:type="gramStart"/>
      <w:r w:rsidRPr="00F15D83">
        <w:t>siguiente factores</w:t>
      </w:r>
      <w:proofErr w:type="gramEnd"/>
      <w:r w:rsidRPr="00F15D83">
        <w:t xml:space="preserve"> de valoración:</w:t>
      </w:r>
    </w:p>
    <w:tbl>
      <w:tblPr>
        <w:tblW w:w="3200" w:type="pct"/>
        <w:tblCellSpacing w:w="15" w:type="dxa"/>
        <w:tblInd w:w="1296" w:type="dxa"/>
        <w:tblCellMar>
          <w:top w:w="15" w:type="dxa"/>
          <w:left w:w="15" w:type="dxa"/>
          <w:bottom w:w="15" w:type="dxa"/>
          <w:right w:w="15" w:type="dxa"/>
        </w:tblCellMar>
        <w:tblLook w:val="04A0" w:firstRow="1" w:lastRow="0" w:firstColumn="1" w:lastColumn="0" w:noHBand="0" w:noVBand="1"/>
      </w:tblPr>
      <w:tblGrid>
        <w:gridCol w:w="3162"/>
        <w:gridCol w:w="2494"/>
      </w:tblGrid>
      <w:tr w:rsidR="00F15D83" w:rsidRPr="00F15D83" w14:paraId="4E45D6B9" w14:textId="77777777" w:rsidTr="00F15D83">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76FC75F3" w14:textId="77777777" w:rsidR="00F15D83" w:rsidRPr="00F15D83" w:rsidRDefault="00F15D83" w:rsidP="00F15D83">
            <w:pPr>
              <w:jc w:val="both"/>
            </w:pPr>
            <w:r w:rsidRPr="00F15D83">
              <w:rPr>
                <w:b/>
                <w:bCs/>
              </w:rPr>
              <w:t>Puntaje máximo</w:t>
            </w:r>
          </w:p>
        </w:tc>
      </w:tr>
      <w:tr w:rsidR="00F15D83" w:rsidRPr="00F15D83" w14:paraId="22DDF89F" w14:textId="77777777" w:rsidTr="00F15D83">
        <w:trPr>
          <w:tblCellSpacing w:w="15" w:type="dxa"/>
        </w:trPr>
        <w:tc>
          <w:tcPr>
            <w:tcW w:w="2800" w:type="pct"/>
            <w:tcBorders>
              <w:top w:val="nil"/>
              <w:left w:val="nil"/>
              <w:bottom w:val="nil"/>
              <w:right w:val="nil"/>
            </w:tcBorders>
            <w:tcMar>
              <w:top w:w="0" w:type="dxa"/>
              <w:left w:w="0" w:type="dxa"/>
              <w:bottom w:w="0" w:type="dxa"/>
              <w:right w:w="0" w:type="dxa"/>
            </w:tcMar>
            <w:hideMark/>
          </w:tcPr>
          <w:p w14:paraId="684B6354" w14:textId="77777777" w:rsidR="00F15D83" w:rsidRPr="00F15D83" w:rsidRDefault="00F15D83" w:rsidP="00F15D83">
            <w:pPr>
              <w:jc w:val="both"/>
            </w:pPr>
            <w:r w:rsidRPr="00F15D83">
              <w:rPr>
                <w:b/>
                <w:bCs/>
              </w:rPr>
              <w:br/>
            </w:r>
            <w:r w:rsidRPr="00F15D83">
              <w:br/>
              <w:t>Dirección y liderazgo</w:t>
            </w:r>
            <w:r w:rsidRPr="00F15D83">
              <w:br/>
              <w:t>Control</w:t>
            </w:r>
            <w:r w:rsidRPr="00F15D83">
              <w:br/>
              <w:t>Organización</w:t>
            </w:r>
            <w:r w:rsidRPr="00F15D83">
              <w:br/>
              <w:t>Aptitud de Servicio</w:t>
            </w:r>
          </w:p>
        </w:tc>
        <w:tc>
          <w:tcPr>
            <w:tcW w:w="2200" w:type="pct"/>
            <w:tcBorders>
              <w:top w:val="nil"/>
              <w:left w:val="nil"/>
              <w:bottom w:val="nil"/>
              <w:right w:val="nil"/>
            </w:tcBorders>
            <w:tcMar>
              <w:top w:w="0" w:type="dxa"/>
              <w:left w:w="0" w:type="dxa"/>
              <w:bottom w:w="0" w:type="dxa"/>
              <w:right w:w="0" w:type="dxa"/>
            </w:tcMar>
            <w:hideMark/>
          </w:tcPr>
          <w:p w14:paraId="2F2E6B7A" w14:textId="77777777" w:rsidR="00F15D83" w:rsidRPr="00F15D83" w:rsidRDefault="00F15D83" w:rsidP="00F15D83">
            <w:pPr>
              <w:jc w:val="both"/>
            </w:pPr>
            <w:r w:rsidRPr="00F15D83">
              <w:br/>
              <w:t>12</w:t>
            </w:r>
            <w:r w:rsidRPr="00F15D83">
              <w:br/>
              <w:t>12</w:t>
            </w:r>
            <w:r w:rsidRPr="00F15D83">
              <w:br/>
              <w:t>12</w:t>
            </w:r>
            <w:r w:rsidRPr="00F15D83">
              <w:br/>
              <w:t>14</w:t>
            </w:r>
          </w:p>
        </w:tc>
      </w:tr>
    </w:tbl>
    <w:p w14:paraId="3897A24F" w14:textId="77CD3E41" w:rsidR="00F15D83" w:rsidRPr="00F15D83" w:rsidRDefault="00F15D83" w:rsidP="00F15D83">
      <w:pPr>
        <w:jc w:val="both"/>
      </w:pPr>
      <w:bookmarkStart w:id="2" w:name="3"/>
      <w:r w:rsidRPr="00E850AE">
        <w:rPr>
          <w:b/>
          <w:bCs/>
        </w:rPr>
        <w:t xml:space="preserve">ARTICULO </w:t>
      </w:r>
      <w:proofErr w:type="gramStart"/>
      <w:r w:rsidRPr="00E850AE">
        <w:rPr>
          <w:b/>
          <w:bCs/>
        </w:rPr>
        <w:t>TERCERO.</w:t>
      </w:r>
      <w:bookmarkEnd w:id="2"/>
      <w:r w:rsidRPr="00E850AE">
        <w:rPr>
          <w:b/>
          <w:bCs/>
        </w:rPr>
        <w:t>-</w:t>
      </w:r>
      <w:proofErr w:type="gramEnd"/>
      <w:r w:rsidRPr="00F15D83">
        <w:rPr>
          <w:b/>
          <w:bCs/>
        </w:rPr>
        <w:t xml:space="preserve">  </w:t>
      </w:r>
      <w:r w:rsidRPr="00F15D83">
        <w:t>Los factores establecidos en el artículo anterior se definen así:</w:t>
      </w:r>
    </w:p>
    <w:p w14:paraId="2C3A9388" w14:textId="77777777" w:rsidR="00F15D83" w:rsidRPr="00F15D83" w:rsidRDefault="00F15D83" w:rsidP="00F15D83">
      <w:pPr>
        <w:jc w:val="both"/>
      </w:pPr>
      <w:r w:rsidRPr="00F15D83">
        <w:rPr>
          <w:b/>
          <w:bCs/>
        </w:rPr>
        <w:t>Dirección y Liderazgo: </w:t>
      </w:r>
      <w:r w:rsidRPr="00F15D83">
        <w:t>Capacidad para orientar, conducir y coordinar el trabajo de sus subalternos, teniendo en cuenta sus habilidades y conocimientos, hacia el logro de los objetivos del Instituto.</w:t>
      </w:r>
    </w:p>
    <w:p w14:paraId="5E3A9249" w14:textId="77777777" w:rsidR="00F15D83" w:rsidRPr="00F15D83" w:rsidRDefault="00F15D83" w:rsidP="00F15D83">
      <w:pPr>
        <w:jc w:val="both"/>
      </w:pPr>
      <w:r w:rsidRPr="00F15D83">
        <w:rPr>
          <w:b/>
          <w:bCs/>
        </w:rPr>
        <w:t>Control:</w:t>
      </w:r>
      <w:r w:rsidRPr="00F15D83">
        <w:t> Capacidad de prever los problemas y factores que afectan el proceso administrativo u operativo del Instituto, en lo concerniente al área que dirige, y de prevenirlos o manejarlos para lograr los mejores resultados.</w:t>
      </w:r>
    </w:p>
    <w:p w14:paraId="080AD81C" w14:textId="77777777" w:rsidR="00F15D83" w:rsidRPr="00F15D83" w:rsidRDefault="00F15D83" w:rsidP="00F15D83">
      <w:pPr>
        <w:jc w:val="both"/>
      </w:pPr>
      <w:r w:rsidRPr="00F15D83">
        <w:rPr>
          <w:b/>
          <w:bCs/>
        </w:rPr>
        <w:t>Organización: </w:t>
      </w:r>
      <w:r w:rsidRPr="00F15D83">
        <w:t>Capacidad de combinar armónicamente los recursos financieros, humanos, materiales y técnicos, para alcanzar los objetivos.</w:t>
      </w:r>
    </w:p>
    <w:p w14:paraId="231158A1" w14:textId="77777777" w:rsidR="00F15D83" w:rsidRPr="00F15D83" w:rsidRDefault="00F15D83" w:rsidP="00F15D83">
      <w:pPr>
        <w:jc w:val="both"/>
      </w:pPr>
      <w:r w:rsidRPr="00F15D83">
        <w:rPr>
          <w:b/>
          <w:bCs/>
        </w:rPr>
        <w:t>Aptitud de Servicio: </w:t>
      </w:r>
      <w:r w:rsidRPr="00F15D83">
        <w:t>Disposición a estar siempre estudiando cuales son las necesidades y expectativas de los usuarios del servicio que presta la entidad o el área que dirige, para buscar su satisfacción.</w:t>
      </w:r>
    </w:p>
    <w:p w14:paraId="6B81E3A4" w14:textId="17DA2ADE" w:rsidR="00F15D83" w:rsidRPr="00F15D83" w:rsidRDefault="00F15D83" w:rsidP="00F15D83">
      <w:pPr>
        <w:jc w:val="both"/>
      </w:pPr>
      <w:bookmarkStart w:id="3" w:name="4"/>
      <w:r w:rsidRPr="00E850AE">
        <w:rPr>
          <w:b/>
          <w:bCs/>
        </w:rPr>
        <w:lastRenderedPageBreak/>
        <w:t xml:space="preserve">ARTICULO </w:t>
      </w:r>
      <w:proofErr w:type="gramStart"/>
      <w:r w:rsidRPr="00E850AE">
        <w:rPr>
          <w:b/>
          <w:bCs/>
        </w:rPr>
        <w:t>CUARTO.</w:t>
      </w:r>
      <w:bookmarkEnd w:id="3"/>
      <w:r w:rsidRPr="00E850AE">
        <w:rPr>
          <w:b/>
          <w:bCs/>
        </w:rPr>
        <w:t>-</w:t>
      </w:r>
      <w:proofErr w:type="gramEnd"/>
      <w:r w:rsidRPr="00F15D83">
        <w:rPr>
          <w:b/>
          <w:bCs/>
        </w:rPr>
        <w:t xml:space="preserve">  </w:t>
      </w:r>
      <w:r w:rsidRPr="00F15D83">
        <w:t xml:space="preserve">La evaluación del desempeño de los funcionarios que ocupen los cargos de </w:t>
      </w:r>
      <w:proofErr w:type="gramStart"/>
      <w:r w:rsidRPr="00F15D83">
        <w:t>Secretario General</w:t>
      </w:r>
      <w:proofErr w:type="gramEnd"/>
      <w:r w:rsidRPr="00F15D83">
        <w:t xml:space="preserve"> y </w:t>
      </w:r>
      <w:proofErr w:type="gramStart"/>
      <w:r w:rsidRPr="00F15D83">
        <w:t>Jefe</w:t>
      </w:r>
      <w:proofErr w:type="gramEnd"/>
      <w:r w:rsidRPr="00F15D83">
        <w:t xml:space="preserve"> de Oficina la efectuara el </w:t>
      </w:r>
      <w:proofErr w:type="gramStart"/>
      <w:r w:rsidRPr="00F15D83">
        <w:t>Director General</w:t>
      </w:r>
      <w:proofErr w:type="gramEnd"/>
      <w:r w:rsidRPr="00F15D83">
        <w:t>.</w:t>
      </w:r>
    </w:p>
    <w:p w14:paraId="7106EB88" w14:textId="77777777" w:rsidR="00F15D83" w:rsidRPr="00F15D83" w:rsidRDefault="00F15D83" w:rsidP="00F15D83">
      <w:pPr>
        <w:jc w:val="both"/>
      </w:pPr>
      <w:proofErr w:type="gramStart"/>
      <w:r w:rsidRPr="00F15D83">
        <w:rPr>
          <w:b/>
          <w:bCs/>
        </w:rPr>
        <w:t>PARÁGRAFO.</w:t>
      </w:r>
      <w:r w:rsidRPr="00F15D83">
        <w:t>-</w:t>
      </w:r>
      <w:proofErr w:type="gramEnd"/>
      <w:r w:rsidRPr="00F15D83">
        <w:t xml:space="preserve"> Para efectuar esta evaluación se </w:t>
      </w:r>
      <w:proofErr w:type="gramStart"/>
      <w:r w:rsidRPr="00F15D83">
        <w:t>analizara</w:t>
      </w:r>
      <w:proofErr w:type="gramEnd"/>
      <w:r w:rsidRPr="00F15D83">
        <w:t xml:space="preserve"> y medirá el desempeño del funcionario en cada uno de los aspectos definidos en los factores señalados en el artículo anterior y, </w:t>
      </w:r>
      <w:proofErr w:type="gramStart"/>
      <w:r w:rsidRPr="00F15D83">
        <w:t>de acuerdo al</w:t>
      </w:r>
      <w:proofErr w:type="gramEnd"/>
      <w:r w:rsidRPr="00F15D83">
        <w:t xml:space="preserve"> grado de comportamiento se determinará el número de puntos que, como reconocimiento al desempeño, se asigna a cada factor de conformidad con los puntales establecidos en el artículo segundo del presente acuerdo.</w:t>
      </w:r>
    </w:p>
    <w:p w14:paraId="3186C268" w14:textId="77777777" w:rsidR="00F15D83" w:rsidRPr="00F15D83" w:rsidRDefault="00F15D83" w:rsidP="00F15D83">
      <w:pPr>
        <w:jc w:val="both"/>
      </w:pPr>
      <w:r w:rsidRPr="00F15D83">
        <w:t>La sumatoria de los puntajes obtenidos en cada factor determinarán el porcentaje de la asignación básica que se otorgará al empleado por concepto de prima técnica.</w:t>
      </w:r>
    </w:p>
    <w:p w14:paraId="19DCEF51" w14:textId="255423E7" w:rsidR="00F15D83" w:rsidRPr="00F15D83" w:rsidRDefault="00F15D83" w:rsidP="00F15D83">
      <w:pPr>
        <w:jc w:val="both"/>
      </w:pPr>
      <w:bookmarkStart w:id="4" w:name="5"/>
      <w:r w:rsidRPr="00E850AE">
        <w:rPr>
          <w:b/>
          <w:bCs/>
        </w:rPr>
        <w:t xml:space="preserve">ARTICULO </w:t>
      </w:r>
      <w:proofErr w:type="gramStart"/>
      <w:r w:rsidRPr="00E850AE">
        <w:rPr>
          <w:b/>
          <w:bCs/>
        </w:rPr>
        <w:t>QUINTO.</w:t>
      </w:r>
      <w:bookmarkEnd w:id="4"/>
      <w:r w:rsidRPr="00E850AE">
        <w:rPr>
          <w:b/>
          <w:bCs/>
        </w:rPr>
        <w:t>-</w:t>
      </w:r>
      <w:proofErr w:type="gramEnd"/>
      <w:r w:rsidRPr="00F15D83">
        <w:rPr>
          <w:b/>
          <w:bCs/>
        </w:rPr>
        <w:t> </w:t>
      </w:r>
      <w:r w:rsidRPr="00F15D83">
        <w:t xml:space="preserve">Con base en la evaluación de desempeño, el </w:t>
      </w:r>
      <w:proofErr w:type="gramStart"/>
      <w:r w:rsidRPr="00F15D83">
        <w:t>Director General</w:t>
      </w:r>
      <w:proofErr w:type="gramEnd"/>
      <w:r w:rsidRPr="00F15D83">
        <w:t xml:space="preserve"> determinará, mediante Resolución, el valor de la Prima Técnica que se </w:t>
      </w:r>
      <w:proofErr w:type="gramStart"/>
      <w:r w:rsidRPr="00F15D83">
        <w:t>otorgara</w:t>
      </w:r>
      <w:proofErr w:type="gramEnd"/>
      <w:r w:rsidRPr="00F15D83">
        <w:t xml:space="preserve"> al funcionario como porcentaje de la asignación básica mensual.</w:t>
      </w:r>
    </w:p>
    <w:p w14:paraId="4BD5C09B" w14:textId="77777777" w:rsidR="00F15D83" w:rsidRPr="00F15D83" w:rsidRDefault="00F15D83" w:rsidP="00F15D83">
      <w:pPr>
        <w:jc w:val="both"/>
      </w:pPr>
      <w:r w:rsidRPr="00F15D83">
        <w:rPr>
          <w:b/>
          <w:bCs/>
        </w:rPr>
        <w:t>PARÁGRAFO:</w:t>
      </w:r>
      <w:r w:rsidRPr="00F15D83">
        <w:t> En todo caso la Prima Técnica solo podrá otorgarse previa expedición del respectivo certificado de disponibilidad presupuestal.</w:t>
      </w:r>
    </w:p>
    <w:p w14:paraId="624ACD67" w14:textId="2E250315" w:rsidR="00F15D83" w:rsidRPr="00F15D83" w:rsidRDefault="00F15D83" w:rsidP="00F15D83">
      <w:pPr>
        <w:jc w:val="both"/>
      </w:pPr>
      <w:bookmarkStart w:id="5" w:name="6"/>
      <w:r w:rsidRPr="00E850AE">
        <w:rPr>
          <w:b/>
          <w:bCs/>
        </w:rPr>
        <w:t xml:space="preserve">ARTICULO </w:t>
      </w:r>
      <w:proofErr w:type="gramStart"/>
      <w:r w:rsidRPr="00E850AE">
        <w:rPr>
          <w:b/>
          <w:bCs/>
        </w:rPr>
        <w:t>SEXTO.</w:t>
      </w:r>
      <w:bookmarkEnd w:id="5"/>
      <w:r w:rsidRPr="00E850AE">
        <w:rPr>
          <w:b/>
          <w:bCs/>
        </w:rPr>
        <w:t>-</w:t>
      </w:r>
      <w:proofErr w:type="gramEnd"/>
      <w:r w:rsidRPr="00F15D83">
        <w:rPr>
          <w:b/>
          <w:bCs/>
        </w:rPr>
        <w:t xml:space="preserve"> </w:t>
      </w:r>
      <w:r w:rsidR="00E850AE">
        <w:t>[Acuerdo d</w:t>
      </w:r>
      <w:r w:rsidRPr="00E850AE">
        <w:t>erogado por el artículo 15 del Acuerdo 1 de 2017</w:t>
      </w:r>
      <w:r w:rsidR="00E850AE">
        <w:t>]</w:t>
      </w:r>
      <w:r w:rsidRPr="00E850AE">
        <w:t> </w:t>
      </w:r>
      <w:r w:rsidRPr="00F15D83">
        <w:t>El presente Acuerdo rige a partir de la fecha de su expedición.</w:t>
      </w:r>
    </w:p>
    <w:p w14:paraId="6AB6D31D" w14:textId="77777777" w:rsidR="00F15D83" w:rsidRPr="00F15D83" w:rsidRDefault="00F15D83" w:rsidP="00F15D83">
      <w:pPr>
        <w:jc w:val="center"/>
      </w:pPr>
      <w:r w:rsidRPr="00F15D83">
        <w:rPr>
          <w:b/>
          <w:bCs/>
        </w:rPr>
        <w:t>COMUNIQUESE Y CUMPLASE</w:t>
      </w:r>
    </w:p>
    <w:p w14:paraId="02CDF28E" w14:textId="5B77D6C1" w:rsidR="00F15D83" w:rsidRPr="00F15D83" w:rsidRDefault="00F15D83" w:rsidP="00F15D83">
      <w:pPr>
        <w:jc w:val="center"/>
      </w:pPr>
      <w:r w:rsidRPr="00F15D83">
        <w:t xml:space="preserve">Dado en Santafé de Bogotá, D. C. </w:t>
      </w:r>
      <w:proofErr w:type="gramStart"/>
      <w:r w:rsidRPr="00F15D83">
        <w:t>a los</w:t>
      </w:r>
      <w:r>
        <w:t xml:space="preserve"> 20 de enero de 1993</w:t>
      </w:r>
      <w:proofErr w:type="gramEnd"/>
    </w:p>
    <w:p w14:paraId="31DEDE18" w14:textId="77777777" w:rsidR="00F15D83" w:rsidRPr="00F15D83" w:rsidRDefault="00F15D83" w:rsidP="00F15D83">
      <w:pPr>
        <w:jc w:val="center"/>
      </w:pPr>
      <w:r w:rsidRPr="00F15D83">
        <w:rPr>
          <w:b/>
          <w:bCs/>
        </w:rPr>
        <w:t>PRESIDENTE DE LA JUNTA DIRECTIVA</w:t>
      </w:r>
    </w:p>
    <w:p w14:paraId="4DFB1483" w14:textId="77777777" w:rsidR="00F15D83" w:rsidRPr="00F15D83" w:rsidRDefault="00F15D83" w:rsidP="00F15D83">
      <w:pPr>
        <w:jc w:val="center"/>
      </w:pPr>
      <w:r w:rsidRPr="00F15D83">
        <w:rPr>
          <w:b/>
          <w:bCs/>
        </w:rPr>
        <w:t>SECRETARIA DE LA JUNTA DIRECTIVA</w:t>
      </w:r>
    </w:p>
    <w:p w14:paraId="1BED21ED" w14:textId="77777777" w:rsidR="0081255F" w:rsidRDefault="0081255F" w:rsidP="00F15D83">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AC"/>
    <w:rsid w:val="003A44AC"/>
    <w:rsid w:val="0081255F"/>
    <w:rsid w:val="00BF447B"/>
    <w:rsid w:val="00E850AE"/>
    <w:rsid w:val="00F15D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C8ACB"/>
  <w15:chartTrackingRefBased/>
  <w15:docId w15:val="{2680948C-971F-4DC4-8B9E-5D5F6DF0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15D83"/>
    <w:pPr>
      <w:spacing w:after="0" w:line="240" w:lineRule="auto"/>
    </w:pPr>
    <w:rPr>
      <w:rFonts w:ascii="Calibri" w:eastAsia="Calibri" w:hAnsi="Calibri" w:cs="Times New Roman"/>
      <w:kern w:val="2"/>
    </w:rPr>
  </w:style>
  <w:style w:type="character" w:customStyle="1" w:styleId="SinespaciadoCar">
    <w:name w:val="Sin espaciado Car"/>
    <w:link w:val="Sinespaciado"/>
    <w:uiPriority w:val="1"/>
    <w:rsid w:val="00F15D83"/>
    <w:rPr>
      <w:rFonts w:ascii="Calibri" w:eastAsia="Calibri" w:hAnsi="Calibri" w:cs="Times New Roman"/>
      <w:kern w:val="2"/>
    </w:rPr>
  </w:style>
  <w:style w:type="character" w:styleId="Hipervnculo">
    <w:name w:val="Hyperlink"/>
    <w:basedOn w:val="Fuentedeprrafopredeter"/>
    <w:uiPriority w:val="99"/>
    <w:unhideWhenUsed/>
    <w:rsid w:val="00F15D83"/>
    <w:rPr>
      <w:color w:val="0563C1" w:themeColor="hyperlink"/>
      <w:u w:val="single"/>
    </w:rPr>
  </w:style>
  <w:style w:type="character" w:styleId="Mencinsinresolver">
    <w:name w:val="Unresolved Mention"/>
    <w:basedOn w:val="Fuentedeprrafopredeter"/>
    <w:uiPriority w:val="99"/>
    <w:semiHidden/>
    <w:unhideWhenUsed/>
    <w:rsid w:val="00F1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7353">
      <w:bodyDiv w:val="1"/>
      <w:marLeft w:val="0"/>
      <w:marRight w:val="0"/>
      <w:marTop w:val="0"/>
      <w:marBottom w:val="0"/>
      <w:divBdr>
        <w:top w:val="none" w:sz="0" w:space="0" w:color="auto"/>
        <w:left w:val="none" w:sz="0" w:space="0" w:color="auto"/>
        <w:bottom w:val="none" w:sz="0" w:space="0" w:color="auto"/>
        <w:right w:val="none" w:sz="0" w:space="0" w:color="auto"/>
      </w:divBdr>
    </w:div>
    <w:div w:id="231084392">
      <w:bodyDiv w:val="1"/>
      <w:marLeft w:val="0"/>
      <w:marRight w:val="0"/>
      <w:marTop w:val="0"/>
      <w:marBottom w:val="0"/>
      <w:divBdr>
        <w:top w:val="none" w:sz="0" w:space="0" w:color="auto"/>
        <w:left w:val="none" w:sz="0" w:space="0" w:color="auto"/>
        <w:bottom w:val="none" w:sz="0" w:space="0" w:color="auto"/>
        <w:right w:val="none" w:sz="0" w:space="0" w:color="auto"/>
      </w:divBdr>
    </w:div>
    <w:div w:id="708994794">
      <w:bodyDiv w:val="1"/>
      <w:marLeft w:val="0"/>
      <w:marRight w:val="0"/>
      <w:marTop w:val="0"/>
      <w:marBottom w:val="0"/>
      <w:divBdr>
        <w:top w:val="none" w:sz="0" w:space="0" w:color="auto"/>
        <w:left w:val="none" w:sz="0" w:space="0" w:color="auto"/>
        <w:bottom w:val="none" w:sz="0" w:space="0" w:color="auto"/>
        <w:right w:val="none" w:sz="0" w:space="0" w:color="auto"/>
      </w:divBdr>
    </w:div>
    <w:div w:id="893083010">
      <w:bodyDiv w:val="1"/>
      <w:marLeft w:val="0"/>
      <w:marRight w:val="0"/>
      <w:marTop w:val="0"/>
      <w:marBottom w:val="0"/>
      <w:divBdr>
        <w:top w:val="none" w:sz="0" w:space="0" w:color="auto"/>
        <w:left w:val="none" w:sz="0" w:space="0" w:color="auto"/>
        <w:bottom w:val="none" w:sz="0" w:space="0" w:color="auto"/>
        <w:right w:val="none" w:sz="0" w:space="0" w:color="auto"/>
      </w:divBdr>
    </w:div>
    <w:div w:id="1798328325">
      <w:bodyDiv w:val="1"/>
      <w:marLeft w:val="0"/>
      <w:marRight w:val="0"/>
      <w:marTop w:val="0"/>
      <w:marBottom w:val="0"/>
      <w:divBdr>
        <w:top w:val="none" w:sz="0" w:space="0" w:color="auto"/>
        <w:left w:val="none" w:sz="0" w:space="0" w:color="auto"/>
        <w:bottom w:val="none" w:sz="0" w:space="0" w:color="auto"/>
        <w:right w:val="none" w:sz="0" w:space="0" w:color="auto"/>
      </w:divBdr>
    </w:div>
    <w:div w:id="1863467561">
      <w:bodyDiv w:val="1"/>
      <w:marLeft w:val="0"/>
      <w:marRight w:val="0"/>
      <w:marTop w:val="0"/>
      <w:marBottom w:val="0"/>
      <w:divBdr>
        <w:top w:val="none" w:sz="0" w:space="0" w:color="auto"/>
        <w:left w:val="none" w:sz="0" w:space="0" w:color="auto"/>
        <w:bottom w:val="none" w:sz="0" w:space="0" w:color="auto"/>
        <w:right w:val="none" w:sz="0" w:space="0" w:color="auto"/>
      </w:divBdr>
    </w:div>
    <w:div w:id="1875077807">
      <w:bodyDiv w:val="1"/>
      <w:marLeft w:val="0"/>
      <w:marRight w:val="0"/>
      <w:marTop w:val="0"/>
      <w:marBottom w:val="0"/>
      <w:divBdr>
        <w:top w:val="none" w:sz="0" w:space="0" w:color="auto"/>
        <w:left w:val="none" w:sz="0" w:space="0" w:color="auto"/>
        <w:bottom w:val="none" w:sz="0" w:space="0" w:color="auto"/>
        <w:right w:val="none" w:sz="0" w:space="0" w:color="auto"/>
      </w:divBdr>
    </w:div>
    <w:div w:id="194479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E1B04F-8E06-44EB-841A-3248750EB0BE}"/>
</file>

<file path=customXml/itemProps2.xml><?xml version="1.0" encoding="utf-8"?>
<ds:datastoreItem xmlns:ds="http://schemas.openxmlformats.org/officeDocument/2006/customXml" ds:itemID="{B352DB23-A98B-4689-879A-2F083A1B0139}"/>
</file>

<file path=customXml/itemProps3.xml><?xml version="1.0" encoding="utf-8"?>
<ds:datastoreItem xmlns:ds="http://schemas.openxmlformats.org/officeDocument/2006/customXml" ds:itemID="{29C7853A-341C-493D-8C70-F9988D55918B}"/>
</file>

<file path=docProps/app.xml><?xml version="1.0" encoding="utf-8"?>
<Properties xmlns="http://schemas.openxmlformats.org/officeDocument/2006/extended-properties" xmlns:vt="http://schemas.openxmlformats.org/officeDocument/2006/docPropsVTypes">
  <Template>Normal</Template>
  <TotalTime>3</TotalTime>
  <Pages>1</Pages>
  <Words>862</Words>
  <Characters>4742</Characters>
  <Application>Microsoft Office Word</Application>
  <DocSecurity>0</DocSecurity>
  <Lines>39</Lines>
  <Paragraphs>11</Paragraphs>
  <ScaleCrop>false</ScaleCrop>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2026-04-10T03:54:00Z</dcterms:created>
  <dcterms:modified xsi:type="dcterms:W3CDTF">2026-04-10T13:36:00Z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