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40AD" w:rsidP="000740AD" w:rsidRDefault="000740AD" w14:paraId="454F5DAC" w14:textId="2052CEF2">
      <w:pPr>
        <w:jc w:val="center"/>
        <w:rPr>
          <w:rFonts w:ascii="Verdana" w:hAnsi="Verdana"/>
          <w:sz w:val="22"/>
          <w:szCs w:val="22"/>
        </w:rPr>
      </w:pPr>
      <w:r w:rsidRPr="008C5065">
        <w:rPr>
          <w:rFonts w:ascii="Verdana" w:hAnsi="Verdana"/>
          <w:b/>
          <w:bCs/>
          <w:sz w:val="22"/>
          <w:szCs w:val="22"/>
        </w:rPr>
        <w:t>ACUERDO 2 DE 2015</w:t>
      </w:r>
    </w:p>
    <w:p w:rsidR="000740AD" w:rsidP="000740AD" w:rsidRDefault="000740AD" w14:paraId="785E07D4" w14:textId="77777777">
      <w:pPr>
        <w:jc w:val="center"/>
        <w:rPr>
          <w:rFonts w:ascii="Verdana" w:hAnsi="Verdana"/>
          <w:sz w:val="22"/>
          <w:szCs w:val="22"/>
        </w:rPr>
      </w:pPr>
    </w:p>
    <w:p w:rsidRPr="000740AD" w:rsidR="00AF4022" w:rsidP="00AF4022" w:rsidRDefault="00AF4022" w14:paraId="3B2B838A" w14:textId="59F273BF">
      <w:pPr>
        <w:rPr>
          <w:rFonts w:ascii="Verdana" w:hAnsi="Verdana"/>
          <w:sz w:val="20"/>
          <w:szCs w:val="20"/>
        </w:rPr>
      </w:pPr>
      <w:r w:rsidRPr="000740AD">
        <w:rPr>
          <w:rFonts w:ascii="Verdana" w:hAnsi="Verdana"/>
          <w:sz w:val="20"/>
          <w:szCs w:val="20"/>
        </w:rPr>
        <w:t xml:space="preserve">Fecha de Expedición: </w:t>
      </w:r>
      <w:r w:rsidRPr="000740AD" w:rsidR="000740AD">
        <w:rPr>
          <w:rFonts w:ascii="Verdana" w:hAnsi="Verdana"/>
          <w:sz w:val="20"/>
          <w:szCs w:val="20"/>
        </w:rPr>
        <w:t>21 de julio de 2015</w:t>
      </w:r>
    </w:p>
    <w:p w:rsidRPr="000740AD" w:rsidR="00AF4022" w:rsidP="00AF4022" w:rsidRDefault="00AF4022" w14:paraId="0F62184E" w14:textId="120204AB">
      <w:pPr>
        <w:rPr>
          <w:rFonts w:ascii="Verdana" w:hAnsi="Verdana"/>
          <w:sz w:val="20"/>
          <w:szCs w:val="20"/>
        </w:rPr>
      </w:pPr>
      <w:r w:rsidRPr="000740AD">
        <w:rPr>
          <w:rFonts w:ascii="Verdana" w:hAnsi="Verdana"/>
          <w:sz w:val="20"/>
          <w:szCs w:val="20"/>
        </w:rPr>
        <w:t xml:space="preserve">Fecha de </w:t>
      </w:r>
      <w:proofErr w:type="gramStart"/>
      <w:r w:rsidRPr="000740AD">
        <w:rPr>
          <w:rFonts w:ascii="Verdana" w:hAnsi="Verdana"/>
          <w:sz w:val="20"/>
          <w:szCs w:val="20"/>
        </w:rPr>
        <w:t>entrada en vigencia</w:t>
      </w:r>
      <w:proofErr w:type="gramEnd"/>
      <w:r w:rsidRPr="000740AD">
        <w:rPr>
          <w:rFonts w:ascii="Verdana" w:hAnsi="Verdana"/>
          <w:sz w:val="20"/>
          <w:szCs w:val="20"/>
        </w:rPr>
        <w:t xml:space="preserve">: </w:t>
      </w:r>
      <w:r w:rsidRPr="000740AD" w:rsidR="000740AD">
        <w:rPr>
          <w:rFonts w:ascii="Verdana" w:hAnsi="Verdana"/>
          <w:sz w:val="20"/>
          <w:szCs w:val="20"/>
        </w:rPr>
        <w:t>6 de agosto de 2015</w:t>
      </w:r>
    </w:p>
    <w:p w:rsidRPr="000740AD" w:rsidR="00AF4022" w:rsidP="00AF4022" w:rsidRDefault="00AF4022" w14:paraId="414B33A4" w14:textId="77777777">
      <w:pPr>
        <w:rPr>
          <w:rFonts w:ascii="Verdana" w:hAnsi="Verdana"/>
          <w:sz w:val="20"/>
          <w:szCs w:val="20"/>
        </w:rPr>
      </w:pPr>
      <w:r w:rsidRPr="000740AD">
        <w:rPr>
          <w:rFonts w:ascii="Verdana" w:hAnsi="Verdana"/>
          <w:sz w:val="20"/>
          <w:szCs w:val="20"/>
        </w:rPr>
        <w:t>Estado de la vigencia: Vigente</w:t>
      </w:r>
    </w:p>
    <w:p w:rsidRPr="000740AD" w:rsidR="00AF4022" w:rsidP="00AF4022" w:rsidRDefault="00AF4022" w14:paraId="60C2B050" w14:textId="77777777">
      <w:pPr>
        <w:rPr>
          <w:rFonts w:ascii="Verdana" w:hAnsi="Verdana"/>
          <w:sz w:val="20"/>
          <w:szCs w:val="20"/>
        </w:rPr>
      </w:pPr>
    </w:p>
    <w:p w:rsidRPr="000740AD" w:rsidR="00AF4022" w:rsidP="00AF4022" w:rsidRDefault="00AF4022" w14:paraId="7D08E31B" w14:textId="10C045F5">
      <w:pPr>
        <w:rPr>
          <w:rFonts w:ascii="Verdana" w:hAnsi="Verdana"/>
          <w:sz w:val="20"/>
          <w:szCs w:val="20"/>
        </w:rPr>
      </w:pPr>
      <w:r w:rsidRPr="000740AD">
        <w:rPr>
          <w:rFonts w:ascii="Verdana" w:hAnsi="Verdana"/>
          <w:sz w:val="20"/>
          <w:szCs w:val="20"/>
        </w:rPr>
        <w:t xml:space="preserve">Fecha de publicación en Diario Oficial: </w:t>
      </w:r>
      <w:r w:rsidRPr="000740AD" w:rsidR="000740AD">
        <w:rPr>
          <w:rFonts w:ascii="Verdana" w:hAnsi="Verdana"/>
          <w:sz w:val="20"/>
          <w:szCs w:val="20"/>
        </w:rPr>
        <w:t>6 de agosto de 2015</w:t>
      </w:r>
    </w:p>
    <w:p w:rsidRPr="000740AD" w:rsidR="00AF4022" w:rsidP="00AF4022" w:rsidRDefault="00AF4022" w14:paraId="58FD7C6B" w14:textId="1C138B04">
      <w:pPr>
        <w:rPr>
          <w:rFonts w:ascii="Verdana" w:hAnsi="Verdana"/>
          <w:sz w:val="20"/>
          <w:szCs w:val="20"/>
        </w:rPr>
      </w:pPr>
      <w:r w:rsidRPr="000740AD">
        <w:rPr>
          <w:rFonts w:ascii="Verdana" w:hAnsi="Verdana"/>
          <w:sz w:val="20"/>
          <w:szCs w:val="20"/>
        </w:rPr>
        <w:t xml:space="preserve">Número del Diario </w:t>
      </w:r>
      <w:r w:rsidRPr="000740AD" w:rsidR="000740AD">
        <w:rPr>
          <w:rFonts w:ascii="Verdana" w:hAnsi="Verdana"/>
          <w:sz w:val="20"/>
          <w:szCs w:val="20"/>
        </w:rPr>
        <w:t>No. 49.596</w:t>
      </w:r>
    </w:p>
    <w:p w:rsidR="000740AD" w:rsidP="000740AD" w:rsidRDefault="000740AD" w14:paraId="0646A1F5" w14:textId="77777777">
      <w:pPr>
        <w:jc w:val="center"/>
        <w:rPr>
          <w:rFonts w:ascii="Verdana" w:hAnsi="Verdana"/>
          <w:b/>
          <w:bCs/>
          <w:sz w:val="22"/>
          <w:szCs w:val="22"/>
        </w:rPr>
      </w:pPr>
    </w:p>
    <w:p w:rsidRPr="008C5065" w:rsidR="008C5065" w:rsidP="000740AD" w:rsidRDefault="008C5065" w14:paraId="293440C8" w14:textId="091503FC">
      <w:pPr>
        <w:jc w:val="center"/>
        <w:rPr>
          <w:rFonts w:ascii="Verdana" w:hAnsi="Verdana"/>
          <w:sz w:val="22"/>
          <w:szCs w:val="22"/>
        </w:rPr>
      </w:pPr>
      <w:r w:rsidRPr="008C5065">
        <w:rPr>
          <w:rFonts w:ascii="Verdana" w:hAnsi="Verdana"/>
          <w:b/>
          <w:bCs/>
          <w:sz w:val="22"/>
          <w:szCs w:val="22"/>
        </w:rPr>
        <w:t>ACUERDO 2 DE 2015</w:t>
      </w:r>
    </w:p>
    <w:p w:rsidRPr="008C5065" w:rsidR="008C5065" w:rsidP="000740AD" w:rsidRDefault="008C5065" w14:paraId="54A5FA84" w14:textId="2EB9D029">
      <w:pPr>
        <w:jc w:val="center"/>
        <w:rPr>
          <w:rFonts w:ascii="Verdana" w:hAnsi="Verdana"/>
          <w:sz w:val="22"/>
          <w:szCs w:val="22"/>
        </w:rPr>
      </w:pPr>
      <w:r w:rsidRPr="008C5065">
        <w:rPr>
          <w:rFonts w:ascii="Verdana" w:hAnsi="Verdana"/>
          <w:sz w:val="22"/>
          <w:szCs w:val="22"/>
        </w:rPr>
        <w:t>(</w:t>
      </w:r>
      <w:r w:rsidR="000740AD">
        <w:rPr>
          <w:rFonts w:ascii="Verdana" w:hAnsi="Verdana"/>
          <w:sz w:val="22"/>
          <w:szCs w:val="22"/>
        </w:rPr>
        <w:t xml:space="preserve">21 de </w:t>
      </w:r>
      <w:r w:rsidRPr="008C5065">
        <w:rPr>
          <w:rFonts w:ascii="Verdana" w:hAnsi="Verdana"/>
          <w:sz w:val="22"/>
          <w:szCs w:val="22"/>
        </w:rPr>
        <w:t>julio)</w:t>
      </w:r>
    </w:p>
    <w:p w:rsidRPr="008C5065" w:rsidR="008C5065" w:rsidP="000740AD" w:rsidRDefault="008C5065" w14:paraId="579D7893" w14:textId="77777777">
      <w:pPr>
        <w:jc w:val="center"/>
        <w:rPr>
          <w:rFonts w:ascii="Verdana" w:hAnsi="Verdana"/>
          <w:sz w:val="22"/>
          <w:szCs w:val="22"/>
        </w:rPr>
      </w:pPr>
      <w:r w:rsidRPr="008C5065">
        <w:rPr>
          <w:rFonts w:ascii="Verdana" w:hAnsi="Verdana"/>
          <w:b/>
          <w:bCs/>
          <w:sz w:val="22"/>
          <w:szCs w:val="22"/>
        </w:rPr>
        <w:t>INSTITUTO COLOMBIANO DE BIENESTAR FAMILIAR</w:t>
      </w:r>
    </w:p>
    <w:p w:rsidRPr="008C5065" w:rsidR="008C5065" w:rsidP="000740AD" w:rsidRDefault="008C5065" w14:paraId="4F278F45" w14:textId="77777777">
      <w:pPr>
        <w:jc w:val="center"/>
        <w:rPr>
          <w:rFonts w:ascii="Verdana" w:hAnsi="Verdana"/>
          <w:sz w:val="22"/>
          <w:szCs w:val="22"/>
        </w:rPr>
      </w:pPr>
      <w:r w:rsidRPr="008C5065">
        <w:rPr>
          <w:rFonts w:ascii="Verdana" w:hAnsi="Verdana"/>
          <w:b/>
          <w:bCs/>
          <w:sz w:val="22"/>
          <w:szCs w:val="22"/>
        </w:rPr>
        <w:t>CECILIA DE LA FUENTE DE LLERAS</w:t>
      </w:r>
    </w:p>
    <w:p w:rsidRPr="008C5065" w:rsidR="008C5065" w:rsidP="000740AD" w:rsidRDefault="008C5065" w14:paraId="3BB02B2D" w14:textId="77777777">
      <w:pPr>
        <w:jc w:val="center"/>
        <w:rPr>
          <w:rFonts w:ascii="Verdana" w:hAnsi="Verdana"/>
          <w:sz w:val="22"/>
          <w:szCs w:val="22"/>
        </w:rPr>
      </w:pPr>
      <w:r w:rsidRPr="008C5065">
        <w:rPr>
          <w:rFonts w:ascii="Verdana" w:hAnsi="Verdana"/>
          <w:b/>
          <w:bCs/>
          <w:sz w:val="22"/>
          <w:szCs w:val="22"/>
        </w:rPr>
        <w:t>CONSEJO DIRECTIVO</w:t>
      </w:r>
    </w:p>
    <w:p w:rsidRPr="008C5065" w:rsidR="008C5065" w:rsidP="000740AD" w:rsidRDefault="000740AD" w14:paraId="70752068" w14:textId="12455686">
      <w:pPr>
        <w:jc w:val="center"/>
        <w:rPr>
          <w:rFonts w:ascii="Verdana" w:hAnsi="Verdana"/>
          <w:sz w:val="22"/>
          <w:szCs w:val="22"/>
        </w:rPr>
      </w:pPr>
      <w:r>
        <w:rPr>
          <w:rFonts w:ascii="Verdana" w:hAnsi="Verdana"/>
          <w:sz w:val="22"/>
          <w:szCs w:val="22"/>
        </w:rPr>
        <w:t>“</w:t>
      </w:r>
      <w:r w:rsidRPr="008C5065" w:rsidR="008C5065">
        <w:rPr>
          <w:rFonts w:ascii="Verdana" w:hAnsi="Verdana"/>
          <w:sz w:val="22"/>
          <w:szCs w:val="22"/>
        </w:rPr>
        <w:t>Por el cual se deroga el Acuerdo número 004 del 27 de junio de 2014, por el cual se adopta el procedimiento de contratación con recursos del Impuesto sobre la Renta para la Equidad (CREE) del Instituto Colombiano de Bienestar Familiar – Cecilia de la Fuente de Lleras.</w:t>
      </w:r>
      <w:r>
        <w:rPr>
          <w:rFonts w:ascii="Verdana" w:hAnsi="Verdana"/>
          <w:sz w:val="22"/>
          <w:szCs w:val="22"/>
        </w:rPr>
        <w:t>”</w:t>
      </w:r>
    </w:p>
    <w:p w:rsidRPr="008C5065" w:rsidR="008C5065" w:rsidP="000740AD" w:rsidRDefault="008C5065" w14:paraId="5869256C" w14:textId="77777777">
      <w:pPr>
        <w:jc w:val="center"/>
        <w:rPr>
          <w:rFonts w:ascii="Verdana" w:hAnsi="Verdana"/>
          <w:sz w:val="22"/>
          <w:szCs w:val="22"/>
        </w:rPr>
      </w:pPr>
      <w:r w:rsidRPr="008C5065">
        <w:rPr>
          <w:rFonts w:ascii="Verdana" w:hAnsi="Verdana"/>
          <w:b/>
          <w:bCs/>
          <w:sz w:val="22"/>
          <w:szCs w:val="22"/>
        </w:rPr>
        <w:t>EL CONSEJO DIRECTIVO DEL INSTITUTO COLOMBIANO DE BIENESTAR FAMILIAR,</w:t>
      </w:r>
    </w:p>
    <w:p w:rsidRPr="008C5065" w:rsidR="008C5065" w:rsidP="000740AD" w:rsidRDefault="008C5065" w14:paraId="54CD92F3" w14:textId="64FD1725">
      <w:pPr>
        <w:jc w:val="center"/>
        <w:rPr>
          <w:rFonts w:ascii="Verdana" w:hAnsi="Verdana"/>
          <w:sz w:val="22"/>
          <w:szCs w:val="22"/>
        </w:rPr>
      </w:pPr>
      <w:r w:rsidRPr="008C5065">
        <w:rPr>
          <w:rFonts w:ascii="Verdana" w:hAnsi="Verdana"/>
          <w:sz w:val="22"/>
          <w:szCs w:val="22"/>
        </w:rPr>
        <w:t>en uso de sus facultades legales y estatutarias, en especial las conferidas por el artículo 2o del Decreto número 987 de mayo 14 de 2012, en concordancia con el artículo 76 de la Ley 489 de 1998, artículo 26 de la Ley 7o de 1979 y el 19 del Decreto número 334 de 1980,</w:t>
      </w:r>
    </w:p>
    <w:p w:rsidR="008C5065" w:rsidP="000740AD" w:rsidRDefault="008C5065" w14:paraId="6D8B51A3" w14:textId="77777777">
      <w:pPr>
        <w:jc w:val="center"/>
        <w:rPr>
          <w:rFonts w:ascii="Verdana" w:hAnsi="Verdana"/>
          <w:b/>
          <w:bCs/>
          <w:sz w:val="22"/>
          <w:szCs w:val="22"/>
        </w:rPr>
      </w:pPr>
      <w:r w:rsidRPr="008C5065">
        <w:rPr>
          <w:rFonts w:ascii="Verdana" w:hAnsi="Verdana"/>
          <w:b/>
          <w:bCs/>
          <w:sz w:val="22"/>
          <w:szCs w:val="22"/>
        </w:rPr>
        <w:t>CONSIDERANDO:</w:t>
      </w:r>
    </w:p>
    <w:p w:rsidRPr="008C5065" w:rsidR="000740AD" w:rsidP="000740AD" w:rsidRDefault="000740AD" w14:paraId="199CCBD5" w14:textId="77777777">
      <w:pPr>
        <w:jc w:val="center"/>
        <w:rPr>
          <w:rFonts w:ascii="Verdana" w:hAnsi="Verdana"/>
          <w:sz w:val="22"/>
          <w:szCs w:val="22"/>
        </w:rPr>
      </w:pPr>
    </w:p>
    <w:p w:rsidR="008C5065" w:rsidP="008C5065" w:rsidRDefault="008C5065" w14:paraId="14C7C07F" w14:textId="3171F057">
      <w:pPr>
        <w:rPr>
          <w:rFonts w:ascii="Verdana" w:hAnsi="Verdana"/>
          <w:i/>
          <w:iCs/>
          <w:sz w:val="22"/>
          <w:szCs w:val="22"/>
        </w:rPr>
      </w:pPr>
      <w:r w:rsidRPr="008C5065">
        <w:rPr>
          <w:rFonts w:ascii="Verdana" w:hAnsi="Verdana"/>
          <w:sz w:val="22"/>
          <w:szCs w:val="22"/>
        </w:rPr>
        <w:t>Que la Ley 1607 del 26 de diciembre de 2012, en su artículo 33 respecto del régimen contractual de los recursos destinados al ICBF cuya fuente deriva del Impuesto sobre la Renta para la Equidad (CREE), señala que se: </w:t>
      </w:r>
      <w:r w:rsidRPr="008C5065">
        <w:rPr>
          <w:rFonts w:ascii="Verdana" w:hAnsi="Verdana"/>
          <w:i/>
          <w:iCs/>
          <w:sz w:val="22"/>
          <w:szCs w:val="22"/>
        </w:rPr>
        <w:t xml:space="preserve">“(…) podrán crear Fondos Fiduciarios, celebrar contratos de fiducia y encargos fiduciarios, contratos de administración y de mandato y </w:t>
      </w:r>
      <w:proofErr w:type="gramStart"/>
      <w:r w:rsidRPr="008C5065">
        <w:rPr>
          <w:rFonts w:ascii="Verdana" w:hAnsi="Verdana"/>
          <w:i/>
          <w:iCs/>
          <w:sz w:val="22"/>
          <w:szCs w:val="22"/>
        </w:rPr>
        <w:t>la demás clases</w:t>
      </w:r>
      <w:proofErr w:type="gramEnd"/>
      <w:r w:rsidRPr="008C5065">
        <w:rPr>
          <w:rFonts w:ascii="Verdana" w:hAnsi="Verdana"/>
          <w:i/>
          <w:iCs/>
          <w:sz w:val="22"/>
          <w:szCs w:val="22"/>
        </w:rPr>
        <w:t xml:space="preserve"> de negocios jurídicos que sean necesarios.</w:t>
      </w:r>
    </w:p>
    <w:p w:rsidRPr="008C5065" w:rsidR="000740AD" w:rsidP="008C5065" w:rsidRDefault="000740AD" w14:paraId="3191EFEC" w14:textId="77777777">
      <w:pPr>
        <w:rPr>
          <w:rFonts w:ascii="Verdana" w:hAnsi="Verdana"/>
          <w:sz w:val="22"/>
          <w:szCs w:val="22"/>
        </w:rPr>
      </w:pPr>
    </w:p>
    <w:p w:rsidR="008C5065" w:rsidP="008C5065" w:rsidRDefault="008C5065" w14:paraId="4E30795D" w14:textId="551DA39D">
      <w:pPr>
        <w:rPr>
          <w:rFonts w:ascii="Verdana" w:hAnsi="Verdana"/>
          <w:i/>
          <w:iCs/>
          <w:sz w:val="22"/>
          <w:szCs w:val="22"/>
        </w:rPr>
      </w:pPr>
      <w:r w:rsidRPr="008C5065">
        <w:rPr>
          <w:rFonts w:ascii="Verdana" w:hAnsi="Verdana"/>
          <w:i/>
          <w:iCs/>
          <w:sz w:val="22"/>
          <w:szCs w:val="22"/>
        </w:rPr>
        <w:t xml:space="preserve">Para todos los efectos, los contratos que se celebren para la ejecución de los recursos del Fondo y la inversión de los mismos, se regirán por las reglas del derecho privado, sin perjuicio del deber de selección objetiva de los contratistas </w:t>
      </w:r>
      <w:r w:rsidRPr="008C5065">
        <w:rPr>
          <w:rFonts w:ascii="Verdana" w:hAnsi="Verdana"/>
          <w:i/>
          <w:iCs/>
          <w:sz w:val="22"/>
          <w:szCs w:val="22"/>
        </w:rPr>
        <w:lastRenderedPageBreak/>
        <w:t xml:space="preserve">y del ejercicio del control por parte de las autoridades competentes del comportamiento de los servidores públicos que hayan intervenido en la celebración y ejecución de los contratos y del régimen especial del contrato de aporte establecido para el ICBF en la Ley 7o de 1979, sus decretos reglamentarios y el Decreto-ley 2150 de 1995. El ICBF continuará aplicando el régimen especial del contrato de aporte. Así mismo, para los recursos ejecutados por el ICBF se podrán suscribir adhesiones, contratos o convenios tripartitos y/o </w:t>
      </w:r>
      <w:proofErr w:type="spellStart"/>
      <w:r w:rsidRPr="008C5065">
        <w:rPr>
          <w:rFonts w:ascii="Verdana" w:hAnsi="Verdana"/>
          <w:i/>
          <w:iCs/>
          <w:sz w:val="22"/>
          <w:szCs w:val="22"/>
        </w:rPr>
        <w:t>multipartes</w:t>
      </w:r>
      <w:proofErr w:type="spellEnd"/>
      <w:r w:rsidRPr="008C5065">
        <w:rPr>
          <w:rFonts w:ascii="Verdana" w:hAnsi="Verdana"/>
          <w:i/>
          <w:iCs/>
          <w:sz w:val="22"/>
          <w:szCs w:val="22"/>
        </w:rPr>
        <w:t xml:space="preserve"> con las entidades territoriales y/o entidades públicas del nivel nacional y entidades sin ánimo de lucro idóneas”.</w:t>
      </w:r>
    </w:p>
    <w:p w:rsidRPr="008C5065" w:rsidR="000740AD" w:rsidP="008C5065" w:rsidRDefault="000740AD" w14:paraId="30B63424" w14:textId="77777777">
      <w:pPr>
        <w:rPr>
          <w:rFonts w:ascii="Verdana" w:hAnsi="Verdana"/>
          <w:sz w:val="22"/>
          <w:szCs w:val="22"/>
        </w:rPr>
      </w:pPr>
    </w:p>
    <w:p w:rsidR="008C5065" w:rsidP="008C5065" w:rsidRDefault="008C5065" w14:paraId="34ACCB96" w14:textId="7D8E3AD7">
      <w:pPr>
        <w:rPr>
          <w:rFonts w:ascii="Verdana" w:hAnsi="Verdana"/>
          <w:sz w:val="22"/>
          <w:szCs w:val="22"/>
        </w:rPr>
      </w:pPr>
      <w:r w:rsidRPr="008C5065">
        <w:rPr>
          <w:rFonts w:ascii="Verdana" w:hAnsi="Verdana"/>
          <w:sz w:val="22"/>
          <w:szCs w:val="22"/>
        </w:rPr>
        <w:t>Que con ocasión de lo previsto en dicha disposición el Consejo Directivo expidió el Acuerdo número 004 del 27 junio de 2014, mediante el cual adoptó un procedimiento especial para atender mediante el régimen privado la contratación cuya fuente de recursos obedezca al Impuesto sobre la Renta para la Equidad (CREE).</w:t>
      </w:r>
    </w:p>
    <w:p w:rsidRPr="008C5065" w:rsidR="000740AD" w:rsidP="008C5065" w:rsidRDefault="000740AD" w14:paraId="0918A677" w14:textId="77777777">
      <w:pPr>
        <w:rPr>
          <w:rFonts w:ascii="Verdana" w:hAnsi="Verdana"/>
          <w:sz w:val="22"/>
          <w:szCs w:val="22"/>
        </w:rPr>
      </w:pPr>
    </w:p>
    <w:p w:rsidR="008C5065" w:rsidP="008C5065" w:rsidRDefault="008C5065" w14:paraId="640B1B6C" w14:textId="22B79E6E">
      <w:pPr>
        <w:rPr>
          <w:rFonts w:ascii="Verdana" w:hAnsi="Verdana"/>
          <w:sz w:val="22"/>
          <w:szCs w:val="22"/>
        </w:rPr>
      </w:pPr>
      <w:r w:rsidRPr="008C5065">
        <w:rPr>
          <w:rFonts w:ascii="Verdana" w:hAnsi="Verdana"/>
          <w:sz w:val="22"/>
          <w:szCs w:val="22"/>
        </w:rPr>
        <w:t>Que la Ley 1607 de 2012 ratificó la competencia del ICBF para continuar aplicando el régimen especial del contrato de aporte, tal como lo definen las disposiciones vigentes y facultó para que con dichos recursos se constituyeran Fondos Fiduciarios, a través de los cuales se adelantaría la contratación respectiva, regida por el régimen privado, sin perjuicio del deber de propender por la selección objetiva del contratista.</w:t>
      </w:r>
    </w:p>
    <w:p w:rsidRPr="008C5065" w:rsidR="000740AD" w:rsidP="008C5065" w:rsidRDefault="000740AD" w14:paraId="00D71347" w14:textId="77777777">
      <w:pPr>
        <w:rPr>
          <w:rFonts w:ascii="Verdana" w:hAnsi="Verdana"/>
          <w:sz w:val="22"/>
          <w:szCs w:val="22"/>
        </w:rPr>
      </w:pPr>
    </w:p>
    <w:p w:rsidR="008C5065" w:rsidP="008C5065" w:rsidRDefault="008C5065" w14:paraId="1927E796" w14:textId="03E10929">
      <w:pPr>
        <w:rPr>
          <w:rFonts w:ascii="Verdana" w:hAnsi="Verdana"/>
          <w:sz w:val="22"/>
          <w:szCs w:val="22"/>
        </w:rPr>
      </w:pPr>
      <w:r w:rsidRPr="008C5065">
        <w:rPr>
          <w:rFonts w:ascii="Verdana" w:hAnsi="Verdana"/>
          <w:sz w:val="22"/>
          <w:szCs w:val="22"/>
        </w:rPr>
        <w:t>Que de lo anterior se desprende que el legislador en forma genérica no contempló que la contratación con cargo a recursos del Impuesto sobre la Renta para la Equidad (CREE) se regiría en forma exclusiva por el Derecho Privado y que por ello se investía de facultades al ICBF para expedir un procedimiento para su contratación. Visto lo anterior, se considera pertinente derogar el procedimiento previsto en el Acuerdo número 004 de 2014.</w:t>
      </w:r>
    </w:p>
    <w:p w:rsidRPr="008C5065" w:rsidR="000740AD" w:rsidP="008C5065" w:rsidRDefault="000740AD" w14:paraId="44D6776F" w14:textId="77777777">
      <w:pPr>
        <w:rPr>
          <w:rFonts w:ascii="Verdana" w:hAnsi="Verdana"/>
          <w:sz w:val="22"/>
          <w:szCs w:val="22"/>
        </w:rPr>
      </w:pPr>
    </w:p>
    <w:p w:rsidR="008C5065" w:rsidP="008C5065" w:rsidRDefault="008C5065" w14:paraId="2AEC27CE" w14:textId="77777777">
      <w:pPr>
        <w:rPr>
          <w:rFonts w:ascii="Verdana" w:hAnsi="Verdana"/>
          <w:sz w:val="22"/>
          <w:szCs w:val="22"/>
        </w:rPr>
      </w:pPr>
      <w:r w:rsidRPr="008C5065">
        <w:rPr>
          <w:rFonts w:ascii="Verdana" w:hAnsi="Verdana"/>
          <w:sz w:val="22"/>
          <w:szCs w:val="22"/>
        </w:rPr>
        <w:t>Que la presente derogatoria fue aprobada en Sesión del Consejo Directivo celebrada el 21 de julio de 2015.</w:t>
      </w:r>
    </w:p>
    <w:p w:rsidRPr="008C5065" w:rsidR="000740AD" w:rsidP="008C5065" w:rsidRDefault="000740AD" w14:paraId="04ECE0BD" w14:textId="77777777">
      <w:pPr>
        <w:rPr>
          <w:rFonts w:ascii="Verdana" w:hAnsi="Verdana"/>
          <w:sz w:val="22"/>
          <w:szCs w:val="22"/>
        </w:rPr>
      </w:pPr>
    </w:p>
    <w:p w:rsidRPr="008C5065" w:rsidR="008C5065" w:rsidP="008C5065" w:rsidRDefault="008C5065" w14:paraId="40BFDA29" w14:textId="77777777">
      <w:pPr>
        <w:rPr>
          <w:rFonts w:ascii="Verdana" w:hAnsi="Verdana"/>
          <w:sz w:val="22"/>
          <w:szCs w:val="22"/>
        </w:rPr>
      </w:pPr>
      <w:proofErr w:type="gramStart"/>
      <w:r w:rsidRPr="008C5065">
        <w:rPr>
          <w:rFonts w:ascii="Verdana" w:hAnsi="Verdana"/>
          <w:sz w:val="22"/>
          <w:szCs w:val="22"/>
        </w:rPr>
        <w:t>Que</w:t>
      </w:r>
      <w:proofErr w:type="gramEnd"/>
      <w:r w:rsidRPr="008C5065">
        <w:rPr>
          <w:rFonts w:ascii="Verdana" w:hAnsi="Verdana"/>
          <w:sz w:val="22"/>
          <w:szCs w:val="22"/>
        </w:rPr>
        <w:t xml:space="preserve"> en mérito de lo expuesto,</w:t>
      </w:r>
    </w:p>
    <w:p w:rsidR="000740AD" w:rsidP="008C5065" w:rsidRDefault="000740AD" w14:paraId="06DF87F7" w14:textId="77777777">
      <w:pPr>
        <w:rPr>
          <w:rFonts w:ascii="Verdana" w:hAnsi="Verdana"/>
          <w:b/>
          <w:bCs/>
          <w:sz w:val="22"/>
          <w:szCs w:val="22"/>
        </w:rPr>
      </w:pPr>
    </w:p>
    <w:p w:rsidRPr="008C5065" w:rsidR="008C5065" w:rsidP="000740AD" w:rsidRDefault="008C5065" w14:paraId="1B2125F2" w14:textId="6E9936FD">
      <w:pPr>
        <w:jc w:val="center"/>
        <w:rPr>
          <w:rFonts w:ascii="Verdana" w:hAnsi="Verdana"/>
          <w:sz w:val="22"/>
          <w:szCs w:val="22"/>
        </w:rPr>
      </w:pPr>
      <w:r w:rsidRPr="008C5065">
        <w:rPr>
          <w:rFonts w:ascii="Verdana" w:hAnsi="Verdana"/>
          <w:b/>
          <w:bCs/>
          <w:sz w:val="22"/>
          <w:szCs w:val="22"/>
        </w:rPr>
        <w:t>ACUERDA:</w:t>
      </w:r>
    </w:p>
    <w:p w:rsidR="000740AD" w:rsidP="008C5065" w:rsidRDefault="000740AD" w14:paraId="588E8535" w14:textId="77777777">
      <w:pPr>
        <w:rPr>
          <w:rFonts w:ascii="Verdana" w:hAnsi="Verdana"/>
          <w:b/>
          <w:bCs/>
          <w:sz w:val="22"/>
          <w:szCs w:val="22"/>
        </w:rPr>
      </w:pPr>
      <w:bookmarkStart w:name="1" w:id="0"/>
    </w:p>
    <w:p w:rsidR="000740AD" w:rsidP="008C5065" w:rsidRDefault="008C5065" w14:paraId="660F0B59" w14:textId="2E539BD8">
      <w:pPr>
        <w:rPr>
          <w:rFonts w:ascii="Verdana" w:hAnsi="Verdana"/>
          <w:sz w:val="22"/>
          <w:szCs w:val="22"/>
        </w:rPr>
      </w:pPr>
      <w:r w:rsidRPr="1377E423" w:rsidR="008C5065">
        <w:rPr>
          <w:rFonts w:ascii="Verdana" w:hAnsi="Verdana"/>
          <w:b w:val="1"/>
          <w:bCs w:val="1"/>
          <w:sz w:val="22"/>
          <w:szCs w:val="22"/>
        </w:rPr>
        <w:t>ARTÍCULO 1o.</w:t>
      </w:r>
      <w:bookmarkEnd w:id="0"/>
      <w:r w:rsidRPr="1377E423" w:rsidR="008C5065">
        <w:rPr>
          <w:rFonts w:ascii="Verdana" w:hAnsi="Verdana"/>
          <w:sz w:val="22"/>
          <w:szCs w:val="22"/>
        </w:rPr>
        <w:t> Derogar el Acuerdo número 004 del 27 de junio de 2014 </w:t>
      </w:r>
      <w:r w:rsidRPr="1377E423" w:rsidR="008C5065">
        <w:rPr>
          <w:rFonts w:ascii="Verdana" w:hAnsi="Verdana"/>
          <w:i w:val="1"/>
          <w:iCs w:val="1"/>
          <w:sz w:val="22"/>
          <w:szCs w:val="22"/>
        </w:rPr>
        <w:t xml:space="preserve">“por el cual se adopta el procedimiento de contratación con recursos del Impuesto sobre </w:t>
      </w:r>
      <w:r w:rsidRPr="1377E423" w:rsidR="008C5065">
        <w:rPr>
          <w:rFonts w:ascii="Verdana" w:hAnsi="Verdana"/>
          <w:i w:val="1"/>
          <w:iCs w:val="1"/>
          <w:sz w:val="22"/>
          <w:szCs w:val="22"/>
        </w:rPr>
        <w:t>la Renta para la Equidad (CREE) del Instituto Colombiano de Bienestar Familiar – Cecilia de la Fuente de Lleras”</w:t>
      </w:r>
    </w:p>
    <w:p w:rsidRPr="008C5065" w:rsidR="008C5065" w:rsidP="008C5065" w:rsidRDefault="008C5065" w14:paraId="6BECF212" w14:textId="77777777">
      <w:pPr>
        <w:rPr>
          <w:rFonts w:ascii="Verdana" w:hAnsi="Verdana"/>
          <w:sz w:val="22"/>
          <w:szCs w:val="22"/>
        </w:rPr>
      </w:pPr>
      <w:bookmarkStart w:name="2" w:id="1"/>
      <w:r w:rsidRPr="008C5065">
        <w:rPr>
          <w:rFonts w:ascii="Verdana" w:hAnsi="Verdana"/>
          <w:b/>
          <w:bCs/>
          <w:sz w:val="22"/>
          <w:szCs w:val="22"/>
        </w:rPr>
        <w:t>ARTÍCULO 2o.</w:t>
      </w:r>
      <w:bookmarkEnd w:id="1"/>
      <w:r w:rsidRPr="008C5065">
        <w:rPr>
          <w:rFonts w:ascii="Verdana" w:hAnsi="Verdana"/>
          <w:sz w:val="22"/>
          <w:szCs w:val="22"/>
        </w:rPr>
        <w:t> El presente acuerdo rige a partir de su publicación en el </w:t>
      </w:r>
      <w:r w:rsidRPr="008C5065">
        <w:rPr>
          <w:rFonts w:ascii="Verdana" w:hAnsi="Verdana"/>
          <w:i/>
          <w:iCs/>
          <w:sz w:val="22"/>
          <w:szCs w:val="22"/>
        </w:rPr>
        <w:t>Diario Oficial</w:t>
      </w:r>
      <w:r w:rsidRPr="008C5065">
        <w:rPr>
          <w:rFonts w:ascii="Verdana" w:hAnsi="Verdana"/>
          <w:sz w:val="22"/>
          <w:szCs w:val="22"/>
        </w:rPr>
        <w:t>.</w:t>
      </w:r>
    </w:p>
    <w:p w:rsidR="000740AD" w:rsidP="000740AD" w:rsidRDefault="000740AD" w14:paraId="7C633B2F" w14:textId="77777777">
      <w:pPr>
        <w:jc w:val="center"/>
        <w:rPr>
          <w:rFonts w:ascii="Verdana" w:hAnsi="Verdana"/>
          <w:b/>
          <w:bCs/>
          <w:sz w:val="22"/>
          <w:szCs w:val="22"/>
        </w:rPr>
      </w:pPr>
    </w:p>
    <w:p w:rsidRPr="008C5065" w:rsidR="008C5065" w:rsidP="000740AD" w:rsidRDefault="000740AD" w14:paraId="7C0F970B" w14:textId="72C14AE5">
      <w:pPr>
        <w:jc w:val="center"/>
        <w:rPr>
          <w:rFonts w:ascii="Verdana" w:hAnsi="Verdana"/>
          <w:b/>
          <w:bCs/>
          <w:sz w:val="22"/>
          <w:szCs w:val="22"/>
        </w:rPr>
      </w:pPr>
      <w:r w:rsidRPr="000740AD">
        <w:rPr>
          <w:rFonts w:ascii="Verdana" w:hAnsi="Verdana"/>
          <w:b/>
          <w:bCs/>
          <w:sz w:val="22"/>
          <w:szCs w:val="22"/>
        </w:rPr>
        <w:t>PUBLÍQUESE Y CÚMPLASE</w:t>
      </w:r>
      <w:r>
        <w:rPr>
          <w:rFonts w:ascii="Verdana" w:hAnsi="Verdana"/>
          <w:b/>
          <w:bCs/>
          <w:sz w:val="22"/>
          <w:szCs w:val="22"/>
        </w:rPr>
        <w:t xml:space="preserve">, </w:t>
      </w:r>
    </w:p>
    <w:p w:rsidRPr="008C5065" w:rsidR="008C5065" w:rsidP="000740AD" w:rsidRDefault="008C5065" w14:paraId="7D228098" w14:textId="6C0ABB53">
      <w:pPr>
        <w:jc w:val="center"/>
        <w:rPr>
          <w:rFonts w:ascii="Verdana" w:hAnsi="Verdana"/>
          <w:sz w:val="22"/>
          <w:szCs w:val="22"/>
        </w:rPr>
      </w:pPr>
      <w:r w:rsidRPr="008C5065">
        <w:rPr>
          <w:rFonts w:ascii="Verdana" w:hAnsi="Verdana"/>
          <w:sz w:val="22"/>
          <w:szCs w:val="22"/>
        </w:rPr>
        <w:t xml:space="preserve">Dado en Bogotá, D. C., a </w:t>
      </w:r>
      <w:r w:rsidR="000740AD">
        <w:rPr>
          <w:rFonts w:ascii="Verdana" w:hAnsi="Verdana"/>
          <w:sz w:val="22"/>
          <w:szCs w:val="22"/>
        </w:rPr>
        <w:t xml:space="preserve">los </w:t>
      </w:r>
      <w:r w:rsidRPr="008C5065">
        <w:rPr>
          <w:rFonts w:ascii="Verdana" w:hAnsi="Verdana"/>
          <w:sz w:val="22"/>
          <w:szCs w:val="22"/>
        </w:rPr>
        <w:t>21</w:t>
      </w:r>
      <w:r w:rsidR="000740AD">
        <w:rPr>
          <w:rFonts w:ascii="Verdana" w:hAnsi="Verdana"/>
          <w:sz w:val="22"/>
          <w:szCs w:val="22"/>
        </w:rPr>
        <w:t xml:space="preserve"> días del mes</w:t>
      </w:r>
      <w:r w:rsidRPr="008C5065">
        <w:rPr>
          <w:rFonts w:ascii="Verdana" w:hAnsi="Verdana"/>
          <w:sz w:val="22"/>
          <w:szCs w:val="22"/>
        </w:rPr>
        <w:t xml:space="preserve"> de julio de 2015.</w:t>
      </w:r>
    </w:p>
    <w:p w:rsidRPr="008C5065" w:rsidR="000740AD" w:rsidP="000740AD" w:rsidRDefault="000740AD" w14:paraId="27A53E9E" w14:textId="77777777">
      <w:pPr>
        <w:jc w:val="center"/>
        <w:rPr>
          <w:rFonts w:ascii="Verdana" w:hAnsi="Verdana"/>
          <w:sz w:val="22"/>
          <w:szCs w:val="22"/>
        </w:rPr>
      </w:pPr>
      <w:r w:rsidRPr="008C5065">
        <w:rPr>
          <w:rFonts w:ascii="Verdana" w:hAnsi="Verdana"/>
          <w:sz w:val="22"/>
          <w:szCs w:val="22"/>
        </w:rPr>
        <w:t>TATIANA OROZCO DE LA CRUZ</w:t>
      </w:r>
    </w:p>
    <w:p w:rsidRPr="008C5065" w:rsidR="008C5065" w:rsidP="000740AD" w:rsidRDefault="000740AD" w14:paraId="2FAC544F" w14:textId="5E921B51">
      <w:pPr>
        <w:jc w:val="center"/>
        <w:rPr>
          <w:rFonts w:ascii="Verdana" w:hAnsi="Verdana"/>
          <w:b/>
          <w:bCs/>
          <w:sz w:val="22"/>
          <w:szCs w:val="22"/>
        </w:rPr>
      </w:pPr>
      <w:r w:rsidRPr="000740AD">
        <w:rPr>
          <w:rFonts w:ascii="Verdana" w:hAnsi="Verdana"/>
          <w:b/>
          <w:bCs/>
          <w:sz w:val="22"/>
          <w:szCs w:val="22"/>
        </w:rPr>
        <w:t>LA PRESIDENTA CONSEJO DIRECTIVO</w:t>
      </w:r>
    </w:p>
    <w:p w:rsidRPr="008C5065" w:rsidR="000740AD" w:rsidP="000740AD" w:rsidRDefault="000740AD" w14:paraId="750BB994" w14:textId="77777777">
      <w:pPr>
        <w:jc w:val="center"/>
        <w:rPr>
          <w:rFonts w:ascii="Verdana" w:hAnsi="Verdana"/>
          <w:sz w:val="22"/>
          <w:szCs w:val="22"/>
        </w:rPr>
      </w:pPr>
      <w:r w:rsidRPr="008C5065">
        <w:rPr>
          <w:rFonts w:ascii="Verdana" w:hAnsi="Verdana"/>
          <w:sz w:val="22"/>
          <w:szCs w:val="22"/>
        </w:rPr>
        <w:t>SANDRA LILIANA ROYA BLANCO</w:t>
      </w:r>
    </w:p>
    <w:p w:rsidRPr="008C5065" w:rsidR="008C5065" w:rsidP="000740AD" w:rsidRDefault="000740AD" w14:paraId="71B961BC" w14:textId="44F73964">
      <w:pPr>
        <w:jc w:val="center"/>
        <w:rPr>
          <w:rFonts w:ascii="Verdana" w:hAnsi="Verdana"/>
          <w:b/>
          <w:bCs/>
          <w:sz w:val="22"/>
          <w:szCs w:val="22"/>
        </w:rPr>
      </w:pPr>
      <w:r w:rsidRPr="000740AD">
        <w:rPr>
          <w:rFonts w:ascii="Verdana" w:hAnsi="Verdana"/>
          <w:b/>
          <w:bCs/>
          <w:sz w:val="22"/>
          <w:szCs w:val="22"/>
        </w:rPr>
        <w:t>LA SECRETARIA CONSEJO DIRECTIVO</w:t>
      </w:r>
    </w:p>
    <w:p w:rsidRPr="00124EFB" w:rsidR="0088588F" w:rsidRDefault="0088588F" w14:paraId="1E09F5B8" w14:textId="77777777">
      <w:pPr>
        <w:rPr>
          <w:rFonts w:ascii="Verdana" w:hAnsi="Verdana"/>
          <w:sz w:val="22"/>
          <w:szCs w:val="22"/>
        </w:rPr>
      </w:pPr>
    </w:p>
    <w:sectPr w:rsidRPr="00124EFB" w:rsidR="0088588F">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F5"/>
    <w:rsid w:val="00015D2A"/>
    <w:rsid w:val="000740AD"/>
    <w:rsid w:val="00124EFB"/>
    <w:rsid w:val="00232FF5"/>
    <w:rsid w:val="003007DE"/>
    <w:rsid w:val="00490B89"/>
    <w:rsid w:val="00550F5C"/>
    <w:rsid w:val="0088588F"/>
    <w:rsid w:val="008877C6"/>
    <w:rsid w:val="008C5065"/>
    <w:rsid w:val="00AF4022"/>
    <w:rsid w:val="1377E4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BA004"/>
  <w15:chartTrackingRefBased/>
  <w15:docId w15:val="{531E81B6-4B66-4FE5-B2D9-C1932A1D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232FF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32FF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32FF5"/>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32FF5"/>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32FF5"/>
    <w:pPr>
      <w:keepNext/>
      <w:keepLines/>
      <w:spacing w:before="80" w:after="40"/>
      <w:outlineLvl w:val="4"/>
    </w:pPr>
    <w:rPr>
      <w:rFonts w:asciiTheme="minorHAnsi" w:hAnsiTheme="minorHAnsi"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32FF5"/>
    <w:pPr>
      <w:keepNext/>
      <w:keepLines/>
      <w:spacing w:before="40" w:after="0"/>
      <w:outlineLvl w:val="5"/>
    </w:pPr>
    <w:rPr>
      <w:rFonts w:asciiTheme="minorHAnsi" w:hAnsiTheme="minorHAnsi"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32FF5"/>
    <w:pPr>
      <w:keepNext/>
      <w:keepLines/>
      <w:spacing w:before="40" w:after="0"/>
      <w:outlineLvl w:val="6"/>
    </w:pPr>
    <w:rPr>
      <w:rFonts w:asciiTheme="minorHAnsi" w:hAnsiTheme="minorHAnsi"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32FF5"/>
    <w:pPr>
      <w:keepNext/>
      <w:keepLines/>
      <w:spacing w:after="0"/>
      <w:outlineLvl w:val="7"/>
    </w:pPr>
    <w:rPr>
      <w:rFonts w:asciiTheme="minorHAnsi" w:hAnsiTheme="minorHAnsi"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32FF5"/>
    <w:pPr>
      <w:keepNext/>
      <w:keepLines/>
      <w:spacing w:after="0"/>
      <w:outlineLvl w:val="8"/>
    </w:pPr>
    <w:rPr>
      <w:rFonts w:asciiTheme="minorHAnsi" w:hAnsiTheme="minorHAnsi" w:eastAsiaTheme="majorEastAsia" w:cstheme="majorBidi"/>
      <w:color w:val="272727" w:themeColor="text1" w:themeTint="D8"/>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232FF5"/>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232FF5"/>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232FF5"/>
    <w:rPr>
      <w:rFonts w:asciiTheme="minorHAnsi" w:hAnsiTheme="minorHAnsi"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232FF5"/>
    <w:rPr>
      <w:rFonts w:asciiTheme="minorHAnsi" w:hAnsiTheme="minorHAnsi"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232FF5"/>
    <w:rPr>
      <w:rFonts w:asciiTheme="minorHAnsi" w:hAnsiTheme="minorHAnsi"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232FF5"/>
    <w:rPr>
      <w:rFonts w:asciiTheme="minorHAnsi" w:hAnsiTheme="minorHAnsi"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232FF5"/>
    <w:rPr>
      <w:rFonts w:asciiTheme="minorHAnsi" w:hAnsiTheme="minorHAnsi"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232FF5"/>
    <w:rPr>
      <w:rFonts w:asciiTheme="minorHAnsi" w:hAnsiTheme="minorHAnsi"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232FF5"/>
    <w:rPr>
      <w:rFonts w:asciiTheme="minorHAnsi" w:hAnsiTheme="minorHAnsi" w:eastAsiaTheme="majorEastAsia" w:cstheme="majorBidi"/>
      <w:color w:val="272727" w:themeColor="text1" w:themeTint="D8"/>
    </w:rPr>
  </w:style>
  <w:style w:type="paragraph" w:styleId="Ttulo">
    <w:name w:val="Title"/>
    <w:basedOn w:val="Normal"/>
    <w:next w:val="Normal"/>
    <w:link w:val="TtuloCar"/>
    <w:uiPriority w:val="10"/>
    <w:qFormat/>
    <w:rsid w:val="00232FF5"/>
    <w:pPr>
      <w:spacing w:after="80"/>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232FF5"/>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232FF5"/>
    <w:pPr>
      <w:numPr>
        <w:ilvl w:val="1"/>
      </w:numPr>
    </w:pPr>
    <w:rPr>
      <w:rFonts w:asciiTheme="minorHAnsi" w:hAnsiTheme="minorHAnsi"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232FF5"/>
    <w:rPr>
      <w:rFonts w:asciiTheme="minorHAnsi" w:hAnsiTheme="minorHAnsi"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32FF5"/>
    <w:pPr>
      <w:spacing w:before="160"/>
      <w:jc w:val="center"/>
    </w:pPr>
    <w:rPr>
      <w:i/>
      <w:iCs/>
      <w:color w:val="404040" w:themeColor="text1" w:themeTint="BF"/>
    </w:rPr>
  </w:style>
  <w:style w:type="character" w:styleId="CitaCar" w:customStyle="1">
    <w:name w:val="Cita Car"/>
    <w:basedOn w:val="Fuentedeprrafopredeter"/>
    <w:link w:val="Cita"/>
    <w:uiPriority w:val="29"/>
    <w:rsid w:val="00232FF5"/>
    <w:rPr>
      <w:i/>
      <w:iCs/>
      <w:color w:val="404040" w:themeColor="text1" w:themeTint="BF"/>
    </w:rPr>
  </w:style>
  <w:style w:type="paragraph" w:styleId="Prrafodelista">
    <w:name w:val="List Paragraph"/>
    <w:basedOn w:val="Normal"/>
    <w:uiPriority w:val="34"/>
    <w:qFormat/>
    <w:rsid w:val="00232FF5"/>
    <w:pPr>
      <w:ind w:left="720"/>
      <w:contextualSpacing/>
    </w:pPr>
  </w:style>
  <w:style w:type="character" w:styleId="nfasisintenso">
    <w:name w:val="Intense Emphasis"/>
    <w:basedOn w:val="Fuentedeprrafopredeter"/>
    <w:uiPriority w:val="21"/>
    <w:qFormat/>
    <w:rsid w:val="00232FF5"/>
    <w:rPr>
      <w:i/>
      <w:iCs/>
      <w:color w:val="0F4761" w:themeColor="accent1" w:themeShade="BF"/>
    </w:rPr>
  </w:style>
  <w:style w:type="paragraph" w:styleId="Citadestacada">
    <w:name w:val="Intense Quote"/>
    <w:basedOn w:val="Normal"/>
    <w:next w:val="Normal"/>
    <w:link w:val="CitadestacadaCar"/>
    <w:uiPriority w:val="30"/>
    <w:qFormat/>
    <w:rsid w:val="00232FF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232FF5"/>
    <w:rPr>
      <w:i/>
      <w:iCs/>
      <w:color w:val="0F4761" w:themeColor="accent1" w:themeShade="BF"/>
    </w:rPr>
  </w:style>
  <w:style w:type="character" w:styleId="Referenciaintensa">
    <w:name w:val="Intense Reference"/>
    <w:basedOn w:val="Fuentedeprrafopredeter"/>
    <w:uiPriority w:val="32"/>
    <w:qFormat/>
    <w:rsid w:val="00232FF5"/>
    <w:rPr>
      <w:b/>
      <w:bCs/>
      <w:smallCaps/>
      <w:color w:val="0F4761" w:themeColor="accent1" w:themeShade="BF"/>
      <w:spacing w:val="5"/>
    </w:rPr>
  </w:style>
  <w:style w:type="character" w:styleId="Hipervnculo">
    <w:name w:val="Hyperlink"/>
    <w:basedOn w:val="Fuentedeprrafopredeter"/>
    <w:uiPriority w:val="99"/>
    <w:unhideWhenUsed/>
    <w:rsid w:val="008C5065"/>
    <w:rPr>
      <w:color w:val="467886" w:themeColor="hyperlink"/>
      <w:u w:val="single"/>
    </w:rPr>
  </w:style>
  <w:style w:type="character" w:styleId="Mencinsinresolver">
    <w:name w:val="Unresolved Mention"/>
    <w:basedOn w:val="Fuentedeprrafopredeter"/>
    <w:uiPriority w:val="99"/>
    <w:semiHidden/>
    <w:unhideWhenUsed/>
    <w:rsid w:val="008C50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3694D3-5285-4CB7-A434-1ADAFE50101F}"/>
</file>

<file path=customXml/itemProps2.xml><?xml version="1.0" encoding="utf-8"?>
<ds:datastoreItem xmlns:ds="http://schemas.openxmlformats.org/officeDocument/2006/customXml" ds:itemID="{5F0CEB37-6069-4967-86CF-F66B061B1833}"/>
</file>

<file path=customXml/itemProps3.xml><?xml version="1.0" encoding="utf-8"?>
<ds:datastoreItem xmlns:ds="http://schemas.openxmlformats.org/officeDocument/2006/customXml" ds:itemID="{27419724-6D5B-4155-9C50-EEF31173483E}"/>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6</cp:revision>
  <dcterms:created xsi:type="dcterms:W3CDTF">2026-04-07T16:46:00Z</dcterms:created>
  <dcterms:modified xsi:type="dcterms:W3CDTF">2026-04-13T19:41:18Z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