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4FF6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C088C99" w14:textId="77777777" w:rsidR="001562AB" w:rsidRDefault="001562A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7F06A990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 xml:space="preserve">INFORME </w:t>
      </w:r>
    </w:p>
    <w:p w14:paraId="3DA3ED4D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54D383B4" w14:textId="77777777" w:rsidR="00C61BCB" w:rsidRDefault="00C61BC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51707D56" w14:textId="77777777" w:rsidR="00C61BCB" w:rsidRDefault="00C61BC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63852A20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06ADFE52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5C024A75" w14:textId="77777777" w:rsidR="00563FCF" w:rsidRDefault="00563FCF" w:rsidP="00563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E</w:t>
      </w:r>
      <w:r w:rsidRPr="007F3C85">
        <w:rPr>
          <w:rFonts w:ascii="Arial" w:eastAsia="Times New Roman" w:hAnsi="Arial"/>
          <w:b/>
          <w:lang w:val="es-ES_tradnl" w:eastAsia="es-ES_tradnl" w:bidi="x-none"/>
        </w:rPr>
        <w:t>VALUACIÓN CONTRO</w:t>
      </w:r>
      <w:r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14:paraId="5EEF4CF5" w14:textId="77777777" w:rsidR="00035BDB" w:rsidRPr="00B876E3" w:rsidRDefault="00035BDB" w:rsidP="004E0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</w:t>
      </w:r>
      <w:r w:rsidR="00563FCF">
        <w:rPr>
          <w:rFonts w:ascii="Arial" w:eastAsia="Times New Roman" w:hAnsi="Arial"/>
          <w:b/>
          <w:lang w:val="es-ES_tradnl" w:eastAsia="es-ES_tradnl" w:bidi="x-none"/>
        </w:rPr>
        <w:t>20</w:t>
      </w:r>
      <w:r w:rsidR="004E0299" w:rsidRPr="004E0299">
        <w:rPr>
          <w:rFonts w:ascii="Arial" w:eastAsia="Times New Roman" w:hAnsi="Arial"/>
          <w:b/>
          <w:lang w:val="es-ES_tradnl" w:eastAsia="es-ES_tradnl" w:bidi="x-none"/>
        </w:rPr>
        <w:t xml:space="preserve"> </w:t>
      </w:r>
    </w:p>
    <w:p w14:paraId="1D6846C5" w14:textId="77777777" w:rsidR="00035BDB" w:rsidRPr="00B876E3" w:rsidRDefault="00035BDB" w:rsidP="00035BDB">
      <w:pPr>
        <w:tabs>
          <w:tab w:val="left" w:pos="5415"/>
          <w:tab w:val="left" w:pos="6305"/>
        </w:tabs>
        <w:jc w:val="center"/>
        <w:rPr>
          <w:rFonts w:ascii="Arial" w:hAnsi="Arial" w:cs="Arial"/>
          <w:b/>
        </w:rPr>
      </w:pPr>
    </w:p>
    <w:p w14:paraId="446FBF65" w14:textId="77777777" w:rsidR="00035BDB" w:rsidRPr="00B876E3" w:rsidRDefault="00035BDB" w:rsidP="00035BDB">
      <w:pPr>
        <w:tabs>
          <w:tab w:val="left" w:pos="5631"/>
        </w:tabs>
        <w:rPr>
          <w:rFonts w:ascii="Arial" w:eastAsia="Times New Roman" w:hAnsi="Arial" w:cs="Arial"/>
          <w:color w:val="00B050"/>
          <w:sz w:val="18"/>
          <w:lang w:val="es-CO" w:eastAsia="es-CO"/>
        </w:rPr>
      </w:pPr>
      <w:r w:rsidRPr="00B876E3">
        <w:rPr>
          <w:rFonts w:ascii="Arial" w:eastAsia="Times New Roman" w:hAnsi="Arial" w:cs="Arial"/>
          <w:color w:val="00B050"/>
          <w:sz w:val="18"/>
          <w:lang w:val="es-CO" w:eastAsia="es-CO"/>
        </w:rPr>
        <w:tab/>
      </w:r>
    </w:p>
    <w:p w14:paraId="0E0E58A4" w14:textId="77777777" w:rsidR="00035BDB" w:rsidRPr="00B876E3" w:rsidRDefault="00035BDB" w:rsidP="00035BDB">
      <w:pPr>
        <w:jc w:val="center"/>
        <w:rPr>
          <w:rFonts w:ascii="Arial" w:hAnsi="Arial" w:cs="Arial"/>
        </w:rPr>
      </w:pPr>
    </w:p>
    <w:p w14:paraId="576B41FA" w14:textId="77777777" w:rsidR="00035BDB" w:rsidRPr="00B876E3" w:rsidRDefault="00035BDB" w:rsidP="00035BDB">
      <w:pPr>
        <w:tabs>
          <w:tab w:val="left" w:pos="7010"/>
        </w:tabs>
        <w:rPr>
          <w:rFonts w:ascii="Arial" w:hAnsi="Arial" w:cs="Arial"/>
        </w:rPr>
      </w:pPr>
      <w:r w:rsidRPr="00B876E3">
        <w:rPr>
          <w:rFonts w:ascii="Arial" w:hAnsi="Arial" w:cs="Arial"/>
        </w:rPr>
        <w:tab/>
      </w:r>
    </w:p>
    <w:p w14:paraId="48CEE8B7" w14:textId="77777777" w:rsidR="00035BDB" w:rsidRPr="00B876E3" w:rsidRDefault="00035BDB" w:rsidP="00035BDB">
      <w:pPr>
        <w:rPr>
          <w:rFonts w:ascii="Arial" w:hAnsi="Arial" w:cs="Arial"/>
        </w:rPr>
      </w:pPr>
    </w:p>
    <w:p w14:paraId="44C2869A" w14:textId="77777777" w:rsidR="00035BDB" w:rsidRPr="00B876E3" w:rsidRDefault="00035BDB" w:rsidP="00035BDB">
      <w:pPr>
        <w:rPr>
          <w:rFonts w:ascii="Arial" w:hAnsi="Arial" w:cs="Arial"/>
        </w:rPr>
      </w:pPr>
    </w:p>
    <w:p w14:paraId="75B29EC7" w14:textId="77777777" w:rsidR="00035BDB" w:rsidRPr="00876ECC" w:rsidRDefault="00035BDB" w:rsidP="00035BDB">
      <w:pPr>
        <w:jc w:val="center"/>
        <w:rPr>
          <w:rFonts w:ascii="Arial" w:hAnsi="Arial" w:cs="Arial"/>
          <w:b/>
        </w:rPr>
      </w:pPr>
      <w:r w:rsidRPr="00876ECC">
        <w:rPr>
          <w:rFonts w:ascii="Arial" w:hAnsi="Arial" w:cs="Arial"/>
          <w:b/>
        </w:rPr>
        <w:t>OFICINA DE CONTROL INTERNO</w:t>
      </w:r>
    </w:p>
    <w:p w14:paraId="60823A84" w14:textId="77777777" w:rsidR="00035BDB" w:rsidRPr="00B876E3" w:rsidRDefault="00035BDB" w:rsidP="0003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0BCE77" w14:textId="77777777" w:rsidR="00035BDB" w:rsidRPr="00B876E3" w:rsidRDefault="00035BDB" w:rsidP="00035BDB">
      <w:pPr>
        <w:rPr>
          <w:rFonts w:ascii="Arial" w:hAnsi="Arial" w:cs="Arial"/>
        </w:rPr>
      </w:pPr>
    </w:p>
    <w:p w14:paraId="02FC9662" w14:textId="77777777" w:rsidR="00035BDB" w:rsidRPr="00B876E3" w:rsidRDefault="00035BDB" w:rsidP="00035BDB">
      <w:pPr>
        <w:rPr>
          <w:rFonts w:ascii="Arial" w:hAnsi="Arial" w:cs="Arial"/>
        </w:rPr>
      </w:pPr>
    </w:p>
    <w:p w14:paraId="2F21D77D" w14:textId="77777777" w:rsidR="00035BDB" w:rsidRPr="00B876E3" w:rsidRDefault="00035BDB" w:rsidP="00035BDB">
      <w:pPr>
        <w:rPr>
          <w:rFonts w:ascii="Arial" w:hAnsi="Arial" w:cs="Arial"/>
        </w:rPr>
      </w:pPr>
    </w:p>
    <w:p w14:paraId="40549E7E" w14:textId="77777777" w:rsidR="00035BDB" w:rsidRPr="00B876E3" w:rsidRDefault="00035BDB" w:rsidP="00035BDB">
      <w:pPr>
        <w:rPr>
          <w:rFonts w:ascii="Arial" w:hAnsi="Arial" w:cs="Arial"/>
        </w:rPr>
      </w:pPr>
    </w:p>
    <w:p w14:paraId="09512E94" w14:textId="77777777"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0A749F56" w14:textId="77777777" w:rsidR="00C61BCB" w:rsidRDefault="00C61BC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711693B" w14:textId="77777777" w:rsidR="00C61BCB" w:rsidRDefault="00C61BC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1FEBEBF" w14:textId="77777777"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14E875B6" w14:textId="77777777"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4F8962B" w14:textId="77777777" w:rsidR="00035BDB" w:rsidRPr="00DC0167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FA5BB4D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11B18">
        <w:rPr>
          <w:rFonts w:ascii="Arial" w:hAnsi="Arial" w:cs="Arial"/>
          <w:b/>
        </w:rPr>
        <w:t>20</w:t>
      </w:r>
      <w:r w:rsidR="00DC798B" w:rsidRPr="00011B18">
        <w:rPr>
          <w:rFonts w:ascii="Arial" w:hAnsi="Arial" w:cs="Arial"/>
          <w:b/>
        </w:rPr>
        <w:t>2</w:t>
      </w:r>
      <w:r w:rsidR="00911DEA">
        <w:rPr>
          <w:rFonts w:ascii="Arial" w:hAnsi="Arial" w:cs="Arial"/>
          <w:b/>
        </w:rPr>
        <w:t>1</w:t>
      </w:r>
    </w:p>
    <w:p w14:paraId="540F3DFB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7C9AB2F" w14:textId="77777777" w:rsidR="00035BDB" w:rsidRPr="00DE2F46" w:rsidRDefault="00035BDB" w:rsidP="00035BDB">
      <w:pPr>
        <w:jc w:val="center"/>
        <w:rPr>
          <w:rFonts w:ascii="Arial" w:hAnsi="Arial" w:cs="Arial"/>
          <w:b/>
          <w:sz w:val="20"/>
          <w:szCs w:val="20"/>
        </w:rPr>
      </w:pPr>
      <w:r w:rsidRPr="00DE2F46">
        <w:rPr>
          <w:rFonts w:ascii="Arial" w:hAnsi="Arial" w:cs="Arial"/>
          <w:b/>
          <w:sz w:val="20"/>
          <w:szCs w:val="20"/>
        </w:rPr>
        <w:lastRenderedPageBreak/>
        <w:t>TABLA DE CONTENIDO</w:t>
      </w:r>
    </w:p>
    <w:p w14:paraId="6D59B0D5" w14:textId="0409AB98" w:rsidR="007B1101" w:rsidRPr="00831CD7" w:rsidRDefault="00035BDB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r w:rsidRPr="007B1101">
        <w:rPr>
          <w:b w:val="0"/>
          <w:bCs/>
          <w:noProof/>
          <w:sz w:val="20"/>
          <w:szCs w:val="20"/>
        </w:rPr>
        <w:fldChar w:fldCharType="begin"/>
      </w:r>
      <w:r w:rsidRPr="007B1101">
        <w:rPr>
          <w:b w:val="0"/>
          <w:bCs/>
          <w:sz w:val="20"/>
          <w:szCs w:val="20"/>
        </w:rPr>
        <w:instrText xml:space="preserve"> TOC \o "1-4" \h \z \u </w:instrText>
      </w:r>
      <w:r w:rsidRPr="007B1101">
        <w:rPr>
          <w:b w:val="0"/>
          <w:bCs/>
          <w:noProof/>
          <w:sz w:val="20"/>
          <w:szCs w:val="20"/>
        </w:rPr>
        <w:fldChar w:fldCharType="separate"/>
      </w:r>
      <w:hyperlink w:anchor="_Toc66790663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</w:rPr>
          <w:t>1.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JUSTIFICACIÓN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_Toc66790663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3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24E1BD50" w14:textId="0D616073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64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2.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ALCANCE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_Toc66790664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4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03286921" w14:textId="08B17E52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65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3.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OBJETIVO GENERAL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_Toc66790665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4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4055B9E8" w14:textId="617618F4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66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4.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OBJETIVOS ESPECÍFICOS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_Toc66790666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4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33C9C57D" w14:textId="17A34DA4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67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5.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METODOLOGÍA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_Toc66790667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5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5EAA0C79" w14:textId="4A08751C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68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6.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RESULTADOS: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_Toc66790668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5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3CAD6369" w14:textId="1A683225" w:rsidR="007B1101" w:rsidRPr="00831CD7" w:rsidRDefault="00411198">
      <w:pPr>
        <w:pStyle w:val="TDC2"/>
        <w:rPr>
          <w:rFonts w:eastAsiaTheme="minorEastAsia"/>
          <w:bCs/>
          <w:sz w:val="20"/>
          <w:szCs w:val="20"/>
        </w:rPr>
      </w:pPr>
      <w:hyperlink w:anchor="_Toc66790669" w:history="1">
        <w:r w:rsidR="007B1101" w:rsidRPr="00831CD7">
          <w:rPr>
            <w:rStyle w:val="Hipervnculo"/>
            <w:bCs/>
            <w:sz w:val="20"/>
            <w:szCs w:val="20"/>
          </w:rPr>
          <w:t>6.1</w:t>
        </w:r>
        <w:r w:rsidR="007B1101" w:rsidRPr="00831CD7">
          <w:rPr>
            <w:rFonts w:eastAsiaTheme="minorEastAsia"/>
            <w:bCs/>
            <w:sz w:val="20"/>
            <w:szCs w:val="20"/>
          </w:rPr>
          <w:tab/>
        </w:r>
        <w:r w:rsidR="007B1101" w:rsidRPr="00831CD7">
          <w:rPr>
            <w:rStyle w:val="Hipervnculo"/>
            <w:bCs/>
            <w:sz w:val="20"/>
            <w:szCs w:val="20"/>
          </w:rPr>
          <w:t>MARCO DE REFERENCIA PROCESO CONTABLE………………………………………….</w:t>
        </w:r>
        <w:r w:rsidR="007B1101" w:rsidRPr="00831CD7">
          <w:rPr>
            <w:bCs/>
            <w:webHidden/>
            <w:sz w:val="20"/>
            <w:szCs w:val="20"/>
          </w:rPr>
          <w:tab/>
        </w:r>
        <w:r w:rsidR="007B1101" w:rsidRPr="00831CD7">
          <w:rPr>
            <w:bCs/>
            <w:webHidden/>
            <w:sz w:val="20"/>
            <w:szCs w:val="20"/>
          </w:rPr>
          <w:fldChar w:fldCharType="begin"/>
        </w:r>
        <w:r w:rsidR="007B1101" w:rsidRPr="00831CD7">
          <w:rPr>
            <w:bCs/>
            <w:webHidden/>
            <w:sz w:val="20"/>
            <w:szCs w:val="20"/>
          </w:rPr>
          <w:instrText xml:space="preserve"> PAGEREF _Toc66790669 \h </w:instrText>
        </w:r>
        <w:r w:rsidR="007B1101" w:rsidRPr="00831CD7">
          <w:rPr>
            <w:bCs/>
            <w:webHidden/>
            <w:sz w:val="20"/>
            <w:szCs w:val="20"/>
          </w:rPr>
        </w:r>
        <w:r w:rsidR="007B1101" w:rsidRPr="00831CD7">
          <w:rPr>
            <w:bCs/>
            <w:webHidden/>
            <w:sz w:val="20"/>
            <w:szCs w:val="20"/>
          </w:rPr>
          <w:fldChar w:fldCharType="separate"/>
        </w:r>
        <w:r w:rsidR="007B1101" w:rsidRPr="00831CD7">
          <w:rPr>
            <w:bCs/>
            <w:webHidden/>
            <w:sz w:val="20"/>
            <w:szCs w:val="20"/>
          </w:rPr>
          <w:t>7</w:t>
        </w:r>
        <w:r w:rsidR="007B1101" w:rsidRPr="00831CD7">
          <w:rPr>
            <w:bCs/>
            <w:webHidden/>
            <w:sz w:val="20"/>
            <w:szCs w:val="20"/>
          </w:rPr>
          <w:fldChar w:fldCharType="end"/>
        </w:r>
      </w:hyperlink>
    </w:p>
    <w:p w14:paraId="62CB8ABC" w14:textId="2B4EB41E" w:rsidR="007B1101" w:rsidRPr="00831CD7" w:rsidRDefault="00411198">
      <w:pPr>
        <w:pStyle w:val="TDC2"/>
        <w:rPr>
          <w:rFonts w:eastAsiaTheme="minorEastAsia"/>
          <w:bCs/>
          <w:sz w:val="20"/>
          <w:szCs w:val="20"/>
        </w:rPr>
      </w:pPr>
      <w:hyperlink w:anchor="_Toc66790670" w:history="1">
        <w:r w:rsidR="007B1101" w:rsidRPr="00831CD7">
          <w:rPr>
            <w:rStyle w:val="Hipervnculo"/>
            <w:bCs/>
            <w:sz w:val="20"/>
            <w:szCs w:val="20"/>
          </w:rPr>
          <w:t>6.2</w:t>
        </w:r>
        <w:r w:rsidR="007B1101" w:rsidRPr="00831CD7">
          <w:rPr>
            <w:rFonts w:eastAsiaTheme="minorEastAsia"/>
            <w:bCs/>
            <w:sz w:val="20"/>
            <w:szCs w:val="20"/>
          </w:rPr>
          <w:tab/>
        </w:r>
        <w:r w:rsidR="007B1101" w:rsidRPr="00831CD7">
          <w:rPr>
            <w:rStyle w:val="Hipervnculo"/>
            <w:bCs/>
            <w:sz w:val="20"/>
            <w:szCs w:val="20"/>
          </w:rPr>
          <w:t>ETAPAS DEL PROCESO CONTABLE…………………………………………………………</w:t>
        </w:r>
        <w:r w:rsidR="007B1101" w:rsidRPr="00831CD7">
          <w:rPr>
            <w:bCs/>
            <w:webHidden/>
            <w:sz w:val="20"/>
            <w:szCs w:val="20"/>
          </w:rPr>
          <w:tab/>
        </w:r>
        <w:r w:rsidR="007B1101" w:rsidRPr="00831CD7">
          <w:rPr>
            <w:bCs/>
            <w:webHidden/>
            <w:sz w:val="20"/>
            <w:szCs w:val="20"/>
          </w:rPr>
          <w:fldChar w:fldCharType="begin"/>
        </w:r>
        <w:r w:rsidR="007B1101" w:rsidRPr="00831CD7">
          <w:rPr>
            <w:bCs/>
            <w:webHidden/>
            <w:sz w:val="20"/>
            <w:szCs w:val="20"/>
          </w:rPr>
          <w:instrText xml:space="preserve"> PAGEREF _Toc66790670 \h </w:instrText>
        </w:r>
        <w:r w:rsidR="007B1101" w:rsidRPr="00831CD7">
          <w:rPr>
            <w:bCs/>
            <w:webHidden/>
            <w:sz w:val="20"/>
            <w:szCs w:val="20"/>
          </w:rPr>
        </w:r>
        <w:r w:rsidR="007B1101" w:rsidRPr="00831CD7">
          <w:rPr>
            <w:bCs/>
            <w:webHidden/>
            <w:sz w:val="20"/>
            <w:szCs w:val="20"/>
          </w:rPr>
          <w:fldChar w:fldCharType="separate"/>
        </w:r>
        <w:r w:rsidR="007B1101" w:rsidRPr="00831CD7">
          <w:rPr>
            <w:bCs/>
            <w:webHidden/>
            <w:sz w:val="20"/>
            <w:szCs w:val="20"/>
          </w:rPr>
          <w:t>7</w:t>
        </w:r>
        <w:r w:rsidR="007B1101" w:rsidRPr="00831CD7">
          <w:rPr>
            <w:bCs/>
            <w:webHidden/>
            <w:sz w:val="20"/>
            <w:szCs w:val="20"/>
          </w:rPr>
          <w:fldChar w:fldCharType="end"/>
        </w:r>
      </w:hyperlink>
    </w:p>
    <w:p w14:paraId="35963519" w14:textId="3D20B3F2" w:rsidR="007B1101" w:rsidRPr="00831CD7" w:rsidRDefault="00411198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71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ETAPA DE RECONOCIMIENTO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_Toc66790671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8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5E7FE203" w14:textId="36769E46" w:rsidR="007B1101" w:rsidRPr="00831CD7" w:rsidRDefault="00411198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72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6.2.1.1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Identificación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_Toc66790672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8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6B0E7670" w14:textId="01912409" w:rsidR="007B1101" w:rsidRPr="00831CD7" w:rsidRDefault="00411198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73" w:history="1">
        <w:r w:rsidR="007B1101" w:rsidRPr="00831CD7">
          <w:rPr>
            <w:rStyle w:val="Hipervnculo"/>
            <w:rFonts w:ascii="Arial" w:eastAsiaTheme="majorEastAsia" w:hAnsi="Arial" w:cs="Arial"/>
            <w:bCs/>
            <w:noProof/>
            <w:sz w:val="20"/>
            <w:szCs w:val="20"/>
            <w:lang w:eastAsia="es-CO"/>
          </w:rPr>
          <w:t>6.2.1.4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eastAsiaTheme="majorEastAsia" w:hAnsi="Arial" w:cs="Arial"/>
            <w:bCs/>
            <w:noProof/>
            <w:sz w:val="20"/>
            <w:szCs w:val="20"/>
            <w:lang w:eastAsia="es-CO"/>
          </w:rPr>
          <w:t>Medición Inicial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_Toc66790673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9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24E28F5D" w14:textId="060CF810" w:rsidR="007B1101" w:rsidRPr="00831CD7" w:rsidRDefault="00411198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74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6.2.1.5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Medición Posterior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_Toc66790674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10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22A2B32F" w14:textId="5768EC2A" w:rsidR="007B1101" w:rsidRPr="00831CD7" w:rsidRDefault="00411198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75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6.2.1.6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Presentación de Estados Financieros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_Toc66790675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10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56C0E817" w14:textId="2AE4CEB6" w:rsidR="007B1101" w:rsidRPr="00831CD7" w:rsidRDefault="00411198">
      <w:pPr>
        <w:pStyle w:val="TDC2"/>
        <w:rPr>
          <w:rFonts w:eastAsiaTheme="minorEastAsia"/>
          <w:bCs/>
          <w:sz w:val="20"/>
          <w:szCs w:val="20"/>
        </w:rPr>
      </w:pPr>
      <w:hyperlink w:anchor="_Toc66790676" w:history="1">
        <w:r w:rsidR="007B1101" w:rsidRPr="00831CD7">
          <w:rPr>
            <w:rStyle w:val="Hipervnculo"/>
            <w:bCs/>
            <w:sz w:val="20"/>
            <w:szCs w:val="20"/>
          </w:rPr>
          <w:t>6.3</w:t>
        </w:r>
        <w:r w:rsidR="007B1101" w:rsidRPr="00831CD7">
          <w:rPr>
            <w:rFonts w:eastAsiaTheme="minorEastAsia"/>
            <w:bCs/>
            <w:sz w:val="20"/>
            <w:szCs w:val="20"/>
          </w:rPr>
          <w:tab/>
        </w:r>
        <w:r w:rsidR="007B1101" w:rsidRPr="00831CD7">
          <w:rPr>
            <w:rStyle w:val="Hipervnculo"/>
            <w:bCs/>
            <w:sz w:val="20"/>
            <w:szCs w:val="20"/>
          </w:rPr>
          <w:t>RENDICIÓN DE CUENTAS E INFORMACIÓN A PARTES INTERESADAS……………………</w:t>
        </w:r>
        <w:r w:rsidR="007B1101" w:rsidRPr="00831CD7">
          <w:rPr>
            <w:bCs/>
            <w:webHidden/>
            <w:sz w:val="20"/>
            <w:szCs w:val="20"/>
          </w:rPr>
          <w:tab/>
        </w:r>
        <w:r w:rsidR="007B1101" w:rsidRPr="00831CD7">
          <w:rPr>
            <w:bCs/>
            <w:webHidden/>
            <w:sz w:val="20"/>
            <w:szCs w:val="20"/>
          </w:rPr>
          <w:fldChar w:fldCharType="begin"/>
        </w:r>
        <w:r w:rsidR="007B1101" w:rsidRPr="00831CD7">
          <w:rPr>
            <w:bCs/>
            <w:webHidden/>
            <w:sz w:val="20"/>
            <w:szCs w:val="20"/>
          </w:rPr>
          <w:instrText xml:space="preserve"> PAGEREF _Toc66790676 \h </w:instrText>
        </w:r>
        <w:r w:rsidR="007B1101" w:rsidRPr="00831CD7">
          <w:rPr>
            <w:bCs/>
            <w:webHidden/>
            <w:sz w:val="20"/>
            <w:szCs w:val="20"/>
          </w:rPr>
        </w:r>
        <w:r w:rsidR="007B1101" w:rsidRPr="00831CD7">
          <w:rPr>
            <w:bCs/>
            <w:webHidden/>
            <w:sz w:val="20"/>
            <w:szCs w:val="20"/>
          </w:rPr>
          <w:fldChar w:fldCharType="separate"/>
        </w:r>
        <w:r w:rsidR="007B1101" w:rsidRPr="00831CD7">
          <w:rPr>
            <w:bCs/>
            <w:webHidden/>
            <w:sz w:val="20"/>
            <w:szCs w:val="20"/>
          </w:rPr>
          <w:t>11</w:t>
        </w:r>
        <w:r w:rsidR="007B1101" w:rsidRPr="00831CD7">
          <w:rPr>
            <w:bCs/>
            <w:webHidden/>
            <w:sz w:val="20"/>
            <w:szCs w:val="20"/>
          </w:rPr>
          <w:fldChar w:fldCharType="end"/>
        </w:r>
      </w:hyperlink>
    </w:p>
    <w:p w14:paraId="4194A847" w14:textId="3D132175" w:rsidR="007B1101" w:rsidRPr="00831CD7" w:rsidRDefault="00411198">
      <w:pPr>
        <w:pStyle w:val="TDC2"/>
        <w:rPr>
          <w:rFonts w:eastAsiaTheme="minorEastAsia"/>
          <w:bCs/>
          <w:sz w:val="20"/>
          <w:szCs w:val="20"/>
        </w:rPr>
      </w:pPr>
      <w:hyperlink w:anchor="_Toc66790677" w:history="1">
        <w:r w:rsidR="007B1101" w:rsidRPr="00831CD7">
          <w:rPr>
            <w:rStyle w:val="Hipervnculo"/>
            <w:bCs/>
            <w:sz w:val="20"/>
            <w:szCs w:val="20"/>
          </w:rPr>
          <w:t>6.4</w:t>
        </w:r>
        <w:r w:rsidR="007B1101" w:rsidRPr="00831CD7">
          <w:rPr>
            <w:rFonts w:eastAsiaTheme="minorEastAsia"/>
            <w:bCs/>
            <w:sz w:val="20"/>
            <w:szCs w:val="20"/>
          </w:rPr>
          <w:tab/>
        </w:r>
        <w:r w:rsidR="007B1101" w:rsidRPr="00831CD7">
          <w:rPr>
            <w:rStyle w:val="Hipervnculo"/>
            <w:bCs/>
            <w:sz w:val="20"/>
            <w:szCs w:val="20"/>
          </w:rPr>
          <w:t>RIESGO DE ÍNDOLE CONTABLE……………………………………………………………….</w:t>
        </w:r>
        <w:r w:rsidR="007B1101" w:rsidRPr="00831CD7">
          <w:rPr>
            <w:bCs/>
            <w:webHidden/>
            <w:sz w:val="20"/>
            <w:szCs w:val="20"/>
          </w:rPr>
          <w:tab/>
        </w:r>
        <w:r w:rsidR="007B1101" w:rsidRPr="00831CD7">
          <w:rPr>
            <w:bCs/>
            <w:webHidden/>
            <w:sz w:val="20"/>
            <w:szCs w:val="20"/>
          </w:rPr>
          <w:fldChar w:fldCharType="begin"/>
        </w:r>
        <w:r w:rsidR="007B1101" w:rsidRPr="00831CD7">
          <w:rPr>
            <w:bCs/>
            <w:webHidden/>
            <w:sz w:val="20"/>
            <w:szCs w:val="20"/>
          </w:rPr>
          <w:instrText xml:space="preserve"> PAGEREF _Toc66790677 \h </w:instrText>
        </w:r>
        <w:r w:rsidR="007B1101" w:rsidRPr="00831CD7">
          <w:rPr>
            <w:bCs/>
            <w:webHidden/>
            <w:sz w:val="20"/>
            <w:szCs w:val="20"/>
          </w:rPr>
        </w:r>
        <w:r w:rsidR="007B1101" w:rsidRPr="00831CD7">
          <w:rPr>
            <w:bCs/>
            <w:webHidden/>
            <w:sz w:val="20"/>
            <w:szCs w:val="20"/>
          </w:rPr>
          <w:fldChar w:fldCharType="separate"/>
        </w:r>
        <w:r w:rsidR="007B1101" w:rsidRPr="00831CD7">
          <w:rPr>
            <w:bCs/>
            <w:webHidden/>
            <w:sz w:val="20"/>
            <w:szCs w:val="20"/>
          </w:rPr>
          <w:t>11</w:t>
        </w:r>
        <w:r w:rsidR="007B1101" w:rsidRPr="00831CD7">
          <w:rPr>
            <w:bCs/>
            <w:webHidden/>
            <w:sz w:val="20"/>
            <w:szCs w:val="20"/>
          </w:rPr>
          <w:fldChar w:fldCharType="end"/>
        </w:r>
      </w:hyperlink>
    </w:p>
    <w:p w14:paraId="7F08712C" w14:textId="253F66A9" w:rsidR="007B1101" w:rsidRPr="00831CD7" w:rsidRDefault="00411198">
      <w:pPr>
        <w:pStyle w:val="TDC2"/>
        <w:rPr>
          <w:rFonts w:eastAsiaTheme="minorEastAsia"/>
          <w:bCs/>
          <w:sz w:val="20"/>
          <w:szCs w:val="20"/>
        </w:rPr>
      </w:pPr>
      <w:hyperlink w:anchor="_Toc66790678" w:history="1">
        <w:r w:rsidR="007B1101" w:rsidRPr="00831CD7">
          <w:rPr>
            <w:rStyle w:val="Hipervnculo"/>
            <w:bCs/>
            <w:sz w:val="20"/>
            <w:szCs w:val="20"/>
          </w:rPr>
          <w:t>6.5</w:t>
        </w:r>
        <w:r w:rsidR="007B1101" w:rsidRPr="00831CD7">
          <w:rPr>
            <w:rFonts w:eastAsiaTheme="minorEastAsia"/>
            <w:bCs/>
            <w:sz w:val="20"/>
            <w:szCs w:val="20"/>
          </w:rPr>
          <w:tab/>
        </w:r>
        <w:r w:rsidR="007B1101" w:rsidRPr="00831CD7">
          <w:rPr>
            <w:rStyle w:val="Hipervnculo"/>
            <w:bCs/>
            <w:sz w:val="20"/>
            <w:szCs w:val="20"/>
          </w:rPr>
          <w:t>VALORACIÓN CUALITATIVA……………………………………………………………………</w:t>
        </w:r>
        <w:r w:rsidR="007B1101" w:rsidRPr="00831CD7">
          <w:rPr>
            <w:bCs/>
            <w:webHidden/>
            <w:sz w:val="20"/>
            <w:szCs w:val="20"/>
          </w:rPr>
          <w:tab/>
        </w:r>
        <w:r w:rsidR="007B1101" w:rsidRPr="00831CD7">
          <w:rPr>
            <w:bCs/>
            <w:webHidden/>
            <w:sz w:val="20"/>
            <w:szCs w:val="20"/>
          </w:rPr>
          <w:fldChar w:fldCharType="begin"/>
        </w:r>
        <w:r w:rsidR="007B1101" w:rsidRPr="00831CD7">
          <w:rPr>
            <w:bCs/>
            <w:webHidden/>
            <w:sz w:val="20"/>
            <w:szCs w:val="20"/>
          </w:rPr>
          <w:instrText xml:space="preserve"> PAGEREF _Toc66790678 \h </w:instrText>
        </w:r>
        <w:r w:rsidR="007B1101" w:rsidRPr="00831CD7">
          <w:rPr>
            <w:bCs/>
            <w:webHidden/>
            <w:sz w:val="20"/>
            <w:szCs w:val="20"/>
          </w:rPr>
        </w:r>
        <w:r w:rsidR="007B1101" w:rsidRPr="00831CD7">
          <w:rPr>
            <w:bCs/>
            <w:webHidden/>
            <w:sz w:val="20"/>
            <w:szCs w:val="20"/>
          </w:rPr>
          <w:fldChar w:fldCharType="separate"/>
        </w:r>
        <w:r w:rsidR="007B1101" w:rsidRPr="00831CD7">
          <w:rPr>
            <w:bCs/>
            <w:webHidden/>
            <w:sz w:val="20"/>
            <w:szCs w:val="20"/>
          </w:rPr>
          <w:t>11</w:t>
        </w:r>
        <w:r w:rsidR="007B1101" w:rsidRPr="00831CD7">
          <w:rPr>
            <w:bCs/>
            <w:webHidden/>
            <w:sz w:val="20"/>
            <w:szCs w:val="20"/>
          </w:rPr>
          <w:fldChar w:fldCharType="end"/>
        </w:r>
      </w:hyperlink>
    </w:p>
    <w:p w14:paraId="01EAACD5" w14:textId="64F0EE31" w:rsidR="007B1101" w:rsidRPr="00831CD7" w:rsidRDefault="00411198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79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6.5.1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Fortalezas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_Toc66790679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12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22F526FF" w14:textId="0235FEF9" w:rsidR="007B1101" w:rsidRPr="00831CD7" w:rsidRDefault="00411198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80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6.5.2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Debilidades</w:t>
        </w:r>
        <w:r w:rsidR="00831CD7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 xml:space="preserve"> (No conformidades)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_Toc66790680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12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31E5C048" w14:textId="7A24BF9D" w:rsidR="007B1101" w:rsidRPr="00831CD7" w:rsidRDefault="00411198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66790681" w:history="1"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6.5.3</w:t>
        </w:r>
        <w:r w:rsidR="007B1101" w:rsidRPr="00831CD7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7B1101" w:rsidRPr="00831CD7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Avances y Mejoras del Proceso de Control Interno Contable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_Toc66790681 \h </w:instrTex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t>12</w:t>
        </w:r>
        <w:r w:rsidR="007B1101" w:rsidRPr="00831CD7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560E6B1D" w14:textId="3EF7F55C" w:rsidR="007B1101" w:rsidRPr="00831CD7" w:rsidRDefault="00411198">
      <w:pPr>
        <w:pStyle w:val="TDC2"/>
        <w:rPr>
          <w:rFonts w:eastAsiaTheme="minorEastAsia"/>
          <w:bCs/>
          <w:sz w:val="20"/>
          <w:szCs w:val="20"/>
        </w:rPr>
      </w:pPr>
      <w:hyperlink w:anchor="_Toc66790682" w:history="1">
        <w:r w:rsidR="007B1101" w:rsidRPr="00831CD7">
          <w:rPr>
            <w:rStyle w:val="Hipervnculo"/>
            <w:bCs/>
            <w:sz w:val="20"/>
            <w:szCs w:val="20"/>
          </w:rPr>
          <w:t>6.6</w:t>
        </w:r>
        <w:r w:rsidR="007B1101" w:rsidRPr="00831CD7">
          <w:rPr>
            <w:rFonts w:eastAsiaTheme="minorEastAsia"/>
            <w:bCs/>
            <w:sz w:val="20"/>
            <w:szCs w:val="20"/>
          </w:rPr>
          <w:tab/>
        </w:r>
        <w:r w:rsidR="007B1101" w:rsidRPr="00831CD7">
          <w:rPr>
            <w:rStyle w:val="Hipervnculo"/>
            <w:bCs/>
            <w:sz w:val="20"/>
            <w:szCs w:val="20"/>
          </w:rPr>
          <w:t>ANÁLISIS COMPORTAMIENTO INFORME CONTROL INTERNO CONTABLE VIGENCIA 2017-2018-2019-2020……………………………………………………………………………………</w:t>
        </w:r>
        <w:r w:rsidR="007B1101" w:rsidRPr="00831CD7">
          <w:rPr>
            <w:bCs/>
            <w:webHidden/>
            <w:sz w:val="20"/>
            <w:szCs w:val="20"/>
          </w:rPr>
          <w:tab/>
        </w:r>
        <w:r w:rsidR="007B1101" w:rsidRPr="00831CD7">
          <w:rPr>
            <w:bCs/>
            <w:webHidden/>
            <w:sz w:val="20"/>
            <w:szCs w:val="20"/>
          </w:rPr>
          <w:fldChar w:fldCharType="begin"/>
        </w:r>
        <w:r w:rsidR="007B1101" w:rsidRPr="00831CD7">
          <w:rPr>
            <w:bCs/>
            <w:webHidden/>
            <w:sz w:val="20"/>
            <w:szCs w:val="20"/>
          </w:rPr>
          <w:instrText xml:space="preserve"> PAGEREF _Toc66790682 \h </w:instrText>
        </w:r>
        <w:r w:rsidR="007B1101" w:rsidRPr="00831CD7">
          <w:rPr>
            <w:bCs/>
            <w:webHidden/>
            <w:sz w:val="20"/>
            <w:szCs w:val="20"/>
          </w:rPr>
        </w:r>
        <w:r w:rsidR="007B1101" w:rsidRPr="00831CD7">
          <w:rPr>
            <w:bCs/>
            <w:webHidden/>
            <w:sz w:val="20"/>
            <w:szCs w:val="20"/>
          </w:rPr>
          <w:fldChar w:fldCharType="separate"/>
        </w:r>
        <w:r w:rsidR="007B1101" w:rsidRPr="00831CD7">
          <w:rPr>
            <w:bCs/>
            <w:webHidden/>
            <w:sz w:val="20"/>
            <w:szCs w:val="20"/>
          </w:rPr>
          <w:t>13</w:t>
        </w:r>
        <w:r w:rsidR="007B1101" w:rsidRPr="00831CD7">
          <w:rPr>
            <w:bCs/>
            <w:webHidden/>
            <w:sz w:val="20"/>
            <w:szCs w:val="20"/>
          </w:rPr>
          <w:fldChar w:fldCharType="end"/>
        </w:r>
      </w:hyperlink>
    </w:p>
    <w:p w14:paraId="02301307" w14:textId="2D63A8FD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83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7.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CONCLUSIONES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_Toc66790683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13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09569EB5" w14:textId="07996398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84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8.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RECOMENDACIONES: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_Toc66790684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13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5B132AD8" w14:textId="7B90491C" w:rsidR="007B1101" w:rsidRPr="00831CD7" w:rsidRDefault="00411198">
      <w:pPr>
        <w:pStyle w:val="TDC1"/>
        <w:tabs>
          <w:tab w:val="left" w:pos="1320"/>
        </w:tabs>
        <w:rPr>
          <w:rFonts w:eastAsiaTheme="minorEastAsia"/>
          <w:b w:val="0"/>
          <w:bCs/>
          <w:noProof/>
          <w:sz w:val="20"/>
          <w:szCs w:val="20"/>
        </w:rPr>
      </w:pPr>
      <w:hyperlink w:anchor="_Toc66790685" w:history="1">
        <w:r w:rsidR="007B1101" w:rsidRPr="00831CD7">
          <w:rPr>
            <w:rStyle w:val="Hipervnculo"/>
            <w:rFonts w:eastAsia="Calibri"/>
            <w:b w:val="0"/>
            <w:bCs/>
            <w:noProof/>
            <w:sz w:val="20"/>
            <w:szCs w:val="20"/>
          </w:rPr>
          <w:t>9.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SEGUIMIENTO AL AVANCE Y CUMPLIMIENTO DE ACCIONES CORRECTIVAS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_Toc66790685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14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31D4BC7A" w14:textId="119DE4C3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87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10.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CRITERIOS UTILIZADOS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_Toc66790687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17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494F6611" w14:textId="17A2E38C" w:rsidR="007B1101" w:rsidRPr="00831CD7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88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11.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SOPORTES VERIFICADOS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_Toc66790688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17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060B7A8A" w14:textId="23EB8D87" w:rsidR="007B1101" w:rsidRPr="007B1101" w:rsidRDefault="00411198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66790689" w:history="1"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12.</w:t>
        </w:r>
        <w:r w:rsidR="007B1101" w:rsidRPr="00831CD7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7B1101" w:rsidRPr="00831CD7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ANEXOS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ab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instrText xml:space="preserve"> PAGEREF _Toc66790689 \h </w:instrTex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t>17</w:t>
        </w:r>
        <w:r w:rsidR="007B1101" w:rsidRPr="00831CD7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35DDC838" w14:textId="0168A3E1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  <w:r w:rsidRPr="007B1101">
        <w:rPr>
          <w:rFonts w:ascii="Arial" w:hAnsi="Arial" w:cs="Arial"/>
          <w:bCs/>
          <w:sz w:val="20"/>
          <w:szCs w:val="20"/>
          <w:lang w:val="es-CO" w:eastAsia="es-CO"/>
        </w:rPr>
        <w:fldChar w:fldCharType="end"/>
      </w:r>
    </w:p>
    <w:p w14:paraId="1856CC2F" w14:textId="0864B351" w:rsidR="00B65341" w:rsidRDefault="00B65341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1A3FD6DC" w14:textId="1B76E269" w:rsidR="00CC031F" w:rsidRDefault="00CC031F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3AD8A6EB" w14:textId="026D8A9D" w:rsidR="00CC031F" w:rsidRDefault="00CC031F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3F6B6055" w14:textId="1E4C4A2D" w:rsidR="00831CD7" w:rsidRDefault="00831CD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6FC672FE" w14:textId="36ED61C1" w:rsidR="00831CD7" w:rsidRDefault="00831CD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4BCC043A" w14:textId="77777777" w:rsidR="00831CD7" w:rsidRDefault="00831CD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43B852B6" w14:textId="77777777" w:rsidR="00CC031F" w:rsidRDefault="00CC031F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54E3F79F" w14:textId="77777777" w:rsidR="00D317C2" w:rsidRDefault="00D317C2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lastRenderedPageBreak/>
        <w:t>INFORME E</w:t>
      </w:r>
      <w:r w:rsidRPr="007F3C85">
        <w:rPr>
          <w:rFonts w:ascii="Arial" w:eastAsia="Times New Roman" w:hAnsi="Arial"/>
          <w:b/>
          <w:lang w:val="es-ES_tradnl" w:eastAsia="es-ES_tradnl" w:bidi="x-none"/>
        </w:rPr>
        <w:t>VALUACIÓN CONTRO</w:t>
      </w:r>
      <w:r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14:paraId="489F72B7" w14:textId="77777777" w:rsidR="00D317C2" w:rsidRDefault="00D317C2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</w:t>
      </w:r>
      <w:r w:rsidR="00FB2520">
        <w:rPr>
          <w:rFonts w:ascii="Arial" w:eastAsia="Times New Roman" w:hAnsi="Arial"/>
          <w:b/>
          <w:lang w:val="es-ES_tradnl" w:eastAsia="es-ES_tradnl" w:bidi="x-none"/>
        </w:rPr>
        <w:t>20</w:t>
      </w:r>
    </w:p>
    <w:p w14:paraId="2800BC29" w14:textId="77777777" w:rsidR="00B03E9F" w:rsidRDefault="00B03E9F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3F3707" w14:textId="77777777" w:rsidR="00D317C2" w:rsidRPr="00345331" w:rsidRDefault="00D317C2" w:rsidP="009B5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1314C" w:rsidRPr="00345331" w14:paraId="0A5A2C19" w14:textId="77777777" w:rsidTr="0091314C">
        <w:trPr>
          <w:trHeight w:val="288"/>
          <w:jc w:val="center"/>
        </w:trPr>
        <w:tc>
          <w:tcPr>
            <w:tcW w:w="3614" w:type="dxa"/>
          </w:tcPr>
          <w:p w14:paraId="772EE1FA" w14:textId="77777777" w:rsidR="0091314C" w:rsidRPr="00035BDB" w:rsidRDefault="0091314C" w:rsidP="00035BDB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035BDB">
              <w:rPr>
                <w:rFonts w:ascii="Arial" w:hAnsi="Arial" w:cs="Arial"/>
                <w:b/>
                <w:szCs w:val="24"/>
              </w:rPr>
              <w:t>FECHA DEL INFORME:</w:t>
            </w:r>
          </w:p>
        </w:tc>
        <w:tc>
          <w:tcPr>
            <w:tcW w:w="5528" w:type="dxa"/>
          </w:tcPr>
          <w:p w14:paraId="5CA03D3D" w14:textId="77777777" w:rsidR="0091314C" w:rsidRPr="00E00FE8" w:rsidRDefault="004A2003" w:rsidP="00913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  <w:r w:rsidR="00574ECF">
              <w:rPr>
                <w:rFonts w:ascii="Arial" w:hAnsi="Arial" w:cs="Arial"/>
              </w:rPr>
              <w:t xml:space="preserve"> 20</w:t>
            </w:r>
            <w:r w:rsidR="0057344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</w:tr>
      <w:tr w:rsidR="0091314C" w:rsidRPr="00345331" w14:paraId="7DAD4C63" w14:textId="77777777" w:rsidTr="00394E39">
        <w:trPr>
          <w:trHeight w:val="288"/>
          <w:jc w:val="center"/>
        </w:trPr>
        <w:tc>
          <w:tcPr>
            <w:tcW w:w="3614" w:type="dxa"/>
          </w:tcPr>
          <w:p w14:paraId="405A73E1" w14:textId="77777777" w:rsidR="0091314C" w:rsidRPr="00035BDB" w:rsidRDefault="0091314C" w:rsidP="00035BDB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035BDB">
              <w:rPr>
                <w:rFonts w:ascii="Arial" w:hAnsi="Arial" w:cs="Arial"/>
                <w:b/>
                <w:szCs w:val="24"/>
              </w:rPr>
              <w:t xml:space="preserve">INICIO – TERMINACIÓN </w:t>
            </w:r>
          </w:p>
        </w:tc>
        <w:tc>
          <w:tcPr>
            <w:tcW w:w="5528" w:type="dxa"/>
          </w:tcPr>
          <w:p w14:paraId="691C4C70" w14:textId="77777777" w:rsidR="0091314C" w:rsidRPr="00345331" w:rsidRDefault="00DC4AB5" w:rsidP="00812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 de febrero - 28 de febrero 20</w:t>
            </w:r>
            <w:r w:rsidR="00F45901">
              <w:rPr>
                <w:rFonts w:ascii="Arial" w:hAnsi="Arial" w:cs="Arial"/>
              </w:rPr>
              <w:t>21</w:t>
            </w:r>
          </w:p>
        </w:tc>
      </w:tr>
      <w:tr w:rsidR="0091314C" w:rsidRPr="00345331" w14:paraId="62D6C1B1" w14:textId="77777777" w:rsidTr="00394E39">
        <w:trPr>
          <w:trHeight w:val="278"/>
          <w:jc w:val="center"/>
        </w:trPr>
        <w:tc>
          <w:tcPr>
            <w:tcW w:w="3614" w:type="dxa"/>
          </w:tcPr>
          <w:p w14:paraId="7C585AC9" w14:textId="77777777" w:rsidR="0091314C" w:rsidRPr="00A8665E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PUNTO AUDITADO:</w:t>
            </w:r>
          </w:p>
        </w:tc>
        <w:tc>
          <w:tcPr>
            <w:tcW w:w="5528" w:type="dxa"/>
          </w:tcPr>
          <w:p w14:paraId="649FD5B7" w14:textId="77777777" w:rsidR="0091314C" w:rsidRPr="00345331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012">
              <w:rPr>
                <w:rFonts w:ascii="Arial" w:hAnsi="Arial" w:cs="Arial"/>
              </w:rPr>
              <w:t>Sede de la Dirección General.</w:t>
            </w:r>
          </w:p>
        </w:tc>
      </w:tr>
    </w:tbl>
    <w:p w14:paraId="63D198F0" w14:textId="77777777" w:rsidR="007145E0" w:rsidRDefault="007145E0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E50FC4" w14:textId="77777777" w:rsidR="003C0833" w:rsidRPr="00345331" w:rsidRDefault="003C0833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AD793" w14:textId="77777777" w:rsidR="007145E0" w:rsidRDefault="007145E0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</w:rPr>
        <w:t>PROFESIONALES:</w:t>
      </w:r>
    </w:p>
    <w:p w14:paraId="0F4D0888" w14:textId="77777777" w:rsidR="003C0833" w:rsidRPr="00A8665E" w:rsidRDefault="003C0833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3007"/>
        <w:gridCol w:w="3007"/>
      </w:tblGrid>
      <w:tr w:rsidR="007145E0" w:rsidRPr="00345331" w14:paraId="4D7527D4" w14:textId="77777777" w:rsidTr="00953EDD">
        <w:trPr>
          <w:trHeight w:val="278"/>
          <w:jc w:val="center"/>
        </w:trPr>
        <w:tc>
          <w:tcPr>
            <w:tcW w:w="2934" w:type="dxa"/>
            <w:shd w:val="pct5" w:color="auto" w:fill="FFFFFF"/>
          </w:tcPr>
          <w:p w14:paraId="194D12FD" w14:textId="77777777" w:rsidR="007145E0" w:rsidRPr="00A8665E" w:rsidRDefault="0031378B" w:rsidP="009B5142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Nombre</w:t>
            </w:r>
          </w:p>
        </w:tc>
        <w:tc>
          <w:tcPr>
            <w:tcW w:w="3007" w:type="dxa"/>
            <w:shd w:val="pct5" w:color="auto" w:fill="FFFFFF"/>
          </w:tcPr>
          <w:p w14:paraId="3CDE359F" w14:textId="77777777" w:rsidR="007145E0" w:rsidRPr="00A8665E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3007" w:type="dxa"/>
            <w:shd w:val="pct5" w:color="auto" w:fill="FFFFFF"/>
          </w:tcPr>
          <w:p w14:paraId="33BBFA11" w14:textId="77777777" w:rsidR="007145E0" w:rsidRPr="00A8665E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Dependencia</w:t>
            </w:r>
          </w:p>
        </w:tc>
      </w:tr>
      <w:tr w:rsidR="00947508" w:rsidRPr="00345331" w14:paraId="28734CEB" w14:textId="77777777" w:rsidTr="005B0E33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F10" w14:textId="7F3586BA" w:rsidR="00947508" w:rsidRPr="00A52012" w:rsidRDefault="000960E3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 EDDY RINCÓN BONILLA</w:t>
            </w:r>
            <w:r w:rsidR="00947508">
              <w:rPr>
                <w:rFonts w:ascii="Arial" w:hAnsi="Arial" w:cs="Arial"/>
              </w:rPr>
              <w:t xml:space="preserve"> (</w:t>
            </w:r>
            <w:r w:rsidR="00180DA5">
              <w:rPr>
                <w:rFonts w:ascii="Arial" w:hAnsi="Arial" w:cs="Arial"/>
              </w:rPr>
              <w:t>LÍDER</w:t>
            </w:r>
            <w:r w:rsidR="00947508">
              <w:rPr>
                <w:rFonts w:ascii="Arial" w:hAnsi="Arial" w:cs="Arial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23A3" w14:textId="77777777" w:rsidR="00947508" w:rsidRPr="005B5F39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Contadora Pública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2C7E3" w14:textId="77777777"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Oficina de Control Interno</w:t>
            </w:r>
          </w:p>
          <w:p w14:paraId="515AEE42" w14:textId="77777777"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7508" w:rsidRPr="00345331" w14:paraId="2090AEE0" w14:textId="77777777" w:rsidTr="005B0E33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ADA8" w14:textId="77777777" w:rsidR="00947508" w:rsidRDefault="000960E3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PATRICIA ZULUAGA MOLANO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184" w14:textId="77777777"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Contadora Pública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7E59E" w14:textId="77777777"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7508" w:rsidRPr="00345331" w14:paraId="12321A61" w14:textId="77777777" w:rsidTr="005B0E33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DFF" w14:textId="77777777"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EDIXON ALEXANDER TOVAR PINZÓN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970" w14:textId="77777777"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 Público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373" w14:textId="77777777"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72AA62D" w14:textId="77777777" w:rsidR="001562AB" w:rsidRDefault="001562AB" w:rsidP="0015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35C2E6" w14:textId="77777777" w:rsidR="00D167D0" w:rsidRDefault="00EB4F53" w:rsidP="0015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331">
        <w:rPr>
          <w:rFonts w:ascii="Arial" w:hAnsi="Arial" w:cs="Arial"/>
          <w:b/>
          <w:sz w:val="24"/>
          <w:szCs w:val="24"/>
        </w:rPr>
        <w:t xml:space="preserve"> </w:t>
      </w:r>
    </w:p>
    <w:p w14:paraId="6B82AE05" w14:textId="77777777" w:rsidR="0091314C" w:rsidRPr="00035BDB" w:rsidRDefault="007145E0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66790663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JUSTIFICACIÓN</w:t>
      </w:r>
      <w:bookmarkEnd w:id="0"/>
    </w:p>
    <w:p w14:paraId="0F5AE610" w14:textId="77777777" w:rsidR="006F6EC5" w:rsidRPr="0091314C" w:rsidRDefault="006F6EC5" w:rsidP="001562A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D38AB30" w14:textId="77777777" w:rsidR="009856FC" w:rsidRPr="00E40E26" w:rsidRDefault="00F43639" w:rsidP="004A6C78">
      <w:pPr>
        <w:jc w:val="both"/>
        <w:rPr>
          <w:rFonts w:ascii="Arial" w:hAnsi="Arial" w:cs="Arial"/>
          <w:i/>
          <w:sz w:val="20"/>
          <w:szCs w:val="20"/>
          <w:lang w:val="es-ES_tradnl" w:eastAsia="es-ES_tradnl" w:bidi="x-none"/>
        </w:rPr>
      </w:pPr>
      <w:r>
        <w:rPr>
          <w:rFonts w:ascii="Arial" w:hAnsi="Arial" w:cs="Arial"/>
          <w:lang w:val="es-ES_tradnl" w:eastAsia="es-ES_tradnl" w:bidi="x-none"/>
        </w:rPr>
        <w:t xml:space="preserve">De conformidad con el </w:t>
      </w:r>
      <w:r w:rsidR="009856FC" w:rsidRPr="00462A67">
        <w:rPr>
          <w:rFonts w:ascii="Arial" w:hAnsi="Arial" w:cs="Arial"/>
          <w:lang w:val="es-ES_tradnl" w:eastAsia="es-ES_tradnl" w:bidi="x-none"/>
        </w:rPr>
        <w:t xml:space="preserve">artículo 1º de la Ley 87 de 1993 se entiende por </w:t>
      </w:r>
      <w:r w:rsidR="009856FC" w:rsidRPr="00462A67">
        <w:rPr>
          <w:rFonts w:ascii="Arial" w:hAnsi="Arial" w:cs="Arial"/>
          <w:b/>
          <w:i/>
          <w:lang w:val="es-ES_tradnl" w:eastAsia="es-ES_tradnl" w:bidi="x-none"/>
        </w:rPr>
        <w:t>Control Interno</w:t>
      </w:r>
      <w:r w:rsidR="009856FC" w:rsidRPr="00462A67">
        <w:rPr>
          <w:rFonts w:ascii="Arial" w:hAnsi="Arial" w:cs="Arial"/>
          <w:i/>
          <w:lang w:val="es-ES_tradnl" w:eastAsia="es-ES_tradnl" w:bidi="x-none"/>
        </w:rPr>
        <w:t xml:space="preserve"> </w:t>
      </w:r>
      <w:r w:rsidR="009856FC" w:rsidRPr="00E40E26">
        <w:rPr>
          <w:rFonts w:ascii="Arial" w:hAnsi="Arial" w:cs="Arial"/>
          <w:i/>
          <w:sz w:val="20"/>
          <w:szCs w:val="20"/>
          <w:lang w:val="es-ES_tradnl" w:eastAsia="es-ES_tradnl" w:bidi="x-none"/>
        </w:rPr>
        <w:t>“…el sistema integrado por el esquema de organización y el conjunto de los planes, métodos, principios, normas, procedimientos y mecanismos de verificación y evaluación adoptados por una entidad, con el fin de procurar que todas las actividades, operaciones y actuaciones, así como la administración de la información y los recursos, se realicen de acuerdo con las normas constitucionales y legales vigentes dentro de las políticas trazadas por la dirección y en atención a las metas u objetivos previstos…”</w:t>
      </w:r>
    </w:p>
    <w:p w14:paraId="720C0CD4" w14:textId="1AEF431F" w:rsidR="009856FC" w:rsidRPr="00037C1F" w:rsidRDefault="00BC5CFA" w:rsidP="00882A46">
      <w:pPr>
        <w:spacing w:after="0"/>
        <w:jc w:val="both"/>
        <w:rPr>
          <w:rFonts w:ascii="Arial" w:hAnsi="Arial" w:cs="Arial"/>
          <w:color w:val="0070C0"/>
          <w:lang w:val="es-ES_tradnl"/>
        </w:rPr>
      </w:pPr>
      <w:r>
        <w:rPr>
          <w:rFonts w:ascii="Arial" w:hAnsi="Arial" w:cs="Arial"/>
          <w:lang w:val="es-ES_tradnl"/>
        </w:rPr>
        <w:t>De otra parte, el</w:t>
      </w:r>
      <w:r w:rsidR="00574ECF">
        <w:rPr>
          <w:rFonts w:ascii="Arial" w:hAnsi="Arial" w:cs="Arial"/>
          <w:lang w:val="es-ES_tradnl"/>
        </w:rPr>
        <w:t xml:space="preserve"> </w:t>
      </w:r>
      <w:r w:rsidR="009856FC" w:rsidRPr="00462A67">
        <w:rPr>
          <w:rFonts w:ascii="Arial" w:hAnsi="Arial" w:cs="Arial"/>
          <w:lang w:val="es-ES_tradnl"/>
        </w:rPr>
        <w:t>marco legal</w:t>
      </w:r>
      <w:r w:rsidR="009856FC" w:rsidRPr="00462A67">
        <w:rPr>
          <w:rStyle w:val="Refdenotaalpie"/>
          <w:rFonts w:ascii="Arial" w:hAnsi="Arial" w:cs="Arial"/>
        </w:rPr>
        <w:footnoteReference w:id="1"/>
      </w:r>
      <w:r w:rsidR="00574ECF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específico </w:t>
      </w:r>
      <w:r w:rsidR="00574ECF">
        <w:rPr>
          <w:rFonts w:ascii="Arial" w:hAnsi="Arial" w:cs="Arial"/>
          <w:lang w:val="es-ES_tradnl"/>
        </w:rPr>
        <w:t xml:space="preserve">aplicable </w:t>
      </w:r>
      <w:r w:rsidR="009856FC">
        <w:rPr>
          <w:rFonts w:ascii="Arial" w:hAnsi="Arial" w:cs="Arial"/>
          <w:lang w:val="es-ES_tradnl"/>
        </w:rPr>
        <w:t xml:space="preserve">determina la obligatoriedad </w:t>
      </w:r>
      <w:r w:rsidR="00F43639">
        <w:rPr>
          <w:rFonts w:ascii="Arial" w:hAnsi="Arial" w:cs="Arial"/>
          <w:lang w:val="es-ES_tradnl"/>
        </w:rPr>
        <w:t xml:space="preserve">para </w:t>
      </w:r>
      <w:r w:rsidR="009856FC">
        <w:rPr>
          <w:rFonts w:ascii="Arial" w:hAnsi="Arial" w:cs="Arial"/>
          <w:lang w:val="es-ES_tradnl"/>
        </w:rPr>
        <w:t xml:space="preserve">las </w:t>
      </w:r>
      <w:r w:rsidR="009856FC" w:rsidRPr="004F1C3D">
        <w:rPr>
          <w:rFonts w:ascii="Arial" w:hAnsi="Arial" w:cs="Arial"/>
          <w:lang w:val="es-ES_tradnl"/>
        </w:rPr>
        <w:t>entidades y organismos del sector público</w:t>
      </w:r>
      <w:r w:rsidR="00F43639" w:rsidRPr="004F1C3D">
        <w:rPr>
          <w:rFonts w:ascii="Arial" w:hAnsi="Arial" w:cs="Arial"/>
          <w:lang w:val="es-ES_tradnl"/>
        </w:rPr>
        <w:t xml:space="preserve"> de </w:t>
      </w:r>
      <w:r w:rsidR="009856FC" w:rsidRPr="004F1C3D">
        <w:rPr>
          <w:rFonts w:ascii="Arial" w:hAnsi="Arial" w:cs="Arial"/>
          <w:lang w:val="es-ES_tradnl"/>
        </w:rPr>
        <w:t>diseñar y aplicar métodos y procedimientos de control interno</w:t>
      </w:r>
      <w:r w:rsidR="00882A46" w:rsidRPr="004F1C3D">
        <w:rPr>
          <w:rFonts w:ascii="Arial" w:hAnsi="Arial" w:cs="Arial"/>
          <w:lang w:val="es-ES_tradnl"/>
        </w:rPr>
        <w:t>, además se establece que el Sistema de Control Interno forma parte integrante de los sistemas contables, financieros, de planeación, de información y operacionales de la respectiva entidad.</w:t>
      </w:r>
      <w:r w:rsidR="00037C1F">
        <w:rPr>
          <w:rFonts w:ascii="Arial" w:hAnsi="Arial" w:cs="Arial"/>
          <w:lang w:val="es-ES_tradnl"/>
        </w:rPr>
        <w:t xml:space="preserve"> </w:t>
      </w:r>
    </w:p>
    <w:p w14:paraId="53550A4A" w14:textId="77777777" w:rsidR="00624ACD" w:rsidRPr="0091314C" w:rsidRDefault="00624ACD" w:rsidP="00624ACD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00789AAB" w14:textId="77777777" w:rsidR="0091314C" w:rsidRDefault="008F4956" w:rsidP="004A6C78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La</w:t>
      </w:r>
      <w:r w:rsidR="0091314C">
        <w:rPr>
          <w:rFonts w:ascii="Arial" w:hAnsi="Arial" w:cs="Arial"/>
        </w:rPr>
        <w:t xml:space="preserve"> Contaduría General de la Nación-CGN- mediante la </w:t>
      </w:r>
      <w:r w:rsidR="0091314C" w:rsidRPr="00BE293B">
        <w:rPr>
          <w:rFonts w:ascii="Arial" w:hAnsi="Arial" w:cs="Arial"/>
        </w:rPr>
        <w:t xml:space="preserve">Resolución </w:t>
      </w:r>
      <w:r w:rsidR="00232377">
        <w:rPr>
          <w:rFonts w:ascii="Arial" w:hAnsi="Arial" w:cs="Arial"/>
        </w:rPr>
        <w:t>No.</w:t>
      </w:r>
      <w:r w:rsidR="00E52E6B" w:rsidRPr="00BE293B">
        <w:rPr>
          <w:rFonts w:ascii="Arial" w:hAnsi="Arial" w:cs="Arial"/>
        </w:rPr>
        <w:t>193</w:t>
      </w:r>
      <w:r w:rsidR="0091314C" w:rsidRPr="00BE293B">
        <w:rPr>
          <w:rFonts w:ascii="Arial" w:hAnsi="Arial" w:cs="Arial"/>
        </w:rPr>
        <w:t xml:space="preserve"> de 20</w:t>
      </w:r>
      <w:r w:rsidR="00E52E6B" w:rsidRPr="00BE293B">
        <w:rPr>
          <w:rFonts w:ascii="Arial" w:hAnsi="Arial" w:cs="Arial"/>
        </w:rPr>
        <w:t>16</w:t>
      </w:r>
      <w:r w:rsidR="0091314C" w:rsidRPr="00BE293B">
        <w:rPr>
          <w:rFonts w:ascii="Arial" w:hAnsi="Arial" w:cs="Arial"/>
        </w:rPr>
        <w:t xml:space="preserve"> </w:t>
      </w:r>
      <w:r w:rsidR="0091314C" w:rsidRPr="00574ECF">
        <w:rPr>
          <w:rFonts w:ascii="Arial" w:hAnsi="Arial" w:cs="Arial"/>
          <w:i/>
          <w:sz w:val="20"/>
          <w:szCs w:val="20"/>
        </w:rPr>
        <w:t xml:space="preserve">(por la </w:t>
      </w:r>
      <w:r w:rsidR="00D13C28" w:rsidRPr="00574ECF">
        <w:rPr>
          <w:rFonts w:ascii="Arial" w:hAnsi="Arial" w:cs="Arial"/>
          <w:i/>
          <w:sz w:val="20"/>
          <w:szCs w:val="20"/>
        </w:rPr>
        <w:t xml:space="preserve">cual </w:t>
      </w:r>
      <w:r w:rsidR="00E52E6B" w:rsidRPr="00574ECF">
        <w:rPr>
          <w:rFonts w:ascii="Arial" w:hAnsi="Arial" w:cs="Arial"/>
          <w:i/>
          <w:sz w:val="20"/>
          <w:szCs w:val="20"/>
        </w:rPr>
        <w:t xml:space="preserve">se incorpora, en los Procedimientos Transversales del Régimen de Contabilidad Pública, el </w:t>
      </w:r>
      <w:r w:rsidR="00E52E6B" w:rsidRPr="00574ECF">
        <w:rPr>
          <w:rFonts w:ascii="Arial" w:hAnsi="Arial" w:cs="Arial"/>
          <w:i/>
          <w:sz w:val="20"/>
          <w:szCs w:val="20"/>
        </w:rPr>
        <w:lastRenderedPageBreak/>
        <w:t>Procedimiento para la evaluación del control interno contable</w:t>
      </w:r>
      <w:r w:rsidR="0091314C" w:rsidRPr="00574ECF">
        <w:rPr>
          <w:rFonts w:ascii="Arial" w:hAnsi="Arial" w:cs="Arial"/>
          <w:i/>
          <w:sz w:val="20"/>
          <w:szCs w:val="20"/>
        </w:rPr>
        <w:t>)</w:t>
      </w:r>
      <w:r w:rsidR="0091314C">
        <w:rPr>
          <w:rFonts w:ascii="Arial" w:hAnsi="Arial" w:cs="Arial"/>
        </w:rPr>
        <w:t xml:space="preserve"> definió el </w:t>
      </w:r>
      <w:r w:rsidR="0091314C" w:rsidRPr="001C0843">
        <w:rPr>
          <w:rFonts w:ascii="Arial" w:hAnsi="Arial" w:cs="Arial"/>
          <w:b/>
          <w:i/>
        </w:rPr>
        <w:t>Control Interno Contable</w:t>
      </w:r>
      <w:r w:rsidR="0091314C">
        <w:rPr>
          <w:rFonts w:ascii="Arial" w:hAnsi="Arial" w:cs="Arial"/>
        </w:rPr>
        <w:t xml:space="preserve"> en el anexo denominado </w:t>
      </w:r>
      <w:r w:rsidR="0091314C" w:rsidRPr="001C0843">
        <w:rPr>
          <w:rFonts w:ascii="Arial" w:hAnsi="Arial" w:cs="Arial"/>
          <w:i/>
        </w:rPr>
        <w:t>Procedimiento para la Implementación y Evaluación de Control Interno Contable</w:t>
      </w:r>
      <w:r w:rsidR="0091314C">
        <w:rPr>
          <w:rFonts w:ascii="Arial" w:hAnsi="Arial" w:cs="Arial"/>
        </w:rPr>
        <w:t xml:space="preserve"> numeral 1.1, así:  </w:t>
      </w:r>
      <w:r w:rsidR="004A1F27">
        <w:rPr>
          <w:rFonts w:ascii="Arial" w:hAnsi="Arial" w:cs="Arial"/>
        </w:rPr>
        <w:t>“</w:t>
      </w:r>
      <w:r w:rsidR="004A1F27" w:rsidRPr="00897BD1">
        <w:rPr>
          <w:rFonts w:ascii="Arial" w:hAnsi="Arial" w:cs="Arial"/>
          <w:i/>
          <w:sz w:val="20"/>
        </w:rPr>
        <w:t>Es el proceso que bajo la responsabilidad del representante legal o máximo directivo de la entidad, así como de los responsables de las áreas financieras y contables, se adelanta en las entidades, con el fin de lograr la existencia y efectividad de los procedimientos de control y verificación de las actividades propias del proceso contable, de modo que garanticen razonablemente que la información financiera cumpla con las características fundamentales de relevancia y representación fiel de que trata el Régimen de Contabilidad Pública</w:t>
      </w:r>
      <w:r w:rsidR="0091314C" w:rsidRPr="001C0843">
        <w:rPr>
          <w:rFonts w:ascii="Arial" w:hAnsi="Arial" w:cs="Arial"/>
          <w:i/>
          <w:sz w:val="18"/>
          <w:szCs w:val="18"/>
        </w:rPr>
        <w:t>”</w:t>
      </w:r>
      <w:r w:rsidR="0091314C">
        <w:rPr>
          <w:rFonts w:ascii="Arial" w:hAnsi="Arial" w:cs="Arial"/>
          <w:i/>
        </w:rPr>
        <w:t xml:space="preserve">. </w:t>
      </w:r>
    </w:p>
    <w:p w14:paraId="2DD2472C" w14:textId="77777777" w:rsidR="00E6304A" w:rsidRDefault="00E6304A" w:rsidP="00E6304A">
      <w:pPr>
        <w:spacing w:after="0"/>
        <w:jc w:val="both"/>
        <w:rPr>
          <w:rFonts w:ascii="Arial" w:eastAsia="Times New Roman" w:hAnsi="Arial"/>
          <w:highlight w:val="yellow"/>
          <w:lang w:val="es-ES_tradnl" w:eastAsia="es-ES_tradnl" w:bidi="x-none"/>
        </w:rPr>
      </w:pPr>
    </w:p>
    <w:p w14:paraId="77012D89" w14:textId="77777777" w:rsidR="00F82C7A" w:rsidRPr="00887DCD" w:rsidRDefault="00F82C7A" w:rsidP="00F82C7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Adicionalmente en </w:t>
      </w:r>
      <w:r w:rsidRPr="00940E2D">
        <w:rPr>
          <w:rFonts w:ascii="Arial" w:hAnsi="Arial" w:cs="Arial"/>
        </w:rPr>
        <w:t>el numeral 1.3 del citado anexo</w:t>
      </w:r>
      <w:r>
        <w:rPr>
          <w:rFonts w:ascii="Arial" w:hAnsi="Arial" w:cs="Arial"/>
        </w:rPr>
        <w:t xml:space="preserve"> </w:t>
      </w:r>
      <w:r w:rsidRPr="00940E2D">
        <w:rPr>
          <w:rFonts w:ascii="Arial" w:hAnsi="Arial" w:cs="Arial"/>
        </w:rPr>
        <w:t xml:space="preserve">referente a la </w:t>
      </w:r>
      <w:r w:rsidRPr="00CA2F1A">
        <w:rPr>
          <w:rFonts w:ascii="Arial" w:hAnsi="Arial" w:cs="Arial"/>
          <w:b/>
          <w:i/>
        </w:rPr>
        <w:t>Evaluación del Control Interno Contable</w:t>
      </w:r>
      <w:r>
        <w:rPr>
          <w:rFonts w:ascii="Arial" w:hAnsi="Arial" w:cs="Arial"/>
        </w:rPr>
        <w:t xml:space="preserve">, ésta </w:t>
      </w:r>
      <w:r w:rsidRPr="00940E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establece como: </w:t>
      </w:r>
      <w:r w:rsidRPr="00887DC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…</w:t>
      </w:r>
      <w:r w:rsidRPr="00887DCD">
        <w:rPr>
          <w:rFonts w:ascii="Arial" w:hAnsi="Arial" w:cs="Arial"/>
          <w:i/>
        </w:rPr>
        <w:t xml:space="preserve"> </w:t>
      </w:r>
      <w:r w:rsidRPr="00897BD1">
        <w:rPr>
          <w:rFonts w:ascii="Arial" w:hAnsi="Arial" w:cs="Arial"/>
          <w:i/>
          <w:sz w:val="20"/>
          <w:szCs w:val="20"/>
        </w:rPr>
        <w:t>la medición que se hace del control interno en el proceso contable de una entidad, con el propósito de determinar la existencia de controles y su efectividad para la prevención y neutralización del riesgo asociado a la gestión contable, y de esta manera establecer el grado de confianza que se le puede otorgar</w:t>
      </w:r>
      <w:r w:rsidRPr="00897BD1">
        <w:rPr>
          <w:rFonts w:ascii="Arial" w:hAnsi="Arial" w:cs="Arial"/>
          <w:i/>
        </w:rPr>
        <w:t>”.</w:t>
      </w:r>
    </w:p>
    <w:p w14:paraId="033CE236" w14:textId="77777777" w:rsidR="00F82C7A" w:rsidRPr="00E720E4" w:rsidRDefault="00F82C7A" w:rsidP="00E6304A">
      <w:pPr>
        <w:spacing w:after="0"/>
        <w:jc w:val="both"/>
        <w:rPr>
          <w:rFonts w:ascii="Arial" w:eastAsia="Times New Roman" w:hAnsi="Arial"/>
          <w:highlight w:val="yellow"/>
          <w:lang w:val="es-ES_tradnl" w:eastAsia="es-ES_tradnl" w:bidi="x-none"/>
        </w:rPr>
      </w:pPr>
    </w:p>
    <w:p w14:paraId="51BEF008" w14:textId="77777777" w:rsidR="00E6304A" w:rsidRDefault="00E6304A" w:rsidP="00E6304A">
      <w:pPr>
        <w:spacing w:after="0"/>
        <w:jc w:val="both"/>
        <w:rPr>
          <w:rFonts w:ascii="Arial" w:hAnsi="Arial" w:cs="Arial"/>
        </w:rPr>
      </w:pPr>
      <w:r w:rsidRPr="00C61BCB">
        <w:rPr>
          <w:rFonts w:ascii="Arial" w:hAnsi="Arial" w:cs="Arial"/>
        </w:rPr>
        <w:t xml:space="preserve">Teniendo en cuenta lo anterior, y en cumplimiento de lo dispuesto en el artículo 4° de la mencionada Resolución No.193 de 2016 en relación con la responsabilidad que tiene el Representante Legal y el Jefe de Control Interno o quien haga sus veces de elaborar y presentar el </w:t>
      </w:r>
      <w:r w:rsidRPr="00C61BCB">
        <w:rPr>
          <w:rFonts w:ascii="Arial" w:hAnsi="Arial" w:cs="Arial"/>
          <w:b/>
        </w:rPr>
        <w:t>Informe Anual de Evaluación del Control Interno Contable</w:t>
      </w:r>
      <w:r w:rsidRPr="00C61BCB">
        <w:rPr>
          <w:rFonts w:ascii="Arial" w:hAnsi="Arial" w:cs="Arial"/>
        </w:rPr>
        <w:t xml:space="preserve">, la Oficina de Control Interno en ejercicio del rol de evaluación y seguimiento a su cargo procedió a realizar para el </w:t>
      </w:r>
      <w:r w:rsidRPr="00C61BCB">
        <w:rPr>
          <w:rFonts w:ascii="Arial" w:hAnsi="Arial" w:cs="Arial"/>
          <w:b/>
        </w:rPr>
        <w:t>Instituto Colombiano de Bienestar Familiar</w:t>
      </w:r>
      <w:r w:rsidRPr="00C61BCB">
        <w:rPr>
          <w:rFonts w:ascii="Arial" w:hAnsi="Arial" w:cs="Arial"/>
        </w:rPr>
        <w:t xml:space="preserve"> (ICBF)  las respectivas verificaciones y valoraciones </w:t>
      </w:r>
      <w:r w:rsidRPr="00552DE6">
        <w:rPr>
          <w:rFonts w:ascii="Arial" w:hAnsi="Arial" w:cs="Arial"/>
        </w:rPr>
        <w:t>cuantitativas y cualitativas</w:t>
      </w:r>
      <w:r w:rsidR="00F73A22" w:rsidRPr="00552DE6">
        <w:rPr>
          <w:rFonts w:ascii="Arial" w:hAnsi="Arial" w:cs="Arial"/>
        </w:rPr>
        <w:t>, informe transmitido el pasado 25 de febrero</w:t>
      </w:r>
      <w:r w:rsidR="00D30B7A">
        <w:rPr>
          <w:rFonts w:ascii="Arial" w:hAnsi="Arial" w:cs="Arial"/>
        </w:rPr>
        <w:t xml:space="preserve"> de 2021</w:t>
      </w:r>
      <w:r w:rsidRPr="00552D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CE99FC2" w14:textId="77777777" w:rsidR="00A86EE5" w:rsidRDefault="00A86EE5" w:rsidP="00DB1D39">
      <w:pPr>
        <w:spacing w:after="0"/>
        <w:ind w:hanging="14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9A2AAF8" w14:textId="77777777" w:rsidR="006323DD" w:rsidRPr="00035BDB" w:rsidRDefault="006323DD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" w:name="_Toc66790664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ALCANCE</w:t>
      </w:r>
      <w:bookmarkEnd w:id="2"/>
    </w:p>
    <w:p w14:paraId="2085CF9A" w14:textId="77777777" w:rsidR="00C04F3B" w:rsidRDefault="00C04F3B" w:rsidP="001562AB">
      <w:pPr>
        <w:spacing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</w:p>
    <w:p w14:paraId="487A02D0" w14:textId="77777777" w:rsidR="00E90489" w:rsidRDefault="00E90489" w:rsidP="00E9048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lang w:val="es-ES_tradnl" w:eastAsia="es-ES_tradnl" w:bidi="x-none"/>
        </w:rPr>
      </w:pPr>
      <w:r w:rsidRPr="0091314C">
        <w:rPr>
          <w:rFonts w:ascii="Arial" w:hAnsi="Arial"/>
          <w:lang w:val="es-ES_tradnl" w:eastAsia="es-ES_tradnl" w:bidi="x-none"/>
        </w:rPr>
        <w:t xml:space="preserve">Control Interno Contable ICBF </w:t>
      </w:r>
      <w:r w:rsidRPr="00A00B45">
        <w:rPr>
          <w:rFonts w:ascii="Arial" w:hAnsi="Arial"/>
          <w:lang w:val="es-ES_tradnl" w:eastAsia="es-ES_tradnl" w:bidi="x-none"/>
        </w:rPr>
        <w:t>vigencia 20</w:t>
      </w:r>
      <w:r w:rsidR="00B46183">
        <w:rPr>
          <w:rFonts w:ascii="Arial" w:hAnsi="Arial"/>
          <w:lang w:val="es-ES_tradnl" w:eastAsia="es-ES_tradnl" w:bidi="x-none"/>
        </w:rPr>
        <w:t>20</w:t>
      </w:r>
    </w:p>
    <w:p w14:paraId="0BCAC46D" w14:textId="77777777" w:rsidR="00B03E9F" w:rsidRDefault="00B03E9F" w:rsidP="001562AB">
      <w:pPr>
        <w:widowControl w:val="0"/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/>
          <w:lang w:val="es-ES_tradnl" w:eastAsia="es-ES_tradnl" w:bidi="x-none"/>
        </w:rPr>
      </w:pPr>
    </w:p>
    <w:p w14:paraId="7CDE3B6C" w14:textId="77777777" w:rsidR="0044596F" w:rsidRPr="00035BDB" w:rsidRDefault="004459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" w:name="_Toc66790665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OBJETIVO GENERAL</w:t>
      </w:r>
      <w:bookmarkEnd w:id="3"/>
    </w:p>
    <w:p w14:paraId="749A966B" w14:textId="77777777" w:rsidR="00C04F3B" w:rsidRDefault="00C04F3B" w:rsidP="001562AB">
      <w:pPr>
        <w:spacing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</w:p>
    <w:p w14:paraId="69896E32" w14:textId="77777777" w:rsidR="007E04B2" w:rsidRDefault="007E04B2" w:rsidP="007E04B2">
      <w:pPr>
        <w:spacing w:after="0"/>
        <w:jc w:val="both"/>
        <w:rPr>
          <w:rFonts w:ascii="Arial" w:hAnsi="Arial" w:cs="Arial"/>
        </w:rPr>
      </w:pPr>
      <w:r w:rsidRPr="0091314C">
        <w:rPr>
          <w:rFonts w:ascii="Arial" w:eastAsia="Times New Roman" w:hAnsi="Arial"/>
          <w:lang w:val="es-ES_tradnl" w:eastAsia="es-ES_tradnl" w:bidi="x-none"/>
        </w:rPr>
        <w:t xml:space="preserve">Evaluar </w:t>
      </w:r>
      <w:r w:rsidRPr="0091314C">
        <w:rPr>
          <w:rFonts w:ascii="Arial" w:hAnsi="Arial" w:cs="Arial"/>
        </w:rPr>
        <w:t xml:space="preserve">el Control Interno Contable del ICBF con corte a 31 de </w:t>
      </w:r>
      <w:r w:rsidRPr="00C04F3B">
        <w:rPr>
          <w:rFonts w:ascii="Arial" w:hAnsi="Arial" w:cs="Arial"/>
        </w:rPr>
        <w:t>diciembre de 20</w:t>
      </w:r>
      <w:r>
        <w:rPr>
          <w:rFonts w:ascii="Arial" w:hAnsi="Arial" w:cs="Arial"/>
        </w:rPr>
        <w:t>20</w:t>
      </w:r>
      <w:r w:rsidRPr="00C04F3B">
        <w:rPr>
          <w:rFonts w:ascii="Arial" w:hAnsi="Arial" w:cs="Arial"/>
        </w:rPr>
        <w:t>.</w:t>
      </w:r>
    </w:p>
    <w:p w14:paraId="58556096" w14:textId="77777777" w:rsidR="00D063DC" w:rsidRDefault="00D063DC" w:rsidP="001562AB">
      <w:pPr>
        <w:pStyle w:val="Ttulo1"/>
        <w:spacing w:before="0"/>
        <w:ind w:left="567" w:hanging="141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</w:p>
    <w:p w14:paraId="5E672DF6" w14:textId="77777777" w:rsidR="00CA4B6F" w:rsidRPr="00035BDB" w:rsidRDefault="00CA4B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4" w:name="_Toc66790666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OBJETIVOS </w:t>
      </w:r>
      <w:r w:rsidR="002419BB"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ESPECÍFICOS</w:t>
      </w:r>
      <w:bookmarkEnd w:id="4"/>
    </w:p>
    <w:p w14:paraId="375B1D8B" w14:textId="77777777" w:rsidR="00C04F3B" w:rsidRDefault="00C04F3B" w:rsidP="001562AB">
      <w:pPr>
        <w:pStyle w:val="Textoindependiente"/>
        <w:spacing w:line="276" w:lineRule="auto"/>
        <w:rPr>
          <w:rFonts w:ascii="Arial" w:hAnsi="Arial" w:cs="Arial"/>
          <w:b/>
          <w:bCs/>
          <w:szCs w:val="24"/>
        </w:rPr>
      </w:pPr>
    </w:p>
    <w:p w14:paraId="3D893BE8" w14:textId="77777777" w:rsidR="00C04F3B" w:rsidRPr="00C04F3B" w:rsidRDefault="0029229B" w:rsidP="001562AB">
      <w:pPr>
        <w:pStyle w:val="Textoindependiente"/>
        <w:spacing w:line="276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4.1. </w:t>
      </w:r>
      <w:r w:rsidR="00574ECF">
        <w:rPr>
          <w:rFonts w:ascii="Arial" w:hAnsi="Arial" w:cs="Arial"/>
          <w:bCs/>
          <w:sz w:val="22"/>
          <w:szCs w:val="24"/>
        </w:rPr>
        <w:t xml:space="preserve">Verificar </w:t>
      </w:r>
      <w:r w:rsidR="00C04F3B" w:rsidRPr="00C04F3B">
        <w:rPr>
          <w:rFonts w:ascii="Arial" w:hAnsi="Arial" w:cs="Arial"/>
          <w:bCs/>
          <w:sz w:val="22"/>
          <w:szCs w:val="24"/>
        </w:rPr>
        <w:t xml:space="preserve">que los hechos económicos </w:t>
      </w:r>
      <w:r w:rsidR="00C04F3B">
        <w:rPr>
          <w:rFonts w:ascii="Arial" w:hAnsi="Arial" w:cs="Arial"/>
          <w:bCs/>
          <w:sz w:val="22"/>
          <w:szCs w:val="24"/>
        </w:rPr>
        <w:t xml:space="preserve">de la </w:t>
      </w:r>
      <w:r w:rsidR="00B07E36">
        <w:rPr>
          <w:rFonts w:ascii="Arial" w:hAnsi="Arial" w:cs="Arial"/>
          <w:bCs/>
          <w:sz w:val="22"/>
          <w:szCs w:val="24"/>
        </w:rPr>
        <w:t>E</w:t>
      </w:r>
      <w:r w:rsidR="00C04F3B">
        <w:rPr>
          <w:rFonts w:ascii="Arial" w:hAnsi="Arial" w:cs="Arial"/>
          <w:bCs/>
          <w:sz w:val="22"/>
          <w:szCs w:val="24"/>
        </w:rPr>
        <w:t>ntidad se reconozcan, midan, revelen y</w:t>
      </w:r>
      <w:r w:rsidR="00EB4E57">
        <w:rPr>
          <w:rFonts w:ascii="Arial" w:hAnsi="Arial" w:cs="Arial"/>
          <w:bCs/>
          <w:sz w:val="22"/>
          <w:szCs w:val="24"/>
        </w:rPr>
        <w:t xml:space="preserve"> </w:t>
      </w:r>
      <w:r w:rsidR="00C04F3B">
        <w:rPr>
          <w:rFonts w:ascii="Arial" w:hAnsi="Arial" w:cs="Arial"/>
          <w:bCs/>
          <w:sz w:val="22"/>
          <w:szCs w:val="24"/>
        </w:rPr>
        <w:t xml:space="preserve">presenten </w:t>
      </w:r>
      <w:r w:rsidR="00EB4E57">
        <w:rPr>
          <w:rFonts w:ascii="Arial" w:hAnsi="Arial" w:cs="Arial"/>
          <w:bCs/>
          <w:sz w:val="22"/>
          <w:szCs w:val="24"/>
        </w:rPr>
        <w:t>de acuerdo con el</w:t>
      </w:r>
      <w:r w:rsidR="00C04F3B">
        <w:rPr>
          <w:rFonts w:ascii="Arial" w:hAnsi="Arial" w:cs="Arial"/>
          <w:bCs/>
          <w:sz w:val="22"/>
          <w:szCs w:val="24"/>
        </w:rPr>
        <w:t xml:space="preserve"> régimen de contabilidad Pública.</w:t>
      </w:r>
    </w:p>
    <w:p w14:paraId="54CC0806" w14:textId="77777777" w:rsidR="00C04F3B" w:rsidRDefault="00C04F3B" w:rsidP="001562AB">
      <w:pPr>
        <w:pStyle w:val="Textoindependiente"/>
        <w:spacing w:line="276" w:lineRule="auto"/>
        <w:rPr>
          <w:rFonts w:ascii="Arial" w:hAnsi="Arial" w:cs="Arial"/>
          <w:b/>
          <w:bCs/>
          <w:szCs w:val="24"/>
        </w:rPr>
      </w:pPr>
    </w:p>
    <w:p w14:paraId="325CB8BB" w14:textId="77777777" w:rsidR="0091314C" w:rsidRPr="00192AD3" w:rsidRDefault="00EB4E57" w:rsidP="001562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192AD3">
        <w:rPr>
          <w:rFonts w:ascii="Arial" w:hAnsi="Arial" w:cs="Arial"/>
        </w:rPr>
        <w:t xml:space="preserve"> </w:t>
      </w:r>
      <w:r w:rsidR="00574ECF">
        <w:rPr>
          <w:rFonts w:ascii="Arial" w:hAnsi="Arial" w:cs="Arial"/>
        </w:rPr>
        <w:t xml:space="preserve">Evaluar </w:t>
      </w:r>
      <w:r w:rsidR="00C04F3B">
        <w:rPr>
          <w:rFonts w:ascii="Arial" w:hAnsi="Arial" w:cs="Arial"/>
        </w:rPr>
        <w:t xml:space="preserve">el desarrollo y </w:t>
      </w:r>
      <w:r w:rsidR="0091314C" w:rsidRPr="00192AD3">
        <w:rPr>
          <w:rFonts w:ascii="Arial" w:hAnsi="Arial" w:cs="Arial"/>
        </w:rPr>
        <w:t xml:space="preserve">fortalecimiento del Control Interno Contable </w:t>
      </w:r>
    </w:p>
    <w:p w14:paraId="2A279CA6" w14:textId="77777777" w:rsidR="0091314C" w:rsidRPr="00192AD3" w:rsidRDefault="0091314C" w:rsidP="001562AB">
      <w:pPr>
        <w:spacing w:after="0"/>
        <w:jc w:val="both"/>
        <w:rPr>
          <w:rFonts w:ascii="Arial" w:hAnsi="Arial" w:cs="Arial"/>
        </w:rPr>
      </w:pPr>
    </w:p>
    <w:p w14:paraId="4CB1676B" w14:textId="77777777" w:rsidR="006323DD" w:rsidRDefault="00EB4E57" w:rsidP="001562AB">
      <w:pPr>
        <w:spacing w:after="0"/>
        <w:jc w:val="both"/>
        <w:rPr>
          <w:rFonts w:ascii="Arial" w:hAnsi="Arial" w:cs="Arial"/>
        </w:rPr>
      </w:pPr>
      <w:r w:rsidRPr="00011B18">
        <w:rPr>
          <w:rFonts w:ascii="Arial" w:hAnsi="Arial" w:cs="Arial"/>
        </w:rPr>
        <w:t xml:space="preserve">4.3. </w:t>
      </w:r>
      <w:r w:rsidR="00D13178" w:rsidRPr="00011B18">
        <w:rPr>
          <w:rFonts w:ascii="Arial" w:hAnsi="Arial" w:cs="Arial"/>
        </w:rPr>
        <w:t>Emitir recomendaciones para</w:t>
      </w:r>
      <w:r w:rsidR="00011B18" w:rsidRPr="00011B18">
        <w:rPr>
          <w:rFonts w:ascii="Arial" w:hAnsi="Arial" w:cs="Arial"/>
        </w:rPr>
        <w:t xml:space="preserve"> la toma de</w:t>
      </w:r>
      <w:r w:rsidR="00D13178" w:rsidRPr="00011B18">
        <w:rPr>
          <w:rFonts w:ascii="Arial" w:hAnsi="Arial" w:cs="Arial"/>
        </w:rPr>
        <w:t xml:space="preserve"> </w:t>
      </w:r>
      <w:r w:rsidR="0091314C" w:rsidRPr="00011B18">
        <w:rPr>
          <w:rFonts w:ascii="Arial" w:hAnsi="Arial" w:cs="Arial"/>
        </w:rPr>
        <w:t>acciones</w:t>
      </w:r>
      <w:r w:rsidR="00011B18" w:rsidRPr="00011B18">
        <w:rPr>
          <w:rFonts w:ascii="Arial" w:hAnsi="Arial" w:cs="Arial"/>
        </w:rPr>
        <w:t xml:space="preserve">. </w:t>
      </w:r>
      <w:r w:rsidR="00670683" w:rsidRPr="00011B18">
        <w:rPr>
          <w:rFonts w:ascii="Arial" w:hAnsi="Arial" w:cs="Arial"/>
        </w:rPr>
        <w:t xml:space="preserve"> </w:t>
      </w:r>
    </w:p>
    <w:p w14:paraId="4CD948EA" w14:textId="77777777" w:rsidR="00A10E2A" w:rsidRDefault="00A10E2A" w:rsidP="001562AB">
      <w:pPr>
        <w:spacing w:after="0"/>
        <w:jc w:val="both"/>
        <w:rPr>
          <w:rFonts w:ascii="Arial" w:hAnsi="Arial" w:cs="Arial"/>
        </w:rPr>
      </w:pPr>
    </w:p>
    <w:p w14:paraId="46CF1911" w14:textId="77777777" w:rsidR="00D063DC" w:rsidRDefault="00D063DC" w:rsidP="001562AB">
      <w:pPr>
        <w:spacing w:after="0"/>
        <w:ind w:left="502"/>
        <w:jc w:val="both"/>
        <w:rPr>
          <w:rFonts w:ascii="Arial" w:hAnsi="Arial" w:cs="Arial"/>
          <w:bCs/>
          <w:szCs w:val="24"/>
        </w:rPr>
      </w:pPr>
    </w:p>
    <w:p w14:paraId="120175C6" w14:textId="77777777" w:rsidR="00CA4B6F" w:rsidRPr="00035BDB" w:rsidRDefault="00CA4B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5" w:name="_Toc66790667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METODOLOGÍA</w:t>
      </w:r>
      <w:bookmarkEnd w:id="5"/>
    </w:p>
    <w:p w14:paraId="5D0FE32D" w14:textId="77777777" w:rsidR="0091314C" w:rsidRDefault="0091314C" w:rsidP="001562AB">
      <w:pPr>
        <w:pStyle w:val="Textoindependiente"/>
        <w:spacing w:line="276" w:lineRule="auto"/>
        <w:ind w:left="720"/>
        <w:rPr>
          <w:rFonts w:ascii="Arial" w:hAnsi="Arial" w:cs="Arial"/>
          <w:b/>
          <w:bCs/>
          <w:szCs w:val="24"/>
        </w:rPr>
      </w:pPr>
    </w:p>
    <w:p w14:paraId="458B22AB" w14:textId="295FCCF8" w:rsidR="00FD2560" w:rsidRDefault="0091314C" w:rsidP="001562AB">
      <w:pPr>
        <w:spacing w:after="0"/>
        <w:jc w:val="both"/>
        <w:rPr>
          <w:rFonts w:ascii="Arial" w:hAnsi="Arial" w:cs="Arial"/>
        </w:rPr>
      </w:pPr>
      <w:r w:rsidRPr="003E35B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m</w:t>
      </w:r>
      <w:r w:rsidRPr="003E35BD">
        <w:rPr>
          <w:rFonts w:ascii="Arial" w:hAnsi="Arial" w:cs="Arial"/>
        </w:rPr>
        <w:t>etodología de evaluación</w:t>
      </w:r>
      <w:r>
        <w:rPr>
          <w:rFonts w:ascii="Arial" w:hAnsi="Arial" w:cs="Arial"/>
        </w:rPr>
        <w:t xml:space="preserve"> </w:t>
      </w:r>
      <w:r w:rsidRPr="003E35BD">
        <w:rPr>
          <w:rFonts w:ascii="Arial" w:hAnsi="Arial" w:cs="Arial"/>
        </w:rPr>
        <w:t xml:space="preserve">es la establecida por la Contaduría General de la Nación </w:t>
      </w:r>
      <w:r>
        <w:rPr>
          <w:rFonts w:ascii="Arial" w:hAnsi="Arial" w:cs="Arial"/>
        </w:rPr>
        <w:t xml:space="preserve">a través de la </w:t>
      </w:r>
      <w:r w:rsidRPr="003E35BD">
        <w:rPr>
          <w:rFonts w:ascii="Arial" w:hAnsi="Arial" w:cs="Arial"/>
        </w:rPr>
        <w:t>Resolución No</w:t>
      </w:r>
      <w:r w:rsidR="00232377">
        <w:rPr>
          <w:rFonts w:ascii="Arial" w:hAnsi="Arial" w:cs="Arial"/>
        </w:rPr>
        <w:t>.</w:t>
      </w:r>
      <w:r w:rsidR="002419BB">
        <w:rPr>
          <w:rFonts w:ascii="Arial" w:hAnsi="Arial" w:cs="Arial"/>
        </w:rPr>
        <w:t>193</w:t>
      </w:r>
      <w:r w:rsidRPr="003E35BD">
        <w:rPr>
          <w:rFonts w:ascii="Arial" w:hAnsi="Arial" w:cs="Arial"/>
        </w:rPr>
        <w:t xml:space="preserve"> de 20</w:t>
      </w:r>
      <w:r w:rsidR="002419BB">
        <w:rPr>
          <w:rFonts w:ascii="Arial" w:hAnsi="Arial" w:cs="Arial"/>
        </w:rPr>
        <w:t>16</w:t>
      </w:r>
      <w:r w:rsidR="00D13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7413">
        <w:rPr>
          <w:rFonts w:ascii="Arial" w:hAnsi="Arial" w:cs="Arial"/>
        </w:rPr>
        <w:t xml:space="preserve">se </w:t>
      </w:r>
      <w:r w:rsidR="00670683">
        <w:rPr>
          <w:rFonts w:ascii="Arial" w:hAnsi="Arial" w:cs="Arial"/>
        </w:rPr>
        <w:t xml:space="preserve">desarrolla </w:t>
      </w:r>
      <w:r w:rsidR="00B07413">
        <w:rPr>
          <w:rFonts w:ascii="Arial" w:hAnsi="Arial" w:cs="Arial"/>
        </w:rPr>
        <w:t xml:space="preserve">mediante el </w:t>
      </w:r>
      <w:r w:rsidR="00FD2560">
        <w:rPr>
          <w:rFonts w:ascii="Arial" w:hAnsi="Arial" w:cs="Arial"/>
        </w:rPr>
        <w:t>diligenciamiento</w:t>
      </w:r>
      <w:r w:rsidR="002534D4">
        <w:rPr>
          <w:rFonts w:ascii="Arial" w:hAnsi="Arial" w:cs="Arial"/>
        </w:rPr>
        <w:t xml:space="preserve"> de respuestas</w:t>
      </w:r>
      <w:r w:rsidR="00882A46">
        <w:rPr>
          <w:rFonts w:ascii="Arial" w:hAnsi="Arial" w:cs="Arial"/>
        </w:rPr>
        <w:t xml:space="preserve"> en el </w:t>
      </w:r>
      <w:r w:rsidR="00882A46" w:rsidRPr="00882A46">
        <w:rPr>
          <w:rFonts w:ascii="Arial" w:hAnsi="Arial" w:cs="Arial"/>
          <w:i/>
          <w:iCs/>
        </w:rPr>
        <w:t>formulario para la evaluación del control interno contable</w:t>
      </w:r>
      <w:r w:rsidR="002534D4">
        <w:rPr>
          <w:rFonts w:ascii="Arial" w:hAnsi="Arial" w:cs="Arial"/>
        </w:rPr>
        <w:t>, por parte de la OCI, frente a</w:t>
      </w:r>
      <w:r w:rsidR="00E1391E">
        <w:rPr>
          <w:rFonts w:ascii="Arial" w:hAnsi="Arial" w:cs="Arial"/>
        </w:rPr>
        <w:t>l</w:t>
      </w:r>
      <w:r w:rsidR="002534D4">
        <w:rPr>
          <w:rFonts w:ascii="Arial" w:hAnsi="Arial" w:cs="Arial"/>
        </w:rPr>
        <w:t xml:space="preserve"> cuestionario de</w:t>
      </w:r>
      <w:r w:rsidR="00670683">
        <w:rPr>
          <w:rFonts w:ascii="Arial" w:hAnsi="Arial" w:cs="Arial"/>
        </w:rPr>
        <w:t xml:space="preserve"> </w:t>
      </w:r>
      <w:r w:rsidR="00FD2560">
        <w:rPr>
          <w:rFonts w:ascii="Arial" w:hAnsi="Arial" w:cs="Arial"/>
        </w:rPr>
        <w:t>preguntas relacionadas con criterios de control</w:t>
      </w:r>
      <w:r w:rsidR="002534D4">
        <w:rPr>
          <w:rFonts w:ascii="Arial" w:hAnsi="Arial" w:cs="Arial"/>
        </w:rPr>
        <w:t xml:space="preserve">; </w:t>
      </w:r>
      <w:r w:rsidR="0094173B">
        <w:rPr>
          <w:rFonts w:ascii="Arial" w:hAnsi="Arial" w:cs="Arial"/>
        </w:rPr>
        <w:t>además</w:t>
      </w:r>
      <w:r w:rsidR="002534D4">
        <w:rPr>
          <w:rFonts w:ascii="Arial" w:hAnsi="Arial" w:cs="Arial"/>
        </w:rPr>
        <w:t>,</w:t>
      </w:r>
      <w:r w:rsidR="0094173B">
        <w:rPr>
          <w:rFonts w:ascii="Arial" w:hAnsi="Arial" w:cs="Arial"/>
        </w:rPr>
        <w:t xml:space="preserve"> </w:t>
      </w:r>
      <w:r w:rsidR="00670683">
        <w:rPr>
          <w:rFonts w:ascii="Arial" w:hAnsi="Arial" w:cs="Arial"/>
        </w:rPr>
        <w:t xml:space="preserve">se </w:t>
      </w:r>
      <w:r w:rsidR="00670683" w:rsidRPr="00E1391E">
        <w:rPr>
          <w:rFonts w:ascii="Arial" w:hAnsi="Arial" w:cs="Arial"/>
        </w:rPr>
        <w:t xml:space="preserve">realizan </w:t>
      </w:r>
      <w:r w:rsidR="00FD2560" w:rsidRPr="00E1391E">
        <w:rPr>
          <w:rFonts w:ascii="Arial" w:hAnsi="Arial" w:cs="Arial"/>
        </w:rPr>
        <w:t xml:space="preserve">valoraciones cuantitativas y cualitativas </w:t>
      </w:r>
      <w:r w:rsidR="00670683" w:rsidRPr="00E1391E">
        <w:rPr>
          <w:rFonts w:ascii="Arial" w:hAnsi="Arial" w:cs="Arial"/>
        </w:rPr>
        <w:t xml:space="preserve">sobre </w:t>
      </w:r>
      <w:r w:rsidR="00FD2560" w:rsidRPr="00E1391E">
        <w:rPr>
          <w:rFonts w:ascii="Arial" w:hAnsi="Arial" w:cs="Arial"/>
        </w:rPr>
        <w:t>la existencia y el grado de efectividad de los controles con</w:t>
      </w:r>
      <w:r w:rsidR="004F2AF3" w:rsidRPr="00E1391E">
        <w:rPr>
          <w:rFonts w:ascii="Arial" w:hAnsi="Arial" w:cs="Arial"/>
        </w:rPr>
        <w:t xml:space="preserve"> base en</w:t>
      </w:r>
      <w:r w:rsidR="00FD2560" w:rsidRPr="00E1391E">
        <w:rPr>
          <w:rFonts w:ascii="Arial" w:hAnsi="Arial" w:cs="Arial"/>
        </w:rPr>
        <w:t xml:space="preserve"> la información y la evidencia documental </w:t>
      </w:r>
      <w:r w:rsidR="004F2AF3" w:rsidRPr="00E1391E">
        <w:rPr>
          <w:rFonts w:ascii="Arial" w:hAnsi="Arial" w:cs="Arial"/>
        </w:rPr>
        <w:t>recopilada</w:t>
      </w:r>
      <w:r w:rsidR="00307BFC" w:rsidRPr="00E1391E">
        <w:rPr>
          <w:rFonts w:ascii="Arial" w:hAnsi="Arial" w:cs="Arial"/>
        </w:rPr>
        <w:t>.</w:t>
      </w:r>
    </w:p>
    <w:p w14:paraId="05BDD47D" w14:textId="77777777" w:rsidR="00B46183" w:rsidRDefault="00B46183" w:rsidP="001562AB">
      <w:pPr>
        <w:spacing w:after="0"/>
        <w:jc w:val="both"/>
        <w:rPr>
          <w:rFonts w:ascii="Arial" w:hAnsi="Arial" w:cs="Arial"/>
        </w:rPr>
      </w:pPr>
    </w:p>
    <w:p w14:paraId="5E8D7522" w14:textId="77777777" w:rsidR="00B07413" w:rsidRDefault="00B07413" w:rsidP="004A6C78">
      <w:pPr>
        <w:spacing w:after="0"/>
        <w:jc w:val="both"/>
        <w:rPr>
          <w:rFonts w:ascii="Arial" w:hAnsi="Arial" w:cs="Arial"/>
        </w:rPr>
      </w:pPr>
    </w:p>
    <w:p w14:paraId="73D37C41" w14:textId="77777777" w:rsidR="00D10766" w:rsidRDefault="00947508" w:rsidP="004A6C78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  <w:r w:rsidRPr="002A5CB2">
        <w:rPr>
          <w:rFonts w:ascii="Arial" w:eastAsia="Times New Roman" w:hAnsi="Arial"/>
          <w:lang w:val="es-ES_tradnl" w:eastAsia="es-ES_tradnl" w:bidi="x-none"/>
        </w:rPr>
        <w:t xml:space="preserve">Frente a cada </w:t>
      </w:r>
      <w:r w:rsidR="0091314C" w:rsidRPr="002A5CB2">
        <w:rPr>
          <w:rFonts w:ascii="Arial" w:eastAsia="Times New Roman" w:hAnsi="Arial"/>
          <w:lang w:val="es-ES_tradnl" w:eastAsia="es-ES_tradnl" w:bidi="x-none"/>
        </w:rPr>
        <w:t xml:space="preserve">pregunta </w:t>
      </w:r>
      <w:r w:rsidRPr="002A5CB2">
        <w:rPr>
          <w:rFonts w:ascii="Arial" w:eastAsia="Times New Roman" w:hAnsi="Arial"/>
          <w:lang w:val="es-ES_tradnl" w:eastAsia="es-ES_tradnl" w:bidi="x-none"/>
        </w:rPr>
        <w:t xml:space="preserve">se tienen las </w:t>
      </w:r>
      <w:r w:rsidR="00A8665E" w:rsidRPr="002A5CB2">
        <w:rPr>
          <w:rFonts w:ascii="Arial" w:eastAsia="Times New Roman" w:hAnsi="Arial"/>
          <w:lang w:val="es-ES_tradnl" w:eastAsia="es-ES_tradnl" w:bidi="x-none"/>
        </w:rPr>
        <w:t>siguientes opciones de calificación:</w:t>
      </w:r>
    </w:p>
    <w:p w14:paraId="1352C0D4" w14:textId="77777777" w:rsidR="0039129A" w:rsidRDefault="0039129A" w:rsidP="004A6C78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</w:p>
    <w:tbl>
      <w:tblPr>
        <w:tblW w:w="7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845"/>
        <w:gridCol w:w="511"/>
        <w:gridCol w:w="2384"/>
        <w:gridCol w:w="845"/>
      </w:tblGrid>
      <w:tr w:rsidR="001A023C" w:rsidRPr="00BF6026" w14:paraId="58A58540" w14:textId="77777777" w:rsidTr="00BF6026">
        <w:trPr>
          <w:trHeight w:val="12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BC3831" w14:textId="77777777" w:rsidR="001A023C" w:rsidRPr="00180DA5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8"/>
                <w:lang w:val="es-CO" w:eastAsia="es-CO"/>
              </w:rPr>
            </w:pPr>
            <w:r w:rsidRPr="00180DA5">
              <w:rPr>
                <w:rFonts w:ascii="Arial" w:eastAsia="Times New Roman" w:hAnsi="Arial" w:cs="Arial"/>
                <w:b/>
                <w:color w:val="000000"/>
                <w:szCs w:val="28"/>
                <w:lang w:val="es-CO" w:eastAsia="es-CO"/>
              </w:rPr>
              <w:t>EXISTENCIA (Ex)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BF7" w14:textId="77777777" w:rsidR="001A023C" w:rsidRPr="00180DA5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8"/>
                <w:lang w:val="es-CO" w:eastAsia="es-CO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3A463D" w14:textId="77777777" w:rsidR="001A023C" w:rsidRPr="00180DA5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8"/>
                <w:lang w:val="es-CO" w:eastAsia="es-CO"/>
              </w:rPr>
            </w:pPr>
            <w:r w:rsidRPr="00180DA5">
              <w:rPr>
                <w:rFonts w:ascii="Arial" w:eastAsia="Times New Roman" w:hAnsi="Arial" w:cs="Arial"/>
                <w:b/>
                <w:color w:val="000000"/>
                <w:szCs w:val="28"/>
                <w:lang w:val="es-CO" w:eastAsia="es-CO"/>
              </w:rPr>
              <w:t>EFECTIVIDAD</w:t>
            </w:r>
            <w:r w:rsidR="00A8665E" w:rsidRPr="00180DA5">
              <w:rPr>
                <w:rFonts w:ascii="Arial" w:eastAsia="Times New Roman" w:hAnsi="Arial" w:cs="Arial"/>
                <w:b/>
                <w:color w:val="000000"/>
                <w:szCs w:val="28"/>
                <w:lang w:val="es-CO" w:eastAsia="es-CO"/>
              </w:rPr>
              <w:t xml:space="preserve"> (Ef)</w:t>
            </w:r>
          </w:p>
        </w:tc>
      </w:tr>
      <w:tr w:rsidR="001A023C" w:rsidRPr="00BF6026" w14:paraId="5E0B884C" w14:textId="77777777" w:rsidTr="00BF6026">
        <w:trPr>
          <w:trHeight w:val="112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0F5C216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F23BE07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VALOR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BEF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90FE0D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6F047A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VALOR</w:t>
            </w:r>
          </w:p>
        </w:tc>
      </w:tr>
      <w:tr w:rsidR="001A023C" w:rsidRPr="00BF6026" w14:paraId="024425C1" w14:textId="77777777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C7D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324A" w14:textId="77777777"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CE5" w14:textId="77777777"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1E7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B46" w14:textId="77777777"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0.7</w:t>
            </w:r>
          </w:p>
        </w:tc>
      </w:tr>
      <w:tr w:rsidR="001A023C" w:rsidRPr="00BF6026" w14:paraId="2D016E77" w14:textId="77777777" w:rsidTr="00BF6026">
        <w:trPr>
          <w:trHeight w:val="175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EDF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2581" w14:textId="77777777"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1F1" w14:textId="77777777"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E2C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CBC" w14:textId="77777777"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0.42</w:t>
            </w:r>
          </w:p>
        </w:tc>
      </w:tr>
      <w:tr w:rsidR="001A023C" w:rsidRPr="00BF6026" w14:paraId="4D331FDB" w14:textId="77777777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0BA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CB5" w14:textId="77777777"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459" w14:textId="77777777"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944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4F0" w14:textId="77777777"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0.14</w:t>
            </w:r>
          </w:p>
        </w:tc>
      </w:tr>
    </w:tbl>
    <w:p w14:paraId="3D59F824" w14:textId="77777777" w:rsidR="00670683" w:rsidRDefault="00670683" w:rsidP="006B72D4">
      <w:pPr>
        <w:spacing w:after="0" w:line="240" w:lineRule="auto"/>
        <w:jc w:val="both"/>
        <w:rPr>
          <w:rFonts w:ascii="Arial" w:hAnsi="Arial" w:cs="Arial"/>
        </w:rPr>
      </w:pPr>
    </w:p>
    <w:p w14:paraId="3F913FEA" w14:textId="77777777" w:rsidR="00B46183" w:rsidRDefault="00B46183" w:rsidP="004A6C78">
      <w:pPr>
        <w:spacing w:after="0"/>
        <w:ind w:left="426" w:hanging="426"/>
        <w:jc w:val="both"/>
        <w:rPr>
          <w:rFonts w:ascii="Arial" w:hAnsi="Arial" w:cs="Arial"/>
        </w:rPr>
      </w:pPr>
    </w:p>
    <w:p w14:paraId="424DCEBF" w14:textId="77777777" w:rsidR="00DD1187" w:rsidRPr="00DB1D39" w:rsidRDefault="00DD1187" w:rsidP="004A6C78">
      <w:pPr>
        <w:spacing w:after="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B1D39">
        <w:rPr>
          <w:rFonts w:ascii="Arial" w:hAnsi="Arial" w:cs="Arial"/>
          <w:b/>
          <w:sz w:val="20"/>
          <w:szCs w:val="20"/>
        </w:rPr>
        <w:t>RANGOS DE CALIFICACIÓN DE LA EVALUACIÓN DEL CONTROL INTERNO CONTABLE</w:t>
      </w:r>
    </w:p>
    <w:p w14:paraId="3E014DF4" w14:textId="77777777" w:rsidR="006B72D4" w:rsidRPr="00DB1D39" w:rsidRDefault="006B72D4" w:rsidP="00DD1187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00"/>
      </w:tblGrid>
      <w:tr w:rsidR="003D4836" w:rsidRPr="006B72D4" w14:paraId="5ED5C449" w14:textId="77777777" w:rsidTr="006B72D4">
        <w:trPr>
          <w:trHeight w:val="10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31857F1" w14:textId="77777777" w:rsidR="003D4836" w:rsidRPr="00180DA5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es-CO" w:eastAsia="es-CO"/>
              </w:rPr>
            </w:pPr>
            <w:r w:rsidRPr="00180DA5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es-CO" w:eastAsia="es-CO"/>
              </w:rPr>
              <w:t xml:space="preserve">RANGO DE CALIFICACIÓN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F28B45" w14:textId="77777777" w:rsidR="003D4836" w:rsidRPr="00180DA5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es-CO" w:eastAsia="es-CO"/>
              </w:rPr>
            </w:pPr>
            <w:r w:rsidRPr="00180DA5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es-CO" w:eastAsia="es-CO"/>
              </w:rPr>
              <w:t>CALIFICACIÓN CUALITATIVA</w:t>
            </w:r>
          </w:p>
        </w:tc>
      </w:tr>
      <w:tr w:rsidR="003D4836" w:rsidRPr="006B72D4" w14:paraId="7F142248" w14:textId="77777777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5C7" w14:textId="4FBA86E4" w:rsidR="003D4836" w:rsidRPr="00E1391E" w:rsidRDefault="00E1391E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1.0 </w:t>
            </w:r>
            <w:r w:rsidRPr="00E1391E">
              <w:rPr>
                <w:rFonts w:ascii="Arial" w:eastAsia="Times New Roman" w:hAnsi="Arial" w:cs="Arial"/>
                <w:color w:val="000000"/>
                <w:sz w:val="18"/>
                <w:u w:val="single"/>
                <w:lang w:val="es-CO" w:eastAsia="es-CO"/>
              </w:rPr>
              <w:t>&lt;</w:t>
            </w:r>
            <w:r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 CALIFICACIÓN</w:t>
            </w:r>
            <w:r w:rsidR="003D4836"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&lt;3.0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449" w14:textId="77777777"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DEFICIENTE</w:t>
            </w:r>
          </w:p>
        </w:tc>
      </w:tr>
      <w:tr w:rsidR="003D4836" w:rsidRPr="006B72D4" w14:paraId="1734BFCA" w14:textId="77777777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779" w14:textId="77777777" w:rsidR="003D4836" w:rsidRPr="00E1391E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3.0 </w:t>
            </w:r>
            <w:r w:rsidRPr="00E1391E">
              <w:rPr>
                <w:rFonts w:ascii="Arial" w:eastAsia="Times New Roman" w:hAnsi="Arial" w:cs="Arial"/>
                <w:color w:val="000000"/>
                <w:sz w:val="18"/>
                <w:u w:val="single"/>
                <w:lang w:val="es-CO" w:eastAsia="es-CO"/>
              </w:rPr>
              <w:t>&lt;</w:t>
            </w:r>
            <w:r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 CALIFICACIÓN &lt;4.0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569" w14:textId="77777777"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ADECUADO</w:t>
            </w:r>
          </w:p>
        </w:tc>
      </w:tr>
      <w:tr w:rsidR="003D4836" w:rsidRPr="006B72D4" w14:paraId="7E95E56A" w14:textId="77777777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88F" w14:textId="77777777" w:rsidR="003D4836" w:rsidRPr="00E1391E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4.0 </w:t>
            </w:r>
            <w:r w:rsidRPr="00E1391E">
              <w:rPr>
                <w:rFonts w:ascii="Arial" w:eastAsia="Times New Roman" w:hAnsi="Arial" w:cs="Arial"/>
                <w:color w:val="000000"/>
                <w:sz w:val="18"/>
                <w:u w:val="single"/>
                <w:lang w:val="es-CO" w:eastAsia="es-CO"/>
              </w:rPr>
              <w:t>&lt;</w:t>
            </w:r>
            <w:r w:rsidRPr="00E1391E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 CALIFICACIÓN &lt;5.0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E4A" w14:textId="77777777"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EFICIENTE</w:t>
            </w:r>
          </w:p>
        </w:tc>
      </w:tr>
    </w:tbl>
    <w:p w14:paraId="578F1DF9" w14:textId="77777777" w:rsidR="006F6EC5" w:rsidRDefault="006F6EC5" w:rsidP="006F6EC5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87DCD13" w14:textId="77777777" w:rsidR="0096017B" w:rsidRPr="00035BDB" w:rsidRDefault="00FA3119" w:rsidP="001562AB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6" w:name="_Toc66790668"/>
      <w: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RESULTADOS</w:t>
      </w:r>
      <w:r w:rsidR="006C4E59"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:</w:t>
      </w:r>
      <w:bookmarkEnd w:id="6"/>
    </w:p>
    <w:p w14:paraId="7D310FCA" w14:textId="77777777" w:rsidR="0091314C" w:rsidRDefault="0091314C" w:rsidP="004A6C78">
      <w:pPr>
        <w:pStyle w:val="Prrafodelista"/>
        <w:spacing w:line="276" w:lineRule="auto"/>
        <w:rPr>
          <w:rFonts w:ascii="Arial" w:hAnsi="Arial" w:cs="Arial"/>
          <w:b/>
        </w:rPr>
      </w:pPr>
    </w:p>
    <w:p w14:paraId="5E37B9EF" w14:textId="77777777" w:rsidR="00BD5F64" w:rsidRPr="008D798D" w:rsidRDefault="0091314C" w:rsidP="004A6C7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6F6EC5">
        <w:rPr>
          <w:rFonts w:ascii="Arial" w:hAnsi="Arial" w:cs="Arial"/>
          <w:lang w:val="es-CO" w:eastAsia="es-CO"/>
        </w:rPr>
        <w:t xml:space="preserve">De acuerdo con la evaluación aplicada </w:t>
      </w:r>
      <w:r w:rsidR="00882D22">
        <w:rPr>
          <w:rFonts w:ascii="Arial" w:hAnsi="Arial" w:cs="Arial"/>
          <w:lang w:val="es-CO" w:eastAsia="es-CO"/>
        </w:rPr>
        <w:t>sobre el</w:t>
      </w:r>
      <w:r w:rsidR="007C287E" w:rsidRPr="006F6EC5">
        <w:rPr>
          <w:rFonts w:ascii="Arial" w:hAnsi="Arial" w:cs="Arial"/>
          <w:lang w:val="es-CO" w:eastAsia="es-CO"/>
        </w:rPr>
        <w:t xml:space="preserve"> Control Interno Contable</w:t>
      </w:r>
      <w:r w:rsidR="00882D22">
        <w:rPr>
          <w:rFonts w:ascii="Arial" w:hAnsi="Arial" w:cs="Arial"/>
          <w:lang w:val="es-CO" w:eastAsia="es-CO"/>
        </w:rPr>
        <w:t xml:space="preserve"> del ICBF</w:t>
      </w:r>
      <w:r w:rsidR="007C287E" w:rsidRPr="006F6EC5">
        <w:rPr>
          <w:rFonts w:ascii="Arial" w:hAnsi="Arial" w:cs="Arial"/>
          <w:lang w:val="es-CO" w:eastAsia="es-CO"/>
        </w:rPr>
        <w:t xml:space="preserve"> </w:t>
      </w:r>
      <w:r w:rsidR="008E5733">
        <w:rPr>
          <w:rFonts w:ascii="Arial" w:hAnsi="Arial" w:cs="Arial"/>
          <w:lang w:val="es-CO" w:eastAsia="es-CO"/>
        </w:rPr>
        <w:t>Vigencia</w:t>
      </w:r>
      <w:r w:rsidR="00CF4797">
        <w:rPr>
          <w:rFonts w:ascii="Arial" w:hAnsi="Arial" w:cs="Arial"/>
          <w:lang w:val="es-CO" w:eastAsia="es-CO"/>
        </w:rPr>
        <w:t xml:space="preserve"> </w:t>
      </w:r>
      <w:r w:rsidR="007C287E" w:rsidRPr="006F6EC5">
        <w:rPr>
          <w:rFonts w:ascii="Arial" w:hAnsi="Arial" w:cs="Arial"/>
          <w:lang w:val="es-CO" w:eastAsia="es-CO"/>
        </w:rPr>
        <w:t>20</w:t>
      </w:r>
      <w:r w:rsidR="00CF4797">
        <w:rPr>
          <w:rFonts w:ascii="Arial" w:hAnsi="Arial" w:cs="Arial"/>
          <w:lang w:val="es-CO" w:eastAsia="es-CO"/>
        </w:rPr>
        <w:t>20</w:t>
      </w:r>
      <w:r w:rsidRPr="006F6EC5">
        <w:rPr>
          <w:rFonts w:ascii="Arial" w:hAnsi="Arial" w:cs="Arial"/>
          <w:lang w:val="es-CO" w:eastAsia="es-CO"/>
        </w:rPr>
        <w:t xml:space="preserve">, </w:t>
      </w:r>
      <w:r w:rsidR="00A87090">
        <w:rPr>
          <w:rFonts w:ascii="Arial" w:hAnsi="Arial" w:cs="Arial"/>
          <w:b/>
          <w:lang w:val="es-CO" w:eastAsia="es-CO"/>
        </w:rPr>
        <w:t>para cada uno de los criterios</w:t>
      </w:r>
      <w:r w:rsidRPr="006F6EC5">
        <w:rPr>
          <w:rFonts w:ascii="Arial" w:hAnsi="Arial" w:cs="Arial"/>
          <w:lang w:val="es-CO" w:eastAsia="es-CO"/>
        </w:rPr>
        <w:t xml:space="preserve">, </w:t>
      </w:r>
      <w:r w:rsidRPr="00947508">
        <w:rPr>
          <w:rFonts w:ascii="Arial" w:hAnsi="Arial" w:cs="Arial"/>
          <w:b/>
          <w:lang w:val="es-CO" w:eastAsia="es-CO"/>
        </w:rPr>
        <w:t xml:space="preserve">el resultado </w:t>
      </w:r>
      <w:r w:rsidRPr="008D798D">
        <w:rPr>
          <w:rFonts w:ascii="Arial" w:hAnsi="Arial" w:cs="Arial"/>
          <w:b/>
          <w:lang w:val="es-CO" w:eastAsia="es-CO"/>
        </w:rPr>
        <w:t>es</w:t>
      </w:r>
      <w:r w:rsidR="00947508" w:rsidRPr="008D798D">
        <w:rPr>
          <w:rFonts w:ascii="Arial" w:hAnsi="Arial" w:cs="Arial"/>
          <w:b/>
          <w:lang w:val="es-CO" w:eastAsia="es-CO"/>
        </w:rPr>
        <w:t xml:space="preserve">: </w:t>
      </w:r>
    </w:p>
    <w:p w14:paraId="1AE4E1EA" w14:textId="77777777" w:rsidR="00953EDD" w:rsidRPr="008D798D" w:rsidRDefault="009B1F48" w:rsidP="003334C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s-CO" w:eastAsia="es-CO"/>
        </w:rPr>
      </w:pPr>
      <w:r w:rsidRPr="008D798D">
        <w:rPr>
          <w:rFonts w:ascii="Arial" w:hAnsi="Arial" w:cs="Arial"/>
          <w:b/>
          <w:sz w:val="20"/>
          <w:lang w:val="es-CO" w:eastAsia="es-CO"/>
        </w:rPr>
        <w:t>Tabla</w:t>
      </w:r>
      <w:r w:rsidR="00DE4416" w:rsidRPr="008D798D">
        <w:rPr>
          <w:rFonts w:ascii="Arial" w:hAnsi="Arial" w:cs="Arial"/>
          <w:b/>
          <w:sz w:val="20"/>
          <w:lang w:val="es-CO" w:eastAsia="es-CO"/>
        </w:rPr>
        <w:t xml:space="preserve"> No. </w:t>
      </w:r>
      <w:r w:rsidRPr="008D798D">
        <w:rPr>
          <w:rFonts w:ascii="Arial" w:hAnsi="Arial" w:cs="Arial"/>
          <w:b/>
          <w:sz w:val="20"/>
          <w:lang w:val="es-CO" w:eastAsia="es-CO"/>
        </w:rPr>
        <w:t>1</w:t>
      </w:r>
      <w:r w:rsidR="00261FA9">
        <w:rPr>
          <w:rFonts w:ascii="Arial" w:hAnsi="Arial" w:cs="Arial"/>
          <w:b/>
          <w:sz w:val="20"/>
          <w:lang w:val="es-CO" w:eastAsia="es-CO"/>
        </w:rPr>
        <w:t xml:space="preserve"> resumen evaluación control interno contable</w:t>
      </w:r>
    </w:p>
    <w:tbl>
      <w:tblPr>
        <w:tblW w:w="493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3208"/>
        <w:gridCol w:w="1729"/>
        <w:gridCol w:w="1682"/>
      </w:tblGrid>
      <w:tr w:rsidR="00D951DC" w:rsidRPr="008D798D" w14:paraId="2C458B8F" w14:textId="77777777" w:rsidTr="00261FA9">
        <w:trPr>
          <w:trHeight w:val="842"/>
          <w:tblHeader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BB8A8C" w14:textId="77777777" w:rsidR="00D951DC" w:rsidRPr="008D798D" w:rsidRDefault="00D951DC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EVALUACIÓN DEL CONTROL INTERNO CONTABLE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BF1413" w14:textId="77777777" w:rsidR="00D951DC" w:rsidRPr="008D798D" w:rsidRDefault="00D951DC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VALORACIÓN CUANTITATIVA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71D000" w14:textId="77777777" w:rsidR="00D951DC" w:rsidRPr="008D798D" w:rsidRDefault="00D951DC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CALIFICACIÓN CUALITATIVA</w:t>
            </w:r>
          </w:p>
        </w:tc>
      </w:tr>
      <w:tr w:rsidR="00D951DC" w:rsidRPr="0072385F" w14:paraId="27AFE347" w14:textId="77777777" w:rsidTr="00A76B09">
        <w:trPr>
          <w:trHeight w:val="401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07B496" w14:textId="77777777" w:rsidR="00D951DC" w:rsidRPr="008D798D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MARCO DE REFERENCIA DEL PROCESO CONTABLE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A7847B" w14:textId="77777777" w:rsidR="00D951DC" w:rsidRPr="008D798D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4.80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92400D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2A5754DF" w14:textId="77777777" w:rsidTr="00A76B09">
        <w:trPr>
          <w:trHeight w:val="552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93F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ELEMENTOS DEL MARCO NORMATIVO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02E" w14:textId="77777777" w:rsidR="00D951DC" w:rsidRPr="0072385F" w:rsidRDefault="00261FA9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POLÍTICAS</w:t>
            </w:r>
            <w:r w:rsidR="00D951DC"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CONTABLES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AB1" w14:textId="77777777" w:rsidR="002A5CB2" w:rsidRPr="00947508" w:rsidRDefault="002A5CB2" w:rsidP="002A5C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4.93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3F1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71F6ECFB" w14:textId="77777777" w:rsidTr="00A76B09">
        <w:trPr>
          <w:trHeight w:val="419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5FAD46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ETAPAS DEL PROCESO CONTABLE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875476" w14:textId="77777777" w:rsidR="008D798D" w:rsidRPr="0072385F" w:rsidRDefault="008D798D" w:rsidP="008D7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4.78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BFFA6D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4F51494A" w14:textId="77777777" w:rsidTr="00A76B09">
        <w:trPr>
          <w:trHeight w:val="414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AAB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RECONOCIMIENTO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1BC" w14:textId="77777777" w:rsidR="00D951DC" w:rsidRPr="0072385F" w:rsidRDefault="008D798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4.95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B4D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013CD2A7" w14:textId="77777777" w:rsidTr="00A76B09">
        <w:trPr>
          <w:trHeight w:val="279"/>
          <w:jc w:val="center"/>
        </w:trPr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082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SUB ETAPA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942" w14:textId="77777777" w:rsidR="00D951DC" w:rsidRPr="0072385F" w:rsidRDefault="00261FA9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IDENTIFICACIÓN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089" w14:textId="77777777" w:rsidR="00D951DC" w:rsidRPr="0072385F" w:rsidRDefault="002A5CB2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4.77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D28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1D0C8488" w14:textId="77777777" w:rsidTr="00A76B09">
        <w:trPr>
          <w:trHeight w:val="254"/>
          <w:jc w:val="center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1036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C4C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CLASIFICACIÓN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2D3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51E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6780AF4B" w14:textId="77777777" w:rsidTr="00A76B09">
        <w:trPr>
          <w:trHeight w:val="287"/>
          <w:jc w:val="center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2249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BEE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REGISTRO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941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CC1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1A5FA032" w14:textId="77777777" w:rsidTr="00A76B09">
        <w:trPr>
          <w:trHeight w:val="262"/>
          <w:jc w:val="center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BF84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AAD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MEDICIÓN INICIAL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2E1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806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7C7BE175" w14:textId="77777777" w:rsidTr="00A76B09">
        <w:trPr>
          <w:trHeight w:val="281"/>
          <w:jc w:val="center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29D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092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MEDICIÓN POSTERIOR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B37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670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00155E6B" w14:textId="77777777" w:rsidTr="00A76B09">
        <w:trPr>
          <w:trHeight w:val="557"/>
          <w:jc w:val="center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3F90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D1C" w14:textId="77777777" w:rsidR="00D951DC" w:rsidRPr="0072385F" w:rsidRDefault="00D951DC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REVELACIÓN - PRESENTACIÓN DE ESTADOS FINANCIEROS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DD4" w14:textId="77777777" w:rsidR="008D798D" w:rsidRPr="0072385F" w:rsidRDefault="00D951DC" w:rsidP="008D79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4.</w:t>
            </w:r>
            <w:r w:rsidR="008D798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966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71F28D38" w14:textId="77777777" w:rsidTr="00A76B09">
        <w:trPr>
          <w:trHeight w:val="406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D3D29C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RENDICIÓN DE CUENTAS A PARTES INTERESADAS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439D2A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F12A5A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75C9622E" w14:textId="77777777" w:rsidTr="00A76B09">
        <w:trPr>
          <w:trHeight w:val="426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4F9" w14:textId="77777777" w:rsidR="00D951DC" w:rsidRPr="00BD5F64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RENDICIÓN DE CUENTAS A PARTES INTERESADAS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006" w14:textId="77777777" w:rsidR="00D951DC" w:rsidRPr="00947508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9475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88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67A1A09D" w14:textId="77777777" w:rsidTr="00A76B09">
        <w:trPr>
          <w:trHeight w:val="405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C86D61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GESTI</w:t>
            </w:r>
            <w:r w:rsidR="00261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Ó</w:t>
            </w: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 DEL RIESGO CONTABLE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190705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</w:t>
            </w: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.</w:t>
            </w:r>
            <w:r w:rsidR="008D79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2F0A0E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D951DC" w:rsidRPr="0072385F" w14:paraId="144D7CC1" w14:textId="77777777" w:rsidTr="00A76B09">
        <w:trPr>
          <w:trHeight w:val="36"/>
          <w:jc w:val="center"/>
        </w:trPr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598" w14:textId="77777777" w:rsidR="00D951DC" w:rsidRPr="00BD5F64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GESTI</w:t>
            </w:r>
            <w:r w:rsidR="00261F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Ó</w:t>
            </w: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N DEL RIESGO CONTABLE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AE6" w14:textId="77777777" w:rsidR="00D951DC" w:rsidRPr="00947508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4</w:t>
            </w:r>
            <w:r w:rsidRPr="009475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.</w:t>
            </w:r>
            <w:r w:rsidR="008D79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53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BDC" w14:textId="77777777" w:rsidR="00D951DC" w:rsidRPr="0072385F" w:rsidRDefault="00D951DC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</w:tbl>
    <w:p w14:paraId="7BB7A5E4" w14:textId="77777777" w:rsidR="003D4836" w:rsidRDefault="006F6EC5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 xml:space="preserve">eporte evaluación </w:t>
      </w:r>
      <w:r w:rsidRPr="00575E08">
        <w:rPr>
          <w:rFonts w:ascii="Arial" w:hAnsi="Arial" w:cs="Arial"/>
          <w:i/>
          <w:sz w:val="16"/>
          <w:szCs w:val="16"/>
          <w:lang w:val="es-CO" w:eastAsia="es-CO"/>
        </w:rPr>
        <w:t>Control interno contable 20</w:t>
      </w:r>
      <w:r w:rsidR="00575E08" w:rsidRPr="00575E08">
        <w:rPr>
          <w:rFonts w:ascii="Arial" w:hAnsi="Arial" w:cs="Arial"/>
          <w:i/>
          <w:sz w:val="16"/>
          <w:szCs w:val="16"/>
          <w:lang w:val="es-CO" w:eastAsia="es-CO"/>
        </w:rPr>
        <w:t>20</w:t>
      </w:r>
      <w:r w:rsidRPr="00575E08">
        <w:rPr>
          <w:rFonts w:ascii="Arial" w:hAnsi="Arial" w:cs="Arial"/>
          <w:i/>
          <w:sz w:val="16"/>
          <w:szCs w:val="16"/>
          <w:lang w:val="es-CO" w:eastAsia="es-CO"/>
        </w:rPr>
        <w:t>.</w:t>
      </w:r>
    </w:p>
    <w:p w14:paraId="4F641B5B" w14:textId="77777777" w:rsidR="004A6C78" w:rsidRDefault="004A6C78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4E7A51E4" w14:textId="77777777" w:rsidR="004B14F3" w:rsidRDefault="004B14F3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45A47DE1" w14:textId="77777777" w:rsidR="00A15F8F" w:rsidRDefault="004B14F3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319B3">
        <w:rPr>
          <w:rFonts w:ascii="Arial" w:hAnsi="Arial" w:cs="Arial"/>
          <w:b/>
          <w:i/>
          <w:color w:val="000000"/>
          <w:lang w:val="es-CO" w:eastAsia="es-CO"/>
        </w:rPr>
        <w:t xml:space="preserve">Ver: </w:t>
      </w:r>
      <w:r w:rsidRPr="00575E08">
        <w:rPr>
          <w:rFonts w:ascii="Arial" w:hAnsi="Arial" w:cs="Arial"/>
          <w:b/>
          <w:i/>
          <w:color w:val="000000"/>
          <w:sz w:val="20"/>
          <w:szCs w:val="20"/>
          <w:lang w:val="es-CO" w:eastAsia="es-CO"/>
        </w:rPr>
        <w:t>Anexo 1.</w:t>
      </w:r>
      <w:r w:rsidRPr="005319B3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 xml:space="preserve"> </w:t>
      </w:r>
      <w:r w:rsidR="00515A09" w:rsidRPr="00515A09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 xml:space="preserve">Formulario_Evaluación_CIC_Resol_193 de 2016_Vigencia_2020_OCI </w:t>
      </w:r>
      <w:r w:rsidR="00A15F8F" w:rsidRPr="005319B3">
        <w:rPr>
          <w:rFonts w:ascii="Arial" w:hAnsi="Arial" w:cs="Arial"/>
          <w:lang w:val="es-CO" w:eastAsia="es-CO"/>
        </w:rPr>
        <w:t>con la evaluación cuantitativa y cualitativa realizada y trasmitida a través del Chip de la CGN.</w:t>
      </w:r>
      <w:r w:rsidR="00A15F8F">
        <w:rPr>
          <w:rFonts w:ascii="Arial" w:hAnsi="Arial" w:cs="Arial"/>
          <w:lang w:val="es-CO" w:eastAsia="es-CO"/>
        </w:rPr>
        <w:t xml:space="preserve"> </w:t>
      </w:r>
    </w:p>
    <w:p w14:paraId="527E09B6" w14:textId="77777777" w:rsidR="004B14F3" w:rsidRDefault="004B14F3" w:rsidP="00261F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48477750" w14:textId="77777777" w:rsidR="007D71CC" w:rsidRDefault="0091314C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6B72D4">
        <w:rPr>
          <w:rFonts w:ascii="Arial" w:hAnsi="Arial" w:cs="Arial"/>
          <w:lang w:val="es-CO" w:eastAsia="es-CO"/>
        </w:rPr>
        <w:t xml:space="preserve">El promedio aritmético de estas calificaciones arrojó un </w:t>
      </w:r>
      <w:r w:rsidRPr="006B72D4">
        <w:rPr>
          <w:rFonts w:ascii="Arial" w:hAnsi="Arial" w:cs="Arial"/>
          <w:b/>
          <w:lang w:val="es-CO" w:eastAsia="es-CO"/>
        </w:rPr>
        <w:t>resultado final consolidado de</w:t>
      </w:r>
      <w:r w:rsidRPr="006B72D4">
        <w:rPr>
          <w:rFonts w:ascii="Arial" w:hAnsi="Arial" w:cs="Arial"/>
          <w:lang w:val="es-CO" w:eastAsia="es-CO"/>
        </w:rPr>
        <w:t xml:space="preserve"> </w:t>
      </w:r>
      <w:r w:rsidR="007C287E" w:rsidRPr="006B72D4">
        <w:rPr>
          <w:rFonts w:ascii="Arial" w:hAnsi="Arial" w:cs="Arial"/>
          <w:b/>
          <w:lang w:val="es-CO" w:eastAsia="es-CO"/>
        </w:rPr>
        <w:t>4.</w:t>
      </w:r>
      <w:r w:rsidR="00D951DC">
        <w:rPr>
          <w:rFonts w:ascii="Arial" w:hAnsi="Arial" w:cs="Arial"/>
          <w:b/>
          <w:lang w:val="es-CO" w:eastAsia="es-CO"/>
        </w:rPr>
        <w:t>80</w:t>
      </w:r>
      <w:r w:rsidRPr="006B72D4">
        <w:rPr>
          <w:rFonts w:ascii="Arial" w:hAnsi="Arial" w:cs="Arial"/>
          <w:lang w:val="es-CO" w:eastAsia="es-CO"/>
        </w:rPr>
        <w:t xml:space="preserve"> ubic</w:t>
      </w:r>
      <w:r w:rsidR="00AA07E4">
        <w:rPr>
          <w:rFonts w:ascii="Arial" w:hAnsi="Arial" w:cs="Arial"/>
          <w:lang w:val="es-CO" w:eastAsia="es-CO"/>
        </w:rPr>
        <w:t xml:space="preserve">ando el </w:t>
      </w:r>
      <w:r w:rsidR="00AA07E4" w:rsidRPr="007D71CC">
        <w:rPr>
          <w:rFonts w:ascii="Arial" w:hAnsi="Arial" w:cs="Arial"/>
          <w:b/>
          <w:lang w:val="es-CO" w:eastAsia="es-CO"/>
        </w:rPr>
        <w:t xml:space="preserve">Control Interno Contable del ICBF </w:t>
      </w:r>
      <w:r w:rsidRPr="007D71CC">
        <w:rPr>
          <w:rFonts w:ascii="Arial" w:hAnsi="Arial" w:cs="Arial"/>
          <w:b/>
          <w:lang w:val="es-CO" w:eastAsia="es-CO"/>
        </w:rPr>
        <w:t>en el rango</w:t>
      </w:r>
      <w:r w:rsidRPr="006B72D4">
        <w:rPr>
          <w:rFonts w:ascii="Arial" w:hAnsi="Arial" w:cs="Arial"/>
          <w:lang w:val="es-CO" w:eastAsia="es-CO"/>
        </w:rPr>
        <w:t xml:space="preserve"> </w:t>
      </w:r>
      <w:r w:rsidR="005C2FD4" w:rsidRPr="006B72D4">
        <w:rPr>
          <w:rFonts w:ascii="Arial" w:hAnsi="Arial" w:cs="Arial"/>
          <w:b/>
          <w:i/>
          <w:lang w:val="es-CO" w:eastAsia="es-CO"/>
        </w:rPr>
        <w:t>Eficiente</w:t>
      </w:r>
      <w:r w:rsidR="005C2FD4" w:rsidRPr="006B72D4">
        <w:rPr>
          <w:rFonts w:ascii="Arial" w:hAnsi="Arial" w:cs="Arial"/>
          <w:b/>
          <w:i/>
          <w:color w:val="000000" w:themeColor="text1"/>
          <w:lang w:val="es-CO" w:eastAsia="es-CO"/>
        </w:rPr>
        <w:t>:</w:t>
      </w:r>
      <w:r w:rsidR="000C75BC">
        <w:rPr>
          <w:rFonts w:ascii="Arial" w:hAnsi="Arial" w:cs="Arial"/>
          <w:b/>
          <w:i/>
          <w:color w:val="000000" w:themeColor="text1"/>
          <w:lang w:val="es-CO" w:eastAsia="es-CO"/>
        </w:rPr>
        <w:t xml:space="preserve"> </w:t>
      </w:r>
      <w:r w:rsidRPr="007C287E">
        <w:rPr>
          <w:rFonts w:ascii="Arial" w:hAnsi="Arial" w:cs="Arial"/>
          <w:color w:val="000000" w:themeColor="text1"/>
          <w:lang w:val="es-CO" w:eastAsia="es-CO"/>
        </w:rPr>
        <w:t xml:space="preserve"> </w:t>
      </w:r>
    </w:p>
    <w:p w14:paraId="78B91CFD" w14:textId="77777777" w:rsidR="00DE4416" w:rsidRPr="00DE4416" w:rsidRDefault="00DE4416" w:rsidP="00C63331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  <w:sz w:val="20"/>
          <w:lang w:val="es-CO" w:eastAsia="es-CO"/>
        </w:rPr>
      </w:pPr>
      <w:bookmarkStart w:id="7" w:name="_Hlk66182842"/>
      <w:r w:rsidRPr="00DE4416">
        <w:rPr>
          <w:rFonts w:ascii="Arial" w:hAnsi="Arial" w:cs="Arial"/>
          <w:b/>
          <w:sz w:val="20"/>
          <w:lang w:val="es-CO" w:eastAsia="es-CO"/>
        </w:rPr>
        <w:t>Gr</w:t>
      </w:r>
      <w:r w:rsidR="001A5709">
        <w:rPr>
          <w:rFonts w:ascii="Arial" w:hAnsi="Arial" w:cs="Arial"/>
          <w:b/>
          <w:sz w:val="20"/>
          <w:lang w:val="es-CO" w:eastAsia="es-CO"/>
        </w:rPr>
        <w:t>a</w:t>
      </w:r>
      <w:r w:rsidRPr="00DE4416">
        <w:rPr>
          <w:rFonts w:ascii="Arial" w:hAnsi="Arial" w:cs="Arial"/>
          <w:b/>
          <w:sz w:val="20"/>
          <w:lang w:val="es-CO" w:eastAsia="es-CO"/>
        </w:rPr>
        <w:t xml:space="preserve">fica No. </w:t>
      </w:r>
      <w:r w:rsidR="00692466">
        <w:rPr>
          <w:rFonts w:ascii="Arial" w:hAnsi="Arial" w:cs="Arial"/>
          <w:b/>
          <w:sz w:val="20"/>
          <w:lang w:val="es-CO" w:eastAsia="es-CO"/>
        </w:rPr>
        <w:t>1</w:t>
      </w:r>
    </w:p>
    <w:bookmarkEnd w:id="7"/>
    <w:p w14:paraId="709A0972" w14:textId="77777777" w:rsidR="0091314C" w:rsidRDefault="00D951DC" w:rsidP="00DE441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  <w:lang w:val="es-CO" w:eastAsia="es-CO"/>
        </w:rPr>
      </w:pPr>
      <w:r>
        <w:rPr>
          <w:noProof/>
        </w:rPr>
        <w:drawing>
          <wp:inline distT="0" distB="0" distL="0" distR="0" wp14:anchorId="7378F63E" wp14:editId="6D7D185B">
            <wp:extent cx="3013544" cy="2425148"/>
            <wp:effectExtent l="0" t="0" r="15875" b="1333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EA5D6D5-6AB2-48E1-9F9C-039506DD3D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695E36" w14:textId="77777777" w:rsidR="006F6EC5" w:rsidRDefault="006F6EC5" w:rsidP="000C6C6B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 xml:space="preserve">eporte </w:t>
      </w:r>
      <w:r w:rsidR="00D951DC">
        <w:rPr>
          <w:rFonts w:ascii="Arial" w:hAnsi="Arial" w:cs="Arial"/>
          <w:i/>
          <w:sz w:val="16"/>
          <w:szCs w:val="16"/>
          <w:lang w:val="es-CO" w:eastAsia="es-CO"/>
        </w:rPr>
        <w:t xml:space="preserve">seguimiento 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evaluación Control interno contable 20</w:t>
      </w:r>
      <w:r w:rsidR="00D951DC">
        <w:rPr>
          <w:rFonts w:ascii="Arial" w:hAnsi="Arial" w:cs="Arial"/>
          <w:i/>
          <w:sz w:val="16"/>
          <w:szCs w:val="16"/>
          <w:lang w:val="es-CO" w:eastAsia="es-CO"/>
        </w:rPr>
        <w:t>20</w:t>
      </w:r>
    </w:p>
    <w:p w14:paraId="2F8C138D" w14:textId="77777777" w:rsidR="0091314C" w:rsidRDefault="0091314C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B743C">
        <w:rPr>
          <w:rFonts w:ascii="Arial" w:hAnsi="Arial" w:cs="Arial"/>
          <w:lang w:val="es-CO" w:eastAsia="es-CO"/>
        </w:rPr>
        <w:lastRenderedPageBreak/>
        <w:t xml:space="preserve">A </w:t>
      </w:r>
      <w:r w:rsidR="00E00336" w:rsidRPr="004B743C">
        <w:rPr>
          <w:rFonts w:ascii="Arial" w:hAnsi="Arial" w:cs="Arial"/>
          <w:lang w:val="es-CO" w:eastAsia="es-CO"/>
        </w:rPr>
        <w:t>continuación,</w:t>
      </w:r>
      <w:r w:rsidRPr="004B743C">
        <w:rPr>
          <w:rFonts w:ascii="Arial" w:hAnsi="Arial" w:cs="Arial"/>
          <w:lang w:val="es-CO" w:eastAsia="es-CO"/>
        </w:rPr>
        <w:t xml:space="preserve"> se presentan los aspectos más significativos</w:t>
      </w:r>
      <w:r w:rsidR="00CD730A" w:rsidRPr="004B743C">
        <w:rPr>
          <w:rFonts w:ascii="Arial" w:hAnsi="Arial" w:cs="Arial"/>
          <w:lang w:val="es-CO" w:eastAsia="es-CO"/>
        </w:rPr>
        <w:t>:</w:t>
      </w:r>
    </w:p>
    <w:p w14:paraId="2BD6E450" w14:textId="77777777" w:rsidR="00261FA9" w:rsidRDefault="00261FA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6E018D9A" w14:textId="77777777" w:rsidR="00EF08F3" w:rsidRDefault="004D03A4" w:rsidP="00261FA9">
      <w:pPr>
        <w:pStyle w:val="Ttulo2"/>
        <w:numPr>
          <w:ilvl w:val="1"/>
          <w:numId w:val="9"/>
        </w:numPr>
        <w:spacing w:before="0" w:after="0"/>
        <w:ind w:left="0" w:firstLine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8" w:name="_Toc66790669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MARCO DE REFERENCIA PROCESO CONTABLE</w:t>
      </w:r>
      <w:bookmarkEnd w:id="8"/>
    </w:p>
    <w:p w14:paraId="4CA24428" w14:textId="77777777" w:rsidR="001A5709" w:rsidRDefault="001A570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lang w:eastAsia="es-CO"/>
        </w:rPr>
      </w:pPr>
    </w:p>
    <w:p w14:paraId="081D8C13" w14:textId="3488E8E7" w:rsidR="004B743C" w:rsidRDefault="004B743C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 w:rsidRPr="00846AAB">
        <w:rPr>
          <w:rFonts w:ascii="Arial" w:hAnsi="Arial" w:cs="Arial"/>
          <w:lang w:eastAsia="es-CO"/>
        </w:rPr>
        <w:t>Se compone por el marco</w:t>
      </w:r>
      <w:r w:rsidR="00B30162" w:rsidRPr="00846AAB">
        <w:rPr>
          <w:rFonts w:ascii="Arial" w:hAnsi="Arial" w:cs="Arial"/>
          <w:lang w:eastAsia="es-CO"/>
        </w:rPr>
        <w:t xml:space="preserve"> normativo del proceso contable</w:t>
      </w:r>
      <w:r w:rsidR="00846AAB">
        <w:rPr>
          <w:rFonts w:ascii="Arial" w:hAnsi="Arial" w:cs="Arial"/>
          <w:lang w:eastAsia="es-CO"/>
        </w:rPr>
        <w:t xml:space="preserve"> y las</w:t>
      </w:r>
      <w:r w:rsidR="00B30162">
        <w:rPr>
          <w:rFonts w:ascii="Arial" w:hAnsi="Arial" w:cs="Arial"/>
          <w:lang w:eastAsia="es-CO"/>
        </w:rPr>
        <w:t xml:space="preserve"> políticas </w:t>
      </w:r>
      <w:r w:rsidR="00846AAB">
        <w:rPr>
          <w:rFonts w:ascii="Arial" w:hAnsi="Arial" w:cs="Arial"/>
          <w:lang w:eastAsia="es-CO"/>
        </w:rPr>
        <w:t xml:space="preserve">de operación que </w:t>
      </w:r>
      <w:r w:rsidR="00B30162">
        <w:rPr>
          <w:rFonts w:ascii="Arial" w:hAnsi="Arial" w:cs="Arial"/>
          <w:lang w:eastAsia="es-CO"/>
        </w:rPr>
        <w:t xml:space="preserve">direccionan la preparación y presentación de los estados financieros </w:t>
      </w:r>
      <w:r w:rsidR="00B30162" w:rsidRPr="00037C1F">
        <w:rPr>
          <w:rFonts w:ascii="Arial" w:hAnsi="Arial" w:cs="Arial"/>
          <w:lang w:val="es-CO" w:eastAsia="es-CO"/>
        </w:rPr>
        <w:t xml:space="preserve">y </w:t>
      </w:r>
      <w:r w:rsidRPr="00037C1F">
        <w:rPr>
          <w:rFonts w:ascii="Arial" w:hAnsi="Arial" w:cs="Arial"/>
          <w:lang w:val="es-CO" w:eastAsia="es-CO"/>
        </w:rPr>
        <w:t>políticas de operaci</w:t>
      </w:r>
      <w:r w:rsidR="00B30162" w:rsidRPr="00037C1F">
        <w:rPr>
          <w:rFonts w:ascii="Arial" w:hAnsi="Arial" w:cs="Arial"/>
          <w:lang w:val="es-CO" w:eastAsia="es-CO"/>
        </w:rPr>
        <w:t>ón que</w:t>
      </w:r>
      <w:r w:rsidR="00B30162">
        <w:rPr>
          <w:rFonts w:ascii="Arial" w:hAnsi="Arial" w:cs="Arial"/>
          <w:lang w:eastAsia="es-CO"/>
        </w:rPr>
        <w:t xml:space="preserve"> facilitan la ejecución del proceso.</w:t>
      </w:r>
    </w:p>
    <w:p w14:paraId="70936AB3" w14:textId="77777777" w:rsidR="00DB1D39" w:rsidRDefault="00DB1D3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62713EE6" w14:textId="77777777" w:rsidR="002467D7" w:rsidRPr="004B743C" w:rsidRDefault="00BD295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</w:t>
      </w:r>
      <w:r w:rsidR="00476E96">
        <w:rPr>
          <w:rFonts w:ascii="Arial" w:hAnsi="Arial" w:cs="Arial"/>
          <w:lang w:eastAsia="es-CO"/>
        </w:rPr>
        <w:t xml:space="preserve">n la Entidad </w:t>
      </w:r>
      <w:r w:rsidR="00991048">
        <w:rPr>
          <w:rFonts w:ascii="Arial" w:hAnsi="Arial" w:cs="Arial"/>
          <w:lang w:eastAsia="es-CO"/>
        </w:rPr>
        <w:t>l</w:t>
      </w:r>
      <w:r w:rsidR="002467D7" w:rsidRPr="004B743C">
        <w:rPr>
          <w:rFonts w:ascii="Arial" w:hAnsi="Arial" w:cs="Arial"/>
          <w:lang w:eastAsia="es-CO"/>
        </w:rPr>
        <w:t xml:space="preserve">as políticas contables se encuentran definidas en el </w:t>
      </w:r>
      <w:r w:rsidR="002467D7" w:rsidRPr="00E15EA6">
        <w:rPr>
          <w:rFonts w:ascii="Arial" w:hAnsi="Arial" w:cs="Arial"/>
          <w:b/>
          <w:bCs/>
          <w:i/>
          <w:sz w:val="20"/>
          <w:lang w:eastAsia="es-CO"/>
        </w:rPr>
        <w:t>MANUAL DE POLÍTICAS CONTABLES DEL ICBF BAJO EL MARCO NORMATIVO PARA ENTIDADES DE GOBIERNO MO3.P31.GF V2 del 10/08/2018</w:t>
      </w:r>
      <w:r w:rsidR="0017394F">
        <w:rPr>
          <w:rFonts w:ascii="Arial" w:hAnsi="Arial" w:cs="Arial"/>
          <w:i/>
          <w:sz w:val="20"/>
          <w:lang w:eastAsia="es-CO"/>
        </w:rPr>
        <w:t xml:space="preserve">, </w:t>
      </w:r>
      <w:r w:rsidR="0017394F" w:rsidRPr="00711456">
        <w:rPr>
          <w:rFonts w:ascii="Arial" w:hAnsi="Arial" w:cs="Arial"/>
          <w:bCs/>
          <w:lang w:eastAsia="es-CO"/>
        </w:rPr>
        <w:t>p</w:t>
      </w:r>
      <w:r w:rsidR="002467D7" w:rsidRPr="00711456">
        <w:rPr>
          <w:rFonts w:ascii="Arial" w:hAnsi="Arial" w:cs="Arial"/>
          <w:lang w:eastAsia="es-CO"/>
        </w:rPr>
        <w:t>ublicado en la intranet del</w:t>
      </w:r>
      <w:r w:rsidR="00BF54C7">
        <w:rPr>
          <w:rFonts w:ascii="Arial" w:hAnsi="Arial" w:cs="Arial"/>
          <w:lang w:eastAsia="es-CO"/>
        </w:rPr>
        <w:t xml:space="preserve"> proceso </w:t>
      </w:r>
      <w:r w:rsidR="002467D7" w:rsidRPr="00434898">
        <w:rPr>
          <w:rFonts w:ascii="Arial" w:hAnsi="Arial" w:cs="Arial"/>
          <w:i/>
          <w:lang w:eastAsia="es-CO"/>
        </w:rPr>
        <w:t>Gestión Financiera</w:t>
      </w:r>
      <w:r w:rsidR="00476E96" w:rsidRPr="00711456">
        <w:rPr>
          <w:rFonts w:ascii="Arial" w:hAnsi="Arial" w:cs="Arial"/>
          <w:lang w:eastAsia="es-CO"/>
        </w:rPr>
        <w:t xml:space="preserve"> </w:t>
      </w:r>
      <w:r w:rsidR="00476E96" w:rsidRPr="00711456">
        <w:rPr>
          <w:rFonts w:ascii="Arial" w:hAnsi="Arial" w:cs="Arial"/>
          <w:lang w:val="es-CO" w:eastAsia="es-CO"/>
        </w:rPr>
        <w:t>(MO3.P31.GF V2 del 10 de agosto de 2018)</w:t>
      </w:r>
      <w:r w:rsidR="00991048" w:rsidRPr="00711456">
        <w:rPr>
          <w:rFonts w:ascii="Arial" w:hAnsi="Arial" w:cs="Arial"/>
          <w:lang w:eastAsia="es-CO"/>
        </w:rPr>
        <w:t>.</w:t>
      </w:r>
      <w:r w:rsidR="002467D7" w:rsidRPr="004B743C">
        <w:rPr>
          <w:rFonts w:ascii="Arial" w:hAnsi="Arial" w:cs="Arial"/>
          <w:lang w:eastAsia="es-CO"/>
        </w:rPr>
        <w:t xml:space="preserve"> </w:t>
      </w:r>
    </w:p>
    <w:p w14:paraId="2D86F0B9" w14:textId="77777777" w:rsidR="00A76B09" w:rsidRPr="006024DE" w:rsidRDefault="00A76B0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  <w:lang w:eastAsia="es-CO"/>
        </w:rPr>
      </w:pPr>
    </w:p>
    <w:p w14:paraId="2CCDA3A7" w14:textId="77777777" w:rsidR="00BD2959" w:rsidRPr="00434898" w:rsidRDefault="00097E38" w:rsidP="00261FA9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s-CO" w:eastAsia="es-CO"/>
        </w:rPr>
      </w:pPr>
      <w:r w:rsidRPr="00711456">
        <w:rPr>
          <w:rFonts w:ascii="Arial" w:hAnsi="Arial" w:cs="Arial"/>
          <w:lang w:val="es-CO" w:eastAsia="es-CO"/>
        </w:rPr>
        <w:t xml:space="preserve">Entre las políticas de operación se actualizaron </w:t>
      </w:r>
      <w:r w:rsidR="00711456">
        <w:rPr>
          <w:rFonts w:ascii="Arial" w:hAnsi="Arial" w:cs="Arial"/>
          <w:lang w:val="es-CO" w:eastAsia="es-CO"/>
        </w:rPr>
        <w:t>10</w:t>
      </w:r>
      <w:r w:rsidRPr="00711456">
        <w:rPr>
          <w:rFonts w:ascii="Arial" w:hAnsi="Arial" w:cs="Arial"/>
          <w:lang w:val="es-CO" w:eastAsia="es-CO"/>
        </w:rPr>
        <w:t xml:space="preserve"> procedimientos</w:t>
      </w:r>
      <w:r w:rsidR="009D417F" w:rsidRPr="00711456">
        <w:rPr>
          <w:rFonts w:ascii="Arial" w:hAnsi="Arial" w:cs="Arial"/>
          <w:i/>
          <w:iCs/>
          <w:lang w:val="es-CO" w:eastAsia="es-CO"/>
        </w:rPr>
        <w:t xml:space="preserve">: 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Procedimiento Reintegros de Recursos Propios y Recursos Nación ICBF v3</w:t>
      </w:r>
      <w:r w:rsidR="0064738B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;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Formulación y Registro del Programa Anual de Caja (PAC) Recursos Propios y Nación v4</w:t>
      </w:r>
      <w:r w:rsidR="00441BD0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;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Revisión de Documentos de Cobro Generación de Pagos y Traslado de Efectivo v6</w:t>
      </w:r>
      <w:r w:rsidR="00441BD0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;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Devolución de Mayores Valores Imputados y Consignaciones Erradas</w:t>
      </w:r>
      <w:r w:rsidR="0049057C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v2; </w:t>
      </w:r>
      <w:r w:rsidR="0049057C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>Procedimiento Comité Técnico de Sostenibilidad  Sistema Contable V3; Procedimiento Seguimiento a la Ejecución Presupuestal Modulo ASP v2</w:t>
      </w:r>
      <w:r w:rsidR="00441BD0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;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Administración de Cuentas Bancarias v5</w:t>
      </w:r>
      <w:r w:rsidR="00441BD0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;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</w:t>
      </w:r>
      <w:r w:rsidR="00281BC2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>Procedimiento Reconocimiento de Recursos Nación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v3</w:t>
      </w:r>
      <w:r w:rsidR="0049057C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49057C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 xml:space="preserve">Procedimiento </w:t>
      </w:r>
      <w:r w:rsidR="00E15EA6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>Boletín</w:t>
      </w:r>
      <w:r w:rsidR="0049057C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 xml:space="preserve"> Deudores Morosos del Estado - </w:t>
      </w:r>
      <w:proofErr w:type="spellStart"/>
      <w:r w:rsidR="0049057C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>BDME</w:t>
      </w:r>
      <w:proofErr w:type="spellEnd"/>
      <w:r w:rsidR="0049057C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v2</w:t>
      </w:r>
      <w:r w:rsidR="00815A46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y</w:t>
      </w:r>
      <w:r w:rsidR="0049057C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</w:t>
      </w:r>
      <w:r w:rsidR="0049057C" w:rsidRPr="00434898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>Procedimiento Recursos Entregados en Administración v1</w:t>
      </w:r>
      <w:r w:rsidR="00BD2959" w:rsidRPr="00434898">
        <w:rPr>
          <w:rFonts w:ascii="Arial" w:hAnsi="Arial" w:cs="Arial"/>
          <w:i/>
          <w:iCs/>
          <w:sz w:val="20"/>
          <w:szCs w:val="20"/>
          <w:lang w:val="es-CO" w:eastAsia="es-CO"/>
        </w:rPr>
        <w:t>.</w:t>
      </w:r>
    </w:p>
    <w:p w14:paraId="382F06D9" w14:textId="77777777" w:rsidR="006E2362" w:rsidRDefault="006E2362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val="es-CO" w:eastAsia="es-CO"/>
        </w:rPr>
      </w:pPr>
    </w:p>
    <w:p w14:paraId="31173D1C" w14:textId="1FB9DBB9" w:rsidR="00E15EA6" w:rsidRDefault="00E15EA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6E2362">
        <w:rPr>
          <w:rFonts w:ascii="Arial" w:hAnsi="Arial" w:cs="Arial"/>
          <w:i/>
          <w:iCs/>
          <w:sz w:val="20"/>
          <w:szCs w:val="20"/>
          <w:lang w:val="es-CO" w:eastAsia="es-CO"/>
        </w:rPr>
        <w:t>El MANUAL DE POLÍTICAS CONTABLES DEL ICBF BAJO EL MARCO NORMATIVO PARA ENTIDADES DE GOBIERNO</w:t>
      </w:r>
      <w:r w:rsidRPr="006E2362">
        <w:rPr>
          <w:rFonts w:ascii="Arial" w:hAnsi="Arial" w:cs="Arial"/>
          <w:lang w:val="es-CO" w:eastAsia="es-CO"/>
        </w:rPr>
        <w:t xml:space="preserve"> contribuye </w:t>
      </w:r>
      <w:r w:rsidR="009F41AB" w:rsidRPr="006E2362">
        <w:rPr>
          <w:rFonts w:ascii="Arial" w:hAnsi="Arial" w:cs="Arial"/>
          <w:lang w:val="es-CO" w:eastAsia="es-CO"/>
        </w:rPr>
        <w:t>a</w:t>
      </w:r>
      <w:r w:rsidRPr="006E2362">
        <w:rPr>
          <w:rFonts w:ascii="Arial" w:hAnsi="Arial" w:cs="Arial"/>
          <w:lang w:val="es-CO" w:eastAsia="es-CO"/>
        </w:rPr>
        <w:t>l aseguramiento en la calidad, utilidad y oportunidad de la información financiera.</w:t>
      </w:r>
    </w:p>
    <w:p w14:paraId="639025E0" w14:textId="77777777" w:rsidR="00366477" w:rsidRPr="00E15EA6" w:rsidRDefault="00366477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2C09DFE3" w14:textId="77777777" w:rsidR="00101BA7" w:rsidRDefault="009F41AB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Adicionalmente, d</w:t>
      </w:r>
      <w:r w:rsidR="00101BA7" w:rsidRPr="004B743C">
        <w:rPr>
          <w:rFonts w:ascii="Arial" w:hAnsi="Arial" w:cs="Arial"/>
          <w:lang w:val="es-CO" w:eastAsia="es-CO"/>
        </w:rPr>
        <w:t xml:space="preserve">ando cumplimiento a la </w:t>
      </w:r>
      <w:r w:rsidR="004659CA">
        <w:rPr>
          <w:rFonts w:ascii="Arial" w:hAnsi="Arial" w:cs="Arial"/>
          <w:lang w:val="es-CO" w:eastAsia="es-CO"/>
        </w:rPr>
        <w:t>R</w:t>
      </w:r>
      <w:r w:rsidR="00101BA7" w:rsidRPr="004B743C">
        <w:rPr>
          <w:rFonts w:ascii="Arial" w:hAnsi="Arial" w:cs="Arial"/>
          <w:lang w:val="es-CO" w:eastAsia="es-CO"/>
        </w:rPr>
        <w:t xml:space="preserve">esolución </w:t>
      </w:r>
      <w:r w:rsidR="00232377">
        <w:rPr>
          <w:rFonts w:ascii="Arial" w:hAnsi="Arial" w:cs="Arial"/>
          <w:lang w:val="es-CO" w:eastAsia="es-CO"/>
        </w:rPr>
        <w:t>No.</w:t>
      </w:r>
      <w:r w:rsidR="00101BA7" w:rsidRPr="004B743C">
        <w:rPr>
          <w:rFonts w:ascii="Arial" w:hAnsi="Arial" w:cs="Arial"/>
          <w:lang w:val="es-CO" w:eastAsia="es-CO"/>
        </w:rPr>
        <w:t>533 del 08 de octubre de 2015</w:t>
      </w:r>
      <w:r w:rsidR="00DC35B8">
        <w:rPr>
          <w:rFonts w:ascii="Arial" w:hAnsi="Arial" w:cs="Arial"/>
          <w:lang w:val="es-CO" w:eastAsia="es-CO"/>
        </w:rPr>
        <w:t xml:space="preserve"> de la</w:t>
      </w:r>
      <w:r w:rsidR="00101BA7" w:rsidRPr="004B743C">
        <w:rPr>
          <w:rFonts w:ascii="Arial" w:hAnsi="Arial" w:cs="Arial"/>
          <w:lang w:val="es-CO" w:eastAsia="es-CO"/>
        </w:rPr>
        <w:t xml:space="preserve"> C</w:t>
      </w:r>
      <w:r w:rsidR="00DC35B8">
        <w:rPr>
          <w:rFonts w:ascii="Arial" w:hAnsi="Arial" w:cs="Arial"/>
          <w:lang w:val="es-CO" w:eastAsia="es-CO"/>
        </w:rPr>
        <w:t xml:space="preserve">ontaduría </w:t>
      </w:r>
      <w:r w:rsidR="00101BA7" w:rsidRPr="004B743C">
        <w:rPr>
          <w:rFonts w:ascii="Arial" w:hAnsi="Arial" w:cs="Arial"/>
          <w:lang w:val="es-CO" w:eastAsia="es-CO"/>
        </w:rPr>
        <w:t>G</w:t>
      </w:r>
      <w:r w:rsidR="00DC35B8">
        <w:rPr>
          <w:rFonts w:ascii="Arial" w:hAnsi="Arial" w:cs="Arial"/>
          <w:lang w:val="es-CO" w:eastAsia="es-CO"/>
        </w:rPr>
        <w:t xml:space="preserve">eneral de la </w:t>
      </w:r>
      <w:r w:rsidR="00101BA7" w:rsidRPr="004B743C">
        <w:rPr>
          <w:rFonts w:ascii="Arial" w:hAnsi="Arial" w:cs="Arial"/>
          <w:lang w:val="es-CO" w:eastAsia="es-CO"/>
        </w:rPr>
        <w:t>N</w:t>
      </w:r>
      <w:r w:rsidR="00DC35B8">
        <w:rPr>
          <w:rFonts w:ascii="Arial" w:hAnsi="Arial" w:cs="Arial"/>
          <w:lang w:val="es-CO" w:eastAsia="es-CO"/>
        </w:rPr>
        <w:t>ación</w:t>
      </w:r>
      <w:r w:rsidR="00953AF0">
        <w:rPr>
          <w:rFonts w:ascii="Arial" w:hAnsi="Arial" w:cs="Arial"/>
          <w:lang w:val="es-CO" w:eastAsia="es-CO"/>
        </w:rPr>
        <w:t xml:space="preserve"> </w:t>
      </w:r>
      <w:r w:rsidR="005B0E33">
        <w:rPr>
          <w:rFonts w:ascii="Arial" w:hAnsi="Arial" w:cs="Arial"/>
          <w:lang w:val="es-CO" w:eastAsia="es-CO"/>
        </w:rPr>
        <w:t xml:space="preserve">CGN </w:t>
      </w:r>
      <w:r w:rsidR="00953AF0" w:rsidRPr="004B743C">
        <w:rPr>
          <w:rFonts w:ascii="Arial" w:hAnsi="Arial" w:cs="Arial"/>
          <w:lang w:val="es-CO" w:eastAsia="es-CO"/>
        </w:rPr>
        <w:t>se</w:t>
      </w:r>
      <w:r w:rsidR="00441BD0">
        <w:rPr>
          <w:rFonts w:ascii="Arial" w:hAnsi="Arial" w:cs="Arial"/>
          <w:lang w:val="es-CO" w:eastAsia="es-CO"/>
        </w:rPr>
        <w:t xml:space="preserve"> mantiene</w:t>
      </w:r>
      <w:r w:rsidR="00953AF0" w:rsidRPr="004B743C">
        <w:rPr>
          <w:rFonts w:ascii="Arial" w:hAnsi="Arial" w:cs="Arial"/>
          <w:lang w:val="es-CO" w:eastAsia="es-CO"/>
        </w:rPr>
        <w:t xml:space="preserve"> implement</w:t>
      </w:r>
      <w:r w:rsidR="00441BD0">
        <w:rPr>
          <w:rFonts w:ascii="Arial" w:hAnsi="Arial" w:cs="Arial"/>
          <w:lang w:val="es-CO" w:eastAsia="es-CO"/>
        </w:rPr>
        <w:t xml:space="preserve">ado </w:t>
      </w:r>
      <w:r w:rsidR="00953AF0" w:rsidRPr="004B743C">
        <w:rPr>
          <w:rFonts w:ascii="Arial" w:hAnsi="Arial" w:cs="Arial"/>
          <w:lang w:val="es-CO" w:eastAsia="es-CO"/>
        </w:rPr>
        <w:t>el marco normativo internacional de convergencia NICSP</w:t>
      </w:r>
      <w:r w:rsidR="00953AF0">
        <w:rPr>
          <w:rFonts w:ascii="Arial" w:hAnsi="Arial" w:cs="Arial"/>
          <w:lang w:val="es-CO" w:eastAsia="es-CO"/>
        </w:rPr>
        <w:t>.</w:t>
      </w:r>
    </w:p>
    <w:p w14:paraId="2CAA53B4" w14:textId="77777777" w:rsidR="004D03A4" w:rsidRPr="006E2362" w:rsidRDefault="004D03A4" w:rsidP="00261FA9">
      <w:pPr>
        <w:pStyle w:val="Ttulo2"/>
        <w:numPr>
          <w:ilvl w:val="1"/>
          <w:numId w:val="9"/>
        </w:numPr>
        <w:ind w:left="426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9" w:name="_Toc66790670"/>
      <w:r w:rsidRPr="006E2362">
        <w:rPr>
          <w:rFonts w:ascii="Arial" w:hAnsi="Arial" w:cs="Arial"/>
          <w:i w:val="0"/>
          <w:iCs w:val="0"/>
          <w:sz w:val="22"/>
          <w:szCs w:val="22"/>
          <w:lang w:eastAsia="es-CO"/>
        </w:rPr>
        <w:t>ETAPAS DEL PROCESO CONTABLE</w:t>
      </w:r>
      <w:bookmarkEnd w:id="9"/>
    </w:p>
    <w:p w14:paraId="1D59DA9D" w14:textId="77777777" w:rsidR="00EF08F3" w:rsidRPr="00EF08F3" w:rsidRDefault="00EF08F3" w:rsidP="00261FA9">
      <w:pPr>
        <w:pStyle w:val="Prrafodelista"/>
        <w:spacing w:line="276" w:lineRule="auto"/>
        <w:ind w:left="915"/>
        <w:rPr>
          <w:lang w:eastAsia="es-CO"/>
        </w:rPr>
      </w:pPr>
    </w:p>
    <w:p w14:paraId="1B2471AF" w14:textId="62B3583A" w:rsidR="00A22577" w:rsidRDefault="00B1447E" w:rsidP="00261FA9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B34F3">
        <w:rPr>
          <w:rFonts w:ascii="Arial" w:hAnsi="Arial" w:cs="Arial"/>
          <w:lang w:eastAsia="es-CO"/>
        </w:rPr>
        <w:t>S</w:t>
      </w:r>
      <w:r w:rsidR="001E7D1E" w:rsidRPr="007B34F3">
        <w:rPr>
          <w:rFonts w:ascii="Arial" w:hAnsi="Arial" w:cs="Arial"/>
          <w:lang w:eastAsia="es-CO"/>
        </w:rPr>
        <w:t xml:space="preserve">e </w:t>
      </w:r>
      <w:r w:rsidR="006E2362" w:rsidRPr="007B34F3">
        <w:rPr>
          <w:rFonts w:ascii="Arial" w:hAnsi="Arial" w:cs="Arial"/>
          <w:lang w:eastAsia="es-CO"/>
        </w:rPr>
        <w:t>considero la</w:t>
      </w:r>
      <w:r w:rsidR="00E0174E" w:rsidRPr="007B34F3">
        <w:rPr>
          <w:rFonts w:ascii="Arial" w:hAnsi="Arial" w:cs="Arial"/>
          <w:lang w:eastAsia="es-CO"/>
        </w:rPr>
        <w:t>s</w:t>
      </w:r>
      <w:r w:rsidR="006E2362" w:rsidRPr="007B34F3">
        <w:rPr>
          <w:rFonts w:ascii="Arial" w:hAnsi="Arial" w:cs="Arial"/>
          <w:lang w:eastAsia="es-CO"/>
        </w:rPr>
        <w:t xml:space="preserve"> entradas</w:t>
      </w:r>
      <w:r w:rsidR="00E0174E" w:rsidRPr="007B34F3">
        <w:rPr>
          <w:rFonts w:ascii="Arial" w:hAnsi="Arial" w:cs="Arial"/>
          <w:lang w:eastAsia="es-CO"/>
        </w:rPr>
        <w:t xml:space="preserve"> </w:t>
      </w:r>
      <w:r w:rsidR="006E2362" w:rsidRPr="007B34F3">
        <w:rPr>
          <w:rFonts w:ascii="Arial" w:hAnsi="Arial" w:cs="Arial"/>
          <w:lang w:eastAsia="es-CO"/>
        </w:rPr>
        <w:t>y las salidas</w:t>
      </w:r>
      <w:r w:rsidR="00E0174E" w:rsidRPr="007B34F3">
        <w:rPr>
          <w:rFonts w:ascii="Arial" w:hAnsi="Arial" w:cs="Arial"/>
          <w:lang w:eastAsia="es-CO"/>
        </w:rPr>
        <w:t xml:space="preserve"> del proceso, compuestas por</w:t>
      </w:r>
      <w:r w:rsidR="008603B4" w:rsidRPr="007B34F3">
        <w:rPr>
          <w:rFonts w:ascii="Arial" w:hAnsi="Arial" w:cs="Arial"/>
          <w:lang w:eastAsia="es-CO"/>
        </w:rPr>
        <w:t xml:space="preserve"> 4</w:t>
      </w:r>
      <w:r w:rsidR="00E15EA6" w:rsidRPr="007B34F3">
        <w:rPr>
          <w:rFonts w:ascii="Arial" w:hAnsi="Arial" w:cs="Arial"/>
          <w:lang w:eastAsia="es-CO"/>
        </w:rPr>
        <w:t>5</w:t>
      </w:r>
      <w:r w:rsidR="008603B4" w:rsidRPr="007B34F3">
        <w:rPr>
          <w:rFonts w:ascii="Arial" w:hAnsi="Arial" w:cs="Arial"/>
          <w:lang w:eastAsia="es-CO"/>
        </w:rPr>
        <w:t xml:space="preserve"> Procedimientos, 2</w:t>
      </w:r>
      <w:r w:rsidR="00E15EA6" w:rsidRPr="007B34F3">
        <w:rPr>
          <w:rFonts w:ascii="Arial" w:hAnsi="Arial" w:cs="Arial"/>
          <w:lang w:eastAsia="es-CO"/>
        </w:rPr>
        <w:t>1</w:t>
      </w:r>
      <w:r w:rsidR="008603B4" w:rsidRPr="007B34F3">
        <w:rPr>
          <w:rFonts w:ascii="Arial" w:hAnsi="Arial" w:cs="Arial"/>
          <w:lang w:eastAsia="es-CO"/>
        </w:rPr>
        <w:t xml:space="preserve"> manuales de usuario, </w:t>
      </w:r>
      <w:r w:rsidR="004012B8" w:rsidRPr="007B34F3">
        <w:rPr>
          <w:rFonts w:ascii="Arial" w:hAnsi="Arial" w:cs="Arial"/>
          <w:lang w:eastAsia="es-CO"/>
        </w:rPr>
        <w:t>1 manual operativo, 9</w:t>
      </w:r>
      <w:r w:rsidR="008603B4" w:rsidRPr="007B34F3">
        <w:rPr>
          <w:rFonts w:ascii="Arial" w:hAnsi="Arial" w:cs="Arial"/>
          <w:lang w:eastAsia="es-CO"/>
        </w:rPr>
        <w:t>2 formatos, 14 guías</w:t>
      </w:r>
      <w:r w:rsidR="004012B8" w:rsidRPr="007B34F3">
        <w:rPr>
          <w:rFonts w:ascii="Arial" w:hAnsi="Arial" w:cs="Arial"/>
          <w:lang w:eastAsia="es-CO"/>
        </w:rPr>
        <w:t>,</w:t>
      </w:r>
      <w:r w:rsidR="008603B4" w:rsidRPr="007B34F3">
        <w:rPr>
          <w:rFonts w:ascii="Arial" w:hAnsi="Arial" w:cs="Arial"/>
          <w:lang w:eastAsia="es-CO"/>
        </w:rPr>
        <w:t xml:space="preserve"> 3</w:t>
      </w:r>
      <w:r w:rsidR="004012B8" w:rsidRPr="007B34F3">
        <w:rPr>
          <w:rFonts w:ascii="Arial" w:hAnsi="Arial" w:cs="Arial"/>
          <w:lang w:eastAsia="es-CO"/>
        </w:rPr>
        <w:t>2</w:t>
      </w:r>
      <w:r w:rsidR="008603B4" w:rsidRPr="007B34F3">
        <w:rPr>
          <w:rFonts w:ascii="Arial" w:hAnsi="Arial" w:cs="Arial"/>
          <w:lang w:eastAsia="es-CO"/>
        </w:rPr>
        <w:t xml:space="preserve"> instructivos</w:t>
      </w:r>
      <w:r w:rsidR="004012B8" w:rsidRPr="007B34F3">
        <w:rPr>
          <w:rFonts w:ascii="Arial" w:hAnsi="Arial" w:cs="Arial"/>
          <w:lang w:eastAsia="es-CO"/>
        </w:rPr>
        <w:t xml:space="preserve"> y 3 otros</w:t>
      </w:r>
      <w:r w:rsidR="00711456" w:rsidRPr="007B34F3">
        <w:rPr>
          <w:rFonts w:ascii="Arial" w:hAnsi="Arial" w:cs="Arial"/>
          <w:lang w:eastAsia="es-CO"/>
        </w:rPr>
        <w:t xml:space="preserve"> </w:t>
      </w:r>
      <w:r w:rsidR="004012B8" w:rsidRPr="007B34F3">
        <w:rPr>
          <w:rFonts w:ascii="Arial" w:hAnsi="Arial" w:cs="Arial"/>
          <w:lang w:eastAsia="es-CO"/>
        </w:rPr>
        <w:t>(anexo)</w:t>
      </w:r>
      <w:r w:rsidR="006E2362" w:rsidRPr="007B34F3">
        <w:rPr>
          <w:rFonts w:ascii="Arial" w:hAnsi="Arial" w:cs="Arial"/>
          <w:lang w:eastAsia="es-CO"/>
        </w:rPr>
        <w:t>.</w:t>
      </w:r>
    </w:p>
    <w:p w14:paraId="602A0656" w14:textId="0420D850" w:rsidR="004012B8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A0F09">
        <w:rPr>
          <w:rFonts w:ascii="Arial" w:hAnsi="Arial" w:cs="Arial"/>
          <w:lang w:eastAsia="es-CO"/>
        </w:rPr>
        <w:t>Este proceso</w:t>
      </w:r>
      <w:r w:rsidR="007B34F3">
        <w:rPr>
          <w:rFonts w:ascii="Arial" w:hAnsi="Arial" w:cs="Arial"/>
          <w:lang w:eastAsia="es-CO"/>
        </w:rPr>
        <w:t xml:space="preserve"> contable</w:t>
      </w:r>
      <w:r w:rsidRPr="004A0F09">
        <w:rPr>
          <w:rFonts w:ascii="Arial" w:hAnsi="Arial" w:cs="Arial"/>
          <w:lang w:eastAsia="es-CO"/>
        </w:rPr>
        <w:t xml:space="preserve"> está compuesto por etapas y </w:t>
      </w:r>
      <w:proofErr w:type="spellStart"/>
      <w:proofErr w:type="gramStart"/>
      <w:r w:rsidRPr="004A0F09">
        <w:rPr>
          <w:rFonts w:ascii="Arial" w:hAnsi="Arial" w:cs="Arial"/>
          <w:lang w:eastAsia="es-CO"/>
        </w:rPr>
        <w:t>sub-etapas</w:t>
      </w:r>
      <w:proofErr w:type="spellEnd"/>
      <w:proofErr w:type="gramEnd"/>
      <w:r w:rsidRPr="004A0F09">
        <w:rPr>
          <w:rFonts w:ascii="Arial" w:hAnsi="Arial" w:cs="Arial"/>
          <w:lang w:eastAsia="es-CO"/>
        </w:rPr>
        <w:t xml:space="preserve"> que</w:t>
      </w:r>
      <w:r>
        <w:rPr>
          <w:rFonts w:ascii="Arial" w:hAnsi="Arial" w:cs="Arial"/>
          <w:lang w:eastAsia="es-CO"/>
        </w:rPr>
        <w:t xml:space="preserve"> van desde</w:t>
      </w:r>
      <w:r w:rsidRPr="004A0F09">
        <w:rPr>
          <w:rFonts w:ascii="Arial" w:hAnsi="Arial" w:cs="Arial"/>
          <w:lang w:eastAsia="es-CO"/>
        </w:rPr>
        <w:t xml:space="preserve"> la preparación </w:t>
      </w:r>
      <w:r>
        <w:rPr>
          <w:rFonts w:ascii="Arial" w:hAnsi="Arial" w:cs="Arial"/>
          <w:lang w:eastAsia="es-CO"/>
        </w:rPr>
        <w:t>y consolidación de la información financiera hasta la</w:t>
      </w:r>
      <w:r w:rsidRPr="004A0F09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 xml:space="preserve">elaboración y presentación de los estados financieros, lo anterior apoyado en </w:t>
      </w:r>
      <w:r w:rsidRPr="004A0F09">
        <w:rPr>
          <w:rFonts w:ascii="Arial" w:hAnsi="Arial" w:cs="Arial"/>
          <w:lang w:eastAsia="es-CO"/>
        </w:rPr>
        <w:t>sistemas</w:t>
      </w:r>
      <w:r>
        <w:rPr>
          <w:rFonts w:ascii="Arial" w:hAnsi="Arial" w:cs="Arial"/>
          <w:lang w:eastAsia="es-CO"/>
        </w:rPr>
        <w:t xml:space="preserve"> informáticos</w:t>
      </w:r>
      <w:r w:rsidRPr="004A0F09">
        <w:rPr>
          <w:rFonts w:ascii="Arial" w:hAnsi="Arial" w:cs="Arial"/>
          <w:lang w:eastAsia="es-CO"/>
        </w:rPr>
        <w:t xml:space="preserve"> y</w:t>
      </w:r>
      <w:r>
        <w:rPr>
          <w:rFonts w:ascii="Arial" w:hAnsi="Arial" w:cs="Arial"/>
          <w:lang w:eastAsia="es-CO"/>
        </w:rPr>
        <w:t xml:space="preserve"> fundamentado en </w:t>
      </w:r>
      <w:r>
        <w:rPr>
          <w:rFonts w:ascii="Arial" w:hAnsi="Arial" w:cs="Arial"/>
          <w:lang w:eastAsia="es-CO"/>
        </w:rPr>
        <w:lastRenderedPageBreak/>
        <w:t>los</w:t>
      </w:r>
      <w:r w:rsidRPr="004A0F09">
        <w:rPr>
          <w:rFonts w:ascii="Arial" w:hAnsi="Arial" w:cs="Arial"/>
          <w:lang w:eastAsia="es-CO"/>
        </w:rPr>
        <w:t xml:space="preserve"> procedimientos internos </w:t>
      </w:r>
      <w:r>
        <w:rPr>
          <w:rFonts w:ascii="Arial" w:hAnsi="Arial" w:cs="Arial"/>
          <w:lang w:eastAsia="es-CO"/>
        </w:rPr>
        <w:t>asegurando así e</w:t>
      </w:r>
      <w:r w:rsidRPr="004A0F09">
        <w:rPr>
          <w:rFonts w:ascii="Arial" w:hAnsi="Arial" w:cs="Arial"/>
          <w:lang w:eastAsia="es-CO"/>
        </w:rPr>
        <w:t xml:space="preserve">l cumplimiento de las características cualitativas </w:t>
      </w:r>
      <w:r>
        <w:rPr>
          <w:rFonts w:ascii="Arial" w:hAnsi="Arial" w:cs="Arial"/>
          <w:lang w:eastAsia="es-CO"/>
        </w:rPr>
        <w:t xml:space="preserve">y cuantitativas </w:t>
      </w:r>
      <w:r w:rsidRPr="004A0F09">
        <w:rPr>
          <w:rFonts w:ascii="Arial" w:hAnsi="Arial" w:cs="Arial"/>
          <w:lang w:eastAsia="es-CO"/>
        </w:rPr>
        <w:t>de la información financiera.</w:t>
      </w:r>
    </w:p>
    <w:p w14:paraId="4A345026" w14:textId="77777777" w:rsidR="004F6BC7" w:rsidRDefault="004F6BC7" w:rsidP="00261FA9">
      <w:pPr>
        <w:pStyle w:val="Ttulo3"/>
        <w:numPr>
          <w:ilvl w:val="2"/>
          <w:numId w:val="9"/>
        </w:numPr>
        <w:ind w:left="709" w:hanging="709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10" w:name="_Toc66790671"/>
      <w:r w:rsidRPr="00324EE8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ETAPA DE RECONO</w:t>
      </w:r>
      <w:r w:rsidR="00261FA9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CIM</w:t>
      </w:r>
      <w:r w:rsidRPr="00324EE8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IENTO</w:t>
      </w:r>
      <w:bookmarkEnd w:id="10"/>
    </w:p>
    <w:p w14:paraId="53F3A71B" w14:textId="77777777" w:rsidR="00324EE8" w:rsidRPr="00324EE8" w:rsidRDefault="00324EE8" w:rsidP="004A6C78">
      <w:pPr>
        <w:pStyle w:val="Prrafodelista"/>
        <w:spacing w:line="276" w:lineRule="auto"/>
        <w:ind w:left="1080"/>
        <w:rPr>
          <w:lang w:eastAsia="es-CO"/>
        </w:rPr>
      </w:pPr>
    </w:p>
    <w:p w14:paraId="455EA6D4" w14:textId="77777777" w:rsidR="004F6BC7" w:rsidRPr="008F640A" w:rsidRDefault="004F6BC7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597772">
        <w:rPr>
          <w:rFonts w:ascii="Arial" w:hAnsi="Arial" w:cs="Arial"/>
          <w:lang w:val="es-CO" w:eastAsia="es-CO"/>
        </w:rPr>
        <w:t>Esta etap</w:t>
      </w:r>
      <w:r>
        <w:rPr>
          <w:rFonts w:ascii="Arial" w:hAnsi="Arial" w:cs="Arial"/>
          <w:lang w:val="es-CO" w:eastAsia="es-CO"/>
        </w:rPr>
        <w:t xml:space="preserve">a se compone de </w:t>
      </w:r>
      <w:r w:rsidRPr="008F640A">
        <w:rPr>
          <w:rFonts w:ascii="Arial" w:hAnsi="Arial" w:cs="Arial"/>
          <w:lang w:val="es-CO" w:eastAsia="es-CO"/>
        </w:rPr>
        <w:t xml:space="preserve">seis </w:t>
      </w:r>
      <w:proofErr w:type="spellStart"/>
      <w:proofErr w:type="gramStart"/>
      <w:r w:rsidRPr="008F640A">
        <w:rPr>
          <w:rFonts w:ascii="Arial" w:hAnsi="Arial" w:cs="Arial"/>
          <w:lang w:val="es-CO" w:eastAsia="es-CO"/>
        </w:rPr>
        <w:t>sub-etapas</w:t>
      </w:r>
      <w:proofErr w:type="spellEnd"/>
      <w:proofErr w:type="gramEnd"/>
      <w:r>
        <w:rPr>
          <w:rFonts w:ascii="Arial" w:hAnsi="Arial" w:cs="Arial"/>
          <w:lang w:val="es-CO" w:eastAsia="es-CO"/>
        </w:rPr>
        <w:t xml:space="preserve">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Identificación, clasificación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,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 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registro,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medición inicial,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medición posterior y presentación de </w:t>
      </w:r>
      <w:r w:rsidR="008F640A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Estados F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inancieros.</w:t>
      </w:r>
    </w:p>
    <w:p w14:paraId="5B32DBB2" w14:textId="77777777" w:rsidR="004F6BC7" w:rsidRDefault="005D5BE6" w:rsidP="00261FA9">
      <w:pPr>
        <w:pStyle w:val="Ttulo4"/>
        <w:numPr>
          <w:ilvl w:val="3"/>
          <w:numId w:val="9"/>
        </w:numPr>
        <w:ind w:left="284" w:hanging="294"/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1" w:name="_Toc66790672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Identificación</w:t>
      </w:r>
      <w:bookmarkEnd w:id="11"/>
    </w:p>
    <w:p w14:paraId="49231CD9" w14:textId="77777777"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14:paraId="70743571" w14:textId="222C4228" w:rsidR="004012B8" w:rsidRPr="00711456" w:rsidRDefault="006736E2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11456">
        <w:rPr>
          <w:rFonts w:ascii="Arial" w:hAnsi="Arial" w:cs="Arial"/>
          <w:lang w:eastAsia="es-CO"/>
        </w:rPr>
        <w:t xml:space="preserve">Los derechos y obligaciones </w:t>
      </w:r>
      <w:r w:rsidR="005506A5" w:rsidRPr="00711456">
        <w:rPr>
          <w:rFonts w:ascii="Arial" w:hAnsi="Arial" w:cs="Arial"/>
          <w:lang w:eastAsia="es-CO"/>
        </w:rPr>
        <w:t xml:space="preserve">están </w:t>
      </w:r>
      <w:r w:rsidRPr="00711456">
        <w:rPr>
          <w:rFonts w:ascii="Arial" w:hAnsi="Arial" w:cs="Arial"/>
          <w:lang w:eastAsia="es-CO"/>
        </w:rPr>
        <w:t>individualizados</w:t>
      </w:r>
      <w:r w:rsidR="005506A5" w:rsidRPr="00711456">
        <w:rPr>
          <w:rFonts w:ascii="Arial" w:hAnsi="Arial" w:cs="Arial"/>
          <w:lang w:eastAsia="es-CO"/>
        </w:rPr>
        <w:t xml:space="preserve"> contablemente </w:t>
      </w:r>
      <w:r w:rsidR="00E63066">
        <w:rPr>
          <w:rFonts w:ascii="Arial" w:hAnsi="Arial" w:cs="Arial"/>
          <w:lang w:eastAsia="es-CO"/>
        </w:rPr>
        <w:t xml:space="preserve">en las cuentas que así fueron parametrizadas por la Contaduría General de la Nación </w:t>
      </w:r>
      <w:r w:rsidR="00E63066" w:rsidRPr="00711456">
        <w:rPr>
          <w:rFonts w:ascii="Arial" w:hAnsi="Arial" w:cs="Arial"/>
          <w:lang w:eastAsia="es-CO"/>
        </w:rPr>
        <w:t>en el Sistema de Información Financiera SIIF Nación</w:t>
      </w:r>
      <w:r w:rsidRPr="00711456">
        <w:rPr>
          <w:rFonts w:ascii="Arial" w:hAnsi="Arial" w:cs="Arial"/>
          <w:lang w:eastAsia="es-CO"/>
        </w:rPr>
        <w:t xml:space="preserve">, las </w:t>
      </w:r>
      <w:r w:rsidR="002869B4" w:rsidRPr="00711456">
        <w:rPr>
          <w:rFonts w:ascii="Arial" w:hAnsi="Arial" w:cs="Arial"/>
          <w:lang w:eastAsia="es-CO"/>
        </w:rPr>
        <w:t>demás</w:t>
      </w:r>
      <w:r w:rsidRPr="00711456">
        <w:rPr>
          <w:rFonts w:ascii="Arial" w:hAnsi="Arial" w:cs="Arial"/>
          <w:lang w:eastAsia="es-CO"/>
        </w:rPr>
        <w:t xml:space="preserve"> cuentas se registran por saldos </w:t>
      </w:r>
      <w:r w:rsidR="004012B8" w:rsidRPr="00711456">
        <w:rPr>
          <w:rFonts w:ascii="Arial" w:hAnsi="Arial" w:cs="Arial"/>
          <w:lang w:eastAsia="es-CO"/>
        </w:rPr>
        <w:t xml:space="preserve">globalizados </w:t>
      </w:r>
      <w:r w:rsidRPr="00711456">
        <w:rPr>
          <w:rFonts w:ascii="Arial" w:hAnsi="Arial" w:cs="Arial"/>
          <w:lang w:eastAsia="es-CO"/>
        </w:rPr>
        <w:t xml:space="preserve">y </w:t>
      </w:r>
      <w:r w:rsidR="00711456" w:rsidRPr="00711456">
        <w:rPr>
          <w:rFonts w:ascii="Arial" w:hAnsi="Arial" w:cs="Arial"/>
          <w:lang w:eastAsia="es-CO"/>
        </w:rPr>
        <w:t>su</w:t>
      </w:r>
      <w:r w:rsidR="002869B4" w:rsidRPr="00711456">
        <w:rPr>
          <w:rFonts w:ascii="Arial" w:hAnsi="Arial" w:cs="Arial"/>
          <w:lang w:eastAsia="es-CO"/>
        </w:rPr>
        <w:t xml:space="preserve"> individualización se encuentra en aplicativos informáticos que son administrados por </w:t>
      </w:r>
      <w:r w:rsidR="001A08C8" w:rsidRPr="00711456">
        <w:rPr>
          <w:rFonts w:ascii="Arial" w:hAnsi="Arial" w:cs="Arial"/>
          <w:lang w:eastAsia="es-CO"/>
        </w:rPr>
        <w:t>los</w:t>
      </w:r>
      <w:r w:rsidR="002869B4" w:rsidRPr="00711456">
        <w:rPr>
          <w:rFonts w:ascii="Arial" w:hAnsi="Arial" w:cs="Arial"/>
          <w:lang w:eastAsia="es-CO"/>
        </w:rPr>
        <w:t xml:space="preserve"> procesos</w:t>
      </w:r>
      <w:r w:rsidR="001A08C8" w:rsidRPr="00711456">
        <w:rPr>
          <w:rFonts w:ascii="Arial" w:hAnsi="Arial" w:cs="Arial"/>
          <w:lang w:eastAsia="es-CO"/>
        </w:rPr>
        <w:t xml:space="preserve"> proveedores de información</w:t>
      </w:r>
      <w:r w:rsidR="002869B4" w:rsidRPr="00711456">
        <w:rPr>
          <w:rFonts w:ascii="Arial" w:hAnsi="Arial" w:cs="Arial"/>
          <w:lang w:eastAsia="es-CO"/>
        </w:rPr>
        <w:t>.</w:t>
      </w:r>
      <w:r w:rsidR="00482209" w:rsidRPr="00711456">
        <w:rPr>
          <w:rFonts w:ascii="Arial" w:hAnsi="Arial" w:cs="Arial"/>
          <w:lang w:eastAsia="es-CO"/>
        </w:rPr>
        <w:t xml:space="preserve"> </w:t>
      </w:r>
    </w:p>
    <w:p w14:paraId="353322FE" w14:textId="0DE2C78E" w:rsidR="002016AA" w:rsidRPr="007913BC" w:rsidRDefault="00C579F8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FF0000"/>
          <w:lang w:eastAsia="es-CO"/>
        </w:rPr>
      </w:pPr>
      <w:r w:rsidRPr="00C579F8">
        <w:rPr>
          <w:rFonts w:ascii="Arial" w:hAnsi="Arial" w:cs="Arial"/>
          <w:lang w:eastAsia="es-CO"/>
        </w:rPr>
        <w:t xml:space="preserve">El Manual de Políticas </w:t>
      </w:r>
      <w:r w:rsidR="009D6DB5">
        <w:rPr>
          <w:rFonts w:ascii="Arial" w:hAnsi="Arial" w:cs="Arial"/>
          <w:lang w:eastAsia="es-CO"/>
        </w:rPr>
        <w:t>Contables d</w:t>
      </w:r>
      <w:r w:rsidRPr="00C579F8">
        <w:rPr>
          <w:rFonts w:ascii="Arial" w:hAnsi="Arial" w:cs="Arial"/>
          <w:lang w:eastAsia="es-CO"/>
        </w:rPr>
        <w:t xml:space="preserve">el </w:t>
      </w:r>
      <w:r w:rsidRPr="00103CE7">
        <w:rPr>
          <w:rFonts w:ascii="Arial" w:hAnsi="Arial" w:cs="Arial"/>
          <w:lang w:eastAsia="es-CO"/>
        </w:rPr>
        <w:t xml:space="preserve">ICBF </w:t>
      </w:r>
      <w:r w:rsidR="001A08C8" w:rsidRPr="00B66CE0">
        <w:rPr>
          <w:rFonts w:ascii="Arial" w:hAnsi="Arial" w:cs="Arial"/>
          <w:lang w:eastAsia="es-CO"/>
        </w:rPr>
        <w:t>establece</w:t>
      </w:r>
      <w:r w:rsidR="00103CE7" w:rsidRPr="00103CE7">
        <w:rPr>
          <w:rFonts w:ascii="Arial" w:hAnsi="Arial" w:cs="Arial"/>
          <w:lang w:eastAsia="es-CO"/>
        </w:rPr>
        <w:t xml:space="preserve"> </w:t>
      </w:r>
      <w:r w:rsidR="009D6DB5" w:rsidRPr="00103CE7">
        <w:rPr>
          <w:rFonts w:ascii="Arial" w:hAnsi="Arial" w:cs="Arial"/>
          <w:lang w:eastAsia="es-CO"/>
        </w:rPr>
        <w:t>los</w:t>
      </w:r>
      <w:r w:rsidRPr="00103CE7">
        <w:rPr>
          <w:rFonts w:ascii="Arial" w:hAnsi="Arial" w:cs="Arial"/>
          <w:lang w:eastAsia="es-CO"/>
        </w:rPr>
        <w:t xml:space="preserve"> </w:t>
      </w:r>
      <w:r w:rsidR="00EB4F21">
        <w:rPr>
          <w:rFonts w:ascii="Arial" w:hAnsi="Arial" w:cs="Arial"/>
          <w:lang w:eastAsia="es-CO"/>
        </w:rPr>
        <w:t>lineamientos y criterios</w:t>
      </w:r>
      <w:r w:rsidRPr="00103CE7">
        <w:rPr>
          <w:rFonts w:ascii="Arial" w:hAnsi="Arial" w:cs="Arial"/>
          <w:lang w:eastAsia="es-CO"/>
        </w:rPr>
        <w:t xml:space="preserve"> para la </w:t>
      </w:r>
      <w:r w:rsidR="00061B9C" w:rsidRPr="00103CE7">
        <w:rPr>
          <w:rFonts w:ascii="Arial" w:hAnsi="Arial" w:cs="Arial"/>
          <w:lang w:eastAsia="es-CO"/>
        </w:rPr>
        <w:t>identificación</w:t>
      </w:r>
      <w:r w:rsidR="001A08C8">
        <w:rPr>
          <w:rFonts w:ascii="Arial" w:hAnsi="Arial" w:cs="Arial"/>
          <w:lang w:eastAsia="es-CO"/>
        </w:rPr>
        <w:t>, clasificación</w:t>
      </w:r>
      <w:r w:rsidRPr="00103CE7">
        <w:rPr>
          <w:rFonts w:ascii="Arial" w:hAnsi="Arial" w:cs="Arial"/>
          <w:lang w:eastAsia="es-CO"/>
        </w:rPr>
        <w:t xml:space="preserve"> </w:t>
      </w:r>
      <w:r w:rsidR="009D6DB5" w:rsidRPr="00103CE7">
        <w:rPr>
          <w:rFonts w:ascii="Arial" w:hAnsi="Arial" w:cs="Arial"/>
          <w:lang w:eastAsia="es-CO"/>
        </w:rPr>
        <w:t xml:space="preserve">y registro </w:t>
      </w:r>
      <w:r w:rsidRPr="00103CE7">
        <w:rPr>
          <w:rFonts w:ascii="Arial" w:hAnsi="Arial" w:cs="Arial"/>
          <w:lang w:eastAsia="es-CO"/>
        </w:rPr>
        <w:t>de los hechos económico</w:t>
      </w:r>
      <w:r w:rsidR="006736E2" w:rsidRPr="00103CE7">
        <w:rPr>
          <w:rFonts w:ascii="Arial" w:hAnsi="Arial" w:cs="Arial"/>
          <w:lang w:eastAsia="es-CO"/>
        </w:rPr>
        <w:t xml:space="preserve">s </w:t>
      </w:r>
      <w:r w:rsidR="006A2CFF">
        <w:rPr>
          <w:rFonts w:ascii="Arial" w:hAnsi="Arial" w:cs="Arial"/>
          <w:lang w:eastAsia="es-CO"/>
        </w:rPr>
        <w:t>en armonía con</w:t>
      </w:r>
      <w:r w:rsidR="006736E2" w:rsidRPr="00103CE7">
        <w:rPr>
          <w:rFonts w:ascii="Arial" w:hAnsi="Arial" w:cs="Arial"/>
          <w:lang w:eastAsia="es-CO"/>
        </w:rPr>
        <w:t xml:space="preserve"> </w:t>
      </w:r>
      <w:r w:rsidR="00D10B41">
        <w:rPr>
          <w:rFonts w:ascii="Arial" w:hAnsi="Arial" w:cs="Arial"/>
          <w:lang w:eastAsia="es-CO"/>
        </w:rPr>
        <w:t xml:space="preserve">lo establecido en </w:t>
      </w:r>
      <w:r w:rsidR="006736E2" w:rsidRPr="00103CE7">
        <w:rPr>
          <w:rFonts w:ascii="Arial" w:hAnsi="Arial" w:cs="Arial"/>
          <w:lang w:eastAsia="es-CO"/>
        </w:rPr>
        <w:t xml:space="preserve">el </w:t>
      </w:r>
      <w:r w:rsidR="004012B8">
        <w:rPr>
          <w:rFonts w:ascii="Arial" w:hAnsi="Arial" w:cs="Arial"/>
          <w:lang w:eastAsia="es-CO"/>
        </w:rPr>
        <w:t xml:space="preserve">Nuevo </w:t>
      </w:r>
      <w:r w:rsidR="006736E2" w:rsidRPr="00103CE7">
        <w:rPr>
          <w:rFonts w:ascii="Arial" w:hAnsi="Arial" w:cs="Arial"/>
          <w:lang w:eastAsia="es-CO"/>
        </w:rPr>
        <w:t>Marco Normativo</w:t>
      </w:r>
      <w:r w:rsidR="006736E2">
        <w:rPr>
          <w:rFonts w:ascii="Arial" w:hAnsi="Arial" w:cs="Arial"/>
          <w:lang w:eastAsia="es-CO"/>
        </w:rPr>
        <w:t xml:space="preserve"> (NICSP)</w:t>
      </w:r>
      <w:r w:rsidR="00B6088D">
        <w:rPr>
          <w:rFonts w:ascii="Arial" w:hAnsi="Arial" w:cs="Arial"/>
          <w:lang w:eastAsia="es-CO"/>
        </w:rPr>
        <w:t xml:space="preserve"> </w:t>
      </w:r>
      <w:r w:rsidR="005164F8">
        <w:rPr>
          <w:rFonts w:ascii="Arial" w:hAnsi="Arial" w:cs="Arial"/>
          <w:lang w:eastAsia="es-CO"/>
        </w:rPr>
        <w:t>para</w:t>
      </w:r>
      <w:r w:rsidR="00B6088D" w:rsidRPr="00B6088D">
        <w:rPr>
          <w:rFonts w:ascii="Arial" w:hAnsi="Arial" w:cs="Arial"/>
          <w:lang w:eastAsia="es-CO"/>
        </w:rPr>
        <w:t xml:space="preserve"> la producción de información confiable, relevante y comprensible en cuanto a principios contables, normas técnicas, </w:t>
      </w:r>
      <w:r w:rsidR="00B6088D" w:rsidRPr="00411198">
        <w:rPr>
          <w:rFonts w:ascii="Arial" w:hAnsi="Arial" w:cs="Arial"/>
          <w:lang w:eastAsia="es-CO"/>
        </w:rPr>
        <w:t>características cualitativas y procedimientos</w:t>
      </w:r>
      <w:r w:rsidR="007913BC" w:rsidRPr="00411198">
        <w:rPr>
          <w:rFonts w:ascii="Arial" w:hAnsi="Arial" w:cs="Arial"/>
          <w:lang w:eastAsia="es-CO"/>
        </w:rPr>
        <w:t xml:space="preserve">. En </w:t>
      </w:r>
      <w:r w:rsidR="005164F8" w:rsidRPr="00411198">
        <w:rPr>
          <w:rFonts w:ascii="Arial" w:hAnsi="Arial" w:cs="Arial"/>
          <w:lang w:eastAsia="es-CO"/>
        </w:rPr>
        <w:t>algunas</w:t>
      </w:r>
      <w:r w:rsidR="009657E2" w:rsidRPr="00411198">
        <w:rPr>
          <w:rFonts w:ascii="Arial" w:hAnsi="Arial" w:cs="Arial"/>
          <w:lang w:eastAsia="es-CO"/>
        </w:rPr>
        <w:t xml:space="preserve"> conciliaciones se observa que se realiza</w:t>
      </w:r>
      <w:r w:rsidR="005164F8" w:rsidRPr="00411198">
        <w:rPr>
          <w:rFonts w:ascii="Arial" w:hAnsi="Arial" w:cs="Arial"/>
          <w:lang w:eastAsia="es-CO"/>
        </w:rPr>
        <w:t xml:space="preserve"> cruce de la información con las dependencias </w:t>
      </w:r>
      <w:r w:rsidR="00411198" w:rsidRPr="00411198">
        <w:rPr>
          <w:rFonts w:ascii="Arial" w:hAnsi="Arial" w:cs="Arial"/>
          <w:lang w:eastAsia="es-CO"/>
        </w:rPr>
        <w:t xml:space="preserve">utilizando </w:t>
      </w:r>
      <w:r w:rsidR="009657E2" w:rsidRPr="00411198">
        <w:rPr>
          <w:rFonts w:ascii="Arial" w:hAnsi="Arial" w:cs="Arial"/>
          <w:lang w:eastAsia="es-CO"/>
        </w:rPr>
        <w:t>saldos globales</w:t>
      </w:r>
      <w:r w:rsidR="00411198" w:rsidRPr="00411198">
        <w:rPr>
          <w:rFonts w:ascii="Arial" w:hAnsi="Arial" w:cs="Arial"/>
          <w:lang w:eastAsia="es-CO"/>
        </w:rPr>
        <w:t>.</w:t>
      </w:r>
    </w:p>
    <w:p w14:paraId="05D23654" w14:textId="77777777" w:rsidR="004012B8" w:rsidRPr="009730F6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lang w:eastAsia="es-CO"/>
        </w:rPr>
      </w:pPr>
      <w:r w:rsidRPr="009730F6">
        <w:rPr>
          <w:rFonts w:ascii="Arial" w:hAnsi="Arial" w:cs="Arial"/>
          <w:b/>
          <w:bCs/>
          <w:lang w:eastAsia="es-CO"/>
        </w:rPr>
        <w:t>6.2.1.2</w:t>
      </w:r>
      <w:r w:rsidRPr="009730F6">
        <w:rPr>
          <w:rFonts w:ascii="Arial" w:hAnsi="Arial" w:cs="Arial"/>
          <w:b/>
          <w:bCs/>
          <w:lang w:eastAsia="es-CO"/>
        </w:rPr>
        <w:tab/>
        <w:t>Clasificación</w:t>
      </w:r>
    </w:p>
    <w:p w14:paraId="6C7AF600" w14:textId="77777777" w:rsidR="004012B8" w:rsidRPr="004012B8" w:rsidRDefault="004012B8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012B8">
        <w:rPr>
          <w:rFonts w:ascii="Arial" w:hAnsi="Arial" w:cs="Arial"/>
          <w:lang w:eastAsia="es-CO"/>
        </w:rPr>
        <w:t xml:space="preserve">El SIIF Nación está parametrizado según lo establecido en la Resolución No.620 de 2015 (Catálogo General de Cuentas - Para Entidades de Gobierno) </w:t>
      </w:r>
      <w:r w:rsidR="009730F6" w:rsidRPr="00876730">
        <w:rPr>
          <w:rFonts w:ascii="Arial" w:hAnsi="Arial" w:cs="Arial"/>
          <w:lang w:eastAsia="es-CO"/>
        </w:rPr>
        <w:t xml:space="preserve">de la </w:t>
      </w:r>
      <w:r w:rsidR="009730F6">
        <w:rPr>
          <w:rFonts w:ascii="Arial" w:hAnsi="Arial" w:cs="Arial"/>
          <w:lang w:eastAsia="es-CO"/>
        </w:rPr>
        <w:t xml:space="preserve">Contaduría </w:t>
      </w:r>
      <w:r w:rsidR="009730F6" w:rsidRPr="00876730">
        <w:rPr>
          <w:rFonts w:ascii="Arial" w:hAnsi="Arial" w:cs="Arial"/>
          <w:lang w:eastAsia="es-CO"/>
        </w:rPr>
        <w:t>G</w:t>
      </w:r>
      <w:r w:rsidR="009730F6">
        <w:rPr>
          <w:rFonts w:ascii="Arial" w:hAnsi="Arial" w:cs="Arial"/>
          <w:lang w:eastAsia="es-CO"/>
        </w:rPr>
        <w:t xml:space="preserve">eneral de la </w:t>
      </w:r>
      <w:r w:rsidR="009730F6" w:rsidRPr="00876730">
        <w:rPr>
          <w:rFonts w:ascii="Arial" w:hAnsi="Arial" w:cs="Arial"/>
          <w:lang w:eastAsia="es-CO"/>
        </w:rPr>
        <w:t>N</w:t>
      </w:r>
      <w:r w:rsidR="009730F6">
        <w:rPr>
          <w:rFonts w:ascii="Arial" w:hAnsi="Arial" w:cs="Arial"/>
          <w:lang w:eastAsia="es-CO"/>
        </w:rPr>
        <w:t>ación -</w:t>
      </w:r>
      <w:r w:rsidRPr="004012B8">
        <w:rPr>
          <w:rFonts w:ascii="Arial" w:hAnsi="Arial" w:cs="Arial"/>
          <w:lang w:eastAsia="es-CO"/>
        </w:rPr>
        <w:t xml:space="preserve"> CGN.</w:t>
      </w:r>
    </w:p>
    <w:p w14:paraId="443C54C3" w14:textId="77777777" w:rsidR="004012B8" w:rsidRPr="004012B8" w:rsidRDefault="00B6088D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La Contaduría General de la Nación (CGN) en su rol de ente rector en conjunto con el Ministerio de Hacienda y Crédito Público (MHCP)</w:t>
      </w:r>
      <w:r w:rsidR="004012B8" w:rsidRPr="004012B8">
        <w:rPr>
          <w:rFonts w:ascii="Arial" w:hAnsi="Arial" w:cs="Arial"/>
          <w:lang w:eastAsia="es-CO"/>
        </w:rPr>
        <w:t xml:space="preserve"> garantiza</w:t>
      </w:r>
      <w:r>
        <w:rPr>
          <w:rFonts w:ascii="Arial" w:hAnsi="Arial" w:cs="Arial"/>
          <w:lang w:eastAsia="es-CO"/>
        </w:rPr>
        <w:t>n</w:t>
      </w:r>
      <w:r w:rsidR="004012B8" w:rsidRPr="004012B8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 xml:space="preserve">la actualización </w:t>
      </w:r>
      <w:r w:rsidR="0081620A">
        <w:rPr>
          <w:rFonts w:ascii="Arial" w:hAnsi="Arial" w:cs="Arial"/>
          <w:lang w:eastAsia="es-CO"/>
        </w:rPr>
        <w:t xml:space="preserve">y </w:t>
      </w:r>
      <w:r w:rsidR="001656A9">
        <w:rPr>
          <w:rFonts w:ascii="Arial" w:hAnsi="Arial" w:cs="Arial"/>
          <w:lang w:eastAsia="es-CO"/>
        </w:rPr>
        <w:t xml:space="preserve">la </w:t>
      </w:r>
      <w:r w:rsidR="0081620A">
        <w:rPr>
          <w:rFonts w:ascii="Arial" w:hAnsi="Arial" w:cs="Arial"/>
          <w:lang w:eastAsia="es-CO"/>
        </w:rPr>
        <w:t xml:space="preserve">parametrización </w:t>
      </w:r>
      <w:r w:rsidR="004012B8" w:rsidRPr="004012B8">
        <w:rPr>
          <w:rFonts w:ascii="Arial" w:hAnsi="Arial" w:cs="Arial"/>
          <w:lang w:eastAsia="es-CO"/>
        </w:rPr>
        <w:t>del Catálogo de Cuentas</w:t>
      </w:r>
      <w:r w:rsidR="0081620A">
        <w:rPr>
          <w:rFonts w:ascii="Arial" w:hAnsi="Arial" w:cs="Arial"/>
          <w:lang w:eastAsia="es-CO"/>
        </w:rPr>
        <w:t xml:space="preserve"> en SIIF Nación</w:t>
      </w:r>
      <w:r w:rsidR="004012B8" w:rsidRPr="004012B8">
        <w:rPr>
          <w:rFonts w:ascii="Arial" w:hAnsi="Arial" w:cs="Arial"/>
          <w:lang w:eastAsia="es-CO"/>
        </w:rPr>
        <w:t>.</w:t>
      </w:r>
    </w:p>
    <w:p w14:paraId="598C92EE" w14:textId="77777777" w:rsidR="009730F6" w:rsidRPr="0076202A" w:rsidRDefault="009730F6" w:rsidP="000B6CDD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18"/>
          <w:szCs w:val="18"/>
          <w:lang w:eastAsia="es-CO"/>
        </w:rPr>
      </w:pPr>
      <w:r>
        <w:rPr>
          <w:rFonts w:ascii="Arial" w:hAnsi="Arial" w:cs="Arial"/>
          <w:lang w:eastAsia="es-CO"/>
        </w:rPr>
        <w:t xml:space="preserve">Periódicamente </w:t>
      </w:r>
      <w:r w:rsidR="003B0D67">
        <w:rPr>
          <w:rFonts w:ascii="Arial" w:hAnsi="Arial" w:cs="Arial"/>
          <w:lang w:eastAsia="es-CO"/>
        </w:rPr>
        <w:t>el ICBF verifica</w:t>
      </w:r>
      <w:r w:rsidRPr="00685A68">
        <w:rPr>
          <w:rFonts w:ascii="Arial" w:hAnsi="Arial" w:cs="Arial"/>
          <w:lang w:eastAsia="es-CO"/>
        </w:rPr>
        <w:t xml:space="preserve"> los criterios de clasificación de los hechos económicos y su adecuada aplicación</w:t>
      </w:r>
      <w:r w:rsidR="003B0D67">
        <w:rPr>
          <w:rFonts w:ascii="Arial" w:hAnsi="Arial" w:cs="Arial"/>
          <w:lang w:eastAsia="es-CO"/>
        </w:rPr>
        <w:t xml:space="preserve"> conforme lo establecido en los lineamientos</w:t>
      </w:r>
      <w:r w:rsidRPr="00685A68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>establecidos</w:t>
      </w:r>
      <w:r w:rsidRPr="00685A68">
        <w:rPr>
          <w:rFonts w:ascii="Arial" w:hAnsi="Arial" w:cs="Arial"/>
          <w:lang w:eastAsia="es-CO"/>
        </w:rPr>
        <w:t xml:space="preserve"> en el marco normativo</w:t>
      </w:r>
      <w:r>
        <w:rPr>
          <w:rFonts w:ascii="Arial" w:hAnsi="Arial" w:cs="Arial"/>
          <w:lang w:eastAsia="es-CO"/>
        </w:rPr>
        <w:t xml:space="preserve">, adoptado por la entidad en </w:t>
      </w:r>
      <w:r w:rsidRPr="0076202A">
        <w:rPr>
          <w:rFonts w:ascii="Arial" w:hAnsi="Arial" w:cs="Arial"/>
          <w:i/>
          <w:iCs/>
          <w:sz w:val="18"/>
          <w:szCs w:val="18"/>
          <w:lang w:val="es-CO" w:eastAsia="es-CO"/>
        </w:rPr>
        <w:t>El MANUAL</w:t>
      </w:r>
      <w:r w:rsidRPr="0076202A">
        <w:rPr>
          <w:rFonts w:ascii="Arial" w:hAnsi="Arial" w:cs="Arial"/>
          <w:i/>
          <w:sz w:val="18"/>
          <w:szCs w:val="18"/>
          <w:lang w:val="es-CO" w:eastAsia="es-CO"/>
        </w:rPr>
        <w:t xml:space="preserve"> DE POLÍTICAS CONTABLES DEL ICBF BAJO EL MARCO NORMATIVO PARA ENTIDADES DE GOBIERNO</w:t>
      </w:r>
      <w:r w:rsidRPr="0076202A">
        <w:rPr>
          <w:rFonts w:ascii="Arial" w:hAnsi="Arial" w:cs="Arial"/>
          <w:sz w:val="18"/>
          <w:szCs w:val="18"/>
          <w:lang w:eastAsia="es-CO"/>
        </w:rPr>
        <w:t xml:space="preserve">. </w:t>
      </w:r>
    </w:p>
    <w:p w14:paraId="00EDA95A" w14:textId="77777777" w:rsidR="004012B8" w:rsidRPr="009730F6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lang w:eastAsia="es-CO"/>
        </w:rPr>
      </w:pPr>
      <w:r w:rsidRPr="009730F6">
        <w:rPr>
          <w:rFonts w:ascii="Arial" w:hAnsi="Arial" w:cs="Arial"/>
          <w:b/>
          <w:bCs/>
          <w:lang w:eastAsia="es-CO"/>
        </w:rPr>
        <w:t>6.2.1.3</w:t>
      </w:r>
      <w:r w:rsidRPr="009730F6">
        <w:rPr>
          <w:rFonts w:ascii="Arial" w:hAnsi="Arial" w:cs="Arial"/>
          <w:b/>
          <w:bCs/>
          <w:lang w:eastAsia="es-CO"/>
        </w:rPr>
        <w:tab/>
        <w:t>Registro</w:t>
      </w:r>
    </w:p>
    <w:p w14:paraId="3886A2F5" w14:textId="77777777" w:rsidR="004012B8" w:rsidRDefault="003B0D67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3B0D67">
        <w:rPr>
          <w:rFonts w:ascii="Arial" w:hAnsi="Arial" w:cs="Arial"/>
          <w:lang w:eastAsia="es-CO"/>
        </w:rPr>
        <w:t xml:space="preserve">El </w:t>
      </w:r>
      <w:r>
        <w:rPr>
          <w:rFonts w:ascii="Arial" w:hAnsi="Arial" w:cs="Arial"/>
          <w:lang w:eastAsia="es-CO"/>
        </w:rPr>
        <w:t xml:space="preserve">sistema de información </w:t>
      </w:r>
      <w:r w:rsidRPr="003B0D67">
        <w:rPr>
          <w:rFonts w:ascii="Arial" w:hAnsi="Arial" w:cs="Arial"/>
          <w:lang w:eastAsia="es-CO"/>
        </w:rPr>
        <w:t xml:space="preserve">SIIF Nación asigna la fecha de registro y los consecutivos en forma </w:t>
      </w:r>
      <w:r w:rsidRPr="003B0D67">
        <w:rPr>
          <w:rFonts w:ascii="Arial" w:hAnsi="Arial" w:cs="Arial"/>
          <w:lang w:eastAsia="es-CO"/>
        </w:rPr>
        <w:lastRenderedPageBreak/>
        <w:t>automática</w:t>
      </w:r>
      <w:r w:rsidR="00401BE3">
        <w:rPr>
          <w:rFonts w:ascii="Arial" w:hAnsi="Arial" w:cs="Arial"/>
          <w:lang w:eastAsia="es-CO"/>
        </w:rPr>
        <w:t>,</w:t>
      </w:r>
      <w:r w:rsidRPr="003B0D67">
        <w:rPr>
          <w:rFonts w:ascii="Arial" w:hAnsi="Arial" w:cs="Arial"/>
          <w:lang w:eastAsia="es-CO"/>
        </w:rPr>
        <w:t xml:space="preserve"> excepto </w:t>
      </w:r>
      <w:r>
        <w:rPr>
          <w:rFonts w:ascii="Arial" w:hAnsi="Arial" w:cs="Arial"/>
          <w:lang w:eastAsia="es-CO"/>
        </w:rPr>
        <w:t>comprobantes</w:t>
      </w:r>
      <w:r w:rsidRPr="003B0D67">
        <w:rPr>
          <w:rFonts w:ascii="Arial" w:hAnsi="Arial" w:cs="Arial"/>
          <w:lang w:eastAsia="es-CO"/>
        </w:rPr>
        <w:t xml:space="preserve"> manuales los cuales se pueden registrar en diferentes </w:t>
      </w:r>
      <w:r w:rsidR="00675056">
        <w:rPr>
          <w:rFonts w:ascii="Arial" w:hAnsi="Arial" w:cs="Arial"/>
          <w:lang w:eastAsia="es-CO"/>
        </w:rPr>
        <w:t>fechas</w:t>
      </w:r>
      <w:r w:rsidRPr="003B0D67">
        <w:rPr>
          <w:rFonts w:ascii="Arial" w:hAnsi="Arial" w:cs="Arial"/>
          <w:lang w:eastAsia="es-CO"/>
        </w:rPr>
        <w:t xml:space="preserve"> siempre y cuando no se haya cerrado el periodo contable (mensual)</w:t>
      </w:r>
      <w:r>
        <w:rPr>
          <w:rFonts w:ascii="Arial" w:hAnsi="Arial" w:cs="Arial"/>
          <w:lang w:eastAsia="es-CO"/>
        </w:rPr>
        <w:t xml:space="preserve">, </w:t>
      </w:r>
      <w:r w:rsidR="00675056">
        <w:rPr>
          <w:rFonts w:ascii="Arial" w:hAnsi="Arial" w:cs="Arial"/>
          <w:lang w:eastAsia="es-CO"/>
        </w:rPr>
        <w:t>garantizando</w:t>
      </w:r>
      <w:r w:rsidR="004012B8" w:rsidRPr="004012B8">
        <w:rPr>
          <w:rFonts w:ascii="Arial" w:hAnsi="Arial" w:cs="Arial"/>
          <w:lang w:eastAsia="es-CO"/>
        </w:rPr>
        <w:t xml:space="preserve"> que ningún usuario </w:t>
      </w:r>
      <w:r w:rsidR="00675056">
        <w:rPr>
          <w:rFonts w:ascii="Arial" w:hAnsi="Arial" w:cs="Arial"/>
          <w:lang w:eastAsia="es-CO"/>
        </w:rPr>
        <w:t>los modifique</w:t>
      </w:r>
      <w:r w:rsidR="004012B8" w:rsidRPr="004012B8">
        <w:rPr>
          <w:rFonts w:ascii="Arial" w:hAnsi="Arial" w:cs="Arial"/>
          <w:lang w:eastAsia="es-CO"/>
        </w:rPr>
        <w:t>.</w:t>
      </w:r>
    </w:p>
    <w:p w14:paraId="202672DD" w14:textId="77777777" w:rsidR="009730F6" w:rsidRPr="004012B8" w:rsidRDefault="0067505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675056">
        <w:rPr>
          <w:rFonts w:ascii="Arial" w:hAnsi="Arial" w:cs="Arial"/>
          <w:lang w:eastAsia="es-CO"/>
        </w:rPr>
        <w:t xml:space="preserve">Para realizar los registros </w:t>
      </w:r>
      <w:r w:rsidR="00B31955">
        <w:rPr>
          <w:rFonts w:ascii="Arial" w:hAnsi="Arial" w:cs="Arial"/>
          <w:lang w:eastAsia="es-CO"/>
        </w:rPr>
        <w:t xml:space="preserve">contables </w:t>
      </w:r>
      <w:r w:rsidRPr="00675056">
        <w:rPr>
          <w:rFonts w:ascii="Arial" w:hAnsi="Arial" w:cs="Arial"/>
          <w:lang w:eastAsia="es-CO"/>
        </w:rPr>
        <w:t xml:space="preserve">en SIIF Nación los procedimientos tienen establecidos los soportes idóneos con los que se </w:t>
      </w:r>
      <w:r w:rsidR="00B31955" w:rsidRPr="00675056">
        <w:rPr>
          <w:rFonts w:ascii="Arial" w:hAnsi="Arial" w:cs="Arial"/>
          <w:lang w:eastAsia="es-CO"/>
        </w:rPr>
        <w:t>efectúa</w:t>
      </w:r>
      <w:r w:rsidR="00B31955">
        <w:rPr>
          <w:rFonts w:ascii="Arial" w:hAnsi="Arial" w:cs="Arial"/>
          <w:lang w:eastAsia="es-CO"/>
        </w:rPr>
        <w:t>n</w:t>
      </w:r>
      <w:r w:rsidRPr="00675056">
        <w:rPr>
          <w:rFonts w:ascii="Arial" w:hAnsi="Arial" w:cs="Arial"/>
          <w:lang w:eastAsia="es-CO"/>
        </w:rPr>
        <w:t xml:space="preserve">. </w:t>
      </w:r>
      <w:r w:rsidR="00B31955">
        <w:rPr>
          <w:rFonts w:ascii="Arial" w:hAnsi="Arial" w:cs="Arial"/>
          <w:lang w:eastAsia="es-CO"/>
        </w:rPr>
        <w:t>Así</w:t>
      </w:r>
      <w:r w:rsidRPr="00675056">
        <w:rPr>
          <w:rFonts w:ascii="Arial" w:hAnsi="Arial" w:cs="Arial"/>
          <w:lang w:eastAsia="es-CO"/>
        </w:rPr>
        <w:t xml:space="preserve"> </w:t>
      </w:r>
      <w:r w:rsidR="00B31955" w:rsidRPr="00675056">
        <w:rPr>
          <w:rFonts w:ascii="Arial" w:hAnsi="Arial" w:cs="Arial"/>
          <w:lang w:eastAsia="es-CO"/>
        </w:rPr>
        <w:t>l</w:t>
      </w:r>
      <w:r w:rsidR="00B31955">
        <w:rPr>
          <w:rFonts w:ascii="Arial" w:hAnsi="Arial" w:cs="Arial"/>
          <w:lang w:eastAsia="es-CO"/>
        </w:rPr>
        <w:t>as obligaciones</w:t>
      </w:r>
      <w:r w:rsidRPr="00675056">
        <w:rPr>
          <w:rFonts w:ascii="Arial" w:hAnsi="Arial" w:cs="Arial"/>
          <w:lang w:eastAsia="es-CO"/>
        </w:rPr>
        <w:t xml:space="preserve"> </w:t>
      </w:r>
      <w:r w:rsidR="00B31955">
        <w:rPr>
          <w:rFonts w:ascii="Arial" w:hAnsi="Arial" w:cs="Arial"/>
          <w:lang w:eastAsia="es-CO"/>
        </w:rPr>
        <w:t>y derechos presentes en los registros contables con</w:t>
      </w:r>
      <w:r w:rsidR="00B31955" w:rsidRPr="00675056">
        <w:rPr>
          <w:rFonts w:ascii="Arial" w:hAnsi="Arial" w:cs="Arial"/>
          <w:lang w:eastAsia="es-CO"/>
        </w:rPr>
        <w:t xml:space="preserve"> sus respectivos soportes </w:t>
      </w:r>
      <w:r w:rsidR="00B31955">
        <w:rPr>
          <w:rFonts w:ascii="Arial" w:hAnsi="Arial" w:cs="Arial"/>
          <w:lang w:eastAsia="es-CO"/>
        </w:rPr>
        <w:t xml:space="preserve">son conservados en la dependencia donde se originan </w:t>
      </w:r>
      <w:r w:rsidRPr="00675056">
        <w:rPr>
          <w:rFonts w:ascii="Arial" w:hAnsi="Arial" w:cs="Arial"/>
          <w:lang w:eastAsia="es-CO"/>
        </w:rPr>
        <w:t>(Facturas, Cuentas de cobro, entre otros)</w:t>
      </w:r>
      <w:r w:rsidR="009730F6" w:rsidRPr="004012B8">
        <w:rPr>
          <w:rFonts w:ascii="Arial" w:hAnsi="Arial" w:cs="Arial"/>
          <w:lang w:eastAsia="es-CO"/>
        </w:rPr>
        <w:t>.</w:t>
      </w:r>
    </w:p>
    <w:p w14:paraId="7E114FC3" w14:textId="77777777" w:rsidR="00EB4F21" w:rsidRDefault="00B31955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B4F21">
        <w:rPr>
          <w:rFonts w:ascii="Arial" w:hAnsi="Arial" w:cs="Arial"/>
          <w:lang w:eastAsia="es-CO"/>
        </w:rPr>
        <w:t>El SIIF Nación</w:t>
      </w:r>
      <w:r w:rsidRPr="00B31955">
        <w:rPr>
          <w:rFonts w:ascii="Arial" w:hAnsi="Arial" w:cs="Arial"/>
          <w:lang w:eastAsia="es-CO"/>
        </w:rPr>
        <w:t xml:space="preserve"> alimenta en tiempo real la información y tiene establecidos controles lógicos - automáticos por lo que no se presentan diferencias entre los libros y los comprobantes</w:t>
      </w:r>
      <w:r w:rsidR="00EB4F21">
        <w:rPr>
          <w:rFonts w:ascii="Arial" w:hAnsi="Arial" w:cs="Arial"/>
          <w:lang w:eastAsia="es-CO"/>
        </w:rPr>
        <w:t xml:space="preserve"> contables.</w:t>
      </w:r>
    </w:p>
    <w:p w14:paraId="792DF6FB" w14:textId="77777777" w:rsidR="009730F6" w:rsidRPr="004012B8" w:rsidRDefault="00B31955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B31955">
        <w:rPr>
          <w:rFonts w:ascii="Arial" w:hAnsi="Arial" w:cs="Arial"/>
          <w:lang w:eastAsia="es-CO"/>
        </w:rPr>
        <w:t xml:space="preserve">SIIF Nación es administrado por el Ministerio de Hacienda y Crédito Público y parametrizado por la </w:t>
      </w:r>
      <w:r w:rsidR="00EB4F21">
        <w:rPr>
          <w:rFonts w:ascii="Arial" w:hAnsi="Arial" w:cs="Arial"/>
          <w:lang w:eastAsia="es-CO"/>
        </w:rPr>
        <w:t xml:space="preserve">Contaduría </w:t>
      </w:r>
      <w:r w:rsidRPr="00B31955">
        <w:rPr>
          <w:rFonts w:ascii="Arial" w:hAnsi="Arial" w:cs="Arial"/>
          <w:lang w:eastAsia="es-CO"/>
        </w:rPr>
        <w:t>G</w:t>
      </w:r>
      <w:r w:rsidR="00EB4F21">
        <w:rPr>
          <w:rFonts w:ascii="Arial" w:hAnsi="Arial" w:cs="Arial"/>
          <w:lang w:eastAsia="es-CO"/>
        </w:rPr>
        <w:t xml:space="preserve">eneral de la </w:t>
      </w:r>
      <w:r w:rsidRPr="00B31955">
        <w:rPr>
          <w:rFonts w:ascii="Arial" w:hAnsi="Arial" w:cs="Arial"/>
          <w:lang w:eastAsia="es-CO"/>
        </w:rPr>
        <w:t>N</w:t>
      </w:r>
      <w:r w:rsidR="00EB4F21">
        <w:rPr>
          <w:rFonts w:ascii="Arial" w:hAnsi="Arial" w:cs="Arial"/>
          <w:lang w:eastAsia="es-CO"/>
        </w:rPr>
        <w:t>ación (CGN)</w:t>
      </w:r>
      <w:r w:rsidRPr="00B31955">
        <w:rPr>
          <w:rFonts w:ascii="Arial" w:hAnsi="Arial" w:cs="Arial"/>
          <w:lang w:eastAsia="es-CO"/>
        </w:rPr>
        <w:t xml:space="preserve"> dejando la trazabilidad de todos los registros efectuados.</w:t>
      </w:r>
    </w:p>
    <w:p w14:paraId="7368E0DC" w14:textId="77777777" w:rsidR="004012B8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012B8">
        <w:rPr>
          <w:rFonts w:ascii="Arial" w:hAnsi="Arial" w:cs="Arial"/>
          <w:lang w:eastAsia="es-CO"/>
        </w:rPr>
        <w:t xml:space="preserve">El aplicativo SIIF Nación funciona a través </w:t>
      </w:r>
      <w:proofErr w:type="spellStart"/>
      <w:proofErr w:type="gramStart"/>
      <w:r w:rsidRPr="004012B8">
        <w:rPr>
          <w:rFonts w:ascii="Arial" w:hAnsi="Arial" w:cs="Arial"/>
          <w:lang w:eastAsia="es-CO"/>
        </w:rPr>
        <w:t>sub-unidades</w:t>
      </w:r>
      <w:proofErr w:type="spellEnd"/>
      <w:proofErr w:type="gramEnd"/>
      <w:r w:rsidRPr="004012B8">
        <w:rPr>
          <w:rFonts w:ascii="Arial" w:hAnsi="Arial" w:cs="Arial"/>
          <w:lang w:eastAsia="es-CO"/>
        </w:rPr>
        <w:t xml:space="preserve"> ejecutoras (Regionales) lo que permite verificar los registros en los libros </w:t>
      </w:r>
      <w:r w:rsidR="00EB4F21">
        <w:rPr>
          <w:rFonts w:ascii="Arial" w:hAnsi="Arial" w:cs="Arial"/>
          <w:lang w:eastAsia="es-CO"/>
        </w:rPr>
        <w:t xml:space="preserve">contables </w:t>
      </w:r>
      <w:r w:rsidRPr="004012B8">
        <w:rPr>
          <w:rFonts w:ascii="Arial" w:hAnsi="Arial" w:cs="Arial"/>
          <w:lang w:eastAsia="es-CO"/>
        </w:rPr>
        <w:t>por cada subunidad y en el periodo requerido.</w:t>
      </w:r>
    </w:p>
    <w:p w14:paraId="1987447F" w14:textId="77777777" w:rsidR="009730F6" w:rsidRPr="00261FA9" w:rsidRDefault="009730F6" w:rsidP="00261FA9">
      <w:pPr>
        <w:pStyle w:val="Prrafodelista"/>
        <w:keepNext/>
        <w:keepLines/>
        <w:numPr>
          <w:ilvl w:val="3"/>
          <w:numId w:val="15"/>
        </w:numPr>
        <w:spacing w:before="40" w:line="276" w:lineRule="auto"/>
        <w:outlineLvl w:val="3"/>
        <w:rPr>
          <w:rFonts w:ascii="Arial" w:eastAsiaTheme="majorEastAsia" w:hAnsi="Arial" w:cs="Arial"/>
          <w:b/>
          <w:bCs/>
          <w:sz w:val="22"/>
          <w:szCs w:val="22"/>
          <w:lang w:eastAsia="es-CO"/>
        </w:rPr>
      </w:pPr>
      <w:bookmarkStart w:id="12" w:name="_Toc34399171"/>
      <w:bookmarkStart w:id="13" w:name="_Toc66790673"/>
      <w:r w:rsidRPr="00261FA9">
        <w:rPr>
          <w:rFonts w:ascii="Arial" w:eastAsiaTheme="majorEastAsia" w:hAnsi="Arial" w:cs="Arial"/>
          <w:b/>
          <w:bCs/>
          <w:sz w:val="22"/>
          <w:szCs w:val="22"/>
          <w:lang w:eastAsia="es-CO"/>
        </w:rPr>
        <w:t>Medición Inicial</w:t>
      </w:r>
      <w:bookmarkEnd w:id="12"/>
      <w:bookmarkEnd w:id="13"/>
    </w:p>
    <w:p w14:paraId="755B7741" w14:textId="77777777" w:rsidR="009730F6" w:rsidRPr="009730F6" w:rsidRDefault="009730F6" w:rsidP="00261FA9">
      <w:pPr>
        <w:spacing w:after="0"/>
        <w:ind w:left="1080"/>
        <w:rPr>
          <w:rFonts w:ascii="Times New Roman" w:eastAsia="Times New Roman" w:hAnsi="Times New Roman"/>
          <w:sz w:val="24"/>
          <w:szCs w:val="24"/>
          <w:highlight w:val="green"/>
          <w:lang w:val="es-CO" w:eastAsia="es-CO"/>
        </w:rPr>
      </w:pPr>
    </w:p>
    <w:p w14:paraId="50FADE84" w14:textId="77777777" w:rsidR="009730F6" w:rsidRPr="009730F6" w:rsidRDefault="00EB4F2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B4F21">
        <w:rPr>
          <w:rFonts w:ascii="Arial" w:hAnsi="Arial" w:cs="Arial"/>
          <w:i/>
          <w:iCs/>
          <w:sz w:val="20"/>
          <w:szCs w:val="20"/>
          <w:lang w:eastAsia="es-CO"/>
        </w:rPr>
        <w:t>El MANUAL DE POLÍTICAS CONTABLES DEL ICBF BAJO EL MARCO NORMATIVO PARA ENTIDADES DE GOBIERNO MO3.P31.GF V2</w:t>
      </w:r>
      <w:r w:rsidRPr="00EB4F21">
        <w:rPr>
          <w:rFonts w:ascii="Arial" w:hAnsi="Arial" w:cs="Arial"/>
          <w:sz w:val="20"/>
          <w:szCs w:val="20"/>
          <w:lang w:eastAsia="es-CO"/>
        </w:rPr>
        <w:t xml:space="preserve"> </w:t>
      </w:r>
      <w:r w:rsidRPr="00EB4F21">
        <w:rPr>
          <w:rFonts w:ascii="Arial" w:hAnsi="Arial" w:cs="Arial"/>
          <w:lang w:eastAsia="es-CO"/>
        </w:rPr>
        <w:t xml:space="preserve">del 10/08/2018 elaborado por el ICBF establece los </w:t>
      </w:r>
      <w:r>
        <w:rPr>
          <w:rFonts w:ascii="Arial" w:hAnsi="Arial" w:cs="Arial"/>
          <w:lang w:eastAsia="es-CO"/>
        </w:rPr>
        <w:t xml:space="preserve">lineamientos y </w:t>
      </w:r>
      <w:r w:rsidRPr="00EB4F21">
        <w:rPr>
          <w:rFonts w:ascii="Arial" w:hAnsi="Arial" w:cs="Arial"/>
          <w:lang w:eastAsia="es-CO"/>
        </w:rPr>
        <w:t>criterios aplicables a la</w:t>
      </w:r>
      <w:r w:rsidR="00BD37BA">
        <w:rPr>
          <w:rFonts w:ascii="Arial" w:hAnsi="Arial" w:cs="Arial"/>
          <w:lang w:eastAsia="es-CO"/>
        </w:rPr>
        <w:t xml:space="preserve"> E</w:t>
      </w:r>
      <w:r w:rsidRPr="00EB4F21">
        <w:rPr>
          <w:rFonts w:ascii="Arial" w:hAnsi="Arial" w:cs="Arial"/>
          <w:lang w:eastAsia="es-CO"/>
        </w:rPr>
        <w:t xml:space="preserve">ntidad para la medición de activos, pasivos, ingresos, gastos y costos de los hechos económicos bajo el nuevo Marco Normativo y se encuentra publicado en la intranet en el Modelo de Operación por Procesos; </w:t>
      </w:r>
      <w:r w:rsidR="0078032B">
        <w:rPr>
          <w:rFonts w:ascii="Arial" w:hAnsi="Arial" w:cs="Arial"/>
          <w:lang w:eastAsia="es-CO"/>
        </w:rPr>
        <w:t xml:space="preserve">además, </w:t>
      </w:r>
      <w:r w:rsidRPr="00EB4F21">
        <w:rPr>
          <w:rFonts w:ascii="Arial" w:hAnsi="Arial" w:cs="Arial"/>
          <w:lang w:eastAsia="es-CO"/>
        </w:rPr>
        <w:t>a través de correo electrónico, videoconferencias y mesas de trabajo se han compartido diferentes aspectos técnicos y normativos a tener en cuenta por los equipos financieros y las dependencias.</w:t>
      </w:r>
      <w:r w:rsidR="009730F6" w:rsidRPr="009730F6">
        <w:rPr>
          <w:rFonts w:ascii="Arial" w:hAnsi="Arial" w:cs="Arial"/>
          <w:lang w:eastAsia="es-CO"/>
        </w:rPr>
        <w:t xml:space="preserve"> </w:t>
      </w:r>
    </w:p>
    <w:p w14:paraId="433748FE" w14:textId="20EF7E61" w:rsidR="00E933BB" w:rsidRDefault="00EB4F2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B4F21">
        <w:rPr>
          <w:rFonts w:ascii="Arial" w:hAnsi="Arial" w:cs="Arial"/>
          <w:lang w:eastAsia="es-CO"/>
        </w:rPr>
        <w:t xml:space="preserve">Los criterios de medición de los hechos económicos que se reconocen en el activo, pasivo, ingreso, gastos y costos se aplican acorde con lo establecido en el </w:t>
      </w:r>
      <w:r w:rsidRPr="00EB4F21">
        <w:rPr>
          <w:rFonts w:ascii="Arial" w:hAnsi="Arial" w:cs="Arial"/>
          <w:i/>
          <w:iCs/>
          <w:sz w:val="20"/>
          <w:szCs w:val="20"/>
          <w:lang w:eastAsia="es-CO"/>
        </w:rPr>
        <w:t xml:space="preserve">MANUAL DE POLÍTICAS CONTABLES DEL ICBF BAJO EL MARCO NORMATIVO PARA ENTIDADES DE GOBIERNO MO3.P31.GF V2 </w:t>
      </w:r>
      <w:r w:rsidRPr="00EB4F21">
        <w:rPr>
          <w:rFonts w:ascii="Arial" w:hAnsi="Arial" w:cs="Arial"/>
          <w:lang w:eastAsia="es-CO"/>
        </w:rPr>
        <w:t xml:space="preserve">del 10/08/2018; además, el SIIF Nación es administrado por el Ministerio de Hacienda y Crédito Público, parametrizado por la </w:t>
      </w:r>
      <w:r w:rsidR="005E62A0">
        <w:rPr>
          <w:rFonts w:ascii="Arial" w:hAnsi="Arial" w:cs="Arial"/>
          <w:lang w:eastAsia="es-CO"/>
        </w:rPr>
        <w:t xml:space="preserve">Contaduría </w:t>
      </w:r>
      <w:r w:rsidRPr="00EB4F21">
        <w:rPr>
          <w:rFonts w:ascii="Arial" w:hAnsi="Arial" w:cs="Arial"/>
          <w:lang w:eastAsia="es-CO"/>
        </w:rPr>
        <w:t>G</w:t>
      </w:r>
      <w:r w:rsidR="005E62A0">
        <w:rPr>
          <w:rFonts w:ascii="Arial" w:hAnsi="Arial" w:cs="Arial"/>
          <w:lang w:eastAsia="es-CO"/>
        </w:rPr>
        <w:t xml:space="preserve">eneral de la </w:t>
      </w:r>
      <w:r w:rsidRPr="00EB4F21">
        <w:rPr>
          <w:rFonts w:ascii="Arial" w:hAnsi="Arial" w:cs="Arial"/>
          <w:lang w:eastAsia="es-CO"/>
        </w:rPr>
        <w:t>N</w:t>
      </w:r>
      <w:r w:rsidR="005E62A0">
        <w:rPr>
          <w:rFonts w:ascii="Arial" w:hAnsi="Arial" w:cs="Arial"/>
          <w:lang w:eastAsia="es-CO"/>
        </w:rPr>
        <w:t>ación (CGN)</w:t>
      </w:r>
      <w:r w:rsidRPr="00EB4F21">
        <w:rPr>
          <w:rFonts w:ascii="Arial" w:hAnsi="Arial" w:cs="Arial"/>
          <w:lang w:eastAsia="es-CO"/>
        </w:rPr>
        <w:t xml:space="preserve"> y cumple con los requisitos del nuevo marco normativo aplicable para el sector Público.</w:t>
      </w:r>
    </w:p>
    <w:p w14:paraId="1ED01479" w14:textId="77777777" w:rsidR="00F26BF4" w:rsidRPr="004012B8" w:rsidRDefault="00F26BF4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</w:p>
    <w:p w14:paraId="3AF80659" w14:textId="77777777" w:rsidR="00C86965" w:rsidRDefault="00C86965" w:rsidP="00261FA9">
      <w:pPr>
        <w:pStyle w:val="Ttulo4"/>
        <w:numPr>
          <w:ilvl w:val="3"/>
          <w:numId w:val="15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4" w:name="_Toc66790674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lastRenderedPageBreak/>
        <w:t xml:space="preserve">Medición </w:t>
      </w:r>
      <w:r w:rsidR="00D05324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P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osterior</w:t>
      </w:r>
      <w:bookmarkEnd w:id="14"/>
    </w:p>
    <w:p w14:paraId="58186883" w14:textId="77777777" w:rsidR="00EF08F3" w:rsidRPr="00EF08F3" w:rsidRDefault="00EF08F3" w:rsidP="00261FA9">
      <w:pPr>
        <w:pStyle w:val="Prrafodelista"/>
        <w:spacing w:line="276" w:lineRule="auto"/>
        <w:ind w:left="1080"/>
        <w:rPr>
          <w:lang w:eastAsia="es-CO"/>
        </w:rPr>
      </w:pPr>
    </w:p>
    <w:p w14:paraId="3B6E3DCF" w14:textId="77777777" w:rsidR="00ED489D" w:rsidRDefault="00ED489D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D489D">
        <w:rPr>
          <w:rFonts w:ascii="Arial" w:hAnsi="Arial" w:cs="Arial"/>
          <w:lang w:eastAsia="es-CO"/>
        </w:rPr>
        <w:t xml:space="preserve">En el </w:t>
      </w:r>
      <w:r w:rsidRPr="00ED489D">
        <w:rPr>
          <w:rFonts w:ascii="Arial" w:hAnsi="Arial" w:cs="Arial"/>
          <w:i/>
          <w:iCs/>
          <w:sz w:val="20"/>
          <w:szCs w:val="20"/>
          <w:lang w:eastAsia="es-CO"/>
        </w:rPr>
        <w:t>MANUAL DE POLÍTICAS CONTABLES DEL ICBF BAJO EL MARCO NORMATIVO PARA ENTIDADES DE GOBIERNO MO3.P31.GF V2</w:t>
      </w:r>
      <w:r w:rsidRPr="00ED489D">
        <w:rPr>
          <w:rFonts w:ascii="Arial" w:hAnsi="Arial" w:cs="Arial"/>
          <w:sz w:val="20"/>
          <w:szCs w:val="20"/>
          <w:lang w:eastAsia="es-CO"/>
        </w:rPr>
        <w:t xml:space="preserve"> </w:t>
      </w:r>
      <w:r w:rsidRPr="00ED489D">
        <w:rPr>
          <w:rFonts w:ascii="Arial" w:hAnsi="Arial" w:cs="Arial"/>
          <w:lang w:eastAsia="es-CO"/>
        </w:rPr>
        <w:t>del 10/08/2018 publicado en la intranet se establecieron los requisitos aplicable</w:t>
      </w:r>
      <w:r>
        <w:rPr>
          <w:rFonts w:ascii="Arial" w:hAnsi="Arial" w:cs="Arial"/>
          <w:lang w:eastAsia="es-CO"/>
        </w:rPr>
        <w:t>s</w:t>
      </w:r>
      <w:r w:rsidRPr="00ED489D">
        <w:rPr>
          <w:rFonts w:ascii="Arial" w:hAnsi="Arial" w:cs="Arial"/>
          <w:lang w:eastAsia="es-CO"/>
        </w:rPr>
        <w:t xml:space="preserve"> a los cálculos de depreciación, amortización, agotamiento y deterioro. </w:t>
      </w:r>
    </w:p>
    <w:p w14:paraId="0F460E56" w14:textId="77777777" w:rsidR="00081187" w:rsidRDefault="00ED489D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</w:t>
      </w:r>
      <w:r w:rsidRPr="00ED489D">
        <w:rPr>
          <w:rFonts w:ascii="Arial" w:hAnsi="Arial" w:cs="Arial"/>
          <w:lang w:eastAsia="es-CO"/>
        </w:rPr>
        <w:t xml:space="preserve">as dependencias </w:t>
      </w:r>
      <w:r>
        <w:rPr>
          <w:rFonts w:ascii="Arial" w:hAnsi="Arial" w:cs="Arial"/>
          <w:lang w:eastAsia="es-CO"/>
        </w:rPr>
        <w:t>proveedoras de información al</w:t>
      </w:r>
      <w:r w:rsidRPr="00ED489D">
        <w:rPr>
          <w:rFonts w:ascii="Arial" w:hAnsi="Arial" w:cs="Arial"/>
          <w:lang w:eastAsia="es-CO"/>
        </w:rPr>
        <w:t xml:space="preserve"> Proceso </w:t>
      </w:r>
      <w:r w:rsidRPr="00BD5DCD">
        <w:rPr>
          <w:rFonts w:ascii="Arial" w:hAnsi="Arial" w:cs="Arial"/>
          <w:i/>
          <w:lang w:eastAsia="es-CO"/>
        </w:rPr>
        <w:t>Gestión Financiera</w:t>
      </w:r>
      <w:r w:rsidRPr="00ED489D">
        <w:rPr>
          <w:rFonts w:ascii="Arial" w:hAnsi="Arial" w:cs="Arial"/>
          <w:lang w:eastAsia="es-CO"/>
        </w:rPr>
        <w:t xml:space="preserve"> cuenta</w:t>
      </w:r>
      <w:r>
        <w:rPr>
          <w:rFonts w:ascii="Arial" w:hAnsi="Arial" w:cs="Arial"/>
          <w:lang w:eastAsia="es-CO"/>
        </w:rPr>
        <w:t>n</w:t>
      </w:r>
      <w:r w:rsidRPr="00ED489D">
        <w:rPr>
          <w:rFonts w:ascii="Arial" w:hAnsi="Arial" w:cs="Arial"/>
          <w:lang w:eastAsia="es-CO"/>
        </w:rPr>
        <w:t xml:space="preserve"> con herramientas tecnológicas que están parametrizadas acorde con el marco normativo facilitando los cálculos, el registro y verificación. </w:t>
      </w:r>
      <w:r>
        <w:rPr>
          <w:rFonts w:ascii="Arial" w:hAnsi="Arial" w:cs="Arial"/>
          <w:lang w:eastAsia="es-CO"/>
        </w:rPr>
        <w:t>Las</w:t>
      </w:r>
      <w:r w:rsidR="00F46DEE" w:rsidRPr="00F46DEE">
        <w:rPr>
          <w:rFonts w:ascii="Arial" w:hAnsi="Arial" w:cs="Arial"/>
          <w:lang w:eastAsia="es-CO"/>
        </w:rPr>
        <w:t xml:space="preserve"> estimaciones se detalla</w:t>
      </w:r>
      <w:r>
        <w:rPr>
          <w:rFonts w:ascii="Arial" w:hAnsi="Arial" w:cs="Arial"/>
          <w:lang w:eastAsia="es-CO"/>
        </w:rPr>
        <w:t>n</w:t>
      </w:r>
      <w:r w:rsidR="00F46DEE" w:rsidRPr="00F46DEE">
        <w:rPr>
          <w:rFonts w:ascii="Arial" w:hAnsi="Arial" w:cs="Arial"/>
          <w:lang w:eastAsia="es-CO"/>
        </w:rPr>
        <w:t xml:space="preserve"> en los procedimientos de cada </w:t>
      </w:r>
      <w:r w:rsidR="00822211">
        <w:rPr>
          <w:rFonts w:ascii="Arial" w:hAnsi="Arial" w:cs="Arial"/>
          <w:lang w:eastAsia="es-CO"/>
        </w:rPr>
        <w:t xml:space="preserve">dependencia </w:t>
      </w:r>
      <w:r w:rsidR="00146949">
        <w:rPr>
          <w:rFonts w:ascii="Arial" w:hAnsi="Arial" w:cs="Arial"/>
          <w:lang w:eastAsia="es-CO"/>
        </w:rPr>
        <w:t xml:space="preserve">en </w:t>
      </w:r>
      <w:r w:rsidR="00FD792B">
        <w:rPr>
          <w:rFonts w:ascii="Arial" w:hAnsi="Arial" w:cs="Arial"/>
          <w:lang w:eastAsia="es-CO"/>
        </w:rPr>
        <w:t>armonía con</w:t>
      </w:r>
      <w:r w:rsidR="002516D0">
        <w:rPr>
          <w:rFonts w:ascii="Arial" w:hAnsi="Arial" w:cs="Arial"/>
          <w:lang w:eastAsia="es-CO"/>
        </w:rPr>
        <w:t xml:space="preserve"> la</w:t>
      </w:r>
      <w:r w:rsidR="00F46DEE" w:rsidRPr="00F46DEE">
        <w:rPr>
          <w:rFonts w:ascii="Arial" w:hAnsi="Arial" w:cs="Arial"/>
          <w:lang w:eastAsia="es-CO"/>
        </w:rPr>
        <w:t xml:space="preserve"> Política contable del ICBF</w:t>
      </w:r>
      <w:r w:rsidR="00021BE8">
        <w:rPr>
          <w:rFonts w:ascii="Arial" w:hAnsi="Arial" w:cs="Arial"/>
          <w:lang w:eastAsia="es-CO"/>
        </w:rPr>
        <w:t>.</w:t>
      </w:r>
    </w:p>
    <w:p w14:paraId="0DA0AE72" w14:textId="77777777" w:rsidR="00E933BB" w:rsidRDefault="00F46DE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En el Manual de Políticas se </w:t>
      </w:r>
      <w:r w:rsidR="00ED489D">
        <w:rPr>
          <w:rFonts w:ascii="Arial" w:hAnsi="Arial" w:cs="Arial"/>
          <w:lang w:eastAsia="es-CO"/>
        </w:rPr>
        <w:t xml:space="preserve">estableció la estructura y el contenido de </w:t>
      </w:r>
      <w:r w:rsidR="002516D0">
        <w:rPr>
          <w:rFonts w:ascii="Arial" w:hAnsi="Arial" w:cs="Arial"/>
          <w:lang w:eastAsia="es-CO"/>
        </w:rPr>
        <w:t>los estados financieros</w:t>
      </w:r>
      <w:r w:rsidR="00ED489D">
        <w:rPr>
          <w:rFonts w:ascii="Arial" w:hAnsi="Arial" w:cs="Arial"/>
          <w:lang w:eastAsia="es-CO"/>
        </w:rPr>
        <w:t xml:space="preserve"> </w:t>
      </w:r>
      <w:r w:rsidR="00A121CF">
        <w:rPr>
          <w:rFonts w:ascii="Arial" w:hAnsi="Arial" w:cs="Arial"/>
          <w:lang w:eastAsia="es-CO"/>
        </w:rPr>
        <w:t xml:space="preserve">así como </w:t>
      </w:r>
      <w:r w:rsidRPr="00F46DEE">
        <w:rPr>
          <w:rFonts w:ascii="Arial" w:hAnsi="Arial" w:cs="Arial"/>
          <w:lang w:eastAsia="es-CO"/>
        </w:rPr>
        <w:t xml:space="preserve">los hechos que originan los cambios en </w:t>
      </w:r>
      <w:r w:rsidR="00ED489D">
        <w:rPr>
          <w:rFonts w:ascii="Arial" w:hAnsi="Arial" w:cs="Arial"/>
          <w:lang w:eastAsia="es-CO"/>
        </w:rPr>
        <w:t xml:space="preserve">la </w:t>
      </w:r>
      <w:r w:rsidRPr="00F46DEE">
        <w:rPr>
          <w:rFonts w:ascii="Arial" w:hAnsi="Arial" w:cs="Arial"/>
          <w:lang w:eastAsia="es-CO"/>
        </w:rPr>
        <w:t>valoración de activos y pasivos</w:t>
      </w:r>
      <w:r w:rsidR="00A121CF">
        <w:rPr>
          <w:rFonts w:ascii="Arial" w:hAnsi="Arial" w:cs="Arial"/>
          <w:lang w:eastAsia="es-CO"/>
        </w:rPr>
        <w:t xml:space="preserve"> y</w:t>
      </w:r>
      <w:r w:rsidR="002516D0">
        <w:rPr>
          <w:rFonts w:ascii="Arial" w:hAnsi="Arial" w:cs="Arial"/>
          <w:lang w:eastAsia="es-CO"/>
        </w:rPr>
        <w:t xml:space="preserve"> </w:t>
      </w:r>
      <w:r w:rsidRPr="00F46DEE">
        <w:rPr>
          <w:rFonts w:ascii="Arial" w:hAnsi="Arial" w:cs="Arial"/>
          <w:lang w:eastAsia="es-CO"/>
        </w:rPr>
        <w:t>los requisitos y métodos</w:t>
      </w:r>
      <w:r w:rsidR="002516D0">
        <w:rPr>
          <w:rFonts w:ascii="Arial" w:hAnsi="Arial" w:cs="Arial"/>
          <w:lang w:eastAsia="es-CO"/>
        </w:rPr>
        <w:t xml:space="preserve"> permitidos </w:t>
      </w:r>
      <w:r w:rsidRPr="00F46DEE">
        <w:rPr>
          <w:rFonts w:ascii="Arial" w:hAnsi="Arial" w:cs="Arial"/>
          <w:lang w:eastAsia="es-CO"/>
        </w:rPr>
        <w:t>para la Medición Posterior.</w:t>
      </w:r>
    </w:p>
    <w:p w14:paraId="6850FD8A" w14:textId="77777777" w:rsidR="00C86965" w:rsidRDefault="00C86965" w:rsidP="00261FA9">
      <w:pPr>
        <w:pStyle w:val="Ttulo4"/>
        <w:numPr>
          <w:ilvl w:val="3"/>
          <w:numId w:val="15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5" w:name="_Toc66790675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Pres</w:t>
      </w:r>
      <w:r w:rsidR="00EA7388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entación de Estados F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inancieros</w:t>
      </w:r>
      <w:bookmarkEnd w:id="15"/>
    </w:p>
    <w:p w14:paraId="061B84D5" w14:textId="77777777" w:rsidR="00EF08F3" w:rsidRPr="00EF08F3" w:rsidRDefault="00EF08F3" w:rsidP="00261FA9">
      <w:pPr>
        <w:pStyle w:val="Prrafodelista"/>
        <w:spacing w:line="276" w:lineRule="auto"/>
        <w:ind w:left="1080"/>
        <w:rPr>
          <w:lang w:eastAsia="es-CO"/>
        </w:rPr>
      </w:pPr>
    </w:p>
    <w:p w14:paraId="68C38FDB" w14:textId="77777777" w:rsidR="00C86965" w:rsidRPr="00C579F8" w:rsidRDefault="00EA738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933BB">
        <w:rPr>
          <w:rFonts w:ascii="Arial" w:hAnsi="Arial" w:cs="Arial"/>
          <w:lang w:eastAsia="es-CO"/>
        </w:rPr>
        <w:t xml:space="preserve">La Entidad </w:t>
      </w:r>
      <w:r w:rsidR="006E28A9" w:rsidRPr="00E933BB">
        <w:rPr>
          <w:rFonts w:ascii="Arial" w:hAnsi="Arial" w:cs="Arial"/>
          <w:lang w:eastAsia="es-CO"/>
        </w:rPr>
        <w:t xml:space="preserve">en </w:t>
      </w:r>
      <w:r w:rsidR="006A1028" w:rsidRPr="00E933BB">
        <w:rPr>
          <w:rFonts w:ascii="Arial" w:hAnsi="Arial" w:cs="Arial"/>
          <w:lang w:eastAsia="es-CO"/>
        </w:rPr>
        <w:t xml:space="preserve">la </w:t>
      </w:r>
      <w:r w:rsidR="006E28A9" w:rsidRPr="00E933BB">
        <w:rPr>
          <w:rFonts w:ascii="Arial" w:hAnsi="Arial" w:cs="Arial"/>
          <w:lang w:eastAsia="es-CO"/>
        </w:rPr>
        <w:t>vigencia 2020</w:t>
      </w:r>
      <w:r w:rsidRPr="00E933BB">
        <w:rPr>
          <w:rFonts w:ascii="Arial" w:hAnsi="Arial" w:cs="Arial"/>
          <w:lang w:eastAsia="es-CO"/>
        </w:rPr>
        <w:t xml:space="preserve"> elaboró y entreg</w:t>
      </w:r>
      <w:r w:rsidR="003B503D" w:rsidRPr="00E933BB">
        <w:rPr>
          <w:rFonts w:ascii="Arial" w:hAnsi="Arial" w:cs="Arial"/>
          <w:lang w:eastAsia="es-CO"/>
        </w:rPr>
        <w:t>ó</w:t>
      </w:r>
      <w:r w:rsidRPr="00E933BB">
        <w:rPr>
          <w:rFonts w:ascii="Arial" w:hAnsi="Arial" w:cs="Arial"/>
          <w:lang w:eastAsia="es-CO"/>
        </w:rPr>
        <w:t xml:space="preserve"> oportunamente los Estados F</w:t>
      </w:r>
      <w:r w:rsidR="00F46DEE" w:rsidRPr="00E933BB">
        <w:rPr>
          <w:rFonts w:ascii="Arial" w:hAnsi="Arial" w:cs="Arial"/>
          <w:lang w:eastAsia="es-CO"/>
        </w:rPr>
        <w:t>inancieros</w:t>
      </w:r>
      <w:r w:rsidR="00936D4A">
        <w:rPr>
          <w:rFonts w:ascii="Arial" w:hAnsi="Arial" w:cs="Arial"/>
          <w:lang w:eastAsia="es-CO"/>
        </w:rPr>
        <w:t xml:space="preserve"> </w:t>
      </w:r>
      <w:r w:rsidR="00936D4A" w:rsidRPr="00EF6293">
        <w:rPr>
          <w:rFonts w:ascii="Arial" w:hAnsi="Arial" w:cs="Arial"/>
          <w:sz w:val="20"/>
          <w:szCs w:val="20"/>
          <w:lang w:eastAsia="es-CO"/>
        </w:rPr>
        <w:t>(</w:t>
      </w:r>
      <w:r w:rsidR="00936D4A" w:rsidRPr="00EF6293">
        <w:rPr>
          <w:rFonts w:ascii="Arial" w:hAnsi="Arial" w:cs="Arial"/>
          <w:i/>
          <w:iCs/>
          <w:sz w:val="20"/>
          <w:szCs w:val="20"/>
          <w:lang w:eastAsia="es-CO"/>
        </w:rPr>
        <w:t>Estado de Situación Financiera; Estado de Resultados; Estado de Cambios en el Patrimonio y Las Notas a los Estados Financieros</w:t>
      </w:r>
      <w:r w:rsidR="00936D4A" w:rsidRPr="00EF6293">
        <w:rPr>
          <w:rFonts w:ascii="Arial" w:hAnsi="Arial" w:cs="Arial"/>
          <w:sz w:val="20"/>
          <w:szCs w:val="20"/>
          <w:lang w:eastAsia="es-CO"/>
        </w:rPr>
        <w:t>)</w:t>
      </w:r>
      <w:r w:rsidR="00F46DEE" w:rsidRPr="00EF6293">
        <w:rPr>
          <w:rFonts w:ascii="Arial" w:hAnsi="Arial" w:cs="Arial"/>
          <w:sz w:val="20"/>
          <w:szCs w:val="20"/>
          <w:lang w:eastAsia="es-CO"/>
        </w:rPr>
        <w:t>,</w:t>
      </w:r>
      <w:r w:rsidR="00F46DEE" w:rsidRPr="00E933BB">
        <w:rPr>
          <w:rFonts w:ascii="Arial" w:hAnsi="Arial" w:cs="Arial"/>
          <w:lang w:eastAsia="es-CO"/>
        </w:rPr>
        <w:t xml:space="preserve"> informes y reportes contables</w:t>
      </w:r>
      <w:r w:rsidRPr="00E933BB">
        <w:rPr>
          <w:rFonts w:ascii="Arial" w:hAnsi="Arial" w:cs="Arial"/>
          <w:lang w:eastAsia="es-CO"/>
        </w:rPr>
        <w:t xml:space="preserve"> a los usuarios de la información financiera</w:t>
      </w:r>
      <w:r w:rsidR="00A121CF">
        <w:rPr>
          <w:rFonts w:ascii="Arial" w:hAnsi="Arial" w:cs="Arial"/>
          <w:lang w:eastAsia="es-CO"/>
        </w:rPr>
        <w:t>.</w:t>
      </w:r>
    </w:p>
    <w:p w14:paraId="3172B268" w14:textId="402D1BDE" w:rsidR="00A121CF" w:rsidRDefault="00A121CF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A4542">
        <w:rPr>
          <w:rFonts w:ascii="Arial" w:hAnsi="Arial" w:cs="Arial"/>
          <w:lang w:eastAsia="es-CO"/>
        </w:rPr>
        <w:t>Mensualmente se publican los Estados Financieros en la</w:t>
      </w:r>
      <w:r w:rsidR="001A254D" w:rsidRPr="00EA4542">
        <w:rPr>
          <w:rFonts w:ascii="Arial" w:hAnsi="Arial" w:cs="Arial"/>
          <w:lang w:eastAsia="es-CO"/>
        </w:rPr>
        <w:t xml:space="preserve"> cartelera y en</w:t>
      </w:r>
      <w:r w:rsidR="00EA4542" w:rsidRPr="00EA4542">
        <w:rPr>
          <w:rFonts w:ascii="Arial" w:hAnsi="Arial" w:cs="Arial"/>
          <w:lang w:eastAsia="es-CO"/>
        </w:rPr>
        <w:t xml:space="preserve"> la página</w:t>
      </w:r>
      <w:r w:rsidRPr="00EA4542">
        <w:rPr>
          <w:rFonts w:ascii="Arial" w:hAnsi="Arial" w:cs="Arial"/>
          <w:lang w:eastAsia="es-CO"/>
        </w:rPr>
        <w:t xml:space="preserve"> web del ICBF y trimestralmente se transmiten a través del sistema CHIP de la </w:t>
      </w:r>
      <w:r w:rsidR="00936D4A" w:rsidRPr="00EA4542">
        <w:rPr>
          <w:rFonts w:ascii="Arial" w:hAnsi="Arial" w:cs="Arial"/>
          <w:lang w:eastAsia="es-CO"/>
        </w:rPr>
        <w:t xml:space="preserve">Contaduría </w:t>
      </w:r>
      <w:r w:rsidRPr="00EA4542">
        <w:rPr>
          <w:rFonts w:ascii="Arial" w:hAnsi="Arial" w:cs="Arial"/>
          <w:lang w:eastAsia="es-CO"/>
        </w:rPr>
        <w:t>G</w:t>
      </w:r>
      <w:r w:rsidR="00936D4A" w:rsidRPr="00EA4542">
        <w:rPr>
          <w:rFonts w:ascii="Arial" w:hAnsi="Arial" w:cs="Arial"/>
          <w:lang w:eastAsia="es-CO"/>
        </w:rPr>
        <w:t xml:space="preserve">eneral de la </w:t>
      </w:r>
      <w:r w:rsidRPr="00EA4542">
        <w:rPr>
          <w:rFonts w:ascii="Arial" w:hAnsi="Arial" w:cs="Arial"/>
          <w:lang w:eastAsia="es-CO"/>
        </w:rPr>
        <w:t>N</w:t>
      </w:r>
      <w:r w:rsidR="00936D4A" w:rsidRPr="00EA4542">
        <w:rPr>
          <w:rFonts w:ascii="Arial" w:hAnsi="Arial" w:cs="Arial"/>
          <w:lang w:eastAsia="es-CO"/>
        </w:rPr>
        <w:t>ación (CGN)</w:t>
      </w:r>
      <w:r w:rsidRPr="00EA4542">
        <w:rPr>
          <w:rFonts w:ascii="Arial" w:hAnsi="Arial" w:cs="Arial"/>
          <w:lang w:eastAsia="es-CO"/>
        </w:rPr>
        <w:t>.</w:t>
      </w:r>
      <w:r w:rsidRPr="00A121CF">
        <w:rPr>
          <w:rFonts w:ascii="Arial" w:hAnsi="Arial" w:cs="Arial"/>
          <w:lang w:eastAsia="es-CO"/>
        </w:rPr>
        <w:t xml:space="preserve"> </w:t>
      </w:r>
    </w:p>
    <w:p w14:paraId="1832FE33" w14:textId="774384CA" w:rsidR="00C36A36" w:rsidRDefault="00C36A3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A4542">
        <w:rPr>
          <w:rFonts w:ascii="Arial" w:hAnsi="Arial" w:cs="Arial"/>
          <w:lang w:eastAsia="es-CO"/>
        </w:rPr>
        <w:t xml:space="preserve">La toma de </w:t>
      </w:r>
      <w:r w:rsidR="00936D4A" w:rsidRPr="00EA4542">
        <w:rPr>
          <w:rFonts w:ascii="Arial" w:hAnsi="Arial" w:cs="Arial"/>
          <w:lang w:eastAsia="es-CO"/>
        </w:rPr>
        <w:t xml:space="preserve">algunas </w:t>
      </w:r>
      <w:r w:rsidRPr="00EA4542">
        <w:rPr>
          <w:rFonts w:ascii="Arial" w:hAnsi="Arial" w:cs="Arial"/>
          <w:lang w:eastAsia="es-CO"/>
        </w:rPr>
        <w:t>decisiones</w:t>
      </w:r>
      <w:r w:rsidR="00EA4542" w:rsidRPr="00EA4542">
        <w:rPr>
          <w:rFonts w:ascii="Arial" w:hAnsi="Arial" w:cs="Arial"/>
          <w:lang w:eastAsia="es-CO"/>
        </w:rPr>
        <w:t xml:space="preserve"> a nivel directivo</w:t>
      </w:r>
      <w:r w:rsidRPr="00EA4542">
        <w:rPr>
          <w:rFonts w:ascii="Arial" w:hAnsi="Arial" w:cs="Arial"/>
          <w:lang w:eastAsia="es-CO"/>
        </w:rPr>
        <w:t xml:space="preserve"> se </w:t>
      </w:r>
      <w:r w:rsidR="00936D4A" w:rsidRPr="00EA4542">
        <w:rPr>
          <w:rFonts w:ascii="Arial" w:hAnsi="Arial" w:cs="Arial"/>
          <w:lang w:eastAsia="es-CO"/>
        </w:rPr>
        <w:t>fundamenta</w:t>
      </w:r>
      <w:r w:rsidR="00EA4542" w:rsidRPr="00EA4542">
        <w:rPr>
          <w:rFonts w:ascii="Arial" w:hAnsi="Arial" w:cs="Arial"/>
          <w:lang w:eastAsia="es-CO"/>
        </w:rPr>
        <w:t xml:space="preserve"> </w:t>
      </w:r>
      <w:r w:rsidR="0099363C" w:rsidRPr="00EA4542">
        <w:rPr>
          <w:rFonts w:ascii="Arial" w:hAnsi="Arial" w:cs="Arial"/>
          <w:lang w:eastAsia="es-CO"/>
        </w:rPr>
        <w:t xml:space="preserve">en </w:t>
      </w:r>
      <w:r w:rsidRPr="00EA4542">
        <w:rPr>
          <w:rFonts w:ascii="Arial" w:hAnsi="Arial" w:cs="Arial"/>
          <w:lang w:eastAsia="es-CO"/>
        </w:rPr>
        <w:t>la información presupuestal</w:t>
      </w:r>
      <w:r w:rsidR="00094882" w:rsidRPr="00EA4542">
        <w:rPr>
          <w:rFonts w:ascii="Arial" w:hAnsi="Arial" w:cs="Arial"/>
          <w:lang w:eastAsia="es-CO"/>
        </w:rPr>
        <w:t xml:space="preserve"> y</w:t>
      </w:r>
      <w:r w:rsidR="0099363C" w:rsidRPr="00EA4542">
        <w:rPr>
          <w:rFonts w:ascii="Arial" w:hAnsi="Arial" w:cs="Arial"/>
          <w:lang w:eastAsia="es-CO"/>
        </w:rPr>
        <w:t xml:space="preserve"> </w:t>
      </w:r>
      <w:r w:rsidRPr="00EA4542">
        <w:rPr>
          <w:rFonts w:ascii="Arial" w:hAnsi="Arial" w:cs="Arial"/>
          <w:lang w:eastAsia="es-CO"/>
        </w:rPr>
        <w:t>los estados financieros se tiene</w:t>
      </w:r>
      <w:r w:rsidR="0099363C" w:rsidRPr="00EA4542">
        <w:rPr>
          <w:rFonts w:ascii="Arial" w:hAnsi="Arial" w:cs="Arial"/>
          <w:lang w:eastAsia="es-CO"/>
        </w:rPr>
        <w:t>n</w:t>
      </w:r>
      <w:r w:rsidRPr="00EA4542">
        <w:rPr>
          <w:rFonts w:ascii="Arial" w:hAnsi="Arial" w:cs="Arial"/>
          <w:lang w:eastAsia="es-CO"/>
        </w:rPr>
        <w:t xml:space="preserve"> en cuenta como información de apoyo.</w:t>
      </w:r>
    </w:p>
    <w:p w14:paraId="774EA9C4" w14:textId="77777777" w:rsidR="00C36A36" w:rsidRDefault="00936D4A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936D4A">
        <w:rPr>
          <w:rFonts w:ascii="Arial" w:hAnsi="Arial" w:cs="Arial"/>
          <w:lang w:eastAsia="es-CO"/>
        </w:rPr>
        <w:t>Previo al cierre y presentación de los Estados Financieros se realizan verificaciones de saldos contables por medio de las conciliaciones interáreas y se utilizan mecanismos para determinar los índices de deterioro.</w:t>
      </w:r>
      <w:r w:rsidR="00C36A36" w:rsidRPr="00C36A36">
        <w:rPr>
          <w:rFonts w:ascii="Arial" w:hAnsi="Arial" w:cs="Arial"/>
          <w:lang w:eastAsia="es-CO"/>
        </w:rPr>
        <w:t xml:space="preserve"> </w:t>
      </w:r>
    </w:p>
    <w:p w14:paraId="1FD3A9BC" w14:textId="44D5F24E" w:rsidR="00E933BB" w:rsidRPr="009730F6" w:rsidRDefault="00936D4A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936D4A">
        <w:rPr>
          <w:rFonts w:ascii="Arial" w:hAnsi="Arial" w:cs="Arial"/>
          <w:lang w:eastAsia="es-CO"/>
        </w:rPr>
        <w:t xml:space="preserve">Las notas de carácter general y específico que acompañan los Estados Financieros con corte a diciembre 31 de 2020 </w:t>
      </w:r>
      <w:r w:rsidR="00EA4542">
        <w:rPr>
          <w:rFonts w:ascii="Arial" w:hAnsi="Arial" w:cs="Arial"/>
          <w:lang w:eastAsia="es-CO"/>
        </w:rPr>
        <w:t xml:space="preserve">en su mayoría </w:t>
      </w:r>
      <w:r w:rsidR="00094882">
        <w:rPr>
          <w:rFonts w:ascii="Arial" w:hAnsi="Arial" w:cs="Arial"/>
          <w:lang w:eastAsia="es-CO"/>
        </w:rPr>
        <w:t xml:space="preserve">contienen </w:t>
      </w:r>
      <w:r w:rsidRPr="00936D4A">
        <w:rPr>
          <w:rFonts w:ascii="Arial" w:hAnsi="Arial" w:cs="Arial"/>
          <w:lang w:eastAsia="es-CO"/>
        </w:rPr>
        <w:t xml:space="preserve">requisitos de reconocimiento, medición, revelación y presentación de los hechos económicos establecidos en el Régimen de Contabilidad Pública de la Contaduría General de la Nación según lo dispuesto en el Marco Normativo para Entidades de Gobierno y la Resolución No. 182 de 2017 de la CGN adoptados por la Entidad a través de </w:t>
      </w:r>
      <w:r w:rsidRPr="00936D4A">
        <w:rPr>
          <w:rFonts w:ascii="Arial" w:hAnsi="Arial" w:cs="Arial"/>
          <w:i/>
          <w:iCs/>
          <w:sz w:val="20"/>
          <w:szCs w:val="20"/>
          <w:lang w:eastAsia="es-CO"/>
        </w:rPr>
        <w:t xml:space="preserve">MANUAL DE POLÍTICAS CONTABLES DEL ICBF BAJO EL </w:t>
      </w:r>
      <w:r w:rsidRPr="00EA4542">
        <w:rPr>
          <w:rFonts w:ascii="Arial" w:hAnsi="Arial" w:cs="Arial"/>
          <w:i/>
          <w:iCs/>
          <w:sz w:val="20"/>
          <w:szCs w:val="20"/>
          <w:lang w:eastAsia="es-CO"/>
        </w:rPr>
        <w:t>MARCO NORMATIVO PARA ENTIDADES DE GOBIERNO MO3.P31.GF V2</w:t>
      </w:r>
      <w:r w:rsidRPr="00EA4542">
        <w:rPr>
          <w:rFonts w:ascii="Arial" w:hAnsi="Arial" w:cs="Arial"/>
          <w:lang w:eastAsia="es-CO"/>
        </w:rPr>
        <w:t>.</w:t>
      </w:r>
      <w:r w:rsidR="00FF71A5" w:rsidRPr="00EA4542">
        <w:rPr>
          <w:rFonts w:ascii="Arial" w:hAnsi="Arial" w:cs="Arial"/>
          <w:lang w:eastAsia="es-CO"/>
        </w:rPr>
        <w:t xml:space="preserve"> No obstante</w:t>
      </w:r>
      <w:r w:rsidR="00EA4542" w:rsidRPr="00EA4542">
        <w:rPr>
          <w:rFonts w:ascii="Arial" w:hAnsi="Arial" w:cs="Arial"/>
          <w:lang w:eastAsia="es-CO"/>
        </w:rPr>
        <w:t xml:space="preserve"> </w:t>
      </w:r>
      <w:r w:rsidR="00FF71A5" w:rsidRPr="00EA4542">
        <w:rPr>
          <w:rFonts w:ascii="Arial" w:hAnsi="Arial" w:cs="Arial"/>
          <w:lang w:eastAsia="es-CO"/>
        </w:rPr>
        <w:t xml:space="preserve">se </w:t>
      </w:r>
      <w:r w:rsidR="00EA4542" w:rsidRPr="00EA4542">
        <w:rPr>
          <w:rFonts w:ascii="Arial" w:hAnsi="Arial" w:cs="Arial"/>
          <w:lang w:eastAsia="es-CO"/>
        </w:rPr>
        <w:lastRenderedPageBreak/>
        <w:t>observaron</w:t>
      </w:r>
      <w:r w:rsidR="00FF71A5" w:rsidRPr="00EA4542">
        <w:rPr>
          <w:rFonts w:ascii="Arial" w:hAnsi="Arial" w:cs="Arial"/>
          <w:lang w:eastAsia="es-CO"/>
        </w:rPr>
        <w:t xml:space="preserve"> notas que no revelaron la información en forma suficiente.</w:t>
      </w:r>
    </w:p>
    <w:p w14:paraId="16234992" w14:textId="21218239" w:rsidR="007314E5" w:rsidRDefault="00C36A3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003238">
        <w:rPr>
          <w:rFonts w:ascii="Arial" w:hAnsi="Arial" w:cs="Arial"/>
          <w:lang w:eastAsia="es-CO"/>
        </w:rPr>
        <w:t xml:space="preserve">Los </w:t>
      </w:r>
      <w:r w:rsidR="007314E5" w:rsidRPr="00003238">
        <w:rPr>
          <w:rFonts w:ascii="Arial" w:hAnsi="Arial" w:cs="Arial"/>
          <w:lang w:eastAsia="es-CO"/>
        </w:rPr>
        <w:t xml:space="preserve">indicadores son </w:t>
      </w:r>
      <w:r w:rsidRPr="00003238">
        <w:rPr>
          <w:rFonts w:ascii="Arial" w:hAnsi="Arial" w:cs="Arial"/>
          <w:lang w:eastAsia="es-CO"/>
        </w:rPr>
        <w:t xml:space="preserve">elaborados </w:t>
      </w:r>
      <w:r w:rsidR="007314E5" w:rsidRPr="00003238">
        <w:rPr>
          <w:rFonts w:ascii="Arial" w:hAnsi="Arial" w:cs="Arial"/>
          <w:lang w:eastAsia="es-CO"/>
        </w:rPr>
        <w:t xml:space="preserve">para realizar </w:t>
      </w:r>
      <w:r w:rsidR="00003238">
        <w:rPr>
          <w:rFonts w:ascii="Arial" w:hAnsi="Arial" w:cs="Arial"/>
          <w:lang w:eastAsia="es-CO"/>
        </w:rPr>
        <w:t>el análisis financiero</w:t>
      </w:r>
      <w:r w:rsidR="00C27716" w:rsidRPr="00685A68">
        <w:rPr>
          <w:rFonts w:ascii="Arial" w:hAnsi="Arial" w:cs="Arial"/>
          <w:lang w:eastAsia="es-CO"/>
        </w:rPr>
        <w:t xml:space="preserve"> y </w:t>
      </w:r>
      <w:r w:rsidR="00003238">
        <w:rPr>
          <w:rFonts w:ascii="Arial" w:hAnsi="Arial" w:cs="Arial"/>
          <w:lang w:eastAsia="es-CO"/>
        </w:rPr>
        <w:t xml:space="preserve">de los </w:t>
      </w:r>
      <w:r w:rsidR="007314E5" w:rsidRPr="00685A68">
        <w:rPr>
          <w:rFonts w:ascii="Arial" w:hAnsi="Arial" w:cs="Arial"/>
          <w:lang w:eastAsia="es-CO"/>
        </w:rPr>
        <w:t xml:space="preserve">resultados en la </w:t>
      </w:r>
      <w:r w:rsidR="007314E5" w:rsidRPr="00003238">
        <w:rPr>
          <w:rFonts w:ascii="Arial" w:hAnsi="Arial" w:cs="Arial"/>
          <w:lang w:eastAsia="es-CO"/>
        </w:rPr>
        <w:t>gestión de la Entidad</w:t>
      </w:r>
      <w:r w:rsidR="007D20B3" w:rsidRPr="00003238">
        <w:rPr>
          <w:rFonts w:ascii="Arial" w:hAnsi="Arial" w:cs="Arial"/>
          <w:lang w:eastAsia="es-CO"/>
        </w:rPr>
        <w:t>;</w:t>
      </w:r>
      <w:r w:rsidR="006E28A9" w:rsidRPr="00003238">
        <w:rPr>
          <w:rFonts w:ascii="Arial" w:hAnsi="Arial" w:cs="Arial"/>
          <w:lang w:eastAsia="es-CO"/>
        </w:rPr>
        <w:t xml:space="preserve"> no obstante, se recomienda establecer indicadores adicionales que permitan</w:t>
      </w:r>
      <w:r w:rsidR="00003238" w:rsidRPr="00003238">
        <w:rPr>
          <w:rFonts w:ascii="Arial" w:hAnsi="Arial" w:cs="Arial"/>
          <w:lang w:eastAsia="es-CO"/>
        </w:rPr>
        <w:t xml:space="preserve"> medir el impacto </w:t>
      </w:r>
      <w:r w:rsidR="006E28A9" w:rsidRPr="00003238">
        <w:rPr>
          <w:rFonts w:ascii="Arial" w:hAnsi="Arial" w:cs="Arial"/>
          <w:lang w:eastAsia="es-CO"/>
        </w:rPr>
        <w:t xml:space="preserve">del uso de los recursos en </w:t>
      </w:r>
      <w:r w:rsidR="00003238" w:rsidRPr="00003238">
        <w:rPr>
          <w:rFonts w:ascii="Arial" w:hAnsi="Arial" w:cs="Arial"/>
          <w:lang w:eastAsia="es-CO"/>
        </w:rPr>
        <w:t>el cumplimiento del objetivo</w:t>
      </w:r>
      <w:r w:rsidR="006E28A9" w:rsidRPr="00003238">
        <w:rPr>
          <w:rFonts w:ascii="Arial" w:hAnsi="Arial" w:cs="Arial"/>
          <w:lang w:eastAsia="es-CO"/>
        </w:rPr>
        <w:t xml:space="preserve"> misional</w:t>
      </w:r>
      <w:r w:rsidR="00003238" w:rsidRPr="00003238">
        <w:rPr>
          <w:rFonts w:ascii="Arial" w:hAnsi="Arial" w:cs="Arial"/>
          <w:lang w:eastAsia="es-CO"/>
        </w:rPr>
        <w:t xml:space="preserve"> </w:t>
      </w:r>
      <w:r w:rsidR="006E28A9" w:rsidRPr="00003238">
        <w:rPr>
          <w:rFonts w:ascii="Arial" w:hAnsi="Arial" w:cs="Arial"/>
          <w:lang w:eastAsia="es-CO"/>
        </w:rPr>
        <w:t>de la entidad.</w:t>
      </w:r>
    </w:p>
    <w:p w14:paraId="62CA2953" w14:textId="77777777" w:rsidR="004D03A4" w:rsidRDefault="004D03A4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16" w:name="_Toc66790676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RENDICIÓN DE CUENTAS E INFORMACIÓN A PARTES INTERESADAS</w:t>
      </w:r>
      <w:bookmarkEnd w:id="16"/>
    </w:p>
    <w:p w14:paraId="00A03357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1CDE5072" w14:textId="77777777" w:rsidR="00C36A36" w:rsidRDefault="003669A0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 w:rsidRPr="003669A0">
        <w:rPr>
          <w:rFonts w:ascii="Arial" w:hAnsi="Arial" w:cs="Arial"/>
          <w:lang w:eastAsia="es-CO"/>
        </w:rPr>
        <w:t>El ICBF presenta los Estados Financieros de conformidad con las normas</w:t>
      </w:r>
      <w:r>
        <w:rPr>
          <w:rFonts w:ascii="Arial" w:hAnsi="Arial" w:cs="Arial"/>
          <w:lang w:eastAsia="es-CO"/>
        </w:rPr>
        <w:t xml:space="preserve"> y</w:t>
      </w:r>
      <w:r w:rsidRPr="003669A0">
        <w:rPr>
          <w:rFonts w:ascii="Arial" w:hAnsi="Arial" w:cs="Arial"/>
          <w:lang w:eastAsia="es-CO"/>
        </w:rPr>
        <w:t xml:space="preserve"> técnicas contables exigidas por la </w:t>
      </w:r>
      <w:r w:rsidR="00983CC3">
        <w:rPr>
          <w:rFonts w:ascii="Arial" w:hAnsi="Arial" w:cs="Arial"/>
          <w:lang w:eastAsia="es-CO"/>
        </w:rPr>
        <w:t xml:space="preserve">Contaduría </w:t>
      </w:r>
      <w:r w:rsidRPr="003669A0">
        <w:rPr>
          <w:rFonts w:ascii="Arial" w:hAnsi="Arial" w:cs="Arial"/>
          <w:lang w:eastAsia="es-CO"/>
        </w:rPr>
        <w:t>G</w:t>
      </w:r>
      <w:r w:rsidR="00983CC3">
        <w:rPr>
          <w:rFonts w:ascii="Arial" w:hAnsi="Arial" w:cs="Arial"/>
          <w:lang w:eastAsia="es-CO"/>
        </w:rPr>
        <w:t>eneral</w:t>
      </w:r>
      <w:r w:rsidR="001A254D">
        <w:rPr>
          <w:rFonts w:ascii="Arial" w:hAnsi="Arial" w:cs="Arial"/>
          <w:lang w:eastAsia="es-CO"/>
        </w:rPr>
        <w:t xml:space="preserve"> y son publicados en la cartelera y p</w:t>
      </w:r>
      <w:r w:rsidR="005064C4">
        <w:rPr>
          <w:rFonts w:ascii="Arial" w:hAnsi="Arial" w:cs="Arial"/>
          <w:lang w:eastAsia="es-CO"/>
        </w:rPr>
        <w:t>á</w:t>
      </w:r>
      <w:r w:rsidR="001A254D">
        <w:rPr>
          <w:rFonts w:ascii="Arial" w:hAnsi="Arial" w:cs="Arial"/>
          <w:lang w:eastAsia="es-CO"/>
        </w:rPr>
        <w:t xml:space="preserve">gina Web </w:t>
      </w:r>
      <w:r w:rsidR="00E26682">
        <w:rPr>
          <w:rFonts w:ascii="Arial" w:hAnsi="Arial" w:cs="Arial"/>
          <w:lang w:eastAsia="es-CO"/>
        </w:rPr>
        <w:t xml:space="preserve">a disposición del público y partes interesadas </w:t>
      </w:r>
      <w:r w:rsidR="00983CC3">
        <w:rPr>
          <w:rFonts w:ascii="Arial" w:hAnsi="Arial" w:cs="Arial"/>
          <w:lang w:eastAsia="es-CO"/>
        </w:rPr>
        <w:t xml:space="preserve">dando cumplimiento a lo establecido en </w:t>
      </w:r>
      <w:r w:rsidRPr="003669A0">
        <w:rPr>
          <w:rFonts w:ascii="Arial" w:hAnsi="Arial" w:cs="Arial"/>
          <w:lang w:eastAsia="es-CO"/>
        </w:rPr>
        <w:t>la Ley 1712 de 2014 (Decreto No. 1081 de 2015 y Resolución No. 3564 de 2015) Transparencia y Acceso</w:t>
      </w:r>
      <w:r w:rsidR="00983CC3">
        <w:rPr>
          <w:rFonts w:ascii="Arial" w:hAnsi="Arial" w:cs="Arial"/>
          <w:lang w:eastAsia="es-CO"/>
        </w:rPr>
        <w:t xml:space="preserve"> </w:t>
      </w:r>
      <w:r w:rsidR="00983CC3" w:rsidRPr="00983CC3">
        <w:rPr>
          <w:rFonts w:ascii="Arial" w:hAnsi="Arial" w:cs="Arial"/>
          <w:lang w:eastAsia="es-CO"/>
        </w:rPr>
        <w:t>a la Información Pública.</w:t>
      </w:r>
    </w:p>
    <w:p w14:paraId="17C0F5F7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60A8CDD2" w14:textId="77777777" w:rsidR="00101BA7" w:rsidRDefault="003669A0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3669A0">
        <w:rPr>
          <w:rFonts w:ascii="Arial" w:hAnsi="Arial" w:cs="Arial"/>
          <w:lang w:eastAsia="es-CO"/>
        </w:rPr>
        <w:t>La información presentada por el ICBF en las notas a los estados financieros explica las diferentes dinámicas contables facilitando la comprensión por parte de los usuarios de la información acorde con los requisitos normativos exigidos por la CGN.</w:t>
      </w:r>
      <w:r w:rsidR="00320129" w:rsidRPr="00320129">
        <w:rPr>
          <w:rFonts w:ascii="Arial" w:hAnsi="Arial" w:cs="Arial"/>
          <w:lang w:eastAsia="es-CO"/>
        </w:rPr>
        <w:t xml:space="preserve"> </w:t>
      </w:r>
    </w:p>
    <w:p w14:paraId="46ECE59D" w14:textId="77777777" w:rsidR="004D03A4" w:rsidRPr="00E26682" w:rsidRDefault="004D03A4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</w:pPr>
      <w:bookmarkStart w:id="17" w:name="_Toc66790677"/>
      <w:r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RIESGO </w:t>
      </w:r>
      <w:r w:rsidR="000E4975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DE </w:t>
      </w:r>
      <w:r w:rsidR="00AA1D82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>Í</w:t>
      </w:r>
      <w:r w:rsidR="000E4975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NDOLE </w:t>
      </w:r>
      <w:r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>CONTABLE</w:t>
      </w:r>
      <w:bookmarkEnd w:id="17"/>
      <w:r w:rsidR="00DE3243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 </w:t>
      </w:r>
    </w:p>
    <w:p w14:paraId="0931A4FC" w14:textId="77777777" w:rsidR="000F12DE" w:rsidRPr="00FE0610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green"/>
          <w:lang w:val="es-CO" w:eastAsia="es-CO"/>
        </w:rPr>
      </w:pPr>
    </w:p>
    <w:p w14:paraId="50930F11" w14:textId="236F8B1A" w:rsidR="00E26682" w:rsidRPr="000064BE" w:rsidRDefault="00E26682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highlight w:val="green"/>
          <w:lang w:val="es-CO" w:eastAsia="es-CO"/>
        </w:rPr>
      </w:pPr>
      <w:r w:rsidRPr="00E26682">
        <w:rPr>
          <w:rFonts w:ascii="Arial" w:hAnsi="Arial" w:cs="Arial"/>
          <w:color w:val="000000" w:themeColor="text1"/>
          <w:lang w:val="es-CO" w:eastAsia="es-CO"/>
        </w:rPr>
        <w:t xml:space="preserve">Según la </w:t>
      </w:r>
      <w:r w:rsidRPr="00E26682">
        <w:rPr>
          <w:rFonts w:ascii="Arial" w:hAnsi="Arial" w:cs="Arial"/>
          <w:i/>
          <w:iCs/>
          <w:color w:val="000000" w:themeColor="text1"/>
          <w:sz w:val="20"/>
          <w:szCs w:val="20"/>
          <w:lang w:val="es-CO" w:eastAsia="es-CO"/>
        </w:rPr>
        <w:t>GUÍA DE GESTIÓN DE RIESGOS Y PELIGROS G3.MI 27/11/2020</w:t>
      </w:r>
      <w:r w:rsidRPr="00E26682">
        <w:rPr>
          <w:rFonts w:ascii="Arial" w:hAnsi="Arial" w:cs="Arial"/>
          <w:color w:val="000000" w:themeColor="text1"/>
          <w:lang w:val="es-CO" w:eastAsia="es-CO"/>
        </w:rPr>
        <w:t xml:space="preserve"> Versión 11 se identific</w:t>
      </w:r>
      <w:r w:rsidR="00BE517A">
        <w:rPr>
          <w:rFonts w:ascii="Arial" w:hAnsi="Arial" w:cs="Arial"/>
          <w:color w:val="000000" w:themeColor="text1"/>
          <w:lang w:val="es-CO" w:eastAsia="es-CO"/>
        </w:rPr>
        <w:t xml:space="preserve">aron </w:t>
      </w:r>
      <w:r w:rsidRPr="00E26682">
        <w:rPr>
          <w:rFonts w:ascii="Arial" w:hAnsi="Arial" w:cs="Arial"/>
          <w:color w:val="000000" w:themeColor="text1"/>
          <w:lang w:val="es-CO" w:eastAsia="es-CO"/>
        </w:rPr>
        <w:t xml:space="preserve">en la matriz de riesgos del </w:t>
      </w:r>
      <w:r w:rsidRPr="00BE517A">
        <w:rPr>
          <w:rFonts w:ascii="Arial" w:hAnsi="Arial" w:cs="Arial"/>
          <w:i/>
          <w:color w:val="000000" w:themeColor="text1"/>
          <w:lang w:val="es-CO" w:eastAsia="es-CO"/>
        </w:rPr>
        <w:t>Proceso Gestión Financiera</w:t>
      </w:r>
      <w:r w:rsidRPr="00E26682">
        <w:rPr>
          <w:rFonts w:ascii="Arial" w:hAnsi="Arial" w:cs="Arial"/>
          <w:color w:val="000000" w:themeColor="text1"/>
          <w:lang w:val="es-CO" w:eastAsia="es-CO"/>
        </w:rPr>
        <w:t xml:space="preserve"> los riesgos de índole </w:t>
      </w:r>
      <w:r w:rsidRPr="006D17D4">
        <w:rPr>
          <w:rFonts w:ascii="Arial" w:hAnsi="Arial" w:cs="Arial"/>
          <w:color w:val="000000" w:themeColor="text1"/>
          <w:lang w:val="es-CO" w:eastAsia="es-CO"/>
        </w:rPr>
        <w:t xml:space="preserve">contable contemplando los factores externos e internos los cuales se </w:t>
      </w:r>
      <w:r w:rsidR="006D17D4" w:rsidRPr="006D17D4">
        <w:rPr>
          <w:rFonts w:ascii="Arial" w:hAnsi="Arial" w:cs="Arial"/>
          <w:color w:val="000000" w:themeColor="text1"/>
          <w:lang w:val="es-CO" w:eastAsia="es-CO"/>
        </w:rPr>
        <w:t>controlan</w:t>
      </w:r>
      <w:r w:rsidRPr="006D17D4">
        <w:rPr>
          <w:rFonts w:ascii="Arial" w:hAnsi="Arial" w:cs="Arial"/>
          <w:color w:val="000000" w:themeColor="text1"/>
          <w:lang w:val="es-CO" w:eastAsia="es-CO"/>
        </w:rPr>
        <w:t xml:space="preserve"> en el plan de tratamiento</w:t>
      </w:r>
      <w:r w:rsidR="006D17D4" w:rsidRPr="006D17D4">
        <w:rPr>
          <w:rFonts w:ascii="Arial" w:hAnsi="Arial" w:cs="Arial"/>
          <w:color w:val="000000" w:themeColor="text1"/>
          <w:lang w:val="es-CO" w:eastAsia="es-CO"/>
        </w:rPr>
        <w:t xml:space="preserve"> establecido en la matriz</w:t>
      </w:r>
      <w:r w:rsidRPr="006D17D4">
        <w:rPr>
          <w:rFonts w:ascii="Arial" w:hAnsi="Arial" w:cs="Arial"/>
          <w:color w:val="000000" w:themeColor="text1"/>
          <w:lang w:val="es-CO" w:eastAsia="es-CO"/>
        </w:rPr>
        <w:t xml:space="preserve">. </w:t>
      </w:r>
    </w:p>
    <w:p w14:paraId="42BFF8AE" w14:textId="34E367C1" w:rsidR="003F0767" w:rsidRDefault="00E26682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E26682">
        <w:rPr>
          <w:rFonts w:ascii="Arial" w:hAnsi="Arial" w:cs="Arial"/>
          <w:color w:val="000000" w:themeColor="text1"/>
          <w:lang w:val="es-CO" w:eastAsia="es-CO"/>
        </w:rPr>
        <w:t xml:space="preserve">En la matriz de riesgos </w:t>
      </w:r>
      <w:r w:rsidR="00707CBE">
        <w:rPr>
          <w:rFonts w:ascii="Arial" w:hAnsi="Arial" w:cs="Arial"/>
          <w:color w:val="000000" w:themeColor="text1"/>
          <w:lang w:val="es-CO" w:eastAsia="es-CO"/>
        </w:rPr>
        <w:t>están documentados</w:t>
      </w:r>
      <w:r w:rsidRPr="00E26682">
        <w:rPr>
          <w:rFonts w:ascii="Arial" w:hAnsi="Arial" w:cs="Arial"/>
          <w:color w:val="000000" w:themeColor="text1"/>
          <w:lang w:val="es-CO" w:eastAsia="es-CO"/>
        </w:rPr>
        <w:t xml:space="preserve"> los controles establecidos y el plan de tratamiento para mitigar o neutralizar la probabilidad de ocurrencia de estos para la vigencia </w:t>
      </w:r>
      <w:r w:rsidRPr="006D17D4">
        <w:rPr>
          <w:rFonts w:ascii="Arial" w:hAnsi="Arial" w:cs="Arial"/>
          <w:color w:val="000000" w:themeColor="text1"/>
          <w:lang w:val="es-CO" w:eastAsia="es-CO"/>
        </w:rPr>
        <w:t xml:space="preserve">2020. No obstante lo anterior, se evidenció que el riesgo GF8 </w:t>
      </w:r>
      <w:r w:rsidRPr="006D17D4">
        <w:rPr>
          <w:rFonts w:ascii="Arial" w:hAnsi="Arial" w:cs="Arial"/>
          <w:i/>
          <w:iCs/>
          <w:color w:val="000000" w:themeColor="text1"/>
          <w:lang w:val="es-CO" w:eastAsia="es-CO"/>
        </w:rPr>
        <w:t>(Presentar subestimación o Sobreestimación de los saldos contables</w:t>
      </w:r>
      <w:r w:rsidRPr="006D17D4">
        <w:rPr>
          <w:rFonts w:ascii="Arial" w:hAnsi="Arial" w:cs="Arial"/>
          <w:color w:val="000000" w:themeColor="text1"/>
          <w:lang w:val="es-CO" w:eastAsia="es-CO"/>
        </w:rPr>
        <w:t>) se materializó en diversas ocasiones</w:t>
      </w:r>
      <w:r w:rsidR="00707CBE" w:rsidRPr="006D17D4">
        <w:rPr>
          <w:rFonts w:ascii="Arial" w:hAnsi="Arial" w:cs="Arial"/>
          <w:color w:val="000000" w:themeColor="text1"/>
          <w:lang w:val="es-CO" w:eastAsia="es-CO"/>
        </w:rPr>
        <w:t>.</w:t>
      </w:r>
    </w:p>
    <w:p w14:paraId="3A64D2D2" w14:textId="7025DCF6" w:rsidR="00EF65AF" w:rsidRPr="007913BC" w:rsidRDefault="00EF65AF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FF0000"/>
          <w:lang w:val="es-CO" w:eastAsia="es-CO"/>
        </w:rPr>
      </w:pPr>
      <w:r w:rsidRPr="00EF65AF">
        <w:rPr>
          <w:rFonts w:ascii="Arial" w:hAnsi="Arial" w:cs="Arial"/>
          <w:lang w:val="es-CO" w:eastAsia="es-CO"/>
        </w:rPr>
        <w:t>En la matriz de riesgos se efectúa el análisis y la valoración de los controles establecidos en forma periódica.</w:t>
      </w:r>
      <w:r w:rsidR="007913BC">
        <w:rPr>
          <w:rFonts w:ascii="Arial" w:hAnsi="Arial" w:cs="Arial"/>
          <w:lang w:val="es-CO" w:eastAsia="es-CO"/>
        </w:rPr>
        <w:t xml:space="preserve"> </w:t>
      </w:r>
      <w:r w:rsidR="007913BC" w:rsidRPr="00411198">
        <w:rPr>
          <w:rFonts w:ascii="Arial" w:hAnsi="Arial" w:cs="Arial"/>
          <w:lang w:val="es-CO" w:eastAsia="es-CO"/>
        </w:rPr>
        <w:t>E</w:t>
      </w:r>
      <w:r w:rsidRPr="00411198">
        <w:rPr>
          <w:rFonts w:ascii="Arial" w:hAnsi="Arial" w:cs="Arial"/>
          <w:lang w:val="es-CO" w:eastAsia="es-CO"/>
        </w:rPr>
        <w:t xml:space="preserve">stos </w:t>
      </w:r>
      <w:r w:rsidR="007913BC" w:rsidRPr="00411198">
        <w:rPr>
          <w:rFonts w:ascii="Arial" w:hAnsi="Arial" w:cs="Arial"/>
          <w:lang w:val="es-CO" w:eastAsia="es-CO"/>
        </w:rPr>
        <w:t xml:space="preserve">deben fortalecerse </w:t>
      </w:r>
      <w:r w:rsidRPr="00411198">
        <w:rPr>
          <w:rFonts w:ascii="Arial" w:hAnsi="Arial" w:cs="Arial"/>
          <w:lang w:val="es-CO" w:eastAsia="es-CO"/>
        </w:rPr>
        <w:t xml:space="preserve">para mitigar la totalidad de los riesgos existentes que se presentan en aspectos como: </w:t>
      </w:r>
      <w:r w:rsidRPr="00411198">
        <w:rPr>
          <w:rFonts w:ascii="Arial" w:hAnsi="Arial" w:cs="Arial"/>
          <w:i/>
          <w:lang w:val="es-CO" w:eastAsia="es-CO"/>
        </w:rPr>
        <w:t>procesos jurídicos no reconocidos contablemente, bienes muebles e inmuebles sin registrar, partidas conciliatorias sin depurar, reconocimiento de la provisión contable</w:t>
      </w:r>
    </w:p>
    <w:p w14:paraId="7BA2842B" w14:textId="77777777" w:rsidR="00482209" w:rsidRDefault="00482209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18" w:name="_Toc66790678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VALORACIÓN CUALITATIVA</w:t>
      </w:r>
      <w:bookmarkEnd w:id="18"/>
    </w:p>
    <w:p w14:paraId="24B568BF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5E803C6E" w14:textId="162A86FC" w:rsidR="00482209" w:rsidRDefault="00EF65AF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Contiene en</w:t>
      </w:r>
      <w:r w:rsidR="00482209" w:rsidRPr="00482209">
        <w:rPr>
          <w:rFonts w:ascii="Arial" w:hAnsi="Arial" w:cs="Arial"/>
          <w:lang w:val="es-CO" w:eastAsia="es-CO"/>
        </w:rPr>
        <w:t xml:space="preserve"> forma breve fortalezas, debilidades</w:t>
      </w:r>
      <w:r w:rsidR="00133337">
        <w:rPr>
          <w:rFonts w:ascii="Arial" w:hAnsi="Arial" w:cs="Arial"/>
          <w:lang w:val="es-CO" w:eastAsia="es-CO"/>
        </w:rPr>
        <w:t xml:space="preserve">, </w:t>
      </w:r>
      <w:r w:rsidR="009C1955">
        <w:rPr>
          <w:rFonts w:ascii="Arial" w:hAnsi="Arial" w:cs="Arial"/>
          <w:lang w:val="es-CO" w:eastAsia="es-CO"/>
        </w:rPr>
        <w:t>avances y mejoras del proceso de control interno contable</w:t>
      </w:r>
      <w:r w:rsidR="00482209" w:rsidRPr="00482209">
        <w:rPr>
          <w:rFonts w:ascii="Arial" w:hAnsi="Arial" w:cs="Arial"/>
          <w:lang w:val="es-CO" w:eastAsia="es-CO"/>
        </w:rPr>
        <w:t xml:space="preserve"> que se determinaron en la valoración cuantitativa.</w:t>
      </w:r>
    </w:p>
    <w:p w14:paraId="735B1C68" w14:textId="71B0259B" w:rsidR="00EF08F3" w:rsidRPr="00EF65AF" w:rsidRDefault="00E4645B" w:rsidP="00261FA9">
      <w:pPr>
        <w:pStyle w:val="Ttulo3"/>
        <w:numPr>
          <w:ilvl w:val="2"/>
          <w:numId w:val="15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19" w:name="_Toc66790679"/>
      <w:r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lastRenderedPageBreak/>
        <w:t>Fortalezas</w:t>
      </w:r>
      <w:bookmarkEnd w:id="19"/>
      <w:r w:rsidR="00037C1F"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   </w:t>
      </w:r>
    </w:p>
    <w:p w14:paraId="095DC4D6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</w:p>
    <w:p w14:paraId="6D54ED60" w14:textId="77777777" w:rsidR="001819A6" w:rsidRDefault="001819A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  <w:r w:rsidRPr="00133337">
        <w:rPr>
          <w:rFonts w:ascii="Arial" w:hAnsi="Arial" w:cs="Arial"/>
          <w:b/>
          <w:lang w:val="es-CO" w:eastAsia="es-CO"/>
        </w:rPr>
        <w:t>El ICBF durante</w:t>
      </w:r>
      <w:r w:rsidR="00CE014C">
        <w:rPr>
          <w:rFonts w:ascii="Arial" w:hAnsi="Arial" w:cs="Arial"/>
          <w:b/>
          <w:lang w:val="es-CO" w:eastAsia="es-CO"/>
        </w:rPr>
        <w:t xml:space="preserve"> </w:t>
      </w:r>
      <w:r w:rsidRPr="00133337">
        <w:rPr>
          <w:rFonts w:ascii="Arial" w:hAnsi="Arial" w:cs="Arial"/>
          <w:b/>
          <w:lang w:val="es-CO" w:eastAsia="es-CO"/>
        </w:rPr>
        <w:t>la vigencia 20</w:t>
      </w:r>
      <w:r w:rsidR="00CE014C">
        <w:rPr>
          <w:rFonts w:ascii="Arial" w:hAnsi="Arial" w:cs="Arial"/>
          <w:b/>
          <w:lang w:val="es-CO" w:eastAsia="es-CO"/>
        </w:rPr>
        <w:t>20</w:t>
      </w:r>
      <w:r w:rsidRPr="00133337">
        <w:rPr>
          <w:rFonts w:ascii="Arial" w:hAnsi="Arial" w:cs="Arial"/>
          <w:b/>
          <w:lang w:val="es-CO" w:eastAsia="es-CO"/>
        </w:rPr>
        <w:t xml:space="preserve">: </w:t>
      </w:r>
    </w:p>
    <w:p w14:paraId="6E237F72" w14:textId="77777777" w:rsidR="000F12DE" w:rsidRPr="00133337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</w:p>
    <w:p w14:paraId="62DD371E" w14:textId="482FFB8B" w:rsidR="00C36A36" w:rsidRDefault="00AB0445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C3C13">
        <w:rPr>
          <w:rFonts w:ascii="Arial" w:hAnsi="Arial" w:cs="Arial"/>
          <w:lang w:val="es-CO" w:eastAsia="es-CO"/>
        </w:rPr>
        <w:t>Registra</w:t>
      </w:r>
      <w:r w:rsidR="00C36A36" w:rsidRPr="005C3C13">
        <w:rPr>
          <w:rFonts w:ascii="Arial" w:hAnsi="Arial" w:cs="Arial"/>
          <w:lang w:val="es-CO" w:eastAsia="es-CO"/>
        </w:rPr>
        <w:t xml:space="preserve"> partidas conciliatorias de cuentas bancarias depuradas al 100%.</w:t>
      </w:r>
    </w:p>
    <w:p w14:paraId="73D1CCC6" w14:textId="77777777" w:rsidR="00C048AF" w:rsidRPr="005C3C13" w:rsidRDefault="00C048AF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EB740FC" w14:textId="77777777" w:rsidR="00C36A36" w:rsidRDefault="004D7B90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C3C13">
        <w:rPr>
          <w:rFonts w:ascii="Arial" w:hAnsi="Arial" w:cs="Arial"/>
          <w:lang w:val="es-CO" w:eastAsia="es-CO"/>
        </w:rPr>
        <w:t xml:space="preserve">Presentó </w:t>
      </w:r>
      <w:r w:rsidR="005D1ECD">
        <w:rPr>
          <w:rFonts w:ascii="Arial" w:hAnsi="Arial" w:cs="Arial"/>
          <w:lang w:val="es-CO" w:eastAsia="es-CO"/>
        </w:rPr>
        <w:t>oportunamente los estados financieros</w:t>
      </w:r>
      <w:r w:rsidR="00C36A36" w:rsidRPr="005C3C13">
        <w:rPr>
          <w:rFonts w:ascii="Arial" w:hAnsi="Arial" w:cs="Arial"/>
          <w:lang w:val="es-CO" w:eastAsia="es-CO"/>
        </w:rPr>
        <w:t xml:space="preserve"> a la</w:t>
      </w:r>
      <w:r w:rsidR="00C36A36" w:rsidRPr="00C36A36">
        <w:rPr>
          <w:rFonts w:ascii="Arial" w:hAnsi="Arial" w:cs="Arial"/>
          <w:lang w:val="es-CO" w:eastAsia="es-CO"/>
        </w:rPr>
        <w:t xml:space="preserve"> Contaduría General de la Nación a través del Consolidador de Hacienda e Información Pública (CHIP).</w:t>
      </w:r>
    </w:p>
    <w:p w14:paraId="5744EC85" w14:textId="77777777" w:rsidR="005D1ECD" w:rsidRDefault="005D1ECD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0A329697" w14:textId="77777777" w:rsidR="005D1ECD" w:rsidRDefault="0049026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Definió</w:t>
      </w:r>
      <w:r w:rsidR="005D1ECD" w:rsidRPr="005D1ECD">
        <w:rPr>
          <w:rFonts w:ascii="Arial" w:hAnsi="Arial" w:cs="Arial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>la caracterización del proceso en e</w:t>
      </w:r>
      <w:r w:rsidR="005D1ECD" w:rsidRPr="005D1ECD">
        <w:rPr>
          <w:rFonts w:ascii="Arial" w:hAnsi="Arial" w:cs="Arial"/>
          <w:lang w:val="es-CO" w:eastAsia="es-CO"/>
        </w:rPr>
        <w:t xml:space="preserve">l documento </w:t>
      </w:r>
      <w:r w:rsidR="005D1ECD" w:rsidRPr="005D1ECD">
        <w:rPr>
          <w:rFonts w:ascii="Arial" w:hAnsi="Arial" w:cs="Arial"/>
          <w:i/>
          <w:iCs/>
          <w:lang w:val="es-CO" w:eastAsia="es-CO"/>
        </w:rPr>
        <w:t>Caracterización Gestión Financiera v4</w:t>
      </w:r>
      <w:r w:rsidR="005D1ECD" w:rsidRPr="005D1ECD">
        <w:rPr>
          <w:rFonts w:ascii="Arial" w:hAnsi="Arial" w:cs="Arial"/>
          <w:lang w:val="es-CO" w:eastAsia="es-CO"/>
        </w:rPr>
        <w:t xml:space="preserve"> del 09/07/2020 </w:t>
      </w:r>
      <w:r>
        <w:rPr>
          <w:rFonts w:ascii="Arial" w:hAnsi="Arial" w:cs="Arial"/>
          <w:lang w:val="es-CO" w:eastAsia="es-CO"/>
        </w:rPr>
        <w:t xml:space="preserve">identificando </w:t>
      </w:r>
      <w:r w:rsidR="005D1ECD" w:rsidRPr="005D1ECD">
        <w:rPr>
          <w:rFonts w:ascii="Arial" w:hAnsi="Arial" w:cs="Arial"/>
          <w:lang w:val="es-CO" w:eastAsia="es-CO"/>
        </w:rPr>
        <w:t>las entradas y proveedores de la información financiera.</w:t>
      </w:r>
    </w:p>
    <w:p w14:paraId="51C7E463" w14:textId="77777777" w:rsidR="00490261" w:rsidRDefault="0049026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C919961" w14:textId="77777777" w:rsidR="00490261" w:rsidRDefault="0049026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Elabora informes de variaciones de las cuentas contables con sus respectivos análisis.</w:t>
      </w:r>
    </w:p>
    <w:p w14:paraId="78B62242" w14:textId="77777777" w:rsidR="00490261" w:rsidRDefault="0049026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E4D4046" w14:textId="77777777" w:rsidR="00490261" w:rsidRDefault="0049026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Realiza seguimiento permanente a la ejecución presupuestal en particular al rezago.</w:t>
      </w:r>
    </w:p>
    <w:p w14:paraId="58CF7203" w14:textId="77777777" w:rsidR="001850B0" w:rsidRDefault="001850B0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2955BC8D" w14:textId="38F515D6" w:rsidR="001A551C" w:rsidRPr="00EF65AF" w:rsidRDefault="009C1955" w:rsidP="00261FA9">
      <w:pPr>
        <w:pStyle w:val="Ttulo3"/>
        <w:numPr>
          <w:ilvl w:val="2"/>
          <w:numId w:val="15"/>
        </w:numPr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20" w:name="_Toc66790680"/>
      <w:r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Debilidades</w:t>
      </w:r>
      <w:bookmarkEnd w:id="20"/>
      <w:r w:rsidR="00037C1F"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 </w:t>
      </w:r>
      <w:r w:rsidR="006004DD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(No Conformidades)</w:t>
      </w:r>
    </w:p>
    <w:p w14:paraId="592F306F" w14:textId="77777777" w:rsidR="000F12DE" w:rsidRPr="000F12DE" w:rsidRDefault="000F12DE" w:rsidP="00261FA9">
      <w:pPr>
        <w:pStyle w:val="Prrafodelista"/>
        <w:spacing w:line="276" w:lineRule="auto"/>
        <w:ind w:left="1080"/>
        <w:rPr>
          <w:lang w:eastAsia="es-CO"/>
        </w:rPr>
      </w:pPr>
    </w:p>
    <w:p w14:paraId="0261E98B" w14:textId="79730A69" w:rsidR="00B43E0A" w:rsidRDefault="006507F4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>
        <w:rPr>
          <w:rFonts w:ascii="Arial" w:hAnsi="Arial" w:cs="Arial"/>
          <w:color w:val="000000" w:themeColor="text1"/>
          <w:lang w:val="es-CO" w:eastAsia="es-CO"/>
        </w:rPr>
        <w:t>Se e</w:t>
      </w:r>
      <w:r w:rsidRPr="006507F4">
        <w:rPr>
          <w:rFonts w:ascii="Arial" w:hAnsi="Arial" w:cs="Arial"/>
          <w:color w:val="000000" w:themeColor="text1"/>
          <w:lang w:val="es-CO" w:eastAsia="es-CO"/>
        </w:rPr>
        <w:t xml:space="preserve">videnció que </w:t>
      </w:r>
      <w:r>
        <w:rPr>
          <w:rFonts w:ascii="Arial" w:hAnsi="Arial" w:cs="Arial"/>
          <w:color w:val="000000" w:themeColor="text1"/>
          <w:lang w:val="es-CO" w:eastAsia="es-CO"/>
        </w:rPr>
        <w:t xml:space="preserve">los controles establecidos en </w:t>
      </w:r>
      <w:r w:rsidRPr="006507F4">
        <w:rPr>
          <w:rFonts w:ascii="Arial" w:hAnsi="Arial" w:cs="Arial"/>
          <w:color w:val="000000" w:themeColor="text1"/>
          <w:lang w:val="es-CO" w:eastAsia="es-CO"/>
        </w:rPr>
        <w:t>el riesgo GF8 (</w:t>
      </w:r>
      <w:r w:rsidR="00850318" w:rsidRPr="00850318">
        <w:rPr>
          <w:rFonts w:ascii="Arial" w:hAnsi="Arial" w:cs="Arial"/>
          <w:i/>
          <w:iCs/>
          <w:color w:val="000000" w:themeColor="text1"/>
          <w:lang w:val="es-CO" w:eastAsia="es-CO"/>
        </w:rPr>
        <w:t>p</w:t>
      </w:r>
      <w:r w:rsidRPr="00850318">
        <w:rPr>
          <w:rFonts w:ascii="Arial" w:hAnsi="Arial" w:cs="Arial"/>
          <w:i/>
          <w:iCs/>
          <w:color w:val="000000" w:themeColor="text1"/>
          <w:lang w:val="es-CO" w:eastAsia="es-CO"/>
        </w:rPr>
        <w:t xml:space="preserve">resentar subestimación o </w:t>
      </w:r>
      <w:r w:rsidR="00850318" w:rsidRPr="00850318">
        <w:rPr>
          <w:rFonts w:ascii="Arial" w:hAnsi="Arial" w:cs="Arial"/>
          <w:i/>
          <w:iCs/>
          <w:color w:val="000000" w:themeColor="text1"/>
          <w:lang w:val="es-CO" w:eastAsia="es-CO"/>
        </w:rPr>
        <w:t>s</w:t>
      </w:r>
      <w:r w:rsidRPr="00850318">
        <w:rPr>
          <w:rFonts w:ascii="Arial" w:hAnsi="Arial" w:cs="Arial"/>
          <w:i/>
          <w:iCs/>
          <w:color w:val="000000" w:themeColor="text1"/>
          <w:lang w:val="es-CO" w:eastAsia="es-CO"/>
        </w:rPr>
        <w:t>obreestimación de los saldos contables</w:t>
      </w:r>
      <w:r w:rsidRPr="006507F4">
        <w:rPr>
          <w:rFonts w:ascii="Arial" w:hAnsi="Arial" w:cs="Arial"/>
          <w:color w:val="000000" w:themeColor="text1"/>
          <w:lang w:val="es-CO" w:eastAsia="es-CO"/>
        </w:rPr>
        <w:t xml:space="preserve">) </w:t>
      </w:r>
      <w:r>
        <w:rPr>
          <w:rFonts w:ascii="Arial" w:hAnsi="Arial" w:cs="Arial"/>
          <w:color w:val="000000" w:themeColor="text1"/>
          <w:lang w:val="es-CO" w:eastAsia="es-CO"/>
        </w:rPr>
        <w:t xml:space="preserve">no fueron efectivos </w:t>
      </w:r>
      <w:r w:rsidR="0044738E">
        <w:rPr>
          <w:rFonts w:ascii="Arial" w:hAnsi="Arial" w:cs="Arial"/>
          <w:color w:val="000000" w:themeColor="text1"/>
          <w:lang w:val="es-CO" w:eastAsia="es-CO"/>
        </w:rPr>
        <w:t>para disminuir la probabilidad de ocurrencia</w:t>
      </w:r>
      <w:r w:rsidR="00EF65AF">
        <w:rPr>
          <w:rFonts w:ascii="Arial" w:hAnsi="Arial" w:cs="Arial"/>
          <w:color w:val="000000" w:themeColor="text1"/>
          <w:lang w:val="es-CO" w:eastAsia="es-CO"/>
        </w:rPr>
        <w:t>.</w:t>
      </w:r>
      <w:r w:rsidR="006004DD">
        <w:rPr>
          <w:rStyle w:val="Refdenotaalpie"/>
          <w:rFonts w:ascii="Arial" w:hAnsi="Arial" w:cs="Arial"/>
          <w:color w:val="000000" w:themeColor="text1"/>
          <w:lang w:val="es-CO" w:eastAsia="es-CO"/>
        </w:rPr>
        <w:footnoteReference w:id="2"/>
      </w:r>
      <w:r w:rsidR="0044738E">
        <w:rPr>
          <w:rFonts w:ascii="Arial" w:hAnsi="Arial" w:cs="Arial"/>
          <w:color w:val="000000" w:themeColor="text1"/>
          <w:lang w:val="es-CO" w:eastAsia="es-CO"/>
        </w:rPr>
        <w:t xml:space="preserve"> </w:t>
      </w:r>
    </w:p>
    <w:p w14:paraId="7BC4739E" w14:textId="04777FBD" w:rsidR="006004DD" w:rsidRDefault="006004DD" w:rsidP="006004DD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</w:t>
      </w:r>
      <w:r w:rsidRPr="00EA4542">
        <w:rPr>
          <w:rFonts w:ascii="Arial" w:hAnsi="Arial" w:cs="Arial"/>
          <w:lang w:eastAsia="es-CO"/>
        </w:rPr>
        <w:t>e observaron notas que no revelaron la información</w:t>
      </w:r>
      <w:r>
        <w:rPr>
          <w:rFonts w:ascii="Arial" w:hAnsi="Arial" w:cs="Arial"/>
          <w:lang w:eastAsia="es-CO"/>
        </w:rPr>
        <w:t xml:space="preserve"> financiera</w:t>
      </w:r>
      <w:r w:rsidRPr="00EA4542">
        <w:rPr>
          <w:rFonts w:ascii="Arial" w:hAnsi="Arial" w:cs="Arial"/>
          <w:lang w:eastAsia="es-CO"/>
        </w:rPr>
        <w:t xml:space="preserve"> en forma suficiente</w:t>
      </w:r>
      <w:r>
        <w:rPr>
          <w:rStyle w:val="Refdenotaalpie"/>
          <w:rFonts w:ascii="Arial" w:hAnsi="Arial" w:cs="Arial"/>
          <w:lang w:eastAsia="es-CO"/>
        </w:rPr>
        <w:footnoteReference w:id="3"/>
      </w:r>
      <w:r w:rsidRPr="00EA4542">
        <w:rPr>
          <w:rFonts w:ascii="Arial" w:hAnsi="Arial" w:cs="Arial"/>
          <w:lang w:eastAsia="es-CO"/>
        </w:rPr>
        <w:t>.</w:t>
      </w:r>
    </w:p>
    <w:p w14:paraId="1DFFCFFA" w14:textId="77777777" w:rsidR="009C1955" w:rsidRDefault="009C1955" w:rsidP="00261FA9">
      <w:pPr>
        <w:pStyle w:val="Ttulo3"/>
        <w:numPr>
          <w:ilvl w:val="2"/>
          <w:numId w:val="15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21" w:name="_Toc66790681"/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Avances y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M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ejoras del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P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roceso de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ontrol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I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nterno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ontable</w:t>
      </w:r>
      <w:bookmarkEnd w:id="21"/>
    </w:p>
    <w:p w14:paraId="79DA69A8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37D9213" w14:textId="54091919" w:rsidR="00C048AF" w:rsidRDefault="00FD792B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La Entidad </w:t>
      </w:r>
      <w:r w:rsidR="00850318">
        <w:rPr>
          <w:rFonts w:ascii="Arial" w:hAnsi="Arial" w:cs="Arial"/>
          <w:lang w:val="es-CO" w:eastAsia="es-CO"/>
        </w:rPr>
        <w:t xml:space="preserve">fortaleció la identificación de </w:t>
      </w:r>
      <w:r>
        <w:rPr>
          <w:rFonts w:ascii="Arial" w:hAnsi="Arial" w:cs="Arial"/>
          <w:lang w:val="es-CO" w:eastAsia="es-CO"/>
        </w:rPr>
        <w:t xml:space="preserve">riesgos de índole contable </w:t>
      </w:r>
      <w:r w:rsidR="00B21DEE">
        <w:rPr>
          <w:rFonts w:ascii="Arial" w:hAnsi="Arial" w:cs="Arial"/>
          <w:lang w:val="es-CO" w:eastAsia="es-CO"/>
        </w:rPr>
        <w:t>para los cuales elabor</w:t>
      </w:r>
      <w:r w:rsidR="001850B0">
        <w:rPr>
          <w:rFonts w:ascii="Arial" w:hAnsi="Arial" w:cs="Arial"/>
          <w:lang w:val="es-CO" w:eastAsia="es-CO"/>
        </w:rPr>
        <w:t>ó</w:t>
      </w:r>
      <w:r w:rsidR="00B21DEE">
        <w:rPr>
          <w:rFonts w:ascii="Arial" w:hAnsi="Arial" w:cs="Arial"/>
          <w:lang w:val="es-CO" w:eastAsia="es-CO"/>
        </w:rPr>
        <w:t xml:space="preserve"> los respectivos </w:t>
      </w:r>
      <w:r w:rsidR="00B21DEE" w:rsidRPr="001C0F8A">
        <w:rPr>
          <w:rFonts w:ascii="Arial" w:hAnsi="Arial" w:cs="Arial"/>
          <w:lang w:val="es-CO" w:eastAsia="es-CO"/>
        </w:rPr>
        <w:t xml:space="preserve">controles y planes de </w:t>
      </w:r>
      <w:r w:rsidR="001C0F8A" w:rsidRPr="001C0F8A">
        <w:rPr>
          <w:rFonts w:ascii="Arial" w:hAnsi="Arial" w:cs="Arial"/>
          <w:lang w:val="es-CO" w:eastAsia="es-CO"/>
        </w:rPr>
        <w:t>tratamiento</w:t>
      </w:r>
      <w:r w:rsidR="00B21DEE" w:rsidRPr="001C0F8A">
        <w:rPr>
          <w:rFonts w:ascii="Arial" w:hAnsi="Arial" w:cs="Arial"/>
          <w:lang w:val="es-CO" w:eastAsia="es-CO"/>
        </w:rPr>
        <w:t xml:space="preserve"> </w:t>
      </w:r>
      <w:r w:rsidR="00B21DEE">
        <w:rPr>
          <w:rFonts w:ascii="Arial" w:hAnsi="Arial" w:cs="Arial"/>
          <w:lang w:val="es-CO" w:eastAsia="es-CO"/>
        </w:rPr>
        <w:t xml:space="preserve">acorde </w:t>
      </w:r>
      <w:r w:rsidR="001317F4">
        <w:rPr>
          <w:rFonts w:ascii="Arial" w:hAnsi="Arial" w:cs="Arial"/>
          <w:lang w:val="es-CO" w:eastAsia="es-CO"/>
        </w:rPr>
        <w:t xml:space="preserve">con la </w:t>
      </w:r>
      <w:r w:rsidR="001317F4" w:rsidRPr="00850318">
        <w:rPr>
          <w:rFonts w:ascii="Arial" w:hAnsi="Arial" w:cs="Arial"/>
          <w:i/>
          <w:iCs/>
          <w:lang w:val="es-CO" w:eastAsia="es-CO"/>
        </w:rPr>
        <w:t>Guía de Gestión de Riesgos y Peligros v9</w:t>
      </w:r>
      <w:r w:rsidR="00B21DEE">
        <w:rPr>
          <w:rFonts w:ascii="Arial" w:hAnsi="Arial" w:cs="Arial"/>
          <w:lang w:val="es-CO" w:eastAsia="es-CO"/>
        </w:rPr>
        <w:t>.</w:t>
      </w:r>
    </w:p>
    <w:p w14:paraId="662AFF69" w14:textId="77777777" w:rsidR="0017177C" w:rsidRDefault="003528C0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22" w:name="_Toc66790682"/>
      <w:bookmarkStart w:id="23" w:name="_Toc34399180"/>
      <w:bookmarkStart w:id="24" w:name="_Hlk65674530"/>
      <w:r>
        <w:rPr>
          <w:rFonts w:ascii="Arial" w:hAnsi="Arial" w:cs="Arial"/>
          <w:i w:val="0"/>
          <w:iCs w:val="0"/>
          <w:sz w:val="22"/>
          <w:szCs w:val="22"/>
          <w:lang w:eastAsia="es-CO"/>
        </w:rPr>
        <w:t>ANÁLISIS</w:t>
      </w:r>
      <w:r w:rsidR="0017177C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 COMPORTAMIENTO INFORME CONTROL INTERNO CONTABLE VIGENCIA 2017-2018-201</w:t>
      </w:r>
      <w:r w:rsidR="00BC3A7E">
        <w:rPr>
          <w:rFonts w:ascii="Arial" w:hAnsi="Arial" w:cs="Arial"/>
          <w:i w:val="0"/>
          <w:iCs w:val="0"/>
          <w:sz w:val="22"/>
          <w:szCs w:val="22"/>
          <w:lang w:eastAsia="es-CO"/>
        </w:rPr>
        <w:t>9</w:t>
      </w:r>
      <w:r w:rsidR="0017177C">
        <w:rPr>
          <w:rFonts w:ascii="Arial" w:hAnsi="Arial" w:cs="Arial"/>
          <w:i w:val="0"/>
          <w:iCs w:val="0"/>
          <w:sz w:val="22"/>
          <w:szCs w:val="22"/>
          <w:lang w:eastAsia="es-CO"/>
        </w:rPr>
        <w:t>-</w:t>
      </w:r>
      <w:r w:rsidR="00BC3A7E">
        <w:rPr>
          <w:rFonts w:ascii="Arial" w:hAnsi="Arial" w:cs="Arial"/>
          <w:i w:val="0"/>
          <w:iCs w:val="0"/>
          <w:sz w:val="22"/>
          <w:szCs w:val="22"/>
          <w:lang w:eastAsia="es-CO"/>
        </w:rPr>
        <w:t>2020.</w:t>
      </w:r>
      <w:bookmarkEnd w:id="22"/>
    </w:p>
    <w:bookmarkEnd w:id="23"/>
    <w:p w14:paraId="1A954786" w14:textId="77777777" w:rsidR="00493614" w:rsidRPr="000F12DE" w:rsidRDefault="00493614" w:rsidP="00261FA9">
      <w:pPr>
        <w:spacing w:after="0"/>
        <w:rPr>
          <w:lang w:val="es-CO" w:eastAsia="es-CO"/>
        </w:rPr>
      </w:pPr>
    </w:p>
    <w:p w14:paraId="6BE59421" w14:textId="1D47E801" w:rsidR="00493614" w:rsidRDefault="00493614" w:rsidP="00261FA9">
      <w:pPr>
        <w:spacing w:after="0"/>
        <w:jc w:val="both"/>
        <w:rPr>
          <w:rFonts w:ascii="Arial" w:hAnsi="Arial" w:cs="Arial"/>
          <w:lang w:val="es-CO" w:eastAsia="es-CO"/>
        </w:rPr>
      </w:pPr>
      <w:r w:rsidRPr="008F640A">
        <w:rPr>
          <w:rFonts w:ascii="Arial" w:hAnsi="Arial" w:cs="Arial"/>
          <w:lang w:val="es-CO" w:eastAsia="es-CO"/>
        </w:rPr>
        <w:t>El ICBF Durante las vigencias 2017</w:t>
      </w:r>
      <w:r>
        <w:rPr>
          <w:rFonts w:ascii="Arial" w:hAnsi="Arial" w:cs="Arial"/>
          <w:lang w:val="es-CO" w:eastAsia="es-CO"/>
        </w:rPr>
        <w:t>,</w:t>
      </w:r>
      <w:r w:rsidRPr="008F640A">
        <w:rPr>
          <w:rFonts w:ascii="Arial" w:hAnsi="Arial" w:cs="Arial"/>
          <w:lang w:val="es-CO" w:eastAsia="es-CO"/>
        </w:rPr>
        <w:t xml:space="preserve"> 2018</w:t>
      </w:r>
      <w:r w:rsidR="00BC3A7E">
        <w:rPr>
          <w:rFonts w:ascii="Arial" w:hAnsi="Arial" w:cs="Arial"/>
          <w:lang w:val="es-CO" w:eastAsia="es-CO"/>
        </w:rPr>
        <w:t xml:space="preserve">, </w:t>
      </w:r>
      <w:r>
        <w:rPr>
          <w:rFonts w:ascii="Arial" w:hAnsi="Arial" w:cs="Arial"/>
          <w:lang w:val="es-CO" w:eastAsia="es-CO"/>
        </w:rPr>
        <w:t>2019</w:t>
      </w:r>
      <w:r w:rsidR="00BC3A7E">
        <w:rPr>
          <w:rFonts w:ascii="Arial" w:hAnsi="Arial" w:cs="Arial"/>
          <w:lang w:val="es-CO" w:eastAsia="es-CO"/>
        </w:rPr>
        <w:t xml:space="preserve"> y 2020</w:t>
      </w:r>
      <w:r>
        <w:rPr>
          <w:rFonts w:ascii="Arial" w:hAnsi="Arial" w:cs="Arial"/>
          <w:lang w:val="es-CO" w:eastAsia="es-CO"/>
        </w:rPr>
        <w:t xml:space="preserve"> </w:t>
      </w:r>
      <w:r w:rsidRPr="008F640A">
        <w:rPr>
          <w:rFonts w:ascii="Arial" w:hAnsi="Arial" w:cs="Arial"/>
          <w:lang w:val="es-CO" w:eastAsia="es-CO"/>
        </w:rPr>
        <w:t>presenta</w:t>
      </w:r>
      <w:r w:rsidRPr="005D5E63">
        <w:rPr>
          <w:rFonts w:ascii="Arial" w:hAnsi="Arial" w:cs="Arial"/>
          <w:lang w:val="es-CO" w:eastAsia="es-CO"/>
        </w:rPr>
        <w:t xml:space="preserve"> </w:t>
      </w:r>
      <w:r w:rsidRPr="00D91430">
        <w:rPr>
          <w:rFonts w:ascii="Arial" w:hAnsi="Arial" w:cs="Arial"/>
          <w:b/>
          <w:lang w:val="es-CO" w:eastAsia="es-CO"/>
        </w:rPr>
        <w:t>avance en el desarrollo, calidad y oportunidad de la información contable</w:t>
      </w:r>
      <w:r w:rsidRPr="005D5E63">
        <w:rPr>
          <w:rFonts w:ascii="Arial" w:hAnsi="Arial" w:cs="Arial"/>
          <w:lang w:val="es-CO" w:eastAsia="es-CO"/>
        </w:rPr>
        <w:t xml:space="preserve"> que refleja la gestión adelantada.</w:t>
      </w:r>
    </w:p>
    <w:p w14:paraId="6A9C304C" w14:textId="3881AB34" w:rsidR="00C048AF" w:rsidRDefault="00C048AF" w:rsidP="00261FA9">
      <w:pPr>
        <w:spacing w:after="0"/>
        <w:jc w:val="both"/>
        <w:rPr>
          <w:rFonts w:ascii="Arial" w:hAnsi="Arial" w:cs="Arial"/>
          <w:lang w:val="es-CO" w:eastAsia="es-CO"/>
        </w:rPr>
      </w:pPr>
    </w:p>
    <w:p w14:paraId="61709585" w14:textId="77777777" w:rsidR="003528C0" w:rsidRDefault="00B70C40" w:rsidP="00E1648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lang w:val="es-CO" w:eastAsia="es-CO"/>
        </w:rPr>
      </w:pPr>
      <w:r w:rsidRPr="00DE4416">
        <w:rPr>
          <w:rFonts w:ascii="Arial" w:hAnsi="Arial" w:cs="Arial"/>
          <w:b/>
          <w:sz w:val="20"/>
          <w:lang w:val="es-CO" w:eastAsia="es-CO"/>
        </w:rPr>
        <w:lastRenderedPageBreak/>
        <w:t>Gr</w:t>
      </w:r>
      <w:r>
        <w:rPr>
          <w:rFonts w:ascii="Arial" w:hAnsi="Arial" w:cs="Arial"/>
          <w:b/>
          <w:sz w:val="20"/>
          <w:lang w:val="es-CO" w:eastAsia="es-CO"/>
        </w:rPr>
        <w:t>a</w:t>
      </w:r>
      <w:r w:rsidRPr="00DE4416">
        <w:rPr>
          <w:rFonts w:ascii="Arial" w:hAnsi="Arial" w:cs="Arial"/>
          <w:b/>
          <w:sz w:val="20"/>
          <w:lang w:val="es-CO" w:eastAsia="es-CO"/>
        </w:rPr>
        <w:t xml:space="preserve">fica No. </w:t>
      </w:r>
      <w:r>
        <w:rPr>
          <w:rFonts w:ascii="Arial" w:hAnsi="Arial" w:cs="Arial"/>
          <w:b/>
          <w:sz w:val="20"/>
          <w:lang w:val="es-CO" w:eastAsia="es-CO"/>
        </w:rPr>
        <w:t>2</w:t>
      </w:r>
      <w:r w:rsidR="003528C0">
        <w:rPr>
          <w:noProof/>
        </w:rPr>
        <w:drawing>
          <wp:inline distT="0" distB="0" distL="0" distR="0" wp14:anchorId="3FA45E0C" wp14:editId="4B67606D">
            <wp:extent cx="5410200" cy="24955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F230551-F75E-4BE9-9189-3934CFC3F2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24FFEF" w14:textId="5AE32A7E" w:rsidR="003528C0" w:rsidRDefault="003528C0" w:rsidP="00E1648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</w:t>
      </w:r>
    </w:p>
    <w:p w14:paraId="57E20AB9" w14:textId="77777777" w:rsidR="006004DD" w:rsidRDefault="006004DD" w:rsidP="00E1648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217B4DE4" w14:textId="77777777" w:rsidR="005F6873" w:rsidRDefault="005F6873" w:rsidP="003528C0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1267E40B" w14:textId="77777777" w:rsidR="00990273" w:rsidRDefault="00990273" w:rsidP="006A673E">
      <w:pPr>
        <w:pStyle w:val="Ttulo1"/>
        <w:numPr>
          <w:ilvl w:val="0"/>
          <w:numId w:val="9"/>
        </w:numPr>
        <w:spacing w:before="0"/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5" w:name="_Toc66790683"/>
      <w:bookmarkStart w:id="26" w:name="_Toc34399182"/>
      <w:bookmarkStart w:id="27" w:name="_Toc47800219"/>
      <w:bookmarkEnd w:id="24"/>
      <w: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CONCLUSIONES</w:t>
      </w:r>
      <w:bookmarkEnd w:id="25"/>
    </w:p>
    <w:p w14:paraId="36A44706" w14:textId="77777777" w:rsidR="00FC3746" w:rsidRDefault="00FC3746" w:rsidP="00FC3746">
      <w:pPr>
        <w:rPr>
          <w:lang w:val="es-ES_tradnl"/>
        </w:rPr>
      </w:pPr>
    </w:p>
    <w:p w14:paraId="57458087" w14:textId="77777777" w:rsidR="00FC3746" w:rsidRPr="000B1868" w:rsidRDefault="00FC3746" w:rsidP="00FC374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Riesgo materializado</w:t>
      </w:r>
    </w:p>
    <w:p w14:paraId="2060A299" w14:textId="77777777" w:rsidR="00FC3746" w:rsidRPr="00E95A79" w:rsidRDefault="00E95A79" w:rsidP="00850451">
      <w:pPr>
        <w:jc w:val="both"/>
        <w:rPr>
          <w:rFonts w:ascii="Arial" w:hAnsi="Arial" w:cs="Arial"/>
          <w:lang w:val="es-CO" w:eastAsia="es-CO"/>
        </w:rPr>
      </w:pPr>
      <w:r w:rsidRPr="00E95A79">
        <w:rPr>
          <w:rFonts w:ascii="Arial" w:hAnsi="Arial" w:cs="Arial"/>
          <w:lang w:val="es-CO" w:eastAsia="es-CO"/>
        </w:rPr>
        <w:t xml:space="preserve">Se </w:t>
      </w:r>
      <w:r w:rsidR="00FC3746" w:rsidRPr="00E95A79">
        <w:rPr>
          <w:rFonts w:ascii="Arial" w:hAnsi="Arial" w:cs="Arial"/>
          <w:lang w:val="es-CO" w:eastAsia="es-CO"/>
        </w:rPr>
        <w:t xml:space="preserve">evidenció que el riesgo GF8 </w:t>
      </w:r>
      <w:r w:rsidR="00FC3746" w:rsidRPr="00E95A79">
        <w:rPr>
          <w:rFonts w:ascii="Arial" w:hAnsi="Arial" w:cs="Arial"/>
          <w:i/>
          <w:iCs/>
          <w:sz w:val="20"/>
          <w:szCs w:val="20"/>
          <w:lang w:val="es-CO" w:eastAsia="es-CO"/>
        </w:rPr>
        <w:t>(Presentar subestimación o Sobre estimación de los saldos contables</w:t>
      </w:r>
      <w:r w:rsidR="00FC3746" w:rsidRPr="00E95A79">
        <w:rPr>
          <w:rFonts w:ascii="Arial" w:hAnsi="Arial" w:cs="Arial"/>
          <w:sz w:val="20"/>
          <w:szCs w:val="20"/>
          <w:lang w:val="es-CO" w:eastAsia="es-CO"/>
        </w:rPr>
        <w:t>)</w:t>
      </w:r>
      <w:r w:rsidR="00FC3746" w:rsidRPr="00E95A79">
        <w:rPr>
          <w:rFonts w:ascii="Arial" w:hAnsi="Arial" w:cs="Arial"/>
          <w:lang w:val="es-CO" w:eastAsia="es-CO"/>
        </w:rPr>
        <w:t xml:space="preserve"> se materializó en diversas ocasiones por lo que se requiere establecer controles </w:t>
      </w:r>
      <w:r w:rsidR="00850451" w:rsidRPr="00E95A79">
        <w:rPr>
          <w:rFonts w:ascii="Arial" w:hAnsi="Arial" w:cs="Arial"/>
          <w:lang w:val="es-CO" w:eastAsia="es-CO"/>
        </w:rPr>
        <w:t>más</w:t>
      </w:r>
      <w:r w:rsidR="00FC3746" w:rsidRPr="00E95A79">
        <w:rPr>
          <w:rFonts w:ascii="Arial" w:hAnsi="Arial" w:cs="Arial"/>
          <w:lang w:val="es-CO" w:eastAsia="es-CO"/>
        </w:rPr>
        <w:t xml:space="preserve"> efectivos que permitan neutralizar la probabilidad de ocurrencia.</w:t>
      </w:r>
    </w:p>
    <w:p w14:paraId="364A7C1C" w14:textId="77777777" w:rsidR="008F2393" w:rsidRPr="00FC3746" w:rsidRDefault="008F2393" w:rsidP="00850451">
      <w:pPr>
        <w:jc w:val="both"/>
        <w:rPr>
          <w:lang w:val="es-ES_tradnl"/>
        </w:rPr>
      </w:pPr>
    </w:p>
    <w:p w14:paraId="6287FE4F" w14:textId="77777777" w:rsidR="00FD75EC" w:rsidRPr="005D2E43" w:rsidRDefault="00FD75EC" w:rsidP="006A673E">
      <w:pPr>
        <w:pStyle w:val="Ttulo1"/>
        <w:numPr>
          <w:ilvl w:val="0"/>
          <w:numId w:val="9"/>
        </w:numPr>
        <w:spacing w:before="0"/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8" w:name="_Toc66790684"/>
      <w:r w:rsidRPr="005D2E4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RECOMENDACIONES:</w:t>
      </w:r>
      <w:bookmarkEnd w:id="26"/>
      <w:bookmarkEnd w:id="28"/>
    </w:p>
    <w:p w14:paraId="16340920" w14:textId="77777777" w:rsidR="00FD75EC" w:rsidRDefault="00FD75EC" w:rsidP="00FD75E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654EBDBB" w14:textId="5E6F7219" w:rsidR="00FD75EC" w:rsidRDefault="00FD75EC" w:rsidP="00FD75E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850451">
        <w:rPr>
          <w:rFonts w:ascii="Arial" w:hAnsi="Arial" w:cs="Arial"/>
          <w:lang w:val="es-CO" w:eastAsia="es-CO"/>
        </w:rPr>
        <w:t xml:space="preserve">A partir de las situaciones </w:t>
      </w:r>
      <w:r w:rsidRPr="00850451">
        <w:rPr>
          <w:rFonts w:ascii="Arial" w:hAnsi="Arial" w:cs="Arial"/>
          <w:color w:val="000000"/>
          <w:lang w:val="es-CO" w:eastAsia="es-CO"/>
        </w:rPr>
        <w:t xml:space="preserve">identificadas en el ICBF </w:t>
      </w:r>
      <w:r w:rsidRPr="00850451">
        <w:rPr>
          <w:rFonts w:ascii="Arial" w:hAnsi="Arial" w:cs="Arial"/>
          <w:lang w:val="es-CO" w:eastAsia="es-CO"/>
        </w:rPr>
        <w:t>en el proceso contable es importante:</w:t>
      </w:r>
    </w:p>
    <w:p w14:paraId="1DF7F86C" w14:textId="13F1582A" w:rsidR="00FF6B0F" w:rsidRPr="00330BDD" w:rsidRDefault="00C048AF" w:rsidP="00FF6B0F">
      <w:pPr>
        <w:pStyle w:val="Prrafodelista"/>
        <w:widowControl w:val="0"/>
        <w:numPr>
          <w:ilvl w:val="0"/>
          <w:numId w:val="18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i/>
          <w:sz w:val="22"/>
          <w:szCs w:val="22"/>
          <w:lang w:eastAsia="es-CO"/>
        </w:rPr>
      </w:pPr>
      <w:r w:rsidRPr="00330BDD">
        <w:rPr>
          <w:rFonts w:ascii="Arial" w:hAnsi="Arial" w:cs="Arial"/>
          <w:sz w:val="22"/>
          <w:szCs w:val="22"/>
          <w:lang w:eastAsia="es-CO"/>
        </w:rPr>
        <w:t>Fortalecer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 xml:space="preserve"> el análisis y la valoración de los controles establecidos en</w:t>
      </w:r>
      <w:r w:rsidRPr="00330BDD">
        <w:rPr>
          <w:rFonts w:ascii="Arial" w:hAnsi="Arial" w:cs="Arial"/>
          <w:sz w:val="22"/>
          <w:szCs w:val="22"/>
          <w:lang w:eastAsia="es-CO"/>
        </w:rPr>
        <w:t xml:space="preserve"> la matriz de</w:t>
      </w:r>
      <w:r w:rsidR="006359E5" w:rsidRPr="00330BDD">
        <w:rPr>
          <w:rFonts w:ascii="Arial" w:hAnsi="Arial" w:cs="Arial"/>
          <w:sz w:val="22"/>
          <w:szCs w:val="22"/>
          <w:lang w:eastAsia="es-CO"/>
        </w:rPr>
        <w:t xml:space="preserve"> riesgos y peligros,</w:t>
      </w:r>
      <w:r w:rsidRPr="00330BDD">
        <w:rPr>
          <w:rFonts w:ascii="Arial" w:hAnsi="Arial" w:cs="Arial"/>
          <w:sz w:val="22"/>
          <w:szCs w:val="22"/>
          <w:lang w:eastAsia="es-CO"/>
        </w:rPr>
        <w:t xml:space="preserve"> considerando 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 xml:space="preserve">la totalidad de </w:t>
      </w:r>
      <w:r w:rsidR="006359E5" w:rsidRPr="00330BDD">
        <w:rPr>
          <w:rFonts w:ascii="Arial" w:hAnsi="Arial" w:cs="Arial"/>
          <w:sz w:val="22"/>
          <w:szCs w:val="22"/>
          <w:lang w:eastAsia="es-CO"/>
        </w:rPr>
        <w:t>las situaciones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 xml:space="preserve"> que se presentan en aspectos como: </w:t>
      </w:r>
      <w:r w:rsidR="00FF6B0F" w:rsidRPr="00330BDD">
        <w:rPr>
          <w:rFonts w:ascii="Arial" w:hAnsi="Arial" w:cs="Arial"/>
          <w:i/>
          <w:sz w:val="22"/>
          <w:szCs w:val="22"/>
          <w:lang w:eastAsia="es-CO"/>
        </w:rPr>
        <w:t>procesos jurídicos no reconocidos contablemente, bienes muebles e inmuebles sin registrar, partidas conciliatorias sin depurar, reconocimiento de la provisión contable.</w:t>
      </w:r>
    </w:p>
    <w:p w14:paraId="603B26F1" w14:textId="3913086C" w:rsidR="00FF6B0F" w:rsidRPr="00330BDD" w:rsidRDefault="006359E5" w:rsidP="00FF6B0F">
      <w:pPr>
        <w:pStyle w:val="Prrafodelista"/>
        <w:widowControl w:val="0"/>
        <w:numPr>
          <w:ilvl w:val="0"/>
          <w:numId w:val="18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330BDD">
        <w:rPr>
          <w:rFonts w:ascii="Arial" w:hAnsi="Arial" w:cs="Arial"/>
          <w:sz w:val="22"/>
          <w:szCs w:val="22"/>
          <w:lang w:eastAsia="es-CO"/>
        </w:rPr>
        <w:t xml:space="preserve">Reforzar </w:t>
      </w:r>
      <w:r w:rsidR="00330BDD" w:rsidRPr="00330BDD">
        <w:rPr>
          <w:rFonts w:ascii="Arial" w:hAnsi="Arial" w:cs="Arial"/>
          <w:sz w:val="22"/>
          <w:szCs w:val="22"/>
          <w:lang w:eastAsia="es-CO"/>
        </w:rPr>
        <w:t>el proceso de</w:t>
      </w:r>
      <w:r w:rsidRPr="00330BD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30BDD" w:rsidRPr="00330BDD">
        <w:rPr>
          <w:rFonts w:ascii="Arial" w:hAnsi="Arial" w:cs="Arial"/>
          <w:sz w:val="22"/>
          <w:szCs w:val="22"/>
          <w:lang w:eastAsia="es-CO"/>
        </w:rPr>
        <w:t>conciliación,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30BDD" w:rsidRPr="00330BDD">
        <w:rPr>
          <w:rFonts w:ascii="Arial" w:hAnsi="Arial" w:cs="Arial"/>
          <w:sz w:val="22"/>
          <w:szCs w:val="22"/>
          <w:lang w:eastAsia="es-CO"/>
        </w:rPr>
        <w:t>utilizando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30BDD" w:rsidRPr="00330BDD">
        <w:rPr>
          <w:rFonts w:ascii="Arial" w:hAnsi="Arial" w:cs="Arial"/>
          <w:sz w:val="22"/>
          <w:szCs w:val="22"/>
          <w:lang w:eastAsia="es-CO"/>
        </w:rPr>
        <w:t xml:space="preserve">información 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 xml:space="preserve">individualizada de las partidas </w:t>
      </w:r>
      <w:r w:rsidR="00330BDD" w:rsidRPr="00330BDD">
        <w:rPr>
          <w:rFonts w:ascii="Arial" w:hAnsi="Arial" w:cs="Arial"/>
          <w:sz w:val="22"/>
          <w:szCs w:val="22"/>
          <w:lang w:eastAsia="es-CO"/>
        </w:rPr>
        <w:t xml:space="preserve">para optimizar la </w:t>
      </w:r>
      <w:r w:rsidR="00FF6B0F" w:rsidRPr="00330BDD">
        <w:rPr>
          <w:rFonts w:ascii="Arial" w:hAnsi="Arial" w:cs="Arial"/>
          <w:sz w:val="22"/>
          <w:szCs w:val="22"/>
          <w:lang w:eastAsia="es-CO"/>
        </w:rPr>
        <w:t>depuración de las cuentas.</w:t>
      </w:r>
    </w:p>
    <w:p w14:paraId="18D1961D" w14:textId="77777777" w:rsidR="00161158" w:rsidRPr="00850451" w:rsidRDefault="00161158" w:rsidP="00161158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lastRenderedPageBreak/>
        <w:t xml:space="preserve">Promover en todo el personal financiero y en los proveedores de información financiera la aplicación de medidas de autocontrol para contribuir en la calidad de la información contable.  </w:t>
      </w:r>
    </w:p>
    <w:p w14:paraId="3B788E95" w14:textId="77777777" w:rsidR="00FD75EC" w:rsidRPr="00850451" w:rsidRDefault="00FD75EC" w:rsidP="00FD75EC">
      <w:pPr>
        <w:pStyle w:val="Prrafodelista"/>
        <w:spacing w:line="276" w:lineRule="auto"/>
        <w:ind w:left="851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14:paraId="1B02BEE0" w14:textId="77777777" w:rsidR="00FD75EC" w:rsidRPr="00850451" w:rsidRDefault="00850451" w:rsidP="00FD75EC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>P</w:t>
      </w:r>
      <w:r w:rsidR="00FD75EC"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>romover el análisis e interpretación de la información financiera como instrumento de apoyo para la toma de decisiones incluyendo el impacto de los recursos sobre la misionalidad del ICBF</w:t>
      </w:r>
    </w:p>
    <w:p w14:paraId="53615B8F" w14:textId="77777777" w:rsidR="00FD75EC" w:rsidRPr="00850451" w:rsidRDefault="00FD75EC" w:rsidP="00FD75EC">
      <w:pPr>
        <w:pStyle w:val="Prrafodelista"/>
        <w:spacing w:line="276" w:lineRule="auto"/>
        <w:rPr>
          <w:rFonts w:ascii="Arial" w:eastAsia="Calibri" w:hAnsi="Arial" w:cs="Arial"/>
          <w:color w:val="000000"/>
          <w:lang w:eastAsia="es-CO"/>
        </w:rPr>
      </w:pPr>
    </w:p>
    <w:p w14:paraId="59026207" w14:textId="77777777" w:rsidR="00FD75EC" w:rsidRPr="00850451" w:rsidRDefault="00FD75EC" w:rsidP="00FD75EC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Implementar acciones </w:t>
      </w:r>
      <w:r w:rsidR="00850451"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en conjunto </w:t>
      </w:r>
      <w:r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con las </w:t>
      </w:r>
      <w:r w:rsidR="00850451"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>dependencias proveedoras de información fortaleciendo la</w:t>
      </w:r>
      <w:r w:rsidRP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depuración de las cuentas contables relacionadas con el almacén, bienes muebles e inmuebles, incapacidades, inventarios, procesos jurídicos a favor y en contra, cartera coactiva.  </w:t>
      </w:r>
    </w:p>
    <w:p w14:paraId="4B7781A8" w14:textId="77777777" w:rsidR="00FD75EC" w:rsidRPr="00897745" w:rsidRDefault="00FD75EC" w:rsidP="00FD75EC">
      <w:pPr>
        <w:pStyle w:val="Prrafodelista"/>
        <w:rPr>
          <w:rFonts w:ascii="Arial" w:eastAsia="Calibri" w:hAnsi="Arial" w:cs="Arial"/>
          <w:color w:val="000000"/>
          <w:sz w:val="22"/>
          <w:szCs w:val="22"/>
          <w:highlight w:val="yellow"/>
          <w:lang w:eastAsia="es-CO"/>
        </w:rPr>
      </w:pPr>
    </w:p>
    <w:p w14:paraId="42B5DF13" w14:textId="77777777" w:rsidR="00065302" w:rsidRPr="00671A93" w:rsidRDefault="00065302" w:rsidP="00065302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T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ener en cuenta 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las situaciones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, tanto intern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a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s como extern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a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s,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de los hechos económicos generados </w:t>
      </w:r>
      <w:r w:rsidR="00850451">
        <w:rPr>
          <w:rFonts w:ascii="Arial" w:eastAsia="Calibri" w:hAnsi="Arial" w:cs="Arial"/>
          <w:color w:val="000000"/>
          <w:sz w:val="22"/>
          <w:szCs w:val="22"/>
          <w:lang w:eastAsia="es-CO"/>
        </w:rPr>
        <w:t>que tienen alguna afectación en la Entidad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cuando estos no se incluyen </w:t>
      </w:r>
      <w:r w:rsidR="00E95A79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en 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los criterios dispuestos en el 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Régimen de Contabilidad Pública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afectando o 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imp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idiendo</w:t>
      </w:r>
      <w:r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la obtención de información financiera con las características fundamentales de relevancia y representación fiel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.</w:t>
      </w:r>
    </w:p>
    <w:p w14:paraId="563BBBF6" w14:textId="77777777" w:rsidR="00065302" w:rsidRDefault="00065302" w:rsidP="00065302">
      <w:pPr>
        <w:pStyle w:val="Prrafodelista"/>
        <w:spacing w:line="276" w:lineRule="auto"/>
        <w:ind w:left="851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</w:pPr>
    </w:p>
    <w:p w14:paraId="70AC3923" w14:textId="449606C9" w:rsidR="00B21DEE" w:rsidRPr="00FF7922" w:rsidRDefault="00B21DEE" w:rsidP="006A673E">
      <w:pPr>
        <w:pStyle w:val="Ttulo1"/>
        <w:widowControl w:val="0"/>
        <w:numPr>
          <w:ilvl w:val="0"/>
          <w:numId w:val="9"/>
        </w:numPr>
        <w:autoSpaceDE w:val="0"/>
        <w:autoSpaceDN w:val="0"/>
        <w:adjustRightInd w:val="0"/>
        <w:spacing w:after="260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val="es-CO" w:eastAsia="es-CO"/>
        </w:rPr>
      </w:pPr>
      <w:bookmarkStart w:id="29" w:name="_Toc66790685"/>
      <w:r w:rsidRPr="00FF7922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SEGUIMIENTO </w:t>
      </w:r>
      <w:r w:rsidR="00FF7922" w:rsidRPr="00FF7922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AL AVANCE Y CUMPLIMIENTO DE ACCIONES CORRECTIVAS</w:t>
      </w:r>
      <w:bookmarkEnd w:id="29"/>
    </w:p>
    <w:p w14:paraId="1A18F472" w14:textId="77777777" w:rsidR="005F7054" w:rsidRDefault="005F7054" w:rsidP="00B21DEE">
      <w:pPr>
        <w:pStyle w:val="Ttulo1"/>
        <w:widowControl w:val="0"/>
        <w:autoSpaceDE w:val="0"/>
        <w:autoSpaceDN w:val="0"/>
        <w:adjustRightInd w:val="0"/>
        <w:spacing w:after="260"/>
        <w:jc w:val="both"/>
        <w:rPr>
          <w:rFonts w:ascii="Arial" w:eastAsia="Calibri" w:hAnsi="Arial" w:cs="Arial"/>
          <w:color w:val="auto"/>
          <w:sz w:val="22"/>
          <w:szCs w:val="22"/>
          <w:lang w:val="es-CO" w:eastAsia="es-CO"/>
        </w:rPr>
      </w:pPr>
      <w:bookmarkStart w:id="30" w:name="_Toc47980159"/>
      <w:bookmarkStart w:id="31" w:name="_Toc66790686"/>
      <w:r w:rsidRPr="00261FA9">
        <w:rPr>
          <w:rFonts w:ascii="Arial" w:eastAsia="Calibri" w:hAnsi="Arial" w:cs="Arial"/>
          <w:color w:val="auto"/>
          <w:sz w:val="22"/>
          <w:szCs w:val="22"/>
          <w:lang w:val="es-CO" w:eastAsia="es-CO"/>
        </w:rPr>
        <w:t>Verificado el avance y cumplimiento de las acciones correctivas resultado del informe anual vigencia 20</w:t>
      </w:r>
      <w:r w:rsidR="00E1648C">
        <w:rPr>
          <w:rFonts w:ascii="Arial" w:eastAsia="Calibri" w:hAnsi="Arial" w:cs="Arial"/>
          <w:color w:val="auto"/>
          <w:sz w:val="22"/>
          <w:szCs w:val="22"/>
          <w:lang w:val="es-CO" w:eastAsia="es-CO"/>
        </w:rPr>
        <w:t>19</w:t>
      </w:r>
      <w:r w:rsidRPr="00261FA9">
        <w:rPr>
          <w:rFonts w:ascii="Arial" w:eastAsia="Calibri" w:hAnsi="Arial" w:cs="Arial"/>
          <w:color w:val="auto"/>
          <w:sz w:val="22"/>
          <w:szCs w:val="22"/>
          <w:lang w:val="es-CO" w:eastAsia="es-CO"/>
        </w:rPr>
        <w:t xml:space="preserve"> </w:t>
      </w:r>
      <w:r w:rsidRPr="00575969">
        <w:rPr>
          <w:rFonts w:ascii="Arial" w:eastAsia="Calibri" w:hAnsi="Arial" w:cs="Arial"/>
          <w:color w:val="auto"/>
          <w:sz w:val="20"/>
          <w:szCs w:val="20"/>
          <w:lang w:val="es-CO" w:eastAsia="es-CO"/>
        </w:rPr>
        <w:t>(</w:t>
      </w:r>
      <w:r w:rsidRPr="00575969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lang w:val="es-CO" w:eastAsia="es-CO"/>
        </w:rPr>
        <w:t xml:space="preserve">Anexo </w:t>
      </w:r>
      <w:r w:rsidR="00B21DEE" w:rsidRPr="00575969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lang w:val="es-CO" w:eastAsia="es-CO"/>
        </w:rPr>
        <w:t>2</w:t>
      </w:r>
      <w:r w:rsidRPr="00575969">
        <w:rPr>
          <w:rFonts w:ascii="Arial" w:eastAsia="Calibri" w:hAnsi="Arial" w:cs="Arial"/>
          <w:i/>
          <w:iCs/>
          <w:color w:val="auto"/>
          <w:sz w:val="20"/>
          <w:szCs w:val="20"/>
          <w:lang w:val="es-CO" w:eastAsia="es-CO"/>
        </w:rPr>
        <w:t xml:space="preserve"> Seguimiento AC ISOLUCIÓN</w:t>
      </w:r>
      <w:r w:rsidRPr="00575969">
        <w:rPr>
          <w:rFonts w:ascii="Arial" w:eastAsia="Calibri" w:hAnsi="Arial" w:cs="Arial"/>
          <w:color w:val="auto"/>
          <w:sz w:val="20"/>
          <w:szCs w:val="20"/>
          <w:lang w:val="es-CO" w:eastAsia="es-CO"/>
        </w:rPr>
        <w:t>),</w:t>
      </w:r>
      <w:r w:rsidRPr="00261FA9">
        <w:rPr>
          <w:rFonts w:ascii="Arial" w:eastAsia="Calibri" w:hAnsi="Arial" w:cs="Arial"/>
          <w:color w:val="auto"/>
          <w:sz w:val="22"/>
          <w:szCs w:val="22"/>
          <w:lang w:val="es-CO" w:eastAsia="es-CO"/>
        </w:rPr>
        <w:t xml:space="preserve"> se observó lo siguiente:</w:t>
      </w:r>
      <w:bookmarkEnd w:id="27"/>
      <w:bookmarkEnd w:id="30"/>
      <w:bookmarkEnd w:id="31"/>
    </w:p>
    <w:p w14:paraId="4A666F4A" w14:textId="77777777" w:rsidR="00E1648C" w:rsidRPr="00E1648C" w:rsidRDefault="00E1648C" w:rsidP="00E1648C">
      <w:pPr>
        <w:spacing w:after="0"/>
        <w:jc w:val="center"/>
        <w:rPr>
          <w:rFonts w:ascii="Arial" w:hAnsi="Arial" w:cs="Arial"/>
          <w:lang w:val="es-CO" w:eastAsia="es-CO"/>
        </w:rPr>
      </w:pPr>
      <w:r w:rsidRPr="00E1648C">
        <w:rPr>
          <w:rFonts w:ascii="Arial" w:hAnsi="Arial" w:cs="Arial"/>
          <w:b/>
          <w:bCs/>
          <w:lang w:val="es-CO" w:eastAsia="es-CO"/>
        </w:rPr>
        <w:t>Tabla No. 2</w:t>
      </w:r>
      <w:r w:rsidRPr="00E1648C">
        <w:rPr>
          <w:rFonts w:ascii="Arial" w:hAnsi="Arial" w:cs="Arial"/>
          <w:lang w:val="es-CO" w:eastAsia="es-CO"/>
        </w:rPr>
        <w:t xml:space="preserve"> seguimiento acciones correctivas ISOLUCIÓN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553"/>
        <w:gridCol w:w="2153"/>
        <w:gridCol w:w="1567"/>
      </w:tblGrid>
      <w:tr w:rsidR="00E1648C" w:rsidRPr="007C121F" w14:paraId="28B5828B" w14:textId="77777777" w:rsidTr="00E1648C">
        <w:trPr>
          <w:trHeight w:val="20"/>
          <w:tblHeader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6C8345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Variable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98D9C6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INFORME SEGUIMIENTO EVALUACIÓN CONTROL INTERNO CONTABLE 2019</w:t>
            </w:r>
          </w:p>
        </w:tc>
      </w:tr>
      <w:tr w:rsidR="00E1648C" w:rsidRPr="007C121F" w14:paraId="67E715A5" w14:textId="77777777" w:rsidTr="00E1648C">
        <w:trPr>
          <w:trHeight w:val="2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DCA5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E6911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D58EF7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%</w:t>
            </w:r>
          </w:p>
        </w:tc>
      </w:tr>
      <w:tr w:rsidR="00E1648C" w:rsidRPr="007C121F" w14:paraId="1DC96689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959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No. de No Conformidades notificadas en el Informe de Auditoria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6F3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CD808D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1648C" w:rsidRPr="007C121F" w14:paraId="542EB3A8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9EB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No. de No Conformidades registradas En ISOLUCIÓN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66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4B5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52050515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688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No. Actividades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425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F08AA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1648C" w:rsidRPr="007C121F" w14:paraId="6DCDAD7B" w14:textId="77777777" w:rsidTr="00E164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89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3A0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3E3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EF3C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1648C" w:rsidRPr="007C121F" w14:paraId="2B0A906E" w14:textId="77777777" w:rsidTr="00E164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BFA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95B3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D07D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ACB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1648C" w:rsidRPr="007C121F" w14:paraId="15655134" w14:textId="77777777" w:rsidTr="00E1648C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5387F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946E9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Resultado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64735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Número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A9EFE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%</w:t>
            </w:r>
          </w:p>
        </w:tc>
      </w:tr>
      <w:tr w:rsidR="00E1648C" w:rsidRPr="007C121F" w14:paraId="61858673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B0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Integralidad de la No Conformidad registrada 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(VARIABLE No. 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BC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2E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59EA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5745853A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2C0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BF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7D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C6A5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65316DF3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14E16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1721E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7B6DD5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73343133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0D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Coherencia Corrección Vs No Conformidad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(VARIABLE No.32)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BE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D4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6DE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5EFD6B4C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5C27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9E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70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BBB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04CC1DE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2571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9E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Parcialmente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D0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3A2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6A71C3C4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1C3D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20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EB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485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0B0F1480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7027F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B93E6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9C37A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4FA37CD9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36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Coherencia Causa raíz vs No Conformidad 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(VARIABLE No.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25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A9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5DC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01F828B8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DB4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94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A2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448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57DD6D1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284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A3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Parcialmente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62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56D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58F74176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A6DFCD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E4871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51EC84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7C21C593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FA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Integralidad de la Acción Correctiva propuesta con la causa de la No Conformidad 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(VARIABLE No.36)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CE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7D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FFB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3496D3C0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9E26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A7D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95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E78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2B64E157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3EF3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DB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Parcialmente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39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F9FD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3D480203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258A5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390D3D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BDAAA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1FAA0DC3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BE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Integralidad de la Acción correctiva con el tema de la No </w:t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Conformidad</w:t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 xml:space="preserve"> (VARIABLE No. 38)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D25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5D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407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5D3C9D00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BC18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EC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53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FBD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4C66986D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F08D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79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Parcialmente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10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FFF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C6BD793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F26FD5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B8F6D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BE3C79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6162D55D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A6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Coherencia Acción Correctiva (Plan de Acción)  Vs Causa de la No Conformidad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(VARIABLE No. 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6F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D9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08A1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6019F5F4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3890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5B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42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5671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B34B53B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87BA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E9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Parcialmente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03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897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A487DBD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195D11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143DB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8FE4C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1CE72F7A" w14:textId="77777777" w:rsidTr="00E164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6E2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511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5C7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CA6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1648C" w:rsidRPr="007C121F" w14:paraId="71C51596" w14:textId="77777777" w:rsidTr="00E164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69F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90A9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047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8611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E1648C" w:rsidRPr="007C121F" w14:paraId="7DEA3A04" w14:textId="77777777" w:rsidTr="00E1648C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DA0C6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1AE7C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Resultado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3B33C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Número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3F569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%</w:t>
            </w:r>
          </w:p>
        </w:tc>
      </w:tr>
      <w:tr w:rsidR="00E1648C" w:rsidRPr="007C121F" w14:paraId="6ED1C24F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71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Eficacia del Plan de Acción 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(VARIABLE No. 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9E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Cumplida </w:t>
            </w:r>
            <w:proofErr w:type="spellStart"/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A50D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C4E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50A931D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3C3A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35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Cumplida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34B" w14:textId="77777777" w:rsidR="00E1648C" w:rsidRPr="007C121F" w:rsidRDefault="007B071B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7AD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305BEC09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7C27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BF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En Avance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7E5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B7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3AAA572B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EF42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695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Sin Avance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9A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7A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0F1E0E75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D1A2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27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 Cumplida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FE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D38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13D1B8FE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1D504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9CBED4" w14:textId="77777777" w:rsidR="00E1648C" w:rsidRPr="007C121F" w:rsidRDefault="007B071B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51B678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66E229FD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FD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No Conformidad es RECURRENTE</w:t>
            </w: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(VARIABLE No.51)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65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EE9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DE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71AEE394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CBE5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2C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A5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67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4529580B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A1BF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55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24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BBE0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048AB0E7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23656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F5FE3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26E0C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3996DFBF" w14:textId="77777777" w:rsidTr="00E164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9A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Estado de las No Conformidades registradas en ISOLUCIÓN </w:t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según revisión OCI</w:t>
            </w: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(VARIABLE No. 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323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Abierta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626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0E1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6D4E812D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B37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C1A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Abierta Sin Acciones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34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A94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465533E4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8B23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E3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Cerrada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19B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B0D2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  <w:tr w:rsidR="00E1648C" w:rsidRPr="007C121F" w14:paraId="2E62C168" w14:textId="77777777" w:rsidTr="00E1648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963B" w14:textId="77777777" w:rsidR="00E1648C" w:rsidRPr="007C121F" w:rsidRDefault="00E1648C" w:rsidP="00E1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3E8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Revisar Formulación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7B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A87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0%</w:t>
            </w:r>
          </w:p>
        </w:tc>
      </w:tr>
      <w:tr w:rsidR="00E1648C" w:rsidRPr="007C121F" w14:paraId="57AD4BD5" w14:textId="77777777" w:rsidTr="00E1648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A28FFF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7ADB9E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47F5CC" w14:textId="77777777" w:rsidR="00E1648C" w:rsidRPr="007C121F" w:rsidRDefault="00E1648C" w:rsidP="00E16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C12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100%</w:t>
            </w:r>
          </w:p>
        </w:tc>
      </w:tr>
    </w:tbl>
    <w:p w14:paraId="2E42FC9C" w14:textId="77777777" w:rsidR="00E1648C" w:rsidRPr="00E1648C" w:rsidRDefault="00E1648C" w:rsidP="00E1648C">
      <w:pPr>
        <w:rPr>
          <w:lang w:val="es-CO" w:eastAsia="es-CO"/>
        </w:rPr>
      </w:pPr>
    </w:p>
    <w:p w14:paraId="5AE1B92C" w14:textId="38256341" w:rsidR="00120C3C" w:rsidRPr="00D8794B" w:rsidRDefault="00120C3C" w:rsidP="00120C3C">
      <w:pPr>
        <w:ind w:left="1" w:firstLine="1"/>
        <w:jc w:val="both"/>
        <w:rPr>
          <w:rFonts w:ascii="Arial" w:hAnsi="Arial" w:cs="Arial"/>
          <w:lang w:val="es-CO" w:eastAsia="es-CO"/>
        </w:rPr>
      </w:pPr>
      <w:r w:rsidRPr="00D8794B">
        <w:rPr>
          <w:rFonts w:ascii="Arial" w:hAnsi="Arial" w:cs="Arial"/>
          <w:lang w:val="es-CO" w:eastAsia="es-CO"/>
        </w:rPr>
        <w:t>De l</w:t>
      </w:r>
      <w:r w:rsidR="00E1648C">
        <w:rPr>
          <w:rFonts w:ascii="Arial" w:hAnsi="Arial" w:cs="Arial"/>
          <w:lang w:val="es-CO" w:eastAsia="es-CO"/>
        </w:rPr>
        <w:t>a</w:t>
      </w:r>
      <w:r w:rsidRPr="00D8794B">
        <w:rPr>
          <w:rFonts w:ascii="Arial" w:hAnsi="Arial" w:cs="Arial"/>
          <w:lang w:val="es-CO" w:eastAsia="es-CO"/>
        </w:rPr>
        <w:t>s</w:t>
      </w:r>
      <w:r w:rsidR="00E1648C">
        <w:rPr>
          <w:rFonts w:ascii="Arial" w:hAnsi="Arial" w:cs="Arial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 xml:space="preserve">2 no conformidades </w:t>
      </w:r>
      <w:r w:rsidR="00EF5696" w:rsidRPr="00EF5696">
        <w:rPr>
          <w:rFonts w:ascii="Arial" w:hAnsi="Arial" w:cs="Arial"/>
          <w:lang w:val="es-CO" w:eastAsia="es-CO"/>
        </w:rPr>
        <w:t>notificadas</w:t>
      </w:r>
      <w:r w:rsidRPr="00EF5696">
        <w:rPr>
          <w:rFonts w:ascii="Arial" w:hAnsi="Arial" w:cs="Arial"/>
          <w:lang w:val="es-CO" w:eastAsia="es-CO"/>
        </w:rPr>
        <w:t xml:space="preserve"> </w:t>
      </w:r>
      <w:r w:rsidRPr="00D8794B">
        <w:rPr>
          <w:rFonts w:ascii="Arial" w:hAnsi="Arial" w:cs="Arial"/>
          <w:lang w:val="es-CO" w:eastAsia="es-CO"/>
        </w:rPr>
        <w:t xml:space="preserve">en el </w:t>
      </w:r>
      <w:r w:rsidR="00173C5B" w:rsidRPr="00120C3C">
        <w:rPr>
          <w:rFonts w:ascii="Arial" w:hAnsi="Arial" w:cs="Arial"/>
          <w:lang w:val="es-CO" w:eastAsia="es-CO"/>
        </w:rPr>
        <w:t>Informe Seguimiento Evaluación Control Interno Contable</w:t>
      </w:r>
      <w:r w:rsidRPr="00120C3C">
        <w:rPr>
          <w:rFonts w:ascii="Arial" w:hAnsi="Arial" w:cs="Arial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>2019</w:t>
      </w:r>
      <w:r w:rsidRPr="00D8794B">
        <w:rPr>
          <w:rFonts w:ascii="Arial" w:hAnsi="Arial" w:cs="Arial"/>
          <w:lang w:val="es-CO" w:eastAsia="es-CO"/>
        </w:rPr>
        <w:t xml:space="preserve"> se analizaron e identificaron </w:t>
      </w:r>
      <w:r>
        <w:rPr>
          <w:rFonts w:ascii="Arial" w:hAnsi="Arial" w:cs="Arial"/>
          <w:lang w:val="es-CO" w:eastAsia="es-CO"/>
        </w:rPr>
        <w:t>2</w:t>
      </w:r>
      <w:r w:rsidRPr="00D8794B">
        <w:rPr>
          <w:rFonts w:ascii="Arial" w:hAnsi="Arial" w:cs="Arial"/>
          <w:lang w:val="es-CO" w:eastAsia="es-CO"/>
        </w:rPr>
        <w:t xml:space="preserve"> acciones correctivas con </w:t>
      </w:r>
      <w:r>
        <w:rPr>
          <w:rFonts w:ascii="Arial" w:hAnsi="Arial" w:cs="Arial"/>
          <w:lang w:val="es-CO" w:eastAsia="es-CO"/>
        </w:rPr>
        <w:t>10</w:t>
      </w:r>
      <w:r w:rsidRPr="00D8794B">
        <w:rPr>
          <w:rFonts w:ascii="Arial" w:hAnsi="Arial" w:cs="Arial"/>
          <w:lang w:val="es-CO" w:eastAsia="es-CO"/>
        </w:rPr>
        <w:t xml:space="preserve"> actividades las cuales se encuentran documentadas</w:t>
      </w:r>
      <w:r>
        <w:rPr>
          <w:rFonts w:ascii="Arial" w:hAnsi="Arial" w:cs="Arial"/>
          <w:lang w:val="es-CO" w:eastAsia="es-CO"/>
        </w:rPr>
        <w:t>,</w:t>
      </w:r>
      <w:r w:rsidRPr="00D8794B">
        <w:rPr>
          <w:rFonts w:ascii="Arial" w:hAnsi="Arial" w:cs="Arial"/>
          <w:lang w:val="es-CO" w:eastAsia="es-CO"/>
        </w:rPr>
        <w:t xml:space="preserve"> cuentan con responsable, fechas de cumplimiento y se realiza el respectivo seguimiento.</w:t>
      </w:r>
    </w:p>
    <w:p w14:paraId="2089B849" w14:textId="77777777" w:rsidR="00120C3C" w:rsidRDefault="00120C3C" w:rsidP="00120C3C">
      <w:pPr>
        <w:spacing w:after="0"/>
        <w:jc w:val="both"/>
        <w:rPr>
          <w:rFonts w:ascii="Arial" w:hAnsi="Arial" w:cs="Arial"/>
          <w:bCs/>
        </w:rPr>
      </w:pPr>
      <w:r w:rsidRPr="00D8794B">
        <w:rPr>
          <w:rFonts w:ascii="Arial" w:hAnsi="Arial" w:cs="Arial"/>
          <w:bCs/>
        </w:rPr>
        <w:lastRenderedPageBreak/>
        <w:t xml:space="preserve">De la Eficacia del Plan de Acción se observó que, conforme </w:t>
      </w:r>
      <w:r w:rsidR="00173C5B">
        <w:rPr>
          <w:rFonts w:ascii="Arial" w:hAnsi="Arial" w:cs="Arial"/>
          <w:bCs/>
        </w:rPr>
        <w:t>con</w:t>
      </w:r>
      <w:r w:rsidRPr="00D8794B">
        <w:rPr>
          <w:rFonts w:ascii="Arial" w:hAnsi="Arial" w:cs="Arial"/>
          <w:bCs/>
        </w:rPr>
        <w:t xml:space="preserve"> los soportes solicitados y enviados además de los cargados en el ISOLUCIÓN, el cumplimiento de las actividades dentro de</w:t>
      </w:r>
      <w:r>
        <w:rPr>
          <w:rFonts w:ascii="Arial" w:hAnsi="Arial" w:cs="Arial"/>
          <w:bCs/>
        </w:rPr>
        <w:t xml:space="preserve"> los</w:t>
      </w:r>
      <w:r w:rsidRPr="00D879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términos registrados </w:t>
      </w:r>
      <w:r w:rsidRPr="00A066DF">
        <w:rPr>
          <w:rFonts w:ascii="Arial" w:hAnsi="Arial" w:cs="Arial"/>
        </w:rPr>
        <w:t xml:space="preserve">fue </w:t>
      </w:r>
      <w:r w:rsidRPr="00D8794B">
        <w:rPr>
          <w:rFonts w:ascii="Arial" w:hAnsi="Arial" w:cs="Arial"/>
          <w:bCs/>
        </w:rPr>
        <w:t xml:space="preserve">del </w:t>
      </w:r>
      <w:r w:rsidR="00E1648C">
        <w:rPr>
          <w:rFonts w:ascii="Arial" w:hAnsi="Arial" w:cs="Arial"/>
          <w:bCs/>
        </w:rPr>
        <w:t>100</w:t>
      </w:r>
      <w:r w:rsidRPr="00D8794B">
        <w:rPr>
          <w:rFonts w:ascii="Arial" w:hAnsi="Arial" w:cs="Arial"/>
          <w:bCs/>
        </w:rPr>
        <w:t>%</w:t>
      </w:r>
      <w:r w:rsidR="00E1648C">
        <w:rPr>
          <w:rFonts w:ascii="Arial" w:hAnsi="Arial" w:cs="Arial"/>
          <w:bCs/>
        </w:rPr>
        <w:t>.</w:t>
      </w:r>
    </w:p>
    <w:p w14:paraId="5E6F8031" w14:textId="77777777" w:rsidR="00E1648C" w:rsidRPr="00D8794B" w:rsidRDefault="00E1648C" w:rsidP="00120C3C">
      <w:pPr>
        <w:spacing w:after="0"/>
        <w:jc w:val="both"/>
        <w:rPr>
          <w:rFonts w:ascii="Arial" w:hAnsi="Arial" w:cs="Arial"/>
        </w:rPr>
      </w:pPr>
    </w:p>
    <w:p w14:paraId="7695B010" w14:textId="30FB9DC5" w:rsidR="00120C3C" w:rsidRPr="00D8794B" w:rsidRDefault="00120C3C" w:rsidP="00120C3C">
      <w:pPr>
        <w:spacing w:after="0"/>
        <w:jc w:val="both"/>
        <w:rPr>
          <w:rFonts w:ascii="Arial" w:hAnsi="Arial" w:cs="Arial"/>
          <w:bCs/>
        </w:rPr>
      </w:pPr>
      <w:r w:rsidRPr="00D8794B">
        <w:rPr>
          <w:rFonts w:ascii="Arial" w:hAnsi="Arial" w:cs="Arial"/>
        </w:rPr>
        <w:t>Se encontró que las No Conformidades no fueron recurrentes</w:t>
      </w:r>
      <w:r w:rsidR="00E1648C">
        <w:rPr>
          <w:rFonts w:ascii="Arial" w:hAnsi="Arial" w:cs="Arial"/>
        </w:rPr>
        <w:t>.</w:t>
      </w:r>
    </w:p>
    <w:p w14:paraId="679054F7" w14:textId="77777777" w:rsidR="00120C3C" w:rsidRPr="00D8794B" w:rsidRDefault="00120C3C" w:rsidP="00120C3C">
      <w:pPr>
        <w:spacing w:after="0"/>
        <w:jc w:val="both"/>
        <w:rPr>
          <w:rFonts w:ascii="Arial" w:hAnsi="Arial" w:cs="Arial"/>
        </w:rPr>
      </w:pPr>
    </w:p>
    <w:p w14:paraId="27186B03" w14:textId="74C19C2D" w:rsidR="00120C3C" w:rsidRDefault="00120C3C" w:rsidP="00120C3C">
      <w:pPr>
        <w:spacing w:after="0"/>
        <w:jc w:val="both"/>
        <w:rPr>
          <w:rFonts w:ascii="Arial" w:hAnsi="Arial" w:cs="Arial"/>
          <w:bCs/>
        </w:rPr>
      </w:pPr>
      <w:r w:rsidRPr="00D8794B">
        <w:rPr>
          <w:rFonts w:ascii="Arial" w:hAnsi="Arial" w:cs="Arial"/>
          <w:bCs/>
        </w:rPr>
        <w:t>En lo relacionado con el Estado de las No Conformidades registradas en ISOLUCIÓN según revisión OCI</w:t>
      </w:r>
      <w:r w:rsidR="00E1648C">
        <w:rPr>
          <w:rFonts w:ascii="Arial" w:hAnsi="Arial" w:cs="Arial"/>
          <w:bCs/>
        </w:rPr>
        <w:t xml:space="preserve"> </w:t>
      </w:r>
      <w:r w:rsidR="000352EB">
        <w:rPr>
          <w:rFonts w:ascii="Arial" w:hAnsi="Arial" w:cs="Arial"/>
          <w:bCs/>
        </w:rPr>
        <w:t>se encuentran</w:t>
      </w:r>
      <w:r w:rsidR="00E1648C">
        <w:rPr>
          <w:rFonts w:ascii="Arial" w:hAnsi="Arial" w:cs="Arial"/>
          <w:bCs/>
        </w:rPr>
        <w:t xml:space="preserve"> </w:t>
      </w:r>
      <w:r w:rsidRPr="00D8794B">
        <w:rPr>
          <w:rFonts w:ascii="Arial" w:hAnsi="Arial" w:cs="Arial"/>
          <w:bCs/>
        </w:rPr>
        <w:t>cerrada</w:t>
      </w:r>
      <w:r w:rsidR="00E1648C">
        <w:rPr>
          <w:rFonts w:ascii="Arial" w:hAnsi="Arial" w:cs="Arial"/>
          <w:bCs/>
        </w:rPr>
        <w:t>s.</w:t>
      </w:r>
    </w:p>
    <w:p w14:paraId="6ECE1F6A" w14:textId="77777777" w:rsidR="007A4577" w:rsidRDefault="007A4577" w:rsidP="009255F1">
      <w:pPr>
        <w:jc w:val="both"/>
        <w:rPr>
          <w:rFonts w:ascii="Arial" w:hAnsi="Arial" w:cs="Arial"/>
          <w:color w:val="000000"/>
          <w:lang w:eastAsia="es-CO"/>
        </w:rPr>
      </w:pPr>
    </w:p>
    <w:p w14:paraId="749810BA" w14:textId="77777777" w:rsidR="0091314C" w:rsidRDefault="0091314C" w:rsidP="009255F1">
      <w:pPr>
        <w:jc w:val="both"/>
        <w:rPr>
          <w:rFonts w:ascii="Arial" w:hAnsi="Arial" w:cs="Arial"/>
          <w:color w:val="000000"/>
          <w:lang w:eastAsia="es-CO"/>
        </w:rPr>
      </w:pPr>
      <w:r w:rsidRPr="009255F1">
        <w:rPr>
          <w:rFonts w:ascii="Arial" w:hAnsi="Arial" w:cs="Arial"/>
          <w:color w:val="000000"/>
          <w:lang w:eastAsia="es-CO"/>
        </w:rPr>
        <w:t xml:space="preserve">Atentamente, </w:t>
      </w:r>
    </w:p>
    <w:p w14:paraId="08C6AD14" w14:textId="77777777"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48EA9555" w14:textId="77777777" w:rsidR="007A4577" w:rsidRDefault="007A4577" w:rsidP="00F44F88">
      <w:pPr>
        <w:pStyle w:val="Prrafodelista"/>
        <w:ind w:left="720"/>
        <w:jc w:val="center"/>
        <w:rPr>
          <w:rFonts w:ascii="Arial" w:hAnsi="Arial" w:cs="Arial"/>
          <w:b/>
          <w:bCs/>
          <w:snapToGrid w:val="0"/>
          <w:lang w:val="es-ES_tradnl"/>
        </w:rPr>
      </w:pPr>
    </w:p>
    <w:p w14:paraId="6A6FB924" w14:textId="77777777" w:rsidR="007A4577" w:rsidRDefault="007A4577" w:rsidP="00F44F88">
      <w:pPr>
        <w:pStyle w:val="Prrafodelista"/>
        <w:ind w:left="720"/>
        <w:jc w:val="center"/>
        <w:rPr>
          <w:rFonts w:ascii="Arial" w:hAnsi="Arial" w:cs="Arial"/>
          <w:b/>
          <w:bCs/>
          <w:snapToGrid w:val="0"/>
          <w:lang w:val="es-ES_tradnl"/>
        </w:rPr>
      </w:pPr>
    </w:p>
    <w:p w14:paraId="5B1E7D0F" w14:textId="77777777" w:rsidR="007A4577" w:rsidRDefault="007A4577" w:rsidP="00F44F88">
      <w:pPr>
        <w:pStyle w:val="Prrafodelista"/>
        <w:ind w:left="720"/>
        <w:jc w:val="center"/>
        <w:rPr>
          <w:rFonts w:ascii="Arial" w:hAnsi="Arial" w:cs="Arial"/>
          <w:b/>
          <w:bCs/>
          <w:snapToGrid w:val="0"/>
          <w:lang w:val="es-ES_tradnl"/>
        </w:rPr>
      </w:pPr>
    </w:p>
    <w:p w14:paraId="3BB08044" w14:textId="77777777" w:rsidR="00F44F88" w:rsidRPr="00FA2FF6" w:rsidRDefault="00F44F88" w:rsidP="00F44F88">
      <w:pPr>
        <w:pStyle w:val="Prrafodelista"/>
        <w:ind w:left="720"/>
        <w:jc w:val="center"/>
        <w:rPr>
          <w:rFonts w:ascii="Arial" w:hAnsi="Arial" w:cs="Arial"/>
          <w:b/>
          <w:bCs/>
          <w:snapToGrid w:val="0"/>
          <w:lang w:val="es-ES_tradnl"/>
        </w:rPr>
      </w:pPr>
      <w:r w:rsidRPr="00FA2FF6">
        <w:rPr>
          <w:rFonts w:ascii="Arial" w:hAnsi="Arial" w:cs="Arial"/>
          <w:b/>
          <w:bCs/>
          <w:snapToGrid w:val="0"/>
          <w:lang w:val="es-ES_tradnl"/>
        </w:rPr>
        <w:t>YANIRA VILLAMIL</w:t>
      </w:r>
    </w:p>
    <w:p w14:paraId="7D35860B" w14:textId="77777777" w:rsidR="00F44F88" w:rsidRDefault="00E33519" w:rsidP="00F44F88">
      <w:pPr>
        <w:spacing w:after="0"/>
        <w:jc w:val="center"/>
        <w:rPr>
          <w:rFonts w:ascii="Arial" w:hAnsi="Arial" w:cs="Arial"/>
          <w:b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/>
          <w:bCs/>
          <w:snapToGrid w:val="0"/>
          <w:color w:val="000000" w:themeColor="text1"/>
          <w:lang w:val="es-ES_tradnl"/>
        </w:rPr>
        <w:t xml:space="preserve">          </w:t>
      </w:r>
      <w:r w:rsidR="00F44F88" w:rsidRPr="00FA2FF6">
        <w:rPr>
          <w:rFonts w:ascii="Arial" w:hAnsi="Arial" w:cs="Arial"/>
          <w:b/>
          <w:bCs/>
          <w:snapToGrid w:val="0"/>
          <w:color w:val="000000" w:themeColor="text1"/>
          <w:lang w:val="es-ES_tradnl"/>
        </w:rPr>
        <w:t>Jefe Oficina de Control Interno</w:t>
      </w:r>
    </w:p>
    <w:p w14:paraId="09644FEE" w14:textId="77777777" w:rsidR="00F44F88" w:rsidRDefault="00F44F88" w:rsidP="00F44F88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 w:rsidRPr="00FA2FF6">
        <w:rPr>
          <w:rFonts w:ascii="Arial" w:hAnsi="Arial" w:cs="Arial"/>
          <w:b/>
          <w:bCs/>
          <w:snapToGrid w:val="0"/>
          <w:lang w:val="es-ES_tradnl"/>
        </w:rPr>
        <w:br/>
      </w:r>
    </w:p>
    <w:p w14:paraId="685B21B8" w14:textId="77777777"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0B297BE5" w14:textId="77777777"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5182B0D2" w14:textId="77777777"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1DC63DB6" w14:textId="77777777" w:rsidR="00F5591E" w:rsidRDefault="00F5591E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593A254A" w14:textId="77777777" w:rsidR="00981B44" w:rsidRDefault="00F55FD5" w:rsidP="00981B44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Elaboro: </w:t>
      </w:r>
      <w:r w:rsidR="00981B44">
        <w:rPr>
          <w:rFonts w:ascii="Arial" w:hAnsi="Arial" w:cs="Arial"/>
          <w:color w:val="000000" w:themeColor="text1"/>
          <w:sz w:val="14"/>
          <w:szCs w:val="18"/>
          <w:lang w:val="es-MX"/>
        </w:rPr>
        <w:t>Luz Eddy Rincón Bonilla - Contadora Pública ___</w:t>
      </w:r>
    </w:p>
    <w:p w14:paraId="26B56E3D" w14:textId="77777777" w:rsidR="00F55FD5" w:rsidRDefault="00253D60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>
        <w:rPr>
          <w:rFonts w:ascii="Arial" w:hAnsi="Arial" w:cs="Arial"/>
          <w:color w:val="000000" w:themeColor="text1"/>
          <w:sz w:val="14"/>
          <w:szCs w:val="18"/>
          <w:lang w:val="es-MX"/>
        </w:rPr>
        <w:t>Claudia Patricia Zuluaga Molano</w:t>
      </w:r>
      <w:r w:rsidR="00F55FD5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- Contadora Pública ___</w:t>
      </w:r>
    </w:p>
    <w:p w14:paraId="1952D249" w14:textId="77777777"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>Edixon Alexander Tovar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- Contador Público</w:t>
      </w: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>___</w:t>
      </w: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             </w:t>
      </w:r>
    </w:p>
    <w:p w14:paraId="1959EFDF" w14:textId="77777777"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 w:rsidRPr="00350C90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Reviso: 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>Luis Antonio Guerrero Benavides, Coordinador Grupo Apoyo/OCI ___</w:t>
      </w:r>
    </w:p>
    <w:p w14:paraId="2A53FE14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7347045A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067EEEA7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4E963D2E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74B5F69C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03C2A3E7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5D1697AD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46C5C1FB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2BAF96DF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0A3BB6F1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2FE5EB6E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2285B76D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7EDA899D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20DE5502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0C6FE2B4" w14:textId="77777777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3B58D6FA" w14:textId="16676FAA" w:rsidR="00E1648C" w:rsidRDefault="00E1648C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19338482" w14:textId="01D091EB" w:rsidR="00E73238" w:rsidRDefault="00E73238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397A8830" w14:textId="7F87567B" w:rsidR="00E73238" w:rsidRDefault="00E73238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060DAC4A" w14:textId="5783C244" w:rsidR="00E73238" w:rsidRDefault="00E73238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74C096E6" w14:textId="77777777" w:rsidR="005D2A21" w:rsidRDefault="005D2A21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bookmarkStart w:id="32" w:name="_GoBack"/>
      <w:bookmarkEnd w:id="32"/>
    </w:p>
    <w:p w14:paraId="2FFC5D3D" w14:textId="0F408F2F" w:rsidR="00E73238" w:rsidRDefault="00E73238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3AC1A543" w14:textId="1DB660F7" w:rsidR="00E73238" w:rsidRDefault="00E73238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78B29E65" w14:textId="5EC16931" w:rsidR="00E73238" w:rsidRDefault="00E73238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5A3C0884" w14:textId="2CE5A78D" w:rsidR="0071371F" w:rsidRPr="008F2393" w:rsidRDefault="0071371F" w:rsidP="00994714">
      <w:pPr>
        <w:pStyle w:val="Ttulo1"/>
        <w:numPr>
          <w:ilvl w:val="0"/>
          <w:numId w:val="9"/>
        </w:numPr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3" w:name="_Toc66790687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lastRenderedPageBreak/>
        <w:t>CRITERIOS UTILIZADOS</w:t>
      </w:r>
      <w:bookmarkEnd w:id="33"/>
    </w:p>
    <w:p w14:paraId="4C1F85AC" w14:textId="77777777" w:rsidR="001E1740" w:rsidRPr="008F2393" w:rsidRDefault="001E1740" w:rsidP="00FD5C5D">
      <w:pPr>
        <w:tabs>
          <w:tab w:val="left" w:pos="0"/>
        </w:tabs>
        <w:spacing w:after="0"/>
        <w:jc w:val="both"/>
        <w:rPr>
          <w:rFonts w:ascii="Arial" w:eastAsiaTheme="majorEastAsia" w:hAnsi="Arial" w:cs="Arial"/>
          <w:b/>
          <w:bCs/>
          <w:lang w:val="es-ES_tradnl"/>
        </w:rPr>
      </w:pPr>
    </w:p>
    <w:p w14:paraId="7E13CAD1" w14:textId="47D8C9D8" w:rsidR="00C36F85" w:rsidRDefault="00C36F85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sz w:val="22"/>
          <w:szCs w:val="22"/>
          <w:lang w:val="es-ES_tradnl"/>
        </w:rPr>
      </w:pPr>
      <w:r w:rsidRPr="00C36F85">
        <w:rPr>
          <w:rFonts w:ascii="Arial" w:eastAsiaTheme="majorEastAsia" w:hAnsi="Arial" w:cs="Arial"/>
          <w:sz w:val="22"/>
          <w:szCs w:val="22"/>
          <w:lang w:val="es-ES_tradnl"/>
        </w:rPr>
        <w:t>Artículo 206 y 269 de la Constitución Política de Colombia</w:t>
      </w:r>
    </w:p>
    <w:p w14:paraId="62C430F2" w14:textId="279932B9" w:rsidR="00C36F85" w:rsidRDefault="00C36F85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sz w:val="22"/>
          <w:szCs w:val="22"/>
          <w:lang w:val="es-ES_tradnl"/>
        </w:rPr>
      </w:pPr>
      <w:r>
        <w:rPr>
          <w:rFonts w:ascii="Arial" w:eastAsiaTheme="majorEastAsia" w:hAnsi="Arial" w:cs="Arial"/>
          <w:sz w:val="22"/>
          <w:szCs w:val="22"/>
          <w:lang w:val="es-ES_tradnl"/>
        </w:rPr>
        <w:t>A</w:t>
      </w:r>
      <w:r w:rsidRPr="00C36F85">
        <w:rPr>
          <w:rFonts w:ascii="Arial" w:eastAsiaTheme="majorEastAsia" w:hAnsi="Arial" w:cs="Arial"/>
          <w:sz w:val="22"/>
          <w:szCs w:val="22"/>
          <w:lang w:val="es-ES_tradnl"/>
        </w:rPr>
        <w:t>rtículo 3 de la ley 87 de 1993.</w:t>
      </w:r>
    </w:p>
    <w:p w14:paraId="125808B8" w14:textId="77777777" w:rsidR="0021732B" w:rsidRPr="008F2393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Ley 1314 de 2009</w:t>
      </w:r>
    </w:p>
    <w:p w14:paraId="59319B6D" w14:textId="77777777" w:rsidR="0021732B" w:rsidRPr="008F2393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ES_tradnl"/>
        </w:rPr>
      </w:pPr>
      <w:r w:rsidRPr="008F2393">
        <w:rPr>
          <w:rFonts w:ascii="Arial" w:eastAsiaTheme="majorEastAsia" w:hAnsi="Arial" w:cs="Arial"/>
          <w:sz w:val="22"/>
          <w:szCs w:val="22"/>
          <w:lang w:val="es-ES_tradnl"/>
        </w:rPr>
        <w:t>Ley 489 de 1998</w:t>
      </w:r>
    </w:p>
    <w:p w14:paraId="3B3B9E1A" w14:textId="7A0F0425" w:rsidR="0021732B" w:rsidRPr="0021732B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Decreto 2145 de 1999</w:t>
      </w:r>
    </w:p>
    <w:p w14:paraId="7057E987" w14:textId="142C2F00" w:rsidR="00E32A49" w:rsidRPr="008F2393" w:rsidRDefault="001E1740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ES_tradnl"/>
        </w:rPr>
      </w:pPr>
      <w:r w:rsidRPr="008F2393">
        <w:rPr>
          <w:rFonts w:ascii="Arial" w:hAnsi="Arial" w:cs="Arial"/>
          <w:sz w:val="22"/>
          <w:szCs w:val="22"/>
        </w:rPr>
        <w:t xml:space="preserve">Resolución No.193 de 2016 </w:t>
      </w:r>
      <w:r w:rsidRPr="008F2393">
        <w:rPr>
          <w:rFonts w:ascii="Arial" w:hAnsi="Arial" w:cs="Arial"/>
          <w:i/>
          <w:sz w:val="22"/>
          <w:szCs w:val="22"/>
        </w:rPr>
        <w:t>(por la cual se incorpora, en los Procedimientos Transversales del Régimen de Contabilidad Pública, el Procedimiento para la evaluación del control interno contable)</w:t>
      </w:r>
    </w:p>
    <w:p w14:paraId="77A6DC45" w14:textId="77777777" w:rsidR="000E459E" w:rsidRPr="008F2393" w:rsidRDefault="001E1740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ES_tradnl"/>
        </w:rPr>
      </w:pPr>
      <w:r w:rsidRPr="008F2393">
        <w:rPr>
          <w:rFonts w:ascii="Arial" w:hAnsi="Arial" w:cs="Arial"/>
          <w:sz w:val="22"/>
          <w:szCs w:val="22"/>
        </w:rPr>
        <w:t xml:space="preserve">Anexo Resolución No.193 de 2016 </w:t>
      </w:r>
      <w:r w:rsidRPr="008F2393">
        <w:rPr>
          <w:rFonts w:ascii="Arial" w:hAnsi="Arial" w:cs="Arial"/>
          <w:i/>
          <w:sz w:val="22"/>
          <w:szCs w:val="22"/>
        </w:rPr>
        <w:t>(PROCEDIMIENTO PARA LA EVALUACIÓN DEL CONTROL INTERNO CONTABLE)</w:t>
      </w:r>
    </w:p>
    <w:p w14:paraId="165E3604" w14:textId="77777777" w:rsidR="000E459E" w:rsidRPr="008F2393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Resolución 533 del 8 de octubre de 2015 CGN</w:t>
      </w:r>
    </w:p>
    <w:p w14:paraId="374AF8F1" w14:textId="77777777" w:rsidR="000E459E" w:rsidRPr="008F2393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Instructivo 002 del 8 de octubre de 2015 CGN</w:t>
      </w:r>
    </w:p>
    <w:p w14:paraId="523D05F3" w14:textId="77777777" w:rsidR="000E459E" w:rsidRPr="008F2393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Resolución 620 del 30 de noviembre de 2015 CGN</w:t>
      </w:r>
    </w:p>
    <w:p w14:paraId="0A1A114C" w14:textId="1492AE4C" w:rsidR="000E459E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Resolución 628 del 2 de diciembre de 2015 de la CGN</w:t>
      </w:r>
    </w:p>
    <w:p w14:paraId="5A35667C" w14:textId="60506B43" w:rsidR="00633E48" w:rsidRPr="00633E48" w:rsidRDefault="00633E48" w:rsidP="00633E48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ES_tradnl"/>
        </w:rPr>
      </w:pPr>
      <w:r w:rsidRPr="008F2393">
        <w:rPr>
          <w:rFonts w:ascii="Arial" w:eastAsiaTheme="majorEastAsia" w:hAnsi="Arial" w:cs="Arial"/>
          <w:sz w:val="22"/>
          <w:szCs w:val="22"/>
          <w:lang w:val="es-ES_tradnl"/>
        </w:rPr>
        <w:t>Circular 131 de 2020 CGN</w:t>
      </w:r>
    </w:p>
    <w:p w14:paraId="6E465628" w14:textId="77777777" w:rsidR="0021732B" w:rsidRPr="008F2393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MANUAL DE POLÍTICAS CONTABLES DEL ICBF BAJO EL MARCO NORMATIVO PARA ENTIDADES DE GOBIERNO MO3.P31.GF V2</w:t>
      </w:r>
    </w:p>
    <w:p w14:paraId="65412F01" w14:textId="77777777" w:rsidR="0071371F" w:rsidRPr="008F2393" w:rsidRDefault="0071371F" w:rsidP="00994714">
      <w:pPr>
        <w:pStyle w:val="Ttulo1"/>
        <w:numPr>
          <w:ilvl w:val="0"/>
          <w:numId w:val="9"/>
        </w:numPr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4" w:name="_Toc66790688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SOPORTES VERIFICADOS</w:t>
      </w:r>
      <w:bookmarkEnd w:id="34"/>
    </w:p>
    <w:p w14:paraId="10B51AD9" w14:textId="77777777" w:rsidR="00E32A49" w:rsidRPr="008F2393" w:rsidRDefault="00E32A49" w:rsidP="00E32A49">
      <w:pPr>
        <w:rPr>
          <w:lang w:val="es-ES_tradnl"/>
        </w:rPr>
      </w:pPr>
    </w:p>
    <w:p w14:paraId="0ED3B660" w14:textId="77777777" w:rsidR="007B3697" w:rsidRPr="008F2393" w:rsidRDefault="007B3697" w:rsidP="00FD5C5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8F239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Revisión y análisis documentación solicitada y recibida de la Dirección Financiera. </w:t>
      </w:r>
    </w:p>
    <w:p w14:paraId="6B08358C" w14:textId="77777777" w:rsidR="00E32A49" w:rsidRPr="008F2393" w:rsidRDefault="00E32A49" w:rsidP="00E32A49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14:paraId="34FB304D" w14:textId="77777777" w:rsidR="007B3697" w:rsidRPr="008F2393" w:rsidRDefault="007B3697" w:rsidP="00FD5C5D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Hipervnculo"/>
          <w:rFonts w:ascii="Arial" w:eastAsia="Calibri" w:hAnsi="Arial" w:cs="Arial"/>
          <w:color w:val="000000"/>
          <w:sz w:val="22"/>
          <w:szCs w:val="22"/>
          <w:u w:val="none"/>
          <w:lang w:eastAsia="es-CO"/>
        </w:rPr>
      </w:pPr>
      <w:r w:rsidRPr="008F2393">
        <w:rPr>
          <w:rFonts w:ascii="Arial" w:eastAsia="Calibri" w:hAnsi="Arial" w:cs="Arial"/>
          <w:color w:val="000000"/>
          <w:sz w:val="22"/>
          <w:szCs w:val="22"/>
          <w:lang w:eastAsia="es-CO"/>
        </w:rPr>
        <w:t>Evaluación de los procedimientos asociados al Proceso de Gestión Financiera</w:t>
      </w:r>
      <w:r w:rsidR="004B14F3" w:rsidRPr="008F239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, que encuentran ubicado en sistema Integrado de Gestión-Modelo de Operación Por proceso Gestión Financiera.  </w:t>
      </w:r>
      <w:hyperlink r:id="rId10" w:history="1">
        <w:r w:rsidR="004B14F3" w:rsidRPr="008F2393">
          <w:rPr>
            <w:rStyle w:val="Hipervnculo"/>
          </w:rPr>
          <w:t>https://intranet.icbf.gov.co/apoyo/gestion-financiera</w:t>
        </w:r>
      </w:hyperlink>
    </w:p>
    <w:p w14:paraId="2378B7F1" w14:textId="77777777" w:rsidR="0071371F" w:rsidRPr="008F2393" w:rsidRDefault="0071371F" w:rsidP="007B1101">
      <w:pPr>
        <w:pStyle w:val="Ttulo1"/>
        <w:numPr>
          <w:ilvl w:val="0"/>
          <w:numId w:val="9"/>
        </w:numPr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5" w:name="_Toc66790689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ANEXOS</w:t>
      </w:r>
      <w:bookmarkEnd w:id="35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 </w:t>
      </w:r>
    </w:p>
    <w:p w14:paraId="69355457" w14:textId="77777777" w:rsidR="007D051E" w:rsidRPr="008F2393" w:rsidRDefault="007D051E" w:rsidP="007D051E">
      <w:pPr>
        <w:rPr>
          <w:lang w:val="es-ES_tradnl"/>
        </w:rPr>
      </w:pPr>
    </w:p>
    <w:p w14:paraId="3DF18BDC" w14:textId="77777777" w:rsidR="00B75395" w:rsidRPr="008F2393" w:rsidRDefault="00CA12C6" w:rsidP="00876A18">
      <w:pPr>
        <w:ind w:left="709"/>
        <w:jc w:val="both"/>
        <w:rPr>
          <w:rFonts w:ascii="Arial" w:hAnsi="Arial" w:cs="Arial"/>
          <w:iCs/>
          <w:color w:val="000000"/>
          <w:sz w:val="20"/>
          <w:szCs w:val="20"/>
          <w:lang w:val="es-CO" w:eastAsia="es-CO"/>
        </w:rPr>
      </w:pPr>
      <w:r w:rsidRPr="008F2393">
        <w:rPr>
          <w:rFonts w:ascii="Arial" w:hAnsi="Arial" w:cs="Arial"/>
          <w:b/>
          <w:iCs/>
          <w:color w:val="000000"/>
          <w:sz w:val="20"/>
          <w:szCs w:val="20"/>
          <w:lang w:val="es-CO" w:eastAsia="es-CO"/>
        </w:rPr>
        <w:t>Anexo 1.</w:t>
      </w:r>
      <w:r w:rsidRPr="008F2393">
        <w:rPr>
          <w:rFonts w:ascii="Arial" w:hAnsi="Arial" w:cs="Arial"/>
          <w:iCs/>
          <w:color w:val="000000"/>
          <w:sz w:val="20"/>
          <w:szCs w:val="20"/>
          <w:lang w:val="es-CO" w:eastAsia="es-CO"/>
        </w:rPr>
        <w:t xml:space="preserve"> Formulario_Evaluación_CIC_Resol_193 de 2016_</w:t>
      </w:r>
      <w:r w:rsidR="008F2393">
        <w:rPr>
          <w:rFonts w:ascii="Arial" w:hAnsi="Arial" w:cs="Arial"/>
          <w:iCs/>
          <w:color w:val="000000"/>
          <w:sz w:val="20"/>
          <w:szCs w:val="20"/>
          <w:lang w:val="es-CO" w:eastAsia="es-CO"/>
        </w:rPr>
        <w:t>Vigencia_</w:t>
      </w:r>
      <w:r w:rsidRPr="008F2393">
        <w:rPr>
          <w:rFonts w:ascii="Arial" w:hAnsi="Arial" w:cs="Arial"/>
          <w:iCs/>
          <w:color w:val="000000"/>
          <w:sz w:val="20"/>
          <w:szCs w:val="20"/>
          <w:lang w:val="es-CO" w:eastAsia="es-CO"/>
        </w:rPr>
        <w:t>2020_OCI</w:t>
      </w:r>
    </w:p>
    <w:p w14:paraId="768F533B" w14:textId="77777777" w:rsidR="0071371F" w:rsidRPr="00AD28C4" w:rsidRDefault="00CA12C6" w:rsidP="007D051E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 w:rsidRPr="008F2393">
        <w:rPr>
          <w:rFonts w:ascii="Arial" w:hAnsi="Arial" w:cs="Arial"/>
          <w:b/>
          <w:bCs/>
          <w:iCs/>
          <w:sz w:val="20"/>
          <w:szCs w:val="20"/>
          <w:lang w:val="es-CO" w:eastAsia="es-CO"/>
        </w:rPr>
        <w:t>Anexo 2</w:t>
      </w:r>
      <w:r w:rsidRPr="008F2393">
        <w:rPr>
          <w:rFonts w:ascii="Arial" w:hAnsi="Arial" w:cs="Arial"/>
          <w:iCs/>
          <w:sz w:val="20"/>
          <w:szCs w:val="20"/>
          <w:lang w:val="es-CO" w:eastAsia="es-CO"/>
        </w:rPr>
        <w:t xml:space="preserve"> Seguimiento AC ISOLUCIÓN</w:t>
      </w:r>
    </w:p>
    <w:sectPr w:rsidR="0071371F" w:rsidRPr="00AD28C4" w:rsidSect="00B65341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1985" w:right="1418" w:bottom="1701" w:left="187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5639" w14:textId="77777777" w:rsidR="00213515" w:rsidRDefault="00213515" w:rsidP="009B2507">
      <w:pPr>
        <w:spacing w:after="0" w:line="240" w:lineRule="auto"/>
      </w:pPr>
      <w:r>
        <w:separator/>
      </w:r>
    </w:p>
  </w:endnote>
  <w:endnote w:type="continuationSeparator" w:id="0">
    <w:p w14:paraId="173CFFAE" w14:textId="77777777" w:rsidR="00213515" w:rsidRDefault="00213515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028B" w14:textId="77777777" w:rsidR="00411198" w:rsidRPr="003E4CF7" w:rsidRDefault="00411198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580A5766" w14:textId="77777777" w:rsidR="00411198" w:rsidRPr="003E4CF7" w:rsidRDefault="00411198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1FC7DA25" w14:textId="77777777" w:rsidR="00411198" w:rsidRPr="003E4CF7" w:rsidRDefault="00411198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BB00498" wp14:editId="1AAD09F9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EE5C" w14:textId="77777777" w:rsidR="00411198" w:rsidRPr="00493A6F" w:rsidRDefault="00411198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15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00498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icAQIAAOUDAAAOAAAAZHJzL2Uyb0RvYy54bWysU9uO0zAQfUfiHyy/0/TONmq6WnVVhLTA&#10;ioUPcBwnsXA8Zuw2Wb6esdMtBd4QebA8nvHJOWfG29uhM+yk0GuwBZ9NppwpK6HStin41y+HNzec&#10;+SBsJQxYVfBn5fnt7vWrbe9yNYcWTKWQEYj1ee8K3obg8izzslWd8BNwylKyBuxEoBCbrELRE3pn&#10;svl0us56wMohSOU9nd6PSb5L+HWtZPhU114FZgpO3EJaMa1lXLPdVuQNCtdqeaYh/oFFJ7Sln16g&#10;7kUQ7Ij6L6hOSwQPdZhI6DKoay1V0kBqZtM/1Dy1wqmkhczx7mKT/3+w8uPpEZmuCr7gzIqOWvSZ&#10;TBO2MYptoj298zlVPblHjAK9ewD5zTML+5aq1B0i9K0SFZGaxfrstwsx8HSVlf0HqAhdHAMkp4Ya&#10;uwhIHrAhNeT50hA1BCbpcLFarDcrziSl5ovF+iY1LBP5y2WHPrxT0LG4KTgS9QQuTg8+RDIifylJ&#10;5MHo6qCNSQE25d4gOwmajUP6En/SeF1mbCy2EK+NiPEkqYzCRoPCUA5nr0qonkkvwjhr9DZo0wL+&#10;4KynOSu4/34UqDgz7y15tpktl3EwU7BcvZ1TgNeZ8jojrCSoggfOxu0+jMN8dKiblv40S/ot3JHP&#10;tU4exB6MrM68aZaSNee5j8N6HaeqX69z9xMAAP//AwBQSwMEFAAGAAgAAAAhAKR3LOvgAAAADwEA&#10;AA8AAABkcnMvZG93bnJldi54bWxMj0FPwzAMhe9I/IfISNxY0m2tRmk6IaSdgAMbElev8dqKJilN&#10;upV/j3tit/fsp+fPxXaynTjTEFrvNCQLBYJc5U3rag2fh93DBkSI6Ax23pGGXwqwLW9vCsyNv7gP&#10;Ou9jLbjEhRw1NDH2uZShashiWPieHO9OfrAY2Q61NANeuNx2cqlUJi22ji802NNLQ9X3frQaMFub&#10;n/fT6u3wOmb4WE9ql34pre/vpucnEJGm+B+GGZ/RoWSmox+dCaJjr9J1yllWqUqWIOZMkihWx3m2&#10;2iiQZSGv/yj/AAAA//8DAFBLAQItABQABgAIAAAAIQC2gziS/gAAAOEBAAATAAAAAAAAAAAAAAAA&#10;AAAAAABbQ29udGVudF9UeXBlc10ueG1sUEsBAi0AFAAGAAgAAAAhADj9If/WAAAAlAEAAAsAAAAA&#10;AAAAAAAAAAAALwEAAF9yZWxzLy5yZWxzUEsBAi0AFAAGAAgAAAAhAFbqWJwBAgAA5QMAAA4AAAAA&#10;AAAAAAAAAAAALgIAAGRycy9lMm9Eb2MueG1sUEsBAi0AFAAGAAgAAAAhAKR3LOvgAAAADwEAAA8A&#10;AAAAAAAAAAAAAAAAWwQAAGRycy9kb3ducmV2LnhtbFBLBQYAAAAABAAEAPMAAABoBQAAAAA=&#10;" o:allowincell="f" stroked="f">
              <v:textbox>
                <w:txbxContent>
                  <w:p w14:paraId="6870EE5C" w14:textId="77777777" w:rsidR="00411198" w:rsidRPr="00493A6F" w:rsidRDefault="00411198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15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644542" wp14:editId="50C1F0D5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E4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PZzQEAAH4DAAAOAAAAZHJzL2Uyb0RvYy54bWysU8Fu2zAMvQ/YPwi6L07SJViNOMWQrrt0&#10;W4B2H8BIsi1MFgVKiZO/H6Um2brdhvkgiCL5SL5Hr+6OgxMHQ9Gib+RsMpXCeIXa+q6R358f3n2Q&#10;IibwGhx608iTifJu/fbNagy1mWOPThsSDOJjPYZG9imFuqqi6s0AcYLBeHa2SAMkNqmrNMHI6IOr&#10;5tPpshqRdCBUJkZ+vX9xynXBb1uj0re2jSYJ10juLZWTyrnLZ7VeQd0RhN6qcxvwD10MYD0XvULd&#10;QwKxJ/sX1GAVYcQ2TRQOFbatVabMwNPMpn9M89RDMGUWJieGK03x/8Gqr4ctCatZOyk8DCzRx33C&#10;UlksMz1jiDVHbfyW8oDq6J/CI6ofUXjc9OA7U4KfT4FzZzmjepWSjRi4yG78gppjgPELV8eWhgzJ&#10;LIhjkeR0lcQck1D8uLidvp/fsHKKfcubRcGH+pIaKKbPBgeRL42MicB2fdqg9yw90qwUgsNjTLkx&#10;qC8Jua7HB+tc2QDnxdjI28V8URIiOquzM4dF6nYbR+IAeYfKd+7iVRjh3usC1hvQn873BNa93Lm4&#10;82dyMh8vzO5Qn7Z0IY1FLl2eFzJv0e92yf7126x/AgAA//8DAFBLAwQUAAYACAAAACEAAstqd90A&#10;AAAJAQAADwAAAGRycy9kb3ducmV2LnhtbEyPwW7CMBBE70j8g7WVekFgB9QKQhyEkHrosYDUq4m3&#10;SWi8jmKHpHx9t720x9kZzc7LdqNrxA27UHvSkCwUCKTC25pKDefTy3wNIkRD1jSeUMMXBtjl00lm&#10;UusHesPbMZaCSyikRkMVY5tKGYoKnQkL3yKx9+E7ZyLLrpS2MwOXu0YulXqWztTEHyrT4qHC4vPY&#10;Ow0Y+qdE7TeuPL/eh9n78n4d2pPWjw/jfgsi4hj/wvAzn6dDzpsuvicbRMOaSaKG+XqVgGB/s1KM&#10;cvm9KJB5Jv8T5N8AAAD//wMAUEsBAi0AFAAGAAgAAAAhALaDOJL+AAAA4QEAABMAAAAAAAAAAAAA&#10;AAAAAAAAAFtDb250ZW50X1R5cGVzXS54bWxQSwECLQAUAAYACAAAACEAOP0h/9YAAACUAQAACwAA&#10;AAAAAAAAAAAAAAAvAQAAX3JlbHMvLnJlbHNQSwECLQAUAAYACAAAACEABNBj2c0BAAB+AwAADgAA&#10;AAAAAAAAAAAAAAAuAgAAZHJzL2Uyb0RvYy54bWxQSwECLQAUAAYACAAAACEAAstqd90AAAAJAQAA&#10;DwAAAAAAAAAAAAAAAAAnBAAAZHJzL2Rvd25yZXYueG1sUEsFBgAAAAAEAAQA8wAAADEFAAAAAA==&#10;"/>
          </w:pict>
        </mc:Fallback>
      </mc:AlternateContent>
    </w:r>
    <w:r w:rsidRPr="003E4CF7">
      <w:rPr>
        <w:sz w:val="12"/>
      </w:rPr>
      <w:t xml:space="preserve">LOS DATOS PROPORCIONADOS SERÁN TRATADOS </w:t>
    </w:r>
    <w:proofErr w:type="gramStart"/>
    <w:r w:rsidRPr="003E4CF7">
      <w:rPr>
        <w:sz w:val="12"/>
      </w:rPr>
      <w:t>DE ACUERDO A</w:t>
    </w:r>
    <w:proofErr w:type="gramEnd"/>
    <w:r w:rsidRPr="003E4CF7">
      <w:rPr>
        <w:sz w:val="12"/>
      </w:rPr>
      <w:t xml:space="preserve">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6164" w14:textId="77777777" w:rsidR="00213515" w:rsidRDefault="00213515" w:rsidP="009B2507">
      <w:pPr>
        <w:spacing w:after="0" w:line="240" w:lineRule="auto"/>
      </w:pPr>
      <w:r>
        <w:separator/>
      </w:r>
    </w:p>
  </w:footnote>
  <w:footnote w:type="continuationSeparator" w:id="0">
    <w:p w14:paraId="58212722" w14:textId="77777777" w:rsidR="00213515" w:rsidRDefault="00213515" w:rsidP="009B2507">
      <w:pPr>
        <w:spacing w:after="0" w:line="240" w:lineRule="auto"/>
      </w:pPr>
      <w:r>
        <w:continuationSeparator/>
      </w:r>
    </w:p>
  </w:footnote>
  <w:footnote w:id="1">
    <w:p w14:paraId="4781E634" w14:textId="7E253918" w:rsidR="00411198" w:rsidRDefault="00411198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 w:rsidRPr="00233703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color w:val="000000"/>
          <w:sz w:val="14"/>
          <w:szCs w:val="16"/>
        </w:rPr>
        <w:t>Artículo 206 y 269 de la Constitución Política de Colombia, articulo 3 de la ley 87 de 1993.</w:t>
      </w:r>
    </w:p>
    <w:p w14:paraId="27EE800E" w14:textId="25776212" w:rsidR="00411198" w:rsidRDefault="00411198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Artículos 27 y 32 ley 489 de 1998</w:t>
      </w:r>
    </w:p>
    <w:p w14:paraId="03B36764" w14:textId="77777777" w:rsidR="00411198" w:rsidRDefault="00411198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Resolución No.357 de 2008 Contaduría General de la Nación – Derogada por la Resolución No.193 de 2016 Contaduría General de la Nación </w:t>
      </w:r>
    </w:p>
    <w:p w14:paraId="149213B0" w14:textId="77777777" w:rsidR="00411198" w:rsidRDefault="00411198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 5 del Decreto 2145 de 1999</w:t>
      </w:r>
    </w:p>
    <w:p w14:paraId="430A0ECB" w14:textId="77777777" w:rsidR="00411198" w:rsidRPr="00B6053C" w:rsidRDefault="00411198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bookmarkStart w:id="1" w:name="_Hlk47979634"/>
      <w:r>
        <w:rPr>
          <w:rFonts w:ascii="Arial" w:hAnsi="Arial" w:cs="Arial"/>
          <w:color w:val="000000"/>
          <w:sz w:val="14"/>
          <w:szCs w:val="16"/>
        </w:rPr>
        <w:t xml:space="preserve"> Circular 131 de 2020 CGN</w:t>
      </w:r>
      <w:bookmarkEnd w:id="1"/>
    </w:p>
  </w:footnote>
  <w:footnote w:id="2">
    <w:p w14:paraId="4D635355" w14:textId="5B816606" w:rsidR="00411198" w:rsidRPr="00FF6B0F" w:rsidRDefault="00411198">
      <w:pPr>
        <w:pStyle w:val="Textonotapie"/>
        <w:rPr>
          <w:i/>
          <w:iCs/>
          <w:sz w:val="16"/>
          <w:szCs w:val="16"/>
          <w:lang w:val="es-CO"/>
        </w:rPr>
      </w:pPr>
      <w:r>
        <w:rPr>
          <w:rStyle w:val="Refdenotaalpie"/>
        </w:rPr>
        <w:footnoteRef/>
      </w:r>
      <w:r>
        <w:t xml:space="preserve">  </w:t>
      </w:r>
      <w:r w:rsidRPr="006004DD">
        <w:rPr>
          <w:sz w:val="16"/>
          <w:szCs w:val="16"/>
          <w:lang w:val="es-CO"/>
        </w:rPr>
        <w:t xml:space="preserve">Esta debilidad se </w:t>
      </w:r>
      <w:r w:rsidRPr="00FF6B0F">
        <w:rPr>
          <w:sz w:val="16"/>
          <w:szCs w:val="16"/>
          <w:lang w:val="es-CO"/>
        </w:rPr>
        <w:t xml:space="preserve">identificó como No Conformidad en el </w:t>
      </w:r>
      <w:r w:rsidRPr="00FF6B0F">
        <w:rPr>
          <w:i/>
          <w:iCs/>
          <w:sz w:val="16"/>
          <w:szCs w:val="16"/>
          <w:lang w:val="es-CO"/>
        </w:rPr>
        <w:t>Informe Evaluación Independiente Proceso Gestión Financiera 2020</w:t>
      </w:r>
    </w:p>
  </w:footnote>
  <w:footnote w:id="3">
    <w:p w14:paraId="35A33933" w14:textId="6AFDCC59" w:rsidR="00411198" w:rsidRDefault="00411198" w:rsidP="00FF6B0F">
      <w:pPr>
        <w:pStyle w:val="Textonotapie"/>
        <w:rPr>
          <w:i/>
          <w:iCs/>
          <w:sz w:val="16"/>
          <w:szCs w:val="16"/>
          <w:lang w:val="es-CO"/>
        </w:rPr>
      </w:pPr>
      <w:r w:rsidRPr="00FF6B0F">
        <w:rPr>
          <w:rStyle w:val="Refdenotaalpie"/>
          <w:sz w:val="16"/>
          <w:szCs w:val="16"/>
        </w:rPr>
        <w:footnoteRef/>
      </w:r>
      <w:r w:rsidRPr="00FF6B0F">
        <w:rPr>
          <w:sz w:val="16"/>
          <w:szCs w:val="16"/>
        </w:rPr>
        <w:t xml:space="preserve">  </w:t>
      </w:r>
      <w:r w:rsidRPr="00FF6B0F">
        <w:rPr>
          <w:sz w:val="16"/>
          <w:szCs w:val="16"/>
          <w:lang w:val="es-CO"/>
        </w:rPr>
        <w:t xml:space="preserve">Esta debilidad se identificó como No Conformidad en el </w:t>
      </w:r>
      <w:r w:rsidRPr="00FF6B0F">
        <w:rPr>
          <w:i/>
          <w:iCs/>
          <w:sz w:val="16"/>
          <w:szCs w:val="16"/>
          <w:lang w:val="es-CO"/>
        </w:rPr>
        <w:t>Informe Evaluación Independiente Proceso Gestión Financiera 2020</w:t>
      </w:r>
    </w:p>
    <w:p w14:paraId="25955A1C" w14:textId="149CFB57" w:rsidR="00411198" w:rsidRPr="00FF6B0F" w:rsidRDefault="00411198" w:rsidP="00FF6B0F">
      <w:pPr>
        <w:pStyle w:val="Textonotapie"/>
        <w:rPr>
          <w:sz w:val="16"/>
          <w:szCs w:val="16"/>
          <w:lang w:val="es-CO"/>
        </w:rPr>
      </w:pPr>
      <w:r>
        <w:rPr>
          <w:sz w:val="16"/>
          <w:szCs w:val="16"/>
          <w:lang w:val="es-CO"/>
        </w:rPr>
        <w:t xml:space="preserve">   </w:t>
      </w:r>
      <w:r w:rsidRPr="00FF6B0F">
        <w:rPr>
          <w:sz w:val="16"/>
          <w:szCs w:val="16"/>
          <w:lang w:val="es-CO"/>
        </w:rPr>
        <w:t>No requieren la formulación de un Plan de Acción adicional.</w:t>
      </w:r>
    </w:p>
    <w:p w14:paraId="4320C1C3" w14:textId="51D62D39" w:rsidR="00411198" w:rsidRPr="006004DD" w:rsidRDefault="00411198">
      <w:pPr>
        <w:pStyle w:val="Textonotapie"/>
        <w:rPr>
          <w:sz w:val="16"/>
          <w:szCs w:val="16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54BD4" w14:textId="77777777" w:rsidR="00411198" w:rsidRDefault="00411198">
    <w:pPr>
      <w:pStyle w:val="Encabezado"/>
    </w:pPr>
    <w:r>
      <w:rPr>
        <w:noProof/>
      </w:rPr>
      <w:pict w14:anchorId="4DF975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2050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6"/>
      <w:gridCol w:w="5852"/>
      <w:gridCol w:w="1436"/>
      <w:gridCol w:w="1404"/>
    </w:tblGrid>
    <w:tr w:rsidR="00411198" w:rsidRPr="00024088" w14:paraId="2AEFC4A2" w14:textId="77777777" w:rsidTr="00B65341">
      <w:trPr>
        <w:cantSplit/>
        <w:trHeight w:val="638"/>
      </w:trPr>
      <w:tc>
        <w:tcPr>
          <w:tcW w:w="1106" w:type="dxa"/>
          <w:vMerge w:val="restart"/>
        </w:tcPr>
        <w:p w14:paraId="685FD357" w14:textId="77777777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76269DD6" wp14:editId="42821433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7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2" w:type="dxa"/>
          <w:vMerge w:val="restart"/>
        </w:tcPr>
        <w:p w14:paraId="3F3BACE9" w14:textId="77777777" w:rsidR="00411198" w:rsidRPr="00024088" w:rsidRDefault="00411198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F654D98" w14:textId="77777777" w:rsidR="00411198" w:rsidRPr="00024088" w:rsidRDefault="00411198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1C5EB017" w14:textId="77777777" w:rsidR="00411198" w:rsidRPr="00024088" w:rsidRDefault="00411198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77961D2C" w14:textId="77777777" w:rsidR="00411198" w:rsidRPr="00024088" w:rsidRDefault="00411198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INFORMES OFICINA DE CONTROL INTERNO</w:t>
          </w:r>
        </w:p>
      </w:tc>
      <w:tc>
        <w:tcPr>
          <w:tcW w:w="1436" w:type="dxa"/>
          <w:vAlign w:val="center"/>
        </w:tcPr>
        <w:p w14:paraId="54EA1160" w14:textId="77777777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color w:val="FF0000"/>
              <w:lang w:val="es-CO" w:eastAsia="es-ES"/>
            </w:rPr>
          </w:pPr>
          <w:r w:rsidRPr="000B5992">
            <w:rPr>
              <w:rFonts w:eastAsia="Times New Roman" w:cs="Arial"/>
              <w:lang w:val="es-CO" w:eastAsia="es-ES"/>
            </w:rPr>
            <w:t>F1.EI</w:t>
          </w:r>
        </w:p>
      </w:tc>
      <w:tc>
        <w:tcPr>
          <w:tcW w:w="1404" w:type="dxa"/>
          <w:vAlign w:val="center"/>
        </w:tcPr>
        <w:p w14:paraId="32A97B66" w14:textId="77777777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08/02/2018</w:t>
          </w:r>
        </w:p>
      </w:tc>
    </w:tr>
    <w:tr w:rsidR="00411198" w:rsidRPr="00024088" w14:paraId="7B7A0F83" w14:textId="77777777" w:rsidTr="00B65341">
      <w:trPr>
        <w:cantSplit/>
        <w:trHeight w:val="322"/>
      </w:trPr>
      <w:tc>
        <w:tcPr>
          <w:tcW w:w="1106" w:type="dxa"/>
          <w:vMerge/>
        </w:tcPr>
        <w:p w14:paraId="4B5746C1" w14:textId="77777777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852" w:type="dxa"/>
          <w:vMerge/>
        </w:tcPr>
        <w:p w14:paraId="6E423406" w14:textId="77777777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436" w:type="dxa"/>
          <w:vAlign w:val="center"/>
        </w:tcPr>
        <w:p w14:paraId="7CD2C92E" w14:textId="77777777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Versión 2</w:t>
          </w:r>
        </w:p>
      </w:tc>
      <w:tc>
        <w:tcPr>
          <w:tcW w:w="1404" w:type="dxa"/>
          <w:tcMar>
            <w:left w:w="57" w:type="dxa"/>
            <w:right w:w="57" w:type="dxa"/>
          </w:tcMar>
          <w:vAlign w:val="center"/>
        </w:tcPr>
        <w:p w14:paraId="3D7CE56B" w14:textId="4BA35D56" w:rsidR="00411198" w:rsidRPr="00024088" w:rsidRDefault="00411198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 w:rsidRPr="00024088">
            <w:rPr>
              <w:rFonts w:eastAsia="Times New Roman" w:cs="Arial"/>
              <w:lang w:val="es-CO" w:eastAsia="es-ES"/>
            </w:rPr>
            <w:t>P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t xml:space="preserve">ágina </w: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begin"/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instrText xml:space="preserve"> PAGE </w:instrTex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separate"/>
          </w:r>
          <w:r>
            <w:rPr>
              <w:rFonts w:eastAsia="Times New Roman"/>
              <w:noProof/>
              <w:sz w:val="20"/>
              <w:szCs w:val="20"/>
              <w:lang w:val="es-CO" w:eastAsia="es-ES"/>
            </w:rPr>
            <w:t>15</w: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end"/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t xml:space="preserve"> de 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begin"/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instrText xml:space="preserve"> SECTIONPAGES   \* MERGEFORMAT </w:instrTex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separate"/>
          </w:r>
          <w:r w:rsidR="005D2A21">
            <w:rPr>
              <w:rFonts w:eastAsia="Times New Roman" w:cs="Arial"/>
              <w:noProof/>
              <w:sz w:val="20"/>
              <w:szCs w:val="20"/>
              <w:lang w:val="es-CO" w:eastAsia="es-ES"/>
            </w:rPr>
            <w:t>17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end"/>
          </w:r>
        </w:p>
      </w:tc>
    </w:tr>
  </w:tbl>
  <w:p w14:paraId="14B20609" w14:textId="77777777" w:rsidR="00411198" w:rsidRDefault="00411198">
    <w:pPr>
      <w:pStyle w:val="Encabezado"/>
    </w:pPr>
    <w:r>
      <w:rPr>
        <w:noProof/>
      </w:rPr>
      <w:pict w14:anchorId="134DD3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2052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7A774" w14:textId="77777777" w:rsidR="00411198" w:rsidRDefault="00411198">
    <w:pPr>
      <w:pStyle w:val="Encabezado"/>
    </w:pPr>
    <w:r>
      <w:rPr>
        <w:noProof/>
      </w:rPr>
      <w:pict w14:anchorId="3B40F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2049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254E"/>
    <w:multiLevelType w:val="hybridMultilevel"/>
    <w:tmpl w:val="D8AE2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45C"/>
    <w:multiLevelType w:val="multilevel"/>
    <w:tmpl w:val="FE1C1B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3237A9"/>
    <w:multiLevelType w:val="multilevel"/>
    <w:tmpl w:val="FAFC3A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121E88"/>
    <w:multiLevelType w:val="multilevel"/>
    <w:tmpl w:val="A560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DC5931"/>
    <w:multiLevelType w:val="hybridMultilevel"/>
    <w:tmpl w:val="130C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45EB"/>
    <w:multiLevelType w:val="multilevel"/>
    <w:tmpl w:val="1D268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6775D5"/>
    <w:multiLevelType w:val="hybridMultilevel"/>
    <w:tmpl w:val="B8A4EB1C"/>
    <w:lvl w:ilvl="0" w:tplc="C748A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634F"/>
    <w:multiLevelType w:val="hybridMultilevel"/>
    <w:tmpl w:val="2834A1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22C4"/>
    <w:multiLevelType w:val="hybridMultilevel"/>
    <w:tmpl w:val="01ECF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1C24"/>
    <w:multiLevelType w:val="multilevel"/>
    <w:tmpl w:val="964ED39A"/>
    <w:lvl w:ilvl="0">
      <w:start w:val="8"/>
      <w:numFmt w:val="decimal"/>
      <w:lvlText w:val="%1"/>
      <w:lvlJc w:val="left"/>
      <w:pPr>
        <w:ind w:left="360" w:hanging="360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b/>
      </w:rPr>
    </w:lvl>
  </w:abstractNum>
  <w:abstractNum w:abstractNumId="10" w15:restartNumberingAfterBreak="0">
    <w:nsid w:val="465A1CCE"/>
    <w:multiLevelType w:val="multilevel"/>
    <w:tmpl w:val="A560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E622BC"/>
    <w:multiLevelType w:val="multilevel"/>
    <w:tmpl w:val="8842CA6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63A71"/>
    <w:multiLevelType w:val="hybridMultilevel"/>
    <w:tmpl w:val="67968530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30F65"/>
    <w:multiLevelType w:val="hybridMultilevel"/>
    <w:tmpl w:val="DA3E135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D1A"/>
    <w:multiLevelType w:val="multilevel"/>
    <w:tmpl w:val="5928C4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B6250"/>
    <w:multiLevelType w:val="hybridMultilevel"/>
    <w:tmpl w:val="0EB0CEA4"/>
    <w:lvl w:ilvl="0" w:tplc="0978C1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D5365"/>
    <w:multiLevelType w:val="hybridMultilevel"/>
    <w:tmpl w:val="E4F641C0"/>
    <w:lvl w:ilvl="0" w:tplc="66FA0A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90451"/>
    <w:multiLevelType w:val="multilevel"/>
    <w:tmpl w:val="A560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7"/>
  </w:num>
  <w:num w:numId="10">
    <w:abstractNumId w:val="13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243F"/>
    <w:rsid w:val="0000260D"/>
    <w:rsid w:val="00003238"/>
    <w:rsid w:val="000064BE"/>
    <w:rsid w:val="000108CE"/>
    <w:rsid w:val="00011B18"/>
    <w:rsid w:val="00012A51"/>
    <w:rsid w:val="00012F6C"/>
    <w:rsid w:val="00015BBE"/>
    <w:rsid w:val="0001657E"/>
    <w:rsid w:val="00016FD0"/>
    <w:rsid w:val="00017BB3"/>
    <w:rsid w:val="0002078A"/>
    <w:rsid w:val="00020CCD"/>
    <w:rsid w:val="00020E7A"/>
    <w:rsid w:val="00021BE8"/>
    <w:rsid w:val="00023514"/>
    <w:rsid w:val="00024088"/>
    <w:rsid w:val="0002438C"/>
    <w:rsid w:val="00024948"/>
    <w:rsid w:val="00024DB5"/>
    <w:rsid w:val="00025426"/>
    <w:rsid w:val="00025889"/>
    <w:rsid w:val="00027296"/>
    <w:rsid w:val="00027D6D"/>
    <w:rsid w:val="00027DC7"/>
    <w:rsid w:val="00030462"/>
    <w:rsid w:val="00030489"/>
    <w:rsid w:val="000317BA"/>
    <w:rsid w:val="00032049"/>
    <w:rsid w:val="000322E4"/>
    <w:rsid w:val="0003290E"/>
    <w:rsid w:val="00033090"/>
    <w:rsid w:val="00033E19"/>
    <w:rsid w:val="000352D1"/>
    <w:rsid w:val="000352EB"/>
    <w:rsid w:val="00035BDB"/>
    <w:rsid w:val="00037BB0"/>
    <w:rsid w:val="00037C1F"/>
    <w:rsid w:val="00037C5D"/>
    <w:rsid w:val="00037DD6"/>
    <w:rsid w:val="00040A3B"/>
    <w:rsid w:val="0004114D"/>
    <w:rsid w:val="000417B0"/>
    <w:rsid w:val="000453A8"/>
    <w:rsid w:val="000468C1"/>
    <w:rsid w:val="000471F6"/>
    <w:rsid w:val="00050CEC"/>
    <w:rsid w:val="0005250C"/>
    <w:rsid w:val="000544D0"/>
    <w:rsid w:val="00054E10"/>
    <w:rsid w:val="00054FF0"/>
    <w:rsid w:val="0005519C"/>
    <w:rsid w:val="00055A21"/>
    <w:rsid w:val="000564F2"/>
    <w:rsid w:val="00056C32"/>
    <w:rsid w:val="000600C6"/>
    <w:rsid w:val="0006051D"/>
    <w:rsid w:val="000606E8"/>
    <w:rsid w:val="00060C22"/>
    <w:rsid w:val="000617B9"/>
    <w:rsid w:val="00061B9C"/>
    <w:rsid w:val="00064706"/>
    <w:rsid w:val="00064D4A"/>
    <w:rsid w:val="00065302"/>
    <w:rsid w:val="0006539C"/>
    <w:rsid w:val="00065AE2"/>
    <w:rsid w:val="00066B7F"/>
    <w:rsid w:val="00070515"/>
    <w:rsid w:val="000712D9"/>
    <w:rsid w:val="00073CBC"/>
    <w:rsid w:val="0007498D"/>
    <w:rsid w:val="0007551C"/>
    <w:rsid w:val="00080785"/>
    <w:rsid w:val="00080DCD"/>
    <w:rsid w:val="00081187"/>
    <w:rsid w:val="00082720"/>
    <w:rsid w:val="00083530"/>
    <w:rsid w:val="00083BAA"/>
    <w:rsid w:val="00083E7A"/>
    <w:rsid w:val="00084DA8"/>
    <w:rsid w:val="00087290"/>
    <w:rsid w:val="00087E68"/>
    <w:rsid w:val="00087E74"/>
    <w:rsid w:val="00094882"/>
    <w:rsid w:val="00095994"/>
    <w:rsid w:val="000960E3"/>
    <w:rsid w:val="000964AF"/>
    <w:rsid w:val="0009654A"/>
    <w:rsid w:val="0009689F"/>
    <w:rsid w:val="000970D2"/>
    <w:rsid w:val="0009729C"/>
    <w:rsid w:val="000976E9"/>
    <w:rsid w:val="00097E38"/>
    <w:rsid w:val="000A07D9"/>
    <w:rsid w:val="000A10A4"/>
    <w:rsid w:val="000A1930"/>
    <w:rsid w:val="000A2352"/>
    <w:rsid w:val="000A2661"/>
    <w:rsid w:val="000A3CF2"/>
    <w:rsid w:val="000A3E78"/>
    <w:rsid w:val="000A5431"/>
    <w:rsid w:val="000A577A"/>
    <w:rsid w:val="000A58E7"/>
    <w:rsid w:val="000A6B77"/>
    <w:rsid w:val="000A7857"/>
    <w:rsid w:val="000B0C80"/>
    <w:rsid w:val="000B1705"/>
    <w:rsid w:val="000B1868"/>
    <w:rsid w:val="000B2054"/>
    <w:rsid w:val="000B236F"/>
    <w:rsid w:val="000B2A48"/>
    <w:rsid w:val="000B4F81"/>
    <w:rsid w:val="000B4FF2"/>
    <w:rsid w:val="000B5510"/>
    <w:rsid w:val="000B5992"/>
    <w:rsid w:val="000B6CDD"/>
    <w:rsid w:val="000C2145"/>
    <w:rsid w:val="000C2C50"/>
    <w:rsid w:val="000C3FFF"/>
    <w:rsid w:val="000C4740"/>
    <w:rsid w:val="000C4F8E"/>
    <w:rsid w:val="000C5F74"/>
    <w:rsid w:val="000C6095"/>
    <w:rsid w:val="000C6965"/>
    <w:rsid w:val="000C6C6B"/>
    <w:rsid w:val="000C704C"/>
    <w:rsid w:val="000C75BC"/>
    <w:rsid w:val="000D16FC"/>
    <w:rsid w:val="000D1B48"/>
    <w:rsid w:val="000D23B2"/>
    <w:rsid w:val="000D27E9"/>
    <w:rsid w:val="000D41C0"/>
    <w:rsid w:val="000D4EE7"/>
    <w:rsid w:val="000D74E9"/>
    <w:rsid w:val="000E02CD"/>
    <w:rsid w:val="000E23D7"/>
    <w:rsid w:val="000E3DA0"/>
    <w:rsid w:val="000E4347"/>
    <w:rsid w:val="000E459E"/>
    <w:rsid w:val="000E4975"/>
    <w:rsid w:val="000E4F9D"/>
    <w:rsid w:val="000E5369"/>
    <w:rsid w:val="000E56F9"/>
    <w:rsid w:val="000E5A4E"/>
    <w:rsid w:val="000E7386"/>
    <w:rsid w:val="000F1065"/>
    <w:rsid w:val="000F12DE"/>
    <w:rsid w:val="000F14DD"/>
    <w:rsid w:val="000F2609"/>
    <w:rsid w:val="000F2DD3"/>
    <w:rsid w:val="000F41A0"/>
    <w:rsid w:val="000F489C"/>
    <w:rsid w:val="00101BA7"/>
    <w:rsid w:val="00103CE7"/>
    <w:rsid w:val="0010431A"/>
    <w:rsid w:val="00104482"/>
    <w:rsid w:val="00104767"/>
    <w:rsid w:val="00104929"/>
    <w:rsid w:val="00104AB4"/>
    <w:rsid w:val="00104F66"/>
    <w:rsid w:val="00106D04"/>
    <w:rsid w:val="001074ED"/>
    <w:rsid w:val="001113BA"/>
    <w:rsid w:val="0011375B"/>
    <w:rsid w:val="0011393D"/>
    <w:rsid w:val="00113993"/>
    <w:rsid w:val="0011595D"/>
    <w:rsid w:val="001163D5"/>
    <w:rsid w:val="00116D1D"/>
    <w:rsid w:val="00120437"/>
    <w:rsid w:val="00120C3C"/>
    <w:rsid w:val="00121114"/>
    <w:rsid w:val="00121F08"/>
    <w:rsid w:val="00123815"/>
    <w:rsid w:val="00123DBB"/>
    <w:rsid w:val="00124497"/>
    <w:rsid w:val="00126214"/>
    <w:rsid w:val="0012773B"/>
    <w:rsid w:val="00131265"/>
    <w:rsid w:val="00131345"/>
    <w:rsid w:val="001317F4"/>
    <w:rsid w:val="00131862"/>
    <w:rsid w:val="0013325C"/>
    <w:rsid w:val="00133337"/>
    <w:rsid w:val="00133CAA"/>
    <w:rsid w:val="00133CCA"/>
    <w:rsid w:val="001346E5"/>
    <w:rsid w:val="001366C1"/>
    <w:rsid w:val="00136E05"/>
    <w:rsid w:val="001376B9"/>
    <w:rsid w:val="00137E00"/>
    <w:rsid w:val="00143F82"/>
    <w:rsid w:val="0014562F"/>
    <w:rsid w:val="00145AFD"/>
    <w:rsid w:val="00146849"/>
    <w:rsid w:val="00146949"/>
    <w:rsid w:val="00146AA0"/>
    <w:rsid w:val="00146AAA"/>
    <w:rsid w:val="00147151"/>
    <w:rsid w:val="00151E2F"/>
    <w:rsid w:val="001526FF"/>
    <w:rsid w:val="0015295F"/>
    <w:rsid w:val="0015299B"/>
    <w:rsid w:val="001530F3"/>
    <w:rsid w:val="001562AB"/>
    <w:rsid w:val="001562E6"/>
    <w:rsid w:val="001575A9"/>
    <w:rsid w:val="001601DD"/>
    <w:rsid w:val="00160AB7"/>
    <w:rsid w:val="00161158"/>
    <w:rsid w:val="0016184B"/>
    <w:rsid w:val="001634F8"/>
    <w:rsid w:val="00163C18"/>
    <w:rsid w:val="001645C2"/>
    <w:rsid w:val="001656A9"/>
    <w:rsid w:val="00166237"/>
    <w:rsid w:val="00166E1A"/>
    <w:rsid w:val="00166E59"/>
    <w:rsid w:val="001679A9"/>
    <w:rsid w:val="001707D5"/>
    <w:rsid w:val="0017177C"/>
    <w:rsid w:val="00171F0F"/>
    <w:rsid w:val="00173585"/>
    <w:rsid w:val="0017394F"/>
    <w:rsid w:val="00173C5B"/>
    <w:rsid w:val="0017400D"/>
    <w:rsid w:val="00175FDA"/>
    <w:rsid w:val="0017660E"/>
    <w:rsid w:val="00177600"/>
    <w:rsid w:val="00180DA5"/>
    <w:rsid w:val="00180FD3"/>
    <w:rsid w:val="001810C3"/>
    <w:rsid w:val="0018138F"/>
    <w:rsid w:val="00181762"/>
    <w:rsid w:val="001819A6"/>
    <w:rsid w:val="00181A0B"/>
    <w:rsid w:val="00182D3E"/>
    <w:rsid w:val="0018388F"/>
    <w:rsid w:val="00183D8C"/>
    <w:rsid w:val="001850B0"/>
    <w:rsid w:val="00185C85"/>
    <w:rsid w:val="00186D3A"/>
    <w:rsid w:val="001878B7"/>
    <w:rsid w:val="00190040"/>
    <w:rsid w:val="001910A6"/>
    <w:rsid w:val="00192B60"/>
    <w:rsid w:val="00192D7C"/>
    <w:rsid w:val="00192F7A"/>
    <w:rsid w:val="0019385E"/>
    <w:rsid w:val="0019479A"/>
    <w:rsid w:val="001948CB"/>
    <w:rsid w:val="00195504"/>
    <w:rsid w:val="0019604C"/>
    <w:rsid w:val="00196458"/>
    <w:rsid w:val="001968A0"/>
    <w:rsid w:val="00197552"/>
    <w:rsid w:val="001A023C"/>
    <w:rsid w:val="001A06B2"/>
    <w:rsid w:val="001A08C8"/>
    <w:rsid w:val="001A254D"/>
    <w:rsid w:val="001A260F"/>
    <w:rsid w:val="001A2A33"/>
    <w:rsid w:val="001A2F09"/>
    <w:rsid w:val="001A3D98"/>
    <w:rsid w:val="001A4692"/>
    <w:rsid w:val="001A5289"/>
    <w:rsid w:val="001A5304"/>
    <w:rsid w:val="001A551C"/>
    <w:rsid w:val="001A5709"/>
    <w:rsid w:val="001A5EE2"/>
    <w:rsid w:val="001A6212"/>
    <w:rsid w:val="001A6D9C"/>
    <w:rsid w:val="001A6DE7"/>
    <w:rsid w:val="001A703C"/>
    <w:rsid w:val="001A7A82"/>
    <w:rsid w:val="001B0008"/>
    <w:rsid w:val="001B002B"/>
    <w:rsid w:val="001B005D"/>
    <w:rsid w:val="001B26AB"/>
    <w:rsid w:val="001B3C9B"/>
    <w:rsid w:val="001B460B"/>
    <w:rsid w:val="001B4939"/>
    <w:rsid w:val="001B56AA"/>
    <w:rsid w:val="001B58FE"/>
    <w:rsid w:val="001B6B34"/>
    <w:rsid w:val="001C0380"/>
    <w:rsid w:val="001C08DB"/>
    <w:rsid w:val="001C0F8A"/>
    <w:rsid w:val="001C1324"/>
    <w:rsid w:val="001C1B3A"/>
    <w:rsid w:val="001C22D9"/>
    <w:rsid w:val="001C2E68"/>
    <w:rsid w:val="001C39F0"/>
    <w:rsid w:val="001C3A1B"/>
    <w:rsid w:val="001C4BB3"/>
    <w:rsid w:val="001C4E54"/>
    <w:rsid w:val="001C622D"/>
    <w:rsid w:val="001D293C"/>
    <w:rsid w:val="001D30A5"/>
    <w:rsid w:val="001D3275"/>
    <w:rsid w:val="001D455E"/>
    <w:rsid w:val="001D4715"/>
    <w:rsid w:val="001D4AF7"/>
    <w:rsid w:val="001D51D9"/>
    <w:rsid w:val="001D573B"/>
    <w:rsid w:val="001D660E"/>
    <w:rsid w:val="001D7499"/>
    <w:rsid w:val="001D7A79"/>
    <w:rsid w:val="001E0613"/>
    <w:rsid w:val="001E1740"/>
    <w:rsid w:val="001E1E53"/>
    <w:rsid w:val="001E252B"/>
    <w:rsid w:val="001E290C"/>
    <w:rsid w:val="001E49B8"/>
    <w:rsid w:val="001E5757"/>
    <w:rsid w:val="001E6A9C"/>
    <w:rsid w:val="001E6D27"/>
    <w:rsid w:val="001E7D1E"/>
    <w:rsid w:val="001E7F31"/>
    <w:rsid w:val="001F163C"/>
    <w:rsid w:val="001F2DB3"/>
    <w:rsid w:val="001F2EBB"/>
    <w:rsid w:val="001F2F43"/>
    <w:rsid w:val="001F31FB"/>
    <w:rsid w:val="001F4465"/>
    <w:rsid w:val="001F49BA"/>
    <w:rsid w:val="001F4C1E"/>
    <w:rsid w:val="001F5713"/>
    <w:rsid w:val="001F5FE2"/>
    <w:rsid w:val="002002CE"/>
    <w:rsid w:val="002005AD"/>
    <w:rsid w:val="002016AA"/>
    <w:rsid w:val="002016D2"/>
    <w:rsid w:val="00202C5C"/>
    <w:rsid w:val="0020402E"/>
    <w:rsid w:val="002041F3"/>
    <w:rsid w:val="00204356"/>
    <w:rsid w:val="002046AE"/>
    <w:rsid w:val="002076C4"/>
    <w:rsid w:val="002120C1"/>
    <w:rsid w:val="002125F0"/>
    <w:rsid w:val="00213515"/>
    <w:rsid w:val="0021642E"/>
    <w:rsid w:val="00216E4D"/>
    <w:rsid w:val="0021732B"/>
    <w:rsid w:val="00217662"/>
    <w:rsid w:val="0021776A"/>
    <w:rsid w:val="00217CE6"/>
    <w:rsid w:val="00220CC2"/>
    <w:rsid w:val="002212E8"/>
    <w:rsid w:val="00221F04"/>
    <w:rsid w:val="00222584"/>
    <w:rsid w:val="0022275C"/>
    <w:rsid w:val="0022351A"/>
    <w:rsid w:val="00223E4C"/>
    <w:rsid w:val="002247A6"/>
    <w:rsid w:val="00224A6C"/>
    <w:rsid w:val="002254CF"/>
    <w:rsid w:val="002256E9"/>
    <w:rsid w:val="00225917"/>
    <w:rsid w:val="0022607D"/>
    <w:rsid w:val="00231E78"/>
    <w:rsid w:val="00232145"/>
    <w:rsid w:val="00232377"/>
    <w:rsid w:val="002335CD"/>
    <w:rsid w:val="0023372D"/>
    <w:rsid w:val="00233800"/>
    <w:rsid w:val="00233E66"/>
    <w:rsid w:val="0023449D"/>
    <w:rsid w:val="002345E6"/>
    <w:rsid w:val="00235BAB"/>
    <w:rsid w:val="002360F2"/>
    <w:rsid w:val="00240078"/>
    <w:rsid w:val="00240A76"/>
    <w:rsid w:val="002419BB"/>
    <w:rsid w:val="0024275E"/>
    <w:rsid w:val="002427E7"/>
    <w:rsid w:val="002430EC"/>
    <w:rsid w:val="0024465B"/>
    <w:rsid w:val="002450D5"/>
    <w:rsid w:val="002465BF"/>
    <w:rsid w:val="002467D7"/>
    <w:rsid w:val="00246EA2"/>
    <w:rsid w:val="00246FDD"/>
    <w:rsid w:val="0024702A"/>
    <w:rsid w:val="00247AE5"/>
    <w:rsid w:val="00250407"/>
    <w:rsid w:val="002516CD"/>
    <w:rsid w:val="002516D0"/>
    <w:rsid w:val="002523D1"/>
    <w:rsid w:val="002534D4"/>
    <w:rsid w:val="00253A9C"/>
    <w:rsid w:val="00253D60"/>
    <w:rsid w:val="00256192"/>
    <w:rsid w:val="00256349"/>
    <w:rsid w:val="00256881"/>
    <w:rsid w:val="002570E1"/>
    <w:rsid w:val="002577AF"/>
    <w:rsid w:val="00257A87"/>
    <w:rsid w:val="00257ADE"/>
    <w:rsid w:val="00260554"/>
    <w:rsid w:val="00260998"/>
    <w:rsid w:val="0026113D"/>
    <w:rsid w:val="00261356"/>
    <w:rsid w:val="002616DC"/>
    <w:rsid w:val="00261FA9"/>
    <w:rsid w:val="002621E4"/>
    <w:rsid w:val="002646B7"/>
    <w:rsid w:val="00264718"/>
    <w:rsid w:val="00265C50"/>
    <w:rsid w:val="00266E98"/>
    <w:rsid w:val="0027019C"/>
    <w:rsid w:val="00270B1B"/>
    <w:rsid w:val="00273305"/>
    <w:rsid w:val="00275DB7"/>
    <w:rsid w:val="002765C7"/>
    <w:rsid w:val="00281BC2"/>
    <w:rsid w:val="00282716"/>
    <w:rsid w:val="0028279A"/>
    <w:rsid w:val="00283C5E"/>
    <w:rsid w:val="0028437E"/>
    <w:rsid w:val="00285A06"/>
    <w:rsid w:val="00285D52"/>
    <w:rsid w:val="002867E3"/>
    <w:rsid w:val="00286910"/>
    <w:rsid w:val="002869B4"/>
    <w:rsid w:val="002906B4"/>
    <w:rsid w:val="002912BB"/>
    <w:rsid w:val="0029222D"/>
    <w:rsid w:val="0029229B"/>
    <w:rsid w:val="002942BF"/>
    <w:rsid w:val="0029524C"/>
    <w:rsid w:val="002957E0"/>
    <w:rsid w:val="0029602B"/>
    <w:rsid w:val="00296A7D"/>
    <w:rsid w:val="00297221"/>
    <w:rsid w:val="0029727A"/>
    <w:rsid w:val="00297400"/>
    <w:rsid w:val="002A1ACB"/>
    <w:rsid w:val="002A2788"/>
    <w:rsid w:val="002A3D0E"/>
    <w:rsid w:val="002A5268"/>
    <w:rsid w:val="002A5CB2"/>
    <w:rsid w:val="002A6282"/>
    <w:rsid w:val="002A6A7F"/>
    <w:rsid w:val="002A6FBE"/>
    <w:rsid w:val="002B0200"/>
    <w:rsid w:val="002B1916"/>
    <w:rsid w:val="002B2C3D"/>
    <w:rsid w:val="002B44E6"/>
    <w:rsid w:val="002B48A5"/>
    <w:rsid w:val="002B5973"/>
    <w:rsid w:val="002B6514"/>
    <w:rsid w:val="002B6BD7"/>
    <w:rsid w:val="002B6E60"/>
    <w:rsid w:val="002C02B7"/>
    <w:rsid w:val="002C1B01"/>
    <w:rsid w:val="002C3802"/>
    <w:rsid w:val="002C3A18"/>
    <w:rsid w:val="002C4C7A"/>
    <w:rsid w:val="002C5218"/>
    <w:rsid w:val="002C63D3"/>
    <w:rsid w:val="002C7B8F"/>
    <w:rsid w:val="002D0327"/>
    <w:rsid w:val="002D04BD"/>
    <w:rsid w:val="002D25C9"/>
    <w:rsid w:val="002D298B"/>
    <w:rsid w:val="002D3307"/>
    <w:rsid w:val="002D4B4F"/>
    <w:rsid w:val="002D5457"/>
    <w:rsid w:val="002D5C56"/>
    <w:rsid w:val="002D6B3F"/>
    <w:rsid w:val="002D74A1"/>
    <w:rsid w:val="002E032C"/>
    <w:rsid w:val="002E072A"/>
    <w:rsid w:val="002E167D"/>
    <w:rsid w:val="002E186B"/>
    <w:rsid w:val="002E5E98"/>
    <w:rsid w:val="002F12D6"/>
    <w:rsid w:val="002F19B7"/>
    <w:rsid w:val="002F2A0F"/>
    <w:rsid w:val="002F2D21"/>
    <w:rsid w:val="002F2F16"/>
    <w:rsid w:val="002F383C"/>
    <w:rsid w:val="002F3C1A"/>
    <w:rsid w:val="002F4EE2"/>
    <w:rsid w:val="002F4EE3"/>
    <w:rsid w:val="002F645A"/>
    <w:rsid w:val="002F6E75"/>
    <w:rsid w:val="002F7E94"/>
    <w:rsid w:val="00300A90"/>
    <w:rsid w:val="00300CCA"/>
    <w:rsid w:val="003039A9"/>
    <w:rsid w:val="00303FB3"/>
    <w:rsid w:val="00304A80"/>
    <w:rsid w:val="00304ED6"/>
    <w:rsid w:val="00305101"/>
    <w:rsid w:val="003059B9"/>
    <w:rsid w:val="00306021"/>
    <w:rsid w:val="003076BD"/>
    <w:rsid w:val="0030785C"/>
    <w:rsid w:val="00307BFC"/>
    <w:rsid w:val="00310E0F"/>
    <w:rsid w:val="00310E72"/>
    <w:rsid w:val="00311AE3"/>
    <w:rsid w:val="0031212A"/>
    <w:rsid w:val="00312825"/>
    <w:rsid w:val="00312EAE"/>
    <w:rsid w:val="0031378B"/>
    <w:rsid w:val="00314AAD"/>
    <w:rsid w:val="00314BD8"/>
    <w:rsid w:val="0031525C"/>
    <w:rsid w:val="003157EB"/>
    <w:rsid w:val="0031599A"/>
    <w:rsid w:val="00315CEC"/>
    <w:rsid w:val="00315FFC"/>
    <w:rsid w:val="00317370"/>
    <w:rsid w:val="00320129"/>
    <w:rsid w:val="00322E61"/>
    <w:rsid w:val="003238CA"/>
    <w:rsid w:val="00324127"/>
    <w:rsid w:val="00324B32"/>
    <w:rsid w:val="00324EE8"/>
    <w:rsid w:val="0032689F"/>
    <w:rsid w:val="003272B9"/>
    <w:rsid w:val="00330702"/>
    <w:rsid w:val="00330B8F"/>
    <w:rsid w:val="00330BDD"/>
    <w:rsid w:val="00331B0F"/>
    <w:rsid w:val="003334C6"/>
    <w:rsid w:val="003347BC"/>
    <w:rsid w:val="003348CD"/>
    <w:rsid w:val="003352F5"/>
    <w:rsid w:val="00336E76"/>
    <w:rsid w:val="003402FC"/>
    <w:rsid w:val="00340439"/>
    <w:rsid w:val="00341546"/>
    <w:rsid w:val="003452F1"/>
    <w:rsid w:val="00345331"/>
    <w:rsid w:val="0034594B"/>
    <w:rsid w:val="003469EB"/>
    <w:rsid w:val="00347E1C"/>
    <w:rsid w:val="003505A5"/>
    <w:rsid w:val="00351707"/>
    <w:rsid w:val="003528C0"/>
    <w:rsid w:val="00352CB1"/>
    <w:rsid w:val="00352DDC"/>
    <w:rsid w:val="003534F0"/>
    <w:rsid w:val="00356354"/>
    <w:rsid w:val="00356459"/>
    <w:rsid w:val="003570B5"/>
    <w:rsid w:val="0036086A"/>
    <w:rsid w:val="00360B20"/>
    <w:rsid w:val="003652C0"/>
    <w:rsid w:val="00365F2E"/>
    <w:rsid w:val="00366477"/>
    <w:rsid w:val="003669A0"/>
    <w:rsid w:val="00367492"/>
    <w:rsid w:val="00370BAC"/>
    <w:rsid w:val="00371C22"/>
    <w:rsid w:val="003729DE"/>
    <w:rsid w:val="00372B93"/>
    <w:rsid w:val="0037323A"/>
    <w:rsid w:val="003745DF"/>
    <w:rsid w:val="003751A4"/>
    <w:rsid w:val="0037554D"/>
    <w:rsid w:val="00375892"/>
    <w:rsid w:val="00376F1B"/>
    <w:rsid w:val="003779D0"/>
    <w:rsid w:val="003803B1"/>
    <w:rsid w:val="003805D6"/>
    <w:rsid w:val="00382727"/>
    <w:rsid w:val="00383621"/>
    <w:rsid w:val="003843E6"/>
    <w:rsid w:val="0038606A"/>
    <w:rsid w:val="00386744"/>
    <w:rsid w:val="00386E97"/>
    <w:rsid w:val="003872CA"/>
    <w:rsid w:val="0039129A"/>
    <w:rsid w:val="00391EB8"/>
    <w:rsid w:val="00392179"/>
    <w:rsid w:val="003927FC"/>
    <w:rsid w:val="003933D6"/>
    <w:rsid w:val="00393BCE"/>
    <w:rsid w:val="00394966"/>
    <w:rsid w:val="00394A16"/>
    <w:rsid w:val="00394E39"/>
    <w:rsid w:val="00395BFD"/>
    <w:rsid w:val="0039736E"/>
    <w:rsid w:val="00397607"/>
    <w:rsid w:val="003A30D2"/>
    <w:rsid w:val="003A356F"/>
    <w:rsid w:val="003A400E"/>
    <w:rsid w:val="003A540B"/>
    <w:rsid w:val="003A55EF"/>
    <w:rsid w:val="003A61D5"/>
    <w:rsid w:val="003A7AEE"/>
    <w:rsid w:val="003B004C"/>
    <w:rsid w:val="003B0D67"/>
    <w:rsid w:val="003B2FF2"/>
    <w:rsid w:val="003B379B"/>
    <w:rsid w:val="003B503D"/>
    <w:rsid w:val="003B642F"/>
    <w:rsid w:val="003B6BCE"/>
    <w:rsid w:val="003B7E43"/>
    <w:rsid w:val="003C00E3"/>
    <w:rsid w:val="003C0833"/>
    <w:rsid w:val="003C276A"/>
    <w:rsid w:val="003C3635"/>
    <w:rsid w:val="003C4C0B"/>
    <w:rsid w:val="003D07DD"/>
    <w:rsid w:val="003D4424"/>
    <w:rsid w:val="003D4836"/>
    <w:rsid w:val="003D5C39"/>
    <w:rsid w:val="003E108D"/>
    <w:rsid w:val="003E1ADB"/>
    <w:rsid w:val="003E2A1F"/>
    <w:rsid w:val="003E4CF7"/>
    <w:rsid w:val="003E4EE9"/>
    <w:rsid w:val="003E6981"/>
    <w:rsid w:val="003E6A62"/>
    <w:rsid w:val="003F0767"/>
    <w:rsid w:val="003F0C0D"/>
    <w:rsid w:val="003F0C7E"/>
    <w:rsid w:val="003F18B4"/>
    <w:rsid w:val="003F22B2"/>
    <w:rsid w:val="003F2BCE"/>
    <w:rsid w:val="003F373F"/>
    <w:rsid w:val="003F37A0"/>
    <w:rsid w:val="003F484A"/>
    <w:rsid w:val="003F60E3"/>
    <w:rsid w:val="003F676C"/>
    <w:rsid w:val="003F6C1B"/>
    <w:rsid w:val="004012B8"/>
    <w:rsid w:val="00401BE3"/>
    <w:rsid w:val="00401C09"/>
    <w:rsid w:val="00403FD5"/>
    <w:rsid w:val="00404E6A"/>
    <w:rsid w:val="00407768"/>
    <w:rsid w:val="00410E87"/>
    <w:rsid w:val="00411198"/>
    <w:rsid w:val="00411F0E"/>
    <w:rsid w:val="00411FB2"/>
    <w:rsid w:val="0041428D"/>
    <w:rsid w:val="0041441B"/>
    <w:rsid w:val="00414A0E"/>
    <w:rsid w:val="00415E6D"/>
    <w:rsid w:val="00416A13"/>
    <w:rsid w:val="004175F2"/>
    <w:rsid w:val="004200C2"/>
    <w:rsid w:val="00420D2F"/>
    <w:rsid w:val="00421C51"/>
    <w:rsid w:val="00421C64"/>
    <w:rsid w:val="00421F80"/>
    <w:rsid w:val="004227C1"/>
    <w:rsid w:val="00423D9B"/>
    <w:rsid w:val="004246B9"/>
    <w:rsid w:val="00425F22"/>
    <w:rsid w:val="0042633A"/>
    <w:rsid w:val="004306EC"/>
    <w:rsid w:val="0043084A"/>
    <w:rsid w:val="00432DC8"/>
    <w:rsid w:val="00433939"/>
    <w:rsid w:val="00434213"/>
    <w:rsid w:val="00434501"/>
    <w:rsid w:val="00434898"/>
    <w:rsid w:val="0043617A"/>
    <w:rsid w:val="00436EC9"/>
    <w:rsid w:val="00440CB5"/>
    <w:rsid w:val="004410D3"/>
    <w:rsid w:val="00441322"/>
    <w:rsid w:val="00441469"/>
    <w:rsid w:val="00441BD0"/>
    <w:rsid w:val="004422E2"/>
    <w:rsid w:val="00442F00"/>
    <w:rsid w:val="004436C0"/>
    <w:rsid w:val="00443BF2"/>
    <w:rsid w:val="0044596F"/>
    <w:rsid w:val="0044598C"/>
    <w:rsid w:val="00446B8C"/>
    <w:rsid w:val="0044713F"/>
    <w:rsid w:val="0044738E"/>
    <w:rsid w:val="00451348"/>
    <w:rsid w:val="004514DF"/>
    <w:rsid w:val="0045166E"/>
    <w:rsid w:val="004524D7"/>
    <w:rsid w:val="00453700"/>
    <w:rsid w:val="004564E0"/>
    <w:rsid w:val="00456B31"/>
    <w:rsid w:val="00456B53"/>
    <w:rsid w:val="0046331C"/>
    <w:rsid w:val="004659CA"/>
    <w:rsid w:val="00466BA0"/>
    <w:rsid w:val="00466DEE"/>
    <w:rsid w:val="0046746E"/>
    <w:rsid w:val="004712C2"/>
    <w:rsid w:val="00471B9D"/>
    <w:rsid w:val="00471E42"/>
    <w:rsid w:val="00472CD6"/>
    <w:rsid w:val="00473D4F"/>
    <w:rsid w:val="00474151"/>
    <w:rsid w:val="00476AEA"/>
    <w:rsid w:val="00476E96"/>
    <w:rsid w:val="004805BA"/>
    <w:rsid w:val="0048101B"/>
    <w:rsid w:val="00482209"/>
    <w:rsid w:val="004826D0"/>
    <w:rsid w:val="00482A4A"/>
    <w:rsid w:val="00483010"/>
    <w:rsid w:val="00483BAB"/>
    <w:rsid w:val="004840F9"/>
    <w:rsid w:val="00484169"/>
    <w:rsid w:val="0048557A"/>
    <w:rsid w:val="0048577D"/>
    <w:rsid w:val="0048673D"/>
    <w:rsid w:val="00490261"/>
    <w:rsid w:val="0049057C"/>
    <w:rsid w:val="00490810"/>
    <w:rsid w:val="00493614"/>
    <w:rsid w:val="004945FF"/>
    <w:rsid w:val="00494BF2"/>
    <w:rsid w:val="00495F1E"/>
    <w:rsid w:val="004969FE"/>
    <w:rsid w:val="00497979"/>
    <w:rsid w:val="004A001A"/>
    <w:rsid w:val="004A0D1A"/>
    <w:rsid w:val="004A0F09"/>
    <w:rsid w:val="004A117F"/>
    <w:rsid w:val="004A18B2"/>
    <w:rsid w:val="004A1F27"/>
    <w:rsid w:val="004A2003"/>
    <w:rsid w:val="004A3131"/>
    <w:rsid w:val="004A34AA"/>
    <w:rsid w:val="004A3871"/>
    <w:rsid w:val="004A6C78"/>
    <w:rsid w:val="004B040D"/>
    <w:rsid w:val="004B14F3"/>
    <w:rsid w:val="004B1889"/>
    <w:rsid w:val="004B1CD5"/>
    <w:rsid w:val="004B2496"/>
    <w:rsid w:val="004B380B"/>
    <w:rsid w:val="004B4790"/>
    <w:rsid w:val="004B59D6"/>
    <w:rsid w:val="004B5BB4"/>
    <w:rsid w:val="004B7145"/>
    <w:rsid w:val="004B743C"/>
    <w:rsid w:val="004C18B3"/>
    <w:rsid w:val="004C1A88"/>
    <w:rsid w:val="004C1E1E"/>
    <w:rsid w:val="004C270F"/>
    <w:rsid w:val="004C301F"/>
    <w:rsid w:val="004C3DE2"/>
    <w:rsid w:val="004C61BD"/>
    <w:rsid w:val="004C7099"/>
    <w:rsid w:val="004D03A4"/>
    <w:rsid w:val="004D05AE"/>
    <w:rsid w:val="004D0947"/>
    <w:rsid w:val="004D20D6"/>
    <w:rsid w:val="004D2838"/>
    <w:rsid w:val="004D312D"/>
    <w:rsid w:val="004D4D09"/>
    <w:rsid w:val="004D7065"/>
    <w:rsid w:val="004D7B90"/>
    <w:rsid w:val="004D7DC6"/>
    <w:rsid w:val="004E0299"/>
    <w:rsid w:val="004E1B17"/>
    <w:rsid w:val="004E1D98"/>
    <w:rsid w:val="004E2EC0"/>
    <w:rsid w:val="004E37BD"/>
    <w:rsid w:val="004E45E4"/>
    <w:rsid w:val="004E6C59"/>
    <w:rsid w:val="004E73CD"/>
    <w:rsid w:val="004E7DEF"/>
    <w:rsid w:val="004E7F51"/>
    <w:rsid w:val="004F1147"/>
    <w:rsid w:val="004F1548"/>
    <w:rsid w:val="004F1C3D"/>
    <w:rsid w:val="004F20EC"/>
    <w:rsid w:val="004F2AF3"/>
    <w:rsid w:val="004F5610"/>
    <w:rsid w:val="004F57C1"/>
    <w:rsid w:val="004F6929"/>
    <w:rsid w:val="004F6BC7"/>
    <w:rsid w:val="0050154D"/>
    <w:rsid w:val="00501712"/>
    <w:rsid w:val="00502DC4"/>
    <w:rsid w:val="0050343C"/>
    <w:rsid w:val="00504FDD"/>
    <w:rsid w:val="005051E1"/>
    <w:rsid w:val="00505C11"/>
    <w:rsid w:val="005064C4"/>
    <w:rsid w:val="0050787E"/>
    <w:rsid w:val="005078E9"/>
    <w:rsid w:val="00507E22"/>
    <w:rsid w:val="00511805"/>
    <w:rsid w:val="005120A7"/>
    <w:rsid w:val="0051345E"/>
    <w:rsid w:val="0051423F"/>
    <w:rsid w:val="00514F59"/>
    <w:rsid w:val="00515A09"/>
    <w:rsid w:val="005164F8"/>
    <w:rsid w:val="0052052E"/>
    <w:rsid w:val="0052141D"/>
    <w:rsid w:val="005220BF"/>
    <w:rsid w:val="00523198"/>
    <w:rsid w:val="00523305"/>
    <w:rsid w:val="00527545"/>
    <w:rsid w:val="00527730"/>
    <w:rsid w:val="005305F7"/>
    <w:rsid w:val="00530AAD"/>
    <w:rsid w:val="00530BEE"/>
    <w:rsid w:val="005319B3"/>
    <w:rsid w:val="00531C08"/>
    <w:rsid w:val="00531EA5"/>
    <w:rsid w:val="00532078"/>
    <w:rsid w:val="005320EF"/>
    <w:rsid w:val="00532431"/>
    <w:rsid w:val="00532FD7"/>
    <w:rsid w:val="0053305D"/>
    <w:rsid w:val="005342CA"/>
    <w:rsid w:val="00534450"/>
    <w:rsid w:val="00534D79"/>
    <w:rsid w:val="005354F1"/>
    <w:rsid w:val="00535B4A"/>
    <w:rsid w:val="00535F98"/>
    <w:rsid w:val="00536307"/>
    <w:rsid w:val="0054057D"/>
    <w:rsid w:val="00541742"/>
    <w:rsid w:val="0054259A"/>
    <w:rsid w:val="00542949"/>
    <w:rsid w:val="00544F16"/>
    <w:rsid w:val="005456F2"/>
    <w:rsid w:val="00546ACA"/>
    <w:rsid w:val="00547001"/>
    <w:rsid w:val="005506A5"/>
    <w:rsid w:val="0055128F"/>
    <w:rsid w:val="0055154A"/>
    <w:rsid w:val="00552DE6"/>
    <w:rsid w:val="005545E2"/>
    <w:rsid w:val="00560A43"/>
    <w:rsid w:val="005618EA"/>
    <w:rsid w:val="0056192D"/>
    <w:rsid w:val="00561E02"/>
    <w:rsid w:val="00561E4D"/>
    <w:rsid w:val="0056273D"/>
    <w:rsid w:val="00562E94"/>
    <w:rsid w:val="005639DC"/>
    <w:rsid w:val="00563F8F"/>
    <w:rsid w:val="00563FC7"/>
    <w:rsid w:val="00563FCF"/>
    <w:rsid w:val="00565852"/>
    <w:rsid w:val="00566180"/>
    <w:rsid w:val="0056668A"/>
    <w:rsid w:val="00566D75"/>
    <w:rsid w:val="00566E27"/>
    <w:rsid w:val="00567A82"/>
    <w:rsid w:val="0057040B"/>
    <w:rsid w:val="00571B35"/>
    <w:rsid w:val="00572061"/>
    <w:rsid w:val="0057217F"/>
    <w:rsid w:val="00573276"/>
    <w:rsid w:val="00573443"/>
    <w:rsid w:val="00573A11"/>
    <w:rsid w:val="00573BFA"/>
    <w:rsid w:val="00574ECF"/>
    <w:rsid w:val="00575969"/>
    <w:rsid w:val="00575E08"/>
    <w:rsid w:val="0057778F"/>
    <w:rsid w:val="00580FE6"/>
    <w:rsid w:val="005846D8"/>
    <w:rsid w:val="00595CA3"/>
    <w:rsid w:val="0059627A"/>
    <w:rsid w:val="00597D94"/>
    <w:rsid w:val="005A1286"/>
    <w:rsid w:val="005A12DB"/>
    <w:rsid w:val="005A5419"/>
    <w:rsid w:val="005A6AE1"/>
    <w:rsid w:val="005A7F22"/>
    <w:rsid w:val="005B01C9"/>
    <w:rsid w:val="005B0616"/>
    <w:rsid w:val="005B0A10"/>
    <w:rsid w:val="005B0E33"/>
    <w:rsid w:val="005B20B6"/>
    <w:rsid w:val="005B20B7"/>
    <w:rsid w:val="005B2898"/>
    <w:rsid w:val="005B33A4"/>
    <w:rsid w:val="005B54B9"/>
    <w:rsid w:val="005B5743"/>
    <w:rsid w:val="005B59C5"/>
    <w:rsid w:val="005B5BEA"/>
    <w:rsid w:val="005B68EF"/>
    <w:rsid w:val="005B7398"/>
    <w:rsid w:val="005C01A5"/>
    <w:rsid w:val="005C0581"/>
    <w:rsid w:val="005C08E7"/>
    <w:rsid w:val="005C100A"/>
    <w:rsid w:val="005C17F2"/>
    <w:rsid w:val="005C2ED4"/>
    <w:rsid w:val="005C2FD4"/>
    <w:rsid w:val="005C3C13"/>
    <w:rsid w:val="005C3C96"/>
    <w:rsid w:val="005C4237"/>
    <w:rsid w:val="005C497A"/>
    <w:rsid w:val="005C5E37"/>
    <w:rsid w:val="005C719A"/>
    <w:rsid w:val="005C7B3F"/>
    <w:rsid w:val="005C7DDB"/>
    <w:rsid w:val="005D08A7"/>
    <w:rsid w:val="005D1043"/>
    <w:rsid w:val="005D1ECD"/>
    <w:rsid w:val="005D26A0"/>
    <w:rsid w:val="005D2A21"/>
    <w:rsid w:val="005D2E43"/>
    <w:rsid w:val="005D3D63"/>
    <w:rsid w:val="005D5458"/>
    <w:rsid w:val="005D5A5E"/>
    <w:rsid w:val="005D5B26"/>
    <w:rsid w:val="005D5B4F"/>
    <w:rsid w:val="005D5BE6"/>
    <w:rsid w:val="005D5E63"/>
    <w:rsid w:val="005D61C3"/>
    <w:rsid w:val="005D676B"/>
    <w:rsid w:val="005D7F0F"/>
    <w:rsid w:val="005E0401"/>
    <w:rsid w:val="005E15A2"/>
    <w:rsid w:val="005E18FB"/>
    <w:rsid w:val="005E1932"/>
    <w:rsid w:val="005E1BD9"/>
    <w:rsid w:val="005E315A"/>
    <w:rsid w:val="005E37EA"/>
    <w:rsid w:val="005E3806"/>
    <w:rsid w:val="005E3DF3"/>
    <w:rsid w:val="005E43AE"/>
    <w:rsid w:val="005E62A0"/>
    <w:rsid w:val="005E6BE2"/>
    <w:rsid w:val="005E7D7C"/>
    <w:rsid w:val="005F00E9"/>
    <w:rsid w:val="005F0407"/>
    <w:rsid w:val="005F0F62"/>
    <w:rsid w:val="005F2C99"/>
    <w:rsid w:val="005F301A"/>
    <w:rsid w:val="005F339B"/>
    <w:rsid w:val="005F484E"/>
    <w:rsid w:val="005F4A2E"/>
    <w:rsid w:val="005F52DD"/>
    <w:rsid w:val="005F5C45"/>
    <w:rsid w:val="005F5C65"/>
    <w:rsid w:val="005F6303"/>
    <w:rsid w:val="005F6873"/>
    <w:rsid w:val="005F6926"/>
    <w:rsid w:val="005F6927"/>
    <w:rsid w:val="005F6B03"/>
    <w:rsid w:val="005F7054"/>
    <w:rsid w:val="005F77D7"/>
    <w:rsid w:val="005F7A63"/>
    <w:rsid w:val="006002A5"/>
    <w:rsid w:val="006004DD"/>
    <w:rsid w:val="006006C1"/>
    <w:rsid w:val="00600CC7"/>
    <w:rsid w:val="00600E83"/>
    <w:rsid w:val="00603695"/>
    <w:rsid w:val="00606E74"/>
    <w:rsid w:val="00606F2A"/>
    <w:rsid w:val="00607386"/>
    <w:rsid w:val="00607E5F"/>
    <w:rsid w:val="00611D9B"/>
    <w:rsid w:val="006161C6"/>
    <w:rsid w:val="0061620D"/>
    <w:rsid w:val="00616A48"/>
    <w:rsid w:val="006205A8"/>
    <w:rsid w:val="00620A80"/>
    <w:rsid w:val="00622737"/>
    <w:rsid w:val="006237FA"/>
    <w:rsid w:val="00624ACD"/>
    <w:rsid w:val="00624F77"/>
    <w:rsid w:val="00625362"/>
    <w:rsid w:val="00627452"/>
    <w:rsid w:val="006302A3"/>
    <w:rsid w:val="00630902"/>
    <w:rsid w:val="006323DD"/>
    <w:rsid w:val="006332CC"/>
    <w:rsid w:val="0063369F"/>
    <w:rsid w:val="00633E48"/>
    <w:rsid w:val="0063475F"/>
    <w:rsid w:val="006359E5"/>
    <w:rsid w:val="00636F91"/>
    <w:rsid w:val="00637050"/>
    <w:rsid w:val="00637169"/>
    <w:rsid w:val="00637288"/>
    <w:rsid w:val="00640957"/>
    <w:rsid w:val="00640D48"/>
    <w:rsid w:val="0064101F"/>
    <w:rsid w:val="00641CD7"/>
    <w:rsid w:val="0064372B"/>
    <w:rsid w:val="00643898"/>
    <w:rsid w:val="00645C05"/>
    <w:rsid w:val="006460A7"/>
    <w:rsid w:val="00646EBE"/>
    <w:rsid w:val="00647093"/>
    <w:rsid w:val="0064738B"/>
    <w:rsid w:val="00647CEB"/>
    <w:rsid w:val="00650314"/>
    <w:rsid w:val="006507F4"/>
    <w:rsid w:val="006520C0"/>
    <w:rsid w:val="006536BB"/>
    <w:rsid w:val="00656496"/>
    <w:rsid w:val="0066259C"/>
    <w:rsid w:val="00663A48"/>
    <w:rsid w:val="00664D07"/>
    <w:rsid w:val="00665CAE"/>
    <w:rsid w:val="00665DC9"/>
    <w:rsid w:val="00666BB7"/>
    <w:rsid w:val="00666D11"/>
    <w:rsid w:val="0066752E"/>
    <w:rsid w:val="00670683"/>
    <w:rsid w:val="00670F04"/>
    <w:rsid w:val="00671A93"/>
    <w:rsid w:val="0067330B"/>
    <w:rsid w:val="00673376"/>
    <w:rsid w:val="006736E2"/>
    <w:rsid w:val="00673D8A"/>
    <w:rsid w:val="00674271"/>
    <w:rsid w:val="00675056"/>
    <w:rsid w:val="006750E0"/>
    <w:rsid w:val="00676114"/>
    <w:rsid w:val="00676F67"/>
    <w:rsid w:val="00677108"/>
    <w:rsid w:val="00677889"/>
    <w:rsid w:val="00682B11"/>
    <w:rsid w:val="00683244"/>
    <w:rsid w:val="0068515A"/>
    <w:rsid w:val="00685A68"/>
    <w:rsid w:val="00686326"/>
    <w:rsid w:val="00687A37"/>
    <w:rsid w:val="0069073D"/>
    <w:rsid w:val="00692466"/>
    <w:rsid w:val="00693604"/>
    <w:rsid w:val="00694439"/>
    <w:rsid w:val="00694E48"/>
    <w:rsid w:val="00695F33"/>
    <w:rsid w:val="006976E4"/>
    <w:rsid w:val="006A09ED"/>
    <w:rsid w:val="006A1028"/>
    <w:rsid w:val="006A2CFF"/>
    <w:rsid w:val="006A3FF4"/>
    <w:rsid w:val="006A407E"/>
    <w:rsid w:val="006A5F76"/>
    <w:rsid w:val="006A673E"/>
    <w:rsid w:val="006B1FD6"/>
    <w:rsid w:val="006B287A"/>
    <w:rsid w:val="006B3279"/>
    <w:rsid w:val="006B3542"/>
    <w:rsid w:val="006B37D0"/>
    <w:rsid w:val="006B4E8E"/>
    <w:rsid w:val="006B63DE"/>
    <w:rsid w:val="006B645C"/>
    <w:rsid w:val="006B72D4"/>
    <w:rsid w:val="006B798E"/>
    <w:rsid w:val="006C0173"/>
    <w:rsid w:val="006C0E88"/>
    <w:rsid w:val="006C1265"/>
    <w:rsid w:val="006C1903"/>
    <w:rsid w:val="006C1954"/>
    <w:rsid w:val="006C2696"/>
    <w:rsid w:val="006C2FCC"/>
    <w:rsid w:val="006C3043"/>
    <w:rsid w:val="006C3254"/>
    <w:rsid w:val="006C4E59"/>
    <w:rsid w:val="006C6739"/>
    <w:rsid w:val="006C6871"/>
    <w:rsid w:val="006D17D4"/>
    <w:rsid w:val="006D1F4F"/>
    <w:rsid w:val="006D2E13"/>
    <w:rsid w:val="006D394C"/>
    <w:rsid w:val="006D561B"/>
    <w:rsid w:val="006D5C82"/>
    <w:rsid w:val="006D66CA"/>
    <w:rsid w:val="006D6702"/>
    <w:rsid w:val="006E075D"/>
    <w:rsid w:val="006E2362"/>
    <w:rsid w:val="006E24D0"/>
    <w:rsid w:val="006E2836"/>
    <w:rsid w:val="006E28A9"/>
    <w:rsid w:val="006E339B"/>
    <w:rsid w:val="006E51B1"/>
    <w:rsid w:val="006E6444"/>
    <w:rsid w:val="006E72C8"/>
    <w:rsid w:val="006F0D30"/>
    <w:rsid w:val="006F2AB3"/>
    <w:rsid w:val="006F399F"/>
    <w:rsid w:val="006F3A82"/>
    <w:rsid w:val="006F48EB"/>
    <w:rsid w:val="006F6EC5"/>
    <w:rsid w:val="006F7F09"/>
    <w:rsid w:val="00700AE1"/>
    <w:rsid w:val="00700E4E"/>
    <w:rsid w:val="007017BB"/>
    <w:rsid w:val="00702DCC"/>
    <w:rsid w:val="007033A2"/>
    <w:rsid w:val="00704DA7"/>
    <w:rsid w:val="00706644"/>
    <w:rsid w:val="00706D24"/>
    <w:rsid w:val="0070700C"/>
    <w:rsid w:val="00707095"/>
    <w:rsid w:val="00707CBE"/>
    <w:rsid w:val="0071108B"/>
    <w:rsid w:val="00711456"/>
    <w:rsid w:val="00711915"/>
    <w:rsid w:val="00712A61"/>
    <w:rsid w:val="00712EBC"/>
    <w:rsid w:val="00712EF9"/>
    <w:rsid w:val="0071334D"/>
    <w:rsid w:val="0071371F"/>
    <w:rsid w:val="007145E0"/>
    <w:rsid w:val="00716E44"/>
    <w:rsid w:val="007173C0"/>
    <w:rsid w:val="0072014B"/>
    <w:rsid w:val="007205D8"/>
    <w:rsid w:val="00720E47"/>
    <w:rsid w:val="00720E7C"/>
    <w:rsid w:val="00722215"/>
    <w:rsid w:val="00722883"/>
    <w:rsid w:val="00723426"/>
    <w:rsid w:val="0072372B"/>
    <w:rsid w:val="0072385F"/>
    <w:rsid w:val="0072460D"/>
    <w:rsid w:val="00724B3F"/>
    <w:rsid w:val="00724DD6"/>
    <w:rsid w:val="00725332"/>
    <w:rsid w:val="00725349"/>
    <w:rsid w:val="007257E3"/>
    <w:rsid w:val="00725E01"/>
    <w:rsid w:val="0072653D"/>
    <w:rsid w:val="0072748B"/>
    <w:rsid w:val="0072797C"/>
    <w:rsid w:val="00727BC8"/>
    <w:rsid w:val="007301DC"/>
    <w:rsid w:val="007314E5"/>
    <w:rsid w:val="00731C1C"/>
    <w:rsid w:val="00731DA5"/>
    <w:rsid w:val="007339BD"/>
    <w:rsid w:val="00735ADE"/>
    <w:rsid w:val="00735D7C"/>
    <w:rsid w:val="00736B89"/>
    <w:rsid w:val="0074000F"/>
    <w:rsid w:val="00743028"/>
    <w:rsid w:val="00747B6D"/>
    <w:rsid w:val="00747C01"/>
    <w:rsid w:val="00747DA3"/>
    <w:rsid w:val="00750552"/>
    <w:rsid w:val="00750DD3"/>
    <w:rsid w:val="00750F41"/>
    <w:rsid w:val="00753BA3"/>
    <w:rsid w:val="0075705A"/>
    <w:rsid w:val="00757AA4"/>
    <w:rsid w:val="00760FB8"/>
    <w:rsid w:val="00761625"/>
    <w:rsid w:val="00761F0B"/>
    <w:rsid w:val="0076202A"/>
    <w:rsid w:val="00763583"/>
    <w:rsid w:val="0076367B"/>
    <w:rsid w:val="0076402D"/>
    <w:rsid w:val="00764B2A"/>
    <w:rsid w:val="00766DDC"/>
    <w:rsid w:val="00771BA6"/>
    <w:rsid w:val="00771FE0"/>
    <w:rsid w:val="0077392C"/>
    <w:rsid w:val="00774AAD"/>
    <w:rsid w:val="00775204"/>
    <w:rsid w:val="007755DC"/>
    <w:rsid w:val="00775E01"/>
    <w:rsid w:val="00777A1A"/>
    <w:rsid w:val="00777E43"/>
    <w:rsid w:val="0078032B"/>
    <w:rsid w:val="007827BD"/>
    <w:rsid w:val="007828A6"/>
    <w:rsid w:val="007846B9"/>
    <w:rsid w:val="00784B70"/>
    <w:rsid w:val="00790F59"/>
    <w:rsid w:val="007913BC"/>
    <w:rsid w:val="00791C7B"/>
    <w:rsid w:val="00792FD4"/>
    <w:rsid w:val="00793D1C"/>
    <w:rsid w:val="00793E17"/>
    <w:rsid w:val="00794726"/>
    <w:rsid w:val="007954A9"/>
    <w:rsid w:val="0079610F"/>
    <w:rsid w:val="00797BF8"/>
    <w:rsid w:val="007A12BB"/>
    <w:rsid w:val="007A15C7"/>
    <w:rsid w:val="007A1C05"/>
    <w:rsid w:val="007A4577"/>
    <w:rsid w:val="007A6974"/>
    <w:rsid w:val="007A6D3B"/>
    <w:rsid w:val="007A6F90"/>
    <w:rsid w:val="007A7291"/>
    <w:rsid w:val="007B071B"/>
    <w:rsid w:val="007B0CBB"/>
    <w:rsid w:val="007B1101"/>
    <w:rsid w:val="007B1CF5"/>
    <w:rsid w:val="007B2651"/>
    <w:rsid w:val="007B2A72"/>
    <w:rsid w:val="007B34F3"/>
    <w:rsid w:val="007B3697"/>
    <w:rsid w:val="007B3AB6"/>
    <w:rsid w:val="007B3DF1"/>
    <w:rsid w:val="007B40ED"/>
    <w:rsid w:val="007B47BF"/>
    <w:rsid w:val="007B519F"/>
    <w:rsid w:val="007B5364"/>
    <w:rsid w:val="007B5695"/>
    <w:rsid w:val="007B5807"/>
    <w:rsid w:val="007B5EAC"/>
    <w:rsid w:val="007C121F"/>
    <w:rsid w:val="007C159E"/>
    <w:rsid w:val="007C287E"/>
    <w:rsid w:val="007C3DF0"/>
    <w:rsid w:val="007C4D13"/>
    <w:rsid w:val="007C4E10"/>
    <w:rsid w:val="007C542F"/>
    <w:rsid w:val="007C5671"/>
    <w:rsid w:val="007C58D1"/>
    <w:rsid w:val="007C5F30"/>
    <w:rsid w:val="007C7907"/>
    <w:rsid w:val="007D051E"/>
    <w:rsid w:val="007D138F"/>
    <w:rsid w:val="007D1A33"/>
    <w:rsid w:val="007D20B3"/>
    <w:rsid w:val="007D2A3C"/>
    <w:rsid w:val="007D31C4"/>
    <w:rsid w:val="007D4ACE"/>
    <w:rsid w:val="007D4C20"/>
    <w:rsid w:val="007D525A"/>
    <w:rsid w:val="007D53CB"/>
    <w:rsid w:val="007D614E"/>
    <w:rsid w:val="007D61C4"/>
    <w:rsid w:val="007D624C"/>
    <w:rsid w:val="007D71CC"/>
    <w:rsid w:val="007D724E"/>
    <w:rsid w:val="007E0115"/>
    <w:rsid w:val="007E04B2"/>
    <w:rsid w:val="007E1B1F"/>
    <w:rsid w:val="007E1E34"/>
    <w:rsid w:val="007E257C"/>
    <w:rsid w:val="007E3343"/>
    <w:rsid w:val="007E4C42"/>
    <w:rsid w:val="007E4C5A"/>
    <w:rsid w:val="007E50B5"/>
    <w:rsid w:val="007E64E3"/>
    <w:rsid w:val="007E75EF"/>
    <w:rsid w:val="007F0537"/>
    <w:rsid w:val="007F2920"/>
    <w:rsid w:val="007F2C43"/>
    <w:rsid w:val="007F3E75"/>
    <w:rsid w:val="007F3E9D"/>
    <w:rsid w:val="007F5304"/>
    <w:rsid w:val="007F633B"/>
    <w:rsid w:val="007F713E"/>
    <w:rsid w:val="00801D6E"/>
    <w:rsid w:val="008043C8"/>
    <w:rsid w:val="00804FC2"/>
    <w:rsid w:val="0080681D"/>
    <w:rsid w:val="00807506"/>
    <w:rsid w:val="0080771C"/>
    <w:rsid w:val="00807BA3"/>
    <w:rsid w:val="00810FA9"/>
    <w:rsid w:val="00810FEE"/>
    <w:rsid w:val="0081177F"/>
    <w:rsid w:val="00812064"/>
    <w:rsid w:val="008127A6"/>
    <w:rsid w:val="008127BF"/>
    <w:rsid w:val="00812C75"/>
    <w:rsid w:val="0081442C"/>
    <w:rsid w:val="008154C2"/>
    <w:rsid w:val="00815A46"/>
    <w:rsid w:val="0081620A"/>
    <w:rsid w:val="00816593"/>
    <w:rsid w:val="00816B0D"/>
    <w:rsid w:val="00822211"/>
    <w:rsid w:val="00822E23"/>
    <w:rsid w:val="00823609"/>
    <w:rsid w:val="008237EE"/>
    <w:rsid w:val="008258F8"/>
    <w:rsid w:val="00826B27"/>
    <w:rsid w:val="00826E85"/>
    <w:rsid w:val="008273E9"/>
    <w:rsid w:val="00830462"/>
    <w:rsid w:val="00831CD7"/>
    <w:rsid w:val="008320E4"/>
    <w:rsid w:val="008321BC"/>
    <w:rsid w:val="00833FBE"/>
    <w:rsid w:val="0083404B"/>
    <w:rsid w:val="00834BED"/>
    <w:rsid w:val="008367A8"/>
    <w:rsid w:val="0083701C"/>
    <w:rsid w:val="008401D1"/>
    <w:rsid w:val="008431FA"/>
    <w:rsid w:val="00845126"/>
    <w:rsid w:val="00846029"/>
    <w:rsid w:val="008469C5"/>
    <w:rsid w:val="00846AAB"/>
    <w:rsid w:val="008472A2"/>
    <w:rsid w:val="008477BE"/>
    <w:rsid w:val="00850318"/>
    <w:rsid w:val="00850451"/>
    <w:rsid w:val="00850606"/>
    <w:rsid w:val="00850FB6"/>
    <w:rsid w:val="00850FC4"/>
    <w:rsid w:val="00851308"/>
    <w:rsid w:val="0085252F"/>
    <w:rsid w:val="00854C99"/>
    <w:rsid w:val="008568E7"/>
    <w:rsid w:val="008603B4"/>
    <w:rsid w:val="00861489"/>
    <w:rsid w:val="0086165C"/>
    <w:rsid w:val="008651BC"/>
    <w:rsid w:val="00865259"/>
    <w:rsid w:val="00866434"/>
    <w:rsid w:val="00870AAF"/>
    <w:rsid w:val="008732FB"/>
    <w:rsid w:val="00873420"/>
    <w:rsid w:val="008755D5"/>
    <w:rsid w:val="00876128"/>
    <w:rsid w:val="00876730"/>
    <w:rsid w:val="00876A18"/>
    <w:rsid w:val="00877005"/>
    <w:rsid w:val="00877562"/>
    <w:rsid w:val="00881BE0"/>
    <w:rsid w:val="00882A46"/>
    <w:rsid w:val="00882CBC"/>
    <w:rsid w:val="00882D22"/>
    <w:rsid w:val="008835CC"/>
    <w:rsid w:val="0088618C"/>
    <w:rsid w:val="008866C8"/>
    <w:rsid w:val="00890180"/>
    <w:rsid w:val="008901CF"/>
    <w:rsid w:val="00890DE9"/>
    <w:rsid w:val="00891182"/>
    <w:rsid w:val="0089134C"/>
    <w:rsid w:val="00891BC2"/>
    <w:rsid w:val="00891CDD"/>
    <w:rsid w:val="008920CD"/>
    <w:rsid w:val="00892487"/>
    <w:rsid w:val="00892A98"/>
    <w:rsid w:val="00892D10"/>
    <w:rsid w:val="008930E7"/>
    <w:rsid w:val="00893DC2"/>
    <w:rsid w:val="00894BAD"/>
    <w:rsid w:val="0089604E"/>
    <w:rsid w:val="008972FF"/>
    <w:rsid w:val="00897745"/>
    <w:rsid w:val="00897BD1"/>
    <w:rsid w:val="00897F5E"/>
    <w:rsid w:val="008A0735"/>
    <w:rsid w:val="008A18C5"/>
    <w:rsid w:val="008A1E2E"/>
    <w:rsid w:val="008A2EC1"/>
    <w:rsid w:val="008A31C7"/>
    <w:rsid w:val="008A398E"/>
    <w:rsid w:val="008A3A15"/>
    <w:rsid w:val="008A3FB2"/>
    <w:rsid w:val="008A4D5C"/>
    <w:rsid w:val="008A4E21"/>
    <w:rsid w:val="008A5F04"/>
    <w:rsid w:val="008A73BF"/>
    <w:rsid w:val="008B134E"/>
    <w:rsid w:val="008B1E88"/>
    <w:rsid w:val="008B461C"/>
    <w:rsid w:val="008B4F75"/>
    <w:rsid w:val="008B5FBF"/>
    <w:rsid w:val="008B713C"/>
    <w:rsid w:val="008B7556"/>
    <w:rsid w:val="008B7B5A"/>
    <w:rsid w:val="008C1054"/>
    <w:rsid w:val="008C1389"/>
    <w:rsid w:val="008C16D8"/>
    <w:rsid w:val="008C18E1"/>
    <w:rsid w:val="008C2635"/>
    <w:rsid w:val="008C268E"/>
    <w:rsid w:val="008C2FB5"/>
    <w:rsid w:val="008C3A2B"/>
    <w:rsid w:val="008C4A97"/>
    <w:rsid w:val="008C5696"/>
    <w:rsid w:val="008C6C0F"/>
    <w:rsid w:val="008C727C"/>
    <w:rsid w:val="008D1278"/>
    <w:rsid w:val="008D162A"/>
    <w:rsid w:val="008D18CB"/>
    <w:rsid w:val="008D1B51"/>
    <w:rsid w:val="008D2A94"/>
    <w:rsid w:val="008D31D2"/>
    <w:rsid w:val="008D552D"/>
    <w:rsid w:val="008D58DB"/>
    <w:rsid w:val="008D6A10"/>
    <w:rsid w:val="008D7020"/>
    <w:rsid w:val="008D798D"/>
    <w:rsid w:val="008D7CB7"/>
    <w:rsid w:val="008D7D11"/>
    <w:rsid w:val="008E0638"/>
    <w:rsid w:val="008E2792"/>
    <w:rsid w:val="008E27D2"/>
    <w:rsid w:val="008E5733"/>
    <w:rsid w:val="008E57EE"/>
    <w:rsid w:val="008E6CDB"/>
    <w:rsid w:val="008E6F68"/>
    <w:rsid w:val="008F0174"/>
    <w:rsid w:val="008F204C"/>
    <w:rsid w:val="008F2393"/>
    <w:rsid w:val="008F409C"/>
    <w:rsid w:val="008F4956"/>
    <w:rsid w:val="008F5CC0"/>
    <w:rsid w:val="008F640A"/>
    <w:rsid w:val="008F7DA4"/>
    <w:rsid w:val="0090191F"/>
    <w:rsid w:val="00902B58"/>
    <w:rsid w:val="009039D0"/>
    <w:rsid w:val="00905026"/>
    <w:rsid w:val="00905960"/>
    <w:rsid w:val="00905AF4"/>
    <w:rsid w:val="00906245"/>
    <w:rsid w:val="00906451"/>
    <w:rsid w:val="00906A35"/>
    <w:rsid w:val="00906D83"/>
    <w:rsid w:val="00907E2A"/>
    <w:rsid w:val="009115D0"/>
    <w:rsid w:val="00911DEA"/>
    <w:rsid w:val="009127AF"/>
    <w:rsid w:val="00912AF9"/>
    <w:rsid w:val="00912DE1"/>
    <w:rsid w:val="0091314C"/>
    <w:rsid w:val="00913E8C"/>
    <w:rsid w:val="00915B68"/>
    <w:rsid w:val="00915DBB"/>
    <w:rsid w:val="00915F36"/>
    <w:rsid w:val="00915F4F"/>
    <w:rsid w:val="00916AA2"/>
    <w:rsid w:val="009209CF"/>
    <w:rsid w:val="00920B22"/>
    <w:rsid w:val="00920DE7"/>
    <w:rsid w:val="00922D16"/>
    <w:rsid w:val="00923629"/>
    <w:rsid w:val="00923CB2"/>
    <w:rsid w:val="00924291"/>
    <w:rsid w:val="00924338"/>
    <w:rsid w:val="009244DB"/>
    <w:rsid w:val="009250C6"/>
    <w:rsid w:val="009255F1"/>
    <w:rsid w:val="009265E2"/>
    <w:rsid w:val="0092662C"/>
    <w:rsid w:val="00926B5A"/>
    <w:rsid w:val="00927D7C"/>
    <w:rsid w:val="00930A57"/>
    <w:rsid w:val="00930AEC"/>
    <w:rsid w:val="0093161F"/>
    <w:rsid w:val="009328AD"/>
    <w:rsid w:val="0093306D"/>
    <w:rsid w:val="009339BC"/>
    <w:rsid w:val="0093433C"/>
    <w:rsid w:val="00934971"/>
    <w:rsid w:val="00936D4A"/>
    <w:rsid w:val="009377E4"/>
    <w:rsid w:val="009403BA"/>
    <w:rsid w:val="009416D9"/>
    <w:rsid w:val="0094173B"/>
    <w:rsid w:val="00942D49"/>
    <w:rsid w:val="00943350"/>
    <w:rsid w:val="009441C3"/>
    <w:rsid w:val="00945282"/>
    <w:rsid w:val="009465C5"/>
    <w:rsid w:val="009465DC"/>
    <w:rsid w:val="00947508"/>
    <w:rsid w:val="009502E5"/>
    <w:rsid w:val="00951B9F"/>
    <w:rsid w:val="00951F08"/>
    <w:rsid w:val="009526F8"/>
    <w:rsid w:val="00953AF0"/>
    <w:rsid w:val="00953EDD"/>
    <w:rsid w:val="00956246"/>
    <w:rsid w:val="00956AF9"/>
    <w:rsid w:val="0095731C"/>
    <w:rsid w:val="00960033"/>
    <w:rsid w:val="0096017B"/>
    <w:rsid w:val="009608ED"/>
    <w:rsid w:val="00960EC1"/>
    <w:rsid w:val="00960F41"/>
    <w:rsid w:val="00962264"/>
    <w:rsid w:val="00963C5C"/>
    <w:rsid w:val="0096406A"/>
    <w:rsid w:val="0096470E"/>
    <w:rsid w:val="00964F90"/>
    <w:rsid w:val="009657E2"/>
    <w:rsid w:val="00965B6E"/>
    <w:rsid w:val="0096724A"/>
    <w:rsid w:val="00967762"/>
    <w:rsid w:val="00967937"/>
    <w:rsid w:val="00970AF1"/>
    <w:rsid w:val="00970D06"/>
    <w:rsid w:val="009719D6"/>
    <w:rsid w:val="00971E50"/>
    <w:rsid w:val="0097228F"/>
    <w:rsid w:val="00972350"/>
    <w:rsid w:val="0097297E"/>
    <w:rsid w:val="00972E43"/>
    <w:rsid w:val="009730F6"/>
    <w:rsid w:val="00973ADC"/>
    <w:rsid w:val="00974CAA"/>
    <w:rsid w:val="0097638E"/>
    <w:rsid w:val="0097683B"/>
    <w:rsid w:val="00976CD9"/>
    <w:rsid w:val="0097704A"/>
    <w:rsid w:val="00980325"/>
    <w:rsid w:val="00981B44"/>
    <w:rsid w:val="00982FAF"/>
    <w:rsid w:val="0098385F"/>
    <w:rsid w:val="00983910"/>
    <w:rsid w:val="00983CC3"/>
    <w:rsid w:val="009856FC"/>
    <w:rsid w:val="00985B57"/>
    <w:rsid w:val="009868C5"/>
    <w:rsid w:val="00986FC5"/>
    <w:rsid w:val="0098706D"/>
    <w:rsid w:val="00990273"/>
    <w:rsid w:val="00991048"/>
    <w:rsid w:val="00992B69"/>
    <w:rsid w:val="0099363C"/>
    <w:rsid w:val="00994714"/>
    <w:rsid w:val="0099486A"/>
    <w:rsid w:val="00996334"/>
    <w:rsid w:val="009966BB"/>
    <w:rsid w:val="00996FC6"/>
    <w:rsid w:val="00997767"/>
    <w:rsid w:val="009979CF"/>
    <w:rsid w:val="009A0794"/>
    <w:rsid w:val="009A14B7"/>
    <w:rsid w:val="009A1A28"/>
    <w:rsid w:val="009A263D"/>
    <w:rsid w:val="009A293F"/>
    <w:rsid w:val="009A3CCD"/>
    <w:rsid w:val="009A437D"/>
    <w:rsid w:val="009A4BBB"/>
    <w:rsid w:val="009A4C7C"/>
    <w:rsid w:val="009A6CF5"/>
    <w:rsid w:val="009A6ED0"/>
    <w:rsid w:val="009B0448"/>
    <w:rsid w:val="009B1046"/>
    <w:rsid w:val="009B1478"/>
    <w:rsid w:val="009B1AC5"/>
    <w:rsid w:val="009B1F16"/>
    <w:rsid w:val="009B1F48"/>
    <w:rsid w:val="009B2507"/>
    <w:rsid w:val="009B2CFA"/>
    <w:rsid w:val="009B2CFC"/>
    <w:rsid w:val="009B2E33"/>
    <w:rsid w:val="009B501F"/>
    <w:rsid w:val="009B5142"/>
    <w:rsid w:val="009B679B"/>
    <w:rsid w:val="009B7332"/>
    <w:rsid w:val="009B77EE"/>
    <w:rsid w:val="009B7AED"/>
    <w:rsid w:val="009C012F"/>
    <w:rsid w:val="009C0CA8"/>
    <w:rsid w:val="009C17D1"/>
    <w:rsid w:val="009C1955"/>
    <w:rsid w:val="009C3793"/>
    <w:rsid w:val="009C37C0"/>
    <w:rsid w:val="009C4528"/>
    <w:rsid w:val="009C48D6"/>
    <w:rsid w:val="009C64A0"/>
    <w:rsid w:val="009C6CB3"/>
    <w:rsid w:val="009C7D59"/>
    <w:rsid w:val="009C7DDE"/>
    <w:rsid w:val="009D1E53"/>
    <w:rsid w:val="009D3567"/>
    <w:rsid w:val="009D3F88"/>
    <w:rsid w:val="009D417F"/>
    <w:rsid w:val="009D4343"/>
    <w:rsid w:val="009D5AC3"/>
    <w:rsid w:val="009D5F92"/>
    <w:rsid w:val="009D69AB"/>
    <w:rsid w:val="009D6DB5"/>
    <w:rsid w:val="009D75DE"/>
    <w:rsid w:val="009D7C6C"/>
    <w:rsid w:val="009E041D"/>
    <w:rsid w:val="009E04DE"/>
    <w:rsid w:val="009E1824"/>
    <w:rsid w:val="009E1C5C"/>
    <w:rsid w:val="009E2D28"/>
    <w:rsid w:val="009E2DCC"/>
    <w:rsid w:val="009E3767"/>
    <w:rsid w:val="009E3B07"/>
    <w:rsid w:val="009E44BA"/>
    <w:rsid w:val="009E56E0"/>
    <w:rsid w:val="009E5D68"/>
    <w:rsid w:val="009E6174"/>
    <w:rsid w:val="009E62F4"/>
    <w:rsid w:val="009E6D87"/>
    <w:rsid w:val="009F03DE"/>
    <w:rsid w:val="009F2681"/>
    <w:rsid w:val="009F2E63"/>
    <w:rsid w:val="009F3399"/>
    <w:rsid w:val="009F369B"/>
    <w:rsid w:val="009F39EB"/>
    <w:rsid w:val="009F41AB"/>
    <w:rsid w:val="009F5FAD"/>
    <w:rsid w:val="009F5FCB"/>
    <w:rsid w:val="00A00732"/>
    <w:rsid w:val="00A00B45"/>
    <w:rsid w:val="00A0179F"/>
    <w:rsid w:val="00A018FD"/>
    <w:rsid w:val="00A020EF"/>
    <w:rsid w:val="00A036E2"/>
    <w:rsid w:val="00A03AC6"/>
    <w:rsid w:val="00A03EF7"/>
    <w:rsid w:val="00A057F4"/>
    <w:rsid w:val="00A06F61"/>
    <w:rsid w:val="00A101D6"/>
    <w:rsid w:val="00A10CB6"/>
    <w:rsid w:val="00A10E2A"/>
    <w:rsid w:val="00A114C6"/>
    <w:rsid w:val="00A121CF"/>
    <w:rsid w:val="00A12EFF"/>
    <w:rsid w:val="00A141A0"/>
    <w:rsid w:val="00A14CEC"/>
    <w:rsid w:val="00A15314"/>
    <w:rsid w:val="00A154E9"/>
    <w:rsid w:val="00A15F8F"/>
    <w:rsid w:val="00A20567"/>
    <w:rsid w:val="00A20596"/>
    <w:rsid w:val="00A20DA6"/>
    <w:rsid w:val="00A21633"/>
    <w:rsid w:val="00A2186C"/>
    <w:rsid w:val="00A22577"/>
    <w:rsid w:val="00A22A61"/>
    <w:rsid w:val="00A243EF"/>
    <w:rsid w:val="00A24434"/>
    <w:rsid w:val="00A247F5"/>
    <w:rsid w:val="00A2690A"/>
    <w:rsid w:val="00A273EB"/>
    <w:rsid w:val="00A30803"/>
    <w:rsid w:val="00A3083B"/>
    <w:rsid w:val="00A32B7F"/>
    <w:rsid w:val="00A33143"/>
    <w:rsid w:val="00A334D5"/>
    <w:rsid w:val="00A33BC0"/>
    <w:rsid w:val="00A346BF"/>
    <w:rsid w:val="00A3681B"/>
    <w:rsid w:val="00A36A2F"/>
    <w:rsid w:val="00A379EA"/>
    <w:rsid w:val="00A430E2"/>
    <w:rsid w:val="00A43A2D"/>
    <w:rsid w:val="00A43F97"/>
    <w:rsid w:val="00A4561E"/>
    <w:rsid w:val="00A456E2"/>
    <w:rsid w:val="00A460F0"/>
    <w:rsid w:val="00A462DA"/>
    <w:rsid w:val="00A469F0"/>
    <w:rsid w:val="00A4712A"/>
    <w:rsid w:val="00A474EA"/>
    <w:rsid w:val="00A475EA"/>
    <w:rsid w:val="00A51701"/>
    <w:rsid w:val="00A52425"/>
    <w:rsid w:val="00A52845"/>
    <w:rsid w:val="00A55343"/>
    <w:rsid w:val="00A56A9D"/>
    <w:rsid w:val="00A6310B"/>
    <w:rsid w:val="00A63DB6"/>
    <w:rsid w:val="00A64D64"/>
    <w:rsid w:val="00A6566E"/>
    <w:rsid w:val="00A65DBC"/>
    <w:rsid w:val="00A6678A"/>
    <w:rsid w:val="00A66B16"/>
    <w:rsid w:val="00A70041"/>
    <w:rsid w:val="00A70140"/>
    <w:rsid w:val="00A71925"/>
    <w:rsid w:val="00A719CD"/>
    <w:rsid w:val="00A72670"/>
    <w:rsid w:val="00A750D4"/>
    <w:rsid w:val="00A75A8E"/>
    <w:rsid w:val="00A76B09"/>
    <w:rsid w:val="00A7743E"/>
    <w:rsid w:val="00A80217"/>
    <w:rsid w:val="00A817E1"/>
    <w:rsid w:val="00A82E43"/>
    <w:rsid w:val="00A83516"/>
    <w:rsid w:val="00A850BE"/>
    <w:rsid w:val="00A85AFF"/>
    <w:rsid w:val="00A8665E"/>
    <w:rsid w:val="00A86EE5"/>
    <w:rsid w:val="00A87090"/>
    <w:rsid w:val="00A9051D"/>
    <w:rsid w:val="00A90B61"/>
    <w:rsid w:val="00A90B67"/>
    <w:rsid w:val="00A91574"/>
    <w:rsid w:val="00A92D18"/>
    <w:rsid w:val="00A93B95"/>
    <w:rsid w:val="00A93FB8"/>
    <w:rsid w:val="00A94EED"/>
    <w:rsid w:val="00A95AD6"/>
    <w:rsid w:val="00A96F51"/>
    <w:rsid w:val="00AA0337"/>
    <w:rsid w:val="00AA07E4"/>
    <w:rsid w:val="00AA1773"/>
    <w:rsid w:val="00AA1D82"/>
    <w:rsid w:val="00AA2586"/>
    <w:rsid w:val="00AA46FA"/>
    <w:rsid w:val="00AA57C3"/>
    <w:rsid w:val="00AA5BAC"/>
    <w:rsid w:val="00AA5E93"/>
    <w:rsid w:val="00AA612E"/>
    <w:rsid w:val="00AA7F3F"/>
    <w:rsid w:val="00AB00BC"/>
    <w:rsid w:val="00AB0445"/>
    <w:rsid w:val="00AB1624"/>
    <w:rsid w:val="00AB1C78"/>
    <w:rsid w:val="00AB2A6C"/>
    <w:rsid w:val="00AB2AFF"/>
    <w:rsid w:val="00AB2B65"/>
    <w:rsid w:val="00AB2BC4"/>
    <w:rsid w:val="00AB365D"/>
    <w:rsid w:val="00AB380D"/>
    <w:rsid w:val="00AB39B2"/>
    <w:rsid w:val="00AB44EB"/>
    <w:rsid w:val="00AB477F"/>
    <w:rsid w:val="00AB5243"/>
    <w:rsid w:val="00AB60D9"/>
    <w:rsid w:val="00AB664F"/>
    <w:rsid w:val="00AB7134"/>
    <w:rsid w:val="00AC1C6E"/>
    <w:rsid w:val="00AC3C1B"/>
    <w:rsid w:val="00AC4B08"/>
    <w:rsid w:val="00AC56E1"/>
    <w:rsid w:val="00AC7E46"/>
    <w:rsid w:val="00AC7E5C"/>
    <w:rsid w:val="00AD034D"/>
    <w:rsid w:val="00AD1302"/>
    <w:rsid w:val="00AD165A"/>
    <w:rsid w:val="00AD1868"/>
    <w:rsid w:val="00AD28C4"/>
    <w:rsid w:val="00AD3FAE"/>
    <w:rsid w:val="00AD5AD4"/>
    <w:rsid w:val="00AD7357"/>
    <w:rsid w:val="00AD7E90"/>
    <w:rsid w:val="00AE1157"/>
    <w:rsid w:val="00AE21DF"/>
    <w:rsid w:val="00AE29EF"/>
    <w:rsid w:val="00AE2B8A"/>
    <w:rsid w:val="00AE2C23"/>
    <w:rsid w:val="00AE4169"/>
    <w:rsid w:val="00AE4A36"/>
    <w:rsid w:val="00AF02C9"/>
    <w:rsid w:val="00AF12DA"/>
    <w:rsid w:val="00AF1ACF"/>
    <w:rsid w:val="00AF29A0"/>
    <w:rsid w:val="00AF2A50"/>
    <w:rsid w:val="00AF2A76"/>
    <w:rsid w:val="00AF425A"/>
    <w:rsid w:val="00AF48B9"/>
    <w:rsid w:val="00AF5F0A"/>
    <w:rsid w:val="00AF65F1"/>
    <w:rsid w:val="00AF7596"/>
    <w:rsid w:val="00B0122B"/>
    <w:rsid w:val="00B01898"/>
    <w:rsid w:val="00B02195"/>
    <w:rsid w:val="00B02EB5"/>
    <w:rsid w:val="00B03E9F"/>
    <w:rsid w:val="00B04076"/>
    <w:rsid w:val="00B049FB"/>
    <w:rsid w:val="00B04BFE"/>
    <w:rsid w:val="00B05CB5"/>
    <w:rsid w:val="00B062B3"/>
    <w:rsid w:val="00B06DBA"/>
    <w:rsid w:val="00B07413"/>
    <w:rsid w:val="00B07607"/>
    <w:rsid w:val="00B07E36"/>
    <w:rsid w:val="00B10411"/>
    <w:rsid w:val="00B1060B"/>
    <w:rsid w:val="00B1066C"/>
    <w:rsid w:val="00B10C4B"/>
    <w:rsid w:val="00B10CF6"/>
    <w:rsid w:val="00B110A8"/>
    <w:rsid w:val="00B11501"/>
    <w:rsid w:val="00B11A5F"/>
    <w:rsid w:val="00B12713"/>
    <w:rsid w:val="00B1447E"/>
    <w:rsid w:val="00B1528E"/>
    <w:rsid w:val="00B16E05"/>
    <w:rsid w:val="00B17716"/>
    <w:rsid w:val="00B17DBD"/>
    <w:rsid w:val="00B20254"/>
    <w:rsid w:val="00B20940"/>
    <w:rsid w:val="00B21DEE"/>
    <w:rsid w:val="00B21E0C"/>
    <w:rsid w:val="00B234BB"/>
    <w:rsid w:val="00B23876"/>
    <w:rsid w:val="00B241DC"/>
    <w:rsid w:val="00B27177"/>
    <w:rsid w:val="00B27546"/>
    <w:rsid w:val="00B30162"/>
    <w:rsid w:val="00B31779"/>
    <w:rsid w:val="00B31955"/>
    <w:rsid w:val="00B33732"/>
    <w:rsid w:val="00B3519E"/>
    <w:rsid w:val="00B353CD"/>
    <w:rsid w:val="00B35AD2"/>
    <w:rsid w:val="00B35D92"/>
    <w:rsid w:val="00B35FC9"/>
    <w:rsid w:val="00B361DD"/>
    <w:rsid w:val="00B36A4F"/>
    <w:rsid w:val="00B36E45"/>
    <w:rsid w:val="00B40A03"/>
    <w:rsid w:val="00B42244"/>
    <w:rsid w:val="00B43E0A"/>
    <w:rsid w:val="00B43E5C"/>
    <w:rsid w:val="00B44C49"/>
    <w:rsid w:val="00B46034"/>
    <w:rsid w:val="00B46183"/>
    <w:rsid w:val="00B46B84"/>
    <w:rsid w:val="00B476C4"/>
    <w:rsid w:val="00B4799F"/>
    <w:rsid w:val="00B5071D"/>
    <w:rsid w:val="00B5237E"/>
    <w:rsid w:val="00B53694"/>
    <w:rsid w:val="00B55936"/>
    <w:rsid w:val="00B56451"/>
    <w:rsid w:val="00B5676A"/>
    <w:rsid w:val="00B57317"/>
    <w:rsid w:val="00B6088D"/>
    <w:rsid w:val="00B61620"/>
    <w:rsid w:val="00B637F0"/>
    <w:rsid w:val="00B63B8A"/>
    <w:rsid w:val="00B65341"/>
    <w:rsid w:val="00B66CE0"/>
    <w:rsid w:val="00B67E8C"/>
    <w:rsid w:val="00B70C40"/>
    <w:rsid w:val="00B7166B"/>
    <w:rsid w:val="00B71D6E"/>
    <w:rsid w:val="00B71F14"/>
    <w:rsid w:val="00B7339D"/>
    <w:rsid w:val="00B74634"/>
    <w:rsid w:val="00B746EC"/>
    <w:rsid w:val="00B75395"/>
    <w:rsid w:val="00B75966"/>
    <w:rsid w:val="00B77026"/>
    <w:rsid w:val="00B772C4"/>
    <w:rsid w:val="00B82987"/>
    <w:rsid w:val="00B83320"/>
    <w:rsid w:val="00B83BE8"/>
    <w:rsid w:val="00B85E69"/>
    <w:rsid w:val="00B87BAB"/>
    <w:rsid w:val="00B90361"/>
    <w:rsid w:val="00B903E9"/>
    <w:rsid w:val="00B905EF"/>
    <w:rsid w:val="00B951D7"/>
    <w:rsid w:val="00B95F45"/>
    <w:rsid w:val="00B96AE8"/>
    <w:rsid w:val="00B97BF6"/>
    <w:rsid w:val="00BA0144"/>
    <w:rsid w:val="00BA0934"/>
    <w:rsid w:val="00BA250A"/>
    <w:rsid w:val="00BA4879"/>
    <w:rsid w:val="00BA5A40"/>
    <w:rsid w:val="00BA656E"/>
    <w:rsid w:val="00BA7409"/>
    <w:rsid w:val="00BB0F2C"/>
    <w:rsid w:val="00BB2F8A"/>
    <w:rsid w:val="00BB3AAA"/>
    <w:rsid w:val="00BB4012"/>
    <w:rsid w:val="00BB4542"/>
    <w:rsid w:val="00BB5C91"/>
    <w:rsid w:val="00BB6760"/>
    <w:rsid w:val="00BB70EF"/>
    <w:rsid w:val="00BC13FF"/>
    <w:rsid w:val="00BC1641"/>
    <w:rsid w:val="00BC3A7E"/>
    <w:rsid w:val="00BC5CFA"/>
    <w:rsid w:val="00BC715B"/>
    <w:rsid w:val="00BC721A"/>
    <w:rsid w:val="00BC7BF6"/>
    <w:rsid w:val="00BD04A3"/>
    <w:rsid w:val="00BD1850"/>
    <w:rsid w:val="00BD27BB"/>
    <w:rsid w:val="00BD2959"/>
    <w:rsid w:val="00BD2B12"/>
    <w:rsid w:val="00BD2FB4"/>
    <w:rsid w:val="00BD37BA"/>
    <w:rsid w:val="00BD3977"/>
    <w:rsid w:val="00BD3BBA"/>
    <w:rsid w:val="00BD5C4D"/>
    <w:rsid w:val="00BD5DCD"/>
    <w:rsid w:val="00BD5F64"/>
    <w:rsid w:val="00BE1EC6"/>
    <w:rsid w:val="00BE293B"/>
    <w:rsid w:val="00BE341E"/>
    <w:rsid w:val="00BE3D65"/>
    <w:rsid w:val="00BE517A"/>
    <w:rsid w:val="00BE7659"/>
    <w:rsid w:val="00BF105F"/>
    <w:rsid w:val="00BF1F03"/>
    <w:rsid w:val="00BF2734"/>
    <w:rsid w:val="00BF54C7"/>
    <w:rsid w:val="00BF6026"/>
    <w:rsid w:val="00BF6B75"/>
    <w:rsid w:val="00BF6DA3"/>
    <w:rsid w:val="00C00863"/>
    <w:rsid w:val="00C00E17"/>
    <w:rsid w:val="00C016E3"/>
    <w:rsid w:val="00C02A98"/>
    <w:rsid w:val="00C03D10"/>
    <w:rsid w:val="00C04588"/>
    <w:rsid w:val="00C048AF"/>
    <w:rsid w:val="00C04F3B"/>
    <w:rsid w:val="00C0567A"/>
    <w:rsid w:val="00C10505"/>
    <w:rsid w:val="00C10E7B"/>
    <w:rsid w:val="00C11397"/>
    <w:rsid w:val="00C12880"/>
    <w:rsid w:val="00C12A22"/>
    <w:rsid w:val="00C13DB2"/>
    <w:rsid w:val="00C145F1"/>
    <w:rsid w:val="00C15410"/>
    <w:rsid w:val="00C15703"/>
    <w:rsid w:val="00C15A51"/>
    <w:rsid w:val="00C178A8"/>
    <w:rsid w:val="00C2276C"/>
    <w:rsid w:val="00C228FC"/>
    <w:rsid w:val="00C22AA6"/>
    <w:rsid w:val="00C237D4"/>
    <w:rsid w:val="00C23DEA"/>
    <w:rsid w:val="00C23E1A"/>
    <w:rsid w:val="00C245ED"/>
    <w:rsid w:val="00C26F8E"/>
    <w:rsid w:val="00C27582"/>
    <w:rsid w:val="00C27716"/>
    <w:rsid w:val="00C27BF9"/>
    <w:rsid w:val="00C306CE"/>
    <w:rsid w:val="00C30D2A"/>
    <w:rsid w:val="00C33D57"/>
    <w:rsid w:val="00C353E4"/>
    <w:rsid w:val="00C35848"/>
    <w:rsid w:val="00C35E62"/>
    <w:rsid w:val="00C368CF"/>
    <w:rsid w:val="00C36A36"/>
    <w:rsid w:val="00C36F85"/>
    <w:rsid w:val="00C37AFD"/>
    <w:rsid w:val="00C40ABE"/>
    <w:rsid w:val="00C4116C"/>
    <w:rsid w:val="00C411D2"/>
    <w:rsid w:val="00C41619"/>
    <w:rsid w:val="00C420BA"/>
    <w:rsid w:val="00C42609"/>
    <w:rsid w:val="00C440A3"/>
    <w:rsid w:val="00C44E18"/>
    <w:rsid w:val="00C460C6"/>
    <w:rsid w:val="00C4650D"/>
    <w:rsid w:val="00C46DCA"/>
    <w:rsid w:val="00C47A56"/>
    <w:rsid w:val="00C47A8E"/>
    <w:rsid w:val="00C47E5D"/>
    <w:rsid w:val="00C47EF7"/>
    <w:rsid w:val="00C52708"/>
    <w:rsid w:val="00C537E0"/>
    <w:rsid w:val="00C53AED"/>
    <w:rsid w:val="00C54161"/>
    <w:rsid w:val="00C5499F"/>
    <w:rsid w:val="00C56197"/>
    <w:rsid w:val="00C565D9"/>
    <w:rsid w:val="00C5666A"/>
    <w:rsid w:val="00C56AC8"/>
    <w:rsid w:val="00C579F8"/>
    <w:rsid w:val="00C604EB"/>
    <w:rsid w:val="00C60E14"/>
    <w:rsid w:val="00C61721"/>
    <w:rsid w:val="00C61BCB"/>
    <w:rsid w:val="00C62860"/>
    <w:rsid w:val="00C63331"/>
    <w:rsid w:val="00C64CFF"/>
    <w:rsid w:val="00C66400"/>
    <w:rsid w:val="00C70088"/>
    <w:rsid w:val="00C705B3"/>
    <w:rsid w:val="00C70B8E"/>
    <w:rsid w:val="00C71C9E"/>
    <w:rsid w:val="00C71EC7"/>
    <w:rsid w:val="00C739D0"/>
    <w:rsid w:val="00C73E27"/>
    <w:rsid w:val="00C7435F"/>
    <w:rsid w:val="00C74CDD"/>
    <w:rsid w:val="00C75869"/>
    <w:rsid w:val="00C75C7F"/>
    <w:rsid w:val="00C777BC"/>
    <w:rsid w:val="00C77EE5"/>
    <w:rsid w:val="00C80604"/>
    <w:rsid w:val="00C8124A"/>
    <w:rsid w:val="00C82D6D"/>
    <w:rsid w:val="00C854D6"/>
    <w:rsid w:val="00C85731"/>
    <w:rsid w:val="00C86965"/>
    <w:rsid w:val="00C86A07"/>
    <w:rsid w:val="00C875C1"/>
    <w:rsid w:val="00C876C3"/>
    <w:rsid w:val="00C9043C"/>
    <w:rsid w:val="00C904FD"/>
    <w:rsid w:val="00C907B0"/>
    <w:rsid w:val="00C908A5"/>
    <w:rsid w:val="00C92CC4"/>
    <w:rsid w:val="00C93CAD"/>
    <w:rsid w:val="00C93E53"/>
    <w:rsid w:val="00C95304"/>
    <w:rsid w:val="00C95DB7"/>
    <w:rsid w:val="00C960B4"/>
    <w:rsid w:val="00C961FB"/>
    <w:rsid w:val="00C96425"/>
    <w:rsid w:val="00C96F7D"/>
    <w:rsid w:val="00C973E2"/>
    <w:rsid w:val="00C97AEA"/>
    <w:rsid w:val="00CA02BD"/>
    <w:rsid w:val="00CA1109"/>
    <w:rsid w:val="00CA12C6"/>
    <w:rsid w:val="00CA1D08"/>
    <w:rsid w:val="00CA2E0D"/>
    <w:rsid w:val="00CA3060"/>
    <w:rsid w:val="00CA4568"/>
    <w:rsid w:val="00CA4B6F"/>
    <w:rsid w:val="00CA5F18"/>
    <w:rsid w:val="00CA6585"/>
    <w:rsid w:val="00CB080F"/>
    <w:rsid w:val="00CB217D"/>
    <w:rsid w:val="00CB4003"/>
    <w:rsid w:val="00CB6311"/>
    <w:rsid w:val="00CB64A0"/>
    <w:rsid w:val="00CC031F"/>
    <w:rsid w:val="00CC0884"/>
    <w:rsid w:val="00CC1AFF"/>
    <w:rsid w:val="00CC2054"/>
    <w:rsid w:val="00CC38B4"/>
    <w:rsid w:val="00CC3FCE"/>
    <w:rsid w:val="00CC4221"/>
    <w:rsid w:val="00CC4569"/>
    <w:rsid w:val="00CC54F0"/>
    <w:rsid w:val="00CD14BA"/>
    <w:rsid w:val="00CD15C2"/>
    <w:rsid w:val="00CD218D"/>
    <w:rsid w:val="00CD470A"/>
    <w:rsid w:val="00CD5103"/>
    <w:rsid w:val="00CD534E"/>
    <w:rsid w:val="00CD5552"/>
    <w:rsid w:val="00CD730A"/>
    <w:rsid w:val="00CD7CC6"/>
    <w:rsid w:val="00CE014C"/>
    <w:rsid w:val="00CE2F1B"/>
    <w:rsid w:val="00CE44A7"/>
    <w:rsid w:val="00CE595A"/>
    <w:rsid w:val="00CE6B7C"/>
    <w:rsid w:val="00CE6D4A"/>
    <w:rsid w:val="00CE7DED"/>
    <w:rsid w:val="00CF16BD"/>
    <w:rsid w:val="00CF2886"/>
    <w:rsid w:val="00CF2D31"/>
    <w:rsid w:val="00CF4797"/>
    <w:rsid w:val="00CF530F"/>
    <w:rsid w:val="00CF62F4"/>
    <w:rsid w:val="00CF69EC"/>
    <w:rsid w:val="00D0094A"/>
    <w:rsid w:val="00D00D3B"/>
    <w:rsid w:val="00D01D30"/>
    <w:rsid w:val="00D030DD"/>
    <w:rsid w:val="00D03197"/>
    <w:rsid w:val="00D043BA"/>
    <w:rsid w:val="00D0528A"/>
    <w:rsid w:val="00D05324"/>
    <w:rsid w:val="00D05587"/>
    <w:rsid w:val="00D05865"/>
    <w:rsid w:val="00D05A71"/>
    <w:rsid w:val="00D0612C"/>
    <w:rsid w:val="00D063DC"/>
    <w:rsid w:val="00D07D73"/>
    <w:rsid w:val="00D07D9D"/>
    <w:rsid w:val="00D10766"/>
    <w:rsid w:val="00D1078D"/>
    <w:rsid w:val="00D10B41"/>
    <w:rsid w:val="00D112F0"/>
    <w:rsid w:val="00D11999"/>
    <w:rsid w:val="00D11D75"/>
    <w:rsid w:val="00D13178"/>
    <w:rsid w:val="00D137A5"/>
    <w:rsid w:val="00D13C28"/>
    <w:rsid w:val="00D13FC5"/>
    <w:rsid w:val="00D167D0"/>
    <w:rsid w:val="00D17D98"/>
    <w:rsid w:val="00D21C80"/>
    <w:rsid w:val="00D24639"/>
    <w:rsid w:val="00D24D9B"/>
    <w:rsid w:val="00D25329"/>
    <w:rsid w:val="00D26399"/>
    <w:rsid w:val="00D27A2B"/>
    <w:rsid w:val="00D30595"/>
    <w:rsid w:val="00D30B7A"/>
    <w:rsid w:val="00D317C2"/>
    <w:rsid w:val="00D32886"/>
    <w:rsid w:val="00D32AAD"/>
    <w:rsid w:val="00D34868"/>
    <w:rsid w:val="00D35002"/>
    <w:rsid w:val="00D35BA3"/>
    <w:rsid w:val="00D36C0F"/>
    <w:rsid w:val="00D41A3A"/>
    <w:rsid w:val="00D41CE7"/>
    <w:rsid w:val="00D42223"/>
    <w:rsid w:val="00D42AAB"/>
    <w:rsid w:val="00D43450"/>
    <w:rsid w:val="00D4441F"/>
    <w:rsid w:val="00D447C6"/>
    <w:rsid w:val="00D44A6F"/>
    <w:rsid w:val="00D44F17"/>
    <w:rsid w:val="00D45C15"/>
    <w:rsid w:val="00D45C1A"/>
    <w:rsid w:val="00D46783"/>
    <w:rsid w:val="00D46C24"/>
    <w:rsid w:val="00D50361"/>
    <w:rsid w:val="00D50A6A"/>
    <w:rsid w:val="00D50CB8"/>
    <w:rsid w:val="00D50D30"/>
    <w:rsid w:val="00D51B6D"/>
    <w:rsid w:val="00D528B6"/>
    <w:rsid w:val="00D52CBA"/>
    <w:rsid w:val="00D547B7"/>
    <w:rsid w:val="00D618EC"/>
    <w:rsid w:val="00D619A7"/>
    <w:rsid w:val="00D626E3"/>
    <w:rsid w:val="00D62F39"/>
    <w:rsid w:val="00D6380C"/>
    <w:rsid w:val="00D64095"/>
    <w:rsid w:val="00D679B5"/>
    <w:rsid w:val="00D67F5F"/>
    <w:rsid w:val="00D700A3"/>
    <w:rsid w:val="00D70147"/>
    <w:rsid w:val="00D708CF"/>
    <w:rsid w:val="00D709B8"/>
    <w:rsid w:val="00D713BF"/>
    <w:rsid w:val="00D71870"/>
    <w:rsid w:val="00D71F17"/>
    <w:rsid w:val="00D72760"/>
    <w:rsid w:val="00D73A65"/>
    <w:rsid w:val="00D74AB1"/>
    <w:rsid w:val="00D74C58"/>
    <w:rsid w:val="00D7595F"/>
    <w:rsid w:val="00D7625E"/>
    <w:rsid w:val="00D76EBD"/>
    <w:rsid w:val="00D77758"/>
    <w:rsid w:val="00D80270"/>
    <w:rsid w:val="00D81F04"/>
    <w:rsid w:val="00D84E62"/>
    <w:rsid w:val="00D85841"/>
    <w:rsid w:val="00D8592C"/>
    <w:rsid w:val="00D87215"/>
    <w:rsid w:val="00D91430"/>
    <w:rsid w:val="00D91860"/>
    <w:rsid w:val="00D92082"/>
    <w:rsid w:val="00D928B1"/>
    <w:rsid w:val="00D951DC"/>
    <w:rsid w:val="00D9545E"/>
    <w:rsid w:val="00D9673D"/>
    <w:rsid w:val="00D96DC8"/>
    <w:rsid w:val="00D972E9"/>
    <w:rsid w:val="00D973A4"/>
    <w:rsid w:val="00DA05CF"/>
    <w:rsid w:val="00DA07FD"/>
    <w:rsid w:val="00DA0DD0"/>
    <w:rsid w:val="00DA2AAA"/>
    <w:rsid w:val="00DA2B44"/>
    <w:rsid w:val="00DA4009"/>
    <w:rsid w:val="00DA40DE"/>
    <w:rsid w:val="00DA5219"/>
    <w:rsid w:val="00DA6FD4"/>
    <w:rsid w:val="00DB1C3E"/>
    <w:rsid w:val="00DB1D39"/>
    <w:rsid w:val="00DB2777"/>
    <w:rsid w:val="00DB33B9"/>
    <w:rsid w:val="00DB5502"/>
    <w:rsid w:val="00DB55A5"/>
    <w:rsid w:val="00DB568F"/>
    <w:rsid w:val="00DB769F"/>
    <w:rsid w:val="00DB79DC"/>
    <w:rsid w:val="00DC0049"/>
    <w:rsid w:val="00DC023F"/>
    <w:rsid w:val="00DC029E"/>
    <w:rsid w:val="00DC1B85"/>
    <w:rsid w:val="00DC22F5"/>
    <w:rsid w:val="00DC2BDA"/>
    <w:rsid w:val="00DC35B8"/>
    <w:rsid w:val="00DC485A"/>
    <w:rsid w:val="00DC4AB5"/>
    <w:rsid w:val="00DC4F11"/>
    <w:rsid w:val="00DC69EF"/>
    <w:rsid w:val="00DC6BC1"/>
    <w:rsid w:val="00DC77D7"/>
    <w:rsid w:val="00DC798B"/>
    <w:rsid w:val="00DD1187"/>
    <w:rsid w:val="00DD18A1"/>
    <w:rsid w:val="00DD2A42"/>
    <w:rsid w:val="00DD390C"/>
    <w:rsid w:val="00DD3AA1"/>
    <w:rsid w:val="00DD422C"/>
    <w:rsid w:val="00DD4273"/>
    <w:rsid w:val="00DD56CD"/>
    <w:rsid w:val="00DD5DF5"/>
    <w:rsid w:val="00DD6427"/>
    <w:rsid w:val="00DE08D0"/>
    <w:rsid w:val="00DE1B10"/>
    <w:rsid w:val="00DE2662"/>
    <w:rsid w:val="00DE2F46"/>
    <w:rsid w:val="00DE3243"/>
    <w:rsid w:val="00DE4416"/>
    <w:rsid w:val="00DE4CA6"/>
    <w:rsid w:val="00DE575C"/>
    <w:rsid w:val="00DE6B1B"/>
    <w:rsid w:val="00DE6C10"/>
    <w:rsid w:val="00DF1405"/>
    <w:rsid w:val="00DF1A40"/>
    <w:rsid w:val="00DF2DEC"/>
    <w:rsid w:val="00DF3923"/>
    <w:rsid w:val="00DF44D8"/>
    <w:rsid w:val="00DF6744"/>
    <w:rsid w:val="00DF6789"/>
    <w:rsid w:val="00DF6F2D"/>
    <w:rsid w:val="00E00336"/>
    <w:rsid w:val="00E0174E"/>
    <w:rsid w:val="00E02333"/>
    <w:rsid w:val="00E04FF3"/>
    <w:rsid w:val="00E062B5"/>
    <w:rsid w:val="00E072A1"/>
    <w:rsid w:val="00E10222"/>
    <w:rsid w:val="00E113A9"/>
    <w:rsid w:val="00E11770"/>
    <w:rsid w:val="00E12073"/>
    <w:rsid w:val="00E1391E"/>
    <w:rsid w:val="00E15180"/>
    <w:rsid w:val="00E15434"/>
    <w:rsid w:val="00E15EA6"/>
    <w:rsid w:val="00E160C6"/>
    <w:rsid w:val="00E1648C"/>
    <w:rsid w:val="00E16881"/>
    <w:rsid w:val="00E20C4B"/>
    <w:rsid w:val="00E240EE"/>
    <w:rsid w:val="00E24565"/>
    <w:rsid w:val="00E24764"/>
    <w:rsid w:val="00E25374"/>
    <w:rsid w:val="00E26682"/>
    <w:rsid w:val="00E27A4B"/>
    <w:rsid w:val="00E30449"/>
    <w:rsid w:val="00E307D0"/>
    <w:rsid w:val="00E308C2"/>
    <w:rsid w:val="00E32679"/>
    <w:rsid w:val="00E326DB"/>
    <w:rsid w:val="00E32A49"/>
    <w:rsid w:val="00E33519"/>
    <w:rsid w:val="00E33540"/>
    <w:rsid w:val="00E3454A"/>
    <w:rsid w:val="00E34626"/>
    <w:rsid w:val="00E34E7B"/>
    <w:rsid w:val="00E3594F"/>
    <w:rsid w:val="00E40048"/>
    <w:rsid w:val="00E41C98"/>
    <w:rsid w:val="00E42BDE"/>
    <w:rsid w:val="00E4450E"/>
    <w:rsid w:val="00E44E08"/>
    <w:rsid w:val="00E4645B"/>
    <w:rsid w:val="00E46FE9"/>
    <w:rsid w:val="00E47710"/>
    <w:rsid w:val="00E47B80"/>
    <w:rsid w:val="00E47E71"/>
    <w:rsid w:val="00E50536"/>
    <w:rsid w:val="00E50639"/>
    <w:rsid w:val="00E50686"/>
    <w:rsid w:val="00E5109E"/>
    <w:rsid w:val="00E52CA8"/>
    <w:rsid w:val="00E52E6B"/>
    <w:rsid w:val="00E53BEE"/>
    <w:rsid w:val="00E53F4A"/>
    <w:rsid w:val="00E55392"/>
    <w:rsid w:val="00E55846"/>
    <w:rsid w:val="00E56B7C"/>
    <w:rsid w:val="00E57502"/>
    <w:rsid w:val="00E57A09"/>
    <w:rsid w:val="00E608CC"/>
    <w:rsid w:val="00E6304A"/>
    <w:rsid w:val="00E63066"/>
    <w:rsid w:val="00E6429A"/>
    <w:rsid w:val="00E646B8"/>
    <w:rsid w:val="00E650E5"/>
    <w:rsid w:val="00E65288"/>
    <w:rsid w:val="00E6532E"/>
    <w:rsid w:val="00E67160"/>
    <w:rsid w:val="00E678CA"/>
    <w:rsid w:val="00E708F9"/>
    <w:rsid w:val="00E7097B"/>
    <w:rsid w:val="00E70E3A"/>
    <w:rsid w:val="00E71184"/>
    <w:rsid w:val="00E71CDA"/>
    <w:rsid w:val="00E73238"/>
    <w:rsid w:val="00E7378C"/>
    <w:rsid w:val="00E77375"/>
    <w:rsid w:val="00E77C15"/>
    <w:rsid w:val="00E80561"/>
    <w:rsid w:val="00E806DF"/>
    <w:rsid w:val="00E81181"/>
    <w:rsid w:val="00E81312"/>
    <w:rsid w:val="00E8230B"/>
    <w:rsid w:val="00E82A6C"/>
    <w:rsid w:val="00E82E51"/>
    <w:rsid w:val="00E82EE7"/>
    <w:rsid w:val="00E82F00"/>
    <w:rsid w:val="00E83F42"/>
    <w:rsid w:val="00E852F0"/>
    <w:rsid w:val="00E902F8"/>
    <w:rsid w:val="00E903B5"/>
    <w:rsid w:val="00E90489"/>
    <w:rsid w:val="00E933BB"/>
    <w:rsid w:val="00E9454C"/>
    <w:rsid w:val="00E94F12"/>
    <w:rsid w:val="00E95A79"/>
    <w:rsid w:val="00E95D10"/>
    <w:rsid w:val="00E97C7C"/>
    <w:rsid w:val="00EA005E"/>
    <w:rsid w:val="00EA10CC"/>
    <w:rsid w:val="00EA19E7"/>
    <w:rsid w:val="00EA22D9"/>
    <w:rsid w:val="00EA3231"/>
    <w:rsid w:val="00EA4542"/>
    <w:rsid w:val="00EA5260"/>
    <w:rsid w:val="00EA5B27"/>
    <w:rsid w:val="00EA60B9"/>
    <w:rsid w:val="00EA7388"/>
    <w:rsid w:val="00EA7499"/>
    <w:rsid w:val="00EB16D0"/>
    <w:rsid w:val="00EB2906"/>
    <w:rsid w:val="00EB2EA6"/>
    <w:rsid w:val="00EB33D6"/>
    <w:rsid w:val="00EB383D"/>
    <w:rsid w:val="00EB4D10"/>
    <w:rsid w:val="00EB4E57"/>
    <w:rsid w:val="00EB4EFD"/>
    <w:rsid w:val="00EB4F21"/>
    <w:rsid w:val="00EB4F53"/>
    <w:rsid w:val="00EB7BA1"/>
    <w:rsid w:val="00EC0459"/>
    <w:rsid w:val="00EC116F"/>
    <w:rsid w:val="00EC2061"/>
    <w:rsid w:val="00EC309A"/>
    <w:rsid w:val="00EC30A4"/>
    <w:rsid w:val="00EC425B"/>
    <w:rsid w:val="00EC4A01"/>
    <w:rsid w:val="00EC52C5"/>
    <w:rsid w:val="00EC697A"/>
    <w:rsid w:val="00ED097F"/>
    <w:rsid w:val="00ED0EFF"/>
    <w:rsid w:val="00ED185C"/>
    <w:rsid w:val="00ED3D61"/>
    <w:rsid w:val="00ED489D"/>
    <w:rsid w:val="00ED4DE6"/>
    <w:rsid w:val="00ED7222"/>
    <w:rsid w:val="00EE0A2D"/>
    <w:rsid w:val="00EE18CE"/>
    <w:rsid w:val="00EE28A0"/>
    <w:rsid w:val="00EE29C9"/>
    <w:rsid w:val="00EE33ED"/>
    <w:rsid w:val="00EE35E8"/>
    <w:rsid w:val="00EE54F1"/>
    <w:rsid w:val="00EE6C7D"/>
    <w:rsid w:val="00EF08F3"/>
    <w:rsid w:val="00EF159E"/>
    <w:rsid w:val="00EF1B5C"/>
    <w:rsid w:val="00EF2119"/>
    <w:rsid w:val="00EF212C"/>
    <w:rsid w:val="00EF2E5A"/>
    <w:rsid w:val="00EF5696"/>
    <w:rsid w:val="00EF6293"/>
    <w:rsid w:val="00EF65AF"/>
    <w:rsid w:val="00F00705"/>
    <w:rsid w:val="00F01A0E"/>
    <w:rsid w:val="00F026F2"/>
    <w:rsid w:val="00F029A2"/>
    <w:rsid w:val="00F04E6C"/>
    <w:rsid w:val="00F05C16"/>
    <w:rsid w:val="00F07A6C"/>
    <w:rsid w:val="00F07B67"/>
    <w:rsid w:val="00F07EFD"/>
    <w:rsid w:val="00F11B2D"/>
    <w:rsid w:val="00F11ECC"/>
    <w:rsid w:val="00F12A62"/>
    <w:rsid w:val="00F140FB"/>
    <w:rsid w:val="00F16D5D"/>
    <w:rsid w:val="00F17793"/>
    <w:rsid w:val="00F177DF"/>
    <w:rsid w:val="00F17E54"/>
    <w:rsid w:val="00F20A21"/>
    <w:rsid w:val="00F20D4B"/>
    <w:rsid w:val="00F22788"/>
    <w:rsid w:val="00F24753"/>
    <w:rsid w:val="00F25360"/>
    <w:rsid w:val="00F258C7"/>
    <w:rsid w:val="00F25925"/>
    <w:rsid w:val="00F26BF4"/>
    <w:rsid w:val="00F27E7F"/>
    <w:rsid w:val="00F3045C"/>
    <w:rsid w:val="00F323EF"/>
    <w:rsid w:val="00F33727"/>
    <w:rsid w:val="00F3384C"/>
    <w:rsid w:val="00F33E27"/>
    <w:rsid w:val="00F3548C"/>
    <w:rsid w:val="00F359BD"/>
    <w:rsid w:val="00F36812"/>
    <w:rsid w:val="00F36D93"/>
    <w:rsid w:val="00F36EE1"/>
    <w:rsid w:val="00F408B8"/>
    <w:rsid w:val="00F4098E"/>
    <w:rsid w:val="00F43639"/>
    <w:rsid w:val="00F44D66"/>
    <w:rsid w:val="00F44DF6"/>
    <w:rsid w:val="00F44EF2"/>
    <w:rsid w:val="00F44F88"/>
    <w:rsid w:val="00F45901"/>
    <w:rsid w:val="00F45BE0"/>
    <w:rsid w:val="00F46DEE"/>
    <w:rsid w:val="00F4768A"/>
    <w:rsid w:val="00F47E8D"/>
    <w:rsid w:val="00F512FC"/>
    <w:rsid w:val="00F53113"/>
    <w:rsid w:val="00F5332D"/>
    <w:rsid w:val="00F534EC"/>
    <w:rsid w:val="00F5591E"/>
    <w:rsid w:val="00F559F9"/>
    <w:rsid w:val="00F55FD5"/>
    <w:rsid w:val="00F57670"/>
    <w:rsid w:val="00F60B6C"/>
    <w:rsid w:val="00F61A64"/>
    <w:rsid w:val="00F62553"/>
    <w:rsid w:val="00F62E6C"/>
    <w:rsid w:val="00F63791"/>
    <w:rsid w:val="00F63EDE"/>
    <w:rsid w:val="00F6415F"/>
    <w:rsid w:val="00F64BFE"/>
    <w:rsid w:val="00F65445"/>
    <w:rsid w:val="00F67AAC"/>
    <w:rsid w:val="00F70522"/>
    <w:rsid w:val="00F70E6A"/>
    <w:rsid w:val="00F711A3"/>
    <w:rsid w:val="00F7136F"/>
    <w:rsid w:val="00F7392B"/>
    <w:rsid w:val="00F73A22"/>
    <w:rsid w:val="00F7444D"/>
    <w:rsid w:val="00F7573B"/>
    <w:rsid w:val="00F75BD4"/>
    <w:rsid w:val="00F75D4F"/>
    <w:rsid w:val="00F76C0A"/>
    <w:rsid w:val="00F77CB5"/>
    <w:rsid w:val="00F80545"/>
    <w:rsid w:val="00F82C7A"/>
    <w:rsid w:val="00F83B30"/>
    <w:rsid w:val="00F84E98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4216"/>
    <w:rsid w:val="00F94C5C"/>
    <w:rsid w:val="00F94FBC"/>
    <w:rsid w:val="00F95914"/>
    <w:rsid w:val="00F9633F"/>
    <w:rsid w:val="00FA05D9"/>
    <w:rsid w:val="00FA132F"/>
    <w:rsid w:val="00FA1A50"/>
    <w:rsid w:val="00FA23A2"/>
    <w:rsid w:val="00FA2FF6"/>
    <w:rsid w:val="00FA3119"/>
    <w:rsid w:val="00FA50A6"/>
    <w:rsid w:val="00FA571B"/>
    <w:rsid w:val="00FA6482"/>
    <w:rsid w:val="00FB1244"/>
    <w:rsid w:val="00FB1EDC"/>
    <w:rsid w:val="00FB2520"/>
    <w:rsid w:val="00FB26D5"/>
    <w:rsid w:val="00FB4496"/>
    <w:rsid w:val="00FB4942"/>
    <w:rsid w:val="00FB514C"/>
    <w:rsid w:val="00FB52B5"/>
    <w:rsid w:val="00FB561A"/>
    <w:rsid w:val="00FC01CB"/>
    <w:rsid w:val="00FC1F62"/>
    <w:rsid w:val="00FC3056"/>
    <w:rsid w:val="00FC3746"/>
    <w:rsid w:val="00FC3875"/>
    <w:rsid w:val="00FC39F5"/>
    <w:rsid w:val="00FC407E"/>
    <w:rsid w:val="00FC494B"/>
    <w:rsid w:val="00FC5037"/>
    <w:rsid w:val="00FC6AD7"/>
    <w:rsid w:val="00FC71D7"/>
    <w:rsid w:val="00FC7580"/>
    <w:rsid w:val="00FD003F"/>
    <w:rsid w:val="00FD04FB"/>
    <w:rsid w:val="00FD0A3D"/>
    <w:rsid w:val="00FD24B7"/>
    <w:rsid w:val="00FD2560"/>
    <w:rsid w:val="00FD2C9B"/>
    <w:rsid w:val="00FD4D47"/>
    <w:rsid w:val="00FD52AD"/>
    <w:rsid w:val="00FD5C5D"/>
    <w:rsid w:val="00FD7032"/>
    <w:rsid w:val="00FD75EC"/>
    <w:rsid w:val="00FD76E7"/>
    <w:rsid w:val="00FD792B"/>
    <w:rsid w:val="00FD7F2E"/>
    <w:rsid w:val="00FE0610"/>
    <w:rsid w:val="00FE0B67"/>
    <w:rsid w:val="00FE335B"/>
    <w:rsid w:val="00FE4D77"/>
    <w:rsid w:val="00FE5231"/>
    <w:rsid w:val="00FE7244"/>
    <w:rsid w:val="00FE72DB"/>
    <w:rsid w:val="00FF063B"/>
    <w:rsid w:val="00FF3E0A"/>
    <w:rsid w:val="00FF4D8C"/>
    <w:rsid w:val="00FF51DD"/>
    <w:rsid w:val="00FF6B0F"/>
    <w:rsid w:val="00FF71A5"/>
    <w:rsid w:val="00FF792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."/>
  <w14:docId w14:val="72AFD0EA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40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7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4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List,Ha,titulo 3,Bullets,Fluvial1,Cuadrícula clara - Énfasis 31,Normal. Viñetas,HOJA,Bolita,Párrafo de lista4,BOLADEF,Párrafo de lista3,Párrafo de lista21,BOLA,Nivel 1 OS,Lista vistosa - Énfasis 11,列出段落,Bullet List,FooterText,numbered"/>
    <w:basedOn w:val="Normal"/>
    <w:link w:val="PrrafodelistaCar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29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467D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35BDB"/>
    <w:pPr>
      <w:tabs>
        <w:tab w:val="left" w:pos="880"/>
        <w:tab w:val="left" w:pos="8222"/>
        <w:tab w:val="right" w:leader="dot" w:pos="9397"/>
      </w:tabs>
      <w:spacing w:after="100" w:line="240" w:lineRule="auto"/>
      <w:ind w:left="426" w:hanging="426"/>
      <w:jc w:val="both"/>
    </w:pPr>
    <w:rPr>
      <w:rFonts w:ascii="Arial" w:eastAsia="Times New Roman" w:hAnsi="Arial" w:cs="Arial"/>
      <w:noProof/>
      <w:sz w:val="24"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35BDB"/>
    <w:pPr>
      <w:tabs>
        <w:tab w:val="left" w:pos="851"/>
        <w:tab w:val="right" w:leader="dot" w:pos="9397"/>
      </w:tabs>
      <w:spacing w:after="100" w:line="259" w:lineRule="auto"/>
      <w:ind w:left="709" w:hanging="709"/>
      <w:jc w:val="center"/>
    </w:pPr>
    <w:rPr>
      <w:rFonts w:ascii="Arial" w:eastAsia="Times New Roman" w:hAnsi="Arial" w:cs="Arial"/>
      <w:b/>
      <w:sz w:val="24"/>
      <w:szCs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24E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334C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3334C6"/>
    <w:pPr>
      <w:spacing w:after="100"/>
      <w:ind w:left="660"/>
    </w:pPr>
  </w:style>
  <w:style w:type="character" w:styleId="Refdecomentario">
    <w:name w:val="annotation reference"/>
    <w:uiPriority w:val="99"/>
    <w:semiHidden/>
    <w:unhideWhenUsed/>
    <w:rsid w:val="00713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7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71F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F14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F14"/>
    <w:rPr>
      <w:b/>
      <w:bCs/>
      <w:lang w:val="es-ES" w:eastAsia="en-US"/>
    </w:rPr>
  </w:style>
  <w:style w:type="character" w:customStyle="1" w:styleId="PrrafodelistaCar">
    <w:name w:val="Párrafo de lista Car"/>
    <w:aliases w:val="List Car,Ha Car,titulo 3 Car,Bullets Car,Fluvial1 Car,Cuadrícula clara - Énfasis 31 Car,Normal. Viñetas Car,HOJA Car,Bolita Car,Párrafo de lista4 Car,BOLADEF Car,Párrafo de lista3 Car,Párrafo de lista21 Car,BOLA Car,Nivel 1 OS Car"/>
    <w:link w:val="Prrafodelista"/>
    <w:uiPriority w:val="34"/>
    <w:locked/>
    <w:rsid w:val="007B3697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riterio">
    <w:name w:val="Criterio"/>
    <w:basedOn w:val="Normal"/>
    <w:link w:val="CriterioCar"/>
    <w:qFormat/>
    <w:rsid w:val="008F204C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b/>
      <w:bCs/>
      <w:i/>
      <w:sz w:val="20"/>
      <w:lang w:val="es-CO" w:eastAsia="es-ES"/>
    </w:rPr>
  </w:style>
  <w:style w:type="character" w:customStyle="1" w:styleId="CriterioCar">
    <w:name w:val="Criterio Car"/>
    <w:link w:val="Criterio"/>
    <w:rsid w:val="008F204C"/>
    <w:rPr>
      <w:rFonts w:ascii="Arial" w:eastAsia="Arial" w:hAnsi="Arial" w:cs="Arial"/>
      <w:b/>
      <w:bCs/>
      <w:i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ranet.icbf.gov.co/apoyo/gestion-financier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ixon.tovar\Documents\2019%20TRABAJO\CONTROL%20INTERNO%20CONTABLE\2018\Graficas%20y%20Tabl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RESULTADO DE EVALUACIÓN DE CONTROL INTERNO CONTABLE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507620941020544E-3"/>
                  <c:y val="-1.20120120120120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F8-44D0-AFF3-BBA251AF26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Hoja2!$A$5</c:f>
              <c:numCache>
                <c:formatCode>0.00</c:formatCode>
                <c:ptCount val="1"/>
                <c:pt idx="0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F8-44D0-AFF3-BBA251AF2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5096448"/>
        <c:axId val="165107584"/>
        <c:axId val="0"/>
      </c:bar3DChart>
      <c:catAx>
        <c:axId val="1650964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65107584"/>
        <c:crosses val="autoZero"/>
        <c:auto val="1"/>
        <c:lblAlgn val="ctr"/>
        <c:lblOffset val="100"/>
        <c:noMultiLvlLbl val="0"/>
      </c:catAx>
      <c:valAx>
        <c:axId val="16510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09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COMPORTAMIENTO INFORME CONTROL INTERNO CONTABLE VIGENCIA 2017-2018-2019-2020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CD4-40CF-8D4E-881A1D5789FA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CD4-40CF-8D4E-881A1D5789FA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CD4-40CF-8D4E-881A1D5789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Hoja1!$I$9:$I$12</c:f>
              <c:strCache>
                <c:ptCount val="4"/>
                <c:pt idx="0">
                  <c:v>AÑO 2017</c:v>
                </c:pt>
                <c:pt idx="1">
                  <c:v>AÑO 2018</c:v>
                </c:pt>
                <c:pt idx="2">
                  <c:v>AÑO 2019</c:v>
                </c:pt>
                <c:pt idx="3">
                  <c:v>AÑO 2020</c:v>
                </c:pt>
              </c:strCache>
            </c:strRef>
          </c:cat>
          <c:val>
            <c:numRef>
              <c:f>Hoja1!$J$9:$J$12</c:f>
              <c:numCache>
                <c:formatCode>General</c:formatCode>
                <c:ptCount val="4"/>
                <c:pt idx="0">
                  <c:v>4.57</c:v>
                </c:pt>
                <c:pt idx="1">
                  <c:v>4.75</c:v>
                </c:pt>
                <c:pt idx="2">
                  <c:v>4.75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D4-40CF-8D4E-881A1D5789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0198016"/>
        <c:axId val="70199552"/>
      </c:barChart>
      <c:catAx>
        <c:axId val="7019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99552"/>
        <c:crosses val="autoZero"/>
        <c:auto val="1"/>
        <c:lblAlgn val="ctr"/>
        <c:lblOffset val="100"/>
        <c:noMultiLvlLbl val="0"/>
      </c:catAx>
      <c:valAx>
        <c:axId val="70199552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9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88CD-9078-420A-BBC6-788146A6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4321</Words>
  <Characters>23770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Edixon Alexander Tovar Pinzon</cp:lastModifiedBy>
  <cp:revision>6</cp:revision>
  <cp:lastPrinted>2019-03-06T21:37:00Z</cp:lastPrinted>
  <dcterms:created xsi:type="dcterms:W3CDTF">2021-03-19T20:34:00Z</dcterms:created>
  <dcterms:modified xsi:type="dcterms:W3CDTF">2021-03-19T20:41:00Z</dcterms:modified>
</cp:coreProperties>
</file>