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285F78" w:rsidRDefault="00285F78">
      <w:pPr>
        <w:rPr>
          <w:noProof/>
          <w:lang w:val="es-CO" w:eastAsia="es-CO"/>
        </w:rPr>
      </w:pPr>
      <w:bookmarkStart w:id="0" w:name="_GoBack"/>
      <w:bookmarkEnd w:id="0"/>
      <w:r>
        <w:rPr>
          <w:noProof/>
          <w:lang w:val="es-CO" w:eastAsia="es-CO"/>
        </w:rPr>
        <w:drawing>
          <wp:anchor distT="0" distB="0" distL="114300" distR="114300" simplePos="0" relativeHeight="251831808" behindDoc="0" locked="0" layoutInCell="1" allowOverlap="1" wp14:anchorId="3BAE9078" wp14:editId="32E9134D">
            <wp:simplePos x="0" y="0"/>
            <wp:positionH relativeFrom="page">
              <wp:posOffset>13335</wp:posOffset>
            </wp:positionH>
            <wp:positionV relativeFrom="paragraph">
              <wp:posOffset>-1530985</wp:posOffset>
            </wp:positionV>
            <wp:extent cx="7823835" cy="10152154"/>
            <wp:effectExtent l="0" t="0" r="5715" b="1905"/>
            <wp:wrapNone/>
            <wp:docPr id="24" name="Imagen 24" descr="Captura%20de%20pantalla%202018-01-19%20a%20la(s)%2012.3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20de%20pantalla%202018-01-19%20a%20la(s)%2012.32.1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3835" cy="101521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F78" w:rsidRDefault="00285F78">
      <w:pPr>
        <w:spacing w:after="0" w:line="240" w:lineRule="auto"/>
        <w:rPr>
          <w:noProof/>
          <w:lang w:val="es-CO" w:eastAsia="es-CO"/>
        </w:rPr>
      </w:pPr>
      <w:r>
        <w:rPr>
          <w:noProof/>
          <w:lang w:val="es-CO" w:eastAsia="es-CO"/>
        </w:rPr>
        <w:br w:type="page"/>
      </w:r>
    </w:p>
    <w:p w:rsidR="00285F78" w:rsidRPr="00707394" w:rsidRDefault="00285F78" w:rsidP="00285F78">
      <w:pPr>
        <w:spacing w:after="0" w:line="240" w:lineRule="auto"/>
        <w:jc w:val="center"/>
        <w:rPr>
          <w:rFonts w:cs="Arial"/>
          <w:b/>
        </w:rPr>
      </w:pPr>
      <w:r>
        <w:rPr>
          <w:rFonts w:cs="Arial"/>
          <w:b/>
          <w:noProof/>
          <w:sz w:val="20"/>
          <w:szCs w:val="20"/>
          <w:lang w:val="es-CO" w:eastAsia="es-CO"/>
        </w:rPr>
        <w:lastRenderedPageBreak/>
        <mc:AlternateContent>
          <mc:Choice Requires="wps">
            <w:drawing>
              <wp:anchor distT="0" distB="0" distL="114300" distR="114300" simplePos="0" relativeHeight="251833856" behindDoc="0" locked="0" layoutInCell="1" allowOverlap="1" wp14:anchorId="3296444B" wp14:editId="49C6CA7C">
                <wp:simplePos x="0" y="0"/>
                <wp:positionH relativeFrom="margin">
                  <wp:posOffset>6386830</wp:posOffset>
                </wp:positionH>
                <wp:positionV relativeFrom="paragraph">
                  <wp:posOffset>191770</wp:posOffset>
                </wp:positionV>
                <wp:extent cx="1267460" cy="594360"/>
                <wp:effectExtent l="1270" t="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935" w:rsidRPr="004172E3" w:rsidRDefault="006C2935" w:rsidP="00285F78">
                            <w:pPr>
                              <w:jc w:val="center"/>
                              <w:rPr>
                                <w:rFonts w:cs="Arial"/>
                                <w:b/>
                                <w:color w:val="FFFFFF" w:themeColor="background1"/>
                                <w:sz w:val="72"/>
                                <w:szCs w:val="96"/>
                              </w:rPr>
                            </w:pPr>
                            <w:r w:rsidRPr="004172E3">
                              <w:rPr>
                                <w:rFonts w:cs="Arial"/>
                                <w:b/>
                                <w:color w:val="FFFFFF" w:themeColor="background1"/>
                                <w:sz w:val="72"/>
                                <w:szCs w:val="96"/>
                              </w:rPr>
                              <w:t>201</w:t>
                            </w:r>
                            <w:r>
                              <w:rPr>
                                <w:rFonts w:cs="Arial"/>
                                <w:b/>
                                <w:color w:val="FFFFFF" w:themeColor="background1"/>
                                <w:sz w:val="72"/>
                                <w:szCs w:val="9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6444B" id="_x0000_t202" coordsize="21600,21600" o:spt="202" path="m,l,21600r21600,l21600,xe">
                <v:stroke joinstyle="miter"/>
                <v:path gradientshapeok="t" o:connecttype="rect"/>
              </v:shapetype>
              <v:shape id="Cuadro de texto 9" o:spid="_x0000_s1026" type="#_x0000_t202" style="position:absolute;left:0;text-align:left;margin-left:502.9pt;margin-top:15.1pt;width:99.8pt;height:46.8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TMxuAIAAMA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" filled="f" stroked="f">
                <v:textbox>
                  <w:txbxContent>
                    <w:p w:rsidR="006C2935" w:rsidRPr="004172E3" w:rsidRDefault="006C2935" w:rsidP="00285F78">
                      <w:pPr>
                        <w:jc w:val="center"/>
                        <w:rPr>
                          <w:rFonts w:cs="Arial"/>
                          <w:b/>
                          <w:color w:val="FFFFFF" w:themeColor="background1"/>
                          <w:sz w:val="72"/>
                          <w:szCs w:val="96"/>
                        </w:rPr>
                      </w:pPr>
                      <w:r w:rsidRPr="004172E3">
                        <w:rPr>
                          <w:rFonts w:cs="Arial"/>
                          <w:b/>
                          <w:color w:val="FFFFFF" w:themeColor="background1"/>
                          <w:sz w:val="72"/>
                          <w:szCs w:val="96"/>
                        </w:rPr>
                        <w:t>201</w:t>
                      </w:r>
                      <w:r>
                        <w:rPr>
                          <w:rFonts w:cs="Arial"/>
                          <w:b/>
                          <w:color w:val="FFFFFF" w:themeColor="background1"/>
                          <w:sz w:val="72"/>
                          <w:szCs w:val="96"/>
                        </w:rPr>
                        <w:t>4</w:t>
                      </w:r>
                    </w:p>
                  </w:txbxContent>
                </v:textbox>
                <w10:wrap anchorx="margin"/>
              </v:shape>
            </w:pict>
          </mc:Fallback>
        </mc:AlternateContent>
      </w:r>
      <w:r>
        <w:rPr>
          <w:rFonts w:cs="Arial"/>
          <w:b/>
        </w:rPr>
        <w:t>D</w:t>
      </w:r>
      <w:r w:rsidRPr="00707394">
        <w:rPr>
          <w:rFonts w:cs="Arial"/>
          <w:b/>
        </w:rPr>
        <w:t xml:space="preserve">IRECTIVOS </w:t>
      </w:r>
    </w:p>
    <w:p w:rsidR="00285F78" w:rsidRDefault="00285F78" w:rsidP="00285F78">
      <w:pPr>
        <w:tabs>
          <w:tab w:val="left" w:pos="5415"/>
          <w:tab w:val="left" w:pos="6305"/>
        </w:tabs>
        <w:spacing w:after="0" w:line="240" w:lineRule="auto"/>
        <w:jc w:val="center"/>
        <w:rPr>
          <w:rFonts w:cs="Arial"/>
          <w:b/>
          <w:bCs/>
        </w:rPr>
      </w:pPr>
    </w:p>
    <w:p w:rsidR="00285F78" w:rsidRPr="00F97A74" w:rsidRDefault="00285F78" w:rsidP="00285F78">
      <w:pPr>
        <w:tabs>
          <w:tab w:val="left" w:pos="5415"/>
          <w:tab w:val="left" w:pos="6305"/>
        </w:tabs>
        <w:spacing w:after="0" w:line="240" w:lineRule="auto"/>
        <w:jc w:val="center"/>
        <w:rPr>
          <w:rFonts w:cs="Arial"/>
          <w:b/>
          <w:bCs/>
        </w:rPr>
      </w:pPr>
    </w:p>
    <w:p w:rsidR="00285F78" w:rsidRPr="00F97A74" w:rsidRDefault="00285F78" w:rsidP="00285F78">
      <w:pPr>
        <w:pStyle w:val="Encabezado"/>
        <w:jc w:val="center"/>
        <w:rPr>
          <w:rFonts w:cs="Arial"/>
          <w:bCs/>
          <w:color w:val="000000"/>
          <w:shd w:val="clear" w:color="auto" w:fill="FFFFFF"/>
        </w:rPr>
      </w:pPr>
      <w:r w:rsidRPr="008E27B3">
        <w:rPr>
          <w:color w:val="000000"/>
        </w:rPr>
        <w:t>Karen Abudinén</w:t>
      </w:r>
      <w:r w:rsidR="00F86AA6">
        <w:rPr>
          <w:color w:val="000000"/>
        </w:rPr>
        <w:t xml:space="preserve"> Abuchaibe</w:t>
      </w:r>
    </w:p>
    <w:p w:rsidR="00285F78" w:rsidRPr="00F97A74" w:rsidRDefault="00285F78" w:rsidP="00285F78">
      <w:pPr>
        <w:pStyle w:val="Encabezado"/>
        <w:jc w:val="center"/>
        <w:rPr>
          <w:rFonts w:cs="Arial"/>
        </w:rPr>
      </w:pPr>
      <w:r w:rsidRPr="00F97A74">
        <w:rPr>
          <w:rFonts w:cs="Arial"/>
          <w:b/>
          <w:bCs/>
          <w:color w:val="000000"/>
          <w:shd w:val="clear" w:color="auto" w:fill="FFFFFF"/>
        </w:rPr>
        <w:t>Dir</w:t>
      </w:r>
      <w:r>
        <w:rPr>
          <w:rFonts w:cs="Arial"/>
          <w:b/>
          <w:bCs/>
          <w:color w:val="000000"/>
          <w:shd w:val="clear" w:color="auto" w:fill="FFFFFF"/>
        </w:rPr>
        <w:t>e</w:t>
      </w:r>
      <w:r w:rsidRPr="00F97A74">
        <w:rPr>
          <w:rFonts w:cs="Arial"/>
          <w:b/>
          <w:bCs/>
          <w:color w:val="000000"/>
          <w:shd w:val="clear" w:color="auto" w:fill="FFFFFF"/>
        </w:rPr>
        <w:t>ctora General</w:t>
      </w:r>
    </w:p>
    <w:tbl>
      <w:tblPr>
        <w:tblW w:w="9180" w:type="dxa"/>
        <w:jc w:val="center"/>
        <w:tblLook w:val="04A0" w:firstRow="1" w:lastRow="0" w:firstColumn="1" w:lastColumn="0" w:noHBand="0" w:noVBand="1"/>
      </w:tblPr>
      <w:tblGrid>
        <w:gridCol w:w="4322"/>
        <w:gridCol w:w="4858"/>
      </w:tblGrid>
      <w:tr w:rsidR="00285F78" w:rsidRPr="00F97A74" w:rsidTr="004D096C">
        <w:trPr>
          <w:trHeight w:val="9421"/>
          <w:jc w:val="center"/>
        </w:trPr>
        <w:tc>
          <w:tcPr>
            <w:tcW w:w="4322" w:type="dxa"/>
          </w:tcPr>
          <w:p w:rsidR="00285F78" w:rsidRPr="00707394" w:rsidRDefault="00285F78" w:rsidP="004D096C">
            <w:pPr>
              <w:autoSpaceDE w:val="0"/>
              <w:autoSpaceDN w:val="0"/>
              <w:adjustRightInd w:val="0"/>
              <w:spacing w:after="0" w:line="240" w:lineRule="auto"/>
              <w:jc w:val="center"/>
              <w:rPr>
                <w:rFonts w:cs="Arial"/>
                <w:b/>
                <w:sz w:val="20"/>
                <w:szCs w:val="20"/>
                <w:highlight w:val="yellow"/>
              </w:rPr>
            </w:pPr>
          </w:p>
          <w:p w:rsidR="00285F78" w:rsidRDefault="00285F78" w:rsidP="004D096C">
            <w:pPr>
              <w:autoSpaceDE w:val="0"/>
              <w:autoSpaceDN w:val="0"/>
              <w:adjustRightInd w:val="0"/>
              <w:spacing w:after="0" w:line="240" w:lineRule="auto"/>
              <w:jc w:val="center"/>
              <w:rPr>
                <w:rFonts w:cs="Arial"/>
                <w:sz w:val="20"/>
                <w:szCs w:val="20"/>
              </w:rPr>
            </w:pPr>
          </w:p>
          <w:p w:rsidR="00285F78" w:rsidRDefault="00F86AA6" w:rsidP="004D096C">
            <w:pPr>
              <w:autoSpaceDE w:val="0"/>
              <w:autoSpaceDN w:val="0"/>
              <w:adjustRightInd w:val="0"/>
              <w:spacing w:after="0" w:line="240" w:lineRule="auto"/>
              <w:jc w:val="center"/>
              <w:rPr>
                <w:rFonts w:cs="Arial"/>
                <w:sz w:val="20"/>
                <w:szCs w:val="20"/>
              </w:rPr>
            </w:pPr>
            <w:r>
              <w:rPr>
                <w:rFonts w:cs="Arial"/>
                <w:sz w:val="20"/>
                <w:szCs w:val="20"/>
              </w:rPr>
              <w:t>Sol Indira Quiceno Forero</w:t>
            </w:r>
          </w:p>
          <w:p w:rsidR="00285F78" w:rsidRPr="00707394" w:rsidRDefault="00285F78" w:rsidP="004D096C">
            <w:pPr>
              <w:autoSpaceDE w:val="0"/>
              <w:autoSpaceDN w:val="0"/>
              <w:adjustRightInd w:val="0"/>
              <w:spacing w:after="0" w:line="240" w:lineRule="auto"/>
              <w:jc w:val="center"/>
              <w:rPr>
                <w:rFonts w:cs="Arial"/>
                <w:b/>
                <w:sz w:val="20"/>
                <w:szCs w:val="20"/>
              </w:rPr>
            </w:pPr>
            <w:r w:rsidRPr="00707394">
              <w:rPr>
                <w:rFonts w:cs="Arial"/>
                <w:b/>
                <w:sz w:val="20"/>
                <w:szCs w:val="20"/>
              </w:rPr>
              <w:t>Subdirector</w:t>
            </w:r>
            <w:r>
              <w:rPr>
                <w:rFonts w:cs="Arial"/>
                <w:b/>
                <w:sz w:val="20"/>
                <w:szCs w:val="20"/>
              </w:rPr>
              <w:t>a</w:t>
            </w:r>
            <w:r w:rsidRPr="00707394">
              <w:rPr>
                <w:rFonts w:cs="Arial"/>
                <w:b/>
                <w:sz w:val="20"/>
                <w:szCs w:val="20"/>
              </w:rPr>
              <w:t xml:space="preserve"> General</w:t>
            </w:r>
          </w:p>
          <w:p w:rsidR="00285F78" w:rsidRPr="00707394" w:rsidRDefault="00285F78" w:rsidP="004D096C">
            <w:pPr>
              <w:autoSpaceDE w:val="0"/>
              <w:autoSpaceDN w:val="0"/>
              <w:adjustRightInd w:val="0"/>
              <w:spacing w:after="0" w:line="240" w:lineRule="auto"/>
              <w:jc w:val="center"/>
              <w:rPr>
                <w:rFonts w:cs="Arial"/>
                <w:b/>
                <w:sz w:val="20"/>
                <w:szCs w:val="20"/>
              </w:rPr>
            </w:pPr>
          </w:p>
          <w:p w:rsidR="00285F78" w:rsidRPr="00707394" w:rsidRDefault="00285F78" w:rsidP="004D096C">
            <w:pPr>
              <w:autoSpaceDE w:val="0"/>
              <w:autoSpaceDN w:val="0"/>
              <w:adjustRightInd w:val="0"/>
              <w:spacing w:after="0" w:line="240" w:lineRule="auto"/>
              <w:jc w:val="center"/>
              <w:rPr>
                <w:rFonts w:cs="Arial"/>
                <w:color w:val="000000"/>
                <w:sz w:val="20"/>
                <w:szCs w:val="20"/>
              </w:rPr>
            </w:pPr>
            <w:r>
              <w:rPr>
                <w:rFonts w:cs="Arial"/>
                <w:color w:val="000000"/>
                <w:sz w:val="20"/>
                <w:szCs w:val="20"/>
              </w:rPr>
              <w:t>Martha Yolanda Ciro Flórez</w:t>
            </w:r>
          </w:p>
          <w:p w:rsidR="00285F78" w:rsidRPr="00707394" w:rsidRDefault="00285F78" w:rsidP="004D096C">
            <w:pPr>
              <w:autoSpaceDE w:val="0"/>
              <w:autoSpaceDN w:val="0"/>
              <w:adjustRightInd w:val="0"/>
              <w:spacing w:after="0" w:line="240" w:lineRule="auto"/>
              <w:jc w:val="center"/>
              <w:rPr>
                <w:rFonts w:cs="Arial"/>
                <w:b/>
                <w:bCs/>
                <w:sz w:val="20"/>
                <w:szCs w:val="20"/>
              </w:rPr>
            </w:pPr>
            <w:r w:rsidRPr="00707394">
              <w:rPr>
                <w:rFonts w:cs="Arial"/>
                <w:b/>
                <w:bCs/>
                <w:sz w:val="20"/>
                <w:szCs w:val="20"/>
              </w:rPr>
              <w:t>Secretaria General</w:t>
            </w:r>
          </w:p>
          <w:p w:rsidR="00285F78" w:rsidRDefault="00285F78" w:rsidP="004D096C">
            <w:pPr>
              <w:autoSpaceDE w:val="0"/>
              <w:autoSpaceDN w:val="0"/>
              <w:adjustRightInd w:val="0"/>
              <w:spacing w:after="0" w:line="240" w:lineRule="auto"/>
              <w:jc w:val="center"/>
              <w:rPr>
                <w:rFonts w:cs="Arial"/>
                <w:sz w:val="20"/>
                <w:szCs w:val="20"/>
              </w:rPr>
            </w:pPr>
          </w:p>
          <w:p w:rsidR="00285F78" w:rsidRPr="00707394" w:rsidRDefault="00285F78" w:rsidP="004D096C">
            <w:pPr>
              <w:autoSpaceDE w:val="0"/>
              <w:autoSpaceDN w:val="0"/>
              <w:adjustRightInd w:val="0"/>
              <w:spacing w:after="0" w:line="240" w:lineRule="auto"/>
              <w:jc w:val="center"/>
              <w:rPr>
                <w:rFonts w:cs="Arial"/>
                <w:sz w:val="20"/>
                <w:szCs w:val="20"/>
              </w:rPr>
            </w:pPr>
            <w:r>
              <w:rPr>
                <w:rFonts w:cs="Arial"/>
                <w:sz w:val="20"/>
                <w:szCs w:val="20"/>
              </w:rPr>
              <w:t>Juan Carlos Buitrago Ortiz</w:t>
            </w:r>
          </w:p>
          <w:p w:rsidR="00285F78" w:rsidRPr="00707394" w:rsidRDefault="00285F78" w:rsidP="004D096C">
            <w:pPr>
              <w:autoSpaceDE w:val="0"/>
              <w:autoSpaceDN w:val="0"/>
              <w:adjustRightInd w:val="0"/>
              <w:spacing w:after="0" w:line="240" w:lineRule="auto"/>
              <w:jc w:val="center"/>
              <w:rPr>
                <w:rFonts w:cs="Arial"/>
                <w:b/>
                <w:sz w:val="20"/>
                <w:szCs w:val="20"/>
              </w:rPr>
            </w:pPr>
            <w:r>
              <w:rPr>
                <w:rFonts w:cs="Arial"/>
                <w:b/>
                <w:sz w:val="20"/>
                <w:szCs w:val="20"/>
              </w:rPr>
              <w:t>Director</w:t>
            </w:r>
            <w:r w:rsidRPr="00707394">
              <w:rPr>
                <w:rFonts w:cs="Arial"/>
                <w:b/>
                <w:sz w:val="20"/>
                <w:szCs w:val="20"/>
              </w:rPr>
              <w:t xml:space="preserve"> de Primera Infancia</w:t>
            </w:r>
          </w:p>
          <w:p w:rsidR="00285F78" w:rsidRPr="00707394" w:rsidRDefault="00285F78" w:rsidP="004D096C">
            <w:pPr>
              <w:autoSpaceDE w:val="0"/>
              <w:autoSpaceDN w:val="0"/>
              <w:adjustRightInd w:val="0"/>
              <w:spacing w:after="0" w:line="240" w:lineRule="auto"/>
              <w:jc w:val="center"/>
              <w:rPr>
                <w:rFonts w:cs="Arial"/>
                <w:b/>
                <w:sz w:val="20"/>
                <w:szCs w:val="20"/>
                <w:highlight w:val="yellow"/>
              </w:rPr>
            </w:pPr>
          </w:p>
          <w:p w:rsidR="00285F78" w:rsidRPr="00C92672" w:rsidRDefault="00285F78" w:rsidP="004D096C">
            <w:pPr>
              <w:autoSpaceDE w:val="0"/>
              <w:autoSpaceDN w:val="0"/>
              <w:adjustRightInd w:val="0"/>
              <w:spacing w:after="0" w:line="240" w:lineRule="auto"/>
              <w:jc w:val="center"/>
              <w:rPr>
                <w:rFonts w:cs="Arial"/>
                <w:sz w:val="20"/>
                <w:szCs w:val="20"/>
              </w:rPr>
            </w:pPr>
            <w:r>
              <w:rPr>
                <w:rFonts w:cs="Arial"/>
                <w:sz w:val="20"/>
                <w:szCs w:val="20"/>
              </w:rPr>
              <w:t>Cristina Venegas Fajardo</w:t>
            </w:r>
          </w:p>
          <w:p w:rsidR="00285F78" w:rsidRPr="00707394" w:rsidRDefault="00285F78" w:rsidP="004D096C">
            <w:pPr>
              <w:autoSpaceDE w:val="0"/>
              <w:autoSpaceDN w:val="0"/>
              <w:adjustRightInd w:val="0"/>
              <w:spacing w:after="0" w:line="240" w:lineRule="auto"/>
              <w:jc w:val="center"/>
              <w:rPr>
                <w:rFonts w:cs="Arial"/>
                <w:b/>
                <w:sz w:val="20"/>
                <w:szCs w:val="20"/>
              </w:rPr>
            </w:pPr>
            <w:r w:rsidRPr="00707394">
              <w:rPr>
                <w:rFonts w:cs="Arial"/>
                <w:b/>
                <w:sz w:val="20"/>
                <w:szCs w:val="20"/>
              </w:rPr>
              <w:t>Director</w:t>
            </w:r>
            <w:r>
              <w:rPr>
                <w:rFonts w:cs="Arial"/>
                <w:b/>
                <w:sz w:val="20"/>
                <w:szCs w:val="20"/>
              </w:rPr>
              <w:t>a</w:t>
            </w:r>
            <w:r w:rsidRPr="00707394">
              <w:rPr>
                <w:rFonts w:cs="Arial"/>
                <w:b/>
                <w:sz w:val="20"/>
                <w:szCs w:val="20"/>
              </w:rPr>
              <w:t xml:space="preserve"> de Niñez y Adolescencia</w:t>
            </w:r>
          </w:p>
          <w:p w:rsidR="00285F78" w:rsidRPr="00707394" w:rsidRDefault="00285F78" w:rsidP="004D096C">
            <w:pPr>
              <w:autoSpaceDE w:val="0"/>
              <w:autoSpaceDN w:val="0"/>
              <w:adjustRightInd w:val="0"/>
              <w:spacing w:after="0" w:line="240" w:lineRule="auto"/>
              <w:jc w:val="center"/>
              <w:rPr>
                <w:rFonts w:cs="Arial"/>
                <w:b/>
                <w:sz w:val="20"/>
                <w:szCs w:val="20"/>
              </w:rPr>
            </w:pPr>
          </w:p>
          <w:p w:rsidR="00285F78" w:rsidRPr="00707394" w:rsidRDefault="00285F78" w:rsidP="004D096C">
            <w:pPr>
              <w:autoSpaceDE w:val="0"/>
              <w:autoSpaceDN w:val="0"/>
              <w:adjustRightInd w:val="0"/>
              <w:spacing w:after="0" w:line="240" w:lineRule="auto"/>
              <w:jc w:val="center"/>
              <w:rPr>
                <w:rFonts w:cs="Arial"/>
                <w:sz w:val="20"/>
                <w:szCs w:val="20"/>
              </w:rPr>
            </w:pPr>
            <w:r w:rsidRPr="003410F3">
              <w:rPr>
                <w:rFonts w:cs="Arial"/>
                <w:sz w:val="20"/>
                <w:szCs w:val="20"/>
              </w:rPr>
              <w:t>Martha Yaneth Giraldo</w:t>
            </w:r>
            <w:r>
              <w:rPr>
                <w:rFonts w:cs="Arial"/>
                <w:sz w:val="20"/>
                <w:szCs w:val="20"/>
              </w:rPr>
              <w:t xml:space="preserve"> Alfaro</w:t>
            </w:r>
          </w:p>
          <w:p w:rsidR="00285F78" w:rsidRPr="00707394" w:rsidRDefault="00285F78" w:rsidP="004D096C">
            <w:pPr>
              <w:autoSpaceDE w:val="0"/>
              <w:autoSpaceDN w:val="0"/>
              <w:adjustRightInd w:val="0"/>
              <w:spacing w:after="0" w:line="240" w:lineRule="auto"/>
              <w:jc w:val="center"/>
              <w:rPr>
                <w:rFonts w:cs="Arial"/>
                <w:b/>
                <w:sz w:val="20"/>
                <w:szCs w:val="20"/>
              </w:rPr>
            </w:pPr>
            <w:r w:rsidRPr="00707394">
              <w:rPr>
                <w:rFonts w:cs="Arial"/>
                <w:b/>
                <w:sz w:val="20"/>
                <w:szCs w:val="20"/>
              </w:rPr>
              <w:t>Director</w:t>
            </w:r>
            <w:r>
              <w:rPr>
                <w:rFonts w:cs="Arial"/>
                <w:b/>
                <w:sz w:val="20"/>
                <w:szCs w:val="20"/>
              </w:rPr>
              <w:t>a</w:t>
            </w:r>
            <w:r w:rsidRPr="00707394">
              <w:rPr>
                <w:rFonts w:cs="Arial"/>
                <w:b/>
                <w:sz w:val="20"/>
                <w:szCs w:val="20"/>
              </w:rPr>
              <w:t xml:space="preserve"> de Familia y Comunidades</w:t>
            </w:r>
            <w:r>
              <w:rPr>
                <w:rFonts w:cs="Arial"/>
                <w:b/>
                <w:sz w:val="20"/>
                <w:szCs w:val="20"/>
              </w:rPr>
              <w:t xml:space="preserve"> </w:t>
            </w:r>
          </w:p>
          <w:p w:rsidR="00285F78" w:rsidRPr="00707394" w:rsidRDefault="00285F78" w:rsidP="004D096C">
            <w:pPr>
              <w:autoSpaceDE w:val="0"/>
              <w:autoSpaceDN w:val="0"/>
              <w:adjustRightInd w:val="0"/>
              <w:spacing w:after="0" w:line="240" w:lineRule="auto"/>
              <w:jc w:val="center"/>
              <w:rPr>
                <w:rFonts w:cs="Arial"/>
                <w:b/>
                <w:sz w:val="20"/>
                <w:szCs w:val="20"/>
                <w:highlight w:val="yellow"/>
              </w:rPr>
            </w:pPr>
          </w:p>
          <w:p w:rsidR="00285F78" w:rsidRPr="003410F3" w:rsidRDefault="00285F78" w:rsidP="004D096C">
            <w:pPr>
              <w:autoSpaceDE w:val="0"/>
              <w:autoSpaceDN w:val="0"/>
              <w:adjustRightInd w:val="0"/>
              <w:spacing w:after="0" w:line="240" w:lineRule="auto"/>
              <w:jc w:val="center"/>
              <w:rPr>
                <w:rFonts w:cs="Arial"/>
                <w:sz w:val="20"/>
                <w:szCs w:val="20"/>
              </w:rPr>
            </w:pPr>
            <w:r>
              <w:rPr>
                <w:rFonts w:cs="Arial"/>
                <w:sz w:val="20"/>
                <w:szCs w:val="20"/>
              </w:rPr>
              <w:t>Alejandro Gómez López</w:t>
            </w:r>
          </w:p>
          <w:p w:rsidR="00285F78" w:rsidRPr="00707394" w:rsidRDefault="00285F78" w:rsidP="004D096C">
            <w:pPr>
              <w:autoSpaceDE w:val="0"/>
              <w:autoSpaceDN w:val="0"/>
              <w:adjustRightInd w:val="0"/>
              <w:spacing w:after="0" w:line="240" w:lineRule="auto"/>
              <w:jc w:val="center"/>
              <w:rPr>
                <w:rFonts w:cs="Arial"/>
                <w:b/>
                <w:sz w:val="20"/>
                <w:szCs w:val="20"/>
              </w:rPr>
            </w:pPr>
            <w:r>
              <w:rPr>
                <w:rFonts w:cs="Arial"/>
                <w:b/>
                <w:sz w:val="20"/>
                <w:szCs w:val="20"/>
              </w:rPr>
              <w:t>Director</w:t>
            </w:r>
            <w:r w:rsidRPr="00707394">
              <w:rPr>
                <w:rFonts w:cs="Arial"/>
                <w:b/>
                <w:sz w:val="20"/>
                <w:szCs w:val="20"/>
              </w:rPr>
              <w:t xml:space="preserve"> de Nutrición</w:t>
            </w:r>
          </w:p>
          <w:p w:rsidR="00285F78" w:rsidRPr="00707394" w:rsidRDefault="00285F78" w:rsidP="004D096C">
            <w:pPr>
              <w:spacing w:after="0" w:line="240" w:lineRule="auto"/>
              <w:jc w:val="center"/>
              <w:rPr>
                <w:rFonts w:cs="Arial"/>
                <w:b/>
                <w:smallCaps/>
                <w:sz w:val="20"/>
                <w:szCs w:val="20"/>
                <w:highlight w:val="yellow"/>
              </w:rPr>
            </w:pPr>
          </w:p>
          <w:p w:rsidR="00285F78" w:rsidRPr="00707394" w:rsidRDefault="00285F78" w:rsidP="004D096C">
            <w:pPr>
              <w:autoSpaceDE w:val="0"/>
              <w:autoSpaceDN w:val="0"/>
              <w:adjustRightInd w:val="0"/>
              <w:spacing w:after="0" w:line="240" w:lineRule="auto"/>
              <w:jc w:val="center"/>
              <w:rPr>
                <w:rFonts w:cs="Arial"/>
                <w:sz w:val="20"/>
                <w:szCs w:val="20"/>
              </w:rPr>
            </w:pPr>
            <w:r>
              <w:rPr>
                <w:rFonts w:cs="Arial"/>
                <w:sz w:val="20"/>
                <w:szCs w:val="20"/>
              </w:rPr>
              <w:t>Ana María Fergusson Talero</w:t>
            </w:r>
          </w:p>
          <w:p w:rsidR="00285F78" w:rsidRPr="00707394" w:rsidRDefault="00285F78" w:rsidP="004D096C">
            <w:pPr>
              <w:autoSpaceDE w:val="0"/>
              <w:autoSpaceDN w:val="0"/>
              <w:adjustRightInd w:val="0"/>
              <w:spacing w:after="0" w:line="240" w:lineRule="auto"/>
              <w:jc w:val="center"/>
              <w:rPr>
                <w:rFonts w:cs="Arial"/>
                <w:b/>
                <w:sz w:val="20"/>
                <w:szCs w:val="20"/>
              </w:rPr>
            </w:pPr>
            <w:r w:rsidRPr="00707394">
              <w:rPr>
                <w:rFonts w:cs="Arial"/>
                <w:b/>
                <w:sz w:val="20"/>
                <w:szCs w:val="20"/>
              </w:rPr>
              <w:t>Directora de Protección</w:t>
            </w:r>
          </w:p>
          <w:p w:rsidR="00285F78" w:rsidRPr="00707394" w:rsidRDefault="00285F78" w:rsidP="004D096C">
            <w:pPr>
              <w:autoSpaceDE w:val="0"/>
              <w:autoSpaceDN w:val="0"/>
              <w:adjustRightInd w:val="0"/>
              <w:spacing w:after="0" w:line="240" w:lineRule="auto"/>
              <w:jc w:val="center"/>
              <w:rPr>
                <w:rFonts w:cs="Arial"/>
                <w:sz w:val="20"/>
                <w:szCs w:val="20"/>
                <w:highlight w:val="yellow"/>
              </w:rPr>
            </w:pPr>
          </w:p>
          <w:p w:rsidR="00285F78" w:rsidRPr="00707394" w:rsidRDefault="00285F78" w:rsidP="004D096C">
            <w:pPr>
              <w:autoSpaceDE w:val="0"/>
              <w:autoSpaceDN w:val="0"/>
              <w:adjustRightInd w:val="0"/>
              <w:spacing w:after="0" w:line="240" w:lineRule="auto"/>
              <w:jc w:val="center"/>
              <w:rPr>
                <w:rFonts w:cs="Arial"/>
                <w:sz w:val="20"/>
                <w:szCs w:val="20"/>
              </w:rPr>
            </w:pPr>
            <w:r w:rsidRPr="00707394">
              <w:rPr>
                <w:rFonts w:cs="Arial"/>
                <w:sz w:val="20"/>
                <w:szCs w:val="20"/>
              </w:rPr>
              <w:t>Juan Carlos Bolívar López</w:t>
            </w:r>
          </w:p>
          <w:p w:rsidR="00285F78" w:rsidRPr="00707394" w:rsidRDefault="00285F78" w:rsidP="004D096C">
            <w:pPr>
              <w:autoSpaceDE w:val="0"/>
              <w:autoSpaceDN w:val="0"/>
              <w:adjustRightInd w:val="0"/>
              <w:spacing w:after="0" w:line="240" w:lineRule="auto"/>
              <w:jc w:val="center"/>
              <w:rPr>
                <w:rFonts w:cs="Arial"/>
                <w:b/>
                <w:sz w:val="20"/>
                <w:szCs w:val="20"/>
              </w:rPr>
            </w:pPr>
            <w:r w:rsidRPr="00707394">
              <w:rPr>
                <w:rFonts w:cs="Arial"/>
                <w:b/>
                <w:sz w:val="20"/>
                <w:szCs w:val="20"/>
              </w:rPr>
              <w:t>Director de Planeación y Control de la Gestión</w:t>
            </w:r>
          </w:p>
          <w:p w:rsidR="00285F78" w:rsidRPr="00707394" w:rsidRDefault="00285F78" w:rsidP="004D096C">
            <w:pPr>
              <w:autoSpaceDE w:val="0"/>
              <w:autoSpaceDN w:val="0"/>
              <w:adjustRightInd w:val="0"/>
              <w:spacing w:after="0" w:line="240" w:lineRule="auto"/>
              <w:jc w:val="center"/>
              <w:rPr>
                <w:rFonts w:cs="Arial"/>
                <w:b/>
                <w:sz w:val="20"/>
                <w:szCs w:val="20"/>
                <w:highlight w:val="yellow"/>
              </w:rPr>
            </w:pPr>
          </w:p>
          <w:p w:rsidR="00285F78" w:rsidRPr="00707394" w:rsidRDefault="00285F78" w:rsidP="004D096C">
            <w:pPr>
              <w:autoSpaceDE w:val="0"/>
              <w:autoSpaceDN w:val="0"/>
              <w:adjustRightInd w:val="0"/>
              <w:spacing w:after="0" w:line="240" w:lineRule="auto"/>
              <w:jc w:val="center"/>
              <w:rPr>
                <w:rFonts w:cs="Arial"/>
                <w:sz w:val="20"/>
                <w:szCs w:val="20"/>
              </w:rPr>
            </w:pPr>
            <w:r w:rsidRPr="00707394">
              <w:rPr>
                <w:rFonts w:cs="Arial"/>
                <w:sz w:val="20"/>
                <w:szCs w:val="20"/>
              </w:rPr>
              <w:t>Pedro Quijano Samper</w:t>
            </w:r>
          </w:p>
          <w:p w:rsidR="00285F78" w:rsidRPr="00707394" w:rsidRDefault="00285F78" w:rsidP="004D096C">
            <w:pPr>
              <w:autoSpaceDE w:val="0"/>
              <w:autoSpaceDN w:val="0"/>
              <w:adjustRightInd w:val="0"/>
              <w:spacing w:after="0" w:line="240" w:lineRule="auto"/>
              <w:jc w:val="center"/>
              <w:rPr>
                <w:rFonts w:cs="Arial"/>
                <w:sz w:val="20"/>
                <w:szCs w:val="20"/>
              </w:rPr>
            </w:pPr>
            <w:r>
              <w:rPr>
                <w:rFonts w:cs="Arial"/>
                <w:b/>
                <w:sz w:val="20"/>
                <w:szCs w:val="20"/>
              </w:rPr>
              <w:t xml:space="preserve">Director </w:t>
            </w:r>
            <w:r w:rsidRPr="00707394">
              <w:rPr>
                <w:rFonts w:cs="Arial"/>
                <w:b/>
                <w:sz w:val="20"/>
                <w:szCs w:val="20"/>
              </w:rPr>
              <w:t>Sistema Nacional de Bienest</w:t>
            </w:r>
            <w:r>
              <w:rPr>
                <w:rFonts w:cs="Arial"/>
                <w:b/>
                <w:sz w:val="20"/>
                <w:szCs w:val="20"/>
              </w:rPr>
              <w:t>ar Familiar y Gestión Regional</w:t>
            </w:r>
          </w:p>
          <w:p w:rsidR="00285F78" w:rsidRPr="00707394" w:rsidRDefault="00285F78" w:rsidP="004D096C">
            <w:pPr>
              <w:autoSpaceDE w:val="0"/>
              <w:autoSpaceDN w:val="0"/>
              <w:adjustRightInd w:val="0"/>
              <w:spacing w:after="0" w:line="240" w:lineRule="auto"/>
              <w:jc w:val="center"/>
              <w:rPr>
                <w:rFonts w:cs="Arial"/>
                <w:sz w:val="20"/>
                <w:szCs w:val="20"/>
              </w:rPr>
            </w:pPr>
          </w:p>
          <w:p w:rsidR="00285F78" w:rsidRPr="00707394" w:rsidRDefault="00285F78" w:rsidP="004D096C">
            <w:pPr>
              <w:autoSpaceDE w:val="0"/>
              <w:autoSpaceDN w:val="0"/>
              <w:adjustRightInd w:val="0"/>
              <w:spacing w:after="0" w:line="240" w:lineRule="auto"/>
              <w:jc w:val="center"/>
              <w:rPr>
                <w:rFonts w:cs="Arial"/>
                <w:sz w:val="20"/>
                <w:szCs w:val="20"/>
              </w:rPr>
            </w:pPr>
            <w:r w:rsidRPr="003410F3">
              <w:rPr>
                <w:rFonts w:cs="Arial"/>
                <w:sz w:val="20"/>
                <w:szCs w:val="20"/>
              </w:rPr>
              <w:t>Luz Karime Fernández Castillo</w:t>
            </w:r>
          </w:p>
          <w:p w:rsidR="00285F78" w:rsidRPr="00707394" w:rsidRDefault="00285F78" w:rsidP="004D096C">
            <w:pPr>
              <w:autoSpaceDE w:val="0"/>
              <w:autoSpaceDN w:val="0"/>
              <w:adjustRightInd w:val="0"/>
              <w:spacing w:after="0" w:line="240" w:lineRule="auto"/>
              <w:jc w:val="center"/>
              <w:rPr>
                <w:rFonts w:cs="Arial"/>
                <w:b/>
                <w:sz w:val="20"/>
                <w:szCs w:val="20"/>
              </w:rPr>
            </w:pPr>
            <w:r w:rsidRPr="00707394">
              <w:rPr>
                <w:rFonts w:cs="Arial"/>
                <w:b/>
                <w:sz w:val="20"/>
                <w:szCs w:val="20"/>
              </w:rPr>
              <w:t>Jefe Oficina Asesora Jurídica</w:t>
            </w:r>
          </w:p>
          <w:p w:rsidR="00285F78" w:rsidRDefault="00285F78" w:rsidP="004D096C">
            <w:pPr>
              <w:autoSpaceDE w:val="0"/>
              <w:autoSpaceDN w:val="0"/>
              <w:adjustRightInd w:val="0"/>
              <w:spacing w:after="0" w:line="240" w:lineRule="auto"/>
              <w:jc w:val="center"/>
              <w:rPr>
                <w:rFonts w:cs="Arial"/>
                <w:sz w:val="20"/>
                <w:szCs w:val="20"/>
              </w:rPr>
            </w:pPr>
          </w:p>
          <w:p w:rsidR="00285F78" w:rsidRPr="00707394" w:rsidRDefault="00F86AA6" w:rsidP="004D096C">
            <w:pPr>
              <w:autoSpaceDE w:val="0"/>
              <w:autoSpaceDN w:val="0"/>
              <w:adjustRightInd w:val="0"/>
              <w:spacing w:after="0" w:line="240" w:lineRule="auto"/>
              <w:jc w:val="center"/>
              <w:rPr>
                <w:rFonts w:cs="Arial"/>
                <w:sz w:val="20"/>
                <w:szCs w:val="20"/>
              </w:rPr>
            </w:pPr>
            <w:r>
              <w:rPr>
                <w:rFonts w:cs="Arial"/>
                <w:sz w:val="20"/>
                <w:szCs w:val="20"/>
              </w:rPr>
              <w:t>Julio Norberto Solano Jiménez</w:t>
            </w:r>
          </w:p>
          <w:p w:rsidR="00285F78" w:rsidRPr="00707394" w:rsidRDefault="00285F78" w:rsidP="004D096C">
            <w:pPr>
              <w:autoSpaceDE w:val="0"/>
              <w:autoSpaceDN w:val="0"/>
              <w:adjustRightInd w:val="0"/>
              <w:spacing w:after="0" w:line="240" w:lineRule="auto"/>
              <w:jc w:val="center"/>
              <w:rPr>
                <w:rFonts w:cs="Arial"/>
                <w:sz w:val="20"/>
                <w:szCs w:val="20"/>
              </w:rPr>
            </w:pPr>
            <w:r>
              <w:rPr>
                <w:rFonts w:cs="Arial"/>
                <w:b/>
                <w:sz w:val="20"/>
                <w:szCs w:val="20"/>
              </w:rPr>
              <w:t xml:space="preserve">Jefe </w:t>
            </w:r>
            <w:r w:rsidRPr="00707394">
              <w:rPr>
                <w:rFonts w:cs="Arial"/>
                <w:b/>
                <w:sz w:val="20"/>
                <w:szCs w:val="20"/>
              </w:rPr>
              <w:t>Oficina Asesora de Comunicaciones</w:t>
            </w:r>
          </w:p>
          <w:p w:rsidR="00285F78" w:rsidRPr="00707394" w:rsidRDefault="00285F78" w:rsidP="004D096C">
            <w:pPr>
              <w:autoSpaceDE w:val="0"/>
              <w:autoSpaceDN w:val="0"/>
              <w:adjustRightInd w:val="0"/>
              <w:spacing w:after="0" w:line="240" w:lineRule="auto"/>
              <w:jc w:val="center"/>
              <w:rPr>
                <w:rFonts w:cs="Arial"/>
                <w:sz w:val="20"/>
                <w:szCs w:val="20"/>
              </w:rPr>
            </w:pPr>
          </w:p>
          <w:p w:rsidR="00285F78" w:rsidRPr="00707394" w:rsidRDefault="00285F78" w:rsidP="004D096C">
            <w:pPr>
              <w:autoSpaceDE w:val="0"/>
              <w:autoSpaceDN w:val="0"/>
              <w:adjustRightInd w:val="0"/>
              <w:spacing w:after="0" w:line="240" w:lineRule="auto"/>
              <w:jc w:val="center"/>
              <w:rPr>
                <w:rFonts w:cs="Arial"/>
                <w:sz w:val="20"/>
                <w:szCs w:val="20"/>
              </w:rPr>
            </w:pPr>
            <w:r>
              <w:rPr>
                <w:rFonts w:cs="Arial"/>
                <w:sz w:val="20"/>
                <w:szCs w:val="20"/>
              </w:rPr>
              <w:t>Héctor Germán Páramo Urrea</w:t>
            </w:r>
          </w:p>
          <w:p w:rsidR="00285F78" w:rsidRDefault="00285F78" w:rsidP="004D096C">
            <w:pPr>
              <w:spacing w:after="0" w:line="240" w:lineRule="auto"/>
              <w:jc w:val="center"/>
              <w:rPr>
                <w:rFonts w:cs="Arial"/>
                <w:b/>
                <w:sz w:val="20"/>
                <w:szCs w:val="20"/>
              </w:rPr>
            </w:pPr>
            <w:r>
              <w:rPr>
                <w:rFonts w:cs="Arial"/>
                <w:b/>
                <w:sz w:val="20"/>
                <w:szCs w:val="20"/>
              </w:rPr>
              <w:t>Director</w:t>
            </w:r>
            <w:r w:rsidRPr="00707394">
              <w:rPr>
                <w:rFonts w:cs="Arial"/>
                <w:b/>
                <w:sz w:val="20"/>
                <w:szCs w:val="20"/>
              </w:rPr>
              <w:t xml:space="preserve"> de Información y Tecnología</w:t>
            </w:r>
          </w:p>
          <w:p w:rsidR="00285F78" w:rsidRDefault="00285F78" w:rsidP="004D096C">
            <w:pPr>
              <w:spacing w:after="0" w:line="240" w:lineRule="auto"/>
              <w:jc w:val="center"/>
              <w:rPr>
                <w:rFonts w:cs="Arial"/>
                <w:b/>
                <w:sz w:val="20"/>
                <w:szCs w:val="20"/>
              </w:rPr>
            </w:pPr>
          </w:p>
          <w:p w:rsidR="00285F78" w:rsidRPr="00196FA4" w:rsidRDefault="00F86AA6" w:rsidP="004D096C">
            <w:pPr>
              <w:autoSpaceDE w:val="0"/>
              <w:autoSpaceDN w:val="0"/>
              <w:adjustRightInd w:val="0"/>
              <w:spacing w:after="0" w:line="240" w:lineRule="auto"/>
              <w:jc w:val="center"/>
              <w:rPr>
                <w:rFonts w:cs="Arial"/>
                <w:sz w:val="20"/>
                <w:szCs w:val="20"/>
              </w:rPr>
            </w:pPr>
            <w:r>
              <w:rPr>
                <w:rFonts w:cs="Arial"/>
                <w:sz w:val="20"/>
                <w:szCs w:val="20"/>
              </w:rPr>
              <w:t>Yanira Villamil Suzunaga</w:t>
            </w:r>
          </w:p>
          <w:p w:rsidR="00285F78" w:rsidRPr="00707394" w:rsidRDefault="00285F78" w:rsidP="004D096C">
            <w:pPr>
              <w:autoSpaceDE w:val="0"/>
              <w:autoSpaceDN w:val="0"/>
              <w:adjustRightInd w:val="0"/>
              <w:spacing w:after="0" w:line="240" w:lineRule="auto"/>
              <w:jc w:val="center"/>
              <w:rPr>
                <w:rFonts w:cs="Arial"/>
                <w:sz w:val="20"/>
                <w:szCs w:val="20"/>
                <w:highlight w:val="yellow"/>
              </w:rPr>
            </w:pPr>
            <w:r w:rsidRPr="00707394">
              <w:rPr>
                <w:rFonts w:cs="Arial"/>
                <w:b/>
                <w:sz w:val="20"/>
                <w:szCs w:val="20"/>
              </w:rPr>
              <w:t>Jefe Oficina de Control Interno</w:t>
            </w:r>
          </w:p>
        </w:tc>
        <w:tc>
          <w:tcPr>
            <w:tcW w:w="4858" w:type="dxa"/>
          </w:tcPr>
          <w:p w:rsidR="00285F78" w:rsidRPr="00707394" w:rsidRDefault="00285F78" w:rsidP="004D096C">
            <w:pPr>
              <w:autoSpaceDE w:val="0"/>
              <w:autoSpaceDN w:val="0"/>
              <w:adjustRightInd w:val="0"/>
              <w:spacing w:after="0" w:line="240" w:lineRule="auto"/>
              <w:jc w:val="center"/>
              <w:rPr>
                <w:rFonts w:cs="Arial"/>
                <w:b/>
                <w:sz w:val="20"/>
                <w:szCs w:val="20"/>
              </w:rPr>
            </w:pPr>
          </w:p>
          <w:p w:rsidR="00285F78" w:rsidRDefault="00285F78" w:rsidP="004D096C">
            <w:pPr>
              <w:autoSpaceDE w:val="0"/>
              <w:autoSpaceDN w:val="0"/>
              <w:adjustRightInd w:val="0"/>
              <w:spacing w:after="0" w:line="240" w:lineRule="auto"/>
              <w:jc w:val="center"/>
              <w:rPr>
                <w:rFonts w:cs="Arial"/>
                <w:color w:val="000000"/>
                <w:sz w:val="20"/>
                <w:szCs w:val="20"/>
              </w:rPr>
            </w:pPr>
          </w:p>
          <w:p w:rsidR="00285F78" w:rsidRPr="00707394" w:rsidRDefault="00285F78" w:rsidP="004D096C">
            <w:pPr>
              <w:autoSpaceDE w:val="0"/>
              <w:autoSpaceDN w:val="0"/>
              <w:adjustRightInd w:val="0"/>
              <w:spacing w:after="0" w:line="240" w:lineRule="auto"/>
              <w:jc w:val="center"/>
              <w:rPr>
                <w:rFonts w:cs="Arial"/>
                <w:sz w:val="20"/>
                <w:szCs w:val="20"/>
              </w:rPr>
            </w:pPr>
            <w:r>
              <w:rPr>
                <w:rFonts w:cs="Arial"/>
                <w:sz w:val="20"/>
                <w:szCs w:val="20"/>
              </w:rPr>
              <w:t>Maria Magdalena Forero Moreno</w:t>
            </w:r>
          </w:p>
          <w:p w:rsidR="00285F78" w:rsidRDefault="00285F78" w:rsidP="004D096C">
            <w:pPr>
              <w:autoSpaceDE w:val="0"/>
              <w:autoSpaceDN w:val="0"/>
              <w:adjustRightInd w:val="0"/>
              <w:spacing w:after="0" w:line="240" w:lineRule="auto"/>
              <w:jc w:val="center"/>
              <w:rPr>
                <w:rFonts w:cs="Arial"/>
                <w:b/>
                <w:sz w:val="20"/>
                <w:szCs w:val="20"/>
              </w:rPr>
            </w:pPr>
            <w:r w:rsidRPr="00707394">
              <w:rPr>
                <w:rFonts w:cs="Arial"/>
                <w:b/>
                <w:sz w:val="20"/>
                <w:szCs w:val="20"/>
              </w:rPr>
              <w:t>Jefe Oficina de Cooperación y Convenios</w:t>
            </w:r>
          </w:p>
          <w:p w:rsidR="00285F78" w:rsidRDefault="00285F78" w:rsidP="004D096C">
            <w:pPr>
              <w:spacing w:after="0" w:line="240" w:lineRule="auto"/>
              <w:jc w:val="center"/>
              <w:rPr>
                <w:rFonts w:cs="Arial"/>
                <w:sz w:val="20"/>
                <w:szCs w:val="20"/>
                <w:highlight w:val="yellow"/>
              </w:rPr>
            </w:pPr>
          </w:p>
          <w:p w:rsidR="00285F78" w:rsidRPr="007F77CB" w:rsidRDefault="00285F78" w:rsidP="004D096C">
            <w:pPr>
              <w:autoSpaceDE w:val="0"/>
              <w:autoSpaceDN w:val="0"/>
              <w:adjustRightInd w:val="0"/>
              <w:spacing w:after="0" w:line="240" w:lineRule="auto"/>
              <w:jc w:val="center"/>
              <w:rPr>
                <w:rFonts w:cs="Arial"/>
                <w:sz w:val="20"/>
                <w:szCs w:val="20"/>
              </w:rPr>
            </w:pPr>
            <w:r w:rsidRPr="007F77CB">
              <w:rPr>
                <w:rFonts w:cs="Arial"/>
                <w:sz w:val="20"/>
                <w:szCs w:val="20"/>
              </w:rPr>
              <w:t>Cecilia Lorena Barraza Morelle</w:t>
            </w:r>
          </w:p>
          <w:p w:rsidR="00285F78" w:rsidRPr="00707394" w:rsidRDefault="00285F78" w:rsidP="004D096C">
            <w:pPr>
              <w:autoSpaceDE w:val="0"/>
              <w:autoSpaceDN w:val="0"/>
              <w:adjustRightInd w:val="0"/>
              <w:spacing w:after="0" w:line="240" w:lineRule="auto"/>
              <w:jc w:val="center"/>
              <w:rPr>
                <w:rFonts w:cs="Arial"/>
                <w:b/>
                <w:sz w:val="20"/>
                <w:szCs w:val="20"/>
              </w:rPr>
            </w:pPr>
            <w:r w:rsidRPr="00707394">
              <w:rPr>
                <w:rFonts w:cs="Arial"/>
                <w:b/>
                <w:sz w:val="20"/>
                <w:szCs w:val="20"/>
              </w:rPr>
              <w:t>Jefe Oficina de Gestión Regional</w:t>
            </w:r>
          </w:p>
          <w:p w:rsidR="00285F78" w:rsidRDefault="00285F78" w:rsidP="004D096C">
            <w:pPr>
              <w:autoSpaceDE w:val="0"/>
              <w:autoSpaceDN w:val="0"/>
              <w:adjustRightInd w:val="0"/>
              <w:spacing w:after="0" w:line="240" w:lineRule="auto"/>
              <w:jc w:val="center"/>
              <w:rPr>
                <w:rFonts w:cs="Arial"/>
                <w:sz w:val="20"/>
                <w:szCs w:val="20"/>
              </w:rPr>
            </w:pPr>
          </w:p>
          <w:p w:rsidR="00285F78" w:rsidRDefault="00285F78" w:rsidP="004D096C">
            <w:pPr>
              <w:autoSpaceDE w:val="0"/>
              <w:autoSpaceDN w:val="0"/>
              <w:adjustRightInd w:val="0"/>
              <w:spacing w:after="0" w:line="240" w:lineRule="auto"/>
              <w:jc w:val="center"/>
              <w:rPr>
                <w:rFonts w:cs="Arial"/>
                <w:sz w:val="20"/>
                <w:szCs w:val="20"/>
              </w:rPr>
            </w:pPr>
            <w:r>
              <w:rPr>
                <w:rFonts w:cs="Arial"/>
                <w:sz w:val="20"/>
                <w:szCs w:val="20"/>
              </w:rPr>
              <w:t>Carlos Enrique Garzón Gómez</w:t>
            </w:r>
          </w:p>
          <w:p w:rsidR="00285F78" w:rsidRPr="00707394" w:rsidRDefault="00285F78" w:rsidP="004D096C">
            <w:pPr>
              <w:autoSpaceDE w:val="0"/>
              <w:autoSpaceDN w:val="0"/>
              <w:adjustRightInd w:val="0"/>
              <w:spacing w:after="0" w:line="240" w:lineRule="auto"/>
              <w:jc w:val="center"/>
              <w:rPr>
                <w:rFonts w:cs="Arial"/>
                <w:b/>
                <w:sz w:val="20"/>
                <w:szCs w:val="20"/>
              </w:rPr>
            </w:pPr>
            <w:r>
              <w:rPr>
                <w:rFonts w:cs="Arial"/>
                <w:b/>
                <w:sz w:val="20"/>
                <w:szCs w:val="20"/>
              </w:rPr>
              <w:t>Dire</w:t>
            </w:r>
            <w:r w:rsidRPr="00707394">
              <w:rPr>
                <w:rFonts w:cs="Arial"/>
                <w:b/>
                <w:sz w:val="20"/>
                <w:szCs w:val="20"/>
              </w:rPr>
              <w:t>ctor de Gestión Humana</w:t>
            </w:r>
          </w:p>
          <w:p w:rsidR="00285F78" w:rsidRDefault="00285F78" w:rsidP="004D096C">
            <w:pPr>
              <w:autoSpaceDE w:val="0"/>
              <w:autoSpaceDN w:val="0"/>
              <w:adjustRightInd w:val="0"/>
              <w:spacing w:after="0" w:line="240" w:lineRule="auto"/>
              <w:jc w:val="center"/>
              <w:rPr>
                <w:rFonts w:cs="Arial"/>
                <w:sz w:val="20"/>
                <w:szCs w:val="20"/>
              </w:rPr>
            </w:pPr>
          </w:p>
          <w:p w:rsidR="00260D02" w:rsidRPr="00260D02" w:rsidRDefault="00260D02" w:rsidP="00260D02">
            <w:pPr>
              <w:autoSpaceDE w:val="0"/>
              <w:autoSpaceDN w:val="0"/>
              <w:adjustRightInd w:val="0"/>
              <w:spacing w:after="0" w:line="240" w:lineRule="auto"/>
              <w:jc w:val="center"/>
              <w:rPr>
                <w:rFonts w:cs="Arial"/>
                <w:sz w:val="20"/>
                <w:szCs w:val="20"/>
              </w:rPr>
            </w:pPr>
            <w:r>
              <w:rPr>
                <w:rFonts w:cs="Arial"/>
                <w:sz w:val="20"/>
                <w:szCs w:val="20"/>
              </w:rPr>
              <w:t>Georlett Sofí</w:t>
            </w:r>
            <w:r w:rsidRPr="00260D02">
              <w:rPr>
                <w:rFonts w:cs="Arial"/>
                <w:sz w:val="20"/>
                <w:szCs w:val="20"/>
              </w:rPr>
              <w:t xml:space="preserve">a Gordon Ramos </w:t>
            </w:r>
          </w:p>
          <w:p w:rsidR="00285F78" w:rsidRPr="00260D02" w:rsidRDefault="00285F78" w:rsidP="004D096C">
            <w:pPr>
              <w:autoSpaceDE w:val="0"/>
              <w:autoSpaceDN w:val="0"/>
              <w:adjustRightInd w:val="0"/>
              <w:spacing w:after="0" w:line="240" w:lineRule="auto"/>
              <w:jc w:val="center"/>
              <w:rPr>
                <w:rFonts w:cs="Arial"/>
                <w:b/>
                <w:sz w:val="20"/>
                <w:szCs w:val="20"/>
              </w:rPr>
            </w:pPr>
            <w:r w:rsidRPr="00260D02">
              <w:rPr>
                <w:rFonts w:cs="Arial"/>
                <w:b/>
                <w:sz w:val="20"/>
                <w:szCs w:val="20"/>
              </w:rPr>
              <w:t>Director</w:t>
            </w:r>
            <w:r w:rsidR="00260D02">
              <w:rPr>
                <w:rFonts w:cs="Arial"/>
                <w:b/>
                <w:sz w:val="20"/>
                <w:szCs w:val="20"/>
              </w:rPr>
              <w:t>a</w:t>
            </w:r>
            <w:r w:rsidRPr="00260D02">
              <w:rPr>
                <w:rFonts w:cs="Arial"/>
                <w:b/>
                <w:sz w:val="20"/>
                <w:szCs w:val="20"/>
              </w:rPr>
              <w:t xml:space="preserve"> Administrativo</w:t>
            </w:r>
            <w:r w:rsidR="00EC0FC1">
              <w:rPr>
                <w:rFonts w:cs="Arial"/>
                <w:b/>
                <w:sz w:val="20"/>
                <w:szCs w:val="20"/>
              </w:rPr>
              <w:t xml:space="preserve"> (E)</w:t>
            </w:r>
          </w:p>
          <w:p w:rsidR="00285F78" w:rsidRDefault="00285F78" w:rsidP="004D096C">
            <w:pPr>
              <w:autoSpaceDE w:val="0"/>
              <w:autoSpaceDN w:val="0"/>
              <w:adjustRightInd w:val="0"/>
              <w:spacing w:after="0" w:line="240" w:lineRule="auto"/>
              <w:jc w:val="center"/>
              <w:rPr>
                <w:rFonts w:cs="Arial"/>
                <w:b/>
                <w:bCs/>
                <w:sz w:val="20"/>
                <w:szCs w:val="20"/>
              </w:rPr>
            </w:pPr>
          </w:p>
          <w:p w:rsidR="00285F78" w:rsidRPr="003270FB" w:rsidRDefault="00285F78" w:rsidP="004D096C">
            <w:pPr>
              <w:autoSpaceDE w:val="0"/>
              <w:autoSpaceDN w:val="0"/>
              <w:adjustRightInd w:val="0"/>
              <w:spacing w:after="0" w:line="240" w:lineRule="auto"/>
              <w:jc w:val="center"/>
              <w:rPr>
                <w:rFonts w:cs="Arial"/>
                <w:bCs/>
                <w:sz w:val="20"/>
                <w:szCs w:val="20"/>
              </w:rPr>
            </w:pPr>
            <w:r>
              <w:rPr>
                <w:rFonts w:cs="Arial"/>
                <w:bCs/>
                <w:sz w:val="20"/>
                <w:szCs w:val="20"/>
              </w:rPr>
              <w:t>Martha Inés Estupiñan Estupiñan</w:t>
            </w:r>
          </w:p>
          <w:p w:rsidR="00285F78" w:rsidRPr="00707394" w:rsidRDefault="00285F78" w:rsidP="004D096C">
            <w:pPr>
              <w:autoSpaceDE w:val="0"/>
              <w:autoSpaceDN w:val="0"/>
              <w:adjustRightInd w:val="0"/>
              <w:spacing w:after="0" w:line="240" w:lineRule="auto"/>
              <w:jc w:val="center"/>
              <w:rPr>
                <w:rFonts w:cs="Arial"/>
                <w:b/>
                <w:sz w:val="20"/>
                <w:szCs w:val="20"/>
              </w:rPr>
            </w:pPr>
            <w:r w:rsidRPr="00707394">
              <w:rPr>
                <w:rFonts w:cs="Arial"/>
                <w:b/>
                <w:sz w:val="20"/>
                <w:szCs w:val="20"/>
              </w:rPr>
              <w:t>Director</w:t>
            </w:r>
            <w:r w:rsidR="00260D02">
              <w:rPr>
                <w:rFonts w:cs="Arial"/>
                <w:b/>
                <w:sz w:val="20"/>
                <w:szCs w:val="20"/>
              </w:rPr>
              <w:t>a Financiera</w:t>
            </w:r>
          </w:p>
          <w:p w:rsidR="00285F78" w:rsidRPr="00707394" w:rsidRDefault="00285F78" w:rsidP="004D096C">
            <w:pPr>
              <w:autoSpaceDE w:val="0"/>
              <w:autoSpaceDN w:val="0"/>
              <w:adjustRightInd w:val="0"/>
              <w:spacing w:after="0" w:line="240" w:lineRule="auto"/>
              <w:jc w:val="center"/>
              <w:rPr>
                <w:rFonts w:cs="Arial"/>
                <w:b/>
                <w:bCs/>
                <w:sz w:val="20"/>
                <w:szCs w:val="20"/>
              </w:rPr>
            </w:pPr>
          </w:p>
          <w:p w:rsidR="00285F78" w:rsidRPr="007F77CB" w:rsidRDefault="00285F78" w:rsidP="004D096C">
            <w:pPr>
              <w:autoSpaceDE w:val="0"/>
              <w:autoSpaceDN w:val="0"/>
              <w:adjustRightInd w:val="0"/>
              <w:spacing w:after="0" w:line="240" w:lineRule="auto"/>
              <w:jc w:val="center"/>
              <w:rPr>
                <w:rFonts w:cs="Arial"/>
                <w:sz w:val="20"/>
                <w:szCs w:val="20"/>
              </w:rPr>
            </w:pPr>
            <w:r w:rsidRPr="007F77CB">
              <w:rPr>
                <w:rFonts w:cs="Arial"/>
                <w:sz w:val="20"/>
                <w:szCs w:val="20"/>
              </w:rPr>
              <w:t>Carolina Fajardo Triana</w:t>
            </w:r>
          </w:p>
          <w:p w:rsidR="00285F78" w:rsidRPr="00707394" w:rsidRDefault="00285F78" w:rsidP="004D096C">
            <w:pPr>
              <w:autoSpaceDE w:val="0"/>
              <w:autoSpaceDN w:val="0"/>
              <w:adjustRightInd w:val="0"/>
              <w:spacing w:after="0" w:line="240" w:lineRule="auto"/>
              <w:jc w:val="center"/>
              <w:rPr>
                <w:rFonts w:cs="Arial"/>
                <w:b/>
                <w:sz w:val="20"/>
                <w:szCs w:val="20"/>
              </w:rPr>
            </w:pPr>
            <w:r w:rsidRPr="00707394">
              <w:rPr>
                <w:rFonts w:cs="Arial"/>
                <w:b/>
                <w:sz w:val="20"/>
                <w:szCs w:val="20"/>
              </w:rPr>
              <w:t xml:space="preserve">Jefe </w:t>
            </w:r>
            <w:hyperlink r:id="rId10" w:history="1">
              <w:r w:rsidRPr="00707394">
                <w:rPr>
                  <w:rFonts w:cs="Arial"/>
                  <w:b/>
                  <w:sz w:val="20"/>
                  <w:szCs w:val="20"/>
                </w:rPr>
                <w:t>Oficina de Control Interno Disciplinario</w:t>
              </w:r>
            </w:hyperlink>
          </w:p>
          <w:p w:rsidR="00285F78" w:rsidRPr="00707394" w:rsidRDefault="00285F78" w:rsidP="004D096C">
            <w:pPr>
              <w:autoSpaceDE w:val="0"/>
              <w:autoSpaceDN w:val="0"/>
              <w:adjustRightInd w:val="0"/>
              <w:spacing w:after="0" w:line="240" w:lineRule="auto"/>
              <w:jc w:val="center"/>
              <w:rPr>
                <w:rFonts w:cs="Arial"/>
                <w:b/>
                <w:sz w:val="20"/>
                <w:szCs w:val="20"/>
              </w:rPr>
            </w:pPr>
          </w:p>
          <w:p w:rsidR="00285F78" w:rsidRPr="00F86AA6" w:rsidRDefault="00F86AA6" w:rsidP="004D096C">
            <w:pPr>
              <w:autoSpaceDE w:val="0"/>
              <w:autoSpaceDN w:val="0"/>
              <w:adjustRightInd w:val="0"/>
              <w:spacing w:after="0" w:line="240" w:lineRule="auto"/>
              <w:jc w:val="center"/>
              <w:rPr>
                <w:rFonts w:cs="Arial"/>
                <w:bCs/>
                <w:sz w:val="20"/>
                <w:szCs w:val="20"/>
              </w:rPr>
            </w:pPr>
            <w:r w:rsidRPr="00F86AA6">
              <w:rPr>
                <w:rFonts w:cs="Arial"/>
                <w:bCs/>
                <w:sz w:val="20"/>
                <w:szCs w:val="20"/>
              </w:rPr>
              <w:t>Jorge Camilo Carillo Padrón</w:t>
            </w:r>
          </w:p>
          <w:p w:rsidR="00285F78" w:rsidRPr="00707394" w:rsidRDefault="00285F78" w:rsidP="004D096C">
            <w:pPr>
              <w:autoSpaceDE w:val="0"/>
              <w:autoSpaceDN w:val="0"/>
              <w:adjustRightInd w:val="0"/>
              <w:spacing w:after="0" w:line="240" w:lineRule="auto"/>
              <w:jc w:val="center"/>
              <w:rPr>
                <w:rFonts w:cs="Arial"/>
                <w:b/>
                <w:sz w:val="20"/>
                <w:szCs w:val="20"/>
              </w:rPr>
            </w:pPr>
            <w:r w:rsidRPr="00707394">
              <w:rPr>
                <w:rFonts w:cs="Arial"/>
                <w:b/>
                <w:sz w:val="20"/>
                <w:szCs w:val="20"/>
              </w:rPr>
              <w:t>Directora de Contratación</w:t>
            </w:r>
          </w:p>
          <w:p w:rsidR="00285F78" w:rsidRPr="00707394" w:rsidRDefault="00285F78" w:rsidP="004D096C">
            <w:pPr>
              <w:autoSpaceDE w:val="0"/>
              <w:autoSpaceDN w:val="0"/>
              <w:adjustRightInd w:val="0"/>
              <w:spacing w:after="0" w:line="240" w:lineRule="auto"/>
              <w:jc w:val="center"/>
              <w:rPr>
                <w:rFonts w:cs="Arial"/>
                <w:sz w:val="20"/>
                <w:szCs w:val="20"/>
              </w:rPr>
            </w:pPr>
          </w:p>
          <w:p w:rsidR="00A3303E" w:rsidRPr="00A3303E" w:rsidRDefault="00A3303E" w:rsidP="00A3303E">
            <w:pPr>
              <w:autoSpaceDE w:val="0"/>
              <w:autoSpaceDN w:val="0"/>
              <w:adjustRightInd w:val="0"/>
              <w:spacing w:after="0" w:line="240" w:lineRule="auto"/>
              <w:jc w:val="center"/>
              <w:rPr>
                <w:rFonts w:cs="Arial"/>
                <w:bCs/>
                <w:sz w:val="20"/>
                <w:szCs w:val="20"/>
              </w:rPr>
            </w:pPr>
            <w:r w:rsidRPr="00A3303E">
              <w:rPr>
                <w:rFonts w:cs="Arial"/>
                <w:bCs/>
                <w:sz w:val="20"/>
                <w:szCs w:val="20"/>
              </w:rPr>
              <w:t>Katty Eljach Martinez</w:t>
            </w:r>
          </w:p>
          <w:p w:rsidR="00285F78" w:rsidRPr="00A3303E" w:rsidRDefault="00285F78" w:rsidP="004D096C">
            <w:pPr>
              <w:autoSpaceDE w:val="0"/>
              <w:autoSpaceDN w:val="0"/>
              <w:adjustRightInd w:val="0"/>
              <w:spacing w:after="0" w:line="240" w:lineRule="auto"/>
              <w:jc w:val="center"/>
              <w:rPr>
                <w:rFonts w:cs="Arial"/>
                <w:b/>
                <w:bCs/>
                <w:sz w:val="20"/>
                <w:szCs w:val="20"/>
              </w:rPr>
            </w:pPr>
            <w:r w:rsidRPr="00A3303E">
              <w:rPr>
                <w:rFonts w:cs="Arial"/>
                <w:b/>
                <w:bCs/>
                <w:sz w:val="20"/>
                <w:szCs w:val="20"/>
              </w:rPr>
              <w:t>Directora de Servicios y Atención</w:t>
            </w:r>
          </w:p>
          <w:p w:rsidR="00285F78" w:rsidRPr="00707394" w:rsidRDefault="00285F78" w:rsidP="004D096C">
            <w:pPr>
              <w:autoSpaceDE w:val="0"/>
              <w:autoSpaceDN w:val="0"/>
              <w:adjustRightInd w:val="0"/>
              <w:spacing w:after="0" w:line="240" w:lineRule="auto"/>
              <w:jc w:val="center"/>
              <w:rPr>
                <w:rFonts w:cs="Arial"/>
                <w:sz w:val="20"/>
                <w:szCs w:val="20"/>
              </w:rPr>
            </w:pPr>
          </w:p>
          <w:p w:rsidR="00285F78" w:rsidRPr="00707394" w:rsidRDefault="00285F78" w:rsidP="004D096C">
            <w:pPr>
              <w:autoSpaceDE w:val="0"/>
              <w:autoSpaceDN w:val="0"/>
              <w:adjustRightInd w:val="0"/>
              <w:spacing w:after="0" w:line="240" w:lineRule="auto"/>
              <w:jc w:val="center"/>
              <w:rPr>
                <w:rFonts w:cs="Arial"/>
                <w:sz w:val="20"/>
                <w:szCs w:val="20"/>
              </w:rPr>
            </w:pPr>
            <w:r w:rsidRPr="00707394">
              <w:rPr>
                <w:rFonts w:cs="Arial"/>
                <w:sz w:val="20"/>
                <w:szCs w:val="20"/>
              </w:rPr>
              <w:t>Jorge Mario Ríos Osorio</w:t>
            </w:r>
          </w:p>
          <w:p w:rsidR="00285F78" w:rsidRPr="00707394" w:rsidRDefault="00285F78" w:rsidP="004D096C">
            <w:pPr>
              <w:autoSpaceDE w:val="0"/>
              <w:autoSpaceDN w:val="0"/>
              <w:adjustRightInd w:val="0"/>
              <w:spacing w:after="0" w:line="240" w:lineRule="auto"/>
              <w:jc w:val="center"/>
              <w:rPr>
                <w:rFonts w:cs="Arial"/>
                <w:b/>
                <w:sz w:val="20"/>
                <w:szCs w:val="20"/>
              </w:rPr>
            </w:pPr>
            <w:r>
              <w:rPr>
                <w:rFonts w:cs="Arial"/>
                <w:b/>
                <w:sz w:val="20"/>
                <w:szCs w:val="20"/>
              </w:rPr>
              <w:t xml:space="preserve">Director de </w:t>
            </w:r>
            <w:r w:rsidRPr="00707394">
              <w:rPr>
                <w:rFonts w:cs="Arial"/>
                <w:b/>
                <w:sz w:val="20"/>
                <w:szCs w:val="20"/>
              </w:rPr>
              <w:t>Abastecimiento</w:t>
            </w:r>
          </w:p>
          <w:p w:rsidR="00285F78" w:rsidRPr="00707394" w:rsidRDefault="00285F78" w:rsidP="004D096C">
            <w:pPr>
              <w:autoSpaceDE w:val="0"/>
              <w:autoSpaceDN w:val="0"/>
              <w:adjustRightInd w:val="0"/>
              <w:spacing w:after="0" w:line="240" w:lineRule="auto"/>
              <w:jc w:val="center"/>
              <w:rPr>
                <w:rFonts w:cs="Arial"/>
                <w:sz w:val="20"/>
                <w:szCs w:val="20"/>
              </w:rPr>
            </w:pPr>
          </w:p>
          <w:p w:rsidR="00285F78" w:rsidRPr="00707394" w:rsidRDefault="00285F78" w:rsidP="004D096C">
            <w:pPr>
              <w:autoSpaceDE w:val="0"/>
              <w:autoSpaceDN w:val="0"/>
              <w:adjustRightInd w:val="0"/>
              <w:spacing w:after="0" w:line="240" w:lineRule="auto"/>
              <w:jc w:val="center"/>
              <w:rPr>
                <w:rFonts w:cs="Arial"/>
                <w:sz w:val="20"/>
                <w:szCs w:val="20"/>
              </w:rPr>
            </w:pPr>
            <w:r w:rsidRPr="00707394">
              <w:rPr>
                <w:rFonts w:cs="Arial"/>
                <w:sz w:val="20"/>
                <w:szCs w:val="20"/>
              </w:rPr>
              <w:t>Janneth Moreno Romero</w:t>
            </w:r>
          </w:p>
          <w:p w:rsidR="00285F78" w:rsidRPr="00707394" w:rsidRDefault="00285F78" w:rsidP="004D096C">
            <w:pPr>
              <w:autoSpaceDE w:val="0"/>
              <w:autoSpaceDN w:val="0"/>
              <w:adjustRightInd w:val="0"/>
              <w:spacing w:after="0" w:line="240" w:lineRule="auto"/>
              <w:jc w:val="center"/>
              <w:rPr>
                <w:rFonts w:cs="Arial"/>
                <w:b/>
                <w:sz w:val="20"/>
                <w:szCs w:val="20"/>
              </w:rPr>
            </w:pPr>
            <w:r w:rsidRPr="00707394">
              <w:rPr>
                <w:rFonts w:cs="Arial"/>
                <w:b/>
                <w:sz w:val="20"/>
                <w:szCs w:val="20"/>
              </w:rPr>
              <w:t>Jefe Oficina</w:t>
            </w:r>
            <w:r>
              <w:rPr>
                <w:rFonts w:cs="Arial"/>
                <w:b/>
                <w:sz w:val="20"/>
                <w:szCs w:val="20"/>
              </w:rPr>
              <w:t xml:space="preserve"> de Aseguramiento a la Calidad</w:t>
            </w:r>
          </w:p>
          <w:p w:rsidR="00285F78" w:rsidRPr="00707394" w:rsidRDefault="00285F78" w:rsidP="004D096C">
            <w:pPr>
              <w:autoSpaceDE w:val="0"/>
              <w:autoSpaceDN w:val="0"/>
              <w:adjustRightInd w:val="0"/>
              <w:spacing w:after="0" w:line="240" w:lineRule="auto"/>
              <w:jc w:val="center"/>
              <w:rPr>
                <w:rFonts w:cs="Arial"/>
                <w:sz w:val="20"/>
                <w:szCs w:val="20"/>
              </w:rPr>
            </w:pPr>
          </w:p>
          <w:p w:rsidR="00285F78" w:rsidRPr="00707394" w:rsidRDefault="00285F78" w:rsidP="004D096C">
            <w:pPr>
              <w:autoSpaceDE w:val="0"/>
              <w:autoSpaceDN w:val="0"/>
              <w:adjustRightInd w:val="0"/>
              <w:spacing w:after="0" w:line="240" w:lineRule="auto"/>
              <w:jc w:val="center"/>
              <w:rPr>
                <w:rFonts w:cs="Arial"/>
                <w:sz w:val="20"/>
                <w:szCs w:val="20"/>
              </w:rPr>
            </w:pPr>
            <w:r w:rsidRPr="00707394">
              <w:rPr>
                <w:rFonts w:cs="Arial"/>
                <w:b/>
                <w:smallCaps/>
                <w:sz w:val="20"/>
                <w:szCs w:val="20"/>
              </w:rPr>
              <w:br w:type="page"/>
            </w:r>
          </w:p>
        </w:tc>
      </w:tr>
    </w:tbl>
    <w:p w:rsidR="007608C2" w:rsidRDefault="007608C2">
      <w:pPr>
        <w:spacing w:after="0" w:line="240" w:lineRule="auto"/>
        <w:rPr>
          <w:rFonts w:asciiTheme="minorHAnsi" w:hAnsiTheme="minorHAnsi" w:cstheme="minorHAnsi"/>
        </w:rPr>
      </w:pPr>
    </w:p>
    <w:bookmarkStart w:id="1" w:name="_Toc441847004" w:displacedByCustomXml="next"/>
    <w:sdt>
      <w:sdtPr>
        <w:rPr>
          <w:rFonts w:asciiTheme="minorHAnsi" w:eastAsia="Calibri" w:hAnsiTheme="minorHAnsi" w:cstheme="minorHAnsi"/>
          <w:color w:val="auto"/>
          <w:sz w:val="22"/>
          <w:szCs w:val="22"/>
          <w:lang w:val="es-ES" w:eastAsia="en-US"/>
        </w:rPr>
        <w:id w:val="891460329"/>
        <w:docPartObj>
          <w:docPartGallery w:val="Table of Contents"/>
          <w:docPartUnique/>
        </w:docPartObj>
      </w:sdtPr>
      <w:sdtEndPr>
        <w:rPr>
          <w:b/>
          <w:bCs/>
        </w:rPr>
      </w:sdtEndPr>
      <w:sdtContent>
        <w:p w:rsidR="007608C2" w:rsidRPr="00966F2E" w:rsidRDefault="007608C2" w:rsidP="007608C2">
          <w:pPr>
            <w:pStyle w:val="TtuloTDC"/>
            <w:rPr>
              <w:rFonts w:asciiTheme="minorHAnsi" w:hAnsiTheme="minorHAnsi" w:cstheme="minorHAnsi"/>
              <w:color w:val="auto"/>
            </w:rPr>
          </w:pPr>
          <w:r w:rsidRPr="00966F2E">
            <w:rPr>
              <w:rFonts w:asciiTheme="minorHAnsi" w:hAnsiTheme="minorHAnsi" w:cstheme="minorHAnsi"/>
              <w:color w:val="auto"/>
              <w:lang w:val="es-ES"/>
            </w:rPr>
            <w:t>Contenido</w:t>
          </w:r>
        </w:p>
        <w:p w:rsidR="006C2935" w:rsidRDefault="007608C2">
          <w:pPr>
            <w:pStyle w:val="TDC1"/>
            <w:rPr>
              <w:rFonts w:asciiTheme="minorHAnsi" w:eastAsiaTheme="minorEastAsia" w:hAnsiTheme="minorHAnsi" w:cstheme="minorBidi"/>
              <w:bCs w:val="0"/>
              <w:kern w:val="0"/>
              <w:lang w:val="es-CO" w:eastAsia="es-CO"/>
            </w:rPr>
          </w:pPr>
          <w:r w:rsidRPr="00966F2E">
            <w:rPr>
              <w:rFonts w:asciiTheme="minorHAnsi" w:hAnsiTheme="minorHAnsi" w:cstheme="minorHAnsi"/>
            </w:rPr>
            <w:fldChar w:fldCharType="begin"/>
          </w:r>
          <w:r w:rsidRPr="00966F2E">
            <w:rPr>
              <w:rFonts w:asciiTheme="minorHAnsi" w:hAnsiTheme="minorHAnsi" w:cstheme="minorHAnsi"/>
            </w:rPr>
            <w:instrText xml:space="preserve"> TOC \o "1-3" \h \z \u </w:instrText>
          </w:r>
          <w:r w:rsidRPr="00966F2E">
            <w:rPr>
              <w:rFonts w:asciiTheme="minorHAnsi" w:hAnsiTheme="minorHAnsi" w:cstheme="minorHAnsi"/>
            </w:rPr>
            <w:fldChar w:fldCharType="separate"/>
          </w:r>
          <w:hyperlink w:anchor="_Toc505183021" w:history="1">
            <w:r w:rsidR="006C2935" w:rsidRPr="00E624B7">
              <w:rPr>
                <w:rStyle w:val="Hipervnculo"/>
                <w:rFonts w:eastAsia="Calibri"/>
              </w:rPr>
              <w:t>INTRODUCCIÓN</w:t>
            </w:r>
            <w:r w:rsidR="006C2935">
              <w:rPr>
                <w:webHidden/>
              </w:rPr>
              <w:tab/>
            </w:r>
            <w:r w:rsidR="006C2935">
              <w:rPr>
                <w:webHidden/>
              </w:rPr>
              <w:fldChar w:fldCharType="begin"/>
            </w:r>
            <w:r w:rsidR="006C2935">
              <w:rPr>
                <w:webHidden/>
              </w:rPr>
              <w:instrText xml:space="preserve"> PAGEREF _Toc505183021 \h </w:instrText>
            </w:r>
            <w:r w:rsidR="006C2935">
              <w:rPr>
                <w:webHidden/>
              </w:rPr>
            </w:r>
            <w:r w:rsidR="006C2935">
              <w:rPr>
                <w:webHidden/>
              </w:rPr>
              <w:fldChar w:fldCharType="separate"/>
            </w:r>
            <w:r w:rsidR="00DF7186">
              <w:rPr>
                <w:webHidden/>
              </w:rPr>
              <w:t>6</w:t>
            </w:r>
            <w:r w:rsidR="006C2935">
              <w:rPr>
                <w:webHidden/>
              </w:rPr>
              <w:fldChar w:fldCharType="end"/>
            </w:r>
          </w:hyperlink>
        </w:p>
        <w:p w:rsidR="006C2935" w:rsidRDefault="000E0283">
          <w:pPr>
            <w:pStyle w:val="TDC1"/>
            <w:rPr>
              <w:rFonts w:asciiTheme="minorHAnsi" w:eastAsiaTheme="minorEastAsia" w:hAnsiTheme="minorHAnsi" w:cstheme="minorBidi"/>
              <w:bCs w:val="0"/>
              <w:kern w:val="0"/>
              <w:lang w:val="es-CO" w:eastAsia="es-CO"/>
            </w:rPr>
          </w:pPr>
          <w:hyperlink w:anchor="_Toc505183022" w:history="1">
            <w:r w:rsidR="006C2935" w:rsidRPr="00E624B7">
              <w:rPr>
                <w:rStyle w:val="Hipervnculo"/>
              </w:rPr>
              <w:t>1.</w:t>
            </w:r>
            <w:r w:rsidR="006C2935">
              <w:rPr>
                <w:rFonts w:asciiTheme="minorHAnsi" w:eastAsiaTheme="minorEastAsia" w:hAnsiTheme="minorHAnsi" w:cstheme="minorBidi"/>
                <w:bCs w:val="0"/>
                <w:kern w:val="0"/>
                <w:lang w:val="es-CO" w:eastAsia="es-CO"/>
              </w:rPr>
              <w:tab/>
            </w:r>
            <w:r w:rsidR="006C2935" w:rsidRPr="00E624B7">
              <w:rPr>
                <w:rStyle w:val="Hipervnculo"/>
                <w:rFonts w:eastAsia="Calibri"/>
              </w:rPr>
              <w:t>CONTEXTO NACIONAL</w:t>
            </w:r>
            <w:r w:rsidR="006C2935">
              <w:rPr>
                <w:webHidden/>
              </w:rPr>
              <w:tab/>
            </w:r>
            <w:r w:rsidR="006C2935">
              <w:rPr>
                <w:webHidden/>
              </w:rPr>
              <w:fldChar w:fldCharType="begin"/>
            </w:r>
            <w:r w:rsidR="006C2935">
              <w:rPr>
                <w:webHidden/>
              </w:rPr>
              <w:instrText xml:space="preserve"> PAGEREF _Toc505183022 \h </w:instrText>
            </w:r>
            <w:r w:rsidR="006C2935">
              <w:rPr>
                <w:webHidden/>
              </w:rPr>
            </w:r>
            <w:r w:rsidR="006C2935">
              <w:rPr>
                <w:webHidden/>
              </w:rPr>
              <w:fldChar w:fldCharType="separate"/>
            </w:r>
            <w:r w:rsidR="00DF7186">
              <w:rPr>
                <w:webHidden/>
              </w:rPr>
              <w:t>6</w:t>
            </w:r>
            <w:r w:rsidR="006C2935">
              <w:rPr>
                <w:webHidden/>
              </w:rPr>
              <w:fldChar w:fldCharType="end"/>
            </w:r>
          </w:hyperlink>
        </w:p>
        <w:p w:rsidR="006C2935" w:rsidRDefault="000E0283">
          <w:pPr>
            <w:pStyle w:val="TDC2"/>
            <w:tabs>
              <w:tab w:val="left" w:pos="880"/>
              <w:tab w:val="right" w:leader="dot" w:pos="9395"/>
            </w:tabs>
            <w:rPr>
              <w:rFonts w:asciiTheme="minorHAnsi" w:eastAsiaTheme="minorEastAsia" w:hAnsiTheme="minorHAnsi" w:cstheme="minorBidi"/>
              <w:noProof/>
              <w:lang w:val="es-CO" w:eastAsia="es-CO"/>
            </w:rPr>
          </w:pPr>
          <w:hyperlink w:anchor="_Toc505183023" w:history="1">
            <w:r w:rsidR="006C2935" w:rsidRPr="00E624B7">
              <w:rPr>
                <w:rStyle w:val="Hipervnculo"/>
                <w:rFonts w:cs="Arial"/>
                <w:noProof/>
              </w:rPr>
              <w:t>1.1.</w:t>
            </w:r>
            <w:r w:rsidR="006C2935">
              <w:rPr>
                <w:rFonts w:asciiTheme="minorHAnsi" w:eastAsiaTheme="minorEastAsia" w:hAnsiTheme="minorHAnsi" w:cstheme="minorBidi"/>
                <w:noProof/>
                <w:lang w:val="es-CO" w:eastAsia="es-CO"/>
              </w:rPr>
              <w:tab/>
            </w:r>
            <w:r w:rsidR="006C2935" w:rsidRPr="00E624B7">
              <w:rPr>
                <w:rStyle w:val="Hipervnculo"/>
                <w:rFonts w:cs="Arial"/>
                <w:noProof/>
              </w:rPr>
              <w:t>Plan Nacional de Desarrollo 2014 -2018 “Todos por un nuevo país”</w:t>
            </w:r>
            <w:r w:rsidR="006C2935">
              <w:rPr>
                <w:noProof/>
                <w:webHidden/>
              </w:rPr>
              <w:tab/>
            </w:r>
            <w:r w:rsidR="006C2935">
              <w:rPr>
                <w:noProof/>
                <w:webHidden/>
              </w:rPr>
              <w:fldChar w:fldCharType="begin"/>
            </w:r>
            <w:r w:rsidR="006C2935">
              <w:rPr>
                <w:noProof/>
                <w:webHidden/>
              </w:rPr>
              <w:instrText xml:space="preserve"> PAGEREF _Toc505183023 \h </w:instrText>
            </w:r>
            <w:r w:rsidR="006C2935">
              <w:rPr>
                <w:noProof/>
                <w:webHidden/>
              </w:rPr>
            </w:r>
            <w:r w:rsidR="006C2935">
              <w:rPr>
                <w:noProof/>
                <w:webHidden/>
              </w:rPr>
              <w:fldChar w:fldCharType="separate"/>
            </w:r>
            <w:r w:rsidR="00DF7186">
              <w:rPr>
                <w:noProof/>
                <w:webHidden/>
              </w:rPr>
              <w:t>6</w:t>
            </w:r>
            <w:r w:rsidR="006C2935">
              <w:rPr>
                <w:noProof/>
                <w:webHidden/>
              </w:rPr>
              <w:fldChar w:fldCharType="end"/>
            </w:r>
          </w:hyperlink>
        </w:p>
        <w:p w:rsidR="006C2935" w:rsidRDefault="000E0283">
          <w:pPr>
            <w:pStyle w:val="TDC2"/>
            <w:tabs>
              <w:tab w:val="left" w:pos="880"/>
              <w:tab w:val="right" w:leader="dot" w:pos="9395"/>
            </w:tabs>
            <w:rPr>
              <w:rFonts w:asciiTheme="minorHAnsi" w:eastAsiaTheme="minorEastAsia" w:hAnsiTheme="minorHAnsi" w:cstheme="minorBidi"/>
              <w:noProof/>
              <w:lang w:val="es-CO" w:eastAsia="es-CO"/>
            </w:rPr>
          </w:pPr>
          <w:hyperlink w:anchor="_Toc505183024" w:history="1">
            <w:r w:rsidR="006C2935" w:rsidRPr="00E624B7">
              <w:rPr>
                <w:rStyle w:val="Hipervnculo"/>
                <w:rFonts w:cs="Arial"/>
                <w:noProof/>
              </w:rPr>
              <w:t>1.2.</w:t>
            </w:r>
            <w:r w:rsidR="006C2935">
              <w:rPr>
                <w:rFonts w:asciiTheme="minorHAnsi" w:eastAsiaTheme="minorEastAsia" w:hAnsiTheme="minorHAnsi" w:cstheme="minorBidi"/>
                <w:noProof/>
                <w:lang w:val="es-CO" w:eastAsia="es-CO"/>
              </w:rPr>
              <w:tab/>
            </w:r>
            <w:r w:rsidR="006C2935" w:rsidRPr="00E624B7">
              <w:rPr>
                <w:rStyle w:val="Hipervnculo"/>
                <w:rFonts w:cs="Arial"/>
                <w:noProof/>
              </w:rPr>
              <w:t>Plan Indicativo Sector de la Inclusión Social y la Reconciliación “Construimos grandes historias de inclusión social y reconciliación para Colombia”</w:t>
            </w:r>
            <w:r w:rsidR="006C2935">
              <w:rPr>
                <w:noProof/>
                <w:webHidden/>
              </w:rPr>
              <w:tab/>
            </w:r>
            <w:r w:rsidR="006C2935">
              <w:rPr>
                <w:noProof/>
                <w:webHidden/>
              </w:rPr>
              <w:fldChar w:fldCharType="begin"/>
            </w:r>
            <w:r w:rsidR="006C2935">
              <w:rPr>
                <w:noProof/>
                <w:webHidden/>
              </w:rPr>
              <w:instrText xml:space="preserve"> PAGEREF _Toc505183024 \h </w:instrText>
            </w:r>
            <w:r w:rsidR="006C2935">
              <w:rPr>
                <w:noProof/>
                <w:webHidden/>
              </w:rPr>
            </w:r>
            <w:r w:rsidR="006C2935">
              <w:rPr>
                <w:noProof/>
                <w:webHidden/>
              </w:rPr>
              <w:fldChar w:fldCharType="separate"/>
            </w:r>
            <w:r w:rsidR="00DF7186">
              <w:rPr>
                <w:noProof/>
                <w:webHidden/>
              </w:rPr>
              <w:t>7</w:t>
            </w:r>
            <w:r w:rsidR="006C2935">
              <w:rPr>
                <w:noProof/>
                <w:webHidden/>
              </w:rPr>
              <w:fldChar w:fldCharType="end"/>
            </w:r>
          </w:hyperlink>
        </w:p>
        <w:p w:rsidR="006C2935" w:rsidRDefault="000E0283">
          <w:pPr>
            <w:pStyle w:val="TDC2"/>
            <w:tabs>
              <w:tab w:val="left" w:pos="880"/>
              <w:tab w:val="right" w:leader="dot" w:pos="9395"/>
            </w:tabs>
            <w:rPr>
              <w:rFonts w:asciiTheme="minorHAnsi" w:eastAsiaTheme="minorEastAsia" w:hAnsiTheme="minorHAnsi" w:cstheme="minorBidi"/>
              <w:noProof/>
              <w:lang w:val="es-CO" w:eastAsia="es-CO"/>
            </w:rPr>
          </w:pPr>
          <w:hyperlink w:anchor="_Toc505183025" w:history="1">
            <w:r w:rsidR="006C2935" w:rsidRPr="00E624B7">
              <w:rPr>
                <w:rStyle w:val="Hipervnculo"/>
                <w:rFonts w:cs="Arial"/>
                <w:noProof/>
              </w:rPr>
              <w:t>1.3.</w:t>
            </w:r>
            <w:r w:rsidR="006C2935">
              <w:rPr>
                <w:rFonts w:asciiTheme="minorHAnsi" w:eastAsiaTheme="minorEastAsia" w:hAnsiTheme="minorHAnsi" w:cstheme="minorBidi"/>
                <w:noProof/>
                <w:lang w:val="es-CO" w:eastAsia="es-CO"/>
              </w:rPr>
              <w:tab/>
            </w:r>
            <w:r w:rsidR="006C2935" w:rsidRPr="00E624B7">
              <w:rPr>
                <w:rStyle w:val="Hipervnculo"/>
                <w:rFonts w:cs="Arial"/>
                <w:noProof/>
              </w:rPr>
              <w:t>Plan Indicativo Institucional 2015 – 2018 “Estamos cambiando el mundo”</w:t>
            </w:r>
            <w:r w:rsidR="006C2935">
              <w:rPr>
                <w:noProof/>
                <w:webHidden/>
              </w:rPr>
              <w:tab/>
            </w:r>
            <w:r w:rsidR="006C2935">
              <w:rPr>
                <w:noProof/>
                <w:webHidden/>
              </w:rPr>
              <w:fldChar w:fldCharType="begin"/>
            </w:r>
            <w:r w:rsidR="006C2935">
              <w:rPr>
                <w:noProof/>
                <w:webHidden/>
              </w:rPr>
              <w:instrText xml:space="preserve"> PAGEREF _Toc505183025 \h </w:instrText>
            </w:r>
            <w:r w:rsidR="006C2935">
              <w:rPr>
                <w:noProof/>
                <w:webHidden/>
              </w:rPr>
            </w:r>
            <w:r w:rsidR="006C2935">
              <w:rPr>
                <w:noProof/>
                <w:webHidden/>
              </w:rPr>
              <w:fldChar w:fldCharType="separate"/>
            </w:r>
            <w:r w:rsidR="00DF7186">
              <w:rPr>
                <w:noProof/>
                <w:webHidden/>
              </w:rPr>
              <w:t>9</w:t>
            </w:r>
            <w:r w:rsidR="006C2935">
              <w:rPr>
                <w:noProof/>
                <w:webHidden/>
              </w:rPr>
              <w:fldChar w:fldCharType="end"/>
            </w:r>
          </w:hyperlink>
        </w:p>
        <w:p w:rsidR="006C2935" w:rsidRDefault="000E0283">
          <w:pPr>
            <w:pStyle w:val="TDC1"/>
            <w:rPr>
              <w:rFonts w:asciiTheme="minorHAnsi" w:eastAsiaTheme="minorEastAsia" w:hAnsiTheme="minorHAnsi" w:cstheme="minorBidi"/>
              <w:bCs w:val="0"/>
              <w:kern w:val="0"/>
              <w:lang w:val="es-CO" w:eastAsia="es-CO"/>
            </w:rPr>
          </w:pPr>
          <w:hyperlink w:anchor="_Toc505183026" w:history="1">
            <w:r w:rsidR="006C2935" w:rsidRPr="00E624B7">
              <w:rPr>
                <w:rStyle w:val="Hipervnculo"/>
              </w:rPr>
              <w:t>2.</w:t>
            </w:r>
            <w:r w:rsidR="006C2935">
              <w:rPr>
                <w:rFonts w:asciiTheme="minorHAnsi" w:eastAsiaTheme="minorEastAsia" w:hAnsiTheme="minorHAnsi" w:cstheme="minorBidi"/>
                <w:bCs w:val="0"/>
                <w:kern w:val="0"/>
                <w:lang w:val="es-CO" w:eastAsia="es-CO"/>
              </w:rPr>
              <w:tab/>
            </w:r>
            <w:r w:rsidR="006C2935" w:rsidRPr="00E624B7">
              <w:rPr>
                <w:rStyle w:val="Hipervnculo"/>
              </w:rPr>
              <w:t>GESTIÓN FINANCIERA</w:t>
            </w:r>
            <w:r w:rsidR="006C2935">
              <w:rPr>
                <w:webHidden/>
              </w:rPr>
              <w:tab/>
            </w:r>
            <w:r w:rsidR="006C2935">
              <w:rPr>
                <w:webHidden/>
              </w:rPr>
              <w:fldChar w:fldCharType="begin"/>
            </w:r>
            <w:r w:rsidR="006C2935">
              <w:rPr>
                <w:webHidden/>
              </w:rPr>
              <w:instrText xml:space="preserve"> PAGEREF _Toc505183026 \h </w:instrText>
            </w:r>
            <w:r w:rsidR="006C2935">
              <w:rPr>
                <w:webHidden/>
              </w:rPr>
            </w:r>
            <w:r w:rsidR="006C2935">
              <w:rPr>
                <w:webHidden/>
              </w:rPr>
              <w:fldChar w:fldCharType="separate"/>
            </w:r>
            <w:r w:rsidR="00DF7186">
              <w:rPr>
                <w:webHidden/>
              </w:rPr>
              <w:t>18</w:t>
            </w:r>
            <w:r w:rsidR="006C2935">
              <w:rPr>
                <w:webHidden/>
              </w:rPr>
              <w:fldChar w:fldCharType="end"/>
            </w:r>
          </w:hyperlink>
        </w:p>
        <w:p w:rsidR="006C2935" w:rsidRDefault="000E0283">
          <w:pPr>
            <w:pStyle w:val="TDC1"/>
            <w:rPr>
              <w:rFonts w:asciiTheme="minorHAnsi" w:eastAsiaTheme="minorEastAsia" w:hAnsiTheme="minorHAnsi" w:cstheme="minorBidi"/>
              <w:bCs w:val="0"/>
              <w:kern w:val="0"/>
              <w:lang w:val="es-CO" w:eastAsia="es-CO"/>
            </w:rPr>
          </w:pPr>
          <w:hyperlink w:anchor="_Toc505183027" w:history="1">
            <w:r w:rsidR="006C2935" w:rsidRPr="00E624B7">
              <w:rPr>
                <w:rStyle w:val="Hipervnculo"/>
              </w:rPr>
              <w:t>2.1.</w:t>
            </w:r>
            <w:r w:rsidR="006C2935">
              <w:rPr>
                <w:rFonts w:asciiTheme="minorHAnsi" w:eastAsiaTheme="minorEastAsia" w:hAnsiTheme="minorHAnsi" w:cstheme="minorBidi"/>
                <w:bCs w:val="0"/>
                <w:kern w:val="0"/>
                <w:lang w:val="es-CO" w:eastAsia="es-CO"/>
              </w:rPr>
              <w:tab/>
            </w:r>
            <w:r w:rsidR="006C2935" w:rsidRPr="00E624B7">
              <w:rPr>
                <w:rStyle w:val="Hipervnculo"/>
                <w:rFonts w:eastAsiaTheme="majorEastAsia"/>
              </w:rPr>
              <w:t>Apropiación presupuestal</w:t>
            </w:r>
            <w:r w:rsidR="006C2935">
              <w:rPr>
                <w:webHidden/>
              </w:rPr>
              <w:tab/>
            </w:r>
            <w:r w:rsidR="006C2935">
              <w:rPr>
                <w:webHidden/>
              </w:rPr>
              <w:fldChar w:fldCharType="begin"/>
            </w:r>
            <w:r w:rsidR="006C2935">
              <w:rPr>
                <w:webHidden/>
              </w:rPr>
              <w:instrText xml:space="preserve"> PAGEREF _Toc505183027 \h </w:instrText>
            </w:r>
            <w:r w:rsidR="006C2935">
              <w:rPr>
                <w:webHidden/>
              </w:rPr>
            </w:r>
            <w:r w:rsidR="006C2935">
              <w:rPr>
                <w:webHidden/>
              </w:rPr>
              <w:fldChar w:fldCharType="separate"/>
            </w:r>
            <w:r w:rsidR="00DF7186">
              <w:rPr>
                <w:webHidden/>
              </w:rPr>
              <w:t>18</w:t>
            </w:r>
            <w:r w:rsidR="006C2935">
              <w:rPr>
                <w:webHidden/>
              </w:rPr>
              <w:fldChar w:fldCharType="end"/>
            </w:r>
          </w:hyperlink>
        </w:p>
        <w:p w:rsidR="006C2935" w:rsidRDefault="000E0283">
          <w:pPr>
            <w:pStyle w:val="TDC1"/>
            <w:rPr>
              <w:rFonts w:asciiTheme="minorHAnsi" w:eastAsiaTheme="minorEastAsia" w:hAnsiTheme="minorHAnsi" w:cstheme="minorBidi"/>
              <w:bCs w:val="0"/>
              <w:kern w:val="0"/>
              <w:lang w:val="es-CO" w:eastAsia="es-CO"/>
            </w:rPr>
          </w:pPr>
          <w:hyperlink w:anchor="_Toc505183028" w:history="1">
            <w:r w:rsidR="006C2935" w:rsidRPr="00E624B7">
              <w:rPr>
                <w:rStyle w:val="Hipervnculo"/>
              </w:rPr>
              <w:t>2.2.</w:t>
            </w:r>
            <w:r w:rsidR="006C2935">
              <w:rPr>
                <w:rFonts w:asciiTheme="minorHAnsi" w:eastAsiaTheme="minorEastAsia" w:hAnsiTheme="minorHAnsi" w:cstheme="minorBidi"/>
                <w:bCs w:val="0"/>
                <w:kern w:val="0"/>
                <w:lang w:val="es-CO" w:eastAsia="es-CO"/>
              </w:rPr>
              <w:tab/>
            </w:r>
            <w:r w:rsidR="006C2935" w:rsidRPr="00E624B7">
              <w:rPr>
                <w:rStyle w:val="Hipervnculo"/>
                <w:rFonts w:eastAsiaTheme="majorEastAsia"/>
              </w:rPr>
              <w:t>Ejecución Presupuestal</w:t>
            </w:r>
            <w:r w:rsidR="006C2935">
              <w:rPr>
                <w:webHidden/>
              </w:rPr>
              <w:tab/>
            </w:r>
            <w:r w:rsidR="006C2935">
              <w:rPr>
                <w:webHidden/>
              </w:rPr>
              <w:fldChar w:fldCharType="begin"/>
            </w:r>
            <w:r w:rsidR="006C2935">
              <w:rPr>
                <w:webHidden/>
              </w:rPr>
              <w:instrText xml:space="preserve"> PAGEREF _Toc505183028 \h </w:instrText>
            </w:r>
            <w:r w:rsidR="006C2935">
              <w:rPr>
                <w:webHidden/>
              </w:rPr>
            </w:r>
            <w:r w:rsidR="006C2935">
              <w:rPr>
                <w:webHidden/>
              </w:rPr>
              <w:fldChar w:fldCharType="separate"/>
            </w:r>
            <w:r w:rsidR="00DF7186">
              <w:rPr>
                <w:webHidden/>
              </w:rPr>
              <w:t>19</w:t>
            </w:r>
            <w:r w:rsidR="006C2935">
              <w:rPr>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29" w:history="1">
            <w:r w:rsidR="006C2935" w:rsidRPr="00E624B7">
              <w:rPr>
                <w:rStyle w:val="Hipervnculo"/>
                <w:rFonts w:cs="Arial"/>
                <w:noProof/>
              </w:rPr>
              <w:t>2.2.1.</w:t>
            </w:r>
            <w:r w:rsidR="006C2935">
              <w:rPr>
                <w:rFonts w:asciiTheme="minorHAnsi" w:eastAsiaTheme="minorEastAsia" w:hAnsiTheme="minorHAnsi" w:cstheme="minorBidi"/>
                <w:noProof/>
                <w:lang w:val="es-CO" w:eastAsia="es-CO"/>
              </w:rPr>
              <w:tab/>
            </w:r>
            <w:r w:rsidR="006C2935" w:rsidRPr="00E624B7">
              <w:rPr>
                <w:rStyle w:val="Hipervnculo"/>
                <w:rFonts w:cs="Arial"/>
                <w:noProof/>
              </w:rPr>
              <w:t>Reservas Presupuestales por Regional</w:t>
            </w:r>
            <w:r w:rsidR="006C2935">
              <w:rPr>
                <w:noProof/>
                <w:webHidden/>
              </w:rPr>
              <w:tab/>
            </w:r>
            <w:r w:rsidR="006C2935">
              <w:rPr>
                <w:noProof/>
                <w:webHidden/>
              </w:rPr>
              <w:fldChar w:fldCharType="begin"/>
            </w:r>
            <w:r w:rsidR="006C2935">
              <w:rPr>
                <w:noProof/>
                <w:webHidden/>
              </w:rPr>
              <w:instrText xml:space="preserve"> PAGEREF _Toc505183029 \h </w:instrText>
            </w:r>
            <w:r w:rsidR="006C2935">
              <w:rPr>
                <w:noProof/>
                <w:webHidden/>
              </w:rPr>
            </w:r>
            <w:r w:rsidR="006C2935">
              <w:rPr>
                <w:noProof/>
                <w:webHidden/>
              </w:rPr>
              <w:fldChar w:fldCharType="separate"/>
            </w:r>
            <w:r w:rsidR="00DF7186">
              <w:rPr>
                <w:noProof/>
                <w:webHidden/>
              </w:rPr>
              <w:t>22</w:t>
            </w:r>
            <w:r w:rsidR="006C2935">
              <w:rPr>
                <w:noProof/>
                <w:webHidden/>
              </w:rPr>
              <w:fldChar w:fldCharType="end"/>
            </w:r>
          </w:hyperlink>
        </w:p>
        <w:p w:rsidR="006C2935" w:rsidRDefault="000E0283">
          <w:pPr>
            <w:pStyle w:val="TDC1"/>
            <w:rPr>
              <w:rFonts w:asciiTheme="minorHAnsi" w:eastAsiaTheme="minorEastAsia" w:hAnsiTheme="minorHAnsi" w:cstheme="minorBidi"/>
              <w:bCs w:val="0"/>
              <w:kern w:val="0"/>
              <w:lang w:val="es-CO" w:eastAsia="es-CO"/>
            </w:rPr>
          </w:pPr>
          <w:hyperlink w:anchor="_Toc505183030" w:history="1">
            <w:r w:rsidR="006C2935" w:rsidRPr="00E624B7">
              <w:rPr>
                <w:rStyle w:val="Hipervnculo"/>
              </w:rPr>
              <w:t>2.3.</w:t>
            </w:r>
            <w:r w:rsidR="006C2935">
              <w:rPr>
                <w:rFonts w:asciiTheme="minorHAnsi" w:eastAsiaTheme="minorEastAsia" w:hAnsiTheme="minorHAnsi" w:cstheme="minorBidi"/>
                <w:bCs w:val="0"/>
                <w:kern w:val="0"/>
                <w:lang w:val="es-CO" w:eastAsia="es-CO"/>
              </w:rPr>
              <w:tab/>
            </w:r>
            <w:r w:rsidR="006C2935" w:rsidRPr="00E624B7">
              <w:rPr>
                <w:rStyle w:val="Hipervnculo"/>
                <w:rFonts w:eastAsiaTheme="majorEastAsia"/>
              </w:rPr>
              <w:t>LOGROS 2017</w:t>
            </w:r>
            <w:r w:rsidR="006C2935">
              <w:rPr>
                <w:webHidden/>
              </w:rPr>
              <w:tab/>
            </w:r>
            <w:r w:rsidR="006C2935">
              <w:rPr>
                <w:webHidden/>
              </w:rPr>
              <w:fldChar w:fldCharType="begin"/>
            </w:r>
            <w:r w:rsidR="006C2935">
              <w:rPr>
                <w:webHidden/>
              </w:rPr>
              <w:instrText xml:space="preserve"> PAGEREF _Toc505183030 \h </w:instrText>
            </w:r>
            <w:r w:rsidR="006C2935">
              <w:rPr>
                <w:webHidden/>
              </w:rPr>
            </w:r>
            <w:r w:rsidR="006C2935">
              <w:rPr>
                <w:webHidden/>
              </w:rPr>
              <w:fldChar w:fldCharType="separate"/>
            </w:r>
            <w:r w:rsidR="00DF7186">
              <w:rPr>
                <w:webHidden/>
              </w:rPr>
              <w:t>24</w:t>
            </w:r>
            <w:r w:rsidR="006C2935">
              <w:rPr>
                <w:webHidden/>
              </w:rPr>
              <w:fldChar w:fldCharType="end"/>
            </w:r>
          </w:hyperlink>
        </w:p>
        <w:p w:rsidR="006C2935" w:rsidRDefault="000E0283">
          <w:pPr>
            <w:pStyle w:val="TDC1"/>
            <w:rPr>
              <w:rFonts w:asciiTheme="minorHAnsi" w:eastAsiaTheme="minorEastAsia" w:hAnsiTheme="minorHAnsi" w:cstheme="minorBidi"/>
              <w:bCs w:val="0"/>
              <w:kern w:val="0"/>
              <w:lang w:val="es-CO" w:eastAsia="es-CO"/>
            </w:rPr>
          </w:pPr>
          <w:hyperlink w:anchor="_Toc505183031" w:history="1">
            <w:r w:rsidR="006C2935" w:rsidRPr="00E624B7">
              <w:rPr>
                <w:rStyle w:val="Hipervnculo"/>
              </w:rPr>
              <w:t>2.4.</w:t>
            </w:r>
            <w:r w:rsidR="006C2935">
              <w:rPr>
                <w:rFonts w:asciiTheme="minorHAnsi" w:eastAsiaTheme="minorEastAsia" w:hAnsiTheme="minorHAnsi" w:cstheme="minorBidi"/>
                <w:bCs w:val="0"/>
                <w:kern w:val="0"/>
                <w:lang w:val="es-CO" w:eastAsia="es-CO"/>
              </w:rPr>
              <w:tab/>
            </w:r>
            <w:r w:rsidR="006C2935" w:rsidRPr="00E624B7">
              <w:rPr>
                <w:rStyle w:val="Hipervnculo"/>
                <w:rFonts w:eastAsiaTheme="majorEastAsia"/>
              </w:rPr>
              <w:t>RETOS 2018</w:t>
            </w:r>
            <w:r w:rsidR="006C2935">
              <w:rPr>
                <w:webHidden/>
              </w:rPr>
              <w:tab/>
            </w:r>
            <w:r w:rsidR="006C2935">
              <w:rPr>
                <w:webHidden/>
              </w:rPr>
              <w:fldChar w:fldCharType="begin"/>
            </w:r>
            <w:r w:rsidR="006C2935">
              <w:rPr>
                <w:webHidden/>
              </w:rPr>
              <w:instrText xml:space="preserve"> PAGEREF _Toc505183031 \h </w:instrText>
            </w:r>
            <w:r w:rsidR="006C2935">
              <w:rPr>
                <w:webHidden/>
              </w:rPr>
            </w:r>
            <w:r w:rsidR="006C2935">
              <w:rPr>
                <w:webHidden/>
              </w:rPr>
              <w:fldChar w:fldCharType="separate"/>
            </w:r>
            <w:r w:rsidR="00DF7186">
              <w:rPr>
                <w:webHidden/>
              </w:rPr>
              <w:t>25</w:t>
            </w:r>
            <w:r w:rsidR="006C2935">
              <w:rPr>
                <w:webHidden/>
              </w:rPr>
              <w:fldChar w:fldCharType="end"/>
            </w:r>
          </w:hyperlink>
        </w:p>
        <w:p w:rsidR="006C2935" w:rsidRDefault="000E0283">
          <w:pPr>
            <w:pStyle w:val="TDC1"/>
            <w:rPr>
              <w:rFonts w:asciiTheme="minorHAnsi" w:eastAsiaTheme="minorEastAsia" w:hAnsiTheme="minorHAnsi" w:cstheme="minorBidi"/>
              <w:bCs w:val="0"/>
              <w:kern w:val="0"/>
              <w:lang w:val="es-CO" w:eastAsia="es-CO"/>
            </w:rPr>
          </w:pPr>
          <w:hyperlink w:anchor="_Toc505183032" w:history="1">
            <w:r w:rsidR="006C2935" w:rsidRPr="00E624B7">
              <w:rPr>
                <w:rStyle w:val="Hipervnculo"/>
              </w:rPr>
              <w:t>3.</w:t>
            </w:r>
            <w:r w:rsidR="006C2935">
              <w:rPr>
                <w:rFonts w:asciiTheme="minorHAnsi" w:eastAsiaTheme="minorEastAsia" w:hAnsiTheme="minorHAnsi" w:cstheme="minorBidi"/>
                <w:bCs w:val="0"/>
                <w:kern w:val="0"/>
                <w:lang w:val="es-CO" w:eastAsia="es-CO"/>
              </w:rPr>
              <w:tab/>
            </w:r>
            <w:r w:rsidR="006C2935" w:rsidRPr="00E624B7">
              <w:rPr>
                <w:rStyle w:val="Hipervnculo"/>
              </w:rPr>
              <w:t>GESTION MISIONAL Y DE GOBIERNO</w:t>
            </w:r>
            <w:r w:rsidR="006C2935">
              <w:rPr>
                <w:webHidden/>
              </w:rPr>
              <w:tab/>
            </w:r>
            <w:r w:rsidR="006C2935">
              <w:rPr>
                <w:webHidden/>
              </w:rPr>
              <w:fldChar w:fldCharType="begin"/>
            </w:r>
            <w:r w:rsidR="006C2935">
              <w:rPr>
                <w:webHidden/>
              </w:rPr>
              <w:instrText xml:space="preserve"> PAGEREF _Toc505183032 \h </w:instrText>
            </w:r>
            <w:r w:rsidR="006C2935">
              <w:rPr>
                <w:webHidden/>
              </w:rPr>
            </w:r>
            <w:r w:rsidR="006C2935">
              <w:rPr>
                <w:webHidden/>
              </w:rPr>
              <w:fldChar w:fldCharType="separate"/>
            </w:r>
            <w:r w:rsidR="00DF7186">
              <w:rPr>
                <w:webHidden/>
              </w:rPr>
              <w:t>26</w:t>
            </w:r>
            <w:r w:rsidR="006C2935">
              <w:rPr>
                <w:webHidden/>
              </w:rPr>
              <w:fldChar w:fldCharType="end"/>
            </w:r>
          </w:hyperlink>
        </w:p>
        <w:p w:rsidR="006C2935" w:rsidRDefault="000E0283">
          <w:pPr>
            <w:pStyle w:val="TDC1"/>
            <w:rPr>
              <w:rFonts w:asciiTheme="minorHAnsi" w:eastAsiaTheme="minorEastAsia" w:hAnsiTheme="minorHAnsi" w:cstheme="minorBidi"/>
              <w:bCs w:val="0"/>
              <w:kern w:val="0"/>
              <w:lang w:val="es-CO" w:eastAsia="es-CO"/>
            </w:rPr>
          </w:pPr>
          <w:hyperlink w:anchor="_Toc505183033" w:history="1">
            <w:r w:rsidR="006C2935" w:rsidRPr="00E624B7">
              <w:rPr>
                <w:rStyle w:val="Hipervnculo"/>
              </w:rPr>
              <w:t>3.1.</w:t>
            </w:r>
            <w:r w:rsidR="006C2935">
              <w:rPr>
                <w:rFonts w:asciiTheme="minorHAnsi" w:eastAsiaTheme="minorEastAsia" w:hAnsiTheme="minorHAnsi" w:cstheme="minorBidi"/>
                <w:bCs w:val="0"/>
                <w:kern w:val="0"/>
                <w:lang w:val="es-CO" w:eastAsia="es-CO"/>
              </w:rPr>
              <w:tab/>
            </w:r>
            <w:r w:rsidR="006C2935" w:rsidRPr="00E624B7">
              <w:rPr>
                <w:rStyle w:val="Hipervnculo"/>
              </w:rPr>
              <w:t>ATENCIÓN A LA PRIMERA INFANCIA</w:t>
            </w:r>
            <w:r w:rsidR="006C2935">
              <w:rPr>
                <w:webHidden/>
              </w:rPr>
              <w:tab/>
            </w:r>
            <w:r w:rsidR="006C2935">
              <w:rPr>
                <w:webHidden/>
              </w:rPr>
              <w:fldChar w:fldCharType="begin"/>
            </w:r>
            <w:r w:rsidR="006C2935">
              <w:rPr>
                <w:webHidden/>
              </w:rPr>
              <w:instrText xml:space="preserve"> PAGEREF _Toc505183033 \h </w:instrText>
            </w:r>
            <w:r w:rsidR="006C2935">
              <w:rPr>
                <w:webHidden/>
              </w:rPr>
            </w:r>
            <w:r w:rsidR="006C2935">
              <w:rPr>
                <w:webHidden/>
              </w:rPr>
              <w:fldChar w:fldCharType="separate"/>
            </w:r>
            <w:r w:rsidR="00DF7186">
              <w:rPr>
                <w:webHidden/>
              </w:rPr>
              <w:t>26</w:t>
            </w:r>
            <w:r w:rsidR="006C2935">
              <w:rPr>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34" w:history="1">
            <w:r w:rsidR="006C2935" w:rsidRPr="00E624B7">
              <w:rPr>
                <w:rStyle w:val="Hipervnculo"/>
                <w:rFonts w:cs="Arial"/>
                <w:noProof/>
              </w:rPr>
              <w:t>3.1.1.</w:t>
            </w:r>
            <w:r w:rsidR="006C2935">
              <w:rPr>
                <w:rFonts w:asciiTheme="minorHAnsi" w:eastAsiaTheme="minorEastAsia" w:hAnsiTheme="minorHAnsi" w:cstheme="minorBidi"/>
                <w:noProof/>
                <w:lang w:val="es-CO" w:eastAsia="es-CO"/>
              </w:rPr>
              <w:tab/>
            </w:r>
            <w:r w:rsidR="006C2935" w:rsidRPr="00E624B7">
              <w:rPr>
                <w:rStyle w:val="Hipervnculo"/>
                <w:rFonts w:cs="Arial"/>
                <w:noProof/>
              </w:rPr>
              <w:t>Marco Política Pública Primera Infancia</w:t>
            </w:r>
            <w:r w:rsidR="006C2935">
              <w:rPr>
                <w:noProof/>
                <w:webHidden/>
              </w:rPr>
              <w:tab/>
            </w:r>
            <w:r w:rsidR="006C2935">
              <w:rPr>
                <w:noProof/>
                <w:webHidden/>
              </w:rPr>
              <w:fldChar w:fldCharType="begin"/>
            </w:r>
            <w:r w:rsidR="006C2935">
              <w:rPr>
                <w:noProof/>
                <w:webHidden/>
              </w:rPr>
              <w:instrText xml:space="preserve"> PAGEREF _Toc505183034 \h </w:instrText>
            </w:r>
            <w:r w:rsidR="006C2935">
              <w:rPr>
                <w:noProof/>
                <w:webHidden/>
              </w:rPr>
            </w:r>
            <w:r w:rsidR="006C2935">
              <w:rPr>
                <w:noProof/>
                <w:webHidden/>
              </w:rPr>
              <w:fldChar w:fldCharType="separate"/>
            </w:r>
            <w:r w:rsidR="00DF7186">
              <w:rPr>
                <w:noProof/>
                <w:webHidden/>
              </w:rPr>
              <w:t>26</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35" w:history="1">
            <w:r w:rsidR="006C2935" w:rsidRPr="00E624B7">
              <w:rPr>
                <w:rStyle w:val="Hipervnculo"/>
                <w:rFonts w:cs="Arial"/>
                <w:noProof/>
              </w:rPr>
              <w:t>3.1.2.</w:t>
            </w:r>
            <w:r w:rsidR="006C2935">
              <w:rPr>
                <w:rFonts w:asciiTheme="minorHAnsi" w:eastAsiaTheme="minorEastAsia" w:hAnsiTheme="minorHAnsi" w:cstheme="minorBidi"/>
                <w:noProof/>
                <w:lang w:val="es-CO" w:eastAsia="es-CO"/>
              </w:rPr>
              <w:tab/>
            </w:r>
            <w:r w:rsidR="006C2935" w:rsidRPr="00E624B7">
              <w:rPr>
                <w:rStyle w:val="Hipervnculo"/>
                <w:rFonts w:cs="Arial"/>
                <w:noProof/>
              </w:rPr>
              <w:t>Atención Integral</w:t>
            </w:r>
            <w:r w:rsidR="006C2935">
              <w:rPr>
                <w:noProof/>
                <w:webHidden/>
              </w:rPr>
              <w:tab/>
            </w:r>
            <w:r w:rsidR="006C2935">
              <w:rPr>
                <w:noProof/>
                <w:webHidden/>
              </w:rPr>
              <w:fldChar w:fldCharType="begin"/>
            </w:r>
            <w:r w:rsidR="006C2935">
              <w:rPr>
                <w:noProof/>
                <w:webHidden/>
              </w:rPr>
              <w:instrText xml:space="preserve"> PAGEREF _Toc505183035 \h </w:instrText>
            </w:r>
            <w:r w:rsidR="006C2935">
              <w:rPr>
                <w:noProof/>
                <w:webHidden/>
              </w:rPr>
            </w:r>
            <w:r w:rsidR="006C2935">
              <w:rPr>
                <w:noProof/>
                <w:webHidden/>
              </w:rPr>
              <w:fldChar w:fldCharType="separate"/>
            </w:r>
            <w:r w:rsidR="00DF7186">
              <w:rPr>
                <w:noProof/>
                <w:webHidden/>
              </w:rPr>
              <w:t>27</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36" w:history="1">
            <w:r w:rsidR="006C2935" w:rsidRPr="00E624B7">
              <w:rPr>
                <w:rStyle w:val="Hipervnculo"/>
                <w:rFonts w:cs="Arial"/>
                <w:noProof/>
              </w:rPr>
              <w:t>3.1.3.</w:t>
            </w:r>
            <w:r w:rsidR="006C2935">
              <w:rPr>
                <w:rFonts w:asciiTheme="minorHAnsi" w:eastAsiaTheme="minorEastAsia" w:hAnsiTheme="minorHAnsi" w:cstheme="minorBidi"/>
                <w:noProof/>
                <w:lang w:val="es-CO" w:eastAsia="es-CO"/>
              </w:rPr>
              <w:tab/>
            </w:r>
            <w:r w:rsidR="006C2935" w:rsidRPr="00E624B7">
              <w:rPr>
                <w:rStyle w:val="Hipervnculo"/>
                <w:rFonts w:cs="Arial"/>
                <w:noProof/>
              </w:rPr>
              <w:t>Atención Tradicional</w:t>
            </w:r>
            <w:r w:rsidR="006C2935">
              <w:rPr>
                <w:noProof/>
                <w:webHidden/>
              </w:rPr>
              <w:tab/>
            </w:r>
            <w:r w:rsidR="006C2935">
              <w:rPr>
                <w:noProof/>
                <w:webHidden/>
              </w:rPr>
              <w:fldChar w:fldCharType="begin"/>
            </w:r>
            <w:r w:rsidR="006C2935">
              <w:rPr>
                <w:noProof/>
                <w:webHidden/>
              </w:rPr>
              <w:instrText xml:space="preserve"> PAGEREF _Toc505183036 \h </w:instrText>
            </w:r>
            <w:r w:rsidR="006C2935">
              <w:rPr>
                <w:noProof/>
                <w:webHidden/>
              </w:rPr>
            </w:r>
            <w:r w:rsidR="006C2935">
              <w:rPr>
                <w:noProof/>
                <w:webHidden/>
              </w:rPr>
              <w:fldChar w:fldCharType="separate"/>
            </w:r>
            <w:r w:rsidR="00DF7186">
              <w:rPr>
                <w:noProof/>
                <w:webHidden/>
              </w:rPr>
              <w:t>34</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37" w:history="1">
            <w:r w:rsidR="006C2935" w:rsidRPr="00E624B7">
              <w:rPr>
                <w:rStyle w:val="Hipervnculo"/>
                <w:rFonts w:cs="Arial"/>
                <w:noProof/>
              </w:rPr>
              <w:t>3.1.4.</w:t>
            </w:r>
            <w:r w:rsidR="006C2935">
              <w:rPr>
                <w:rFonts w:asciiTheme="minorHAnsi" w:eastAsiaTheme="minorEastAsia" w:hAnsiTheme="minorHAnsi" w:cstheme="minorBidi"/>
                <w:noProof/>
                <w:lang w:val="es-CO" w:eastAsia="es-CO"/>
              </w:rPr>
              <w:tab/>
            </w:r>
            <w:r w:rsidR="006C2935" w:rsidRPr="00E624B7">
              <w:rPr>
                <w:rStyle w:val="Hipervnculo"/>
                <w:rFonts w:cs="Arial"/>
                <w:noProof/>
              </w:rPr>
              <w:t>Convenios Especiales</w:t>
            </w:r>
            <w:r w:rsidR="006C2935">
              <w:rPr>
                <w:noProof/>
                <w:webHidden/>
              </w:rPr>
              <w:tab/>
            </w:r>
            <w:r w:rsidR="006C2935">
              <w:rPr>
                <w:noProof/>
                <w:webHidden/>
              </w:rPr>
              <w:fldChar w:fldCharType="begin"/>
            </w:r>
            <w:r w:rsidR="006C2935">
              <w:rPr>
                <w:noProof/>
                <w:webHidden/>
              </w:rPr>
              <w:instrText xml:space="preserve"> PAGEREF _Toc505183037 \h </w:instrText>
            </w:r>
            <w:r w:rsidR="006C2935">
              <w:rPr>
                <w:noProof/>
                <w:webHidden/>
              </w:rPr>
            </w:r>
            <w:r w:rsidR="006C2935">
              <w:rPr>
                <w:noProof/>
                <w:webHidden/>
              </w:rPr>
              <w:fldChar w:fldCharType="separate"/>
            </w:r>
            <w:r w:rsidR="00DF7186">
              <w:rPr>
                <w:noProof/>
                <w:webHidden/>
              </w:rPr>
              <w:t>35</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38" w:history="1">
            <w:r w:rsidR="006C2935" w:rsidRPr="00E624B7">
              <w:rPr>
                <w:rStyle w:val="Hipervnculo"/>
                <w:rFonts w:cs="Arial"/>
                <w:noProof/>
              </w:rPr>
              <w:t>3.1.5.</w:t>
            </w:r>
            <w:r w:rsidR="006C2935">
              <w:rPr>
                <w:rFonts w:asciiTheme="minorHAnsi" w:eastAsiaTheme="minorEastAsia" w:hAnsiTheme="minorHAnsi" w:cstheme="minorBidi"/>
                <w:noProof/>
                <w:lang w:val="es-CO" w:eastAsia="es-CO"/>
              </w:rPr>
              <w:tab/>
            </w:r>
            <w:r w:rsidR="006C2935" w:rsidRPr="00E624B7">
              <w:rPr>
                <w:rStyle w:val="Hipervnculo"/>
                <w:rFonts w:cs="Arial"/>
                <w:noProof/>
              </w:rPr>
              <w:t>Fortalecimiento de la gestión de la Dirección de Primera Infancia</w:t>
            </w:r>
            <w:r w:rsidR="006C2935">
              <w:rPr>
                <w:noProof/>
                <w:webHidden/>
              </w:rPr>
              <w:tab/>
            </w:r>
            <w:r w:rsidR="006C2935">
              <w:rPr>
                <w:noProof/>
                <w:webHidden/>
              </w:rPr>
              <w:fldChar w:fldCharType="begin"/>
            </w:r>
            <w:r w:rsidR="006C2935">
              <w:rPr>
                <w:noProof/>
                <w:webHidden/>
              </w:rPr>
              <w:instrText xml:space="preserve"> PAGEREF _Toc505183038 \h </w:instrText>
            </w:r>
            <w:r w:rsidR="006C2935">
              <w:rPr>
                <w:noProof/>
                <w:webHidden/>
              </w:rPr>
            </w:r>
            <w:r w:rsidR="006C2935">
              <w:rPr>
                <w:noProof/>
                <w:webHidden/>
              </w:rPr>
              <w:fldChar w:fldCharType="separate"/>
            </w:r>
            <w:r w:rsidR="00DF7186">
              <w:rPr>
                <w:noProof/>
                <w:webHidden/>
              </w:rPr>
              <w:t>36</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39" w:history="1">
            <w:r w:rsidR="006C2935" w:rsidRPr="00E624B7">
              <w:rPr>
                <w:rStyle w:val="Hipervnculo"/>
                <w:rFonts w:cs="Arial"/>
                <w:noProof/>
              </w:rPr>
              <w:t>3.1.6.</w:t>
            </w:r>
            <w:r w:rsidR="006C2935">
              <w:rPr>
                <w:rFonts w:asciiTheme="minorHAnsi" w:eastAsiaTheme="minorEastAsia" w:hAnsiTheme="minorHAnsi" w:cstheme="minorBidi"/>
                <w:noProof/>
                <w:lang w:val="es-CO" w:eastAsia="es-CO"/>
              </w:rPr>
              <w:tab/>
            </w:r>
            <w:r w:rsidR="006C2935" w:rsidRPr="00E624B7">
              <w:rPr>
                <w:rStyle w:val="Hipervnculo"/>
                <w:rFonts w:cs="Arial"/>
                <w:noProof/>
              </w:rPr>
              <w:t>Estrategias para mejorar calidad en la atención a la primera infancia</w:t>
            </w:r>
            <w:r w:rsidR="006C2935">
              <w:rPr>
                <w:noProof/>
                <w:webHidden/>
              </w:rPr>
              <w:tab/>
            </w:r>
            <w:r w:rsidR="006C2935">
              <w:rPr>
                <w:noProof/>
                <w:webHidden/>
              </w:rPr>
              <w:fldChar w:fldCharType="begin"/>
            </w:r>
            <w:r w:rsidR="006C2935">
              <w:rPr>
                <w:noProof/>
                <w:webHidden/>
              </w:rPr>
              <w:instrText xml:space="preserve"> PAGEREF _Toc505183039 \h </w:instrText>
            </w:r>
            <w:r w:rsidR="006C2935">
              <w:rPr>
                <w:noProof/>
                <w:webHidden/>
              </w:rPr>
            </w:r>
            <w:r w:rsidR="006C2935">
              <w:rPr>
                <w:noProof/>
                <w:webHidden/>
              </w:rPr>
              <w:fldChar w:fldCharType="separate"/>
            </w:r>
            <w:r w:rsidR="00DF7186">
              <w:rPr>
                <w:noProof/>
                <w:webHidden/>
              </w:rPr>
              <w:t>39</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40" w:history="1">
            <w:r w:rsidR="006C2935" w:rsidRPr="00E624B7">
              <w:rPr>
                <w:rStyle w:val="Hipervnculo"/>
                <w:rFonts w:cs="Arial"/>
                <w:noProof/>
              </w:rPr>
              <w:t>3.1.7.</w:t>
            </w:r>
            <w:r w:rsidR="006C2935">
              <w:rPr>
                <w:rFonts w:asciiTheme="minorHAnsi" w:eastAsiaTheme="minorEastAsia" w:hAnsiTheme="minorHAnsi" w:cstheme="minorBidi"/>
                <w:noProof/>
                <w:lang w:val="es-CO" w:eastAsia="es-CO"/>
              </w:rPr>
              <w:tab/>
            </w:r>
            <w:r w:rsidR="006C2935" w:rsidRPr="00E624B7">
              <w:rPr>
                <w:rStyle w:val="Hipervnculo"/>
                <w:rFonts w:cs="Arial"/>
                <w:noProof/>
              </w:rPr>
              <w:t>Atención compromisos con madres comunitarias de los sindicatos SINTRACIHOBI – COLMADRES</w:t>
            </w:r>
            <w:r w:rsidR="006C2935">
              <w:rPr>
                <w:noProof/>
                <w:webHidden/>
              </w:rPr>
              <w:tab/>
            </w:r>
            <w:r w:rsidR="006C2935">
              <w:rPr>
                <w:noProof/>
                <w:webHidden/>
              </w:rPr>
              <w:fldChar w:fldCharType="begin"/>
            </w:r>
            <w:r w:rsidR="006C2935">
              <w:rPr>
                <w:noProof/>
                <w:webHidden/>
              </w:rPr>
              <w:instrText xml:space="preserve"> PAGEREF _Toc505183040 \h </w:instrText>
            </w:r>
            <w:r w:rsidR="006C2935">
              <w:rPr>
                <w:noProof/>
                <w:webHidden/>
              </w:rPr>
            </w:r>
            <w:r w:rsidR="006C2935">
              <w:rPr>
                <w:noProof/>
                <w:webHidden/>
              </w:rPr>
              <w:fldChar w:fldCharType="separate"/>
            </w:r>
            <w:r w:rsidR="00DF7186">
              <w:rPr>
                <w:noProof/>
                <w:webHidden/>
              </w:rPr>
              <w:t>46</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41" w:history="1">
            <w:r w:rsidR="006C2935" w:rsidRPr="00E624B7">
              <w:rPr>
                <w:rStyle w:val="Hipervnculo"/>
                <w:noProof/>
              </w:rPr>
              <w:t>3.1.8.</w:t>
            </w:r>
            <w:r w:rsidR="006C2935">
              <w:rPr>
                <w:rFonts w:asciiTheme="minorHAnsi" w:eastAsiaTheme="minorEastAsia" w:hAnsiTheme="minorHAnsi" w:cstheme="minorBidi"/>
                <w:noProof/>
                <w:lang w:val="es-CO" w:eastAsia="es-CO"/>
              </w:rPr>
              <w:tab/>
            </w:r>
            <w:r w:rsidR="006C2935" w:rsidRPr="00E624B7">
              <w:rPr>
                <w:rStyle w:val="Hipervnculo"/>
                <w:rFonts w:cs="Arial"/>
                <w:noProof/>
              </w:rPr>
              <w:t>LOGROS 2017</w:t>
            </w:r>
            <w:r w:rsidR="006C2935">
              <w:rPr>
                <w:noProof/>
                <w:webHidden/>
              </w:rPr>
              <w:tab/>
            </w:r>
            <w:r w:rsidR="006C2935">
              <w:rPr>
                <w:noProof/>
                <w:webHidden/>
              </w:rPr>
              <w:fldChar w:fldCharType="begin"/>
            </w:r>
            <w:r w:rsidR="006C2935">
              <w:rPr>
                <w:noProof/>
                <w:webHidden/>
              </w:rPr>
              <w:instrText xml:space="preserve"> PAGEREF _Toc505183041 \h </w:instrText>
            </w:r>
            <w:r w:rsidR="006C2935">
              <w:rPr>
                <w:noProof/>
                <w:webHidden/>
              </w:rPr>
            </w:r>
            <w:r w:rsidR="006C2935">
              <w:rPr>
                <w:noProof/>
                <w:webHidden/>
              </w:rPr>
              <w:fldChar w:fldCharType="separate"/>
            </w:r>
            <w:r w:rsidR="00DF7186">
              <w:rPr>
                <w:noProof/>
                <w:webHidden/>
              </w:rPr>
              <w:t>51</w:t>
            </w:r>
            <w:r w:rsidR="006C2935">
              <w:rPr>
                <w:noProof/>
                <w:webHidden/>
              </w:rPr>
              <w:fldChar w:fldCharType="end"/>
            </w:r>
          </w:hyperlink>
        </w:p>
        <w:p w:rsidR="006C2935" w:rsidRDefault="000E0283">
          <w:pPr>
            <w:pStyle w:val="TDC1"/>
            <w:rPr>
              <w:rFonts w:asciiTheme="minorHAnsi" w:eastAsiaTheme="minorEastAsia" w:hAnsiTheme="minorHAnsi" w:cstheme="minorBidi"/>
              <w:bCs w:val="0"/>
              <w:kern w:val="0"/>
              <w:lang w:val="es-CO" w:eastAsia="es-CO"/>
            </w:rPr>
          </w:pPr>
          <w:hyperlink w:anchor="_Toc505183042" w:history="1">
            <w:r w:rsidR="006C2935" w:rsidRPr="00E624B7">
              <w:rPr>
                <w:rStyle w:val="Hipervnculo"/>
              </w:rPr>
              <w:t>3.2.</w:t>
            </w:r>
            <w:r w:rsidR="006C2935">
              <w:rPr>
                <w:rFonts w:asciiTheme="minorHAnsi" w:eastAsiaTheme="minorEastAsia" w:hAnsiTheme="minorHAnsi" w:cstheme="minorBidi"/>
                <w:bCs w:val="0"/>
                <w:kern w:val="0"/>
                <w:lang w:val="es-CO" w:eastAsia="es-CO"/>
              </w:rPr>
              <w:tab/>
            </w:r>
            <w:r w:rsidR="006C2935" w:rsidRPr="00E624B7">
              <w:rPr>
                <w:rStyle w:val="Hipervnculo"/>
              </w:rPr>
              <w:t>ATENCIÓN A LA NIÑEZ Y LA ADOLESCENCIA</w:t>
            </w:r>
            <w:r w:rsidR="006C2935">
              <w:rPr>
                <w:webHidden/>
              </w:rPr>
              <w:tab/>
            </w:r>
            <w:r w:rsidR="006C2935">
              <w:rPr>
                <w:webHidden/>
              </w:rPr>
              <w:fldChar w:fldCharType="begin"/>
            </w:r>
            <w:r w:rsidR="006C2935">
              <w:rPr>
                <w:webHidden/>
              </w:rPr>
              <w:instrText xml:space="preserve"> PAGEREF _Toc505183042 \h </w:instrText>
            </w:r>
            <w:r w:rsidR="006C2935">
              <w:rPr>
                <w:webHidden/>
              </w:rPr>
            </w:r>
            <w:r w:rsidR="006C2935">
              <w:rPr>
                <w:webHidden/>
              </w:rPr>
              <w:fldChar w:fldCharType="separate"/>
            </w:r>
            <w:r w:rsidR="00DF7186">
              <w:rPr>
                <w:webHidden/>
              </w:rPr>
              <w:t>56</w:t>
            </w:r>
            <w:r w:rsidR="006C2935">
              <w:rPr>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43" w:history="1">
            <w:r w:rsidR="006C2935" w:rsidRPr="00E624B7">
              <w:rPr>
                <w:rStyle w:val="Hipervnculo"/>
                <w:rFonts w:eastAsiaTheme="majorEastAsia" w:cs="Arial"/>
                <w:noProof/>
              </w:rPr>
              <w:t>3.2.1.</w:t>
            </w:r>
            <w:r w:rsidR="006C2935">
              <w:rPr>
                <w:rFonts w:asciiTheme="minorHAnsi" w:eastAsiaTheme="minorEastAsia" w:hAnsiTheme="minorHAnsi" w:cstheme="minorBidi"/>
                <w:noProof/>
                <w:lang w:val="es-CO" w:eastAsia="es-CO"/>
              </w:rPr>
              <w:tab/>
            </w:r>
            <w:r w:rsidR="006C2935" w:rsidRPr="00E624B7">
              <w:rPr>
                <w:rStyle w:val="Hipervnculo"/>
                <w:rFonts w:eastAsia="Times New Roman" w:cs="Arial"/>
                <w:noProof/>
                <w:kern w:val="32"/>
              </w:rPr>
              <w:t>Marco de la Política Niñez y Adolescencia</w:t>
            </w:r>
            <w:r w:rsidR="006C2935">
              <w:rPr>
                <w:noProof/>
                <w:webHidden/>
              </w:rPr>
              <w:tab/>
            </w:r>
            <w:r w:rsidR="006C2935">
              <w:rPr>
                <w:noProof/>
                <w:webHidden/>
              </w:rPr>
              <w:fldChar w:fldCharType="begin"/>
            </w:r>
            <w:r w:rsidR="006C2935">
              <w:rPr>
                <w:noProof/>
                <w:webHidden/>
              </w:rPr>
              <w:instrText xml:space="preserve"> PAGEREF _Toc505183043 \h </w:instrText>
            </w:r>
            <w:r w:rsidR="006C2935">
              <w:rPr>
                <w:noProof/>
                <w:webHidden/>
              </w:rPr>
            </w:r>
            <w:r w:rsidR="006C2935">
              <w:rPr>
                <w:noProof/>
                <w:webHidden/>
              </w:rPr>
              <w:fldChar w:fldCharType="separate"/>
            </w:r>
            <w:r w:rsidR="00DF7186">
              <w:rPr>
                <w:noProof/>
                <w:webHidden/>
              </w:rPr>
              <w:t>56</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44" w:history="1">
            <w:r w:rsidR="006C2935" w:rsidRPr="00E624B7">
              <w:rPr>
                <w:rStyle w:val="Hipervnculo"/>
                <w:rFonts w:cs="Arial"/>
                <w:noProof/>
              </w:rPr>
              <w:t>3.2.2.</w:t>
            </w:r>
            <w:r w:rsidR="006C2935">
              <w:rPr>
                <w:rFonts w:asciiTheme="minorHAnsi" w:eastAsiaTheme="minorEastAsia" w:hAnsiTheme="minorHAnsi" w:cstheme="minorBidi"/>
                <w:noProof/>
                <w:lang w:val="es-CO" w:eastAsia="es-CO"/>
              </w:rPr>
              <w:tab/>
            </w:r>
            <w:r w:rsidR="006C2935" w:rsidRPr="00E624B7">
              <w:rPr>
                <w:rStyle w:val="Hipervnculo"/>
                <w:rFonts w:cs="Arial"/>
                <w:noProof/>
              </w:rPr>
              <w:t>Acciones realizadas en 2017</w:t>
            </w:r>
            <w:r w:rsidR="006C2935">
              <w:rPr>
                <w:noProof/>
                <w:webHidden/>
              </w:rPr>
              <w:tab/>
            </w:r>
            <w:r w:rsidR="006C2935">
              <w:rPr>
                <w:noProof/>
                <w:webHidden/>
              </w:rPr>
              <w:fldChar w:fldCharType="begin"/>
            </w:r>
            <w:r w:rsidR="006C2935">
              <w:rPr>
                <w:noProof/>
                <w:webHidden/>
              </w:rPr>
              <w:instrText xml:space="preserve"> PAGEREF _Toc505183044 \h </w:instrText>
            </w:r>
            <w:r w:rsidR="006C2935">
              <w:rPr>
                <w:noProof/>
                <w:webHidden/>
              </w:rPr>
            </w:r>
            <w:r w:rsidR="006C2935">
              <w:rPr>
                <w:noProof/>
                <w:webHidden/>
              </w:rPr>
              <w:fldChar w:fldCharType="separate"/>
            </w:r>
            <w:r w:rsidR="00DF7186">
              <w:rPr>
                <w:noProof/>
                <w:webHidden/>
              </w:rPr>
              <w:t>57</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45" w:history="1">
            <w:r w:rsidR="006C2935" w:rsidRPr="00E624B7">
              <w:rPr>
                <w:rStyle w:val="Hipervnculo"/>
                <w:rFonts w:cs="Arial"/>
                <w:noProof/>
              </w:rPr>
              <w:t>3.2.3.</w:t>
            </w:r>
            <w:r w:rsidR="006C2935">
              <w:rPr>
                <w:rFonts w:asciiTheme="minorHAnsi" w:eastAsiaTheme="minorEastAsia" w:hAnsiTheme="minorHAnsi" w:cstheme="minorBidi"/>
                <w:noProof/>
                <w:lang w:val="es-CO" w:eastAsia="es-CO"/>
              </w:rPr>
              <w:tab/>
            </w:r>
            <w:r w:rsidR="006C2935" w:rsidRPr="00E624B7">
              <w:rPr>
                <w:rStyle w:val="Hipervnculo"/>
                <w:rFonts w:cs="Arial"/>
                <w:noProof/>
              </w:rPr>
              <w:t>LOGROS 2017</w:t>
            </w:r>
            <w:r w:rsidR="006C2935">
              <w:rPr>
                <w:noProof/>
                <w:webHidden/>
              </w:rPr>
              <w:tab/>
            </w:r>
            <w:r w:rsidR="006C2935">
              <w:rPr>
                <w:noProof/>
                <w:webHidden/>
              </w:rPr>
              <w:fldChar w:fldCharType="begin"/>
            </w:r>
            <w:r w:rsidR="006C2935">
              <w:rPr>
                <w:noProof/>
                <w:webHidden/>
              </w:rPr>
              <w:instrText xml:space="preserve"> PAGEREF _Toc505183045 \h </w:instrText>
            </w:r>
            <w:r w:rsidR="006C2935">
              <w:rPr>
                <w:noProof/>
                <w:webHidden/>
              </w:rPr>
            </w:r>
            <w:r w:rsidR="006C2935">
              <w:rPr>
                <w:noProof/>
                <w:webHidden/>
              </w:rPr>
              <w:fldChar w:fldCharType="separate"/>
            </w:r>
            <w:r w:rsidR="00DF7186">
              <w:rPr>
                <w:noProof/>
                <w:webHidden/>
              </w:rPr>
              <w:t>70</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46" w:history="1">
            <w:r w:rsidR="006C2935" w:rsidRPr="00E624B7">
              <w:rPr>
                <w:rStyle w:val="Hipervnculo"/>
                <w:rFonts w:cs="Arial"/>
                <w:noProof/>
              </w:rPr>
              <w:t>3.2.4.</w:t>
            </w:r>
            <w:r w:rsidR="006C2935">
              <w:rPr>
                <w:rFonts w:asciiTheme="minorHAnsi" w:eastAsiaTheme="minorEastAsia" w:hAnsiTheme="minorHAnsi" w:cstheme="minorBidi"/>
                <w:noProof/>
                <w:lang w:val="es-CO" w:eastAsia="es-CO"/>
              </w:rPr>
              <w:tab/>
            </w:r>
            <w:r w:rsidR="006C2935" w:rsidRPr="00E624B7">
              <w:rPr>
                <w:rStyle w:val="Hipervnculo"/>
                <w:rFonts w:cs="Arial"/>
                <w:noProof/>
              </w:rPr>
              <w:t>RETOS 2018</w:t>
            </w:r>
            <w:r w:rsidR="006C2935">
              <w:rPr>
                <w:noProof/>
                <w:webHidden/>
              </w:rPr>
              <w:tab/>
            </w:r>
            <w:r w:rsidR="006C2935">
              <w:rPr>
                <w:noProof/>
                <w:webHidden/>
              </w:rPr>
              <w:fldChar w:fldCharType="begin"/>
            </w:r>
            <w:r w:rsidR="006C2935">
              <w:rPr>
                <w:noProof/>
                <w:webHidden/>
              </w:rPr>
              <w:instrText xml:space="preserve"> PAGEREF _Toc505183046 \h </w:instrText>
            </w:r>
            <w:r w:rsidR="006C2935">
              <w:rPr>
                <w:noProof/>
                <w:webHidden/>
              </w:rPr>
            </w:r>
            <w:r w:rsidR="006C2935">
              <w:rPr>
                <w:noProof/>
                <w:webHidden/>
              </w:rPr>
              <w:fldChar w:fldCharType="separate"/>
            </w:r>
            <w:r w:rsidR="00DF7186">
              <w:rPr>
                <w:noProof/>
                <w:webHidden/>
              </w:rPr>
              <w:t>75</w:t>
            </w:r>
            <w:r w:rsidR="006C2935">
              <w:rPr>
                <w:noProof/>
                <w:webHidden/>
              </w:rPr>
              <w:fldChar w:fldCharType="end"/>
            </w:r>
          </w:hyperlink>
        </w:p>
        <w:p w:rsidR="006C2935" w:rsidRDefault="000E0283">
          <w:pPr>
            <w:pStyle w:val="TDC1"/>
            <w:rPr>
              <w:rFonts w:asciiTheme="minorHAnsi" w:eastAsiaTheme="minorEastAsia" w:hAnsiTheme="minorHAnsi" w:cstheme="minorBidi"/>
              <w:bCs w:val="0"/>
              <w:kern w:val="0"/>
              <w:lang w:val="es-CO" w:eastAsia="es-CO"/>
            </w:rPr>
          </w:pPr>
          <w:hyperlink w:anchor="_Toc505183047" w:history="1">
            <w:r w:rsidR="006C2935" w:rsidRPr="00E624B7">
              <w:rPr>
                <w:rStyle w:val="Hipervnculo"/>
              </w:rPr>
              <w:t>3.3.</w:t>
            </w:r>
            <w:r w:rsidR="006C2935">
              <w:rPr>
                <w:rFonts w:asciiTheme="minorHAnsi" w:eastAsiaTheme="minorEastAsia" w:hAnsiTheme="minorHAnsi" w:cstheme="minorBidi"/>
                <w:bCs w:val="0"/>
                <w:kern w:val="0"/>
                <w:lang w:val="es-CO" w:eastAsia="es-CO"/>
              </w:rPr>
              <w:tab/>
            </w:r>
            <w:r w:rsidR="006C2935" w:rsidRPr="00E624B7">
              <w:rPr>
                <w:rStyle w:val="Hipervnculo"/>
              </w:rPr>
              <w:t>ATENCION A FAMILIAS Y COMUNIDADES</w:t>
            </w:r>
            <w:r w:rsidR="006C2935">
              <w:rPr>
                <w:webHidden/>
              </w:rPr>
              <w:tab/>
            </w:r>
            <w:r w:rsidR="006C2935">
              <w:rPr>
                <w:webHidden/>
              </w:rPr>
              <w:fldChar w:fldCharType="begin"/>
            </w:r>
            <w:r w:rsidR="006C2935">
              <w:rPr>
                <w:webHidden/>
              </w:rPr>
              <w:instrText xml:space="preserve"> PAGEREF _Toc505183047 \h </w:instrText>
            </w:r>
            <w:r w:rsidR="006C2935">
              <w:rPr>
                <w:webHidden/>
              </w:rPr>
            </w:r>
            <w:r w:rsidR="006C2935">
              <w:rPr>
                <w:webHidden/>
              </w:rPr>
              <w:fldChar w:fldCharType="separate"/>
            </w:r>
            <w:r w:rsidR="00DF7186">
              <w:rPr>
                <w:webHidden/>
              </w:rPr>
              <w:t>77</w:t>
            </w:r>
            <w:r w:rsidR="006C2935">
              <w:rPr>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48" w:history="1">
            <w:r w:rsidR="006C2935" w:rsidRPr="00E624B7">
              <w:rPr>
                <w:rStyle w:val="Hipervnculo"/>
                <w:rFonts w:cs="Arial"/>
                <w:noProof/>
              </w:rPr>
              <w:t>3.3.1.</w:t>
            </w:r>
            <w:r w:rsidR="006C2935">
              <w:rPr>
                <w:rFonts w:asciiTheme="minorHAnsi" w:eastAsiaTheme="minorEastAsia" w:hAnsiTheme="minorHAnsi" w:cstheme="minorBidi"/>
                <w:noProof/>
                <w:lang w:val="es-CO" w:eastAsia="es-CO"/>
              </w:rPr>
              <w:tab/>
            </w:r>
            <w:r w:rsidR="006C2935" w:rsidRPr="00E624B7">
              <w:rPr>
                <w:rStyle w:val="Hipervnculo"/>
                <w:rFonts w:cs="Arial"/>
                <w:noProof/>
              </w:rPr>
              <w:t>Marco de Política Pública de Familia y Comunidades</w:t>
            </w:r>
            <w:r w:rsidR="006C2935">
              <w:rPr>
                <w:noProof/>
                <w:webHidden/>
              </w:rPr>
              <w:tab/>
            </w:r>
            <w:r w:rsidR="006C2935">
              <w:rPr>
                <w:noProof/>
                <w:webHidden/>
              </w:rPr>
              <w:fldChar w:fldCharType="begin"/>
            </w:r>
            <w:r w:rsidR="006C2935">
              <w:rPr>
                <w:noProof/>
                <w:webHidden/>
              </w:rPr>
              <w:instrText xml:space="preserve"> PAGEREF _Toc505183048 \h </w:instrText>
            </w:r>
            <w:r w:rsidR="006C2935">
              <w:rPr>
                <w:noProof/>
                <w:webHidden/>
              </w:rPr>
            </w:r>
            <w:r w:rsidR="006C2935">
              <w:rPr>
                <w:noProof/>
                <w:webHidden/>
              </w:rPr>
              <w:fldChar w:fldCharType="separate"/>
            </w:r>
            <w:r w:rsidR="00DF7186">
              <w:rPr>
                <w:noProof/>
                <w:webHidden/>
              </w:rPr>
              <w:t>77</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49" w:history="1">
            <w:r w:rsidR="006C2935" w:rsidRPr="00E624B7">
              <w:rPr>
                <w:rStyle w:val="Hipervnculo"/>
                <w:rFonts w:eastAsiaTheme="majorEastAsia" w:cs="Arial"/>
                <w:noProof/>
              </w:rPr>
              <w:t>3.3.2.</w:t>
            </w:r>
            <w:r w:rsidR="006C2935">
              <w:rPr>
                <w:rFonts w:asciiTheme="minorHAnsi" w:eastAsiaTheme="minorEastAsia" w:hAnsiTheme="minorHAnsi" w:cstheme="minorBidi"/>
                <w:noProof/>
                <w:lang w:val="es-CO" w:eastAsia="es-CO"/>
              </w:rPr>
              <w:tab/>
            </w:r>
            <w:r w:rsidR="006C2935" w:rsidRPr="00E624B7">
              <w:rPr>
                <w:rStyle w:val="Hipervnculo"/>
                <w:rFonts w:eastAsiaTheme="majorEastAsia" w:cs="Arial"/>
                <w:noProof/>
              </w:rPr>
              <w:t>Acciones adelantadas frente a políticas priorizadas</w:t>
            </w:r>
            <w:r w:rsidR="006C2935">
              <w:rPr>
                <w:noProof/>
                <w:webHidden/>
              </w:rPr>
              <w:tab/>
            </w:r>
            <w:r w:rsidR="006C2935">
              <w:rPr>
                <w:noProof/>
                <w:webHidden/>
              </w:rPr>
              <w:fldChar w:fldCharType="begin"/>
            </w:r>
            <w:r w:rsidR="006C2935">
              <w:rPr>
                <w:noProof/>
                <w:webHidden/>
              </w:rPr>
              <w:instrText xml:space="preserve"> PAGEREF _Toc505183049 \h </w:instrText>
            </w:r>
            <w:r w:rsidR="006C2935">
              <w:rPr>
                <w:noProof/>
                <w:webHidden/>
              </w:rPr>
            </w:r>
            <w:r w:rsidR="006C2935">
              <w:rPr>
                <w:noProof/>
                <w:webHidden/>
              </w:rPr>
              <w:fldChar w:fldCharType="separate"/>
            </w:r>
            <w:r w:rsidR="00DF7186">
              <w:rPr>
                <w:noProof/>
                <w:webHidden/>
              </w:rPr>
              <w:t>78</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50" w:history="1">
            <w:r w:rsidR="006C2935" w:rsidRPr="00E624B7">
              <w:rPr>
                <w:rStyle w:val="Hipervnculo"/>
                <w:rFonts w:eastAsiaTheme="majorEastAsia" w:cs="Arial"/>
                <w:noProof/>
              </w:rPr>
              <w:t>3.3.3</w:t>
            </w:r>
            <w:r w:rsidR="006C2935">
              <w:rPr>
                <w:rFonts w:asciiTheme="minorHAnsi" w:eastAsiaTheme="minorEastAsia" w:hAnsiTheme="minorHAnsi" w:cstheme="minorBidi"/>
                <w:noProof/>
                <w:lang w:val="es-CO" w:eastAsia="es-CO"/>
              </w:rPr>
              <w:tab/>
            </w:r>
            <w:r w:rsidR="006C2935" w:rsidRPr="00E624B7">
              <w:rPr>
                <w:rStyle w:val="Hipervnculo"/>
                <w:rFonts w:eastAsiaTheme="majorEastAsia" w:cs="Arial"/>
                <w:noProof/>
              </w:rPr>
              <w:t>Atención a Familias y Comunidades</w:t>
            </w:r>
            <w:r w:rsidR="006C2935">
              <w:rPr>
                <w:noProof/>
                <w:webHidden/>
              </w:rPr>
              <w:tab/>
            </w:r>
            <w:r w:rsidR="006C2935">
              <w:rPr>
                <w:noProof/>
                <w:webHidden/>
              </w:rPr>
              <w:fldChar w:fldCharType="begin"/>
            </w:r>
            <w:r w:rsidR="006C2935">
              <w:rPr>
                <w:noProof/>
                <w:webHidden/>
              </w:rPr>
              <w:instrText xml:space="preserve"> PAGEREF _Toc505183050 \h </w:instrText>
            </w:r>
            <w:r w:rsidR="006C2935">
              <w:rPr>
                <w:noProof/>
                <w:webHidden/>
              </w:rPr>
            </w:r>
            <w:r w:rsidR="006C2935">
              <w:rPr>
                <w:noProof/>
                <w:webHidden/>
              </w:rPr>
              <w:fldChar w:fldCharType="separate"/>
            </w:r>
            <w:r w:rsidR="00DF7186">
              <w:rPr>
                <w:noProof/>
                <w:webHidden/>
              </w:rPr>
              <w:t>83</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51" w:history="1">
            <w:r w:rsidR="006C2935" w:rsidRPr="00E624B7">
              <w:rPr>
                <w:rStyle w:val="Hipervnculo"/>
                <w:rFonts w:eastAsiaTheme="majorEastAsia" w:cs="Arial"/>
                <w:noProof/>
              </w:rPr>
              <w:t>3.3.4.</w:t>
            </w:r>
            <w:r w:rsidR="006C2935">
              <w:rPr>
                <w:rFonts w:asciiTheme="minorHAnsi" w:eastAsiaTheme="minorEastAsia" w:hAnsiTheme="minorHAnsi" w:cstheme="minorBidi"/>
                <w:noProof/>
                <w:lang w:val="es-CO" w:eastAsia="es-CO"/>
              </w:rPr>
              <w:tab/>
            </w:r>
            <w:r w:rsidR="006C2935" w:rsidRPr="00E624B7">
              <w:rPr>
                <w:rStyle w:val="Hipervnculo"/>
                <w:rFonts w:eastAsiaTheme="majorEastAsia" w:cs="Arial"/>
                <w:noProof/>
              </w:rPr>
              <w:t>LOGROS 2017</w:t>
            </w:r>
            <w:r w:rsidR="006C2935">
              <w:rPr>
                <w:noProof/>
                <w:webHidden/>
              </w:rPr>
              <w:tab/>
            </w:r>
            <w:r w:rsidR="006C2935">
              <w:rPr>
                <w:noProof/>
                <w:webHidden/>
              </w:rPr>
              <w:fldChar w:fldCharType="begin"/>
            </w:r>
            <w:r w:rsidR="006C2935">
              <w:rPr>
                <w:noProof/>
                <w:webHidden/>
              </w:rPr>
              <w:instrText xml:space="preserve"> PAGEREF _Toc505183051 \h </w:instrText>
            </w:r>
            <w:r w:rsidR="006C2935">
              <w:rPr>
                <w:noProof/>
                <w:webHidden/>
              </w:rPr>
            </w:r>
            <w:r w:rsidR="006C2935">
              <w:rPr>
                <w:noProof/>
                <w:webHidden/>
              </w:rPr>
              <w:fldChar w:fldCharType="separate"/>
            </w:r>
            <w:r w:rsidR="00DF7186">
              <w:rPr>
                <w:noProof/>
                <w:webHidden/>
              </w:rPr>
              <w:t>87</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52" w:history="1">
            <w:r w:rsidR="006C2935" w:rsidRPr="00E624B7">
              <w:rPr>
                <w:rStyle w:val="Hipervnculo"/>
                <w:rFonts w:eastAsiaTheme="majorEastAsia" w:cs="Arial"/>
                <w:noProof/>
              </w:rPr>
              <w:t>3.3.5.</w:t>
            </w:r>
            <w:r w:rsidR="006C2935">
              <w:rPr>
                <w:rFonts w:asciiTheme="minorHAnsi" w:eastAsiaTheme="minorEastAsia" w:hAnsiTheme="minorHAnsi" w:cstheme="minorBidi"/>
                <w:noProof/>
                <w:lang w:val="es-CO" w:eastAsia="es-CO"/>
              </w:rPr>
              <w:tab/>
            </w:r>
            <w:r w:rsidR="006C2935" w:rsidRPr="00E624B7">
              <w:rPr>
                <w:rStyle w:val="Hipervnculo"/>
                <w:rFonts w:eastAsiaTheme="majorEastAsia" w:cs="Arial"/>
                <w:noProof/>
              </w:rPr>
              <w:t>RETOS 2018</w:t>
            </w:r>
            <w:r w:rsidR="006C2935">
              <w:rPr>
                <w:noProof/>
                <w:webHidden/>
              </w:rPr>
              <w:tab/>
            </w:r>
            <w:r w:rsidR="006C2935">
              <w:rPr>
                <w:noProof/>
                <w:webHidden/>
              </w:rPr>
              <w:fldChar w:fldCharType="begin"/>
            </w:r>
            <w:r w:rsidR="006C2935">
              <w:rPr>
                <w:noProof/>
                <w:webHidden/>
              </w:rPr>
              <w:instrText xml:space="preserve"> PAGEREF _Toc505183052 \h </w:instrText>
            </w:r>
            <w:r w:rsidR="006C2935">
              <w:rPr>
                <w:noProof/>
                <w:webHidden/>
              </w:rPr>
            </w:r>
            <w:r w:rsidR="006C2935">
              <w:rPr>
                <w:noProof/>
                <w:webHidden/>
              </w:rPr>
              <w:fldChar w:fldCharType="separate"/>
            </w:r>
            <w:r w:rsidR="00DF7186">
              <w:rPr>
                <w:noProof/>
                <w:webHidden/>
              </w:rPr>
              <w:t>87</w:t>
            </w:r>
            <w:r w:rsidR="006C2935">
              <w:rPr>
                <w:noProof/>
                <w:webHidden/>
              </w:rPr>
              <w:fldChar w:fldCharType="end"/>
            </w:r>
          </w:hyperlink>
        </w:p>
        <w:p w:rsidR="006C2935" w:rsidRDefault="000E0283">
          <w:pPr>
            <w:pStyle w:val="TDC1"/>
            <w:rPr>
              <w:rFonts w:asciiTheme="minorHAnsi" w:eastAsiaTheme="minorEastAsia" w:hAnsiTheme="minorHAnsi" w:cstheme="minorBidi"/>
              <w:bCs w:val="0"/>
              <w:kern w:val="0"/>
              <w:lang w:val="es-CO" w:eastAsia="es-CO"/>
            </w:rPr>
          </w:pPr>
          <w:hyperlink w:anchor="_Toc505183053" w:history="1">
            <w:r w:rsidR="006C2935" w:rsidRPr="00E624B7">
              <w:rPr>
                <w:rStyle w:val="Hipervnculo"/>
              </w:rPr>
              <w:t>3.4.</w:t>
            </w:r>
            <w:r w:rsidR="006C2935">
              <w:rPr>
                <w:rFonts w:asciiTheme="minorHAnsi" w:eastAsiaTheme="minorEastAsia" w:hAnsiTheme="minorHAnsi" w:cstheme="minorBidi"/>
                <w:bCs w:val="0"/>
                <w:kern w:val="0"/>
                <w:lang w:val="es-CO" w:eastAsia="es-CO"/>
              </w:rPr>
              <w:tab/>
            </w:r>
            <w:r w:rsidR="006C2935" w:rsidRPr="00E624B7">
              <w:rPr>
                <w:rStyle w:val="Hipervnculo"/>
              </w:rPr>
              <w:t>ATENCIÓN EN NUTRICIÓN</w:t>
            </w:r>
            <w:r w:rsidR="006C2935">
              <w:rPr>
                <w:webHidden/>
              </w:rPr>
              <w:tab/>
            </w:r>
            <w:r w:rsidR="006C2935">
              <w:rPr>
                <w:webHidden/>
              </w:rPr>
              <w:fldChar w:fldCharType="begin"/>
            </w:r>
            <w:r w:rsidR="006C2935">
              <w:rPr>
                <w:webHidden/>
              </w:rPr>
              <w:instrText xml:space="preserve"> PAGEREF _Toc505183053 \h </w:instrText>
            </w:r>
            <w:r w:rsidR="006C2935">
              <w:rPr>
                <w:webHidden/>
              </w:rPr>
            </w:r>
            <w:r w:rsidR="006C2935">
              <w:rPr>
                <w:webHidden/>
              </w:rPr>
              <w:fldChar w:fldCharType="separate"/>
            </w:r>
            <w:r w:rsidR="00DF7186">
              <w:rPr>
                <w:webHidden/>
              </w:rPr>
              <w:t>88</w:t>
            </w:r>
            <w:r w:rsidR="006C2935">
              <w:rPr>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54" w:history="1">
            <w:r w:rsidR="006C2935" w:rsidRPr="00E624B7">
              <w:rPr>
                <w:rStyle w:val="Hipervnculo"/>
                <w:rFonts w:eastAsiaTheme="majorEastAsia" w:cs="Arial"/>
                <w:noProof/>
              </w:rPr>
              <w:t>3.4.1.</w:t>
            </w:r>
            <w:r w:rsidR="006C2935">
              <w:rPr>
                <w:rFonts w:asciiTheme="minorHAnsi" w:eastAsiaTheme="minorEastAsia" w:hAnsiTheme="minorHAnsi" w:cstheme="minorBidi"/>
                <w:noProof/>
                <w:lang w:val="es-CO" w:eastAsia="es-CO"/>
              </w:rPr>
              <w:tab/>
            </w:r>
            <w:r w:rsidR="006C2935" w:rsidRPr="00E624B7">
              <w:rPr>
                <w:rStyle w:val="Hipervnculo"/>
                <w:rFonts w:eastAsia="Times New Roman" w:cs="Arial"/>
                <w:noProof/>
                <w:kern w:val="32"/>
              </w:rPr>
              <w:t>Marco de Política Pública de Nutrición</w:t>
            </w:r>
            <w:r w:rsidR="006C2935">
              <w:rPr>
                <w:noProof/>
                <w:webHidden/>
              </w:rPr>
              <w:tab/>
            </w:r>
            <w:r w:rsidR="006C2935">
              <w:rPr>
                <w:noProof/>
                <w:webHidden/>
              </w:rPr>
              <w:fldChar w:fldCharType="begin"/>
            </w:r>
            <w:r w:rsidR="006C2935">
              <w:rPr>
                <w:noProof/>
                <w:webHidden/>
              </w:rPr>
              <w:instrText xml:space="preserve"> PAGEREF _Toc505183054 \h </w:instrText>
            </w:r>
            <w:r w:rsidR="006C2935">
              <w:rPr>
                <w:noProof/>
                <w:webHidden/>
              </w:rPr>
            </w:r>
            <w:r w:rsidR="006C2935">
              <w:rPr>
                <w:noProof/>
                <w:webHidden/>
              </w:rPr>
              <w:fldChar w:fldCharType="separate"/>
            </w:r>
            <w:r w:rsidR="00DF7186">
              <w:rPr>
                <w:noProof/>
                <w:webHidden/>
              </w:rPr>
              <w:t>88</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55" w:history="1">
            <w:r w:rsidR="006C2935" w:rsidRPr="00E624B7">
              <w:rPr>
                <w:rStyle w:val="Hipervnculo"/>
                <w:rFonts w:eastAsia="Times New Roman" w:cs="Arial"/>
                <w:noProof/>
                <w:kern w:val="32"/>
              </w:rPr>
              <w:t>3.4.2.</w:t>
            </w:r>
            <w:r w:rsidR="006C2935">
              <w:rPr>
                <w:rFonts w:asciiTheme="minorHAnsi" w:eastAsiaTheme="minorEastAsia" w:hAnsiTheme="minorHAnsi" w:cstheme="minorBidi"/>
                <w:noProof/>
                <w:lang w:val="es-CO" w:eastAsia="es-CO"/>
              </w:rPr>
              <w:tab/>
            </w:r>
            <w:r w:rsidR="006C2935" w:rsidRPr="00E624B7">
              <w:rPr>
                <w:rStyle w:val="Hipervnculo"/>
                <w:rFonts w:eastAsia="Times New Roman" w:cs="Arial"/>
                <w:noProof/>
                <w:kern w:val="32"/>
              </w:rPr>
              <w:t>Estrategia de información, educación y comunicación</w:t>
            </w:r>
            <w:r w:rsidR="006C2935">
              <w:rPr>
                <w:noProof/>
                <w:webHidden/>
              </w:rPr>
              <w:tab/>
            </w:r>
            <w:r w:rsidR="006C2935">
              <w:rPr>
                <w:noProof/>
                <w:webHidden/>
              </w:rPr>
              <w:fldChar w:fldCharType="begin"/>
            </w:r>
            <w:r w:rsidR="006C2935">
              <w:rPr>
                <w:noProof/>
                <w:webHidden/>
              </w:rPr>
              <w:instrText xml:space="preserve"> PAGEREF _Toc505183055 \h </w:instrText>
            </w:r>
            <w:r w:rsidR="006C2935">
              <w:rPr>
                <w:noProof/>
                <w:webHidden/>
              </w:rPr>
            </w:r>
            <w:r w:rsidR="006C2935">
              <w:rPr>
                <w:noProof/>
                <w:webHidden/>
              </w:rPr>
              <w:fldChar w:fldCharType="separate"/>
            </w:r>
            <w:r w:rsidR="00DF7186">
              <w:rPr>
                <w:noProof/>
                <w:webHidden/>
              </w:rPr>
              <w:t>89</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56" w:history="1">
            <w:r w:rsidR="006C2935" w:rsidRPr="00E624B7">
              <w:rPr>
                <w:rStyle w:val="Hipervnculo"/>
                <w:rFonts w:eastAsia="Times New Roman" w:cs="Arial"/>
                <w:noProof/>
                <w:kern w:val="32"/>
              </w:rPr>
              <w:t>3.4.3.</w:t>
            </w:r>
            <w:r w:rsidR="006C2935">
              <w:rPr>
                <w:rFonts w:asciiTheme="minorHAnsi" w:eastAsiaTheme="minorEastAsia" w:hAnsiTheme="minorHAnsi" w:cstheme="minorBidi"/>
                <w:noProof/>
                <w:lang w:val="es-CO" w:eastAsia="es-CO"/>
              </w:rPr>
              <w:tab/>
            </w:r>
            <w:r w:rsidR="006C2935" w:rsidRPr="00E624B7">
              <w:rPr>
                <w:rStyle w:val="Hipervnculo"/>
                <w:rFonts w:eastAsia="Times New Roman" w:cs="Arial"/>
                <w:noProof/>
                <w:kern w:val="32"/>
              </w:rPr>
              <w:t>Planes de Seguridad Alimentaria</w:t>
            </w:r>
            <w:r w:rsidR="006C2935">
              <w:rPr>
                <w:noProof/>
                <w:webHidden/>
              </w:rPr>
              <w:tab/>
            </w:r>
            <w:r w:rsidR="006C2935">
              <w:rPr>
                <w:noProof/>
                <w:webHidden/>
              </w:rPr>
              <w:fldChar w:fldCharType="begin"/>
            </w:r>
            <w:r w:rsidR="006C2935">
              <w:rPr>
                <w:noProof/>
                <w:webHidden/>
              </w:rPr>
              <w:instrText xml:space="preserve"> PAGEREF _Toc505183056 \h </w:instrText>
            </w:r>
            <w:r w:rsidR="006C2935">
              <w:rPr>
                <w:noProof/>
                <w:webHidden/>
              </w:rPr>
            </w:r>
            <w:r w:rsidR="006C2935">
              <w:rPr>
                <w:noProof/>
                <w:webHidden/>
              </w:rPr>
              <w:fldChar w:fldCharType="separate"/>
            </w:r>
            <w:r w:rsidR="00DF7186">
              <w:rPr>
                <w:noProof/>
                <w:webHidden/>
              </w:rPr>
              <w:t>89</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57" w:history="1">
            <w:r w:rsidR="006C2935" w:rsidRPr="00E624B7">
              <w:rPr>
                <w:rStyle w:val="Hipervnculo"/>
                <w:rFonts w:eastAsia="Times New Roman" w:cs="Arial"/>
                <w:noProof/>
                <w:lang w:val="es-CO" w:eastAsia="es-ES"/>
              </w:rPr>
              <w:t>3.4.4.</w:t>
            </w:r>
            <w:r w:rsidR="006C2935">
              <w:rPr>
                <w:rFonts w:asciiTheme="minorHAnsi" w:eastAsiaTheme="minorEastAsia" w:hAnsiTheme="minorHAnsi" w:cstheme="minorBidi"/>
                <w:noProof/>
                <w:lang w:val="es-CO" w:eastAsia="es-CO"/>
              </w:rPr>
              <w:tab/>
            </w:r>
            <w:r w:rsidR="006C2935" w:rsidRPr="00E624B7">
              <w:rPr>
                <w:rStyle w:val="Hipervnculo"/>
                <w:rFonts w:eastAsia="Times New Roman" w:cs="Arial"/>
                <w:noProof/>
                <w:kern w:val="32"/>
              </w:rPr>
              <w:t>Metrología</w:t>
            </w:r>
            <w:r w:rsidR="006C2935">
              <w:rPr>
                <w:noProof/>
                <w:webHidden/>
              </w:rPr>
              <w:tab/>
            </w:r>
            <w:r w:rsidR="006C2935">
              <w:rPr>
                <w:noProof/>
                <w:webHidden/>
              </w:rPr>
              <w:fldChar w:fldCharType="begin"/>
            </w:r>
            <w:r w:rsidR="006C2935">
              <w:rPr>
                <w:noProof/>
                <w:webHidden/>
              </w:rPr>
              <w:instrText xml:space="preserve"> PAGEREF _Toc505183057 \h </w:instrText>
            </w:r>
            <w:r w:rsidR="006C2935">
              <w:rPr>
                <w:noProof/>
                <w:webHidden/>
              </w:rPr>
            </w:r>
            <w:r w:rsidR="006C2935">
              <w:rPr>
                <w:noProof/>
                <w:webHidden/>
              </w:rPr>
              <w:fldChar w:fldCharType="separate"/>
            </w:r>
            <w:r w:rsidR="00DF7186">
              <w:rPr>
                <w:noProof/>
                <w:webHidden/>
              </w:rPr>
              <w:t>90</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58" w:history="1">
            <w:r w:rsidR="006C2935" w:rsidRPr="00E624B7">
              <w:rPr>
                <w:rStyle w:val="Hipervnculo"/>
                <w:rFonts w:eastAsia="Times New Roman" w:cs="Arial"/>
                <w:noProof/>
                <w:kern w:val="32"/>
              </w:rPr>
              <w:t>3.4.5.</w:t>
            </w:r>
            <w:r w:rsidR="006C2935">
              <w:rPr>
                <w:rFonts w:asciiTheme="minorHAnsi" w:eastAsiaTheme="minorEastAsia" w:hAnsiTheme="minorHAnsi" w:cstheme="minorBidi"/>
                <w:noProof/>
                <w:lang w:val="es-CO" w:eastAsia="es-CO"/>
              </w:rPr>
              <w:tab/>
            </w:r>
            <w:r w:rsidR="006C2935" w:rsidRPr="00E624B7">
              <w:rPr>
                <w:rStyle w:val="Hipervnculo"/>
                <w:rFonts w:eastAsia="Times New Roman" w:cs="Arial"/>
                <w:noProof/>
                <w:kern w:val="32"/>
              </w:rPr>
              <w:t>Enfoque Diferencial</w:t>
            </w:r>
            <w:r w:rsidR="006C2935">
              <w:rPr>
                <w:noProof/>
                <w:webHidden/>
              </w:rPr>
              <w:tab/>
            </w:r>
            <w:r w:rsidR="006C2935">
              <w:rPr>
                <w:noProof/>
                <w:webHidden/>
              </w:rPr>
              <w:fldChar w:fldCharType="begin"/>
            </w:r>
            <w:r w:rsidR="006C2935">
              <w:rPr>
                <w:noProof/>
                <w:webHidden/>
              </w:rPr>
              <w:instrText xml:space="preserve"> PAGEREF _Toc505183058 \h </w:instrText>
            </w:r>
            <w:r w:rsidR="006C2935">
              <w:rPr>
                <w:noProof/>
                <w:webHidden/>
              </w:rPr>
            </w:r>
            <w:r w:rsidR="006C2935">
              <w:rPr>
                <w:noProof/>
                <w:webHidden/>
              </w:rPr>
              <w:fldChar w:fldCharType="separate"/>
            </w:r>
            <w:r w:rsidR="00DF7186">
              <w:rPr>
                <w:noProof/>
                <w:webHidden/>
              </w:rPr>
              <w:t>91</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59" w:history="1">
            <w:r w:rsidR="006C2935" w:rsidRPr="00E624B7">
              <w:rPr>
                <w:rStyle w:val="Hipervnculo"/>
                <w:rFonts w:eastAsiaTheme="majorEastAsia" w:cs="Arial"/>
                <w:noProof/>
              </w:rPr>
              <w:t>3.4.6.</w:t>
            </w:r>
            <w:r w:rsidR="006C2935">
              <w:rPr>
                <w:rFonts w:asciiTheme="minorHAnsi" w:eastAsiaTheme="minorEastAsia" w:hAnsiTheme="minorHAnsi" w:cstheme="minorBidi"/>
                <w:noProof/>
                <w:lang w:val="es-CO" w:eastAsia="es-CO"/>
              </w:rPr>
              <w:tab/>
            </w:r>
            <w:r w:rsidR="006C2935" w:rsidRPr="00E624B7">
              <w:rPr>
                <w:rStyle w:val="Hipervnculo"/>
                <w:rFonts w:eastAsia="Times New Roman" w:cs="Arial"/>
                <w:noProof/>
                <w:kern w:val="32"/>
              </w:rPr>
              <w:t>Estrategia de Atención y Prevención de la Desnutrición</w:t>
            </w:r>
            <w:r w:rsidR="006C2935">
              <w:rPr>
                <w:noProof/>
                <w:webHidden/>
              </w:rPr>
              <w:tab/>
            </w:r>
            <w:r w:rsidR="006C2935">
              <w:rPr>
                <w:noProof/>
                <w:webHidden/>
              </w:rPr>
              <w:fldChar w:fldCharType="begin"/>
            </w:r>
            <w:r w:rsidR="006C2935">
              <w:rPr>
                <w:noProof/>
                <w:webHidden/>
              </w:rPr>
              <w:instrText xml:space="preserve"> PAGEREF _Toc505183059 \h </w:instrText>
            </w:r>
            <w:r w:rsidR="006C2935">
              <w:rPr>
                <w:noProof/>
                <w:webHidden/>
              </w:rPr>
            </w:r>
            <w:r w:rsidR="006C2935">
              <w:rPr>
                <w:noProof/>
                <w:webHidden/>
              </w:rPr>
              <w:fldChar w:fldCharType="separate"/>
            </w:r>
            <w:r w:rsidR="00DF7186">
              <w:rPr>
                <w:noProof/>
                <w:webHidden/>
              </w:rPr>
              <w:t>92</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60" w:history="1">
            <w:r w:rsidR="006C2935" w:rsidRPr="00E624B7">
              <w:rPr>
                <w:rStyle w:val="Hipervnculo"/>
                <w:rFonts w:eastAsiaTheme="majorEastAsia" w:cs="Arial"/>
                <w:noProof/>
              </w:rPr>
              <w:t>3.4.7.</w:t>
            </w:r>
            <w:r w:rsidR="006C2935">
              <w:rPr>
                <w:rFonts w:asciiTheme="minorHAnsi" w:eastAsiaTheme="minorEastAsia" w:hAnsiTheme="minorHAnsi" w:cstheme="minorBidi"/>
                <w:noProof/>
                <w:lang w:val="es-CO" w:eastAsia="es-CO"/>
              </w:rPr>
              <w:tab/>
            </w:r>
            <w:r w:rsidR="006C2935" w:rsidRPr="00E624B7">
              <w:rPr>
                <w:rStyle w:val="Hipervnculo"/>
                <w:rFonts w:eastAsia="Times New Roman" w:cs="Arial"/>
                <w:noProof/>
                <w:kern w:val="32"/>
              </w:rPr>
              <w:t>Sistema de Seguimiento Nutricional – SSN</w:t>
            </w:r>
            <w:r w:rsidR="006C2935">
              <w:rPr>
                <w:noProof/>
                <w:webHidden/>
              </w:rPr>
              <w:tab/>
            </w:r>
            <w:r w:rsidR="006C2935">
              <w:rPr>
                <w:noProof/>
                <w:webHidden/>
              </w:rPr>
              <w:fldChar w:fldCharType="begin"/>
            </w:r>
            <w:r w:rsidR="006C2935">
              <w:rPr>
                <w:noProof/>
                <w:webHidden/>
              </w:rPr>
              <w:instrText xml:space="preserve"> PAGEREF _Toc505183060 \h </w:instrText>
            </w:r>
            <w:r w:rsidR="006C2935">
              <w:rPr>
                <w:noProof/>
                <w:webHidden/>
              </w:rPr>
            </w:r>
            <w:r w:rsidR="006C2935">
              <w:rPr>
                <w:noProof/>
                <w:webHidden/>
              </w:rPr>
              <w:fldChar w:fldCharType="separate"/>
            </w:r>
            <w:r w:rsidR="00DF7186">
              <w:rPr>
                <w:noProof/>
                <w:webHidden/>
              </w:rPr>
              <w:t>97</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61" w:history="1">
            <w:r w:rsidR="006C2935" w:rsidRPr="00E624B7">
              <w:rPr>
                <w:rStyle w:val="Hipervnculo"/>
                <w:rFonts w:eastAsiaTheme="majorEastAsia" w:cs="Arial"/>
                <w:noProof/>
              </w:rPr>
              <w:t>3.4.8.</w:t>
            </w:r>
            <w:r w:rsidR="006C2935">
              <w:rPr>
                <w:rFonts w:asciiTheme="minorHAnsi" w:eastAsiaTheme="minorEastAsia" w:hAnsiTheme="minorHAnsi" w:cstheme="minorBidi"/>
                <w:noProof/>
                <w:lang w:val="es-CO" w:eastAsia="es-CO"/>
              </w:rPr>
              <w:tab/>
            </w:r>
            <w:r w:rsidR="006C2935" w:rsidRPr="00E624B7">
              <w:rPr>
                <w:rStyle w:val="Hipervnculo"/>
                <w:rFonts w:eastAsia="Times New Roman" w:cs="Arial"/>
                <w:noProof/>
                <w:kern w:val="32"/>
              </w:rPr>
              <w:t>Alimentos de Alto Valor Nutricional - AAVN</w:t>
            </w:r>
            <w:r w:rsidR="006C2935">
              <w:rPr>
                <w:noProof/>
                <w:webHidden/>
              </w:rPr>
              <w:tab/>
            </w:r>
            <w:r w:rsidR="006C2935">
              <w:rPr>
                <w:noProof/>
                <w:webHidden/>
              </w:rPr>
              <w:fldChar w:fldCharType="begin"/>
            </w:r>
            <w:r w:rsidR="006C2935">
              <w:rPr>
                <w:noProof/>
                <w:webHidden/>
              </w:rPr>
              <w:instrText xml:space="preserve"> PAGEREF _Toc505183061 \h </w:instrText>
            </w:r>
            <w:r w:rsidR="006C2935">
              <w:rPr>
                <w:noProof/>
                <w:webHidden/>
              </w:rPr>
            </w:r>
            <w:r w:rsidR="006C2935">
              <w:rPr>
                <w:noProof/>
                <w:webHidden/>
              </w:rPr>
              <w:fldChar w:fldCharType="separate"/>
            </w:r>
            <w:r w:rsidR="00DF7186">
              <w:rPr>
                <w:noProof/>
                <w:webHidden/>
              </w:rPr>
              <w:t>97</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62" w:history="1">
            <w:r w:rsidR="006C2935" w:rsidRPr="00E624B7">
              <w:rPr>
                <w:rStyle w:val="Hipervnculo"/>
                <w:rFonts w:eastAsiaTheme="majorEastAsia" w:cs="Arial"/>
                <w:noProof/>
              </w:rPr>
              <w:t>3.4.9.</w:t>
            </w:r>
            <w:r w:rsidR="006C2935">
              <w:rPr>
                <w:rFonts w:asciiTheme="minorHAnsi" w:eastAsiaTheme="minorEastAsia" w:hAnsiTheme="minorHAnsi" w:cstheme="minorBidi"/>
                <w:noProof/>
                <w:lang w:val="es-CO" w:eastAsia="es-CO"/>
              </w:rPr>
              <w:tab/>
            </w:r>
            <w:r w:rsidR="006C2935" w:rsidRPr="00E624B7">
              <w:rPr>
                <w:rStyle w:val="Hipervnculo"/>
                <w:rFonts w:eastAsia="Times New Roman" w:cs="Arial"/>
                <w:noProof/>
                <w:kern w:val="32"/>
              </w:rPr>
              <w:t>LOGROS 2017</w:t>
            </w:r>
            <w:r w:rsidR="006C2935">
              <w:rPr>
                <w:noProof/>
                <w:webHidden/>
              </w:rPr>
              <w:tab/>
            </w:r>
            <w:r w:rsidR="006C2935">
              <w:rPr>
                <w:noProof/>
                <w:webHidden/>
              </w:rPr>
              <w:fldChar w:fldCharType="begin"/>
            </w:r>
            <w:r w:rsidR="006C2935">
              <w:rPr>
                <w:noProof/>
                <w:webHidden/>
              </w:rPr>
              <w:instrText xml:space="preserve"> PAGEREF _Toc505183062 \h </w:instrText>
            </w:r>
            <w:r w:rsidR="006C2935">
              <w:rPr>
                <w:noProof/>
                <w:webHidden/>
              </w:rPr>
            </w:r>
            <w:r w:rsidR="006C2935">
              <w:rPr>
                <w:noProof/>
                <w:webHidden/>
              </w:rPr>
              <w:fldChar w:fldCharType="separate"/>
            </w:r>
            <w:r w:rsidR="00DF7186">
              <w:rPr>
                <w:noProof/>
                <w:webHidden/>
              </w:rPr>
              <w:t>105</w:t>
            </w:r>
            <w:r w:rsidR="006C2935">
              <w:rPr>
                <w:noProof/>
                <w:webHidden/>
              </w:rPr>
              <w:fldChar w:fldCharType="end"/>
            </w:r>
          </w:hyperlink>
        </w:p>
        <w:p w:rsidR="006C2935" w:rsidRDefault="000E0283">
          <w:pPr>
            <w:pStyle w:val="TDC2"/>
            <w:tabs>
              <w:tab w:val="left" w:pos="1320"/>
              <w:tab w:val="right" w:leader="dot" w:pos="9395"/>
            </w:tabs>
            <w:rPr>
              <w:rFonts w:asciiTheme="minorHAnsi" w:eastAsiaTheme="minorEastAsia" w:hAnsiTheme="minorHAnsi" w:cstheme="minorBidi"/>
              <w:noProof/>
              <w:lang w:val="es-CO" w:eastAsia="es-CO"/>
            </w:rPr>
          </w:pPr>
          <w:hyperlink w:anchor="_Toc505183063" w:history="1">
            <w:r w:rsidR="006C2935" w:rsidRPr="00E624B7">
              <w:rPr>
                <w:rStyle w:val="Hipervnculo"/>
                <w:rFonts w:eastAsiaTheme="majorEastAsia" w:cs="Arial"/>
                <w:noProof/>
              </w:rPr>
              <w:t>3.4.10.</w:t>
            </w:r>
            <w:r w:rsidR="006C2935">
              <w:rPr>
                <w:rFonts w:asciiTheme="minorHAnsi" w:eastAsiaTheme="minorEastAsia" w:hAnsiTheme="minorHAnsi" w:cstheme="minorBidi"/>
                <w:noProof/>
                <w:lang w:val="es-CO" w:eastAsia="es-CO"/>
              </w:rPr>
              <w:tab/>
            </w:r>
            <w:r w:rsidR="006C2935" w:rsidRPr="00E624B7">
              <w:rPr>
                <w:rStyle w:val="Hipervnculo"/>
                <w:rFonts w:eastAsia="Times New Roman" w:cs="Arial"/>
                <w:noProof/>
                <w:kern w:val="32"/>
              </w:rPr>
              <w:t>RETOS 2018</w:t>
            </w:r>
            <w:r w:rsidR="006C2935">
              <w:rPr>
                <w:noProof/>
                <w:webHidden/>
              </w:rPr>
              <w:tab/>
            </w:r>
            <w:r w:rsidR="006C2935">
              <w:rPr>
                <w:noProof/>
                <w:webHidden/>
              </w:rPr>
              <w:fldChar w:fldCharType="begin"/>
            </w:r>
            <w:r w:rsidR="006C2935">
              <w:rPr>
                <w:noProof/>
                <w:webHidden/>
              </w:rPr>
              <w:instrText xml:space="preserve"> PAGEREF _Toc505183063 \h </w:instrText>
            </w:r>
            <w:r w:rsidR="006C2935">
              <w:rPr>
                <w:noProof/>
                <w:webHidden/>
              </w:rPr>
            </w:r>
            <w:r w:rsidR="006C2935">
              <w:rPr>
                <w:noProof/>
                <w:webHidden/>
              </w:rPr>
              <w:fldChar w:fldCharType="separate"/>
            </w:r>
            <w:r w:rsidR="00DF7186">
              <w:rPr>
                <w:noProof/>
                <w:webHidden/>
              </w:rPr>
              <w:t>106</w:t>
            </w:r>
            <w:r w:rsidR="006C2935">
              <w:rPr>
                <w:noProof/>
                <w:webHidden/>
              </w:rPr>
              <w:fldChar w:fldCharType="end"/>
            </w:r>
          </w:hyperlink>
        </w:p>
        <w:p w:rsidR="006C2935" w:rsidRDefault="000E0283">
          <w:pPr>
            <w:pStyle w:val="TDC1"/>
            <w:rPr>
              <w:rFonts w:asciiTheme="minorHAnsi" w:eastAsiaTheme="minorEastAsia" w:hAnsiTheme="minorHAnsi" w:cstheme="minorBidi"/>
              <w:bCs w:val="0"/>
              <w:kern w:val="0"/>
              <w:lang w:val="es-CO" w:eastAsia="es-CO"/>
            </w:rPr>
          </w:pPr>
          <w:hyperlink w:anchor="_Toc505183064" w:history="1">
            <w:r w:rsidR="006C2935" w:rsidRPr="00E624B7">
              <w:rPr>
                <w:rStyle w:val="Hipervnculo"/>
              </w:rPr>
              <w:t>3.5.</w:t>
            </w:r>
            <w:r w:rsidR="006C2935">
              <w:rPr>
                <w:rFonts w:asciiTheme="minorHAnsi" w:eastAsiaTheme="minorEastAsia" w:hAnsiTheme="minorHAnsi" w:cstheme="minorBidi"/>
                <w:bCs w:val="0"/>
                <w:kern w:val="0"/>
                <w:lang w:val="es-CO" w:eastAsia="es-CO"/>
              </w:rPr>
              <w:tab/>
            </w:r>
            <w:r w:rsidR="006C2935" w:rsidRPr="00E624B7">
              <w:rPr>
                <w:rStyle w:val="Hipervnculo"/>
              </w:rPr>
              <w:t>PROTECCIÓN DE NIÑOS, NIÑAS Y ADOLESCENTES</w:t>
            </w:r>
            <w:r w:rsidR="006C2935">
              <w:rPr>
                <w:webHidden/>
              </w:rPr>
              <w:tab/>
            </w:r>
            <w:r w:rsidR="006C2935">
              <w:rPr>
                <w:webHidden/>
              </w:rPr>
              <w:fldChar w:fldCharType="begin"/>
            </w:r>
            <w:r w:rsidR="006C2935">
              <w:rPr>
                <w:webHidden/>
              </w:rPr>
              <w:instrText xml:space="preserve"> PAGEREF _Toc505183064 \h </w:instrText>
            </w:r>
            <w:r w:rsidR="006C2935">
              <w:rPr>
                <w:webHidden/>
              </w:rPr>
            </w:r>
            <w:r w:rsidR="006C2935">
              <w:rPr>
                <w:webHidden/>
              </w:rPr>
              <w:fldChar w:fldCharType="separate"/>
            </w:r>
            <w:r w:rsidR="00DF7186">
              <w:rPr>
                <w:webHidden/>
              </w:rPr>
              <w:t>108</w:t>
            </w:r>
            <w:r w:rsidR="006C2935">
              <w:rPr>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65" w:history="1">
            <w:r w:rsidR="006C2935" w:rsidRPr="00E624B7">
              <w:rPr>
                <w:rStyle w:val="Hipervnculo"/>
                <w:rFonts w:cs="Arial"/>
                <w:noProof/>
              </w:rPr>
              <w:t>3.5.1.</w:t>
            </w:r>
            <w:r w:rsidR="006C2935">
              <w:rPr>
                <w:rFonts w:asciiTheme="minorHAnsi" w:eastAsiaTheme="minorEastAsia" w:hAnsiTheme="minorHAnsi" w:cstheme="minorBidi"/>
                <w:noProof/>
                <w:lang w:val="es-CO" w:eastAsia="es-CO"/>
              </w:rPr>
              <w:tab/>
            </w:r>
            <w:r w:rsidR="006C2935" w:rsidRPr="00E624B7">
              <w:rPr>
                <w:rStyle w:val="Hipervnculo"/>
                <w:rFonts w:cs="Arial"/>
                <w:noProof/>
              </w:rPr>
              <w:t>Marco Normativo</w:t>
            </w:r>
            <w:r w:rsidR="006C2935">
              <w:rPr>
                <w:noProof/>
                <w:webHidden/>
              </w:rPr>
              <w:tab/>
            </w:r>
            <w:r w:rsidR="006C2935">
              <w:rPr>
                <w:noProof/>
                <w:webHidden/>
              </w:rPr>
              <w:fldChar w:fldCharType="begin"/>
            </w:r>
            <w:r w:rsidR="006C2935">
              <w:rPr>
                <w:noProof/>
                <w:webHidden/>
              </w:rPr>
              <w:instrText xml:space="preserve"> PAGEREF _Toc505183065 \h </w:instrText>
            </w:r>
            <w:r w:rsidR="006C2935">
              <w:rPr>
                <w:noProof/>
                <w:webHidden/>
              </w:rPr>
            </w:r>
            <w:r w:rsidR="006C2935">
              <w:rPr>
                <w:noProof/>
                <w:webHidden/>
              </w:rPr>
              <w:fldChar w:fldCharType="separate"/>
            </w:r>
            <w:r w:rsidR="00DF7186">
              <w:rPr>
                <w:noProof/>
                <w:webHidden/>
              </w:rPr>
              <w:t>108</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66" w:history="1">
            <w:r w:rsidR="006C2935" w:rsidRPr="00E624B7">
              <w:rPr>
                <w:rStyle w:val="Hipervnculo"/>
                <w:rFonts w:eastAsiaTheme="majorEastAsia" w:cs="Arial"/>
                <w:noProof/>
              </w:rPr>
              <w:t>3.5.2.</w:t>
            </w:r>
            <w:r w:rsidR="006C2935">
              <w:rPr>
                <w:rFonts w:asciiTheme="minorHAnsi" w:eastAsiaTheme="minorEastAsia" w:hAnsiTheme="minorHAnsi" w:cstheme="minorBidi"/>
                <w:noProof/>
                <w:lang w:val="es-CO" w:eastAsia="es-CO"/>
              </w:rPr>
              <w:tab/>
            </w:r>
            <w:r w:rsidR="006C2935" w:rsidRPr="00E624B7">
              <w:rPr>
                <w:rStyle w:val="Hipervnculo"/>
                <w:rFonts w:eastAsiaTheme="majorEastAsia" w:cs="Arial"/>
                <w:noProof/>
              </w:rPr>
              <w:t>Proceso Administrativo de Restablecimiento de Derechos – PARD</w:t>
            </w:r>
            <w:r w:rsidR="006C2935">
              <w:rPr>
                <w:noProof/>
                <w:webHidden/>
              </w:rPr>
              <w:tab/>
            </w:r>
            <w:r w:rsidR="006C2935">
              <w:rPr>
                <w:noProof/>
                <w:webHidden/>
              </w:rPr>
              <w:fldChar w:fldCharType="begin"/>
            </w:r>
            <w:r w:rsidR="006C2935">
              <w:rPr>
                <w:noProof/>
                <w:webHidden/>
              </w:rPr>
              <w:instrText xml:space="preserve"> PAGEREF _Toc505183066 \h </w:instrText>
            </w:r>
            <w:r w:rsidR="006C2935">
              <w:rPr>
                <w:noProof/>
                <w:webHidden/>
              </w:rPr>
            </w:r>
            <w:r w:rsidR="006C2935">
              <w:rPr>
                <w:noProof/>
                <w:webHidden/>
              </w:rPr>
              <w:fldChar w:fldCharType="separate"/>
            </w:r>
            <w:r w:rsidR="00DF7186">
              <w:rPr>
                <w:noProof/>
                <w:webHidden/>
              </w:rPr>
              <w:t>108</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67" w:history="1">
            <w:r w:rsidR="006C2935" w:rsidRPr="00E624B7">
              <w:rPr>
                <w:rStyle w:val="Hipervnculo"/>
                <w:rFonts w:eastAsiaTheme="majorEastAsia" w:cs="Arial"/>
                <w:noProof/>
              </w:rPr>
              <w:t>3.5.3.</w:t>
            </w:r>
            <w:r w:rsidR="006C2935">
              <w:rPr>
                <w:rFonts w:asciiTheme="minorHAnsi" w:eastAsiaTheme="minorEastAsia" w:hAnsiTheme="minorHAnsi" w:cstheme="minorBidi"/>
                <w:noProof/>
                <w:lang w:val="es-CO" w:eastAsia="es-CO"/>
              </w:rPr>
              <w:tab/>
            </w:r>
            <w:r w:rsidR="006C2935" w:rsidRPr="00E624B7">
              <w:rPr>
                <w:rStyle w:val="Hipervnculo"/>
                <w:rFonts w:eastAsiaTheme="majorEastAsia" w:cs="Arial"/>
                <w:noProof/>
              </w:rPr>
              <w:t>Sistema de Responsabilidad Penal para Adolescentes.</w:t>
            </w:r>
            <w:r w:rsidR="006C2935">
              <w:rPr>
                <w:noProof/>
                <w:webHidden/>
              </w:rPr>
              <w:tab/>
            </w:r>
            <w:r w:rsidR="006C2935">
              <w:rPr>
                <w:noProof/>
                <w:webHidden/>
              </w:rPr>
              <w:fldChar w:fldCharType="begin"/>
            </w:r>
            <w:r w:rsidR="006C2935">
              <w:rPr>
                <w:noProof/>
                <w:webHidden/>
              </w:rPr>
              <w:instrText xml:space="preserve"> PAGEREF _Toc505183067 \h </w:instrText>
            </w:r>
            <w:r w:rsidR="006C2935">
              <w:rPr>
                <w:noProof/>
                <w:webHidden/>
              </w:rPr>
            </w:r>
            <w:r w:rsidR="006C2935">
              <w:rPr>
                <w:noProof/>
                <w:webHidden/>
              </w:rPr>
              <w:fldChar w:fldCharType="separate"/>
            </w:r>
            <w:r w:rsidR="00DF7186">
              <w:rPr>
                <w:noProof/>
                <w:webHidden/>
              </w:rPr>
              <w:t>159</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68" w:history="1">
            <w:r w:rsidR="006C2935" w:rsidRPr="00E624B7">
              <w:rPr>
                <w:rStyle w:val="Hipervnculo"/>
                <w:rFonts w:eastAsiaTheme="majorEastAsia" w:cs="Arial"/>
                <w:noProof/>
              </w:rPr>
              <w:t>3.5.5.</w:t>
            </w:r>
            <w:r w:rsidR="006C2935">
              <w:rPr>
                <w:rFonts w:asciiTheme="minorHAnsi" w:eastAsiaTheme="minorEastAsia" w:hAnsiTheme="minorHAnsi" w:cstheme="minorBidi"/>
                <w:noProof/>
                <w:lang w:val="es-CO" w:eastAsia="es-CO"/>
              </w:rPr>
              <w:tab/>
            </w:r>
            <w:r w:rsidR="006C2935" w:rsidRPr="00E624B7">
              <w:rPr>
                <w:rStyle w:val="Hipervnculo"/>
                <w:rFonts w:eastAsiaTheme="majorEastAsia" w:cs="Arial"/>
                <w:noProof/>
              </w:rPr>
              <w:t>LOGROS 2017</w:t>
            </w:r>
            <w:r w:rsidR="006C2935">
              <w:rPr>
                <w:noProof/>
                <w:webHidden/>
              </w:rPr>
              <w:tab/>
            </w:r>
            <w:r w:rsidR="006C2935">
              <w:rPr>
                <w:noProof/>
                <w:webHidden/>
              </w:rPr>
              <w:fldChar w:fldCharType="begin"/>
            </w:r>
            <w:r w:rsidR="006C2935">
              <w:rPr>
                <w:noProof/>
                <w:webHidden/>
              </w:rPr>
              <w:instrText xml:space="preserve"> PAGEREF _Toc505183068 \h </w:instrText>
            </w:r>
            <w:r w:rsidR="006C2935">
              <w:rPr>
                <w:noProof/>
                <w:webHidden/>
              </w:rPr>
            </w:r>
            <w:r w:rsidR="006C2935">
              <w:rPr>
                <w:noProof/>
                <w:webHidden/>
              </w:rPr>
              <w:fldChar w:fldCharType="separate"/>
            </w:r>
            <w:r w:rsidR="00DF7186">
              <w:rPr>
                <w:noProof/>
                <w:webHidden/>
              </w:rPr>
              <w:t>180</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69" w:history="1">
            <w:r w:rsidR="006C2935" w:rsidRPr="00E624B7">
              <w:rPr>
                <w:rStyle w:val="Hipervnculo"/>
                <w:rFonts w:eastAsiaTheme="majorEastAsia" w:cs="Arial"/>
                <w:noProof/>
              </w:rPr>
              <w:t>3.5.6.</w:t>
            </w:r>
            <w:r w:rsidR="006C2935">
              <w:rPr>
                <w:rFonts w:asciiTheme="minorHAnsi" w:eastAsiaTheme="minorEastAsia" w:hAnsiTheme="minorHAnsi" w:cstheme="minorBidi"/>
                <w:noProof/>
                <w:lang w:val="es-CO" w:eastAsia="es-CO"/>
              </w:rPr>
              <w:tab/>
            </w:r>
            <w:r w:rsidR="006C2935" w:rsidRPr="00E624B7">
              <w:rPr>
                <w:rStyle w:val="Hipervnculo"/>
                <w:rFonts w:eastAsiaTheme="majorEastAsia" w:cs="Arial"/>
                <w:noProof/>
              </w:rPr>
              <w:t>RETOS 2018</w:t>
            </w:r>
            <w:r w:rsidR="006C2935">
              <w:rPr>
                <w:noProof/>
                <w:webHidden/>
              </w:rPr>
              <w:tab/>
            </w:r>
            <w:r w:rsidR="006C2935">
              <w:rPr>
                <w:noProof/>
                <w:webHidden/>
              </w:rPr>
              <w:fldChar w:fldCharType="begin"/>
            </w:r>
            <w:r w:rsidR="006C2935">
              <w:rPr>
                <w:noProof/>
                <w:webHidden/>
              </w:rPr>
              <w:instrText xml:space="preserve"> PAGEREF _Toc505183069 \h </w:instrText>
            </w:r>
            <w:r w:rsidR="006C2935">
              <w:rPr>
                <w:noProof/>
                <w:webHidden/>
              </w:rPr>
            </w:r>
            <w:r w:rsidR="006C2935">
              <w:rPr>
                <w:noProof/>
                <w:webHidden/>
              </w:rPr>
              <w:fldChar w:fldCharType="separate"/>
            </w:r>
            <w:r w:rsidR="00DF7186">
              <w:rPr>
                <w:noProof/>
                <w:webHidden/>
              </w:rPr>
              <w:t>183</w:t>
            </w:r>
            <w:r w:rsidR="006C2935">
              <w:rPr>
                <w:noProof/>
                <w:webHidden/>
              </w:rPr>
              <w:fldChar w:fldCharType="end"/>
            </w:r>
          </w:hyperlink>
        </w:p>
        <w:p w:rsidR="006C2935" w:rsidRDefault="000E0283">
          <w:pPr>
            <w:pStyle w:val="TDC1"/>
            <w:rPr>
              <w:rFonts w:asciiTheme="minorHAnsi" w:eastAsiaTheme="minorEastAsia" w:hAnsiTheme="minorHAnsi" w:cstheme="minorBidi"/>
              <w:bCs w:val="0"/>
              <w:kern w:val="0"/>
              <w:lang w:val="es-CO" w:eastAsia="es-CO"/>
            </w:rPr>
          </w:pPr>
          <w:hyperlink w:anchor="_Toc505183070" w:history="1">
            <w:r w:rsidR="006C2935" w:rsidRPr="00E624B7">
              <w:rPr>
                <w:rStyle w:val="Hipervnculo"/>
              </w:rPr>
              <w:t>3.6.</w:t>
            </w:r>
            <w:r w:rsidR="006C2935">
              <w:rPr>
                <w:rFonts w:asciiTheme="minorHAnsi" w:eastAsiaTheme="minorEastAsia" w:hAnsiTheme="minorHAnsi" w:cstheme="minorBidi"/>
                <w:bCs w:val="0"/>
                <w:kern w:val="0"/>
                <w:lang w:val="es-CO" w:eastAsia="es-CO"/>
              </w:rPr>
              <w:tab/>
            </w:r>
            <w:r w:rsidR="006C2935" w:rsidRPr="00E624B7">
              <w:rPr>
                <w:rStyle w:val="Hipervnculo"/>
              </w:rPr>
              <w:t>ARTICULACIÓN DEL SISTEMA NACIONAL DE BIENESTAR FAMILIAR</w:t>
            </w:r>
            <w:r w:rsidR="006C2935">
              <w:rPr>
                <w:webHidden/>
              </w:rPr>
              <w:tab/>
            </w:r>
            <w:r w:rsidR="006C2935">
              <w:rPr>
                <w:webHidden/>
              </w:rPr>
              <w:fldChar w:fldCharType="begin"/>
            </w:r>
            <w:r w:rsidR="006C2935">
              <w:rPr>
                <w:webHidden/>
              </w:rPr>
              <w:instrText xml:space="preserve"> PAGEREF _Toc505183070 \h </w:instrText>
            </w:r>
            <w:r w:rsidR="006C2935">
              <w:rPr>
                <w:webHidden/>
              </w:rPr>
            </w:r>
            <w:r w:rsidR="006C2935">
              <w:rPr>
                <w:webHidden/>
              </w:rPr>
              <w:fldChar w:fldCharType="separate"/>
            </w:r>
            <w:r w:rsidR="00DF7186">
              <w:rPr>
                <w:webHidden/>
              </w:rPr>
              <w:t>188</w:t>
            </w:r>
            <w:r w:rsidR="006C2935">
              <w:rPr>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71" w:history="1">
            <w:r w:rsidR="006C2935" w:rsidRPr="00E624B7">
              <w:rPr>
                <w:rStyle w:val="Hipervnculo"/>
                <w:rFonts w:eastAsiaTheme="majorEastAsia" w:cs="Arial"/>
                <w:noProof/>
              </w:rPr>
              <w:t>3.6.1.</w:t>
            </w:r>
            <w:r w:rsidR="006C2935">
              <w:rPr>
                <w:rFonts w:asciiTheme="minorHAnsi" w:eastAsiaTheme="minorEastAsia" w:hAnsiTheme="minorHAnsi" w:cstheme="minorBidi"/>
                <w:noProof/>
                <w:lang w:val="es-CO" w:eastAsia="es-CO"/>
              </w:rPr>
              <w:tab/>
            </w:r>
            <w:r w:rsidR="006C2935" w:rsidRPr="00E624B7">
              <w:rPr>
                <w:rStyle w:val="Hipervnculo"/>
                <w:rFonts w:eastAsia="Times New Roman" w:cs="Arial"/>
                <w:noProof/>
                <w:kern w:val="32"/>
              </w:rPr>
              <w:t>Marco de la Política Pública</w:t>
            </w:r>
            <w:r w:rsidR="006C2935">
              <w:rPr>
                <w:noProof/>
                <w:webHidden/>
              </w:rPr>
              <w:tab/>
            </w:r>
            <w:r w:rsidR="006C2935">
              <w:rPr>
                <w:noProof/>
                <w:webHidden/>
              </w:rPr>
              <w:fldChar w:fldCharType="begin"/>
            </w:r>
            <w:r w:rsidR="006C2935">
              <w:rPr>
                <w:noProof/>
                <w:webHidden/>
              </w:rPr>
              <w:instrText xml:space="preserve"> PAGEREF _Toc505183071 \h </w:instrText>
            </w:r>
            <w:r w:rsidR="006C2935">
              <w:rPr>
                <w:noProof/>
                <w:webHidden/>
              </w:rPr>
            </w:r>
            <w:r w:rsidR="006C2935">
              <w:rPr>
                <w:noProof/>
                <w:webHidden/>
              </w:rPr>
              <w:fldChar w:fldCharType="separate"/>
            </w:r>
            <w:r w:rsidR="00DF7186">
              <w:rPr>
                <w:noProof/>
                <w:webHidden/>
              </w:rPr>
              <w:t>188</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72" w:history="1">
            <w:r w:rsidR="006C2935" w:rsidRPr="00E624B7">
              <w:rPr>
                <w:rStyle w:val="Hipervnculo"/>
                <w:rFonts w:cs="Arial"/>
                <w:noProof/>
              </w:rPr>
              <w:t>3.6.2.</w:t>
            </w:r>
            <w:r w:rsidR="006C2935">
              <w:rPr>
                <w:rFonts w:asciiTheme="minorHAnsi" w:eastAsiaTheme="minorEastAsia" w:hAnsiTheme="minorHAnsi" w:cstheme="minorBidi"/>
                <w:noProof/>
                <w:lang w:val="es-CO" w:eastAsia="es-CO"/>
              </w:rPr>
              <w:tab/>
            </w:r>
            <w:r w:rsidR="006C2935" w:rsidRPr="00E624B7">
              <w:rPr>
                <w:rStyle w:val="Hipervnculo"/>
                <w:rFonts w:cs="Arial"/>
                <w:noProof/>
              </w:rPr>
              <w:t>Procesos estratégicos del Sistema Nacional de Bienestar Familiar</w:t>
            </w:r>
            <w:r w:rsidR="006C2935">
              <w:rPr>
                <w:noProof/>
                <w:webHidden/>
              </w:rPr>
              <w:tab/>
            </w:r>
            <w:r w:rsidR="006C2935">
              <w:rPr>
                <w:noProof/>
                <w:webHidden/>
              </w:rPr>
              <w:fldChar w:fldCharType="begin"/>
            </w:r>
            <w:r w:rsidR="006C2935">
              <w:rPr>
                <w:noProof/>
                <w:webHidden/>
              </w:rPr>
              <w:instrText xml:space="preserve"> PAGEREF _Toc505183072 \h </w:instrText>
            </w:r>
            <w:r w:rsidR="006C2935">
              <w:rPr>
                <w:noProof/>
                <w:webHidden/>
              </w:rPr>
            </w:r>
            <w:r w:rsidR="006C2935">
              <w:rPr>
                <w:noProof/>
                <w:webHidden/>
              </w:rPr>
              <w:fldChar w:fldCharType="separate"/>
            </w:r>
            <w:r w:rsidR="00DF7186">
              <w:rPr>
                <w:noProof/>
                <w:webHidden/>
              </w:rPr>
              <w:t>189</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73" w:history="1">
            <w:r w:rsidR="006C2935" w:rsidRPr="00E624B7">
              <w:rPr>
                <w:rStyle w:val="Hipervnculo"/>
                <w:rFonts w:cs="Arial"/>
                <w:noProof/>
              </w:rPr>
              <w:t>3.6.3.</w:t>
            </w:r>
            <w:r w:rsidR="006C2935">
              <w:rPr>
                <w:rFonts w:asciiTheme="minorHAnsi" w:eastAsiaTheme="minorEastAsia" w:hAnsiTheme="minorHAnsi" w:cstheme="minorBidi"/>
                <w:noProof/>
                <w:lang w:val="es-CO" w:eastAsia="es-CO"/>
              </w:rPr>
              <w:tab/>
            </w:r>
            <w:r w:rsidR="006C2935" w:rsidRPr="00E624B7">
              <w:rPr>
                <w:rStyle w:val="Hipervnculo"/>
                <w:rFonts w:cs="Arial"/>
                <w:noProof/>
              </w:rPr>
              <w:t>Componentes del Sistema Nacional de Bienestar Familiar</w:t>
            </w:r>
            <w:r w:rsidR="006C2935">
              <w:rPr>
                <w:noProof/>
                <w:webHidden/>
              </w:rPr>
              <w:tab/>
            </w:r>
            <w:r w:rsidR="006C2935">
              <w:rPr>
                <w:noProof/>
                <w:webHidden/>
              </w:rPr>
              <w:fldChar w:fldCharType="begin"/>
            </w:r>
            <w:r w:rsidR="006C2935">
              <w:rPr>
                <w:noProof/>
                <w:webHidden/>
              </w:rPr>
              <w:instrText xml:space="preserve"> PAGEREF _Toc505183073 \h </w:instrText>
            </w:r>
            <w:r w:rsidR="006C2935">
              <w:rPr>
                <w:noProof/>
                <w:webHidden/>
              </w:rPr>
            </w:r>
            <w:r w:rsidR="006C2935">
              <w:rPr>
                <w:noProof/>
                <w:webHidden/>
              </w:rPr>
              <w:fldChar w:fldCharType="separate"/>
            </w:r>
            <w:r w:rsidR="00DF7186">
              <w:rPr>
                <w:noProof/>
                <w:webHidden/>
              </w:rPr>
              <w:t>193</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74" w:history="1">
            <w:r w:rsidR="006C2935" w:rsidRPr="00E624B7">
              <w:rPr>
                <w:rStyle w:val="Hipervnculo"/>
                <w:rFonts w:cs="Arial"/>
                <w:noProof/>
              </w:rPr>
              <w:t>3.6.4.</w:t>
            </w:r>
            <w:r w:rsidR="006C2935">
              <w:rPr>
                <w:rFonts w:asciiTheme="minorHAnsi" w:eastAsiaTheme="minorEastAsia" w:hAnsiTheme="minorHAnsi" w:cstheme="minorBidi"/>
                <w:noProof/>
                <w:lang w:val="es-CO" w:eastAsia="es-CO"/>
              </w:rPr>
              <w:tab/>
            </w:r>
            <w:r w:rsidR="006C2935" w:rsidRPr="00E624B7">
              <w:rPr>
                <w:rStyle w:val="Hipervnculo"/>
                <w:rFonts w:cs="Arial"/>
                <w:noProof/>
              </w:rPr>
              <w:t>LOGROS 2017</w:t>
            </w:r>
            <w:r w:rsidR="006C2935">
              <w:rPr>
                <w:noProof/>
                <w:webHidden/>
              </w:rPr>
              <w:tab/>
            </w:r>
            <w:r w:rsidR="006C2935">
              <w:rPr>
                <w:noProof/>
                <w:webHidden/>
              </w:rPr>
              <w:fldChar w:fldCharType="begin"/>
            </w:r>
            <w:r w:rsidR="006C2935">
              <w:rPr>
                <w:noProof/>
                <w:webHidden/>
              </w:rPr>
              <w:instrText xml:space="preserve"> PAGEREF _Toc505183074 \h </w:instrText>
            </w:r>
            <w:r w:rsidR="006C2935">
              <w:rPr>
                <w:noProof/>
                <w:webHidden/>
              </w:rPr>
            </w:r>
            <w:r w:rsidR="006C2935">
              <w:rPr>
                <w:noProof/>
                <w:webHidden/>
              </w:rPr>
              <w:fldChar w:fldCharType="separate"/>
            </w:r>
            <w:r w:rsidR="00DF7186">
              <w:rPr>
                <w:noProof/>
                <w:webHidden/>
              </w:rPr>
              <w:t>226</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75" w:history="1">
            <w:r w:rsidR="006C2935" w:rsidRPr="00E624B7">
              <w:rPr>
                <w:rStyle w:val="Hipervnculo"/>
                <w:rFonts w:cs="Arial"/>
                <w:noProof/>
              </w:rPr>
              <w:t>3.6.5.</w:t>
            </w:r>
            <w:r w:rsidR="006C2935">
              <w:rPr>
                <w:rFonts w:asciiTheme="minorHAnsi" w:eastAsiaTheme="minorEastAsia" w:hAnsiTheme="minorHAnsi" w:cstheme="minorBidi"/>
                <w:noProof/>
                <w:lang w:val="es-CO" w:eastAsia="es-CO"/>
              </w:rPr>
              <w:tab/>
            </w:r>
            <w:r w:rsidR="006C2935" w:rsidRPr="00E624B7">
              <w:rPr>
                <w:rStyle w:val="Hipervnculo"/>
                <w:rFonts w:cs="Arial"/>
                <w:noProof/>
              </w:rPr>
              <w:t>RETOS 2018</w:t>
            </w:r>
            <w:r w:rsidR="006C2935">
              <w:rPr>
                <w:noProof/>
                <w:webHidden/>
              </w:rPr>
              <w:tab/>
            </w:r>
            <w:r w:rsidR="006C2935">
              <w:rPr>
                <w:noProof/>
                <w:webHidden/>
              </w:rPr>
              <w:fldChar w:fldCharType="begin"/>
            </w:r>
            <w:r w:rsidR="006C2935">
              <w:rPr>
                <w:noProof/>
                <w:webHidden/>
              </w:rPr>
              <w:instrText xml:space="preserve"> PAGEREF _Toc505183075 \h </w:instrText>
            </w:r>
            <w:r w:rsidR="006C2935">
              <w:rPr>
                <w:noProof/>
                <w:webHidden/>
              </w:rPr>
            </w:r>
            <w:r w:rsidR="006C2935">
              <w:rPr>
                <w:noProof/>
                <w:webHidden/>
              </w:rPr>
              <w:fldChar w:fldCharType="separate"/>
            </w:r>
            <w:r w:rsidR="00DF7186">
              <w:rPr>
                <w:noProof/>
                <w:webHidden/>
              </w:rPr>
              <w:t>228</w:t>
            </w:r>
            <w:r w:rsidR="006C2935">
              <w:rPr>
                <w:noProof/>
                <w:webHidden/>
              </w:rPr>
              <w:fldChar w:fldCharType="end"/>
            </w:r>
          </w:hyperlink>
        </w:p>
        <w:p w:rsidR="006C2935" w:rsidRDefault="000E0283">
          <w:pPr>
            <w:pStyle w:val="TDC1"/>
            <w:rPr>
              <w:rFonts w:asciiTheme="minorHAnsi" w:eastAsiaTheme="minorEastAsia" w:hAnsiTheme="minorHAnsi" w:cstheme="minorBidi"/>
              <w:bCs w:val="0"/>
              <w:kern w:val="0"/>
              <w:lang w:val="es-CO" w:eastAsia="es-CO"/>
            </w:rPr>
          </w:pPr>
          <w:hyperlink w:anchor="_Toc505183076" w:history="1">
            <w:r w:rsidR="006C2935" w:rsidRPr="00E624B7">
              <w:rPr>
                <w:rStyle w:val="Hipervnculo"/>
                <w:lang w:val="es-CO" w:eastAsia="es-CO"/>
              </w:rPr>
              <w:t>3.7.</w:t>
            </w:r>
            <w:r w:rsidR="006C2935">
              <w:rPr>
                <w:rFonts w:asciiTheme="minorHAnsi" w:eastAsiaTheme="minorEastAsia" w:hAnsiTheme="minorHAnsi" w:cstheme="minorBidi"/>
                <w:bCs w:val="0"/>
                <w:kern w:val="0"/>
                <w:lang w:val="es-CO" w:eastAsia="es-CO"/>
              </w:rPr>
              <w:tab/>
            </w:r>
            <w:r w:rsidR="006C2935" w:rsidRPr="00E624B7">
              <w:rPr>
                <w:rStyle w:val="Hipervnculo"/>
              </w:rPr>
              <w:t>ASUNTOS TRANSVERSALES</w:t>
            </w:r>
            <w:r w:rsidR="006C2935">
              <w:rPr>
                <w:webHidden/>
              </w:rPr>
              <w:tab/>
            </w:r>
            <w:r w:rsidR="006C2935">
              <w:rPr>
                <w:webHidden/>
              </w:rPr>
              <w:fldChar w:fldCharType="begin"/>
            </w:r>
            <w:r w:rsidR="006C2935">
              <w:rPr>
                <w:webHidden/>
              </w:rPr>
              <w:instrText xml:space="preserve"> PAGEREF _Toc505183076 \h </w:instrText>
            </w:r>
            <w:r w:rsidR="006C2935">
              <w:rPr>
                <w:webHidden/>
              </w:rPr>
            </w:r>
            <w:r w:rsidR="006C2935">
              <w:rPr>
                <w:webHidden/>
              </w:rPr>
              <w:fldChar w:fldCharType="separate"/>
            </w:r>
            <w:r w:rsidR="00DF7186">
              <w:rPr>
                <w:webHidden/>
              </w:rPr>
              <w:t>229</w:t>
            </w:r>
            <w:r w:rsidR="006C2935">
              <w:rPr>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77" w:history="1">
            <w:r w:rsidR="006C2935" w:rsidRPr="00E624B7">
              <w:rPr>
                <w:rStyle w:val="Hipervnculo"/>
                <w:rFonts w:eastAsiaTheme="majorEastAsia" w:cs="Arial"/>
                <w:noProof/>
              </w:rPr>
              <w:t>3.7.1.</w:t>
            </w:r>
            <w:r w:rsidR="006C2935">
              <w:rPr>
                <w:rFonts w:asciiTheme="minorHAnsi" w:eastAsiaTheme="minorEastAsia" w:hAnsiTheme="minorHAnsi" w:cstheme="minorBidi"/>
                <w:noProof/>
                <w:lang w:val="es-CO" w:eastAsia="es-CO"/>
              </w:rPr>
              <w:tab/>
            </w:r>
            <w:r w:rsidR="006C2935" w:rsidRPr="00E624B7">
              <w:rPr>
                <w:rStyle w:val="Hipervnculo"/>
                <w:rFonts w:eastAsia="Times New Roman" w:cs="Arial"/>
                <w:noProof/>
                <w:kern w:val="32"/>
              </w:rPr>
              <w:t>Gestión del ICBF en La Guajira</w:t>
            </w:r>
            <w:r w:rsidR="006C2935">
              <w:rPr>
                <w:noProof/>
                <w:webHidden/>
              </w:rPr>
              <w:tab/>
            </w:r>
            <w:r w:rsidR="006C2935">
              <w:rPr>
                <w:noProof/>
                <w:webHidden/>
              </w:rPr>
              <w:fldChar w:fldCharType="begin"/>
            </w:r>
            <w:r w:rsidR="006C2935">
              <w:rPr>
                <w:noProof/>
                <w:webHidden/>
              </w:rPr>
              <w:instrText xml:space="preserve"> PAGEREF _Toc505183077 \h </w:instrText>
            </w:r>
            <w:r w:rsidR="006C2935">
              <w:rPr>
                <w:noProof/>
                <w:webHidden/>
              </w:rPr>
            </w:r>
            <w:r w:rsidR="006C2935">
              <w:rPr>
                <w:noProof/>
                <w:webHidden/>
              </w:rPr>
              <w:fldChar w:fldCharType="separate"/>
            </w:r>
            <w:r w:rsidR="00DF7186">
              <w:rPr>
                <w:noProof/>
                <w:webHidden/>
              </w:rPr>
              <w:t>229</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78" w:history="1">
            <w:r w:rsidR="006C2935" w:rsidRPr="00E624B7">
              <w:rPr>
                <w:rStyle w:val="Hipervnculo"/>
                <w:rFonts w:eastAsiaTheme="majorEastAsia" w:cs="Arial"/>
                <w:noProof/>
              </w:rPr>
              <w:t>3.7.2.</w:t>
            </w:r>
            <w:r w:rsidR="006C2935">
              <w:rPr>
                <w:rFonts w:asciiTheme="minorHAnsi" w:eastAsiaTheme="minorEastAsia" w:hAnsiTheme="minorHAnsi" w:cstheme="minorBidi"/>
                <w:noProof/>
                <w:lang w:val="es-CO" w:eastAsia="es-CO"/>
              </w:rPr>
              <w:tab/>
            </w:r>
            <w:r w:rsidR="006C2935" w:rsidRPr="00E624B7">
              <w:rPr>
                <w:rStyle w:val="Hipervnculo"/>
                <w:rFonts w:eastAsia="Times New Roman" w:cs="Arial"/>
                <w:noProof/>
                <w:kern w:val="32"/>
              </w:rPr>
              <w:t>Modelo de Enfoque Diferencial de Derechos</w:t>
            </w:r>
            <w:r w:rsidR="006C2935">
              <w:rPr>
                <w:noProof/>
                <w:webHidden/>
              </w:rPr>
              <w:tab/>
            </w:r>
            <w:r w:rsidR="006C2935">
              <w:rPr>
                <w:noProof/>
                <w:webHidden/>
              </w:rPr>
              <w:fldChar w:fldCharType="begin"/>
            </w:r>
            <w:r w:rsidR="006C2935">
              <w:rPr>
                <w:noProof/>
                <w:webHidden/>
              </w:rPr>
              <w:instrText xml:space="preserve"> PAGEREF _Toc505183078 \h </w:instrText>
            </w:r>
            <w:r w:rsidR="006C2935">
              <w:rPr>
                <w:noProof/>
                <w:webHidden/>
              </w:rPr>
            </w:r>
            <w:r w:rsidR="006C2935">
              <w:rPr>
                <w:noProof/>
                <w:webHidden/>
              </w:rPr>
              <w:fldChar w:fldCharType="separate"/>
            </w:r>
            <w:r w:rsidR="00DF7186">
              <w:rPr>
                <w:noProof/>
                <w:webHidden/>
              </w:rPr>
              <w:t>244</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79" w:history="1">
            <w:r w:rsidR="006C2935" w:rsidRPr="00E624B7">
              <w:rPr>
                <w:rStyle w:val="Hipervnculo"/>
                <w:rFonts w:cs="Arial"/>
                <w:noProof/>
              </w:rPr>
              <w:t>3.7.3.</w:t>
            </w:r>
            <w:r w:rsidR="006C2935">
              <w:rPr>
                <w:rFonts w:asciiTheme="minorHAnsi" w:eastAsiaTheme="minorEastAsia" w:hAnsiTheme="minorHAnsi" w:cstheme="minorBidi"/>
                <w:noProof/>
                <w:lang w:val="es-CO" w:eastAsia="es-CO"/>
              </w:rPr>
              <w:tab/>
            </w:r>
            <w:r w:rsidR="006C2935" w:rsidRPr="00E624B7">
              <w:rPr>
                <w:rStyle w:val="Hipervnculo"/>
                <w:rFonts w:cs="Arial"/>
                <w:noProof/>
              </w:rPr>
              <w:t>Posconflicto</w:t>
            </w:r>
            <w:r w:rsidR="006C2935">
              <w:rPr>
                <w:noProof/>
                <w:webHidden/>
              </w:rPr>
              <w:tab/>
            </w:r>
            <w:r w:rsidR="006C2935">
              <w:rPr>
                <w:noProof/>
                <w:webHidden/>
              </w:rPr>
              <w:fldChar w:fldCharType="begin"/>
            </w:r>
            <w:r w:rsidR="006C2935">
              <w:rPr>
                <w:noProof/>
                <w:webHidden/>
              </w:rPr>
              <w:instrText xml:space="preserve"> PAGEREF _Toc505183079 \h </w:instrText>
            </w:r>
            <w:r w:rsidR="006C2935">
              <w:rPr>
                <w:noProof/>
                <w:webHidden/>
              </w:rPr>
            </w:r>
            <w:r w:rsidR="006C2935">
              <w:rPr>
                <w:noProof/>
                <w:webHidden/>
              </w:rPr>
              <w:fldChar w:fldCharType="separate"/>
            </w:r>
            <w:r w:rsidR="00DF7186">
              <w:rPr>
                <w:noProof/>
                <w:webHidden/>
              </w:rPr>
              <w:t>246</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80" w:history="1">
            <w:r w:rsidR="006C2935" w:rsidRPr="00E624B7">
              <w:rPr>
                <w:rStyle w:val="Hipervnculo"/>
                <w:rFonts w:eastAsiaTheme="majorEastAsia" w:cs="Arial"/>
                <w:noProof/>
              </w:rPr>
              <w:t>3.7.4.</w:t>
            </w:r>
            <w:r w:rsidR="006C2935">
              <w:rPr>
                <w:rFonts w:asciiTheme="minorHAnsi" w:eastAsiaTheme="minorEastAsia" w:hAnsiTheme="minorHAnsi" w:cstheme="minorBidi"/>
                <w:noProof/>
                <w:lang w:val="es-CO" w:eastAsia="es-CO"/>
              </w:rPr>
              <w:tab/>
            </w:r>
            <w:r w:rsidR="006C2935" w:rsidRPr="00E624B7">
              <w:rPr>
                <w:rStyle w:val="Hipervnculo"/>
                <w:rFonts w:eastAsiaTheme="majorEastAsia" w:cs="Arial"/>
                <w:noProof/>
              </w:rPr>
              <w:t>LOGROS 2017</w:t>
            </w:r>
            <w:r w:rsidR="006C2935">
              <w:rPr>
                <w:noProof/>
                <w:webHidden/>
              </w:rPr>
              <w:tab/>
            </w:r>
            <w:r w:rsidR="006C2935">
              <w:rPr>
                <w:noProof/>
                <w:webHidden/>
              </w:rPr>
              <w:fldChar w:fldCharType="begin"/>
            </w:r>
            <w:r w:rsidR="006C2935">
              <w:rPr>
                <w:noProof/>
                <w:webHidden/>
              </w:rPr>
              <w:instrText xml:space="preserve"> PAGEREF _Toc505183080 \h </w:instrText>
            </w:r>
            <w:r w:rsidR="006C2935">
              <w:rPr>
                <w:noProof/>
                <w:webHidden/>
              </w:rPr>
            </w:r>
            <w:r w:rsidR="006C2935">
              <w:rPr>
                <w:noProof/>
                <w:webHidden/>
              </w:rPr>
              <w:fldChar w:fldCharType="separate"/>
            </w:r>
            <w:r w:rsidR="00DF7186">
              <w:rPr>
                <w:noProof/>
                <w:webHidden/>
              </w:rPr>
              <w:t>252</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081" w:history="1">
            <w:r w:rsidR="006C2935" w:rsidRPr="00E624B7">
              <w:rPr>
                <w:rStyle w:val="Hipervnculo"/>
                <w:rFonts w:eastAsiaTheme="majorEastAsia" w:cs="Arial"/>
                <w:noProof/>
              </w:rPr>
              <w:t>3.7.5.</w:t>
            </w:r>
            <w:r w:rsidR="006C2935">
              <w:rPr>
                <w:rFonts w:asciiTheme="minorHAnsi" w:eastAsiaTheme="minorEastAsia" w:hAnsiTheme="minorHAnsi" w:cstheme="minorBidi"/>
                <w:noProof/>
                <w:lang w:val="es-CO" w:eastAsia="es-CO"/>
              </w:rPr>
              <w:tab/>
            </w:r>
            <w:r w:rsidR="006C2935" w:rsidRPr="00E624B7">
              <w:rPr>
                <w:rStyle w:val="Hipervnculo"/>
                <w:rFonts w:eastAsiaTheme="majorEastAsia" w:cs="Arial"/>
                <w:noProof/>
              </w:rPr>
              <w:t>RETOS 2018</w:t>
            </w:r>
            <w:r w:rsidR="006C2935">
              <w:rPr>
                <w:noProof/>
                <w:webHidden/>
              </w:rPr>
              <w:tab/>
            </w:r>
            <w:r w:rsidR="006C2935">
              <w:rPr>
                <w:noProof/>
                <w:webHidden/>
              </w:rPr>
              <w:fldChar w:fldCharType="begin"/>
            </w:r>
            <w:r w:rsidR="006C2935">
              <w:rPr>
                <w:noProof/>
                <w:webHidden/>
              </w:rPr>
              <w:instrText xml:space="preserve"> PAGEREF _Toc505183081 \h </w:instrText>
            </w:r>
            <w:r w:rsidR="006C2935">
              <w:rPr>
                <w:noProof/>
                <w:webHidden/>
              </w:rPr>
            </w:r>
            <w:r w:rsidR="006C2935">
              <w:rPr>
                <w:noProof/>
                <w:webHidden/>
              </w:rPr>
              <w:fldChar w:fldCharType="separate"/>
            </w:r>
            <w:r w:rsidR="00DF7186">
              <w:rPr>
                <w:noProof/>
                <w:webHidden/>
              </w:rPr>
              <w:t>253</w:t>
            </w:r>
            <w:r w:rsidR="006C2935">
              <w:rPr>
                <w:noProof/>
                <w:webHidden/>
              </w:rPr>
              <w:fldChar w:fldCharType="end"/>
            </w:r>
          </w:hyperlink>
        </w:p>
        <w:p w:rsidR="006C2935" w:rsidRDefault="000E0283">
          <w:pPr>
            <w:pStyle w:val="TDC1"/>
            <w:rPr>
              <w:rFonts w:asciiTheme="minorHAnsi" w:eastAsiaTheme="minorEastAsia" w:hAnsiTheme="minorHAnsi" w:cstheme="minorBidi"/>
              <w:bCs w:val="0"/>
              <w:kern w:val="0"/>
              <w:lang w:val="es-CO" w:eastAsia="es-CO"/>
            </w:rPr>
          </w:pPr>
          <w:hyperlink w:anchor="_Toc505183082" w:history="1">
            <w:r w:rsidR="006C2935" w:rsidRPr="00E624B7">
              <w:rPr>
                <w:rStyle w:val="Hipervnculo"/>
              </w:rPr>
              <w:t>4.</w:t>
            </w:r>
            <w:r w:rsidR="006C2935">
              <w:rPr>
                <w:rFonts w:asciiTheme="minorHAnsi" w:eastAsiaTheme="minorEastAsia" w:hAnsiTheme="minorHAnsi" w:cstheme="minorBidi"/>
                <w:bCs w:val="0"/>
                <w:kern w:val="0"/>
                <w:lang w:val="es-CO" w:eastAsia="es-CO"/>
              </w:rPr>
              <w:tab/>
            </w:r>
            <w:r w:rsidR="006C2935" w:rsidRPr="00E624B7">
              <w:rPr>
                <w:rStyle w:val="Hipervnculo"/>
              </w:rPr>
              <w:t>ASEGURAMIENTO DE LA CALIDAD</w:t>
            </w:r>
            <w:r w:rsidR="006C2935">
              <w:rPr>
                <w:webHidden/>
              </w:rPr>
              <w:tab/>
            </w:r>
            <w:r w:rsidR="006C2935">
              <w:rPr>
                <w:webHidden/>
              </w:rPr>
              <w:fldChar w:fldCharType="begin"/>
            </w:r>
            <w:r w:rsidR="006C2935">
              <w:rPr>
                <w:webHidden/>
              </w:rPr>
              <w:instrText xml:space="preserve"> PAGEREF _Toc505183082 \h </w:instrText>
            </w:r>
            <w:r w:rsidR="006C2935">
              <w:rPr>
                <w:webHidden/>
              </w:rPr>
            </w:r>
            <w:r w:rsidR="006C2935">
              <w:rPr>
                <w:webHidden/>
              </w:rPr>
              <w:fldChar w:fldCharType="separate"/>
            </w:r>
            <w:r w:rsidR="00DF7186">
              <w:rPr>
                <w:webHidden/>
              </w:rPr>
              <w:t>254</w:t>
            </w:r>
            <w:r w:rsidR="006C2935">
              <w:rPr>
                <w:webHidden/>
              </w:rPr>
              <w:fldChar w:fldCharType="end"/>
            </w:r>
          </w:hyperlink>
        </w:p>
        <w:p w:rsidR="006C2935" w:rsidRDefault="000E0283">
          <w:pPr>
            <w:pStyle w:val="TDC2"/>
            <w:tabs>
              <w:tab w:val="left" w:pos="880"/>
              <w:tab w:val="right" w:leader="dot" w:pos="9395"/>
            </w:tabs>
            <w:rPr>
              <w:rFonts w:asciiTheme="minorHAnsi" w:eastAsiaTheme="minorEastAsia" w:hAnsiTheme="minorHAnsi" w:cstheme="minorBidi"/>
              <w:noProof/>
              <w:lang w:val="es-CO" w:eastAsia="es-CO"/>
            </w:rPr>
          </w:pPr>
          <w:hyperlink w:anchor="_Toc505183083" w:history="1">
            <w:r w:rsidR="006C2935" w:rsidRPr="00E624B7">
              <w:rPr>
                <w:rStyle w:val="Hipervnculo"/>
                <w:rFonts w:cs="Arial"/>
                <w:noProof/>
              </w:rPr>
              <w:t>4.1.</w:t>
            </w:r>
            <w:r w:rsidR="006C2935">
              <w:rPr>
                <w:rFonts w:asciiTheme="minorHAnsi" w:eastAsiaTheme="minorEastAsia" w:hAnsiTheme="minorHAnsi" w:cstheme="minorBidi"/>
                <w:noProof/>
                <w:lang w:val="es-CO" w:eastAsia="es-CO"/>
              </w:rPr>
              <w:tab/>
            </w:r>
            <w:r w:rsidR="006C2935" w:rsidRPr="00E624B7">
              <w:rPr>
                <w:rStyle w:val="Hipervnculo"/>
                <w:rFonts w:cs="Arial"/>
                <w:noProof/>
              </w:rPr>
              <w:t>LOGROS 2017</w:t>
            </w:r>
            <w:r w:rsidR="006C2935">
              <w:rPr>
                <w:noProof/>
                <w:webHidden/>
              </w:rPr>
              <w:tab/>
            </w:r>
            <w:r w:rsidR="006C2935">
              <w:rPr>
                <w:noProof/>
                <w:webHidden/>
              </w:rPr>
              <w:fldChar w:fldCharType="begin"/>
            </w:r>
            <w:r w:rsidR="006C2935">
              <w:rPr>
                <w:noProof/>
                <w:webHidden/>
              </w:rPr>
              <w:instrText xml:space="preserve"> PAGEREF _Toc505183083 \h </w:instrText>
            </w:r>
            <w:r w:rsidR="006C2935">
              <w:rPr>
                <w:noProof/>
                <w:webHidden/>
              </w:rPr>
            </w:r>
            <w:r w:rsidR="006C2935">
              <w:rPr>
                <w:noProof/>
                <w:webHidden/>
              </w:rPr>
              <w:fldChar w:fldCharType="separate"/>
            </w:r>
            <w:r w:rsidR="00DF7186">
              <w:rPr>
                <w:noProof/>
                <w:webHidden/>
              </w:rPr>
              <w:t>256</w:t>
            </w:r>
            <w:r w:rsidR="006C2935">
              <w:rPr>
                <w:noProof/>
                <w:webHidden/>
              </w:rPr>
              <w:fldChar w:fldCharType="end"/>
            </w:r>
          </w:hyperlink>
        </w:p>
        <w:p w:rsidR="006C2935" w:rsidRDefault="000E0283">
          <w:pPr>
            <w:pStyle w:val="TDC2"/>
            <w:tabs>
              <w:tab w:val="left" w:pos="880"/>
              <w:tab w:val="right" w:leader="dot" w:pos="9395"/>
            </w:tabs>
            <w:rPr>
              <w:rFonts w:asciiTheme="minorHAnsi" w:eastAsiaTheme="minorEastAsia" w:hAnsiTheme="minorHAnsi" w:cstheme="minorBidi"/>
              <w:noProof/>
              <w:lang w:val="es-CO" w:eastAsia="es-CO"/>
            </w:rPr>
          </w:pPr>
          <w:hyperlink w:anchor="_Toc505183084" w:history="1">
            <w:r w:rsidR="006C2935" w:rsidRPr="00E624B7">
              <w:rPr>
                <w:rStyle w:val="Hipervnculo"/>
                <w:rFonts w:cs="Arial"/>
                <w:noProof/>
              </w:rPr>
              <w:t>4.2.</w:t>
            </w:r>
            <w:r w:rsidR="006C2935">
              <w:rPr>
                <w:rFonts w:asciiTheme="minorHAnsi" w:eastAsiaTheme="minorEastAsia" w:hAnsiTheme="minorHAnsi" w:cstheme="minorBidi"/>
                <w:noProof/>
                <w:lang w:val="es-CO" w:eastAsia="es-CO"/>
              </w:rPr>
              <w:tab/>
            </w:r>
            <w:r w:rsidR="006C2935" w:rsidRPr="00E624B7">
              <w:rPr>
                <w:rStyle w:val="Hipervnculo"/>
                <w:rFonts w:cs="Arial"/>
                <w:noProof/>
              </w:rPr>
              <w:t>RETOS 2018</w:t>
            </w:r>
            <w:r w:rsidR="006C2935">
              <w:rPr>
                <w:noProof/>
                <w:webHidden/>
              </w:rPr>
              <w:tab/>
            </w:r>
            <w:r w:rsidR="006C2935">
              <w:rPr>
                <w:noProof/>
                <w:webHidden/>
              </w:rPr>
              <w:fldChar w:fldCharType="begin"/>
            </w:r>
            <w:r w:rsidR="006C2935">
              <w:rPr>
                <w:noProof/>
                <w:webHidden/>
              </w:rPr>
              <w:instrText xml:space="preserve"> PAGEREF _Toc505183084 \h </w:instrText>
            </w:r>
            <w:r w:rsidR="006C2935">
              <w:rPr>
                <w:noProof/>
                <w:webHidden/>
              </w:rPr>
            </w:r>
            <w:r w:rsidR="006C2935">
              <w:rPr>
                <w:noProof/>
                <w:webHidden/>
              </w:rPr>
              <w:fldChar w:fldCharType="separate"/>
            </w:r>
            <w:r w:rsidR="00DF7186">
              <w:rPr>
                <w:noProof/>
                <w:webHidden/>
              </w:rPr>
              <w:t>257</w:t>
            </w:r>
            <w:r w:rsidR="006C2935">
              <w:rPr>
                <w:noProof/>
                <w:webHidden/>
              </w:rPr>
              <w:fldChar w:fldCharType="end"/>
            </w:r>
          </w:hyperlink>
        </w:p>
        <w:p w:rsidR="006C2935" w:rsidRDefault="000E0283">
          <w:pPr>
            <w:pStyle w:val="TDC1"/>
            <w:rPr>
              <w:rFonts w:asciiTheme="minorHAnsi" w:eastAsiaTheme="minorEastAsia" w:hAnsiTheme="minorHAnsi" w:cstheme="minorBidi"/>
              <w:bCs w:val="0"/>
              <w:kern w:val="0"/>
              <w:lang w:val="es-CO" w:eastAsia="es-CO"/>
            </w:rPr>
          </w:pPr>
          <w:hyperlink w:anchor="_Toc505183085" w:history="1">
            <w:r w:rsidR="006C2935" w:rsidRPr="00E624B7">
              <w:rPr>
                <w:rStyle w:val="Hipervnculo"/>
              </w:rPr>
              <w:t>5.</w:t>
            </w:r>
            <w:r w:rsidR="006C2935">
              <w:rPr>
                <w:rFonts w:asciiTheme="minorHAnsi" w:eastAsiaTheme="minorEastAsia" w:hAnsiTheme="minorHAnsi" w:cstheme="minorBidi"/>
                <w:bCs w:val="0"/>
                <w:kern w:val="0"/>
                <w:lang w:val="es-CO" w:eastAsia="es-CO"/>
              </w:rPr>
              <w:tab/>
            </w:r>
            <w:r w:rsidR="006C2935" w:rsidRPr="00E624B7">
              <w:rPr>
                <w:rStyle w:val="Hipervnculo"/>
              </w:rPr>
              <w:t>TRANSPARENCIA, PARTICIPACIÓN Y SERVICIO AL CIUDADANO</w:t>
            </w:r>
            <w:r w:rsidR="006C2935">
              <w:rPr>
                <w:webHidden/>
              </w:rPr>
              <w:tab/>
            </w:r>
            <w:r w:rsidR="006C2935">
              <w:rPr>
                <w:webHidden/>
              </w:rPr>
              <w:fldChar w:fldCharType="begin"/>
            </w:r>
            <w:r w:rsidR="006C2935">
              <w:rPr>
                <w:webHidden/>
              </w:rPr>
              <w:instrText xml:space="preserve"> PAGEREF _Toc505183085 \h </w:instrText>
            </w:r>
            <w:r w:rsidR="006C2935">
              <w:rPr>
                <w:webHidden/>
              </w:rPr>
            </w:r>
            <w:r w:rsidR="006C2935">
              <w:rPr>
                <w:webHidden/>
              </w:rPr>
              <w:fldChar w:fldCharType="separate"/>
            </w:r>
            <w:r w:rsidR="00DF7186">
              <w:rPr>
                <w:webHidden/>
              </w:rPr>
              <w:t>259</w:t>
            </w:r>
            <w:r w:rsidR="006C2935">
              <w:rPr>
                <w:webHidden/>
              </w:rPr>
              <w:fldChar w:fldCharType="end"/>
            </w:r>
          </w:hyperlink>
        </w:p>
        <w:p w:rsidR="006C2935" w:rsidRDefault="000E0283">
          <w:pPr>
            <w:pStyle w:val="TDC2"/>
            <w:tabs>
              <w:tab w:val="left" w:pos="880"/>
              <w:tab w:val="right" w:leader="dot" w:pos="9395"/>
            </w:tabs>
            <w:rPr>
              <w:rFonts w:asciiTheme="minorHAnsi" w:eastAsiaTheme="minorEastAsia" w:hAnsiTheme="minorHAnsi" w:cstheme="minorBidi"/>
              <w:noProof/>
              <w:lang w:val="es-CO" w:eastAsia="es-CO"/>
            </w:rPr>
          </w:pPr>
          <w:hyperlink w:anchor="_Toc505183086" w:history="1">
            <w:r w:rsidR="006C2935" w:rsidRPr="00E624B7">
              <w:rPr>
                <w:rStyle w:val="Hipervnculo"/>
                <w:rFonts w:eastAsiaTheme="majorEastAsia" w:cs="Arial"/>
                <w:noProof/>
              </w:rPr>
              <w:t>5.1.</w:t>
            </w:r>
            <w:r w:rsidR="006C2935">
              <w:rPr>
                <w:rFonts w:asciiTheme="minorHAnsi" w:eastAsiaTheme="minorEastAsia" w:hAnsiTheme="minorHAnsi" w:cstheme="minorBidi"/>
                <w:noProof/>
                <w:lang w:val="es-CO" w:eastAsia="es-CO"/>
              </w:rPr>
              <w:tab/>
            </w:r>
            <w:r w:rsidR="006C2935" w:rsidRPr="00E624B7">
              <w:rPr>
                <w:rStyle w:val="Hipervnculo"/>
                <w:rFonts w:eastAsiaTheme="majorEastAsia" w:cs="Arial"/>
                <w:noProof/>
              </w:rPr>
              <w:t>Transparencia y acceso a la información pública</w:t>
            </w:r>
            <w:r w:rsidR="006C2935">
              <w:rPr>
                <w:noProof/>
                <w:webHidden/>
              </w:rPr>
              <w:tab/>
            </w:r>
            <w:r w:rsidR="006C2935">
              <w:rPr>
                <w:noProof/>
                <w:webHidden/>
              </w:rPr>
              <w:fldChar w:fldCharType="begin"/>
            </w:r>
            <w:r w:rsidR="006C2935">
              <w:rPr>
                <w:noProof/>
                <w:webHidden/>
              </w:rPr>
              <w:instrText xml:space="preserve"> PAGEREF _Toc505183086 \h </w:instrText>
            </w:r>
            <w:r w:rsidR="006C2935">
              <w:rPr>
                <w:noProof/>
                <w:webHidden/>
              </w:rPr>
            </w:r>
            <w:r w:rsidR="006C2935">
              <w:rPr>
                <w:noProof/>
                <w:webHidden/>
              </w:rPr>
              <w:fldChar w:fldCharType="separate"/>
            </w:r>
            <w:r w:rsidR="00DF7186">
              <w:rPr>
                <w:noProof/>
                <w:webHidden/>
              </w:rPr>
              <w:t>259</w:t>
            </w:r>
            <w:r w:rsidR="006C2935">
              <w:rPr>
                <w:noProof/>
                <w:webHidden/>
              </w:rPr>
              <w:fldChar w:fldCharType="end"/>
            </w:r>
          </w:hyperlink>
        </w:p>
        <w:p w:rsidR="006C2935" w:rsidRDefault="000E0283">
          <w:pPr>
            <w:pStyle w:val="TDC2"/>
            <w:tabs>
              <w:tab w:val="left" w:pos="880"/>
              <w:tab w:val="right" w:leader="dot" w:pos="9395"/>
            </w:tabs>
            <w:rPr>
              <w:rFonts w:asciiTheme="minorHAnsi" w:eastAsiaTheme="minorEastAsia" w:hAnsiTheme="minorHAnsi" w:cstheme="minorBidi"/>
              <w:noProof/>
              <w:lang w:val="es-CO" w:eastAsia="es-CO"/>
            </w:rPr>
          </w:pPr>
          <w:hyperlink w:anchor="_Toc505183087" w:history="1">
            <w:r w:rsidR="006C2935" w:rsidRPr="00E624B7">
              <w:rPr>
                <w:rStyle w:val="Hipervnculo"/>
                <w:rFonts w:eastAsiaTheme="majorEastAsia" w:cs="Arial"/>
                <w:noProof/>
              </w:rPr>
              <w:t>5.2.</w:t>
            </w:r>
            <w:r w:rsidR="006C2935">
              <w:rPr>
                <w:rFonts w:asciiTheme="minorHAnsi" w:eastAsiaTheme="minorEastAsia" w:hAnsiTheme="minorHAnsi" w:cstheme="minorBidi"/>
                <w:noProof/>
                <w:lang w:val="es-CO" w:eastAsia="es-CO"/>
              </w:rPr>
              <w:tab/>
            </w:r>
            <w:r w:rsidR="006C2935" w:rsidRPr="00E624B7">
              <w:rPr>
                <w:rStyle w:val="Hipervnculo"/>
                <w:rFonts w:eastAsiaTheme="majorEastAsia" w:cs="Arial"/>
                <w:noProof/>
              </w:rPr>
              <w:t>Participación, Rendición de cuentas y mesas públicas</w:t>
            </w:r>
            <w:r w:rsidR="006C2935">
              <w:rPr>
                <w:noProof/>
                <w:webHidden/>
              </w:rPr>
              <w:tab/>
            </w:r>
            <w:r w:rsidR="006C2935">
              <w:rPr>
                <w:noProof/>
                <w:webHidden/>
              </w:rPr>
              <w:fldChar w:fldCharType="begin"/>
            </w:r>
            <w:r w:rsidR="006C2935">
              <w:rPr>
                <w:noProof/>
                <w:webHidden/>
              </w:rPr>
              <w:instrText xml:space="preserve"> PAGEREF _Toc505183087 \h </w:instrText>
            </w:r>
            <w:r w:rsidR="006C2935">
              <w:rPr>
                <w:noProof/>
                <w:webHidden/>
              </w:rPr>
            </w:r>
            <w:r w:rsidR="006C2935">
              <w:rPr>
                <w:noProof/>
                <w:webHidden/>
              </w:rPr>
              <w:fldChar w:fldCharType="separate"/>
            </w:r>
            <w:r w:rsidR="00DF7186">
              <w:rPr>
                <w:noProof/>
                <w:webHidden/>
              </w:rPr>
              <w:t>275</w:t>
            </w:r>
            <w:r w:rsidR="006C2935">
              <w:rPr>
                <w:noProof/>
                <w:webHidden/>
              </w:rPr>
              <w:fldChar w:fldCharType="end"/>
            </w:r>
          </w:hyperlink>
        </w:p>
        <w:p w:rsidR="006C2935" w:rsidRDefault="000E0283">
          <w:pPr>
            <w:pStyle w:val="TDC2"/>
            <w:tabs>
              <w:tab w:val="left" w:pos="880"/>
              <w:tab w:val="right" w:leader="dot" w:pos="9395"/>
            </w:tabs>
            <w:rPr>
              <w:rFonts w:asciiTheme="minorHAnsi" w:eastAsiaTheme="minorEastAsia" w:hAnsiTheme="minorHAnsi" w:cstheme="minorBidi"/>
              <w:noProof/>
              <w:lang w:val="es-CO" w:eastAsia="es-CO"/>
            </w:rPr>
          </w:pPr>
          <w:hyperlink w:anchor="_Toc505183088" w:history="1">
            <w:r w:rsidR="006C2935" w:rsidRPr="00E624B7">
              <w:rPr>
                <w:rStyle w:val="Hipervnculo"/>
                <w:rFonts w:eastAsiaTheme="majorEastAsia" w:cs="Arial"/>
                <w:noProof/>
              </w:rPr>
              <w:t>5.3.</w:t>
            </w:r>
            <w:r w:rsidR="006C2935">
              <w:rPr>
                <w:rFonts w:asciiTheme="minorHAnsi" w:eastAsiaTheme="minorEastAsia" w:hAnsiTheme="minorHAnsi" w:cstheme="minorBidi"/>
                <w:noProof/>
                <w:lang w:val="es-CO" w:eastAsia="es-CO"/>
              </w:rPr>
              <w:tab/>
            </w:r>
            <w:r w:rsidR="006C2935" w:rsidRPr="00E624B7">
              <w:rPr>
                <w:rStyle w:val="Hipervnculo"/>
                <w:rFonts w:eastAsiaTheme="majorEastAsia" w:cs="Arial"/>
                <w:noProof/>
              </w:rPr>
              <w:t>Servicio al Ciudadano</w:t>
            </w:r>
            <w:r w:rsidR="006C2935">
              <w:rPr>
                <w:noProof/>
                <w:webHidden/>
              </w:rPr>
              <w:tab/>
            </w:r>
            <w:r w:rsidR="006C2935">
              <w:rPr>
                <w:noProof/>
                <w:webHidden/>
              </w:rPr>
              <w:fldChar w:fldCharType="begin"/>
            </w:r>
            <w:r w:rsidR="006C2935">
              <w:rPr>
                <w:noProof/>
                <w:webHidden/>
              </w:rPr>
              <w:instrText xml:space="preserve"> PAGEREF _Toc505183088 \h </w:instrText>
            </w:r>
            <w:r w:rsidR="006C2935">
              <w:rPr>
                <w:noProof/>
                <w:webHidden/>
              </w:rPr>
            </w:r>
            <w:r w:rsidR="006C2935">
              <w:rPr>
                <w:noProof/>
                <w:webHidden/>
              </w:rPr>
              <w:fldChar w:fldCharType="separate"/>
            </w:r>
            <w:r w:rsidR="00DF7186">
              <w:rPr>
                <w:noProof/>
                <w:webHidden/>
              </w:rPr>
              <w:t>282</w:t>
            </w:r>
            <w:r w:rsidR="006C2935">
              <w:rPr>
                <w:noProof/>
                <w:webHidden/>
              </w:rPr>
              <w:fldChar w:fldCharType="end"/>
            </w:r>
          </w:hyperlink>
        </w:p>
        <w:p w:rsidR="006C2935" w:rsidRDefault="000E0283">
          <w:pPr>
            <w:pStyle w:val="TDC2"/>
            <w:tabs>
              <w:tab w:val="left" w:pos="880"/>
              <w:tab w:val="right" w:leader="dot" w:pos="9395"/>
            </w:tabs>
            <w:rPr>
              <w:rFonts w:asciiTheme="minorHAnsi" w:eastAsiaTheme="minorEastAsia" w:hAnsiTheme="minorHAnsi" w:cstheme="minorBidi"/>
              <w:noProof/>
              <w:lang w:val="es-CO" w:eastAsia="es-CO"/>
            </w:rPr>
          </w:pPr>
          <w:hyperlink w:anchor="_Toc505183089" w:history="1">
            <w:r w:rsidR="006C2935" w:rsidRPr="00E624B7">
              <w:rPr>
                <w:rStyle w:val="Hipervnculo"/>
                <w:rFonts w:cs="Arial"/>
                <w:noProof/>
              </w:rPr>
              <w:t>5.4.</w:t>
            </w:r>
            <w:r w:rsidR="006C2935">
              <w:rPr>
                <w:rFonts w:asciiTheme="minorHAnsi" w:eastAsiaTheme="minorEastAsia" w:hAnsiTheme="minorHAnsi" w:cstheme="minorBidi"/>
                <w:noProof/>
                <w:lang w:val="es-CO" w:eastAsia="es-CO"/>
              </w:rPr>
              <w:tab/>
            </w:r>
            <w:r w:rsidR="006C2935" w:rsidRPr="00E624B7">
              <w:rPr>
                <w:rStyle w:val="Hipervnculo"/>
                <w:rFonts w:cs="Arial"/>
                <w:noProof/>
              </w:rPr>
              <w:t>LOGROS 2017</w:t>
            </w:r>
            <w:r w:rsidR="006C2935">
              <w:rPr>
                <w:noProof/>
                <w:webHidden/>
              </w:rPr>
              <w:tab/>
            </w:r>
            <w:r w:rsidR="006C2935">
              <w:rPr>
                <w:noProof/>
                <w:webHidden/>
              </w:rPr>
              <w:fldChar w:fldCharType="begin"/>
            </w:r>
            <w:r w:rsidR="006C2935">
              <w:rPr>
                <w:noProof/>
                <w:webHidden/>
              </w:rPr>
              <w:instrText xml:space="preserve"> PAGEREF _Toc505183089 \h </w:instrText>
            </w:r>
            <w:r w:rsidR="006C2935">
              <w:rPr>
                <w:noProof/>
                <w:webHidden/>
              </w:rPr>
            </w:r>
            <w:r w:rsidR="006C2935">
              <w:rPr>
                <w:noProof/>
                <w:webHidden/>
              </w:rPr>
              <w:fldChar w:fldCharType="separate"/>
            </w:r>
            <w:r w:rsidR="00DF7186">
              <w:rPr>
                <w:noProof/>
                <w:webHidden/>
              </w:rPr>
              <w:t>288</w:t>
            </w:r>
            <w:r w:rsidR="006C2935">
              <w:rPr>
                <w:noProof/>
                <w:webHidden/>
              </w:rPr>
              <w:fldChar w:fldCharType="end"/>
            </w:r>
          </w:hyperlink>
        </w:p>
        <w:p w:rsidR="006C2935" w:rsidRDefault="000E0283">
          <w:pPr>
            <w:pStyle w:val="TDC2"/>
            <w:tabs>
              <w:tab w:val="left" w:pos="880"/>
              <w:tab w:val="right" w:leader="dot" w:pos="9395"/>
            </w:tabs>
            <w:rPr>
              <w:rFonts w:asciiTheme="minorHAnsi" w:eastAsiaTheme="minorEastAsia" w:hAnsiTheme="minorHAnsi" w:cstheme="minorBidi"/>
              <w:noProof/>
              <w:lang w:val="es-CO" w:eastAsia="es-CO"/>
            </w:rPr>
          </w:pPr>
          <w:hyperlink w:anchor="_Toc505183090" w:history="1">
            <w:r w:rsidR="006C2935" w:rsidRPr="00E624B7">
              <w:rPr>
                <w:rStyle w:val="Hipervnculo"/>
                <w:rFonts w:cs="Arial"/>
                <w:noProof/>
              </w:rPr>
              <w:t>5.5.</w:t>
            </w:r>
            <w:r w:rsidR="006C2935">
              <w:rPr>
                <w:rFonts w:asciiTheme="minorHAnsi" w:eastAsiaTheme="minorEastAsia" w:hAnsiTheme="minorHAnsi" w:cstheme="minorBidi"/>
                <w:noProof/>
                <w:lang w:val="es-CO" w:eastAsia="es-CO"/>
              </w:rPr>
              <w:tab/>
            </w:r>
            <w:r w:rsidR="006C2935" w:rsidRPr="00E624B7">
              <w:rPr>
                <w:rStyle w:val="Hipervnculo"/>
                <w:rFonts w:cs="Arial"/>
                <w:noProof/>
              </w:rPr>
              <w:t>RETOS 2018</w:t>
            </w:r>
            <w:r w:rsidR="006C2935">
              <w:rPr>
                <w:noProof/>
                <w:webHidden/>
              </w:rPr>
              <w:tab/>
            </w:r>
            <w:r w:rsidR="006C2935">
              <w:rPr>
                <w:noProof/>
                <w:webHidden/>
              </w:rPr>
              <w:fldChar w:fldCharType="begin"/>
            </w:r>
            <w:r w:rsidR="006C2935">
              <w:rPr>
                <w:noProof/>
                <w:webHidden/>
              </w:rPr>
              <w:instrText xml:space="preserve"> PAGEREF _Toc505183090 \h </w:instrText>
            </w:r>
            <w:r w:rsidR="006C2935">
              <w:rPr>
                <w:noProof/>
                <w:webHidden/>
              </w:rPr>
            </w:r>
            <w:r w:rsidR="006C2935">
              <w:rPr>
                <w:noProof/>
                <w:webHidden/>
              </w:rPr>
              <w:fldChar w:fldCharType="separate"/>
            </w:r>
            <w:r w:rsidR="00DF7186">
              <w:rPr>
                <w:noProof/>
                <w:webHidden/>
              </w:rPr>
              <w:t>290</w:t>
            </w:r>
            <w:r w:rsidR="006C2935">
              <w:rPr>
                <w:noProof/>
                <w:webHidden/>
              </w:rPr>
              <w:fldChar w:fldCharType="end"/>
            </w:r>
          </w:hyperlink>
        </w:p>
        <w:p w:rsidR="006C2935" w:rsidRDefault="000E0283">
          <w:pPr>
            <w:pStyle w:val="TDC1"/>
            <w:rPr>
              <w:rFonts w:asciiTheme="minorHAnsi" w:eastAsiaTheme="minorEastAsia" w:hAnsiTheme="minorHAnsi" w:cstheme="minorBidi"/>
              <w:bCs w:val="0"/>
              <w:kern w:val="0"/>
              <w:lang w:val="es-CO" w:eastAsia="es-CO"/>
            </w:rPr>
          </w:pPr>
          <w:hyperlink w:anchor="_Toc505183091" w:history="1">
            <w:r w:rsidR="006C2935" w:rsidRPr="00E624B7">
              <w:rPr>
                <w:rStyle w:val="Hipervnculo"/>
              </w:rPr>
              <w:t>6.</w:t>
            </w:r>
            <w:r w:rsidR="006C2935">
              <w:rPr>
                <w:rFonts w:asciiTheme="minorHAnsi" w:eastAsiaTheme="minorEastAsia" w:hAnsiTheme="minorHAnsi" w:cstheme="minorBidi"/>
                <w:bCs w:val="0"/>
                <w:kern w:val="0"/>
                <w:lang w:val="es-CO" w:eastAsia="es-CO"/>
              </w:rPr>
              <w:tab/>
            </w:r>
            <w:r w:rsidR="006C2935" w:rsidRPr="00E624B7">
              <w:rPr>
                <w:rStyle w:val="Hipervnculo"/>
              </w:rPr>
              <w:t>GESTIÓN DEL CONOCIMIENTO E INNOVACIÓN</w:t>
            </w:r>
            <w:r w:rsidR="006C2935">
              <w:rPr>
                <w:webHidden/>
              </w:rPr>
              <w:tab/>
            </w:r>
            <w:r w:rsidR="006C2935">
              <w:rPr>
                <w:webHidden/>
              </w:rPr>
              <w:fldChar w:fldCharType="begin"/>
            </w:r>
            <w:r w:rsidR="006C2935">
              <w:rPr>
                <w:webHidden/>
              </w:rPr>
              <w:instrText xml:space="preserve"> PAGEREF _Toc505183091 \h </w:instrText>
            </w:r>
            <w:r w:rsidR="006C2935">
              <w:rPr>
                <w:webHidden/>
              </w:rPr>
            </w:r>
            <w:r w:rsidR="006C2935">
              <w:rPr>
                <w:webHidden/>
              </w:rPr>
              <w:fldChar w:fldCharType="separate"/>
            </w:r>
            <w:r w:rsidR="00DF7186">
              <w:rPr>
                <w:webHidden/>
              </w:rPr>
              <w:t>291</w:t>
            </w:r>
            <w:r w:rsidR="006C2935">
              <w:rPr>
                <w:webHidden/>
              </w:rPr>
              <w:fldChar w:fldCharType="end"/>
            </w:r>
          </w:hyperlink>
        </w:p>
        <w:p w:rsidR="006C2935" w:rsidRDefault="000E0283">
          <w:pPr>
            <w:pStyle w:val="TDC1"/>
            <w:rPr>
              <w:rFonts w:asciiTheme="minorHAnsi" w:eastAsiaTheme="minorEastAsia" w:hAnsiTheme="minorHAnsi" w:cstheme="minorBidi"/>
              <w:bCs w:val="0"/>
              <w:kern w:val="0"/>
              <w:lang w:val="es-CO" w:eastAsia="es-CO"/>
            </w:rPr>
          </w:pPr>
          <w:hyperlink w:anchor="_Toc505183092" w:history="1">
            <w:r w:rsidR="006C2935" w:rsidRPr="00E624B7">
              <w:rPr>
                <w:rStyle w:val="Hipervnculo"/>
              </w:rPr>
              <w:t>7.</w:t>
            </w:r>
            <w:r w:rsidR="006C2935">
              <w:rPr>
                <w:rFonts w:asciiTheme="minorHAnsi" w:eastAsiaTheme="minorEastAsia" w:hAnsiTheme="minorHAnsi" w:cstheme="minorBidi"/>
                <w:bCs w:val="0"/>
                <w:kern w:val="0"/>
                <w:lang w:val="es-CO" w:eastAsia="es-CO"/>
              </w:rPr>
              <w:tab/>
            </w:r>
            <w:r w:rsidR="006C2935" w:rsidRPr="00E624B7">
              <w:rPr>
                <w:rStyle w:val="Hipervnculo"/>
              </w:rPr>
              <w:t>GESTIÓN DEL TALENTO HUMANO</w:t>
            </w:r>
            <w:r w:rsidR="006C2935">
              <w:rPr>
                <w:webHidden/>
              </w:rPr>
              <w:tab/>
            </w:r>
            <w:r w:rsidR="006C2935">
              <w:rPr>
                <w:webHidden/>
              </w:rPr>
              <w:fldChar w:fldCharType="begin"/>
            </w:r>
            <w:r w:rsidR="006C2935">
              <w:rPr>
                <w:webHidden/>
              </w:rPr>
              <w:instrText xml:space="preserve"> PAGEREF _Toc505183092 \h </w:instrText>
            </w:r>
            <w:r w:rsidR="006C2935">
              <w:rPr>
                <w:webHidden/>
              </w:rPr>
            </w:r>
            <w:r w:rsidR="006C2935">
              <w:rPr>
                <w:webHidden/>
              </w:rPr>
              <w:fldChar w:fldCharType="separate"/>
            </w:r>
            <w:r w:rsidR="00DF7186">
              <w:rPr>
                <w:webHidden/>
              </w:rPr>
              <w:t>297</w:t>
            </w:r>
            <w:r w:rsidR="006C2935">
              <w:rPr>
                <w:webHidden/>
              </w:rPr>
              <w:fldChar w:fldCharType="end"/>
            </w:r>
          </w:hyperlink>
        </w:p>
        <w:p w:rsidR="006C2935" w:rsidRDefault="000E0283">
          <w:pPr>
            <w:pStyle w:val="TDC2"/>
            <w:tabs>
              <w:tab w:val="left" w:pos="880"/>
              <w:tab w:val="right" w:leader="dot" w:pos="9395"/>
            </w:tabs>
            <w:rPr>
              <w:rFonts w:asciiTheme="minorHAnsi" w:eastAsiaTheme="minorEastAsia" w:hAnsiTheme="minorHAnsi" w:cstheme="minorBidi"/>
              <w:noProof/>
              <w:lang w:val="es-CO" w:eastAsia="es-CO"/>
            </w:rPr>
          </w:pPr>
          <w:hyperlink w:anchor="_Toc505183093" w:history="1">
            <w:r w:rsidR="006C2935" w:rsidRPr="00E624B7">
              <w:rPr>
                <w:rStyle w:val="Hipervnculo"/>
                <w:rFonts w:cs="Arial"/>
                <w:noProof/>
              </w:rPr>
              <w:t>7.1.</w:t>
            </w:r>
            <w:r w:rsidR="006C2935">
              <w:rPr>
                <w:rFonts w:asciiTheme="minorHAnsi" w:eastAsiaTheme="minorEastAsia" w:hAnsiTheme="minorHAnsi" w:cstheme="minorBidi"/>
                <w:noProof/>
                <w:lang w:val="es-CO" w:eastAsia="es-CO"/>
              </w:rPr>
              <w:tab/>
            </w:r>
            <w:r w:rsidR="006C2935" w:rsidRPr="00E624B7">
              <w:rPr>
                <w:rStyle w:val="Hipervnculo"/>
                <w:rFonts w:cs="Arial"/>
                <w:noProof/>
              </w:rPr>
              <w:t>Plan Institucional de Capacitación</w:t>
            </w:r>
            <w:r w:rsidR="006C2935">
              <w:rPr>
                <w:noProof/>
                <w:webHidden/>
              </w:rPr>
              <w:tab/>
            </w:r>
            <w:r w:rsidR="006C2935">
              <w:rPr>
                <w:noProof/>
                <w:webHidden/>
              </w:rPr>
              <w:fldChar w:fldCharType="begin"/>
            </w:r>
            <w:r w:rsidR="006C2935">
              <w:rPr>
                <w:noProof/>
                <w:webHidden/>
              </w:rPr>
              <w:instrText xml:space="preserve"> PAGEREF _Toc505183093 \h </w:instrText>
            </w:r>
            <w:r w:rsidR="006C2935">
              <w:rPr>
                <w:noProof/>
                <w:webHidden/>
              </w:rPr>
            </w:r>
            <w:r w:rsidR="006C2935">
              <w:rPr>
                <w:noProof/>
                <w:webHidden/>
              </w:rPr>
              <w:fldChar w:fldCharType="separate"/>
            </w:r>
            <w:r w:rsidR="00DF7186">
              <w:rPr>
                <w:noProof/>
                <w:webHidden/>
              </w:rPr>
              <w:t>297</w:t>
            </w:r>
            <w:r w:rsidR="006C2935">
              <w:rPr>
                <w:noProof/>
                <w:webHidden/>
              </w:rPr>
              <w:fldChar w:fldCharType="end"/>
            </w:r>
          </w:hyperlink>
        </w:p>
        <w:p w:rsidR="006C2935" w:rsidRDefault="000E0283">
          <w:pPr>
            <w:pStyle w:val="TDC2"/>
            <w:tabs>
              <w:tab w:val="left" w:pos="880"/>
              <w:tab w:val="right" w:leader="dot" w:pos="9395"/>
            </w:tabs>
            <w:rPr>
              <w:rFonts w:asciiTheme="minorHAnsi" w:eastAsiaTheme="minorEastAsia" w:hAnsiTheme="minorHAnsi" w:cstheme="minorBidi"/>
              <w:noProof/>
              <w:lang w:val="es-CO" w:eastAsia="es-CO"/>
            </w:rPr>
          </w:pPr>
          <w:hyperlink w:anchor="_Toc505183094" w:history="1">
            <w:r w:rsidR="006C2935" w:rsidRPr="00E624B7">
              <w:rPr>
                <w:rStyle w:val="Hipervnculo"/>
                <w:rFonts w:cs="Arial"/>
                <w:noProof/>
              </w:rPr>
              <w:t>7.2.</w:t>
            </w:r>
            <w:r w:rsidR="006C2935">
              <w:rPr>
                <w:rFonts w:asciiTheme="minorHAnsi" w:eastAsiaTheme="minorEastAsia" w:hAnsiTheme="minorHAnsi" w:cstheme="minorBidi"/>
                <w:noProof/>
                <w:lang w:val="es-CO" w:eastAsia="es-CO"/>
              </w:rPr>
              <w:tab/>
            </w:r>
            <w:r w:rsidR="006C2935" w:rsidRPr="00E624B7">
              <w:rPr>
                <w:rStyle w:val="Hipervnculo"/>
                <w:rFonts w:cs="Arial"/>
                <w:noProof/>
              </w:rPr>
              <w:t>Plan de bienestar e incentivos</w:t>
            </w:r>
            <w:r w:rsidR="006C2935">
              <w:rPr>
                <w:noProof/>
                <w:webHidden/>
              </w:rPr>
              <w:tab/>
            </w:r>
            <w:r w:rsidR="006C2935">
              <w:rPr>
                <w:noProof/>
                <w:webHidden/>
              </w:rPr>
              <w:fldChar w:fldCharType="begin"/>
            </w:r>
            <w:r w:rsidR="006C2935">
              <w:rPr>
                <w:noProof/>
                <w:webHidden/>
              </w:rPr>
              <w:instrText xml:space="preserve"> PAGEREF _Toc505183094 \h </w:instrText>
            </w:r>
            <w:r w:rsidR="006C2935">
              <w:rPr>
                <w:noProof/>
                <w:webHidden/>
              </w:rPr>
            </w:r>
            <w:r w:rsidR="006C2935">
              <w:rPr>
                <w:noProof/>
                <w:webHidden/>
              </w:rPr>
              <w:fldChar w:fldCharType="separate"/>
            </w:r>
            <w:r w:rsidR="00DF7186">
              <w:rPr>
                <w:noProof/>
                <w:webHidden/>
              </w:rPr>
              <w:t>302</w:t>
            </w:r>
            <w:r w:rsidR="006C2935">
              <w:rPr>
                <w:noProof/>
                <w:webHidden/>
              </w:rPr>
              <w:fldChar w:fldCharType="end"/>
            </w:r>
          </w:hyperlink>
        </w:p>
        <w:p w:rsidR="006C2935" w:rsidRDefault="000E0283">
          <w:pPr>
            <w:pStyle w:val="TDC2"/>
            <w:tabs>
              <w:tab w:val="left" w:pos="880"/>
              <w:tab w:val="right" w:leader="dot" w:pos="9395"/>
            </w:tabs>
            <w:rPr>
              <w:rFonts w:asciiTheme="minorHAnsi" w:eastAsiaTheme="minorEastAsia" w:hAnsiTheme="minorHAnsi" w:cstheme="minorBidi"/>
              <w:noProof/>
              <w:lang w:val="es-CO" w:eastAsia="es-CO"/>
            </w:rPr>
          </w:pPr>
          <w:hyperlink w:anchor="_Toc505183095" w:history="1">
            <w:r w:rsidR="006C2935" w:rsidRPr="00E624B7">
              <w:rPr>
                <w:rStyle w:val="Hipervnculo"/>
                <w:rFonts w:cs="Arial"/>
                <w:noProof/>
              </w:rPr>
              <w:t>7.3.</w:t>
            </w:r>
            <w:r w:rsidR="006C2935">
              <w:rPr>
                <w:rFonts w:asciiTheme="minorHAnsi" w:eastAsiaTheme="minorEastAsia" w:hAnsiTheme="minorHAnsi" w:cstheme="minorBidi"/>
                <w:noProof/>
                <w:lang w:val="es-CO" w:eastAsia="es-CO"/>
              </w:rPr>
              <w:tab/>
            </w:r>
            <w:r w:rsidR="006C2935" w:rsidRPr="00E624B7">
              <w:rPr>
                <w:rStyle w:val="Hipervnculo"/>
                <w:rFonts w:cs="Arial"/>
                <w:noProof/>
              </w:rPr>
              <w:t>Plan anual de vacantes</w:t>
            </w:r>
            <w:r w:rsidR="006C2935">
              <w:rPr>
                <w:noProof/>
                <w:webHidden/>
              </w:rPr>
              <w:tab/>
            </w:r>
            <w:r w:rsidR="006C2935">
              <w:rPr>
                <w:noProof/>
                <w:webHidden/>
              </w:rPr>
              <w:fldChar w:fldCharType="begin"/>
            </w:r>
            <w:r w:rsidR="006C2935">
              <w:rPr>
                <w:noProof/>
                <w:webHidden/>
              </w:rPr>
              <w:instrText xml:space="preserve"> PAGEREF _Toc505183095 \h </w:instrText>
            </w:r>
            <w:r w:rsidR="006C2935">
              <w:rPr>
                <w:noProof/>
                <w:webHidden/>
              </w:rPr>
            </w:r>
            <w:r w:rsidR="006C2935">
              <w:rPr>
                <w:noProof/>
                <w:webHidden/>
              </w:rPr>
              <w:fldChar w:fldCharType="separate"/>
            </w:r>
            <w:r w:rsidR="00DF7186">
              <w:rPr>
                <w:noProof/>
                <w:webHidden/>
              </w:rPr>
              <w:t>305</w:t>
            </w:r>
            <w:r w:rsidR="006C2935">
              <w:rPr>
                <w:noProof/>
                <w:webHidden/>
              </w:rPr>
              <w:fldChar w:fldCharType="end"/>
            </w:r>
          </w:hyperlink>
        </w:p>
        <w:p w:rsidR="006C2935" w:rsidRDefault="000E0283">
          <w:pPr>
            <w:pStyle w:val="TDC2"/>
            <w:tabs>
              <w:tab w:val="left" w:pos="880"/>
              <w:tab w:val="right" w:leader="dot" w:pos="9395"/>
            </w:tabs>
            <w:rPr>
              <w:rFonts w:asciiTheme="minorHAnsi" w:eastAsiaTheme="minorEastAsia" w:hAnsiTheme="minorHAnsi" w:cstheme="minorBidi"/>
              <w:noProof/>
              <w:lang w:val="es-CO" w:eastAsia="es-CO"/>
            </w:rPr>
          </w:pPr>
          <w:hyperlink w:anchor="_Toc505183096" w:history="1">
            <w:r w:rsidR="006C2935" w:rsidRPr="00E624B7">
              <w:rPr>
                <w:rStyle w:val="Hipervnculo"/>
                <w:rFonts w:cs="Arial"/>
                <w:noProof/>
              </w:rPr>
              <w:t>7.4.</w:t>
            </w:r>
            <w:r w:rsidR="006C2935">
              <w:rPr>
                <w:rFonts w:asciiTheme="minorHAnsi" w:eastAsiaTheme="minorEastAsia" w:hAnsiTheme="minorHAnsi" w:cstheme="minorBidi"/>
                <w:noProof/>
                <w:lang w:val="es-CO" w:eastAsia="es-CO"/>
              </w:rPr>
              <w:tab/>
            </w:r>
            <w:r w:rsidR="006C2935" w:rsidRPr="00E624B7">
              <w:rPr>
                <w:rStyle w:val="Hipervnculo"/>
                <w:rFonts w:cs="Arial"/>
                <w:noProof/>
              </w:rPr>
              <w:t>LOGROS 2017</w:t>
            </w:r>
            <w:r w:rsidR="006C2935">
              <w:rPr>
                <w:noProof/>
                <w:webHidden/>
              </w:rPr>
              <w:tab/>
            </w:r>
            <w:r w:rsidR="006C2935">
              <w:rPr>
                <w:noProof/>
                <w:webHidden/>
              </w:rPr>
              <w:fldChar w:fldCharType="begin"/>
            </w:r>
            <w:r w:rsidR="006C2935">
              <w:rPr>
                <w:noProof/>
                <w:webHidden/>
              </w:rPr>
              <w:instrText xml:space="preserve"> PAGEREF _Toc505183096 \h </w:instrText>
            </w:r>
            <w:r w:rsidR="006C2935">
              <w:rPr>
                <w:noProof/>
                <w:webHidden/>
              </w:rPr>
            </w:r>
            <w:r w:rsidR="006C2935">
              <w:rPr>
                <w:noProof/>
                <w:webHidden/>
              </w:rPr>
              <w:fldChar w:fldCharType="separate"/>
            </w:r>
            <w:r w:rsidR="00DF7186">
              <w:rPr>
                <w:noProof/>
                <w:webHidden/>
              </w:rPr>
              <w:t>305</w:t>
            </w:r>
            <w:r w:rsidR="006C2935">
              <w:rPr>
                <w:noProof/>
                <w:webHidden/>
              </w:rPr>
              <w:fldChar w:fldCharType="end"/>
            </w:r>
          </w:hyperlink>
        </w:p>
        <w:p w:rsidR="006C2935" w:rsidRDefault="000E0283">
          <w:pPr>
            <w:pStyle w:val="TDC2"/>
            <w:tabs>
              <w:tab w:val="left" w:pos="880"/>
              <w:tab w:val="right" w:leader="dot" w:pos="9395"/>
            </w:tabs>
            <w:rPr>
              <w:rFonts w:asciiTheme="minorHAnsi" w:eastAsiaTheme="minorEastAsia" w:hAnsiTheme="minorHAnsi" w:cstheme="minorBidi"/>
              <w:noProof/>
              <w:lang w:val="es-CO" w:eastAsia="es-CO"/>
            </w:rPr>
          </w:pPr>
          <w:hyperlink w:anchor="_Toc505183097" w:history="1">
            <w:r w:rsidR="006C2935" w:rsidRPr="00E624B7">
              <w:rPr>
                <w:rStyle w:val="Hipervnculo"/>
                <w:rFonts w:cs="Arial"/>
                <w:noProof/>
              </w:rPr>
              <w:t>7.5.</w:t>
            </w:r>
            <w:r w:rsidR="006C2935">
              <w:rPr>
                <w:rFonts w:asciiTheme="minorHAnsi" w:eastAsiaTheme="minorEastAsia" w:hAnsiTheme="minorHAnsi" w:cstheme="minorBidi"/>
                <w:noProof/>
                <w:lang w:val="es-CO" w:eastAsia="es-CO"/>
              </w:rPr>
              <w:tab/>
            </w:r>
            <w:r w:rsidR="006C2935" w:rsidRPr="00E624B7">
              <w:rPr>
                <w:rStyle w:val="Hipervnculo"/>
                <w:rFonts w:cs="Arial"/>
                <w:noProof/>
              </w:rPr>
              <w:t>RETOS 2018</w:t>
            </w:r>
            <w:r w:rsidR="006C2935">
              <w:rPr>
                <w:noProof/>
                <w:webHidden/>
              </w:rPr>
              <w:tab/>
            </w:r>
            <w:r w:rsidR="006C2935">
              <w:rPr>
                <w:noProof/>
                <w:webHidden/>
              </w:rPr>
              <w:fldChar w:fldCharType="begin"/>
            </w:r>
            <w:r w:rsidR="006C2935">
              <w:rPr>
                <w:noProof/>
                <w:webHidden/>
              </w:rPr>
              <w:instrText xml:space="preserve"> PAGEREF _Toc505183097 \h </w:instrText>
            </w:r>
            <w:r w:rsidR="006C2935">
              <w:rPr>
                <w:noProof/>
                <w:webHidden/>
              </w:rPr>
            </w:r>
            <w:r w:rsidR="006C2935">
              <w:rPr>
                <w:noProof/>
                <w:webHidden/>
              </w:rPr>
              <w:fldChar w:fldCharType="separate"/>
            </w:r>
            <w:r w:rsidR="00DF7186">
              <w:rPr>
                <w:noProof/>
                <w:webHidden/>
              </w:rPr>
              <w:t>307</w:t>
            </w:r>
            <w:r w:rsidR="006C2935">
              <w:rPr>
                <w:noProof/>
                <w:webHidden/>
              </w:rPr>
              <w:fldChar w:fldCharType="end"/>
            </w:r>
          </w:hyperlink>
        </w:p>
        <w:p w:rsidR="006C2935" w:rsidRDefault="000E0283">
          <w:pPr>
            <w:pStyle w:val="TDC1"/>
            <w:rPr>
              <w:rFonts w:asciiTheme="minorHAnsi" w:eastAsiaTheme="minorEastAsia" w:hAnsiTheme="minorHAnsi" w:cstheme="minorBidi"/>
              <w:bCs w:val="0"/>
              <w:kern w:val="0"/>
              <w:lang w:val="es-CO" w:eastAsia="es-CO"/>
            </w:rPr>
          </w:pPr>
          <w:hyperlink w:anchor="_Toc505183098" w:history="1">
            <w:r w:rsidR="006C2935" w:rsidRPr="00E624B7">
              <w:rPr>
                <w:rStyle w:val="Hipervnculo"/>
              </w:rPr>
              <w:t>8.</w:t>
            </w:r>
            <w:r w:rsidR="006C2935">
              <w:rPr>
                <w:rFonts w:asciiTheme="minorHAnsi" w:eastAsiaTheme="minorEastAsia" w:hAnsiTheme="minorHAnsi" w:cstheme="minorBidi"/>
                <w:bCs w:val="0"/>
                <w:kern w:val="0"/>
                <w:lang w:val="es-CO" w:eastAsia="es-CO"/>
              </w:rPr>
              <w:tab/>
            </w:r>
            <w:r w:rsidR="006C2935" w:rsidRPr="00E624B7">
              <w:rPr>
                <w:rStyle w:val="Hipervnculo"/>
              </w:rPr>
              <w:t>GESTIÓN ADMINISTRATIVA</w:t>
            </w:r>
            <w:r w:rsidR="006C2935">
              <w:rPr>
                <w:webHidden/>
              </w:rPr>
              <w:tab/>
            </w:r>
            <w:r w:rsidR="006C2935">
              <w:rPr>
                <w:webHidden/>
              </w:rPr>
              <w:fldChar w:fldCharType="begin"/>
            </w:r>
            <w:r w:rsidR="006C2935">
              <w:rPr>
                <w:webHidden/>
              </w:rPr>
              <w:instrText xml:space="preserve"> PAGEREF _Toc505183098 \h </w:instrText>
            </w:r>
            <w:r w:rsidR="006C2935">
              <w:rPr>
                <w:webHidden/>
              </w:rPr>
            </w:r>
            <w:r w:rsidR="006C2935">
              <w:rPr>
                <w:webHidden/>
              </w:rPr>
              <w:fldChar w:fldCharType="separate"/>
            </w:r>
            <w:r w:rsidR="00DF7186">
              <w:rPr>
                <w:webHidden/>
              </w:rPr>
              <w:t>309</w:t>
            </w:r>
            <w:r w:rsidR="006C2935">
              <w:rPr>
                <w:webHidden/>
              </w:rPr>
              <w:fldChar w:fldCharType="end"/>
            </w:r>
          </w:hyperlink>
        </w:p>
        <w:p w:rsidR="006C2935" w:rsidRDefault="000E0283">
          <w:pPr>
            <w:pStyle w:val="TDC2"/>
            <w:tabs>
              <w:tab w:val="left" w:pos="880"/>
              <w:tab w:val="right" w:leader="dot" w:pos="9395"/>
            </w:tabs>
            <w:rPr>
              <w:rFonts w:asciiTheme="minorHAnsi" w:eastAsiaTheme="minorEastAsia" w:hAnsiTheme="minorHAnsi" w:cstheme="minorBidi"/>
              <w:noProof/>
              <w:lang w:val="es-CO" w:eastAsia="es-CO"/>
            </w:rPr>
          </w:pPr>
          <w:hyperlink w:anchor="_Toc505183099" w:history="1">
            <w:r w:rsidR="006C2935" w:rsidRPr="00E624B7">
              <w:rPr>
                <w:rStyle w:val="Hipervnculo"/>
                <w:rFonts w:cs="Arial"/>
                <w:noProof/>
              </w:rPr>
              <w:t>8.1.</w:t>
            </w:r>
            <w:r w:rsidR="006C2935">
              <w:rPr>
                <w:rFonts w:asciiTheme="minorHAnsi" w:eastAsiaTheme="minorEastAsia" w:hAnsiTheme="minorHAnsi" w:cstheme="minorBidi"/>
                <w:noProof/>
                <w:lang w:val="es-CO" w:eastAsia="es-CO"/>
              </w:rPr>
              <w:tab/>
            </w:r>
            <w:r w:rsidR="006C2935" w:rsidRPr="00E624B7">
              <w:rPr>
                <w:rStyle w:val="Hipervnculo"/>
                <w:rFonts w:cs="Arial"/>
                <w:noProof/>
              </w:rPr>
              <w:t>Grupo de Infraestructura Inmobiliaria</w:t>
            </w:r>
            <w:r w:rsidR="006C2935">
              <w:rPr>
                <w:noProof/>
                <w:webHidden/>
              </w:rPr>
              <w:tab/>
            </w:r>
            <w:r w:rsidR="006C2935">
              <w:rPr>
                <w:noProof/>
                <w:webHidden/>
              </w:rPr>
              <w:fldChar w:fldCharType="begin"/>
            </w:r>
            <w:r w:rsidR="006C2935">
              <w:rPr>
                <w:noProof/>
                <w:webHidden/>
              </w:rPr>
              <w:instrText xml:space="preserve"> PAGEREF _Toc505183099 \h </w:instrText>
            </w:r>
            <w:r w:rsidR="006C2935">
              <w:rPr>
                <w:noProof/>
                <w:webHidden/>
              </w:rPr>
            </w:r>
            <w:r w:rsidR="006C2935">
              <w:rPr>
                <w:noProof/>
                <w:webHidden/>
              </w:rPr>
              <w:fldChar w:fldCharType="separate"/>
            </w:r>
            <w:r w:rsidR="00DF7186">
              <w:rPr>
                <w:noProof/>
                <w:webHidden/>
              </w:rPr>
              <w:t>309</w:t>
            </w:r>
            <w:r w:rsidR="006C2935">
              <w:rPr>
                <w:noProof/>
                <w:webHidden/>
              </w:rPr>
              <w:fldChar w:fldCharType="end"/>
            </w:r>
          </w:hyperlink>
        </w:p>
        <w:p w:rsidR="006C2935" w:rsidRDefault="000E0283">
          <w:pPr>
            <w:pStyle w:val="TDC2"/>
            <w:tabs>
              <w:tab w:val="left" w:pos="880"/>
              <w:tab w:val="right" w:leader="dot" w:pos="9395"/>
            </w:tabs>
            <w:rPr>
              <w:rFonts w:asciiTheme="minorHAnsi" w:eastAsiaTheme="minorEastAsia" w:hAnsiTheme="minorHAnsi" w:cstheme="minorBidi"/>
              <w:noProof/>
              <w:lang w:val="es-CO" w:eastAsia="es-CO"/>
            </w:rPr>
          </w:pPr>
          <w:hyperlink w:anchor="_Toc505183100" w:history="1">
            <w:r w:rsidR="006C2935" w:rsidRPr="00E624B7">
              <w:rPr>
                <w:rStyle w:val="Hipervnculo"/>
                <w:rFonts w:cs="Arial"/>
                <w:noProof/>
              </w:rPr>
              <w:t>8.2.</w:t>
            </w:r>
            <w:r w:rsidR="006C2935">
              <w:rPr>
                <w:rFonts w:asciiTheme="minorHAnsi" w:eastAsiaTheme="minorEastAsia" w:hAnsiTheme="minorHAnsi" w:cstheme="minorBidi"/>
                <w:noProof/>
                <w:lang w:val="es-CO" w:eastAsia="es-CO"/>
              </w:rPr>
              <w:tab/>
            </w:r>
            <w:r w:rsidR="006C2935" w:rsidRPr="00E624B7">
              <w:rPr>
                <w:rStyle w:val="Hipervnculo"/>
                <w:rFonts w:cs="Arial"/>
                <w:noProof/>
              </w:rPr>
              <w:t>Eficiencia administrativa</w:t>
            </w:r>
            <w:r w:rsidR="006C2935">
              <w:rPr>
                <w:noProof/>
                <w:webHidden/>
              </w:rPr>
              <w:tab/>
            </w:r>
            <w:r w:rsidR="006C2935">
              <w:rPr>
                <w:noProof/>
                <w:webHidden/>
              </w:rPr>
              <w:fldChar w:fldCharType="begin"/>
            </w:r>
            <w:r w:rsidR="006C2935">
              <w:rPr>
                <w:noProof/>
                <w:webHidden/>
              </w:rPr>
              <w:instrText xml:space="preserve"> PAGEREF _Toc505183100 \h </w:instrText>
            </w:r>
            <w:r w:rsidR="006C2935">
              <w:rPr>
                <w:noProof/>
                <w:webHidden/>
              </w:rPr>
            </w:r>
            <w:r w:rsidR="006C2935">
              <w:rPr>
                <w:noProof/>
                <w:webHidden/>
              </w:rPr>
              <w:fldChar w:fldCharType="separate"/>
            </w:r>
            <w:r w:rsidR="00DF7186">
              <w:rPr>
                <w:noProof/>
                <w:webHidden/>
              </w:rPr>
              <w:t>320</w:t>
            </w:r>
            <w:r w:rsidR="006C2935">
              <w:rPr>
                <w:noProof/>
                <w:webHidden/>
              </w:rPr>
              <w:fldChar w:fldCharType="end"/>
            </w:r>
          </w:hyperlink>
        </w:p>
        <w:p w:rsidR="006C2935" w:rsidRDefault="000E0283">
          <w:pPr>
            <w:pStyle w:val="TDC3"/>
            <w:tabs>
              <w:tab w:val="left" w:pos="1320"/>
              <w:tab w:val="right" w:leader="dot" w:pos="9395"/>
            </w:tabs>
            <w:rPr>
              <w:rFonts w:asciiTheme="minorHAnsi" w:eastAsiaTheme="minorEastAsia" w:hAnsiTheme="minorHAnsi" w:cstheme="minorBidi"/>
              <w:noProof/>
              <w:lang w:val="es-CO" w:eastAsia="es-CO"/>
            </w:rPr>
          </w:pPr>
          <w:hyperlink w:anchor="_Toc505183101" w:history="1">
            <w:r w:rsidR="006C2935" w:rsidRPr="00E624B7">
              <w:rPr>
                <w:rStyle w:val="Hipervnculo"/>
                <w:rFonts w:cs="Arial"/>
                <w:noProof/>
              </w:rPr>
              <w:t>8.2.1.</w:t>
            </w:r>
            <w:r w:rsidR="006C2935">
              <w:rPr>
                <w:rFonts w:asciiTheme="minorHAnsi" w:eastAsiaTheme="minorEastAsia" w:hAnsiTheme="minorHAnsi" w:cstheme="minorBidi"/>
                <w:noProof/>
                <w:lang w:val="es-CO" w:eastAsia="es-CO"/>
              </w:rPr>
              <w:tab/>
            </w:r>
            <w:r w:rsidR="006C2935" w:rsidRPr="00E624B7">
              <w:rPr>
                <w:rStyle w:val="Hipervnculo"/>
                <w:rFonts w:cs="Arial"/>
                <w:noProof/>
              </w:rPr>
              <w:t>Estrategia Cero Papel</w:t>
            </w:r>
            <w:r w:rsidR="006C2935">
              <w:rPr>
                <w:noProof/>
                <w:webHidden/>
              </w:rPr>
              <w:tab/>
            </w:r>
            <w:r w:rsidR="006C2935">
              <w:rPr>
                <w:noProof/>
                <w:webHidden/>
              </w:rPr>
              <w:fldChar w:fldCharType="begin"/>
            </w:r>
            <w:r w:rsidR="006C2935">
              <w:rPr>
                <w:noProof/>
                <w:webHidden/>
              </w:rPr>
              <w:instrText xml:space="preserve"> PAGEREF _Toc505183101 \h </w:instrText>
            </w:r>
            <w:r w:rsidR="006C2935">
              <w:rPr>
                <w:noProof/>
                <w:webHidden/>
              </w:rPr>
            </w:r>
            <w:r w:rsidR="006C2935">
              <w:rPr>
                <w:noProof/>
                <w:webHidden/>
              </w:rPr>
              <w:fldChar w:fldCharType="separate"/>
            </w:r>
            <w:r w:rsidR="00DF7186">
              <w:rPr>
                <w:noProof/>
                <w:webHidden/>
              </w:rPr>
              <w:t>320</w:t>
            </w:r>
            <w:r w:rsidR="006C2935">
              <w:rPr>
                <w:noProof/>
                <w:webHidden/>
              </w:rPr>
              <w:fldChar w:fldCharType="end"/>
            </w:r>
          </w:hyperlink>
        </w:p>
        <w:p w:rsidR="006C2935" w:rsidRDefault="000E0283">
          <w:pPr>
            <w:pStyle w:val="TDC3"/>
            <w:tabs>
              <w:tab w:val="left" w:pos="1320"/>
              <w:tab w:val="right" w:leader="dot" w:pos="9395"/>
            </w:tabs>
            <w:rPr>
              <w:rFonts w:asciiTheme="minorHAnsi" w:eastAsiaTheme="minorEastAsia" w:hAnsiTheme="minorHAnsi" w:cstheme="minorBidi"/>
              <w:noProof/>
              <w:lang w:val="es-CO" w:eastAsia="es-CO"/>
            </w:rPr>
          </w:pPr>
          <w:hyperlink w:anchor="_Toc505183102" w:history="1">
            <w:r w:rsidR="006C2935" w:rsidRPr="00E624B7">
              <w:rPr>
                <w:rStyle w:val="Hipervnculo"/>
                <w:rFonts w:cs="Arial"/>
                <w:noProof/>
              </w:rPr>
              <w:t>8.2.2.</w:t>
            </w:r>
            <w:r w:rsidR="006C2935">
              <w:rPr>
                <w:rFonts w:asciiTheme="minorHAnsi" w:eastAsiaTheme="minorEastAsia" w:hAnsiTheme="minorHAnsi" w:cstheme="minorBidi"/>
                <w:noProof/>
                <w:lang w:val="es-CO" w:eastAsia="es-CO"/>
              </w:rPr>
              <w:tab/>
            </w:r>
            <w:r w:rsidR="006C2935" w:rsidRPr="00E624B7">
              <w:rPr>
                <w:rStyle w:val="Hipervnculo"/>
                <w:rFonts w:cs="Arial"/>
                <w:noProof/>
              </w:rPr>
              <w:t>Gestión Documental</w:t>
            </w:r>
            <w:r w:rsidR="006C2935">
              <w:rPr>
                <w:noProof/>
                <w:webHidden/>
              </w:rPr>
              <w:tab/>
            </w:r>
            <w:r w:rsidR="006C2935">
              <w:rPr>
                <w:noProof/>
                <w:webHidden/>
              </w:rPr>
              <w:fldChar w:fldCharType="begin"/>
            </w:r>
            <w:r w:rsidR="006C2935">
              <w:rPr>
                <w:noProof/>
                <w:webHidden/>
              </w:rPr>
              <w:instrText xml:space="preserve"> PAGEREF _Toc505183102 \h </w:instrText>
            </w:r>
            <w:r w:rsidR="006C2935">
              <w:rPr>
                <w:noProof/>
                <w:webHidden/>
              </w:rPr>
            </w:r>
            <w:r w:rsidR="006C2935">
              <w:rPr>
                <w:noProof/>
                <w:webHidden/>
              </w:rPr>
              <w:fldChar w:fldCharType="separate"/>
            </w:r>
            <w:r w:rsidR="00DF7186">
              <w:rPr>
                <w:noProof/>
                <w:webHidden/>
              </w:rPr>
              <w:t>322</w:t>
            </w:r>
            <w:r w:rsidR="006C2935">
              <w:rPr>
                <w:noProof/>
                <w:webHidden/>
              </w:rPr>
              <w:fldChar w:fldCharType="end"/>
            </w:r>
          </w:hyperlink>
        </w:p>
        <w:p w:rsidR="006C2935" w:rsidRDefault="000E0283">
          <w:pPr>
            <w:pStyle w:val="TDC2"/>
            <w:tabs>
              <w:tab w:val="left" w:pos="880"/>
              <w:tab w:val="right" w:leader="dot" w:pos="9395"/>
            </w:tabs>
            <w:rPr>
              <w:rFonts w:asciiTheme="minorHAnsi" w:eastAsiaTheme="minorEastAsia" w:hAnsiTheme="minorHAnsi" w:cstheme="minorBidi"/>
              <w:noProof/>
              <w:lang w:val="es-CO" w:eastAsia="es-CO"/>
            </w:rPr>
          </w:pPr>
          <w:hyperlink w:anchor="_Toc505183103" w:history="1">
            <w:r w:rsidR="006C2935" w:rsidRPr="00E624B7">
              <w:rPr>
                <w:rStyle w:val="Hipervnculo"/>
                <w:rFonts w:cs="Arial"/>
                <w:noProof/>
              </w:rPr>
              <w:t>8.3.</w:t>
            </w:r>
            <w:r w:rsidR="006C2935">
              <w:rPr>
                <w:rFonts w:asciiTheme="minorHAnsi" w:eastAsiaTheme="minorEastAsia" w:hAnsiTheme="minorHAnsi" w:cstheme="minorBidi"/>
                <w:noProof/>
                <w:lang w:val="es-CO" w:eastAsia="es-CO"/>
              </w:rPr>
              <w:tab/>
            </w:r>
            <w:r w:rsidR="006C2935" w:rsidRPr="00E624B7">
              <w:rPr>
                <w:rStyle w:val="Hipervnculo"/>
                <w:rFonts w:cs="Arial"/>
                <w:noProof/>
              </w:rPr>
              <w:t>Gestión de la Calidad</w:t>
            </w:r>
            <w:r w:rsidR="006C2935">
              <w:rPr>
                <w:noProof/>
                <w:webHidden/>
              </w:rPr>
              <w:tab/>
            </w:r>
            <w:r w:rsidR="006C2935">
              <w:rPr>
                <w:noProof/>
                <w:webHidden/>
              </w:rPr>
              <w:fldChar w:fldCharType="begin"/>
            </w:r>
            <w:r w:rsidR="006C2935">
              <w:rPr>
                <w:noProof/>
                <w:webHidden/>
              </w:rPr>
              <w:instrText xml:space="preserve"> PAGEREF _Toc505183103 \h </w:instrText>
            </w:r>
            <w:r w:rsidR="006C2935">
              <w:rPr>
                <w:noProof/>
                <w:webHidden/>
              </w:rPr>
            </w:r>
            <w:r w:rsidR="006C2935">
              <w:rPr>
                <w:noProof/>
                <w:webHidden/>
              </w:rPr>
              <w:fldChar w:fldCharType="separate"/>
            </w:r>
            <w:r w:rsidR="00DF7186">
              <w:rPr>
                <w:noProof/>
                <w:webHidden/>
              </w:rPr>
              <w:t>327</w:t>
            </w:r>
            <w:r w:rsidR="006C2935">
              <w:rPr>
                <w:noProof/>
                <w:webHidden/>
              </w:rPr>
              <w:fldChar w:fldCharType="end"/>
            </w:r>
          </w:hyperlink>
        </w:p>
        <w:p w:rsidR="006C2935" w:rsidRDefault="000E0283">
          <w:pPr>
            <w:pStyle w:val="TDC2"/>
            <w:tabs>
              <w:tab w:val="left" w:pos="880"/>
              <w:tab w:val="right" w:leader="dot" w:pos="9395"/>
            </w:tabs>
            <w:rPr>
              <w:rFonts w:asciiTheme="minorHAnsi" w:eastAsiaTheme="minorEastAsia" w:hAnsiTheme="minorHAnsi" w:cstheme="minorBidi"/>
              <w:noProof/>
              <w:lang w:val="es-CO" w:eastAsia="es-CO"/>
            </w:rPr>
          </w:pPr>
          <w:hyperlink w:anchor="_Toc505183104" w:history="1">
            <w:r w:rsidR="006C2935" w:rsidRPr="00E624B7">
              <w:rPr>
                <w:rStyle w:val="Hipervnculo"/>
                <w:rFonts w:cs="Arial"/>
                <w:noProof/>
              </w:rPr>
              <w:t>8.4.</w:t>
            </w:r>
            <w:r w:rsidR="006C2935">
              <w:rPr>
                <w:rFonts w:asciiTheme="minorHAnsi" w:eastAsiaTheme="minorEastAsia" w:hAnsiTheme="minorHAnsi" w:cstheme="minorBidi"/>
                <w:noProof/>
                <w:lang w:val="es-CO" w:eastAsia="es-CO"/>
              </w:rPr>
              <w:tab/>
            </w:r>
            <w:r w:rsidR="006C2935" w:rsidRPr="00E624B7">
              <w:rPr>
                <w:rStyle w:val="Hipervnculo"/>
                <w:rFonts w:cs="Arial"/>
                <w:noProof/>
                <w:lang w:eastAsia="es-CO"/>
              </w:rPr>
              <w:t>LOGROS 2017</w:t>
            </w:r>
            <w:r w:rsidR="006C2935">
              <w:rPr>
                <w:noProof/>
                <w:webHidden/>
              </w:rPr>
              <w:tab/>
            </w:r>
            <w:r w:rsidR="006C2935">
              <w:rPr>
                <w:noProof/>
                <w:webHidden/>
              </w:rPr>
              <w:fldChar w:fldCharType="begin"/>
            </w:r>
            <w:r w:rsidR="006C2935">
              <w:rPr>
                <w:noProof/>
                <w:webHidden/>
              </w:rPr>
              <w:instrText xml:space="preserve"> PAGEREF _Toc505183104 \h </w:instrText>
            </w:r>
            <w:r w:rsidR="006C2935">
              <w:rPr>
                <w:noProof/>
                <w:webHidden/>
              </w:rPr>
            </w:r>
            <w:r w:rsidR="006C2935">
              <w:rPr>
                <w:noProof/>
                <w:webHidden/>
              </w:rPr>
              <w:fldChar w:fldCharType="separate"/>
            </w:r>
            <w:r w:rsidR="00DF7186">
              <w:rPr>
                <w:noProof/>
                <w:webHidden/>
              </w:rPr>
              <w:t>329</w:t>
            </w:r>
            <w:r w:rsidR="006C2935">
              <w:rPr>
                <w:noProof/>
                <w:webHidden/>
              </w:rPr>
              <w:fldChar w:fldCharType="end"/>
            </w:r>
          </w:hyperlink>
        </w:p>
        <w:p w:rsidR="006C2935" w:rsidRDefault="000E0283">
          <w:pPr>
            <w:pStyle w:val="TDC2"/>
            <w:tabs>
              <w:tab w:val="left" w:pos="880"/>
              <w:tab w:val="right" w:leader="dot" w:pos="9395"/>
            </w:tabs>
            <w:rPr>
              <w:rFonts w:asciiTheme="minorHAnsi" w:eastAsiaTheme="minorEastAsia" w:hAnsiTheme="minorHAnsi" w:cstheme="minorBidi"/>
              <w:noProof/>
              <w:lang w:val="es-CO" w:eastAsia="es-CO"/>
            </w:rPr>
          </w:pPr>
          <w:hyperlink w:anchor="_Toc505183105" w:history="1">
            <w:r w:rsidR="006C2935" w:rsidRPr="00E624B7">
              <w:rPr>
                <w:rStyle w:val="Hipervnculo"/>
                <w:rFonts w:cs="Arial"/>
                <w:noProof/>
              </w:rPr>
              <w:t>8.5.</w:t>
            </w:r>
            <w:r w:rsidR="006C2935">
              <w:rPr>
                <w:rFonts w:asciiTheme="minorHAnsi" w:eastAsiaTheme="minorEastAsia" w:hAnsiTheme="minorHAnsi" w:cstheme="minorBidi"/>
                <w:noProof/>
                <w:lang w:val="es-CO" w:eastAsia="es-CO"/>
              </w:rPr>
              <w:tab/>
            </w:r>
            <w:r w:rsidR="006C2935" w:rsidRPr="00E624B7">
              <w:rPr>
                <w:rStyle w:val="Hipervnculo"/>
                <w:rFonts w:cs="Arial"/>
                <w:noProof/>
              </w:rPr>
              <w:t>RETOS 2018</w:t>
            </w:r>
            <w:r w:rsidR="006C2935">
              <w:rPr>
                <w:noProof/>
                <w:webHidden/>
              </w:rPr>
              <w:tab/>
            </w:r>
            <w:r w:rsidR="006C2935">
              <w:rPr>
                <w:noProof/>
                <w:webHidden/>
              </w:rPr>
              <w:fldChar w:fldCharType="begin"/>
            </w:r>
            <w:r w:rsidR="006C2935">
              <w:rPr>
                <w:noProof/>
                <w:webHidden/>
              </w:rPr>
              <w:instrText xml:space="preserve"> PAGEREF _Toc505183105 \h </w:instrText>
            </w:r>
            <w:r w:rsidR="006C2935">
              <w:rPr>
                <w:noProof/>
                <w:webHidden/>
              </w:rPr>
            </w:r>
            <w:r w:rsidR="006C2935">
              <w:rPr>
                <w:noProof/>
                <w:webHidden/>
              </w:rPr>
              <w:fldChar w:fldCharType="separate"/>
            </w:r>
            <w:r w:rsidR="00DF7186">
              <w:rPr>
                <w:noProof/>
                <w:webHidden/>
              </w:rPr>
              <w:t>331</w:t>
            </w:r>
            <w:r w:rsidR="006C2935">
              <w:rPr>
                <w:noProof/>
                <w:webHidden/>
              </w:rPr>
              <w:fldChar w:fldCharType="end"/>
            </w:r>
          </w:hyperlink>
        </w:p>
        <w:p w:rsidR="006C2935" w:rsidRDefault="000E0283">
          <w:pPr>
            <w:pStyle w:val="TDC1"/>
            <w:rPr>
              <w:rFonts w:asciiTheme="minorHAnsi" w:eastAsiaTheme="minorEastAsia" w:hAnsiTheme="minorHAnsi" w:cstheme="minorBidi"/>
              <w:bCs w:val="0"/>
              <w:kern w:val="0"/>
              <w:lang w:val="es-CO" w:eastAsia="es-CO"/>
            </w:rPr>
          </w:pPr>
          <w:hyperlink w:anchor="_Toc505183106" w:history="1">
            <w:r w:rsidR="006C2935" w:rsidRPr="00E624B7">
              <w:rPr>
                <w:rStyle w:val="Hipervnculo"/>
              </w:rPr>
              <w:t>9.</w:t>
            </w:r>
            <w:r w:rsidR="006C2935">
              <w:rPr>
                <w:rFonts w:asciiTheme="minorHAnsi" w:eastAsiaTheme="minorEastAsia" w:hAnsiTheme="minorHAnsi" w:cstheme="minorBidi"/>
                <w:bCs w:val="0"/>
                <w:kern w:val="0"/>
                <w:lang w:val="es-CO" w:eastAsia="es-CO"/>
              </w:rPr>
              <w:tab/>
            </w:r>
            <w:r w:rsidR="006C2935" w:rsidRPr="00E624B7">
              <w:rPr>
                <w:rStyle w:val="Hipervnculo"/>
              </w:rPr>
              <w:t>MODELO ESTANDAR DE CONTROL INTERNO – MECI OFICINA DE CONTROL INTERNO</w:t>
            </w:r>
            <w:r w:rsidR="006C2935">
              <w:rPr>
                <w:webHidden/>
              </w:rPr>
              <w:tab/>
            </w:r>
            <w:r w:rsidR="006C2935">
              <w:rPr>
                <w:webHidden/>
              </w:rPr>
              <w:fldChar w:fldCharType="begin"/>
            </w:r>
            <w:r w:rsidR="006C2935">
              <w:rPr>
                <w:webHidden/>
              </w:rPr>
              <w:instrText xml:space="preserve"> PAGEREF _Toc505183106 \h </w:instrText>
            </w:r>
            <w:r w:rsidR="006C2935">
              <w:rPr>
                <w:webHidden/>
              </w:rPr>
            </w:r>
            <w:r w:rsidR="006C2935">
              <w:rPr>
                <w:webHidden/>
              </w:rPr>
              <w:fldChar w:fldCharType="separate"/>
            </w:r>
            <w:r w:rsidR="00DF7186">
              <w:rPr>
                <w:webHidden/>
              </w:rPr>
              <w:t>333</w:t>
            </w:r>
            <w:r w:rsidR="006C2935">
              <w:rPr>
                <w:webHidden/>
              </w:rPr>
              <w:fldChar w:fldCharType="end"/>
            </w:r>
          </w:hyperlink>
        </w:p>
        <w:p w:rsidR="006C2935" w:rsidRDefault="000E0283">
          <w:pPr>
            <w:pStyle w:val="TDC2"/>
            <w:tabs>
              <w:tab w:val="left" w:pos="880"/>
              <w:tab w:val="right" w:leader="dot" w:pos="9395"/>
            </w:tabs>
            <w:rPr>
              <w:rFonts w:asciiTheme="minorHAnsi" w:eastAsiaTheme="minorEastAsia" w:hAnsiTheme="minorHAnsi" w:cstheme="minorBidi"/>
              <w:noProof/>
              <w:lang w:val="es-CO" w:eastAsia="es-CO"/>
            </w:rPr>
          </w:pPr>
          <w:hyperlink w:anchor="_Toc505183107" w:history="1">
            <w:r w:rsidR="006C2935" w:rsidRPr="00E624B7">
              <w:rPr>
                <w:rStyle w:val="Hipervnculo"/>
                <w:rFonts w:cs="Arial"/>
                <w:noProof/>
              </w:rPr>
              <w:t>9.1.</w:t>
            </w:r>
            <w:r w:rsidR="006C2935">
              <w:rPr>
                <w:rFonts w:asciiTheme="minorHAnsi" w:eastAsiaTheme="minorEastAsia" w:hAnsiTheme="minorHAnsi" w:cstheme="minorBidi"/>
                <w:noProof/>
                <w:lang w:val="es-CO" w:eastAsia="es-CO"/>
              </w:rPr>
              <w:tab/>
            </w:r>
            <w:r w:rsidR="006C2935" w:rsidRPr="00E624B7">
              <w:rPr>
                <w:rStyle w:val="Hipervnculo"/>
                <w:rFonts w:cs="Arial"/>
                <w:noProof/>
              </w:rPr>
              <w:t>LOGROS 2017</w:t>
            </w:r>
            <w:r w:rsidR="006C2935">
              <w:rPr>
                <w:noProof/>
                <w:webHidden/>
              </w:rPr>
              <w:tab/>
            </w:r>
            <w:r w:rsidR="006C2935">
              <w:rPr>
                <w:noProof/>
                <w:webHidden/>
              </w:rPr>
              <w:fldChar w:fldCharType="begin"/>
            </w:r>
            <w:r w:rsidR="006C2935">
              <w:rPr>
                <w:noProof/>
                <w:webHidden/>
              </w:rPr>
              <w:instrText xml:space="preserve"> PAGEREF _Toc505183107 \h </w:instrText>
            </w:r>
            <w:r w:rsidR="006C2935">
              <w:rPr>
                <w:noProof/>
                <w:webHidden/>
              </w:rPr>
            </w:r>
            <w:r w:rsidR="006C2935">
              <w:rPr>
                <w:noProof/>
                <w:webHidden/>
              </w:rPr>
              <w:fldChar w:fldCharType="separate"/>
            </w:r>
            <w:r w:rsidR="00DF7186">
              <w:rPr>
                <w:noProof/>
                <w:webHidden/>
              </w:rPr>
              <w:t>345</w:t>
            </w:r>
            <w:r w:rsidR="006C2935">
              <w:rPr>
                <w:noProof/>
                <w:webHidden/>
              </w:rPr>
              <w:fldChar w:fldCharType="end"/>
            </w:r>
          </w:hyperlink>
        </w:p>
        <w:p w:rsidR="006C2935" w:rsidRDefault="000E0283">
          <w:pPr>
            <w:pStyle w:val="TDC2"/>
            <w:tabs>
              <w:tab w:val="left" w:pos="880"/>
              <w:tab w:val="right" w:leader="dot" w:pos="9395"/>
            </w:tabs>
            <w:rPr>
              <w:rFonts w:asciiTheme="minorHAnsi" w:eastAsiaTheme="minorEastAsia" w:hAnsiTheme="minorHAnsi" w:cstheme="minorBidi"/>
              <w:noProof/>
              <w:lang w:val="es-CO" w:eastAsia="es-CO"/>
            </w:rPr>
          </w:pPr>
          <w:hyperlink w:anchor="_Toc505183108" w:history="1">
            <w:r w:rsidR="006C2935" w:rsidRPr="00E624B7">
              <w:rPr>
                <w:rStyle w:val="Hipervnculo"/>
                <w:rFonts w:cs="Arial"/>
                <w:noProof/>
              </w:rPr>
              <w:t>9.2.</w:t>
            </w:r>
            <w:r w:rsidR="006C2935">
              <w:rPr>
                <w:rFonts w:asciiTheme="minorHAnsi" w:eastAsiaTheme="minorEastAsia" w:hAnsiTheme="minorHAnsi" w:cstheme="minorBidi"/>
                <w:noProof/>
                <w:lang w:val="es-CO" w:eastAsia="es-CO"/>
              </w:rPr>
              <w:tab/>
            </w:r>
            <w:r w:rsidR="006C2935" w:rsidRPr="00E624B7">
              <w:rPr>
                <w:rStyle w:val="Hipervnculo"/>
                <w:rFonts w:cs="Arial"/>
                <w:noProof/>
              </w:rPr>
              <w:t>RETOS 2018</w:t>
            </w:r>
            <w:r w:rsidR="006C2935">
              <w:rPr>
                <w:noProof/>
                <w:webHidden/>
              </w:rPr>
              <w:tab/>
            </w:r>
            <w:r w:rsidR="006C2935">
              <w:rPr>
                <w:noProof/>
                <w:webHidden/>
              </w:rPr>
              <w:fldChar w:fldCharType="begin"/>
            </w:r>
            <w:r w:rsidR="006C2935">
              <w:rPr>
                <w:noProof/>
                <w:webHidden/>
              </w:rPr>
              <w:instrText xml:space="preserve"> PAGEREF _Toc505183108 \h </w:instrText>
            </w:r>
            <w:r w:rsidR="006C2935">
              <w:rPr>
                <w:noProof/>
                <w:webHidden/>
              </w:rPr>
            </w:r>
            <w:r w:rsidR="006C2935">
              <w:rPr>
                <w:noProof/>
                <w:webHidden/>
              </w:rPr>
              <w:fldChar w:fldCharType="separate"/>
            </w:r>
            <w:r w:rsidR="00DF7186">
              <w:rPr>
                <w:noProof/>
                <w:webHidden/>
              </w:rPr>
              <w:t>345</w:t>
            </w:r>
            <w:r w:rsidR="006C2935">
              <w:rPr>
                <w:noProof/>
                <w:webHidden/>
              </w:rPr>
              <w:fldChar w:fldCharType="end"/>
            </w:r>
          </w:hyperlink>
        </w:p>
        <w:p w:rsidR="006C2935" w:rsidRDefault="000E0283">
          <w:pPr>
            <w:pStyle w:val="TDC1"/>
            <w:rPr>
              <w:rFonts w:asciiTheme="minorHAnsi" w:eastAsiaTheme="minorEastAsia" w:hAnsiTheme="minorHAnsi" w:cstheme="minorBidi"/>
              <w:bCs w:val="0"/>
              <w:kern w:val="0"/>
              <w:lang w:val="es-CO" w:eastAsia="es-CO"/>
            </w:rPr>
          </w:pPr>
          <w:hyperlink w:anchor="_Toc505183109" w:history="1">
            <w:r w:rsidR="006C2935" w:rsidRPr="00E624B7">
              <w:rPr>
                <w:rStyle w:val="Hipervnculo"/>
              </w:rPr>
              <w:t>10.</w:t>
            </w:r>
            <w:r w:rsidR="006C2935">
              <w:rPr>
                <w:rFonts w:asciiTheme="minorHAnsi" w:eastAsiaTheme="minorEastAsia" w:hAnsiTheme="minorHAnsi" w:cstheme="minorBidi"/>
                <w:bCs w:val="0"/>
                <w:kern w:val="0"/>
                <w:lang w:val="es-CO" w:eastAsia="es-CO"/>
              </w:rPr>
              <w:tab/>
            </w:r>
            <w:r w:rsidR="006C2935" w:rsidRPr="00E624B7">
              <w:rPr>
                <w:rStyle w:val="Hipervnculo"/>
              </w:rPr>
              <w:t>GESTIÓN DE LA INFORMACIÓN Y TECNOLOGÍA</w:t>
            </w:r>
            <w:r w:rsidR="006C2935">
              <w:rPr>
                <w:webHidden/>
              </w:rPr>
              <w:tab/>
            </w:r>
            <w:r w:rsidR="006C2935">
              <w:rPr>
                <w:webHidden/>
              </w:rPr>
              <w:fldChar w:fldCharType="begin"/>
            </w:r>
            <w:r w:rsidR="006C2935">
              <w:rPr>
                <w:webHidden/>
              </w:rPr>
              <w:instrText xml:space="preserve"> PAGEREF _Toc505183109 \h </w:instrText>
            </w:r>
            <w:r w:rsidR="006C2935">
              <w:rPr>
                <w:webHidden/>
              </w:rPr>
            </w:r>
            <w:r w:rsidR="006C2935">
              <w:rPr>
                <w:webHidden/>
              </w:rPr>
              <w:fldChar w:fldCharType="separate"/>
            </w:r>
            <w:r w:rsidR="00DF7186">
              <w:rPr>
                <w:webHidden/>
              </w:rPr>
              <w:t>346</w:t>
            </w:r>
            <w:r w:rsidR="006C2935">
              <w:rPr>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110" w:history="1">
            <w:r w:rsidR="006C2935" w:rsidRPr="00E624B7">
              <w:rPr>
                <w:rStyle w:val="Hipervnculo"/>
                <w:rFonts w:cs="Arial"/>
                <w:noProof/>
              </w:rPr>
              <w:t>10.1.</w:t>
            </w:r>
            <w:r w:rsidR="006C2935">
              <w:rPr>
                <w:rFonts w:asciiTheme="minorHAnsi" w:eastAsiaTheme="minorEastAsia" w:hAnsiTheme="minorHAnsi" w:cstheme="minorBidi"/>
                <w:noProof/>
                <w:lang w:val="es-CO" w:eastAsia="es-CO"/>
              </w:rPr>
              <w:tab/>
            </w:r>
            <w:r w:rsidR="006C2935" w:rsidRPr="00E624B7">
              <w:rPr>
                <w:rStyle w:val="Hipervnculo"/>
                <w:rFonts w:cs="Arial"/>
                <w:noProof/>
              </w:rPr>
              <w:t>Información y comunicación interna y externa</w:t>
            </w:r>
            <w:r w:rsidR="006C2935">
              <w:rPr>
                <w:noProof/>
                <w:webHidden/>
              </w:rPr>
              <w:tab/>
            </w:r>
            <w:r w:rsidR="006C2935">
              <w:rPr>
                <w:noProof/>
                <w:webHidden/>
              </w:rPr>
              <w:fldChar w:fldCharType="begin"/>
            </w:r>
            <w:r w:rsidR="006C2935">
              <w:rPr>
                <w:noProof/>
                <w:webHidden/>
              </w:rPr>
              <w:instrText xml:space="preserve"> PAGEREF _Toc505183110 \h </w:instrText>
            </w:r>
            <w:r w:rsidR="006C2935">
              <w:rPr>
                <w:noProof/>
                <w:webHidden/>
              </w:rPr>
            </w:r>
            <w:r w:rsidR="006C2935">
              <w:rPr>
                <w:noProof/>
                <w:webHidden/>
              </w:rPr>
              <w:fldChar w:fldCharType="separate"/>
            </w:r>
            <w:r w:rsidR="00DF7186">
              <w:rPr>
                <w:noProof/>
                <w:webHidden/>
              </w:rPr>
              <w:t>346</w:t>
            </w:r>
            <w:r w:rsidR="006C2935">
              <w:rPr>
                <w:noProof/>
                <w:webHidden/>
              </w:rPr>
              <w:fldChar w:fldCharType="end"/>
            </w:r>
          </w:hyperlink>
        </w:p>
        <w:p w:rsidR="006C2935" w:rsidRDefault="000E0283">
          <w:pPr>
            <w:pStyle w:val="TDC1"/>
            <w:rPr>
              <w:rFonts w:asciiTheme="minorHAnsi" w:eastAsiaTheme="minorEastAsia" w:hAnsiTheme="minorHAnsi" w:cstheme="minorBidi"/>
              <w:bCs w:val="0"/>
              <w:kern w:val="0"/>
              <w:lang w:val="es-CO" w:eastAsia="es-CO"/>
            </w:rPr>
          </w:pPr>
          <w:hyperlink w:anchor="_Toc505183111" w:history="1">
            <w:r w:rsidR="006C2935" w:rsidRPr="00E624B7">
              <w:rPr>
                <w:rStyle w:val="Hipervnculo"/>
              </w:rPr>
              <w:t>11.</w:t>
            </w:r>
            <w:r w:rsidR="006C2935">
              <w:rPr>
                <w:rFonts w:asciiTheme="minorHAnsi" w:eastAsiaTheme="minorEastAsia" w:hAnsiTheme="minorHAnsi" w:cstheme="minorBidi"/>
                <w:bCs w:val="0"/>
                <w:kern w:val="0"/>
                <w:lang w:val="es-CO" w:eastAsia="es-CO"/>
              </w:rPr>
              <w:tab/>
            </w:r>
            <w:r w:rsidR="006C2935" w:rsidRPr="00E624B7">
              <w:rPr>
                <w:rStyle w:val="Hipervnculo"/>
              </w:rPr>
              <w:t>GESTIÓN REGIONAL</w:t>
            </w:r>
            <w:r w:rsidR="006C2935">
              <w:rPr>
                <w:webHidden/>
              </w:rPr>
              <w:tab/>
            </w:r>
            <w:r w:rsidR="006C2935">
              <w:rPr>
                <w:webHidden/>
              </w:rPr>
              <w:fldChar w:fldCharType="begin"/>
            </w:r>
            <w:r w:rsidR="006C2935">
              <w:rPr>
                <w:webHidden/>
              </w:rPr>
              <w:instrText xml:space="preserve"> PAGEREF _Toc505183111 \h </w:instrText>
            </w:r>
            <w:r w:rsidR="006C2935">
              <w:rPr>
                <w:webHidden/>
              </w:rPr>
            </w:r>
            <w:r w:rsidR="006C2935">
              <w:rPr>
                <w:webHidden/>
              </w:rPr>
              <w:fldChar w:fldCharType="separate"/>
            </w:r>
            <w:r w:rsidR="00DF7186">
              <w:rPr>
                <w:webHidden/>
              </w:rPr>
              <w:t>353</w:t>
            </w:r>
            <w:r w:rsidR="006C2935">
              <w:rPr>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112" w:history="1">
            <w:r w:rsidR="006C2935" w:rsidRPr="00E624B7">
              <w:rPr>
                <w:rStyle w:val="Hipervnculo"/>
                <w:rFonts w:cs="Arial"/>
                <w:noProof/>
              </w:rPr>
              <w:t>11.1.</w:t>
            </w:r>
            <w:r w:rsidR="006C2935">
              <w:rPr>
                <w:rFonts w:asciiTheme="minorHAnsi" w:eastAsiaTheme="minorEastAsia" w:hAnsiTheme="minorHAnsi" w:cstheme="minorBidi"/>
                <w:noProof/>
                <w:lang w:val="es-CO" w:eastAsia="es-CO"/>
              </w:rPr>
              <w:tab/>
            </w:r>
            <w:r w:rsidR="006C2935" w:rsidRPr="00E624B7">
              <w:rPr>
                <w:rStyle w:val="Hipervnculo"/>
                <w:rFonts w:cs="Arial"/>
                <w:noProof/>
              </w:rPr>
              <w:t>LOGROS 2017:</w:t>
            </w:r>
            <w:r w:rsidR="006C2935">
              <w:rPr>
                <w:noProof/>
                <w:webHidden/>
              </w:rPr>
              <w:tab/>
            </w:r>
            <w:r w:rsidR="006C2935">
              <w:rPr>
                <w:noProof/>
                <w:webHidden/>
              </w:rPr>
              <w:fldChar w:fldCharType="begin"/>
            </w:r>
            <w:r w:rsidR="006C2935">
              <w:rPr>
                <w:noProof/>
                <w:webHidden/>
              </w:rPr>
              <w:instrText xml:space="preserve"> PAGEREF _Toc505183112 \h </w:instrText>
            </w:r>
            <w:r w:rsidR="006C2935">
              <w:rPr>
                <w:noProof/>
                <w:webHidden/>
              </w:rPr>
            </w:r>
            <w:r w:rsidR="006C2935">
              <w:rPr>
                <w:noProof/>
                <w:webHidden/>
              </w:rPr>
              <w:fldChar w:fldCharType="separate"/>
            </w:r>
            <w:r w:rsidR="00DF7186">
              <w:rPr>
                <w:noProof/>
                <w:webHidden/>
              </w:rPr>
              <w:t>353</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113" w:history="1">
            <w:r w:rsidR="006C2935" w:rsidRPr="00E624B7">
              <w:rPr>
                <w:rStyle w:val="Hipervnculo"/>
                <w:rFonts w:cs="Arial"/>
                <w:noProof/>
              </w:rPr>
              <w:t>11.2.</w:t>
            </w:r>
            <w:r w:rsidR="006C2935">
              <w:rPr>
                <w:rFonts w:asciiTheme="minorHAnsi" w:eastAsiaTheme="minorEastAsia" w:hAnsiTheme="minorHAnsi" w:cstheme="minorBidi"/>
                <w:noProof/>
                <w:lang w:val="es-CO" w:eastAsia="es-CO"/>
              </w:rPr>
              <w:tab/>
            </w:r>
            <w:r w:rsidR="006C2935" w:rsidRPr="00E624B7">
              <w:rPr>
                <w:rStyle w:val="Hipervnculo"/>
                <w:rFonts w:cs="Arial"/>
                <w:noProof/>
              </w:rPr>
              <w:t>RETOS 2018:</w:t>
            </w:r>
            <w:r w:rsidR="006C2935">
              <w:rPr>
                <w:noProof/>
                <w:webHidden/>
              </w:rPr>
              <w:tab/>
            </w:r>
            <w:r w:rsidR="006C2935">
              <w:rPr>
                <w:noProof/>
                <w:webHidden/>
              </w:rPr>
              <w:fldChar w:fldCharType="begin"/>
            </w:r>
            <w:r w:rsidR="006C2935">
              <w:rPr>
                <w:noProof/>
                <w:webHidden/>
              </w:rPr>
              <w:instrText xml:space="preserve"> PAGEREF _Toc505183113 \h </w:instrText>
            </w:r>
            <w:r w:rsidR="006C2935">
              <w:rPr>
                <w:noProof/>
                <w:webHidden/>
              </w:rPr>
            </w:r>
            <w:r w:rsidR="006C2935">
              <w:rPr>
                <w:noProof/>
                <w:webHidden/>
              </w:rPr>
              <w:fldChar w:fldCharType="separate"/>
            </w:r>
            <w:r w:rsidR="00DF7186">
              <w:rPr>
                <w:noProof/>
                <w:webHidden/>
              </w:rPr>
              <w:t>354</w:t>
            </w:r>
            <w:r w:rsidR="006C2935">
              <w:rPr>
                <w:noProof/>
                <w:webHidden/>
              </w:rPr>
              <w:fldChar w:fldCharType="end"/>
            </w:r>
          </w:hyperlink>
        </w:p>
        <w:p w:rsidR="006C2935" w:rsidRDefault="000E0283">
          <w:pPr>
            <w:pStyle w:val="TDC1"/>
            <w:rPr>
              <w:rFonts w:asciiTheme="minorHAnsi" w:eastAsiaTheme="minorEastAsia" w:hAnsiTheme="minorHAnsi" w:cstheme="minorBidi"/>
              <w:bCs w:val="0"/>
              <w:kern w:val="0"/>
              <w:lang w:val="es-CO" w:eastAsia="es-CO"/>
            </w:rPr>
          </w:pPr>
          <w:hyperlink w:anchor="_Toc505183114" w:history="1">
            <w:r w:rsidR="006C2935" w:rsidRPr="00E624B7">
              <w:rPr>
                <w:rStyle w:val="Hipervnculo"/>
              </w:rPr>
              <w:t>12.</w:t>
            </w:r>
            <w:r w:rsidR="006C2935">
              <w:rPr>
                <w:rFonts w:asciiTheme="minorHAnsi" w:eastAsiaTheme="minorEastAsia" w:hAnsiTheme="minorHAnsi" w:cstheme="minorBidi"/>
                <w:bCs w:val="0"/>
                <w:kern w:val="0"/>
                <w:lang w:val="es-CO" w:eastAsia="es-CO"/>
              </w:rPr>
              <w:tab/>
            </w:r>
            <w:r w:rsidR="006C2935" w:rsidRPr="00E624B7">
              <w:rPr>
                <w:rStyle w:val="Hipervnculo"/>
              </w:rPr>
              <w:t>GESTIÓN DE LA CONTRATACIÓN</w:t>
            </w:r>
            <w:r w:rsidR="006C2935">
              <w:rPr>
                <w:webHidden/>
              </w:rPr>
              <w:tab/>
            </w:r>
            <w:r w:rsidR="006C2935">
              <w:rPr>
                <w:webHidden/>
              </w:rPr>
              <w:fldChar w:fldCharType="begin"/>
            </w:r>
            <w:r w:rsidR="006C2935">
              <w:rPr>
                <w:webHidden/>
              </w:rPr>
              <w:instrText xml:space="preserve"> PAGEREF _Toc505183114 \h </w:instrText>
            </w:r>
            <w:r w:rsidR="006C2935">
              <w:rPr>
                <w:webHidden/>
              </w:rPr>
            </w:r>
            <w:r w:rsidR="006C2935">
              <w:rPr>
                <w:webHidden/>
              </w:rPr>
              <w:fldChar w:fldCharType="separate"/>
            </w:r>
            <w:r w:rsidR="00DF7186">
              <w:rPr>
                <w:webHidden/>
              </w:rPr>
              <w:t>355</w:t>
            </w:r>
            <w:r w:rsidR="006C2935">
              <w:rPr>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115" w:history="1">
            <w:r w:rsidR="006C2935" w:rsidRPr="00E624B7">
              <w:rPr>
                <w:rStyle w:val="Hipervnculo"/>
                <w:rFonts w:eastAsiaTheme="majorEastAsia" w:cs="Arial"/>
                <w:noProof/>
              </w:rPr>
              <w:t>12.1.</w:t>
            </w:r>
            <w:r w:rsidR="006C2935">
              <w:rPr>
                <w:rFonts w:asciiTheme="minorHAnsi" w:eastAsiaTheme="minorEastAsia" w:hAnsiTheme="minorHAnsi" w:cstheme="minorBidi"/>
                <w:noProof/>
                <w:lang w:val="es-CO" w:eastAsia="es-CO"/>
              </w:rPr>
              <w:tab/>
            </w:r>
            <w:r w:rsidR="006C2935" w:rsidRPr="00E624B7">
              <w:rPr>
                <w:rStyle w:val="Hipervnculo"/>
                <w:rFonts w:eastAsiaTheme="majorEastAsia" w:cs="Arial"/>
                <w:noProof/>
              </w:rPr>
              <w:t>LOGROS 2017</w:t>
            </w:r>
            <w:r w:rsidR="006C2935">
              <w:rPr>
                <w:noProof/>
                <w:webHidden/>
              </w:rPr>
              <w:tab/>
            </w:r>
            <w:r w:rsidR="006C2935">
              <w:rPr>
                <w:noProof/>
                <w:webHidden/>
              </w:rPr>
              <w:fldChar w:fldCharType="begin"/>
            </w:r>
            <w:r w:rsidR="006C2935">
              <w:rPr>
                <w:noProof/>
                <w:webHidden/>
              </w:rPr>
              <w:instrText xml:space="preserve"> PAGEREF _Toc505183115 \h </w:instrText>
            </w:r>
            <w:r w:rsidR="006C2935">
              <w:rPr>
                <w:noProof/>
                <w:webHidden/>
              </w:rPr>
            </w:r>
            <w:r w:rsidR="006C2935">
              <w:rPr>
                <w:noProof/>
                <w:webHidden/>
              </w:rPr>
              <w:fldChar w:fldCharType="separate"/>
            </w:r>
            <w:r w:rsidR="00DF7186">
              <w:rPr>
                <w:noProof/>
                <w:webHidden/>
              </w:rPr>
              <w:t>363</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116" w:history="1">
            <w:r w:rsidR="006C2935" w:rsidRPr="00E624B7">
              <w:rPr>
                <w:rStyle w:val="Hipervnculo"/>
                <w:rFonts w:eastAsiaTheme="majorEastAsia" w:cs="Arial"/>
                <w:noProof/>
              </w:rPr>
              <w:t>12.2.</w:t>
            </w:r>
            <w:r w:rsidR="006C2935">
              <w:rPr>
                <w:rFonts w:asciiTheme="minorHAnsi" w:eastAsiaTheme="minorEastAsia" w:hAnsiTheme="minorHAnsi" w:cstheme="minorBidi"/>
                <w:noProof/>
                <w:lang w:val="es-CO" w:eastAsia="es-CO"/>
              </w:rPr>
              <w:tab/>
            </w:r>
            <w:r w:rsidR="006C2935" w:rsidRPr="00E624B7">
              <w:rPr>
                <w:rStyle w:val="Hipervnculo"/>
                <w:rFonts w:eastAsiaTheme="majorEastAsia" w:cs="Arial"/>
                <w:noProof/>
              </w:rPr>
              <w:t>RETOS 2018:</w:t>
            </w:r>
            <w:r w:rsidR="006C2935">
              <w:rPr>
                <w:noProof/>
                <w:webHidden/>
              </w:rPr>
              <w:tab/>
            </w:r>
            <w:r w:rsidR="006C2935">
              <w:rPr>
                <w:noProof/>
                <w:webHidden/>
              </w:rPr>
              <w:fldChar w:fldCharType="begin"/>
            </w:r>
            <w:r w:rsidR="006C2935">
              <w:rPr>
                <w:noProof/>
                <w:webHidden/>
              </w:rPr>
              <w:instrText xml:space="preserve"> PAGEREF _Toc505183116 \h </w:instrText>
            </w:r>
            <w:r w:rsidR="006C2935">
              <w:rPr>
                <w:noProof/>
                <w:webHidden/>
              </w:rPr>
            </w:r>
            <w:r w:rsidR="006C2935">
              <w:rPr>
                <w:noProof/>
                <w:webHidden/>
              </w:rPr>
              <w:fldChar w:fldCharType="separate"/>
            </w:r>
            <w:r w:rsidR="00DF7186">
              <w:rPr>
                <w:noProof/>
                <w:webHidden/>
              </w:rPr>
              <w:t>365</w:t>
            </w:r>
            <w:r w:rsidR="006C2935">
              <w:rPr>
                <w:noProof/>
                <w:webHidden/>
              </w:rPr>
              <w:fldChar w:fldCharType="end"/>
            </w:r>
          </w:hyperlink>
        </w:p>
        <w:p w:rsidR="006C2935" w:rsidRDefault="000E0283">
          <w:pPr>
            <w:pStyle w:val="TDC1"/>
            <w:rPr>
              <w:rFonts w:asciiTheme="minorHAnsi" w:eastAsiaTheme="minorEastAsia" w:hAnsiTheme="minorHAnsi" w:cstheme="minorBidi"/>
              <w:bCs w:val="0"/>
              <w:kern w:val="0"/>
              <w:lang w:val="es-CO" w:eastAsia="es-CO"/>
            </w:rPr>
          </w:pPr>
          <w:hyperlink w:anchor="_Toc505183117" w:history="1">
            <w:r w:rsidR="006C2935" w:rsidRPr="00E624B7">
              <w:rPr>
                <w:rStyle w:val="Hipervnculo"/>
              </w:rPr>
              <w:t>13.</w:t>
            </w:r>
            <w:r w:rsidR="006C2935">
              <w:rPr>
                <w:rFonts w:asciiTheme="minorHAnsi" w:eastAsiaTheme="minorEastAsia" w:hAnsiTheme="minorHAnsi" w:cstheme="minorBidi"/>
                <w:bCs w:val="0"/>
                <w:kern w:val="0"/>
                <w:lang w:val="es-CO" w:eastAsia="es-CO"/>
              </w:rPr>
              <w:tab/>
            </w:r>
            <w:r w:rsidR="006C2935" w:rsidRPr="00E624B7">
              <w:rPr>
                <w:rStyle w:val="Hipervnculo"/>
              </w:rPr>
              <w:t>GESTIÓN DE COOPERACIÓN Y CONVENIOS</w:t>
            </w:r>
            <w:r w:rsidR="006C2935">
              <w:rPr>
                <w:webHidden/>
              </w:rPr>
              <w:tab/>
            </w:r>
            <w:r w:rsidR="006C2935">
              <w:rPr>
                <w:webHidden/>
              </w:rPr>
              <w:fldChar w:fldCharType="begin"/>
            </w:r>
            <w:r w:rsidR="006C2935">
              <w:rPr>
                <w:webHidden/>
              </w:rPr>
              <w:instrText xml:space="preserve"> PAGEREF _Toc505183117 \h </w:instrText>
            </w:r>
            <w:r w:rsidR="006C2935">
              <w:rPr>
                <w:webHidden/>
              </w:rPr>
            </w:r>
            <w:r w:rsidR="006C2935">
              <w:rPr>
                <w:webHidden/>
              </w:rPr>
              <w:fldChar w:fldCharType="separate"/>
            </w:r>
            <w:r w:rsidR="00DF7186">
              <w:rPr>
                <w:webHidden/>
              </w:rPr>
              <w:t>367</w:t>
            </w:r>
            <w:r w:rsidR="006C2935">
              <w:rPr>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118" w:history="1">
            <w:r w:rsidR="006C2935" w:rsidRPr="00E624B7">
              <w:rPr>
                <w:rStyle w:val="Hipervnculo"/>
                <w:rFonts w:cs="Arial"/>
                <w:noProof/>
              </w:rPr>
              <w:t>13.1.</w:t>
            </w:r>
            <w:r w:rsidR="006C2935">
              <w:rPr>
                <w:rFonts w:asciiTheme="minorHAnsi" w:eastAsiaTheme="minorEastAsia" w:hAnsiTheme="minorHAnsi" w:cstheme="minorBidi"/>
                <w:noProof/>
                <w:lang w:val="es-CO" w:eastAsia="es-CO"/>
              </w:rPr>
              <w:tab/>
            </w:r>
            <w:r w:rsidR="006C2935" w:rsidRPr="00E624B7">
              <w:rPr>
                <w:rStyle w:val="Hipervnculo"/>
                <w:rFonts w:cs="Arial"/>
                <w:noProof/>
              </w:rPr>
              <w:t>LOGROS 2017</w:t>
            </w:r>
            <w:r w:rsidR="006C2935">
              <w:rPr>
                <w:noProof/>
                <w:webHidden/>
              </w:rPr>
              <w:tab/>
            </w:r>
            <w:r w:rsidR="006C2935">
              <w:rPr>
                <w:noProof/>
                <w:webHidden/>
              </w:rPr>
              <w:fldChar w:fldCharType="begin"/>
            </w:r>
            <w:r w:rsidR="006C2935">
              <w:rPr>
                <w:noProof/>
                <w:webHidden/>
              </w:rPr>
              <w:instrText xml:space="preserve"> PAGEREF _Toc505183118 \h </w:instrText>
            </w:r>
            <w:r w:rsidR="006C2935">
              <w:rPr>
                <w:noProof/>
                <w:webHidden/>
              </w:rPr>
            </w:r>
            <w:r w:rsidR="006C2935">
              <w:rPr>
                <w:noProof/>
                <w:webHidden/>
              </w:rPr>
              <w:fldChar w:fldCharType="separate"/>
            </w:r>
            <w:r w:rsidR="00DF7186">
              <w:rPr>
                <w:noProof/>
                <w:webHidden/>
              </w:rPr>
              <w:t>368</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119" w:history="1">
            <w:r w:rsidR="006C2935" w:rsidRPr="00E624B7">
              <w:rPr>
                <w:rStyle w:val="Hipervnculo"/>
                <w:rFonts w:cs="Arial"/>
                <w:noProof/>
              </w:rPr>
              <w:t>13.2.</w:t>
            </w:r>
            <w:r w:rsidR="006C2935">
              <w:rPr>
                <w:rFonts w:asciiTheme="minorHAnsi" w:eastAsiaTheme="minorEastAsia" w:hAnsiTheme="minorHAnsi" w:cstheme="minorBidi"/>
                <w:noProof/>
                <w:lang w:val="es-CO" w:eastAsia="es-CO"/>
              </w:rPr>
              <w:tab/>
            </w:r>
            <w:r w:rsidR="006C2935" w:rsidRPr="00E624B7">
              <w:rPr>
                <w:rStyle w:val="Hipervnculo"/>
                <w:rFonts w:cs="Arial"/>
                <w:noProof/>
              </w:rPr>
              <w:t>RETOS 2018</w:t>
            </w:r>
            <w:r w:rsidR="006C2935">
              <w:rPr>
                <w:noProof/>
                <w:webHidden/>
              </w:rPr>
              <w:tab/>
            </w:r>
            <w:r w:rsidR="006C2935">
              <w:rPr>
                <w:noProof/>
                <w:webHidden/>
              </w:rPr>
              <w:fldChar w:fldCharType="begin"/>
            </w:r>
            <w:r w:rsidR="006C2935">
              <w:rPr>
                <w:noProof/>
                <w:webHidden/>
              </w:rPr>
              <w:instrText xml:space="preserve"> PAGEREF _Toc505183119 \h </w:instrText>
            </w:r>
            <w:r w:rsidR="006C2935">
              <w:rPr>
                <w:noProof/>
                <w:webHidden/>
              </w:rPr>
            </w:r>
            <w:r w:rsidR="006C2935">
              <w:rPr>
                <w:noProof/>
                <w:webHidden/>
              </w:rPr>
              <w:fldChar w:fldCharType="separate"/>
            </w:r>
            <w:r w:rsidR="00DF7186">
              <w:rPr>
                <w:noProof/>
                <w:webHidden/>
              </w:rPr>
              <w:t>369</w:t>
            </w:r>
            <w:r w:rsidR="006C2935">
              <w:rPr>
                <w:noProof/>
                <w:webHidden/>
              </w:rPr>
              <w:fldChar w:fldCharType="end"/>
            </w:r>
          </w:hyperlink>
        </w:p>
        <w:p w:rsidR="006C2935" w:rsidRDefault="000E0283">
          <w:pPr>
            <w:pStyle w:val="TDC1"/>
            <w:rPr>
              <w:rFonts w:asciiTheme="minorHAnsi" w:eastAsiaTheme="minorEastAsia" w:hAnsiTheme="minorHAnsi" w:cstheme="minorBidi"/>
              <w:bCs w:val="0"/>
              <w:kern w:val="0"/>
              <w:lang w:val="es-CO" w:eastAsia="es-CO"/>
            </w:rPr>
          </w:pPr>
          <w:hyperlink w:anchor="_Toc505183120" w:history="1">
            <w:r w:rsidR="006C2935" w:rsidRPr="00E624B7">
              <w:rPr>
                <w:rStyle w:val="Hipervnculo"/>
              </w:rPr>
              <w:t>14.</w:t>
            </w:r>
            <w:r w:rsidR="006C2935">
              <w:rPr>
                <w:rFonts w:asciiTheme="minorHAnsi" w:eastAsiaTheme="minorEastAsia" w:hAnsiTheme="minorHAnsi" w:cstheme="minorBidi"/>
                <w:bCs w:val="0"/>
                <w:kern w:val="0"/>
                <w:lang w:val="es-CO" w:eastAsia="es-CO"/>
              </w:rPr>
              <w:tab/>
            </w:r>
            <w:r w:rsidR="006C2935" w:rsidRPr="00E624B7">
              <w:rPr>
                <w:rStyle w:val="Hipervnculo"/>
              </w:rPr>
              <w:t>GESTIÓN COMUNICACIONES</w:t>
            </w:r>
            <w:r w:rsidR="006C2935">
              <w:rPr>
                <w:webHidden/>
              </w:rPr>
              <w:tab/>
            </w:r>
            <w:r w:rsidR="006C2935">
              <w:rPr>
                <w:webHidden/>
              </w:rPr>
              <w:fldChar w:fldCharType="begin"/>
            </w:r>
            <w:r w:rsidR="006C2935">
              <w:rPr>
                <w:webHidden/>
              </w:rPr>
              <w:instrText xml:space="preserve"> PAGEREF _Toc505183120 \h </w:instrText>
            </w:r>
            <w:r w:rsidR="006C2935">
              <w:rPr>
                <w:webHidden/>
              </w:rPr>
            </w:r>
            <w:r w:rsidR="006C2935">
              <w:rPr>
                <w:webHidden/>
              </w:rPr>
              <w:fldChar w:fldCharType="separate"/>
            </w:r>
            <w:r w:rsidR="00DF7186">
              <w:rPr>
                <w:webHidden/>
              </w:rPr>
              <w:t>369</w:t>
            </w:r>
            <w:r w:rsidR="006C2935">
              <w:rPr>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121" w:history="1">
            <w:r w:rsidR="006C2935" w:rsidRPr="00E624B7">
              <w:rPr>
                <w:rStyle w:val="Hipervnculo"/>
                <w:rFonts w:cs="Arial"/>
                <w:noProof/>
              </w:rPr>
              <w:t>14.1.</w:t>
            </w:r>
            <w:r w:rsidR="006C2935">
              <w:rPr>
                <w:rFonts w:asciiTheme="minorHAnsi" w:eastAsiaTheme="minorEastAsia" w:hAnsiTheme="minorHAnsi" w:cstheme="minorBidi"/>
                <w:noProof/>
                <w:lang w:val="es-CO" w:eastAsia="es-CO"/>
              </w:rPr>
              <w:tab/>
            </w:r>
            <w:r w:rsidR="006C2935" w:rsidRPr="00E624B7">
              <w:rPr>
                <w:rStyle w:val="Hipervnculo"/>
                <w:rFonts w:cs="Arial"/>
                <w:noProof/>
              </w:rPr>
              <w:t>LOGROS</w:t>
            </w:r>
            <w:r w:rsidR="006C2935">
              <w:rPr>
                <w:noProof/>
                <w:webHidden/>
              </w:rPr>
              <w:tab/>
            </w:r>
            <w:r w:rsidR="006C2935">
              <w:rPr>
                <w:noProof/>
                <w:webHidden/>
              </w:rPr>
              <w:fldChar w:fldCharType="begin"/>
            </w:r>
            <w:r w:rsidR="006C2935">
              <w:rPr>
                <w:noProof/>
                <w:webHidden/>
              </w:rPr>
              <w:instrText xml:space="preserve"> PAGEREF _Toc505183121 \h </w:instrText>
            </w:r>
            <w:r w:rsidR="006C2935">
              <w:rPr>
                <w:noProof/>
                <w:webHidden/>
              </w:rPr>
            </w:r>
            <w:r w:rsidR="006C2935">
              <w:rPr>
                <w:noProof/>
                <w:webHidden/>
              </w:rPr>
              <w:fldChar w:fldCharType="separate"/>
            </w:r>
            <w:r w:rsidR="00DF7186">
              <w:rPr>
                <w:noProof/>
                <w:webHidden/>
              </w:rPr>
              <w:t>372</w:t>
            </w:r>
            <w:r w:rsidR="006C2935">
              <w:rPr>
                <w:noProof/>
                <w:webHidden/>
              </w:rPr>
              <w:fldChar w:fldCharType="end"/>
            </w:r>
          </w:hyperlink>
        </w:p>
        <w:p w:rsidR="006C2935" w:rsidRDefault="000E0283">
          <w:pPr>
            <w:pStyle w:val="TDC2"/>
            <w:tabs>
              <w:tab w:val="left" w:pos="1100"/>
              <w:tab w:val="right" w:leader="dot" w:pos="9395"/>
            </w:tabs>
            <w:rPr>
              <w:rFonts w:asciiTheme="minorHAnsi" w:eastAsiaTheme="minorEastAsia" w:hAnsiTheme="minorHAnsi" w:cstheme="minorBidi"/>
              <w:noProof/>
              <w:lang w:val="es-CO" w:eastAsia="es-CO"/>
            </w:rPr>
          </w:pPr>
          <w:hyperlink w:anchor="_Toc505183122" w:history="1">
            <w:r w:rsidR="006C2935" w:rsidRPr="00E624B7">
              <w:rPr>
                <w:rStyle w:val="Hipervnculo"/>
                <w:rFonts w:cs="Arial"/>
                <w:noProof/>
              </w:rPr>
              <w:t>14.2.</w:t>
            </w:r>
            <w:r w:rsidR="006C2935">
              <w:rPr>
                <w:rFonts w:asciiTheme="minorHAnsi" w:eastAsiaTheme="minorEastAsia" w:hAnsiTheme="minorHAnsi" w:cstheme="minorBidi"/>
                <w:noProof/>
                <w:lang w:val="es-CO" w:eastAsia="es-CO"/>
              </w:rPr>
              <w:tab/>
            </w:r>
            <w:r w:rsidR="006C2935" w:rsidRPr="00E624B7">
              <w:rPr>
                <w:rStyle w:val="Hipervnculo"/>
                <w:rFonts w:cs="Arial"/>
                <w:noProof/>
              </w:rPr>
              <w:t>RETOS 2018</w:t>
            </w:r>
            <w:r w:rsidR="006C2935">
              <w:rPr>
                <w:noProof/>
                <w:webHidden/>
              </w:rPr>
              <w:tab/>
            </w:r>
            <w:r w:rsidR="006C2935">
              <w:rPr>
                <w:noProof/>
                <w:webHidden/>
              </w:rPr>
              <w:fldChar w:fldCharType="begin"/>
            </w:r>
            <w:r w:rsidR="006C2935">
              <w:rPr>
                <w:noProof/>
                <w:webHidden/>
              </w:rPr>
              <w:instrText xml:space="preserve"> PAGEREF _Toc505183122 \h </w:instrText>
            </w:r>
            <w:r w:rsidR="006C2935">
              <w:rPr>
                <w:noProof/>
                <w:webHidden/>
              </w:rPr>
            </w:r>
            <w:r w:rsidR="006C2935">
              <w:rPr>
                <w:noProof/>
                <w:webHidden/>
              </w:rPr>
              <w:fldChar w:fldCharType="separate"/>
            </w:r>
            <w:r w:rsidR="00DF7186">
              <w:rPr>
                <w:noProof/>
                <w:webHidden/>
              </w:rPr>
              <w:t>373</w:t>
            </w:r>
            <w:r w:rsidR="006C2935">
              <w:rPr>
                <w:noProof/>
                <w:webHidden/>
              </w:rPr>
              <w:fldChar w:fldCharType="end"/>
            </w:r>
          </w:hyperlink>
        </w:p>
        <w:p w:rsidR="006C2935" w:rsidRDefault="000E0283">
          <w:pPr>
            <w:pStyle w:val="TDC1"/>
            <w:rPr>
              <w:rFonts w:asciiTheme="minorHAnsi" w:eastAsiaTheme="minorEastAsia" w:hAnsiTheme="minorHAnsi" w:cstheme="minorBidi"/>
              <w:bCs w:val="0"/>
              <w:kern w:val="0"/>
              <w:lang w:val="es-CO" w:eastAsia="es-CO"/>
            </w:rPr>
          </w:pPr>
          <w:hyperlink w:anchor="_Toc505183123" w:history="1">
            <w:r w:rsidR="006C2935" w:rsidRPr="00E624B7">
              <w:rPr>
                <w:rStyle w:val="Hipervnculo"/>
              </w:rPr>
              <w:t>ANEXO 1. Novedades Normativas 2017</w:t>
            </w:r>
            <w:r w:rsidR="006C2935">
              <w:rPr>
                <w:webHidden/>
              </w:rPr>
              <w:tab/>
            </w:r>
            <w:r w:rsidR="006C2935">
              <w:rPr>
                <w:webHidden/>
              </w:rPr>
              <w:fldChar w:fldCharType="begin"/>
            </w:r>
            <w:r w:rsidR="006C2935">
              <w:rPr>
                <w:webHidden/>
              </w:rPr>
              <w:instrText xml:space="preserve"> PAGEREF _Toc505183123 \h </w:instrText>
            </w:r>
            <w:r w:rsidR="006C2935">
              <w:rPr>
                <w:webHidden/>
              </w:rPr>
            </w:r>
            <w:r w:rsidR="006C2935">
              <w:rPr>
                <w:webHidden/>
              </w:rPr>
              <w:fldChar w:fldCharType="separate"/>
            </w:r>
            <w:r w:rsidR="00DF7186">
              <w:rPr>
                <w:webHidden/>
              </w:rPr>
              <w:t>374</w:t>
            </w:r>
            <w:r w:rsidR="006C2935">
              <w:rPr>
                <w:webHidden/>
              </w:rPr>
              <w:fldChar w:fldCharType="end"/>
            </w:r>
          </w:hyperlink>
        </w:p>
        <w:p w:rsidR="006C2935" w:rsidRDefault="000E0283">
          <w:pPr>
            <w:pStyle w:val="TDC1"/>
            <w:rPr>
              <w:rFonts w:asciiTheme="minorHAnsi" w:eastAsiaTheme="minorEastAsia" w:hAnsiTheme="minorHAnsi" w:cstheme="minorBidi"/>
              <w:bCs w:val="0"/>
              <w:kern w:val="0"/>
              <w:lang w:val="es-CO" w:eastAsia="es-CO"/>
            </w:rPr>
          </w:pPr>
          <w:hyperlink w:anchor="_Toc505183124" w:history="1">
            <w:r w:rsidR="006C2935" w:rsidRPr="00E624B7">
              <w:rPr>
                <w:rStyle w:val="Hipervnculo"/>
              </w:rPr>
              <w:t>ANEXO 2.  PROYECTOS DE LEY EN LOS CUALES EL ICBF SE HA PRONUNCIADO EN 2017</w:t>
            </w:r>
            <w:r w:rsidR="006C2935">
              <w:rPr>
                <w:webHidden/>
              </w:rPr>
              <w:tab/>
            </w:r>
            <w:r w:rsidR="006C2935">
              <w:rPr>
                <w:webHidden/>
              </w:rPr>
              <w:fldChar w:fldCharType="begin"/>
            </w:r>
            <w:r w:rsidR="006C2935">
              <w:rPr>
                <w:webHidden/>
              </w:rPr>
              <w:instrText xml:space="preserve"> PAGEREF _Toc505183124 \h </w:instrText>
            </w:r>
            <w:r w:rsidR="006C2935">
              <w:rPr>
                <w:webHidden/>
              </w:rPr>
            </w:r>
            <w:r w:rsidR="006C2935">
              <w:rPr>
                <w:webHidden/>
              </w:rPr>
              <w:fldChar w:fldCharType="separate"/>
            </w:r>
            <w:r w:rsidR="00DF7186">
              <w:rPr>
                <w:webHidden/>
              </w:rPr>
              <w:t>381</w:t>
            </w:r>
            <w:r w:rsidR="006C2935">
              <w:rPr>
                <w:webHidden/>
              </w:rPr>
              <w:fldChar w:fldCharType="end"/>
            </w:r>
          </w:hyperlink>
        </w:p>
        <w:p w:rsidR="007608C2" w:rsidRDefault="007608C2" w:rsidP="007608C2">
          <w:pPr>
            <w:rPr>
              <w:rFonts w:asciiTheme="minorHAnsi" w:hAnsiTheme="minorHAnsi" w:cstheme="minorHAnsi"/>
              <w:b/>
              <w:bCs/>
            </w:rPr>
          </w:pPr>
          <w:r w:rsidRPr="00966F2E">
            <w:rPr>
              <w:rFonts w:asciiTheme="minorHAnsi" w:hAnsiTheme="minorHAnsi" w:cstheme="minorHAnsi"/>
              <w:b/>
              <w:bCs/>
            </w:rPr>
            <w:fldChar w:fldCharType="end"/>
          </w:r>
        </w:p>
      </w:sdtContent>
    </w:sdt>
    <w:p w:rsidR="007608C2" w:rsidRDefault="007608C2" w:rsidP="00D31DC2">
      <w:pPr>
        <w:pStyle w:val="Ttulo1"/>
        <w:numPr>
          <w:ilvl w:val="0"/>
          <w:numId w:val="0"/>
        </w:numPr>
        <w:spacing w:before="100" w:beforeAutospacing="1" w:after="100" w:afterAutospacing="1"/>
        <w:ind w:left="432" w:hanging="432"/>
        <w:jc w:val="both"/>
        <w:rPr>
          <w:rFonts w:asciiTheme="minorHAnsi" w:eastAsia="Calibri" w:hAnsiTheme="minorHAnsi" w:cstheme="minorHAnsi"/>
          <w:bCs w:val="0"/>
          <w:kern w:val="0"/>
          <w:szCs w:val="22"/>
        </w:rPr>
      </w:pPr>
    </w:p>
    <w:p w:rsidR="007608C2" w:rsidRDefault="007608C2">
      <w:pPr>
        <w:spacing w:after="0" w:line="240" w:lineRule="auto"/>
        <w:rPr>
          <w:rFonts w:asciiTheme="minorHAnsi" w:hAnsiTheme="minorHAnsi" w:cstheme="minorHAnsi"/>
          <w:b/>
        </w:rPr>
      </w:pPr>
      <w:r>
        <w:rPr>
          <w:rFonts w:asciiTheme="minorHAnsi" w:hAnsiTheme="minorHAnsi" w:cstheme="minorHAnsi"/>
          <w:bCs/>
        </w:rPr>
        <w:br w:type="page"/>
      </w:r>
    </w:p>
    <w:p w:rsidR="002E4CFF" w:rsidRPr="007608C2" w:rsidRDefault="002E4CFF" w:rsidP="00D31DC2">
      <w:pPr>
        <w:pStyle w:val="Ttulo1"/>
        <w:numPr>
          <w:ilvl w:val="0"/>
          <w:numId w:val="0"/>
        </w:numPr>
        <w:spacing w:before="100" w:beforeAutospacing="1" w:after="100" w:afterAutospacing="1"/>
        <w:ind w:left="432" w:hanging="432"/>
        <w:jc w:val="both"/>
        <w:rPr>
          <w:rFonts w:eastAsia="Calibri" w:cs="Arial"/>
          <w:bCs w:val="0"/>
          <w:kern w:val="0"/>
          <w:szCs w:val="22"/>
        </w:rPr>
      </w:pPr>
      <w:bookmarkStart w:id="2" w:name="_Toc505183021"/>
      <w:r w:rsidRPr="007608C2">
        <w:rPr>
          <w:rFonts w:eastAsia="Calibri" w:cs="Arial"/>
          <w:bCs w:val="0"/>
          <w:kern w:val="0"/>
          <w:szCs w:val="22"/>
        </w:rPr>
        <w:lastRenderedPageBreak/>
        <w:t>INTRODUCCIÓN</w:t>
      </w:r>
      <w:bookmarkEnd w:id="1"/>
      <w:bookmarkEnd w:id="2"/>
    </w:p>
    <w:p w:rsidR="00C374BE" w:rsidRPr="007608C2" w:rsidRDefault="00C374BE" w:rsidP="00C374BE">
      <w:pPr>
        <w:spacing w:before="100" w:beforeAutospacing="1" w:after="100" w:afterAutospacing="1" w:line="240" w:lineRule="auto"/>
        <w:jc w:val="both"/>
        <w:rPr>
          <w:rFonts w:cs="Arial"/>
        </w:rPr>
      </w:pPr>
      <w:r w:rsidRPr="007608C2">
        <w:rPr>
          <w:rFonts w:cs="Arial"/>
        </w:rPr>
        <w:t>De conformidad con lo establecido en la Ley 1712 de 2014 el Instituto Colombiano de Bienestar Familiar -ICBF-, presenta el informe de gestión del año 2017, con el objetivo de facilitar el control social sobre su ejercicio como entidad pública.</w:t>
      </w:r>
    </w:p>
    <w:p w:rsidR="00C374BE" w:rsidRPr="007608C2" w:rsidRDefault="00C374BE" w:rsidP="00C374BE">
      <w:pPr>
        <w:spacing w:before="100" w:beforeAutospacing="1" w:after="100" w:afterAutospacing="1" w:line="240" w:lineRule="auto"/>
        <w:jc w:val="both"/>
        <w:rPr>
          <w:rFonts w:cs="Arial"/>
        </w:rPr>
      </w:pPr>
      <w:r w:rsidRPr="007608C2">
        <w:rPr>
          <w:rFonts w:cs="Arial"/>
        </w:rPr>
        <w:t>El presente documento contiene en primer lugar, una breve estructuración de las acciones de acuerdo con el Plan Nacional de Desarrollo 2014 -2018, el Plan Indicativo del Sector de la Inclusión Social y el Plan Indicativo Institucional 2015 -2018, los cuales señalan las prioridades del gobierno en materia de</w:t>
      </w:r>
      <w:r w:rsidRPr="007608C2">
        <w:rPr>
          <w:rFonts w:cs="Arial"/>
          <w:lang w:val="es-CO"/>
        </w:rPr>
        <w:t xml:space="preserve"> atención integral a la primera infancia, niñez y adolescencia y el fortalecimiento de las familias</w:t>
      </w:r>
      <w:r w:rsidRPr="007608C2">
        <w:rPr>
          <w:rFonts w:cs="Arial"/>
        </w:rPr>
        <w:t>, para luego seguir con el capítulo de gestión financiera del Instituto.</w:t>
      </w:r>
    </w:p>
    <w:p w:rsidR="00C374BE" w:rsidRPr="007608C2" w:rsidRDefault="00C374BE" w:rsidP="00C374BE">
      <w:pPr>
        <w:spacing w:before="100" w:beforeAutospacing="1" w:after="100" w:afterAutospacing="1" w:line="240" w:lineRule="auto"/>
        <w:jc w:val="both"/>
        <w:rPr>
          <w:rFonts w:cs="Arial"/>
        </w:rPr>
      </w:pPr>
      <w:r w:rsidRPr="007608C2">
        <w:rPr>
          <w:rFonts w:cs="Arial"/>
        </w:rPr>
        <w:t xml:space="preserve">Posterior a esto, se aborda lo correspondiente a las áreas misionales: Primera Infancia, Niñez y Adolescencia, Familias y Comunidades, Nutrición, Protección y el Sistema Nacional de Bienestar; las cuales hacen  referencia a los avances en materia de política pública y normatividad que enmarca el desarrollo de sus acciones,  realizan una breve descripción de sus programas y avances en 2017 (incluyendo los nuevos programas) y finalmente destacan los principales logros y retos de su gestión </w:t>
      </w:r>
      <w:r w:rsidR="00E1469E" w:rsidRPr="007608C2">
        <w:rPr>
          <w:rFonts w:cs="Arial"/>
        </w:rPr>
        <w:t xml:space="preserve">frente a la </w:t>
      </w:r>
      <w:r w:rsidRPr="007608C2">
        <w:rPr>
          <w:rFonts w:cs="Arial"/>
        </w:rPr>
        <w:t xml:space="preserve">vigencia 2018. Adicionalmente, se incluye un capítulo de Asuntos Transversales, correspondiente a los logros del Instituto en temas tales como Gestión del ICBF en la Guajira y Modelo de enfoque diferencial de derechos.  </w:t>
      </w:r>
    </w:p>
    <w:p w:rsidR="00C374BE" w:rsidRPr="007608C2" w:rsidRDefault="00C374BE" w:rsidP="00C374BE">
      <w:pPr>
        <w:spacing w:before="100" w:beforeAutospacing="1" w:after="100" w:afterAutospacing="1" w:line="240" w:lineRule="auto"/>
        <w:jc w:val="both"/>
        <w:rPr>
          <w:rFonts w:cs="Arial"/>
        </w:rPr>
      </w:pPr>
      <w:r w:rsidRPr="007608C2">
        <w:rPr>
          <w:rFonts w:cs="Arial"/>
        </w:rPr>
        <w:t>Los capítulos siguientes están dedicados a visibilizar la labor del Instituto a través de las áreas de apoyo, incluyendo temas de transparencia, anticorrupción, participación y servicio al ciudadano, gestión humana y administrativa, gestión en comunicaciones, cooperación y convenios, entre otros.</w:t>
      </w:r>
    </w:p>
    <w:p w:rsidR="00C374BE" w:rsidRPr="007608C2" w:rsidRDefault="00C374BE" w:rsidP="00C374BE">
      <w:pPr>
        <w:spacing w:before="100" w:beforeAutospacing="1" w:after="100" w:afterAutospacing="1" w:line="240" w:lineRule="auto"/>
        <w:jc w:val="both"/>
        <w:rPr>
          <w:rFonts w:cs="Arial"/>
          <w:iCs/>
          <w:lang w:val="es-CO"/>
        </w:rPr>
      </w:pPr>
      <w:r w:rsidRPr="007608C2">
        <w:rPr>
          <w:rFonts w:cs="Arial"/>
        </w:rPr>
        <w:t>Por último, es importante tener en cuenta que la información de metas sociales y financieras es preliminar y está sujeta al cierre oficial vigencia 2017. Se espera que el documento ofrezca la información suficiente que los ciudadanos requieren para el control social sobre lo público, lograr un mejor ejercicio de las funciones y una mayor participación.</w:t>
      </w:r>
    </w:p>
    <w:p w:rsidR="00C374BE" w:rsidRPr="007608C2" w:rsidRDefault="00C374BE" w:rsidP="00C374BE">
      <w:pPr>
        <w:pStyle w:val="Ttulo1"/>
        <w:numPr>
          <w:ilvl w:val="0"/>
          <w:numId w:val="1"/>
        </w:numPr>
        <w:spacing w:before="100" w:beforeAutospacing="1" w:after="100" w:afterAutospacing="1"/>
        <w:ind w:left="142" w:hanging="142"/>
        <w:jc w:val="both"/>
        <w:rPr>
          <w:rFonts w:cs="Arial"/>
          <w:szCs w:val="22"/>
        </w:rPr>
      </w:pPr>
      <w:bookmarkStart w:id="3" w:name="_Toc505183022"/>
      <w:r w:rsidRPr="007608C2">
        <w:rPr>
          <w:rFonts w:eastAsia="Calibri" w:cs="Arial"/>
          <w:bCs w:val="0"/>
          <w:kern w:val="0"/>
          <w:szCs w:val="22"/>
        </w:rPr>
        <w:t>CONTEXTO NACIONAL</w:t>
      </w:r>
      <w:bookmarkEnd w:id="3"/>
      <w:r w:rsidRPr="007608C2">
        <w:rPr>
          <w:rFonts w:cs="Arial"/>
          <w:szCs w:val="22"/>
        </w:rPr>
        <w:t xml:space="preserve"> </w:t>
      </w:r>
    </w:p>
    <w:p w:rsidR="00C374BE" w:rsidRPr="007608C2" w:rsidRDefault="00C374BE" w:rsidP="00C374BE">
      <w:pPr>
        <w:pStyle w:val="Ttulo2"/>
        <w:numPr>
          <w:ilvl w:val="1"/>
          <w:numId w:val="2"/>
        </w:numPr>
        <w:spacing w:before="100" w:beforeAutospacing="1" w:after="100" w:afterAutospacing="1" w:line="240" w:lineRule="auto"/>
        <w:ind w:left="142" w:hanging="142"/>
        <w:jc w:val="both"/>
        <w:rPr>
          <w:rFonts w:cs="Arial"/>
          <w:b/>
          <w:szCs w:val="22"/>
        </w:rPr>
      </w:pPr>
      <w:bookmarkStart w:id="4" w:name="_Toc505183023"/>
      <w:r w:rsidRPr="007608C2">
        <w:rPr>
          <w:rFonts w:cs="Arial"/>
          <w:b/>
          <w:szCs w:val="22"/>
        </w:rPr>
        <w:t>Plan Nacional de Desarrollo 2014 -2018 “Todos por un nuevo país”</w:t>
      </w:r>
      <w:bookmarkEnd w:id="4"/>
    </w:p>
    <w:p w:rsidR="00C374BE" w:rsidRPr="007608C2" w:rsidRDefault="00C374BE" w:rsidP="00C374BE">
      <w:pPr>
        <w:widowControl w:val="0"/>
        <w:numPr>
          <w:ilvl w:val="1"/>
          <w:numId w:val="0"/>
        </w:numPr>
        <w:tabs>
          <w:tab w:val="left" w:pos="426"/>
        </w:tabs>
        <w:autoSpaceDE w:val="0"/>
        <w:autoSpaceDN w:val="0"/>
        <w:adjustRightInd w:val="0"/>
        <w:spacing w:before="100" w:beforeAutospacing="1" w:after="100" w:afterAutospacing="1" w:line="240" w:lineRule="auto"/>
        <w:jc w:val="both"/>
        <w:rPr>
          <w:rFonts w:cs="Arial"/>
          <w:bCs/>
          <w:lang w:eastAsia="es-ES"/>
        </w:rPr>
      </w:pPr>
      <w:r w:rsidRPr="007608C2">
        <w:rPr>
          <w:rFonts w:cs="Arial"/>
          <w:bCs/>
          <w:lang w:eastAsia="es-ES"/>
        </w:rPr>
        <w:t>El Plan Nacional de Desarrollo 2014 – 2018 “</w:t>
      </w:r>
      <w:r w:rsidRPr="007608C2">
        <w:rPr>
          <w:rFonts w:cs="Arial"/>
          <w:bCs/>
          <w:i/>
          <w:lang w:eastAsia="es-ES"/>
        </w:rPr>
        <w:t>Todos por un nuevo país</w:t>
      </w:r>
      <w:r w:rsidRPr="007608C2">
        <w:rPr>
          <w:rFonts w:cs="Arial"/>
          <w:bCs/>
          <w:lang w:eastAsia="es-ES"/>
        </w:rPr>
        <w:t xml:space="preserve">” adoptado mediante la Ley 1753 de 2015, definió nuevos retos institucionales que buscan fortalecer el equilibrio de la sociedad y la consolidación de la paz, situación que genera mayor responsabilidad al ICBF con el fortalecimiento de políticas para el desarrollo integral de la primera infancia, la niñez y la adolescencia, el fortalecimiento familiar y la atención a los adolescentes vinculados al Sistema de Responsabilidad Penal para Adolescentes - SRPA -, así como, con la idoneidad y oportunidad en los Procesos Administrativos de Restablecimiento de Derechos  - PARD, que adelantan las defensorías de familias a nivel nacional. </w:t>
      </w:r>
    </w:p>
    <w:p w:rsidR="00C374BE" w:rsidRPr="007608C2" w:rsidRDefault="00C374BE" w:rsidP="00C374BE">
      <w:pPr>
        <w:widowControl w:val="0"/>
        <w:numPr>
          <w:ilvl w:val="1"/>
          <w:numId w:val="0"/>
        </w:numPr>
        <w:tabs>
          <w:tab w:val="left" w:pos="426"/>
        </w:tabs>
        <w:autoSpaceDE w:val="0"/>
        <w:autoSpaceDN w:val="0"/>
        <w:adjustRightInd w:val="0"/>
        <w:spacing w:before="100" w:beforeAutospacing="1" w:after="100" w:afterAutospacing="1" w:line="240" w:lineRule="auto"/>
        <w:jc w:val="both"/>
        <w:rPr>
          <w:rFonts w:cs="Arial"/>
          <w:lang w:val="es-CO"/>
        </w:rPr>
      </w:pPr>
      <w:r w:rsidRPr="007608C2">
        <w:rPr>
          <w:rFonts w:cs="Arial"/>
          <w:lang w:val="es-CO"/>
        </w:rPr>
        <w:t xml:space="preserve">El Plan Nacional de Desarrollo (PND) se desarrolla a través de seis estrategias transversales de </w:t>
      </w:r>
      <w:r w:rsidRPr="007608C2">
        <w:rPr>
          <w:rFonts w:cs="Arial"/>
          <w:lang w:val="es-CO"/>
        </w:rPr>
        <w:lastRenderedPageBreak/>
        <w:t>política: competitividad e infraestructuras estratégicas, movilidad social, transformación del campo, seguridad, justicia y democracia para la construcción de paz, buen gobierno y crecimiento verde, con las siguientes iniciativas a favor de las niñas, niños y adolescentes en Colombia:</w:t>
      </w:r>
    </w:p>
    <w:p w:rsidR="00C374BE" w:rsidRPr="007608C2" w:rsidRDefault="00C374BE" w:rsidP="00A44A2B">
      <w:pPr>
        <w:pStyle w:val="Prrafodelista"/>
        <w:numPr>
          <w:ilvl w:val="0"/>
          <w:numId w:val="143"/>
        </w:numPr>
        <w:spacing w:before="100" w:beforeAutospacing="1" w:after="100" w:afterAutospacing="1" w:line="240" w:lineRule="auto"/>
        <w:jc w:val="both"/>
        <w:rPr>
          <w:rFonts w:cs="Arial"/>
          <w:lang w:val="es-CO"/>
        </w:rPr>
      </w:pPr>
      <w:r w:rsidRPr="007608C2">
        <w:rPr>
          <w:rFonts w:cs="Arial"/>
          <w:lang w:val="es-CO"/>
        </w:rPr>
        <w:t>Reglamentación de la educación inicial y tránsito al sistema educativo.</w:t>
      </w:r>
    </w:p>
    <w:p w:rsidR="00C374BE" w:rsidRPr="007608C2" w:rsidRDefault="00C374BE" w:rsidP="00A44A2B">
      <w:pPr>
        <w:pStyle w:val="Prrafodelista"/>
        <w:numPr>
          <w:ilvl w:val="0"/>
          <w:numId w:val="143"/>
        </w:numPr>
        <w:spacing w:before="100" w:beforeAutospacing="1" w:after="100" w:afterAutospacing="1" w:line="240" w:lineRule="auto"/>
        <w:jc w:val="both"/>
        <w:rPr>
          <w:rFonts w:cs="Arial"/>
          <w:lang w:val="es-CO"/>
        </w:rPr>
      </w:pPr>
      <w:r w:rsidRPr="007608C2">
        <w:rPr>
          <w:rFonts w:cs="Arial"/>
          <w:lang w:val="es-CO"/>
        </w:rPr>
        <w:t>Política nacional de atención integral a la primera infancia, la infancia y la adolescencia.</w:t>
      </w:r>
    </w:p>
    <w:p w:rsidR="00C374BE" w:rsidRPr="007608C2" w:rsidRDefault="00C374BE" w:rsidP="00A44A2B">
      <w:pPr>
        <w:pStyle w:val="Prrafodelista"/>
        <w:numPr>
          <w:ilvl w:val="0"/>
          <w:numId w:val="143"/>
        </w:numPr>
        <w:spacing w:before="100" w:beforeAutospacing="1" w:after="100" w:afterAutospacing="1" w:line="240" w:lineRule="auto"/>
        <w:jc w:val="both"/>
        <w:rPr>
          <w:rFonts w:cs="Arial"/>
          <w:lang w:val="es-CO"/>
        </w:rPr>
      </w:pPr>
      <w:r w:rsidRPr="007608C2">
        <w:rPr>
          <w:rFonts w:cs="Arial"/>
          <w:lang w:val="es-CO"/>
        </w:rPr>
        <w:t>Fortalecimiento a modalidades comunitarias para la atención a la primera Infancia.</w:t>
      </w:r>
    </w:p>
    <w:p w:rsidR="00C374BE" w:rsidRPr="007608C2" w:rsidRDefault="00C374BE" w:rsidP="00A44A2B">
      <w:pPr>
        <w:pStyle w:val="Prrafodelista"/>
        <w:numPr>
          <w:ilvl w:val="0"/>
          <w:numId w:val="143"/>
        </w:numPr>
        <w:spacing w:before="100" w:beforeAutospacing="1" w:after="100" w:afterAutospacing="1" w:line="240" w:lineRule="auto"/>
        <w:jc w:val="both"/>
        <w:rPr>
          <w:rFonts w:cs="Arial"/>
          <w:lang w:val="es-CO"/>
        </w:rPr>
      </w:pPr>
      <w:r w:rsidRPr="007608C2">
        <w:rPr>
          <w:rFonts w:cs="Arial"/>
          <w:lang w:val="es-CO"/>
        </w:rPr>
        <w:t>Saneamiento de predios para la educación y la primera infancia.</w:t>
      </w:r>
    </w:p>
    <w:p w:rsidR="00C374BE" w:rsidRPr="007608C2" w:rsidRDefault="00C374BE" w:rsidP="00A44A2B">
      <w:pPr>
        <w:pStyle w:val="Prrafodelista"/>
        <w:numPr>
          <w:ilvl w:val="0"/>
          <w:numId w:val="143"/>
        </w:numPr>
        <w:spacing w:before="100" w:beforeAutospacing="1" w:after="100" w:afterAutospacing="1" w:line="240" w:lineRule="auto"/>
        <w:jc w:val="both"/>
        <w:rPr>
          <w:rFonts w:cs="Arial"/>
          <w:lang w:val="es-CO"/>
        </w:rPr>
      </w:pPr>
      <w:r w:rsidRPr="007608C2">
        <w:rPr>
          <w:rFonts w:cs="Arial"/>
          <w:lang w:val="es-CO"/>
        </w:rPr>
        <w:t>Prevención del embarazo en la adolescencia.</w:t>
      </w:r>
    </w:p>
    <w:p w:rsidR="00C374BE" w:rsidRPr="007608C2" w:rsidRDefault="00C374BE" w:rsidP="00A44A2B">
      <w:pPr>
        <w:pStyle w:val="Prrafodelista"/>
        <w:numPr>
          <w:ilvl w:val="0"/>
          <w:numId w:val="143"/>
        </w:numPr>
        <w:spacing w:before="100" w:beforeAutospacing="1" w:after="100" w:afterAutospacing="1" w:line="240" w:lineRule="auto"/>
        <w:jc w:val="both"/>
        <w:rPr>
          <w:rFonts w:cs="Arial"/>
          <w:lang w:val="es-CO"/>
        </w:rPr>
      </w:pPr>
      <w:r w:rsidRPr="007608C2">
        <w:rPr>
          <w:rFonts w:eastAsia="Times New Roman" w:cs="Arial"/>
          <w:iCs/>
          <w:spacing w:val="-1"/>
          <w:lang w:val="es-ES_tradnl" w:eastAsia="es-CO"/>
        </w:rPr>
        <w:t>Búsqueda de parientes para la ubicación en medio familiar y tiempo máximo para mantener a la niña, niño o adolescente en situación de declaratoria de vulneración.</w:t>
      </w:r>
    </w:p>
    <w:p w:rsidR="00C374BE" w:rsidRPr="007608C2" w:rsidRDefault="00C374BE" w:rsidP="00A44A2B">
      <w:pPr>
        <w:pStyle w:val="Prrafodelista"/>
        <w:numPr>
          <w:ilvl w:val="0"/>
          <w:numId w:val="143"/>
        </w:numPr>
        <w:spacing w:before="100" w:beforeAutospacing="1" w:after="100" w:afterAutospacing="1" w:line="240" w:lineRule="auto"/>
        <w:jc w:val="both"/>
        <w:rPr>
          <w:rFonts w:cs="Arial"/>
          <w:lang w:val="es-CO"/>
        </w:rPr>
      </w:pPr>
      <w:r w:rsidRPr="007608C2">
        <w:rPr>
          <w:rFonts w:cs="Arial"/>
          <w:lang w:val="es-CO"/>
        </w:rPr>
        <w:t>Tarifas de servicios públicos para hogares comunitarios y sustitutos.</w:t>
      </w:r>
    </w:p>
    <w:p w:rsidR="00C374BE" w:rsidRPr="007608C2" w:rsidRDefault="00C374BE" w:rsidP="00A44A2B">
      <w:pPr>
        <w:pStyle w:val="Prrafodelista"/>
        <w:numPr>
          <w:ilvl w:val="0"/>
          <w:numId w:val="143"/>
        </w:numPr>
        <w:spacing w:before="100" w:beforeAutospacing="1" w:after="100" w:afterAutospacing="1" w:line="240" w:lineRule="auto"/>
        <w:jc w:val="both"/>
        <w:rPr>
          <w:rFonts w:cs="Arial"/>
          <w:lang w:val="es-CO"/>
        </w:rPr>
      </w:pPr>
      <w:r w:rsidRPr="007608C2">
        <w:rPr>
          <w:rFonts w:cs="Arial"/>
          <w:lang w:val="es-CO"/>
        </w:rPr>
        <w:t>Facilidades pensionales para madres comunitarias, sustitutas y FAMI.</w:t>
      </w:r>
    </w:p>
    <w:p w:rsidR="00C374BE" w:rsidRPr="007608C2" w:rsidRDefault="00C374BE" w:rsidP="00A44A2B">
      <w:pPr>
        <w:pStyle w:val="Prrafodelista"/>
        <w:numPr>
          <w:ilvl w:val="0"/>
          <w:numId w:val="143"/>
        </w:numPr>
        <w:spacing w:before="100" w:beforeAutospacing="1" w:after="100" w:afterAutospacing="1" w:line="240" w:lineRule="auto"/>
        <w:jc w:val="both"/>
        <w:rPr>
          <w:rFonts w:cs="Arial"/>
          <w:lang w:val="es-CO"/>
        </w:rPr>
      </w:pPr>
      <w:r w:rsidRPr="007608C2">
        <w:rPr>
          <w:rFonts w:cs="Arial"/>
          <w:lang w:val="es-CO"/>
        </w:rPr>
        <w:t>Financiación del Sistema de Responsabilidad Penal Adolescente.</w:t>
      </w:r>
    </w:p>
    <w:p w:rsidR="00C374BE" w:rsidRPr="007608C2" w:rsidRDefault="00C374BE" w:rsidP="00A44A2B">
      <w:pPr>
        <w:pStyle w:val="Prrafodelista"/>
        <w:numPr>
          <w:ilvl w:val="0"/>
          <w:numId w:val="143"/>
        </w:numPr>
        <w:spacing w:before="100" w:beforeAutospacing="1" w:after="100" w:afterAutospacing="1" w:line="240" w:lineRule="auto"/>
        <w:jc w:val="both"/>
        <w:rPr>
          <w:rFonts w:cs="Arial"/>
          <w:lang w:val="es-CO"/>
        </w:rPr>
      </w:pPr>
      <w:r w:rsidRPr="007608C2">
        <w:rPr>
          <w:rFonts w:cs="Arial"/>
          <w:lang w:val="es-CO"/>
        </w:rPr>
        <w:t>Prevención del reclutamiento ilícito, utilización y violencia sexual contra niñas, niños y adolescentes.</w:t>
      </w:r>
    </w:p>
    <w:p w:rsidR="00C374BE" w:rsidRPr="007608C2" w:rsidRDefault="00C374BE" w:rsidP="00A44A2B">
      <w:pPr>
        <w:pStyle w:val="Prrafodelista"/>
        <w:numPr>
          <w:ilvl w:val="0"/>
          <w:numId w:val="143"/>
        </w:numPr>
        <w:spacing w:before="100" w:beforeAutospacing="1" w:after="100" w:afterAutospacing="1" w:line="240" w:lineRule="auto"/>
        <w:jc w:val="both"/>
        <w:rPr>
          <w:rFonts w:cs="Arial"/>
          <w:lang w:val="es-CO"/>
        </w:rPr>
      </w:pPr>
      <w:r w:rsidRPr="007608C2">
        <w:rPr>
          <w:rFonts w:cs="Arial"/>
          <w:lang w:val="es-CO"/>
        </w:rPr>
        <w:t>Política pública para la protección de derechos de las familias, mujeres, niñas, niños, jóvenes y mayores indígenas.</w:t>
      </w:r>
    </w:p>
    <w:p w:rsidR="00C374BE" w:rsidRPr="007608C2" w:rsidRDefault="00C374BE" w:rsidP="00A44A2B">
      <w:pPr>
        <w:pStyle w:val="Prrafodelista"/>
        <w:numPr>
          <w:ilvl w:val="0"/>
          <w:numId w:val="143"/>
        </w:numPr>
        <w:spacing w:before="100" w:beforeAutospacing="1" w:after="100" w:afterAutospacing="1" w:line="240" w:lineRule="auto"/>
        <w:jc w:val="both"/>
        <w:rPr>
          <w:rFonts w:cs="Arial"/>
          <w:lang w:val="es-CO"/>
        </w:rPr>
      </w:pPr>
      <w:r w:rsidRPr="007608C2">
        <w:rPr>
          <w:rFonts w:cs="Arial"/>
          <w:lang w:val="es-CO"/>
        </w:rPr>
        <w:t>Reducción de la mortalidad materna.</w:t>
      </w:r>
    </w:p>
    <w:p w:rsidR="00C374BE" w:rsidRDefault="00C374BE" w:rsidP="00A44A2B">
      <w:pPr>
        <w:pStyle w:val="Prrafodelista"/>
        <w:numPr>
          <w:ilvl w:val="0"/>
          <w:numId w:val="143"/>
        </w:numPr>
        <w:spacing w:before="100" w:beforeAutospacing="1" w:after="100" w:afterAutospacing="1" w:line="240" w:lineRule="auto"/>
        <w:jc w:val="both"/>
        <w:rPr>
          <w:rFonts w:cs="Arial"/>
          <w:lang w:val="es-CO"/>
        </w:rPr>
      </w:pPr>
      <w:r w:rsidRPr="007608C2">
        <w:rPr>
          <w:rFonts w:cs="Arial"/>
          <w:lang w:val="es-CO"/>
        </w:rPr>
        <w:t>Ayuda humanitaria de alimentación a víctimas.</w:t>
      </w:r>
    </w:p>
    <w:p w:rsidR="0076362B" w:rsidRPr="0076362B" w:rsidRDefault="0076362B" w:rsidP="0076362B">
      <w:pPr>
        <w:spacing w:before="100" w:beforeAutospacing="1" w:after="100" w:afterAutospacing="1" w:line="240" w:lineRule="auto"/>
        <w:jc w:val="both"/>
        <w:rPr>
          <w:rFonts w:cs="Arial"/>
        </w:rPr>
      </w:pPr>
      <w:r>
        <w:rPr>
          <w:rFonts w:cs="Arial"/>
        </w:rPr>
        <w:t xml:space="preserve">Para dar cumplimiento al PND, </w:t>
      </w:r>
      <w:r w:rsidRPr="0076362B">
        <w:rPr>
          <w:rFonts w:cs="Arial"/>
        </w:rPr>
        <w:t xml:space="preserve">el ICBF opera gracias al trabajo de más de 13.000 colaboradores en sus diferentes sedes en todo el territorio nacional (Sede de la Dirección General, 33 regionales y 209 centros zonales), atendiendo a más de 3.3 millones de personas en cerca de 102.000 unidades de servicio - UDS -, distribuidas para dar cobertura a todo el territorio nacional. </w:t>
      </w:r>
    </w:p>
    <w:p w:rsidR="00C374BE" w:rsidRPr="007608C2" w:rsidRDefault="00C374BE" w:rsidP="00C374BE">
      <w:pPr>
        <w:pStyle w:val="Ttulo2"/>
        <w:numPr>
          <w:ilvl w:val="1"/>
          <w:numId w:val="2"/>
        </w:numPr>
        <w:spacing w:before="100" w:beforeAutospacing="1" w:after="100" w:afterAutospacing="1" w:line="240" w:lineRule="auto"/>
        <w:ind w:left="142" w:hanging="142"/>
        <w:jc w:val="both"/>
        <w:rPr>
          <w:rFonts w:cs="Arial"/>
          <w:b/>
          <w:szCs w:val="22"/>
        </w:rPr>
      </w:pPr>
      <w:bookmarkStart w:id="5" w:name="_Toc505183024"/>
      <w:r w:rsidRPr="007608C2">
        <w:rPr>
          <w:rFonts w:cs="Arial"/>
          <w:b/>
          <w:szCs w:val="22"/>
        </w:rPr>
        <w:t>Plan Indicativo Sector de la Inclusión Social y la Reconciliación “Construimos grandes historias de inclusión social y reconciliación para Colombia”</w:t>
      </w:r>
      <w:bookmarkEnd w:id="5"/>
    </w:p>
    <w:p w:rsidR="00C374BE" w:rsidRPr="007608C2" w:rsidRDefault="00C374BE" w:rsidP="00C374BE">
      <w:pPr>
        <w:spacing w:before="100" w:beforeAutospacing="1" w:after="100" w:afterAutospacing="1" w:line="240" w:lineRule="auto"/>
        <w:jc w:val="both"/>
        <w:rPr>
          <w:rFonts w:cs="Arial"/>
          <w:lang w:val="es-CO"/>
        </w:rPr>
      </w:pPr>
      <w:r w:rsidRPr="007608C2">
        <w:rPr>
          <w:rFonts w:cs="Arial"/>
          <w:lang w:val="es-CO"/>
        </w:rPr>
        <w:t>En articulación con el PND, el Sector de la Inclusión Social y la Reconciliación, al cual está adscrito el Instituto Colombiano de Bienestar Familiar (ICBF), formuló el Plan Sectorial “Construimos grandes historias de inclusión social y reconciliación para Colombia”, con el cual se apuesta por una alineación transversal con estrategias y metas para la superación de la pobreza, la reparación integral a las víctimas, la atención integral a la primera infancia, la niñez y la adolescencia, el afianzamiento de territorios marginados y la recolección y reconstrucción de la memoria de los hechos asociados al conflicto armado.</w:t>
      </w:r>
    </w:p>
    <w:p w:rsidR="00C374BE" w:rsidRDefault="00C374BE" w:rsidP="00C374BE">
      <w:pPr>
        <w:spacing w:before="100" w:beforeAutospacing="1" w:after="100" w:afterAutospacing="1" w:line="240" w:lineRule="auto"/>
        <w:jc w:val="both"/>
        <w:rPr>
          <w:rFonts w:cs="Arial"/>
          <w:lang w:val="es-CO"/>
        </w:rPr>
      </w:pPr>
      <w:r w:rsidRPr="007608C2">
        <w:rPr>
          <w:rFonts w:cs="Arial"/>
          <w:lang w:val="es-CO"/>
        </w:rPr>
        <w:t>Las apuestas planteadas en este instrumento sectorial contribuyen fundamentalmente al logro de tres de las estrategias transversales del Plan Nacional de Desarrollo “Todos por un nuevo país”:</w:t>
      </w:r>
    </w:p>
    <w:p w:rsidR="00C374BE" w:rsidRDefault="00C374BE" w:rsidP="00A44A2B">
      <w:pPr>
        <w:pStyle w:val="Prrafodelista"/>
        <w:numPr>
          <w:ilvl w:val="0"/>
          <w:numId w:val="144"/>
        </w:numPr>
        <w:spacing w:after="0" w:line="240" w:lineRule="auto"/>
        <w:jc w:val="both"/>
        <w:rPr>
          <w:rFonts w:cs="Arial"/>
          <w:lang w:val="es-CO"/>
        </w:rPr>
      </w:pPr>
      <w:r w:rsidRPr="007608C2">
        <w:rPr>
          <w:rFonts w:cs="Arial"/>
          <w:lang w:val="es-CO"/>
        </w:rPr>
        <w:t>Movilidad social, dirigida a garantizar la igualdad de oportunidades para todos y todas, a través de la preservación y la formación de capital humano y social, para el mejoramiento de la calidad de vida de las personas.</w:t>
      </w:r>
    </w:p>
    <w:p w:rsidR="00CE70DD" w:rsidRPr="00CE70DD" w:rsidRDefault="00CE70DD" w:rsidP="00CE70DD">
      <w:pPr>
        <w:spacing w:after="0" w:line="240" w:lineRule="auto"/>
        <w:jc w:val="both"/>
        <w:rPr>
          <w:rFonts w:cs="Arial"/>
          <w:lang w:val="es-CO"/>
        </w:rPr>
      </w:pPr>
    </w:p>
    <w:p w:rsidR="00C374BE" w:rsidRDefault="00C374BE" w:rsidP="00A44A2B">
      <w:pPr>
        <w:pStyle w:val="Prrafodelista"/>
        <w:numPr>
          <w:ilvl w:val="0"/>
          <w:numId w:val="144"/>
        </w:numPr>
        <w:spacing w:after="0" w:line="240" w:lineRule="auto"/>
        <w:jc w:val="both"/>
        <w:rPr>
          <w:rFonts w:cs="Arial"/>
          <w:lang w:val="es-CO"/>
        </w:rPr>
      </w:pPr>
      <w:r w:rsidRPr="007608C2">
        <w:rPr>
          <w:rFonts w:cs="Arial"/>
          <w:lang w:val="es-CO"/>
        </w:rPr>
        <w:lastRenderedPageBreak/>
        <w:t>Transformación del campo, que establece que la construcción de paz, la disminución de las brechas territoriales y poblacionales en las condiciones de vida y el logro de una población rural más educada, pasa necesariamente por la transformación integral del campo colombiano.</w:t>
      </w:r>
    </w:p>
    <w:p w:rsidR="00CE70DD" w:rsidRPr="00CE70DD" w:rsidRDefault="00CE70DD" w:rsidP="00CE70DD">
      <w:pPr>
        <w:spacing w:after="0" w:line="240" w:lineRule="auto"/>
        <w:jc w:val="both"/>
        <w:rPr>
          <w:rFonts w:cs="Arial"/>
          <w:lang w:val="es-CO"/>
        </w:rPr>
      </w:pPr>
    </w:p>
    <w:p w:rsidR="00C374BE" w:rsidRPr="007608C2" w:rsidRDefault="00C374BE" w:rsidP="00A44A2B">
      <w:pPr>
        <w:pStyle w:val="Prrafodelista"/>
        <w:numPr>
          <w:ilvl w:val="0"/>
          <w:numId w:val="144"/>
        </w:numPr>
        <w:spacing w:after="0" w:line="240" w:lineRule="auto"/>
        <w:jc w:val="both"/>
        <w:rPr>
          <w:rFonts w:cs="Arial"/>
          <w:lang w:val="es-CO"/>
        </w:rPr>
      </w:pPr>
      <w:r w:rsidRPr="007608C2">
        <w:rPr>
          <w:rFonts w:cs="Arial"/>
          <w:lang w:val="es-CO"/>
        </w:rPr>
        <w:t>Seguridad, justicia y democracia para la construcción de paz, que busca superar las brechas generadas por el conflicto armado y reconstruir los modos de relación entre ciudadanos en torno a un proyecto de Nación incluyente, pluralista y basado en la promoción, protección y respeto de los derechos individuales y colectivos en todos los rincones del país.</w:t>
      </w:r>
    </w:p>
    <w:p w:rsidR="00C374BE" w:rsidRPr="007608C2" w:rsidRDefault="00C374BE" w:rsidP="00C374BE">
      <w:pPr>
        <w:pStyle w:val="Default"/>
        <w:spacing w:before="100" w:beforeAutospacing="1" w:after="100" w:afterAutospacing="1"/>
        <w:jc w:val="both"/>
        <w:rPr>
          <w:rFonts w:ascii="Arial" w:hAnsi="Arial" w:cs="Arial"/>
          <w:color w:val="auto"/>
          <w:sz w:val="22"/>
          <w:szCs w:val="22"/>
        </w:rPr>
      </w:pPr>
      <w:r w:rsidRPr="007608C2">
        <w:rPr>
          <w:rFonts w:ascii="Arial" w:hAnsi="Arial" w:cs="Arial"/>
          <w:color w:val="auto"/>
          <w:sz w:val="22"/>
          <w:szCs w:val="22"/>
        </w:rPr>
        <w:t>Adicionalmente, el sector y el ICBF enmarcan sus acciones para el cuatrienio, en la estrategia transversal de Buen Gobierno, atendiendo a los lineamientos de lucha contra la corrupción, transparencia, rendición de cuentas, gestión óptima de la información y de los recursos públicos, eficiencia y eficacia administrativa y articulación nación-territorio.</w:t>
      </w:r>
    </w:p>
    <w:p w:rsidR="00C374BE" w:rsidRPr="007608C2" w:rsidRDefault="00C374BE" w:rsidP="00C374BE">
      <w:pPr>
        <w:spacing w:before="100" w:beforeAutospacing="1" w:after="100" w:afterAutospacing="1" w:line="240" w:lineRule="auto"/>
        <w:jc w:val="both"/>
        <w:rPr>
          <w:rFonts w:cs="Arial"/>
          <w:lang w:val="es-CO"/>
        </w:rPr>
      </w:pPr>
      <w:r w:rsidRPr="007608C2">
        <w:rPr>
          <w:rFonts w:cs="Arial"/>
          <w:lang w:val="es-CO"/>
        </w:rPr>
        <w:t>Con relación a las estrategias asociadas al primer objetivo sectorial, el ICBF asume la responsabilidad de acompañar proyectos de Gobierno como el de vivienda gratuita, mediante programas para el fortalecimiento de vínculos familiares y de las comunidades. Así mismo, se compromete con el restablecimiento de los derechos vulnerados de las niñas, los niños y los adolescentes y con el fortalecimiento del Sistema de Responsabilidad Penal Adolescente, entre otras acciones planteadas para la generación de condiciones en la población y territorios que permitan la reconciliación y la no repetición.</w:t>
      </w:r>
    </w:p>
    <w:p w:rsidR="00C374BE" w:rsidRPr="007608C2" w:rsidRDefault="00C374BE" w:rsidP="00C374BE">
      <w:pPr>
        <w:spacing w:before="100" w:beforeAutospacing="1" w:after="100" w:afterAutospacing="1" w:line="240" w:lineRule="auto"/>
        <w:jc w:val="both"/>
        <w:rPr>
          <w:rFonts w:cs="Arial"/>
          <w:lang w:val="es-CO"/>
        </w:rPr>
      </w:pPr>
      <w:r w:rsidRPr="007608C2">
        <w:rPr>
          <w:rFonts w:cs="Arial"/>
          <w:lang w:val="es-CO"/>
        </w:rPr>
        <w:t>Frente al objetivo sectorial de reducción de brechas para la inclusión social, el ICBF contribuirá de manera decidida con la reducción en el país, del embarazo en la adolescencia y la promoción y consolidación de la seguridad alimentaria. Igualmente, se propone movilizar y articular mediante el Sistema Nacional de Bienestar Familiar, todas las instancias nacionales y territoriales que participan en la formulación de políticas públicas diferenciales a favor de las niñas, los niños y los adolescentes.</w:t>
      </w:r>
    </w:p>
    <w:p w:rsidR="00C374BE" w:rsidRPr="007608C2" w:rsidRDefault="00C374BE" w:rsidP="00C374BE">
      <w:pPr>
        <w:spacing w:before="100" w:beforeAutospacing="1" w:after="100" w:afterAutospacing="1" w:line="240" w:lineRule="auto"/>
        <w:jc w:val="both"/>
        <w:rPr>
          <w:rFonts w:cs="Arial"/>
          <w:lang w:val="es-CO"/>
        </w:rPr>
      </w:pPr>
      <w:r w:rsidRPr="007608C2">
        <w:rPr>
          <w:rFonts w:cs="Arial"/>
          <w:lang w:val="es-CO"/>
        </w:rPr>
        <w:t>Por último, con relación al tercer objetivo sectorial, acceso y permanencia de educación para la población vulnerable, el cual impacta directamente los dos objetivos anteriores y los pilares de Paz y Equidad del PND, el ICBF se ha comprometido con mejorar la calidad y ampliar la cobertura de la atención integral a la primera infancia, promoviendo su tránsito al sistema educativo al cumplir la edad reglamentaria y para la población entre 6 y 17 años, apoyar mediante programas de promoción y prevención, la formación de capital humano y capital social, brindándole a los niños, niñas, adolescentes y sus familias las herramientas para definir sus proyectos de vida. En la siguiente figura, se detallan los objetivos y estrategias del Plan 2015-2018.</w:t>
      </w:r>
    </w:p>
    <w:p w:rsidR="00D23A7B" w:rsidRDefault="00D23A7B" w:rsidP="00D23A7B">
      <w:pPr>
        <w:spacing w:before="100" w:beforeAutospacing="1" w:after="100" w:afterAutospacing="1" w:line="240" w:lineRule="auto"/>
        <w:ind w:left="142" w:hanging="142"/>
        <w:jc w:val="center"/>
        <w:rPr>
          <w:rFonts w:cs="Arial"/>
          <w:lang w:val="es-CO"/>
        </w:rPr>
      </w:pPr>
    </w:p>
    <w:p w:rsidR="00D23A7B" w:rsidRDefault="00D23A7B" w:rsidP="00D23A7B">
      <w:pPr>
        <w:spacing w:before="100" w:beforeAutospacing="1" w:after="100" w:afterAutospacing="1" w:line="240" w:lineRule="auto"/>
        <w:ind w:left="142" w:hanging="142"/>
        <w:jc w:val="center"/>
        <w:rPr>
          <w:rFonts w:cs="Arial"/>
          <w:lang w:val="es-CO"/>
        </w:rPr>
      </w:pPr>
    </w:p>
    <w:p w:rsidR="00D23A7B" w:rsidRDefault="00D23A7B" w:rsidP="00D23A7B">
      <w:pPr>
        <w:spacing w:before="100" w:beforeAutospacing="1" w:after="100" w:afterAutospacing="1" w:line="240" w:lineRule="auto"/>
        <w:ind w:left="142" w:hanging="142"/>
        <w:jc w:val="center"/>
        <w:rPr>
          <w:rFonts w:cs="Arial"/>
          <w:lang w:val="es-CO"/>
        </w:rPr>
      </w:pPr>
    </w:p>
    <w:p w:rsidR="00D23A7B" w:rsidRDefault="00C374BE" w:rsidP="00D23A7B">
      <w:pPr>
        <w:spacing w:before="100" w:beforeAutospacing="1" w:after="100" w:afterAutospacing="1" w:line="240" w:lineRule="auto"/>
        <w:ind w:left="142" w:hanging="142"/>
        <w:jc w:val="center"/>
        <w:rPr>
          <w:rFonts w:cs="Arial"/>
          <w:b/>
          <w:lang w:val="es-CO"/>
        </w:rPr>
      </w:pPr>
      <w:r w:rsidRPr="00D23A7B">
        <w:rPr>
          <w:rFonts w:cs="Arial"/>
          <w:b/>
          <w:lang w:val="es-CO"/>
        </w:rPr>
        <w:lastRenderedPageBreak/>
        <w:t xml:space="preserve">Propósito, objetivos sectoriales y estrategias del Plan del Sector Integración </w:t>
      </w:r>
    </w:p>
    <w:p w:rsidR="00C374BE" w:rsidRPr="00D23A7B" w:rsidRDefault="00C374BE" w:rsidP="00D23A7B">
      <w:pPr>
        <w:spacing w:before="100" w:beforeAutospacing="1" w:after="100" w:afterAutospacing="1" w:line="240" w:lineRule="auto"/>
        <w:ind w:left="142" w:hanging="142"/>
        <w:jc w:val="center"/>
        <w:rPr>
          <w:rFonts w:cs="Arial"/>
          <w:b/>
          <w:lang w:val="es-CO"/>
        </w:rPr>
      </w:pPr>
      <w:r w:rsidRPr="00D23A7B">
        <w:rPr>
          <w:rFonts w:cs="Arial"/>
          <w:b/>
          <w:lang w:val="es-CO"/>
        </w:rPr>
        <w:t>Social 2015-2018</w:t>
      </w:r>
    </w:p>
    <w:p w:rsidR="00C374BE" w:rsidRPr="007608C2" w:rsidRDefault="00C374BE" w:rsidP="00751035">
      <w:pPr>
        <w:spacing w:before="100" w:beforeAutospacing="1" w:after="100" w:afterAutospacing="1" w:line="240" w:lineRule="auto"/>
        <w:ind w:left="142" w:hanging="142"/>
        <w:jc w:val="center"/>
        <w:rPr>
          <w:rFonts w:cs="Arial"/>
          <w:lang w:val="es-CO"/>
        </w:rPr>
      </w:pPr>
      <w:r w:rsidRPr="007608C2">
        <w:rPr>
          <w:rFonts w:cs="Arial"/>
          <w:noProof/>
          <w:lang w:val="es-CO" w:eastAsia="es-CO"/>
        </w:rPr>
        <w:drawing>
          <wp:inline distT="0" distB="0" distL="0" distR="0" wp14:anchorId="38348922" wp14:editId="527DB850">
            <wp:extent cx="3179258" cy="4557369"/>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4844" cy="4579711"/>
                    </a:xfrm>
                    <a:prstGeom prst="rect">
                      <a:avLst/>
                    </a:prstGeom>
                    <a:noFill/>
                  </pic:spPr>
                </pic:pic>
              </a:graphicData>
            </a:graphic>
          </wp:inline>
        </w:drawing>
      </w:r>
    </w:p>
    <w:p w:rsidR="00C374BE" w:rsidRPr="00D23A7B" w:rsidRDefault="00D23A7B" w:rsidP="00C374BE">
      <w:pPr>
        <w:spacing w:before="100" w:beforeAutospacing="1" w:after="100" w:afterAutospacing="1" w:line="240" w:lineRule="auto"/>
        <w:ind w:left="142" w:hanging="142"/>
        <w:jc w:val="both"/>
        <w:rPr>
          <w:rFonts w:cs="Arial"/>
          <w:sz w:val="16"/>
          <w:szCs w:val="16"/>
          <w:lang w:val="es-CO"/>
        </w:rPr>
      </w:pPr>
      <w:r>
        <w:rPr>
          <w:rFonts w:cs="Arial"/>
          <w:sz w:val="16"/>
          <w:szCs w:val="16"/>
          <w:lang w:val="es-CO"/>
        </w:rPr>
        <w:t xml:space="preserve">                                            </w:t>
      </w:r>
      <w:r w:rsidR="00C374BE" w:rsidRPr="00D23A7B">
        <w:rPr>
          <w:rFonts w:cs="Arial"/>
          <w:sz w:val="16"/>
          <w:szCs w:val="16"/>
          <w:lang w:val="es-CO"/>
        </w:rPr>
        <w:t>Fuente: Plan Sectorial de Inclusión Social y Reconciliación 2015-2018. DPS.</w:t>
      </w:r>
    </w:p>
    <w:p w:rsidR="00C374BE" w:rsidRPr="007608C2" w:rsidRDefault="00C374BE" w:rsidP="00C374BE">
      <w:pPr>
        <w:pStyle w:val="Ttulo2"/>
        <w:numPr>
          <w:ilvl w:val="1"/>
          <w:numId w:val="2"/>
        </w:numPr>
        <w:spacing w:before="100" w:beforeAutospacing="1" w:after="100" w:afterAutospacing="1" w:line="240" w:lineRule="auto"/>
        <w:ind w:left="142" w:hanging="142"/>
        <w:jc w:val="both"/>
        <w:rPr>
          <w:rFonts w:cs="Arial"/>
          <w:b/>
          <w:szCs w:val="22"/>
        </w:rPr>
      </w:pPr>
      <w:bookmarkStart w:id="6" w:name="_Toc505183025"/>
      <w:r w:rsidRPr="007608C2">
        <w:rPr>
          <w:rFonts w:cs="Arial"/>
          <w:b/>
          <w:szCs w:val="22"/>
        </w:rPr>
        <w:t>Plan Indicativo Institucional 2015 – 2018 “Estamos cambiando el mundo”</w:t>
      </w:r>
      <w:bookmarkEnd w:id="6"/>
    </w:p>
    <w:p w:rsidR="00C374BE" w:rsidRPr="007608C2" w:rsidRDefault="00C374BE" w:rsidP="00C374BE">
      <w:pPr>
        <w:widowControl w:val="0"/>
        <w:tabs>
          <w:tab w:val="left" w:pos="426"/>
        </w:tabs>
        <w:autoSpaceDE w:val="0"/>
        <w:autoSpaceDN w:val="0"/>
        <w:adjustRightInd w:val="0"/>
        <w:spacing w:before="100" w:beforeAutospacing="1" w:after="100" w:afterAutospacing="1" w:line="240" w:lineRule="auto"/>
        <w:jc w:val="both"/>
        <w:rPr>
          <w:rFonts w:cs="Arial"/>
        </w:rPr>
      </w:pPr>
      <w:r w:rsidRPr="007608C2">
        <w:rPr>
          <w:rFonts w:cs="Arial"/>
        </w:rPr>
        <w:t>El ICBF construyó su Plan Indicativo Institucional – PII - 2015-2018 “</w:t>
      </w:r>
      <w:r w:rsidRPr="007608C2">
        <w:rPr>
          <w:rFonts w:cs="Arial"/>
          <w:i/>
        </w:rPr>
        <w:t>Estamos cambiando el mundo</w:t>
      </w:r>
      <w:r w:rsidRPr="007608C2">
        <w:rPr>
          <w:rFonts w:cs="Arial"/>
        </w:rPr>
        <w:t xml:space="preserve">”, como resultado de un proceso de discusión, consulta y construcción colectiva que contó con la participación de todas las instancias y niveles de la Entidad, permitiendo definir los derroteros, ajustar las apuestas y precisar el camino a seguir durante los siguientes cuatro años, para contribuir a la ejecución integral de los objetivos de gobierno, </w:t>
      </w:r>
      <w:r w:rsidRPr="007608C2">
        <w:rPr>
          <w:rFonts w:cs="Arial"/>
          <w:lang w:val="es-CO"/>
        </w:rPr>
        <w:t>con programas y estrategias de atención a la primera infancia, la niñez, la adolescencia y las familias colombianas.</w:t>
      </w:r>
      <w:r w:rsidRPr="007608C2">
        <w:rPr>
          <w:rFonts w:cs="Arial"/>
        </w:rPr>
        <w:t xml:space="preserve"> </w:t>
      </w:r>
    </w:p>
    <w:p w:rsidR="00C374BE" w:rsidRPr="007608C2" w:rsidRDefault="00C374BE" w:rsidP="00C374BE">
      <w:pPr>
        <w:spacing w:before="100" w:beforeAutospacing="1" w:after="100" w:afterAutospacing="1" w:line="240" w:lineRule="auto"/>
        <w:jc w:val="both"/>
        <w:rPr>
          <w:rFonts w:cs="Arial"/>
        </w:rPr>
      </w:pPr>
      <w:r w:rsidRPr="007608C2">
        <w:rPr>
          <w:rFonts w:cs="Arial"/>
        </w:rPr>
        <w:t xml:space="preserve">Para el periodo 2015-2018, el ICBF se trazó seis objetivos institucionales, de los cuales dos se relacionan con grupos etarios particulares, la primera infancia, la niñez y adolescencia; tres están </w:t>
      </w:r>
      <w:r w:rsidRPr="007608C2">
        <w:rPr>
          <w:rFonts w:cs="Arial"/>
        </w:rPr>
        <w:lastRenderedPageBreak/>
        <w:t xml:space="preserve">dirigidos a la protección de estos grupos, por un lado con el fortalecimiento de las familias y las comunidades, por el otro, a través de la nutrición y seguridad alimentaria y por último, con la protección integral de niñas, niños y adolescentes; y finalmente, un objetivo encaminado a la eficiencia en la gestión institucional de la Entidad, todos ellos , alineados con el Modelo de Enfoque Diferencial de la Entidad. Los objetivos son: </w:t>
      </w:r>
    </w:p>
    <w:p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Ampliar cobertura y mejorar calidad en la atención integral a la primera infancia. </w:t>
      </w:r>
    </w:p>
    <w:p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Promover los derechos de las niñas, niños y adolescentes y prevenir los riesgos o amenazas de vulneración de los mismos. </w:t>
      </w:r>
    </w:p>
    <w:p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Fortalecer en las familias y comunidades, capacidades que promuevan su desarrollo, fortalezcan sus vínculos de cuidado mutuo y prevengan la violencia intrafamiliar y de género. </w:t>
      </w:r>
    </w:p>
    <w:p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Promover la seguridad alimentaria y nutricional en el desarrollo de la primera infancia, las niñas, niños y adolescentes y las familias. </w:t>
      </w:r>
    </w:p>
    <w:p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Garantizar la protección integral de las niñas, niños y adolescentes en coordinación con las instancias del SNBF. </w:t>
      </w:r>
    </w:p>
    <w:p w:rsidR="00C374BE" w:rsidRPr="007608C2"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Lograr una adecuada y eficiente gestión institucional a través de la articulación entre servidores, áreas y niveles territoriales; el apoyo administrativo a los procesos misionales, la apropiación de una cultura de la evaluación y la optimización del uso de los recursos. </w:t>
      </w:r>
    </w:p>
    <w:p w:rsidR="00C374BE" w:rsidRPr="007608C2" w:rsidRDefault="00C374BE" w:rsidP="00C374BE">
      <w:pPr>
        <w:spacing w:before="100" w:beforeAutospacing="1" w:after="100" w:afterAutospacing="1" w:line="240" w:lineRule="auto"/>
        <w:ind w:left="142" w:hanging="142"/>
        <w:jc w:val="both"/>
        <w:rPr>
          <w:rFonts w:cs="Arial"/>
          <w:lang w:val="es-CO"/>
        </w:rPr>
      </w:pPr>
      <w:r w:rsidRPr="007608C2">
        <w:rPr>
          <w:rFonts w:cs="Arial"/>
          <w:lang w:val="es-CO"/>
        </w:rPr>
        <w:t>El ICBF realizó las siguientes actividades, con el propósito de cumplir con los objetivos institucionales:</w:t>
      </w:r>
    </w:p>
    <w:p w:rsidR="00C374BE" w:rsidRPr="007608C2" w:rsidRDefault="00C374BE" w:rsidP="00A44A2B">
      <w:pPr>
        <w:pStyle w:val="Prrafodelista"/>
        <w:numPr>
          <w:ilvl w:val="0"/>
          <w:numId w:val="23"/>
        </w:numPr>
        <w:tabs>
          <w:tab w:val="left" w:pos="284"/>
        </w:tabs>
        <w:spacing w:before="100" w:beforeAutospacing="1" w:after="100" w:afterAutospacing="1" w:line="240" w:lineRule="auto"/>
        <w:ind w:left="142" w:hanging="142"/>
        <w:jc w:val="both"/>
        <w:rPr>
          <w:rFonts w:cs="Arial"/>
          <w:lang w:val="es-CO"/>
        </w:rPr>
      </w:pPr>
      <w:r w:rsidRPr="007608C2">
        <w:rPr>
          <w:rFonts w:cs="Arial"/>
          <w:b/>
        </w:rPr>
        <w:t xml:space="preserve">Ampliar cobertura y mejorar calidad en la atención integral a la primera infancia: </w:t>
      </w:r>
      <w:r w:rsidRPr="007608C2">
        <w:rPr>
          <w:rFonts w:cs="Arial"/>
        </w:rPr>
        <w:t xml:space="preserve">Desde el ICBF y con el acompañamiento interinstitucional asociado a la estrategia De Cero a Siempre, se ha trabajado articuladamente con procesos de focalización que permiten beneficiar a las poblaciones más vulnerables, brindando un servicio integral a las niñas y niños del país con una atención de calidad que permita garantizar sus derechos y de esta forma lograr cambiar el mundo. Con este propósito, el ICBF fortalecerá todos los componentes de atención a través de la verificación del cumplimiento de los estándares de calidad en las Unidades de Servicio por medio del trabajo de equipos interdisciplinarios directamente en cada región, impulsando así los niveles de calidad en los siguientes componentes: </w:t>
      </w:r>
    </w:p>
    <w:p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Fortalecimiento de las Entidades Administradoras del Servicio con el fin de asegurar su adecuada gestión administrativa y financiera. </w:t>
      </w:r>
    </w:p>
    <w:p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Acompañamiento y cualificación de los agentes educativos en experiencias pedagógicas, planeación e implementación de la Educación Inicial. </w:t>
      </w:r>
    </w:p>
    <w:p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Acompañamiento in situ por parte de un equipo interdisciplinario del ICBF, fortaleciendo y transformando prácticas y saberes. </w:t>
      </w:r>
    </w:p>
    <w:p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Garantía de ambientes organizados, estimulantes, protectores, seguros y pedagógicos, que fomenten el desarrollo del potencial de las niñas y niños. </w:t>
      </w:r>
    </w:p>
    <w:p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Acompañamiento constante por parte de un profesional de la salud, con el fin de cumplir a cabalidad con la ruta de atenciones. </w:t>
      </w:r>
    </w:p>
    <w:p w:rsidR="00C374BE" w:rsidRPr="007608C2"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Promoción de entornos familiares como eje central en la formación y acompañamiento a las familias. </w:t>
      </w:r>
      <w:r w:rsidRPr="007608C2">
        <w:rPr>
          <w:rFonts w:cs="Arial"/>
          <w:lang w:val="es-CO"/>
        </w:rPr>
        <w:t xml:space="preserve"> </w:t>
      </w:r>
    </w:p>
    <w:p w:rsidR="00C374BE" w:rsidRPr="007608C2" w:rsidRDefault="00C374BE" w:rsidP="00A44A2B">
      <w:pPr>
        <w:pStyle w:val="Prrafodelista"/>
        <w:numPr>
          <w:ilvl w:val="0"/>
          <w:numId w:val="23"/>
        </w:numPr>
        <w:tabs>
          <w:tab w:val="left" w:pos="284"/>
        </w:tabs>
        <w:spacing w:before="100" w:beforeAutospacing="1" w:after="100" w:afterAutospacing="1" w:line="240" w:lineRule="auto"/>
        <w:ind w:left="0" w:firstLine="0"/>
        <w:jc w:val="both"/>
        <w:rPr>
          <w:rFonts w:cs="Arial"/>
          <w:b/>
          <w:lang w:val="es-CO"/>
        </w:rPr>
      </w:pPr>
      <w:r w:rsidRPr="007608C2">
        <w:rPr>
          <w:rFonts w:cs="Arial"/>
          <w:b/>
        </w:rPr>
        <w:lastRenderedPageBreak/>
        <w:t>Promover los derechos de las niñas, niños y adolescentes y prevenir los riesgos o amenazas de vulneración de los mismos:</w:t>
      </w:r>
      <w:r w:rsidRPr="007608C2">
        <w:rPr>
          <w:rFonts w:cs="Arial"/>
        </w:rPr>
        <w:t xml:space="preserve"> Se brinda especial énfasis a la continuidad en los avances de la estrategia de atención a la primera infancia, entendida como la obligación del Estado de reconocer sus derechos, garantizarlos, prevenir su vulneración y restablecerlos ante las vulneraciones.</w:t>
      </w:r>
    </w:p>
    <w:p w:rsidR="00C374BE" w:rsidRPr="007608C2" w:rsidRDefault="00C374BE" w:rsidP="00C374BE">
      <w:pPr>
        <w:pStyle w:val="Prrafodelista"/>
        <w:spacing w:before="100" w:beforeAutospacing="1" w:after="100" w:afterAutospacing="1" w:line="240" w:lineRule="auto"/>
        <w:ind w:left="0"/>
        <w:jc w:val="both"/>
        <w:rPr>
          <w:rFonts w:cs="Arial"/>
        </w:rPr>
      </w:pPr>
      <w:r w:rsidRPr="007608C2">
        <w:rPr>
          <w:rFonts w:cs="Arial"/>
        </w:rPr>
        <w:t xml:space="preserve">Para este propósito, el ICBF cuenta principalmente con el programa Generaciones con Bienestar, el cual busca promover la garantía de los derechos de las niñas, niños y adolescentes y la prevención de su vulneración, considerando las condiciones de género, etnia, grupos etarios, diferencias territoriales y de discapacidad. El programa está orientado a prevenir de manera temprana problemáticas como el reclutamiento ilícito, el embarazo adolescente, el consumo de sustancias psicoactivas, las peores formas de trabajo infantil y los diferentes tipos de violencia. Las nuevas estrategias que se plantean para desarrollar y fortalecer el programa Generaciones con Bienestar son: </w:t>
      </w:r>
    </w:p>
    <w:p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Atención para las niñas, niños y adolescentes identificados como víctimas del conflicto en cada una de sus modalidades de atención. </w:t>
      </w:r>
    </w:p>
    <w:p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Articulación con programas de primera infancia y modalidades de atención de protección, del Sistema de Responsabilidad Penal para Adolescentes, de Familias y Comunidades con el fin de aumentar los criterios de focalización de la población. </w:t>
      </w:r>
    </w:p>
    <w:p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Fortalecimiento en la metodología del programa, pasando de la pedagogía experiencial a una propuesta metodológica más flexible, que responda a los intereses de niñas, niños y adolescentes. </w:t>
      </w:r>
    </w:p>
    <w:p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Flexibilización en el modelo operativo de la prestación del servicio del programa con el fin de fortalecer el proceso de articulación y gestión interinstitucional, el cual podrá ser adaptado a estrategias acordadas con diferentes entidades públicas o privadas, siempre que se garantice el desarrollo de cada uno de los componentes del programa y condiciones de atención. </w:t>
      </w:r>
    </w:p>
    <w:p w:rsidR="00C374BE" w:rsidRPr="007608C2" w:rsidRDefault="00C374BE" w:rsidP="00C374BE">
      <w:pPr>
        <w:pStyle w:val="Prrafodelista"/>
        <w:spacing w:before="100" w:beforeAutospacing="1" w:after="100" w:afterAutospacing="1" w:line="240" w:lineRule="auto"/>
        <w:ind w:left="0"/>
        <w:jc w:val="both"/>
        <w:rPr>
          <w:rFonts w:cs="Arial"/>
        </w:rPr>
      </w:pPr>
      <w:r w:rsidRPr="007608C2">
        <w:rPr>
          <w:rFonts w:cs="Arial"/>
        </w:rPr>
        <w:t xml:space="preserve">Por otro lado, el ICBF ante el reto de diseñar e implementar la Política Pública Nacional de Infancia y Adolescencia y la Ruta Integral de Atenciones de Infancia y Adolescencia para promover la garantía de los derechos de las niñas, niños y adolescentes, cuenta con los siguientes componentes: </w:t>
      </w:r>
    </w:p>
    <w:p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Formulación e implementación de rutas integrales de atención que articulen y armonicen la oferta pública y privada. </w:t>
      </w:r>
    </w:p>
    <w:p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Formulación e implementación en el ámbito nacional de un plan operativo de la política que asegure la articulación de las diferentes políticas, planes y programas. </w:t>
      </w:r>
    </w:p>
    <w:p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 xml:space="preserve">Articulación y aplicación de una estrategia de fortalecimiento y acompañamiento técnico para la articulación de los temas de infancia y adolescencia en municipios, distritos y departamentos. </w:t>
      </w:r>
    </w:p>
    <w:p w:rsidR="00C374BE" w:rsidRPr="00D23A7B" w:rsidRDefault="00C374BE" w:rsidP="00A44A2B">
      <w:pPr>
        <w:pStyle w:val="Prrafodelista"/>
        <w:numPr>
          <w:ilvl w:val="1"/>
          <w:numId w:val="145"/>
        </w:numPr>
        <w:spacing w:after="0" w:line="240" w:lineRule="auto"/>
        <w:ind w:left="720"/>
        <w:jc w:val="both"/>
        <w:rPr>
          <w:rFonts w:cs="Arial"/>
          <w:lang w:val="es-CO"/>
        </w:rPr>
      </w:pPr>
      <w:r w:rsidRPr="00D23A7B">
        <w:rPr>
          <w:rFonts w:cs="Arial"/>
          <w:lang w:val="es-CO"/>
        </w:rPr>
        <w:t>Estructuración de un esquema de seguimiento y evaluación de la política, fortaleciendo el seguimiento de la garantía de derechos a través del Sistema Único de Información de la Niñez.</w:t>
      </w:r>
    </w:p>
    <w:p w:rsidR="00C374BE" w:rsidRPr="007608C2" w:rsidRDefault="00C374BE" w:rsidP="00A44A2B">
      <w:pPr>
        <w:pStyle w:val="Prrafodelista"/>
        <w:numPr>
          <w:ilvl w:val="0"/>
          <w:numId w:val="23"/>
        </w:numPr>
        <w:tabs>
          <w:tab w:val="left" w:pos="284"/>
        </w:tabs>
        <w:spacing w:before="100" w:beforeAutospacing="1" w:after="100" w:afterAutospacing="1" w:line="240" w:lineRule="auto"/>
        <w:ind w:left="0" w:firstLine="0"/>
        <w:jc w:val="both"/>
        <w:rPr>
          <w:rFonts w:cs="Arial"/>
          <w:b/>
          <w:lang w:val="es-CO"/>
        </w:rPr>
      </w:pPr>
      <w:r w:rsidRPr="007608C2">
        <w:rPr>
          <w:rFonts w:cs="Arial"/>
          <w:b/>
        </w:rPr>
        <w:lastRenderedPageBreak/>
        <w:t>Fortalecer con las familias y comunidades las capacidades para promover su desarrollo, fortalecer sus vínculos de cuidado mutuo y prevenir la violencia intrafamiliar y de género:</w:t>
      </w:r>
    </w:p>
    <w:p w:rsidR="00C374BE" w:rsidRPr="007608C2" w:rsidRDefault="00C374BE" w:rsidP="00C374BE">
      <w:pPr>
        <w:spacing w:before="100" w:beforeAutospacing="1" w:after="100" w:afterAutospacing="1" w:line="240" w:lineRule="auto"/>
        <w:jc w:val="both"/>
        <w:rPr>
          <w:rFonts w:cs="Arial"/>
        </w:rPr>
      </w:pPr>
      <w:r w:rsidRPr="007608C2">
        <w:rPr>
          <w:rFonts w:cs="Arial"/>
        </w:rPr>
        <w:t xml:space="preserve">La experiencia institucional ha demostrado la importancia del trabajo con las familias que potencia, amplía y mantiene los efectos de la intervención, en tanto permite un abordaje más comprensivo de los sistemas sociales y la evolución de los fenómenos humanos, así como de los múltiples factores que afectan, entre otras, las relaciones y prácticas de cuidado, la convivencia armónica y la integración social. </w:t>
      </w:r>
    </w:p>
    <w:p w:rsidR="00C374BE" w:rsidRPr="007608C2" w:rsidRDefault="00C374BE" w:rsidP="00C374BE">
      <w:pPr>
        <w:spacing w:before="100" w:beforeAutospacing="1" w:after="100" w:afterAutospacing="1" w:line="240" w:lineRule="auto"/>
        <w:jc w:val="both"/>
        <w:rPr>
          <w:rFonts w:cs="Arial"/>
        </w:rPr>
      </w:pPr>
      <w:r w:rsidRPr="007608C2">
        <w:rPr>
          <w:rFonts w:cs="Arial"/>
        </w:rPr>
        <w:t xml:space="preserve">Por otra parte, siendo la familia la organización básica en donde confluyen los diferentes grupos poblacionales, géneros y generaciones, resulta ser el sustrato humano estratégico para convocar la articulación sinérgica de los distintos esfuerzos, políticas y programas institucionales e intersectoriales; asunto de evidente importancia para el desempeño del papel rector del Sistema Nacional de Bienestar Familiar, designado al ICBF. </w:t>
      </w:r>
    </w:p>
    <w:p w:rsidR="00C374BE" w:rsidRPr="007608C2" w:rsidRDefault="00C374BE" w:rsidP="00C374BE">
      <w:pPr>
        <w:spacing w:before="100" w:beforeAutospacing="1" w:after="100" w:afterAutospacing="1" w:line="240" w:lineRule="auto"/>
        <w:jc w:val="both"/>
        <w:rPr>
          <w:rFonts w:cs="Arial"/>
        </w:rPr>
      </w:pPr>
      <w:r w:rsidRPr="007608C2">
        <w:rPr>
          <w:rFonts w:cs="Arial"/>
        </w:rPr>
        <w:t xml:space="preserve">La Entidad se propone la construcción e implementación de programas y estrategias que faciliten la disposición, organización y utilización de diversidad de recursos, en esquemas de trabajo que reactiven el proceso evolutivo natural de las familias y de sus integrantes, favoreciendo la construcción de dinámicas relacionales y de convivencia cotidiana basadas en principios de equidad, solidaridad, ejercicio de derechos y democracia, que hagan posible el desarrollo humano integral y la construcción de paz. </w:t>
      </w:r>
    </w:p>
    <w:p w:rsidR="00C374BE" w:rsidRPr="007608C2" w:rsidRDefault="00C374BE" w:rsidP="00C374BE">
      <w:pPr>
        <w:spacing w:before="100" w:beforeAutospacing="1" w:after="100" w:afterAutospacing="1" w:line="240" w:lineRule="auto"/>
        <w:jc w:val="both"/>
        <w:rPr>
          <w:rFonts w:cs="Arial"/>
        </w:rPr>
      </w:pPr>
      <w:r w:rsidRPr="007608C2">
        <w:rPr>
          <w:rFonts w:cs="Arial"/>
        </w:rPr>
        <w:t>En este marco, el ICBF ha definido el proyecto Familias para la Paz, que reformula y potencializa las experiencias de modalidades previas como Familias con Bienestar y Familias Afectivas, reivindicando el fortalecimiento de la convivencia armónica familiar y la reconstrucción del tejido social y comunitario, como ejes fundamentales para la construcción de paz en el país. Familias para la Paz constituye una intervención socioeducativa selectiva, transdisciplinaria, planificada y en contexto, que opera con familias en situación de vulnerabilidad social, buscando que éstas se reconozcan como colectivos, construyan sentido de vida común, mejoren su dinámica relacional y aumenten sus capacidades para afrontar los conflictos.</w:t>
      </w:r>
    </w:p>
    <w:p w:rsidR="00C374BE" w:rsidRPr="007608C2" w:rsidRDefault="00C374BE" w:rsidP="00A44A2B">
      <w:pPr>
        <w:pStyle w:val="Prrafodelista"/>
        <w:numPr>
          <w:ilvl w:val="0"/>
          <w:numId w:val="23"/>
        </w:numPr>
        <w:tabs>
          <w:tab w:val="left" w:pos="284"/>
        </w:tabs>
        <w:spacing w:before="100" w:beforeAutospacing="1" w:after="100" w:afterAutospacing="1" w:line="240" w:lineRule="auto"/>
        <w:ind w:left="0" w:firstLine="0"/>
        <w:jc w:val="both"/>
        <w:rPr>
          <w:rFonts w:cs="Arial"/>
          <w:b/>
        </w:rPr>
      </w:pPr>
      <w:r w:rsidRPr="007608C2">
        <w:rPr>
          <w:rFonts w:cs="Arial"/>
          <w:b/>
        </w:rPr>
        <w:t>Promover la seguridad alimentaria y nutricional en el desarrollo de la primera infancia, las niñas, niños y adolescentes y la familia.</w:t>
      </w:r>
    </w:p>
    <w:p w:rsidR="00C374BE" w:rsidRPr="007608C2" w:rsidRDefault="00C374BE" w:rsidP="00C374BE">
      <w:pPr>
        <w:spacing w:before="100" w:beforeAutospacing="1" w:after="100" w:afterAutospacing="1" w:line="240" w:lineRule="auto"/>
        <w:jc w:val="both"/>
        <w:rPr>
          <w:rFonts w:cs="Arial"/>
        </w:rPr>
      </w:pPr>
      <w:r w:rsidRPr="007608C2">
        <w:rPr>
          <w:rFonts w:cs="Arial"/>
        </w:rPr>
        <w:t xml:space="preserve">El Instituto define el proyecto “Desarrollar acciones de promoción y prevención desde el marco de la seguridad alimentaria y nutricional para el desarrollo integral de la primera infancia, la niñez y adolescencia, y la familia colombiana”, mediante acciones de articulación y coordinación intra e interinstitucional, territorial e internacional, para contribuir al desarrollo de la Política de Seguridad Alimentaria y Nutricional y de la Política de Atención Integral a la Primera Infancia; que contemplan la priorización de la atención integral, promoción de la salud, y estilos de vida saludable, y desarrollo de herramientas en seguridad alimentaria y nutricional. Estas acciones son: </w:t>
      </w:r>
    </w:p>
    <w:p w:rsidR="00C374BE" w:rsidRPr="00CE3874" w:rsidRDefault="00C374BE" w:rsidP="00A44A2B">
      <w:pPr>
        <w:pStyle w:val="Prrafodelista"/>
        <w:numPr>
          <w:ilvl w:val="1"/>
          <w:numId w:val="145"/>
        </w:numPr>
        <w:spacing w:after="0" w:line="240" w:lineRule="auto"/>
        <w:ind w:left="720"/>
        <w:jc w:val="both"/>
        <w:rPr>
          <w:rFonts w:cs="Arial"/>
          <w:lang w:val="es-CO"/>
        </w:rPr>
      </w:pPr>
      <w:r w:rsidRPr="00CE3874">
        <w:rPr>
          <w:rFonts w:cs="Arial"/>
          <w:lang w:val="es-CO"/>
        </w:rPr>
        <w:t xml:space="preserve">Política de Seguridad Alimentaria y Nutricional.  </w:t>
      </w:r>
    </w:p>
    <w:p w:rsidR="00C374BE" w:rsidRPr="00CE3874" w:rsidRDefault="00C374BE" w:rsidP="00A44A2B">
      <w:pPr>
        <w:pStyle w:val="Prrafodelista"/>
        <w:numPr>
          <w:ilvl w:val="1"/>
          <w:numId w:val="145"/>
        </w:numPr>
        <w:spacing w:after="0" w:line="240" w:lineRule="auto"/>
        <w:ind w:left="720"/>
        <w:jc w:val="both"/>
        <w:rPr>
          <w:rFonts w:cs="Arial"/>
          <w:lang w:val="es-CO"/>
        </w:rPr>
      </w:pPr>
      <w:r w:rsidRPr="00CE3874">
        <w:rPr>
          <w:rFonts w:cs="Arial"/>
          <w:lang w:val="es-CO"/>
        </w:rPr>
        <w:t xml:space="preserve">Estrategia de Recuperación Nutricional. </w:t>
      </w:r>
    </w:p>
    <w:p w:rsidR="00C374BE" w:rsidRPr="00CE3874" w:rsidRDefault="00C374BE" w:rsidP="00A44A2B">
      <w:pPr>
        <w:pStyle w:val="Prrafodelista"/>
        <w:numPr>
          <w:ilvl w:val="1"/>
          <w:numId w:val="145"/>
        </w:numPr>
        <w:spacing w:after="0" w:line="240" w:lineRule="auto"/>
        <w:ind w:left="720"/>
        <w:jc w:val="both"/>
        <w:rPr>
          <w:rFonts w:cs="Arial"/>
          <w:lang w:val="es-CO"/>
        </w:rPr>
      </w:pPr>
      <w:r w:rsidRPr="00CE3874">
        <w:rPr>
          <w:rFonts w:cs="Arial"/>
          <w:lang w:val="es-CO"/>
        </w:rPr>
        <w:lastRenderedPageBreak/>
        <w:t>1.000 días para cambiar el mundo</w:t>
      </w:r>
    </w:p>
    <w:p w:rsidR="00C374BE" w:rsidRPr="00CE3874" w:rsidRDefault="00C374BE" w:rsidP="00A44A2B">
      <w:pPr>
        <w:pStyle w:val="Prrafodelista"/>
        <w:numPr>
          <w:ilvl w:val="1"/>
          <w:numId w:val="145"/>
        </w:numPr>
        <w:spacing w:after="0" w:line="240" w:lineRule="auto"/>
        <w:ind w:left="720"/>
        <w:jc w:val="both"/>
        <w:rPr>
          <w:rFonts w:cs="Arial"/>
          <w:lang w:val="es-CO"/>
        </w:rPr>
      </w:pPr>
      <w:r w:rsidRPr="00CE3874">
        <w:rPr>
          <w:rFonts w:cs="Arial"/>
          <w:lang w:val="es-CO"/>
        </w:rPr>
        <w:t>Otras acciones de apoyo alimentario (Materno infantil, Bienestarina por convenios, apoyo en procesos de restablecimiento ICBF, operación prolongada de socorro y Recuperación (OPSR)).</w:t>
      </w:r>
    </w:p>
    <w:p w:rsidR="00C374BE" w:rsidRPr="00CE3874" w:rsidRDefault="00C374BE" w:rsidP="00A44A2B">
      <w:pPr>
        <w:pStyle w:val="Prrafodelista"/>
        <w:numPr>
          <w:ilvl w:val="1"/>
          <w:numId w:val="145"/>
        </w:numPr>
        <w:spacing w:after="0" w:line="240" w:lineRule="auto"/>
        <w:ind w:left="720"/>
        <w:jc w:val="both"/>
        <w:rPr>
          <w:rFonts w:cs="Arial"/>
          <w:lang w:val="es-CO"/>
        </w:rPr>
      </w:pPr>
      <w:r w:rsidRPr="00CE3874">
        <w:rPr>
          <w:rFonts w:cs="Arial"/>
          <w:lang w:val="es-CO"/>
        </w:rPr>
        <w:t xml:space="preserve">Sistema Seguimiento Nutricional. </w:t>
      </w:r>
    </w:p>
    <w:p w:rsidR="00C374BE" w:rsidRPr="00CE3874" w:rsidRDefault="00C374BE" w:rsidP="00A44A2B">
      <w:pPr>
        <w:pStyle w:val="Prrafodelista"/>
        <w:numPr>
          <w:ilvl w:val="1"/>
          <w:numId w:val="145"/>
        </w:numPr>
        <w:spacing w:after="0" w:line="240" w:lineRule="auto"/>
        <w:ind w:left="720"/>
        <w:jc w:val="both"/>
        <w:rPr>
          <w:rFonts w:cs="Arial"/>
          <w:lang w:val="es-CO"/>
        </w:rPr>
      </w:pPr>
      <w:r w:rsidRPr="00CE3874">
        <w:rPr>
          <w:rFonts w:cs="Arial"/>
          <w:lang w:val="es-CO"/>
        </w:rPr>
        <w:t>Administración para la producción, compra y distribución de alimentos de alto valor nutricional.</w:t>
      </w:r>
    </w:p>
    <w:p w:rsidR="00C374BE" w:rsidRPr="007608C2" w:rsidRDefault="00C374BE" w:rsidP="00A44A2B">
      <w:pPr>
        <w:pStyle w:val="Prrafodelista"/>
        <w:numPr>
          <w:ilvl w:val="0"/>
          <w:numId w:val="23"/>
        </w:numPr>
        <w:tabs>
          <w:tab w:val="left" w:pos="284"/>
        </w:tabs>
        <w:spacing w:before="100" w:beforeAutospacing="1" w:after="100" w:afterAutospacing="1" w:line="240" w:lineRule="auto"/>
        <w:ind w:left="0" w:firstLine="0"/>
        <w:jc w:val="both"/>
        <w:rPr>
          <w:rFonts w:cs="Arial"/>
          <w:b/>
          <w:lang w:val="es-CO"/>
        </w:rPr>
      </w:pPr>
      <w:r w:rsidRPr="007608C2">
        <w:rPr>
          <w:rFonts w:cs="Arial"/>
          <w:b/>
        </w:rPr>
        <w:t xml:space="preserve">Garantizar la protección integral de las niñas, niños y adolescentes en coordinación con las instancias del SNBF: </w:t>
      </w:r>
    </w:p>
    <w:p w:rsidR="00C374BE" w:rsidRPr="007608C2" w:rsidRDefault="00C374BE" w:rsidP="00C374BE">
      <w:pPr>
        <w:pStyle w:val="Prrafodelista"/>
        <w:spacing w:before="100" w:beforeAutospacing="1" w:after="100" w:afterAutospacing="1" w:line="240" w:lineRule="auto"/>
        <w:ind w:left="0"/>
        <w:jc w:val="both"/>
        <w:rPr>
          <w:rFonts w:cs="Arial"/>
        </w:rPr>
      </w:pPr>
      <w:r w:rsidRPr="007608C2">
        <w:rPr>
          <w:rFonts w:cs="Arial"/>
        </w:rPr>
        <w:t xml:space="preserve">Con el fin de contribuir a la garantía de protección integral de los NNA, es necesaria la incorporación de un enfoque diferencial étnico que permita el diálogo intercultural en la Ruta de Actuaciones y en el Modelo de Atención para el Restablecimiento de Derechos de niñas, niños y adolescentes y mayores de 18 años con discapacidad, con sus derechos amenazados, inobservados o vulnerados, la generación de acciones para promover el efectivo Restablecimiento de Derechos de las niñas, niños y adolescentes ubicados en instituciones de protección del ICBF y en los casos en que los adolescentes y jóvenes estén cerca de cumplir la mayoría de edad y continúen bajo la protección del ICBF, la necesidad de brindar la posibilidad de que los jóvenes puedan acceder a programas de educación superior, universitaria, técnica o tecnológica, como preparación para la vida laboral, para lo cual se cuenta con un programa trasversal del modelo de atención institucional, llamado Proyecto de Vida. </w:t>
      </w:r>
    </w:p>
    <w:p w:rsidR="00C374BE" w:rsidRPr="007608C2" w:rsidRDefault="00C374BE" w:rsidP="00A44A2B">
      <w:pPr>
        <w:pStyle w:val="Prrafodelista"/>
        <w:numPr>
          <w:ilvl w:val="0"/>
          <w:numId w:val="23"/>
        </w:numPr>
        <w:spacing w:before="100" w:beforeAutospacing="1" w:after="100" w:afterAutospacing="1" w:line="240" w:lineRule="auto"/>
        <w:ind w:left="142" w:hanging="142"/>
        <w:jc w:val="both"/>
        <w:rPr>
          <w:rFonts w:cs="Arial"/>
          <w:b/>
        </w:rPr>
      </w:pPr>
      <w:r w:rsidRPr="007608C2">
        <w:rPr>
          <w:rFonts w:cs="Arial"/>
          <w:b/>
        </w:rPr>
        <w:t xml:space="preserve">Lograr una adecuada y eficiente gestión institucional a través de la articulación entre servidores, áreas y niveles territoriales; el apoyo administrativo a los procesos misionales, la apropiación de una cultura de la evaluación y la optimización del uso de los recursos: </w:t>
      </w:r>
    </w:p>
    <w:p w:rsidR="00C374BE" w:rsidRPr="007608C2" w:rsidRDefault="00C374BE" w:rsidP="00C374BE">
      <w:pPr>
        <w:pStyle w:val="Prrafodelista"/>
        <w:spacing w:before="100" w:beforeAutospacing="1" w:after="100" w:afterAutospacing="1" w:line="240" w:lineRule="auto"/>
        <w:ind w:left="142" w:hanging="142"/>
        <w:jc w:val="both"/>
        <w:rPr>
          <w:rFonts w:cs="Arial"/>
        </w:rPr>
      </w:pPr>
      <w:r w:rsidRPr="007608C2">
        <w:rPr>
          <w:rFonts w:cs="Arial"/>
        </w:rPr>
        <w:t xml:space="preserve">Para el cumplimiento de este objetivo, se cuenta con las siguientes estrategias: </w:t>
      </w:r>
    </w:p>
    <w:p w:rsidR="00C374BE" w:rsidRPr="007608C2" w:rsidRDefault="00C374BE" w:rsidP="00C374BE">
      <w:pPr>
        <w:pStyle w:val="Prrafodelista"/>
        <w:spacing w:before="100" w:beforeAutospacing="1" w:after="100" w:afterAutospacing="1" w:line="240" w:lineRule="auto"/>
        <w:ind w:left="0"/>
        <w:jc w:val="both"/>
        <w:rPr>
          <w:rFonts w:eastAsiaTheme="minorHAnsi" w:cs="Arial"/>
          <w:b/>
          <w:bCs/>
          <w:i/>
          <w:iCs/>
          <w:u w:val="single"/>
          <w:lang w:val="es-CO"/>
        </w:rPr>
      </w:pPr>
      <w:r w:rsidRPr="007608C2">
        <w:rPr>
          <w:rFonts w:cs="Arial"/>
        </w:rPr>
        <w:t>Estrategia 1. Diseñar, implementar y evaluar planes, estrategias y modelos para optimizar la gestión institucional. Esta estrategia se encuentra respaldada por la definición y puesta en marcha del Modelo de Gestión Administrativa, del Plan Maestro de Infraestructura, del Plan Estratégico de Gestión Humana, del Modelo de Acompañamiento de la Gestión Regional, del Seguimiento a la gestión institucional y del uso eficiente de los recursos financieros.</w:t>
      </w:r>
    </w:p>
    <w:p w:rsidR="00C374BE" w:rsidRPr="007608C2" w:rsidRDefault="00C374BE" w:rsidP="00C374BE">
      <w:pPr>
        <w:pStyle w:val="Prrafodelista"/>
        <w:spacing w:before="100" w:beforeAutospacing="1" w:after="100" w:afterAutospacing="1" w:line="240" w:lineRule="auto"/>
        <w:ind w:left="0"/>
        <w:jc w:val="both"/>
        <w:rPr>
          <w:rFonts w:cs="Arial"/>
        </w:rPr>
      </w:pPr>
      <w:r w:rsidRPr="007608C2">
        <w:rPr>
          <w:rFonts w:cs="Arial"/>
        </w:rPr>
        <w:t xml:space="preserve">Estrategia 2. Generar condiciones para contribuir a una gestión coordinada, transparente, oportuna, autocrítica y efectiva. </w:t>
      </w:r>
      <w:r w:rsidRPr="007608C2">
        <w:rPr>
          <w:rFonts w:eastAsiaTheme="minorHAnsi" w:cs="Arial"/>
          <w:lang w:val="es-CO"/>
        </w:rPr>
        <w:t xml:space="preserve">Esta estrategia se soporta en el cumplimiento de los </w:t>
      </w:r>
      <w:r w:rsidRPr="007608C2">
        <w:rPr>
          <w:rFonts w:cs="Arial"/>
        </w:rPr>
        <w:t>modelos de Costos para las modalidades de atención, la Estrategia de Compras Locales y la Racionalización de trámites</w:t>
      </w:r>
    </w:p>
    <w:p w:rsidR="00C374BE" w:rsidRPr="007608C2" w:rsidRDefault="00C374BE" w:rsidP="00C374BE">
      <w:pPr>
        <w:pStyle w:val="Prrafodelista"/>
        <w:spacing w:before="100" w:beforeAutospacing="1" w:after="100" w:afterAutospacing="1" w:line="240" w:lineRule="auto"/>
        <w:ind w:left="0"/>
        <w:jc w:val="both"/>
        <w:rPr>
          <w:rFonts w:cs="Arial"/>
        </w:rPr>
      </w:pPr>
      <w:r w:rsidRPr="007608C2">
        <w:rPr>
          <w:rFonts w:cs="Arial"/>
        </w:rPr>
        <w:t>Estrategia 3. Gestionar alianzas estratégicas promoviendo la participación del sector privado y organizaciones nacionales e internacionales para la garantía de los derechos de las niñas, niños y adolescent</w:t>
      </w:r>
      <w:r w:rsidR="00CE3874">
        <w:rPr>
          <w:rFonts w:cs="Arial"/>
        </w:rPr>
        <w:t xml:space="preserve">es. La estrategia se concentra </w:t>
      </w:r>
      <w:r w:rsidRPr="007608C2">
        <w:rPr>
          <w:rFonts w:cs="Arial"/>
        </w:rPr>
        <w:t xml:space="preserve">en la importancia de la articulación, gestión y </w:t>
      </w:r>
      <w:r w:rsidRPr="007608C2">
        <w:rPr>
          <w:rFonts w:cs="Arial"/>
        </w:rPr>
        <w:lastRenderedPageBreak/>
        <w:t>negociación con aliados estratégicos que permitan contribuir en la implementación de proyectos logrando un verdadero impacto en la calidad de vida de la población que atiende el ICBF.</w:t>
      </w:r>
    </w:p>
    <w:p w:rsidR="00C374BE" w:rsidRPr="007608C2" w:rsidRDefault="00C374BE" w:rsidP="00C374BE">
      <w:pPr>
        <w:spacing w:before="100" w:beforeAutospacing="1" w:after="100" w:afterAutospacing="1" w:line="240" w:lineRule="auto"/>
        <w:jc w:val="both"/>
        <w:rPr>
          <w:rFonts w:cs="Arial"/>
          <w:lang w:val="es-CO"/>
        </w:rPr>
      </w:pPr>
      <w:r w:rsidRPr="007608C2">
        <w:rPr>
          <w:rFonts w:cs="Arial"/>
        </w:rPr>
        <w:t>De otra parte, el Plan Indicativo Institucional, incluye las metas de gobierno en las cuales tiene incidencia directa el ICBF</w:t>
      </w:r>
      <w:r w:rsidR="00CE3874">
        <w:rPr>
          <w:rFonts w:cs="Arial"/>
        </w:rPr>
        <w:t>, orientadas principalmente a</w:t>
      </w:r>
      <w:r w:rsidRPr="007608C2">
        <w:rPr>
          <w:rFonts w:cs="Arial"/>
        </w:rPr>
        <w:t xml:space="preserve"> la Estrategia de Atención Integral a la Primera Infancia “De Cero a Siempre”, que reúne las políticas, programas, proyectos, acciones y servicios dirigidos a las madres en periodo de gestación, y a los niños y niñas desde los 0 a los 5 años 11 meses de edad.</w:t>
      </w:r>
    </w:p>
    <w:p w:rsidR="00C374BE" w:rsidRPr="007608C2" w:rsidRDefault="00C374BE" w:rsidP="00C374BE">
      <w:pPr>
        <w:spacing w:before="100" w:beforeAutospacing="1" w:after="100" w:afterAutospacing="1" w:line="240" w:lineRule="auto"/>
        <w:jc w:val="both"/>
        <w:rPr>
          <w:rFonts w:cs="Arial"/>
        </w:rPr>
      </w:pPr>
      <w:r w:rsidRPr="007608C2">
        <w:rPr>
          <w:rFonts w:cs="Arial"/>
        </w:rPr>
        <w:t>Fin</w:t>
      </w:r>
      <w:r w:rsidR="00CE3874">
        <w:rPr>
          <w:rFonts w:cs="Arial"/>
        </w:rPr>
        <w:t xml:space="preserve">almente, en la siguiente tabla se presenta </w:t>
      </w:r>
      <w:r w:rsidRPr="007608C2">
        <w:rPr>
          <w:rFonts w:cs="Arial"/>
        </w:rPr>
        <w:t xml:space="preserve">el avance de las metas propuestas para el cuatrienio, con </w:t>
      </w:r>
      <w:r w:rsidR="00751035" w:rsidRPr="007608C2">
        <w:rPr>
          <w:rFonts w:cs="Arial"/>
        </w:rPr>
        <w:t>corte diciembre 2017 preliminar</w:t>
      </w:r>
      <w:r w:rsidRPr="007608C2">
        <w:rPr>
          <w:rFonts w:cs="Arial"/>
        </w:rPr>
        <w:t>:</w:t>
      </w:r>
    </w:p>
    <w:tbl>
      <w:tblPr>
        <w:tblpPr w:leftFromText="141" w:rightFromText="141" w:vertAnchor="text" w:horzAnchor="margin" w:tblpXSpec="center" w:tblpY="370"/>
        <w:tblW w:w="7938"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760"/>
        <w:gridCol w:w="1521"/>
        <w:gridCol w:w="941"/>
        <w:gridCol w:w="941"/>
        <w:gridCol w:w="941"/>
        <w:gridCol w:w="1001"/>
        <w:gridCol w:w="941"/>
        <w:gridCol w:w="941"/>
        <w:gridCol w:w="705"/>
      </w:tblGrid>
      <w:tr w:rsidR="00C374BE" w:rsidRPr="003C3E25" w:rsidTr="003C3E25">
        <w:trPr>
          <w:trHeight w:val="506"/>
        </w:trPr>
        <w:tc>
          <w:tcPr>
            <w:tcW w:w="591" w:type="dxa"/>
            <w:vMerge w:val="restart"/>
            <w:shd w:val="clear" w:color="auto" w:fill="76922E"/>
            <w:vAlign w:val="center"/>
          </w:tcPr>
          <w:p w:rsidR="00C374BE" w:rsidRPr="003C3E25" w:rsidRDefault="00C374BE" w:rsidP="004652A6">
            <w:pPr>
              <w:spacing w:after="0" w:line="240" w:lineRule="auto"/>
              <w:jc w:val="center"/>
              <w:rPr>
                <w:rFonts w:eastAsia="Times New Roman" w:cs="Arial"/>
                <w:b/>
                <w:color w:val="FFFFFF"/>
                <w:sz w:val="18"/>
                <w:szCs w:val="18"/>
                <w:lang w:val="es-CO" w:eastAsia="es-CO"/>
              </w:rPr>
            </w:pPr>
            <w:r w:rsidRPr="003C3E25">
              <w:rPr>
                <w:rFonts w:eastAsia="Times New Roman" w:cs="Arial"/>
                <w:b/>
                <w:color w:val="FFFFFF"/>
                <w:sz w:val="18"/>
                <w:szCs w:val="18"/>
                <w:lang w:val="es-CO" w:eastAsia="es-CO"/>
              </w:rPr>
              <w:t>Código</w:t>
            </w:r>
          </w:p>
        </w:tc>
        <w:tc>
          <w:tcPr>
            <w:tcW w:w="2055" w:type="dxa"/>
            <w:vMerge w:val="restart"/>
            <w:shd w:val="clear" w:color="auto" w:fill="76922E"/>
            <w:vAlign w:val="center"/>
          </w:tcPr>
          <w:p w:rsidR="00C374BE" w:rsidRPr="003C3E25" w:rsidRDefault="00C374BE" w:rsidP="004652A6">
            <w:pPr>
              <w:spacing w:after="0" w:line="240" w:lineRule="auto"/>
              <w:jc w:val="center"/>
              <w:rPr>
                <w:rFonts w:eastAsia="Times New Roman" w:cs="Arial"/>
                <w:b/>
                <w:color w:val="FFFFFF"/>
                <w:sz w:val="18"/>
                <w:szCs w:val="18"/>
                <w:lang w:val="es-CO" w:eastAsia="es-CO"/>
              </w:rPr>
            </w:pPr>
            <w:r w:rsidRPr="003C3E25">
              <w:rPr>
                <w:rFonts w:eastAsia="Times New Roman" w:cs="Arial"/>
                <w:b/>
                <w:color w:val="FFFFFF"/>
                <w:sz w:val="18"/>
                <w:szCs w:val="18"/>
                <w:lang w:val="es-CO" w:eastAsia="es-CO"/>
              </w:rPr>
              <w:t>Indicador SINERGIA</w:t>
            </w:r>
          </w:p>
        </w:tc>
        <w:tc>
          <w:tcPr>
            <w:tcW w:w="674" w:type="dxa"/>
            <w:vMerge w:val="restart"/>
            <w:shd w:val="clear" w:color="auto" w:fill="76922E"/>
            <w:noWrap/>
            <w:vAlign w:val="center"/>
          </w:tcPr>
          <w:p w:rsidR="00C374BE" w:rsidRPr="003C3E25" w:rsidRDefault="00C374BE" w:rsidP="004652A6">
            <w:pPr>
              <w:jc w:val="center"/>
              <w:rPr>
                <w:rFonts w:eastAsia="Times New Roman" w:cs="Arial"/>
                <w:b/>
                <w:color w:val="000000"/>
                <w:sz w:val="18"/>
                <w:szCs w:val="18"/>
                <w:lang w:val="es-CO" w:eastAsia="es-CO"/>
              </w:rPr>
            </w:pPr>
            <w:r w:rsidRPr="003C3E25">
              <w:rPr>
                <w:rFonts w:eastAsia="Times New Roman" w:cs="Arial"/>
                <w:b/>
                <w:color w:val="FFFFFF"/>
                <w:sz w:val="18"/>
                <w:szCs w:val="18"/>
                <w:lang w:val="es-CO" w:eastAsia="es-CO"/>
              </w:rPr>
              <w:t>Línea Base</w:t>
            </w:r>
          </w:p>
        </w:tc>
        <w:tc>
          <w:tcPr>
            <w:tcW w:w="1687" w:type="dxa"/>
            <w:gridSpan w:val="2"/>
            <w:shd w:val="clear" w:color="auto" w:fill="76922E"/>
            <w:noWrap/>
            <w:vAlign w:val="center"/>
          </w:tcPr>
          <w:p w:rsidR="00C374BE" w:rsidRPr="003C3E25" w:rsidRDefault="00C374BE" w:rsidP="004652A6">
            <w:pPr>
              <w:jc w:val="center"/>
              <w:rPr>
                <w:rFonts w:eastAsia="Times New Roman" w:cs="Arial"/>
                <w:b/>
                <w:color w:val="FFFFFF" w:themeColor="background1"/>
                <w:sz w:val="18"/>
                <w:szCs w:val="18"/>
                <w:lang w:val="es-CO" w:eastAsia="es-CO"/>
              </w:rPr>
            </w:pPr>
            <w:r w:rsidRPr="003C3E25">
              <w:rPr>
                <w:rFonts w:eastAsia="Times New Roman" w:cs="Arial"/>
                <w:b/>
                <w:color w:val="FFFFFF" w:themeColor="background1"/>
                <w:sz w:val="18"/>
                <w:szCs w:val="18"/>
                <w:lang w:val="es-CO" w:eastAsia="es-CO"/>
              </w:rPr>
              <w:t>Cuatrienio</w:t>
            </w:r>
          </w:p>
        </w:tc>
        <w:tc>
          <w:tcPr>
            <w:tcW w:w="800" w:type="dxa"/>
            <w:vMerge w:val="restart"/>
            <w:shd w:val="clear" w:color="auto" w:fill="76922E"/>
            <w:noWrap/>
            <w:vAlign w:val="center"/>
          </w:tcPr>
          <w:p w:rsidR="00C374BE" w:rsidRPr="003C3E25" w:rsidRDefault="00C374BE" w:rsidP="004652A6">
            <w:pPr>
              <w:jc w:val="center"/>
              <w:rPr>
                <w:rFonts w:eastAsia="Times New Roman" w:cs="Arial"/>
                <w:b/>
                <w:color w:val="000000"/>
                <w:sz w:val="18"/>
                <w:szCs w:val="18"/>
                <w:lang w:val="es-CO" w:eastAsia="es-CO"/>
              </w:rPr>
            </w:pPr>
            <w:r w:rsidRPr="003C3E25">
              <w:rPr>
                <w:rFonts w:eastAsia="Times New Roman" w:cs="Arial"/>
                <w:b/>
                <w:color w:val="FFFFFF" w:themeColor="background1"/>
                <w:sz w:val="18"/>
                <w:szCs w:val="18"/>
                <w:lang w:val="es-CO" w:eastAsia="es-CO"/>
              </w:rPr>
              <w:t>% cuatrienio</w:t>
            </w:r>
          </w:p>
        </w:tc>
        <w:tc>
          <w:tcPr>
            <w:tcW w:w="1426" w:type="dxa"/>
            <w:gridSpan w:val="2"/>
            <w:shd w:val="clear" w:color="auto" w:fill="76922E"/>
            <w:noWrap/>
            <w:vAlign w:val="center"/>
          </w:tcPr>
          <w:p w:rsidR="00C374BE" w:rsidRPr="003C3E25" w:rsidRDefault="00C374BE" w:rsidP="004652A6">
            <w:pPr>
              <w:jc w:val="center"/>
              <w:rPr>
                <w:rFonts w:eastAsia="Times New Roman" w:cs="Arial"/>
                <w:b/>
                <w:color w:val="FFFFFF" w:themeColor="background1"/>
                <w:sz w:val="18"/>
                <w:szCs w:val="18"/>
                <w:lang w:val="es-CO" w:eastAsia="es-CO"/>
              </w:rPr>
            </w:pPr>
            <w:r w:rsidRPr="003C3E25">
              <w:rPr>
                <w:rFonts w:eastAsia="Times New Roman" w:cs="Arial"/>
                <w:b/>
                <w:color w:val="FFFFFF" w:themeColor="background1"/>
                <w:sz w:val="18"/>
                <w:szCs w:val="18"/>
                <w:lang w:val="es-CO" w:eastAsia="es-CO"/>
              </w:rPr>
              <w:t>2017</w:t>
            </w:r>
          </w:p>
        </w:tc>
        <w:tc>
          <w:tcPr>
            <w:tcW w:w="705" w:type="dxa"/>
            <w:vMerge w:val="restart"/>
            <w:shd w:val="clear" w:color="auto" w:fill="76922E"/>
            <w:noWrap/>
            <w:vAlign w:val="center"/>
          </w:tcPr>
          <w:p w:rsidR="00C374BE" w:rsidRPr="003C3E25" w:rsidRDefault="00C374BE" w:rsidP="004652A6">
            <w:pPr>
              <w:jc w:val="center"/>
              <w:rPr>
                <w:rFonts w:eastAsia="Times New Roman" w:cs="Arial"/>
                <w:b/>
                <w:color w:val="76922E"/>
                <w:sz w:val="18"/>
                <w:szCs w:val="18"/>
                <w:lang w:val="es-CO" w:eastAsia="es-CO"/>
              </w:rPr>
            </w:pPr>
            <w:r w:rsidRPr="003C3E25">
              <w:rPr>
                <w:rFonts w:eastAsia="Times New Roman" w:cs="Arial"/>
                <w:b/>
                <w:color w:val="FFFFFF" w:themeColor="background1"/>
                <w:sz w:val="18"/>
                <w:szCs w:val="18"/>
                <w:lang w:val="es-CO" w:eastAsia="es-CO"/>
              </w:rPr>
              <w:t>% 2017</w:t>
            </w:r>
          </w:p>
        </w:tc>
      </w:tr>
      <w:tr w:rsidR="00C374BE" w:rsidRPr="003C3E25" w:rsidTr="003C3E25">
        <w:trPr>
          <w:trHeight w:val="47"/>
        </w:trPr>
        <w:tc>
          <w:tcPr>
            <w:tcW w:w="591" w:type="dxa"/>
            <w:vMerge/>
            <w:shd w:val="clear" w:color="auto" w:fill="76922E"/>
            <w:vAlign w:val="center"/>
          </w:tcPr>
          <w:p w:rsidR="00C374BE" w:rsidRPr="003C3E25" w:rsidRDefault="00C374BE" w:rsidP="004652A6">
            <w:pPr>
              <w:jc w:val="center"/>
              <w:rPr>
                <w:rFonts w:eastAsia="Times New Roman" w:cs="Arial"/>
                <w:b/>
                <w:color w:val="000000"/>
                <w:sz w:val="18"/>
                <w:szCs w:val="18"/>
                <w:lang w:val="es-CO" w:eastAsia="es-CO"/>
              </w:rPr>
            </w:pPr>
          </w:p>
        </w:tc>
        <w:tc>
          <w:tcPr>
            <w:tcW w:w="2055" w:type="dxa"/>
            <w:vMerge/>
            <w:shd w:val="clear" w:color="auto" w:fill="76922E"/>
            <w:vAlign w:val="center"/>
          </w:tcPr>
          <w:p w:rsidR="00C374BE" w:rsidRPr="003C3E25" w:rsidRDefault="00C374BE" w:rsidP="004652A6">
            <w:pPr>
              <w:jc w:val="both"/>
              <w:rPr>
                <w:rFonts w:eastAsia="Times New Roman" w:cs="Arial"/>
                <w:b/>
                <w:sz w:val="18"/>
                <w:szCs w:val="18"/>
                <w:lang w:val="es-CO" w:eastAsia="es-CO"/>
              </w:rPr>
            </w:pPr>
          </w:p>
        </w:tc>
        <w:tc>
          <w:tcPr>
            <w:tcW w:w="674" w:type="dxa"/>
            <w:vMerge/>
            <w:shd w:val="clear" w:color="auto" w:fill="76922E"/>
            <w:noWrap/>
            <w:vAlign w:val="center"/>
          </w:tcPr>
          <w:p w:rsidR="00C374BE" w:rsidRPr="003C3E25" w:rsidRDefault="00C374BE" w:rsidP="004652A6">
            <w:pPr>
              <w:jc w:val="center"/>
              <w:rPr>
                <w:rFonts w:eastAsia="Times New Roman" w:cs="Arial"/>
                <w:b/>
                <w:color w:val="000000"/>
                <w:sz w:val="18"/>
                <w:szCs w:val="18"/>
                <w:lang w:val="es-CO" w:eastAsia="es-CO"/>
              </w:rPr>
            </w:pPr>
          </w:p>
        </w:tc>
        <w:tc>
          <w:tcPr>
            <w:tcW w:w="817" w:type="dxa"/>
            <w:shd w:val="clear" w:color="auto" w:fill="76922E"/>
            <w:noWrap/>
            <w:vAlign w:val="center"/>
          </w:tcPr>
          <w:p w:rsidR="00C374BE" w:rsidRPr="003C3E25" w:rsidRDefault="00C374BE" w:rsidP="004652A6">
            <w:pPr>
              <w:jc w:val="center"/>
              <w:rPr>
                <w:rFonts w:eastAsia="Times New Roman" w:cs="Arial"/>
                <w:b/>
                <w:color w:val="000000"/>
                <w:sz w:val="18"/>
                <w:szCs w:val="18"/>
                <w:lang w:val="es-CO" w:eastAsia="es-CO"/>
              </w:rPr>
            </w:pPr>
            <w:r w:rsidRPr="003C3E25">
              <w:rPr>
                <w:rFonts w:eastAsia="Times New Roman" w:cs="Arial"/>
                <w:b/>
                <w:color w:val="FFFFFF" w:themeColor="background1"/>
                <w:sz w:val="18"/>
                <w:szCs w:val="18"/>
                <w:lang w:val="es-CO" w:eastAsia="es-CO"/>
              </w:rPr>
              <w:t>Meta</w:t>
            </w:r>
          </w:p>
        </w:tc>
        <w:tc>
          <w:tcPr>
            <w:tcW w:w="870" w:type="dxa"/>
            <w:shd w:val="clear" w:color="auto" w:fill="76922E"/>
            <w:noWrap/>
            <w:vAlign w:val="center"/>
          </w:tcPr>
          <w:p w:rsidR="00C374BE" w:rsidRPr="003C3E25" w:rsidRDefault="00C374BE" w:rsidP="004652A6">
            <w:pPr>
              <w:jc w:val="center"/>
              <w:rPr>
                <w:rFonts w:eastAsia="Times New Roman" w:cs="Arial"/>
                <w:b/>
                <w:color w:val="FFFFFF" w:themeColor="background1"/>
                <w:sz w:val="18"/>
                <w:szCs w:val="18"/>
                <w:lang w:val="es-CO" w:eastAsia="es-CO"/>
              </w:rPr>
            </w:pPr>
            <w:r w:rsidRPr="003C3E25">
              <w:rPr>
                <w:rFonts w:eastAsia="Times New Roman" w:cs="Arial"/>
                <w:b/>
                <w:color w:val="FFFFFF" w:themeColor="background1"/>
                <w:sz w:val="18"/>
                <w:szCs w:val="18"/>
                <w:lang w:val="es-CO" w:eastAsia="es-CO"/>
              </w:rPr>
              <w:t>Avance</w:t>
            </w:r>
          </w:p>
        </w:tc>
        <w:tc>
          <w:tcPr>
            <w:tcW w:w="800" w:type="dxa"/>
            <w:vMerge/>
            <w:shd w:val="clear" w:color="auto" w:fill="76922E"/>
            <w:noWrap/>
            <w:vAlign w:val="center"/>
          </w:tcPr>
          <w:p w:rsidR="00C374BE" w:rsidRPr="003C3E25" w:rsidRDefault="00C374BE" w:rsidP="004652A6">
            <w:pPr>
              <w:jc w:val="center"/>
              <w:rPr>
                <w:rFonts w:eastAsia="Times New Roman" w:cs="Arial"/>
                <w:color w:val="000000"/>
                <w:sz w:val="18"/>
                <w:szCs w:val="18"/>
                <w:lang w:val="es-CO" w:eastAsia="es-CO"/>
              </w:rPr>
            </w:pPr>
          </w:p>
        </w:tc>
        <w:tc>
          <w:tcPr>
            <w:tcW w:w="705" w:type="dxa"/>
            <w:shd w:val="clear" w:color="auto" w:fill="76922E"/>
            <w:noWrap/>
            <w:vAlign w:val="center"/>
          </w:tcPr>
          <w:p w:rsidR="00C374BE" w:rsidRPr="003C3E25" w:rsidRDefault="00C374BE" w:rsidP="004652A6">
            <w:pPr>
              <w:jc w:val="center"/>
              <w:rPr>
                <w:rFonts w:eastAsia="Times New Roman" w:cs="Arial"/>
                <w:b/>
                <w:color w:val="FFFFFF" w:themeColor="background1"/>
                <w:sz w:val="18"/>
                <w:szCs w:val="18"/>
                <w:lang w:val="es-CO" w:eastAsia="es-CO"/>
              </w:rPr>
            </w:pPr>
            <w:r w:rsidRPr="003C3E25">
              <w:rPr>
                <w:rFonts w:eastAsia="Times New Roman" w:cs="Arial"/>
                <w:b/>
                <w:color w:val="FFFFFF" w:themeColor="background1"/>
                <w:sz w:val="18"/>
                <w:szCs w:val="18"/>
                <w:lang w:val="es-CO" w:eastAsia="es-CO"/>
              </w:rPr>
              <w:t>Meta</w:t>
            </w:r>
          </w:p>
        </w:tc>
        <w:tc>
          <w:tcPr>
            <w:tcW w:w="721" w:type="dxa"/>
            <w:shd w:val="clear" w:color="auto" w:fill="76922E"/>
            <w:noWrap/>
            <w:vAlign w:val="center"/>
          </w:tcPr>
          <w:p w:rsidR="00C374BE" w:rsidRPr="003C3E25" w:rsidRDefault="00C374BE" w:rsidP="004652A6">
            <w:pPr>
              <w:jc w:val="center"/>
              <w:rPr>
                <w:rFonts w:eastAsia="Times New Roman" w:cs="Arial"/>
                <w:b/>
                <w:color w:val="FFFFFF" w:themeColor="background1"/>
                <w:sz w:val="18"/>
                <w:szCs w:val="18"/>
                <w:lang w:val="es-CO" w:eastAsia="es-CO"/>
              </w:rPr>
            </w:pPr>
            <w:r w:rsidRPr="003C3E25">
              <w:rPr>
                <w:rFonts w:eastAsia="Times New Roman" w:cs="Arial"/>
                <w:b/>
                <w:color w:val="FFFFFF" w:themeColor="background1"/>
                <w:sz w:val="18"/>
                <w:szCs w:val="18"/>
                <w:lang w:val="es-CO" w:eastAsia="es-CO"/>
              </w:rPr>
              <w:t>Avance</w:t>
            </w:r>
          </w:p>
        </w:tc>
        <w:tc>
          <w:tcPr>
            <w:tcW w:w="705" w:type="dxa"/>
            <w:vMerge/>
            <w:shd w:val="clear" w:color="auto" w:fill="76922E"/>
            <w:noWrap/>
            <w:vAlign w:val="center"/>
          </w:tcPr>
          <w:p w:rsidR="00C374BE" w:rsidRPr="003C3E25" w:rsidRDefault="00C374BE" w:rsidP="004652A6">
            <w:pPr>
              <w:jc w:val="center"/>
              <w:rPr>
                <w:rFonts w:eastAsia="Times New Roman" w:cs="Arial"/>
                <w:color w:val="000000"/>
                <w:sz w:val="18"/>
                <w:szCs w:val="18"/>
                <w:lang w:val="es-CO" w:eastAsia="es-CO"/>
              </w:rPr>
            </w:pPr>
          </w:p>
        </w:tc>
      </w:tr>
      <w:tr w:rsidR="00C374BE" w:rsidRPr="003C3E25" w:rsidTr="003C3E25">
        <w:trPr>
          <w:trHeight w:val="506"/>
        </w:trPr>
        <w:tc>
          <w:tcPr>
            <w:tcW w:w="591" w:type="dxa"/>
            <w:shd w:val="clear" w:color="000000" w:fill="F1F7ED"/>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PA-01</w:t>
            </w:r>
          </w:p>
        </w:tc>
        <w:tc>
          <w:tcPr>
            <w:tcW w:w="2055" w:type="dxa"/>
            <w:shd w:val="clear" w:color="000000" w:fill="FFFFFF"/>
            <w:vAlign w:val="center"/>
            <w:hideMark/>
          </w:tcPr>
          <w:p w:rsidR="00C374BE" w:rsidRPr="003C3E25" w:rsidRDefault="00C374BE" w:rsidP="004652A6">
            <w:pPr>
              <w:jc w:val="both"/>
              <w:rPr>
                <w:rFonts w:eastAsia="Times New Roman" w:cs="Arial"/>
                <w:sz w:val="18"/>
                <w:szCs w:val="18"/>
                <w:lang w:val="es-CO" w:eastAsia="es-CO"/>
              </w:rPr>
            </w:pPr>
            <w:r w:rsidRPr="003C3E25">
              <w:rPr>
                <w:rFonts w:eastAsia="Times New Roman" w:cs="Arial"/>
                <w:sz w:val="18"/>
                <w:szCs w:val="18"/>
                <w:lang w:val="es-CO" w:eastAsia="es-CO"/>
              </w:rPr>
              <w:t>Número de niños y niñas atendidos en el marco de la Atención Integral.</w:t>
            </w:r>
          </w:p>
        </w:tc>
        <w:tc>
          <w:tcPr>
            <w:tcW w:w="674" w:type="dxa"/>
            <w:shd w:val="clear" w:color="000000" w:fill="FFFFFF"/>
            <w:noWrap/>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1.054.857</w:t>
            </w:r>
          </w:p>
        </w:tc>
        <w:tc>
          <w:tcPr>
            <w:tcW w:w="817" w:type="dxa"/>
            <w:shd w:val="clear" w:color="000000" w:fill="FFFFFF"/>
            <w:noWrap/>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1.350.000</w:t>
            </w:r>
          </w:p>
        </w:tc>
        <w:tc>
          <w:tcPr>
            <w:tcW w:w="870"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1.208.216</w:t>
            </w:r>
          </w:p>
        </w:tc>
        <w:tc>
          <w:tcPr>
            <w:tcW w:w="800" w:type="dxa"/>
            <w:shd w:val="clear" w:color="000000" w:fill="EDEDED"/>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89%</w:t>
            </w:r>
          </w:p>
        </w:tc>
        <w:tc>
          <w:tcPr>
            <w:tcW w:w="705"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1.150.000</w:t>
            </w:r>
          </w:p>
        </w:tc>
        <w:tc>
          <w:tcPr>
            <w:tcW w:w="721"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1.208.216</w:t>
            </w:r>
          </w:p>
        </w:tc>
        <w:tc>
          <w:tcPr>
            <w:tcW w:w="705" w:type="dxa"/>
            <w:shd w:val="clear" w:color="000000" w:fill="EDEDED"/>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105%</w:t>
            </w:r>
          </w:p>
        </w:tc>
      </w:tr>
      <w:tr w:rsidR="00C374BE" w:rsidRPr="003C3E25" w:rsidTr="003C3E25">
        <w:trPr>
          <w:trHeight w:val="506"/>
        </w:trPr>
        <w:tc>
          <w:tcPr>
            <w:tcW w:w="591" w:type="dxa"/>
            <w:shd w:val="clear" w:color="000000" w:fill="F1F7ED"/>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PA-04</w:t>
            </w:r>
          </w:p>
        </w:tc>
        <w:tc>
          <w:tcPr>
            <w:tcW w:w="2055" w:type="dxa"/>
            <w:shd w:val="clear" w:color="000000" w:fill="FFFFFF"/>
            <w:vAlign w:val="center"/>
            <w:hideMark/>
          </w:tcPr>
          <w:p w:rsidR="00C374BE" w:rsidRPr="003C3E25" w:rsidRDefault="00C374BE" w:rsidP="004652A6">
            <w:pPr>
              <w:jc w:val="both"/>
              <w:rPr>
                <w:rFonts w:eastAsia="Times New Roman" w:cs="Arial"/>
                <w:sz w:val="18"/>
                <w:szCs w:val="18"/>
                <w:lang w:val="es-CO" w:eastAsia="es-CO"/>
              </w:rPr>
            </w:pPr>
            <w:r w:rsidRPr="003C3E25">
              <w:rPr>
                <w:rFonts w:eastAsia="Times New Roman" w:cs="Arial"/>
                <w:sz w:val="18"/>
                <w:szCs w:val="18"/>
                <w:lang w:val="es-CO" w:eastAsia="es-CO"/>
              </w:rPr>
              <w:t xml:space="preserve"> Porcentaje de Hogares Comunitarios que cumplen los estándares de la estrategia de Cero a Siempre</w:t>
            </w:r>
          </w:p>
        </w:tc>
        <w:tc>
          <w:tcPr>
            <w:tcW w:w="674" w:type="dxa"/>
            <w:shd w:val="clear" w:color="000000" w:fill="FFFFFF"/>
            <w:noWrap/>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w:t>
            </w:r>
          </w:p>
        </w:tc>
        <w:tc>
          <w:tcPr>
            <w:tcW w:w="817" w:type="dxa"/>
            <w:shd w:val="clear" w:color="000000" w:fill="FFFFFF"/>
            <w:noWrap/>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50%</w:t>
            </w:r>
          </w:p>
        </w:tc>
        <w:tc>
          <w:tcPr>
            <w:tcW w:w="870"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50%</w:t>
            </w:r>
          </w:p>
        </w:tc>
        <w:tc>
          <w:tcPr>
            <w:tcW w:w="800" w:type="dxa"/>
            <w:shd w:val="clear" w:color="000000" w:fill="EDEDED"/>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100%</w:t>
            </w:r>
          </w:p>
        </w:tc>
        <w:tc>
          <w:tcPr>
            <w:tcW w:w="705"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40%</w:t>
            </w:r>
          </w:p>
        </w:tc>
        <w:tc>
          <w:tcPr>
            <w:tcW w:w="721"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50%</w:t>
            </w:r>
          </w:p>
        </w:tc>
        <w:tc>
          <w:tcPr>
            <w:tcW w:w="705" w:type="dxa"/>
            <w:shd w:val="clear" w:color="000000" w:fill="EDEDED"/>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126%</w:t>
            </w:r>
          </w:p>
        </w:tc>
      </w:tr>
      <w:tr w:rsidR="00C374BE" w:rsidRPr="003C3E25" w:rsidTr="003C3E25">
        <w:trPr>
          <w:trHeight w:val="506"/>
        </w:trPr>
        <w:tc>
          <w:tcPr>
            <w:tcW w:w="591" w:type="dxa"/>
            <w:shd w:val="clear" w:color="000000" w:fill="F1F7ED"/>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PA-05</w:t>
            </w:r>
          </w:p>
        </w:tc>
        <w:tc>
          <w:tcPr>
            <w:tcW w:w="2055" w:type="dxa"/>
            <w:shd w:val="clear" w:color="000000" w:fill="FFFFFF"/>
            <w:vAlign w:val="center"/>
            <w:hideMark/>
          </w:tcPr>
          <w:p w:rsidR="00C374BE" w:rsidRPr="003C3E25" w:rsidRDefault="00C374BE" w:rsidP="004652A6">
            <w:pPr>
              <w:jc w:val="both"/>
              <w:rPr>
                <w:rFonts w:eastAsia="Times New Roman" w:cs="Arial"/>
                <w:sz w:val="18"/>
                <w:szCs w:val="18"/>
                <w:lang w:val="es-CO" w:eastAsia="es-CO"/>
              </w:rPr>
            </w:pPr>
            <w:r w:rsidRPr="003C3E25">
              <w:rPr>
                <w:rFonts w:eastAsia="Times New Roman" w:cs="Arial"/>
                <w:sz w:val="18"/>
                <w:szCs w:val="18"/>
                <w:lang w:val="es-CO" w:eastAsia="es-CO"/>
              </w:rPr>
              <w:t>Número de agentes educativos en proceso de formación y/o cualificación en Atención Integral a la Primera Infancia.</w:t>
            </w:r>
          </w:p>
        </w:tc>
        <w:tc>
          <w:tcPr>
            <w:tcW w:w="674" w:type="dxa"/>
            <w:shd w:val="clear" w:color="000000" w:fill="FFFFFF"/>
            <w:noWrap/>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49.672</w:t>
            </w:r>
          </w:p>
        </w:tc>
        <w:tc>
          <w:tcPr>
            <w:tcW w:w="817" w:type="dxa"/>
            <w:shd w:val="clear" w:color="000000" w:fill="FFFFFF"/>
            <w:noWrap/>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60.000</w:t>
            </w:r>
          </w:p>
        </w:tc>
        <w:tc>
          <w:tcPr>
            <w:tcW w:w="870"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sz w:val="18"/>
                <w:szCs w:val="18"/>
              </w:rPr>
              <w:t>45.544</w:t>
            </w:r>
          </w:p>
        </w:tc>
        <w:tc>
          <w:tcPr>
            <w:tcW w:w="800" w:type="dxa"/>
            <w:shd w:val="clear" w:color="000000" w:fill="EDEDED"/>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76%</w:t>
            </w:r>
          </w:p>
        </w:tc>
        <w:tc>
          <w:tcPr>
            <w:tcW w:w="705"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45.000</w:t>
            </w:r>
          </w:p>
        </w:tc>
        <w:tc>
          <w:tcPr>
            <w:tcW w:w="721"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45.544</w:t>
            </w:r>
          </w:p>
        </w:tc>
        <w:tc>
          <w:tcPr>
            <w:tcW w:w="705" w:type="dxa"/>
            <w:shd w:val="clear" w:color="000000" w:fill="EDEDED"/>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101%</w:t>
            </w:r>
          </w:p>
        </w:tc>
      </w:tr>
      <w:tr w:rsidR="00C374BE" w:rsidRPr="003C3E25" w:rsidTr="003C3E25">
        <w:trPr>
          <w:trHeight w:val="325"/>
        </w:trPr>
        <w:tc>
          <w:tcPr>
            <w:tcW w:w="591" w:type="dxa"/>
            <w:shd w:val="clear" w:color="000000" w:fill="F1F7ED"/>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PA-07</w:t>
            </w:r>
          </w:p>
        </w:tc>
        <w:tc>
          <w:tcPr>
            <w:tcW w:w="2055" w:type="dxa"/>
            <w:shd w:val="clear" w:color="000000" w:fill="FFFFFF"/>
            <w:vAlign w:val="center"/>
            <w:hideMark/>
          </w:tcPr>
          <w:p w:rsidR="00C374BE" w:rsidRPr="003C3E25" w:rsidRDefault="00C374BE" w:rsidP="004652A6">
            <w:pPr>
              <w:jc w:val="both"/>
              <w:rPr>
                <w:rFonts w:eastAsia="Times New Roman" w:cs="Arial"/>
                <w:sz w:val="18"/>
                <w:szCs w:val="18"/>
                <w:lang w:val="es-CO" w:eastAsia="es-CO"/>
              </w:rPr>
            </w:pPr>
            <w:r w:rsidRPr="003C3E25">
              <w:rPr>
                <w:rFonts w:eastAsia="Times New Roman" w:cs="Arial"/>
                <w:sz w:val="18"/>
                <w:szCs w:val="18"/>
                <w:lang w:val="es-CO" w:eastAsia="es-CO"/>
              </w:rPr>
              <w:t xml:space="preserve">Número de Unidades de servicio con planes de implementación </w:t>
            </w:r>
            <w:r w:rsidRPr="003C3E25">
              <w:rPr>
                <w:rFonts w:eastAsia="Times New Roman" w:cs="Arial"/>
                <w:sz w:val="18"/>
                <w:szCs w:val="18"/>
                <w:lang w:val="es-CO" w:eastAsia="es-CO"/>
              </w:rPr>
              <w:lastRenderedPageBreak/>
              <w:t>para salas de lectura.</w:t>
            </w:r>
          </w:p>
        </w:tc>
        <w:tc>
          <w:tcPr>
            <w:tcW w:w="674" w:type="dxa"/>
            <w:shd w:val="clear" w:color="000000" w:fill="FFFFFF"/>
            <w:noWrap/>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lastRenderedPageBreak/>
              <w:t>28</w:t>
            </w:r>
          </w:p>
        </w:tc>
        <w:tc>
          <w:tcPr>
            <w:tcW w:w="817" w:type="dxa"/>
            <w:shd w:val="clear" w:color="000000" w:fill="FFFFFF"/>
            <w:noWrap/>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150</w:t>
            </w:r>
          </w:p>
        </w:tc>
        <w:tc>
          <w:tcPr>
            <w:tcW w:w="870"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150</w:t>
            </w:r>
          </w:p>
        </w:tc>
        <w:tc>
          <w:tcPr>
            <w:tcW w:w="800" w:type="dxa"/>
            <w:shd w:val="clear" w:color="000000" w:fill="EDEDED"/>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100%</w:t>
            </w:r>
          </w:p>
        </w:tc>
        <w:tc>
          <w:tcPr>
            <w:tcW w:w="705"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150</w:t>
            </w:r>
          </w:p>
        </w:tc>
        <w:tc>
          <w:tcPr>
            <w:tcW w:w="721"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150</w:t>
            </w:r>
          </w:p>
        </w:tc>
        <w:tc>
          <w:tcPr>
            <w:tcW w:w="705" w:type="dxa"/>
            <w:shd w:val="clear" w:color="000000" w:fill="EDEDED"/>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100%</w:t>
            </w:r>
          </w:p>
        </w:tc>
      </w:tr>
      <w:tr w:rsidR="00C374BE" w:rsidRPr="003C3E25" w:rsidTr="003C3E25">
        <w:trPr>
          <w:trHeight w:val="506"/>
        </w:trPr>
        <w:tc>
          <w:tcPr>
            <w:tcW w:w="591" w:type="dxa"/>
            <w:shd w:val="clear" w:color="000000" w:fill="F1F7ED"/>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PA-08</w:t>
            </w:r>
          </w:p>
        </w:tc>
        <w:tc>
          <w:tcPr>
            <w:tcW w:w="2055" w:type="dxa"/>
            <w:shd w:val="clear" w:color="000000" w:fill="FFFFFF"/>
            <w:vAlign w:val="center"/>
            <w:hideMark/>
          </w:tcPr>
          <w:p w:rsidR="00C374BE" w:rsidRPr="003C3E25" w:rsidRDefault="00C374BE" w:rsidP="004652A6">
            <w:pPr>
              <w:jc w:val="both"/>
              <w:rPr>
                <w:rFonts w:eastAsia="Times New Roman" w:cs="Arial"/>
                <w:sz w:val="18"/>
                <w:szCs w:val="18"/>
                <w:lang w:val="es-CO" w:eastAsia="es-CO"/>
              </w:rPr>
            </w:pPr>
            <w:r w:rsidRPr="003C3E25">
              <w:rPr>
                <w:rFonts w:eastAsia="Times New Roman" w:cs="Arial"/>
                <w:sz w:val="18"/>
                <w:szCs w:val="18"/>
                <w:lang w:val="es-CO" w:eastAsia="es-CO"/>
              </w:rPr>
              <w:t>Porcentaje de EAS Integral con esquemas de fortalecimiento implementados que generen capacidades para gestionar procesos de calidad.</w:t>
            </w:r>
          </w:p>
        </w:tc>
        <w:tc>
          <w:tcPr>
            <w:tcW w:w="674" w:type="dxa"/>
            <w:shd w:val="clear" w:color="000000" w:fill="FFFFFF"/>
            <w:noWrap/>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w:t>
            </w:r>
          </w:p>
        </w:tc>
        <w:tc>
          <w:tcPr>
            <w:tcW w:w="817" w:type="dxa"/>
            <w:shd w:val="clear" w:color="000000" w:fill="FFFFFF"/>
            <w:noWrap/>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50%</w:t>
            </w:r>
          </w:p>
        </w:tc>
        <w:tc>
          <w:tcPr>
            <w:tcW w:w="870"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66%</w:t>
            </w:r>
          </w:p>
        </w:tc>
        <w:tc>
          <w:tcPr>
            <w:tcW w:w="800" w:type="dxa"/>
            <w:shd w:val="clear" w:color="000000" w:fill="EDEDED"/>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133%</w:t>
            </w:r>
          </w:p>
        </w:tc>
        <w:tc>
          <w:tcPr>
            <w:tcW w:w="705"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50%</w:t>
            </w:r>
          </w:p>
        </w:tc>
        <w:tc>
          <w:tcPr>
            <w:tcW w:w="721"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66%</w:t>
            </w:r>
          </w:p>
        </w:tc>
        <w:tc>
          <w:tcPr>
            <w:tcW w:w="705" w:type="dxa"/>
            <w:shd w:val="clear" w:color="000000" w:fill="EDEDED"/>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133%</w:t>
            </w:r>
          </w:p>
        </w:tc>
      </w:tr>
      <w:tr w:rsidR="00C374BE" w:rsidRPr="003C3E25" w:rsidTr="003C3E25">
        <w:trPr>
          <w:trHeight w:val="506"/>
        </w:trPr>
        <w:tc>
          <w:tcPr>
            <w:tcW w:w="591" w:type="dxa"/>
            <w:shd w:val="clear" w:color="000000" w:fill="F1F7ED"/>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PA-91</w:t>
            </w:r>
          </w:p>
        </w:tc>
        <w:tc>
          <w:tcPr>
            <w:tcW w:w="2055" w:type="dxa"/>
            <w:shd w:val="clear" w:color="000000" w:fill="FFFFFF"/>
            <w:vAlign w:val="center"/>
            <w:hideMark/>
          </w:tcPr>
          <w:p w:rsidR="00C374BE" w:rsidRPr="003C3E25" w:rsidRDefault="00C374BE" w:rsidP="004652A6">
            <w:pPr>
              <w:jc w:val="both"/>
              <w:rPr>
                <w:rFonts w:eastAsia="Times New Roman" w:cs="Arial"/>
                <w:sz w:val="18"/>
                <w:szCs w:val="18"/>
                <w:lang w:val="es-CO" w:eastAsia="es-CO"/>
              </w:rPr>
            </w:pPr>
            <w:r w:rsidRPr="003C3E25">
              <w:rPr>
                <w:rFonts w:eastAsia="Times New Roman" w:cs="Arial"/>
                <w:sz w:val="18"/>
                <w:szCs w:val="18"/>
                <w:lang w:val="es-CO" w:eastAsia="es-CO"/>
              </w:rPr>
              <w:t>Número de entidades territoriales con acompañamiento para la implementación de la Ruta Integral de Atenciones</w:t>
            </w:r>
          </w:p>
        </w:tc>
        <w:tc>
          <w:tcPr>
            <w:tcW w:w="674" w:type="dxa"/>
            <w:shd w:val="clear" w:color="000000" w:fill="FFFFFF"/>
            <w:noWrap/>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150</w:t>
            </w:r>
          </w:p>
        </w:tc>
        <w:tc>
          <w:tcPr>
            <w:tcW w:w="817" w:type="dxa"/>
            <w:shd w:val="clear" w:color="000000" w:fill="FFFFFF"/>
            <w:noWrap/>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350</w:t>
            </w:r>
          </w:p>
        </w:tc>
        <w:tc>
          <w:tcPr>
            <w:tcW w:w="870"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300</w:t>
            </w:r>
          </w:p>
        </w:tc>
        <w:tc>
          <w:tcPr>
            <w:tcW w:w="800" w:type="dxa"/>
            <w:shd w:val="clear" w:color="000000" w:fill="EDEDED"/>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86%</w:t>
            </w:r>
          </w:p>
        </w:tc>
        <w:tc>
          <w:tcPr>
            <w:tcW w:w="705"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300</w:t>
            </w:r>
          </w:p>
        </w:tc>
        <w:tc>
          <w:tcPr>
            <w:tcW w:w="721"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300</w:t>
            </w:r>
          </w:p>
        </w:tc>
        <w:tc>
          <w:tcPr>
            <w:tcW w:w="705" w:type="dxa"/>
            <w:shd w:val="clear" w:color="000000" w:fill="EDEDED"/>
            <w:noWrap/>
            <w:vAlign w:val="center"/>
          </w:tcPr>
          <w:p w:rsidR="00C374BE" w:rsidRPr="003C3E25" w:rsidRDefault="00C374BE" w:rsidP="004652A6">
            <w:pPr>
              <w:jc w:val="center"/>
              <w:rPr>
                <w:rFonts w:cs="Arial"/>
                <w:color w:val="000000"/>
                <w:sz w:val="18"/>
                <w:szCs w:val="18"/>
              </w:rPr>
            </w:pPr>
            <w:r w:rsidRPr="003C3E25">
              <w:rPr>
                <w:rFonts w:cs="Arial"/>
                <w:color w:val="000000"/>
                <w:sz w:val="18"/>
                <w:szCs w:val="18"/>
              </w:rPr>
              <w:t>100%</w:t>
            </w:r>
          </w:p>
          <w:p w:rsidR="00C374BE" w:rsidRPr="003C3E25" w:rsidRDefault="00C374BE" w:rsidP="004652A6">
            <w:pPr>
              <w:jc w:val="center"/>
              <w:rPr>
                <w:rFonts w:cs="Arial"/>
                <w:color w:val="000000"/>
                <w:sz w:val="18"/>
                <w:szCs w:val="18"/>
              </w:rPr>
            </w:pPr>
          </w:p>
          <w:p w:rsidR="00C374BE" w:rsidRPr="003C3E25" w:rsidRDefault="00C374BE" w:rsidP="004652A6">
            <w:pPr>
              <w:jc w:val="center"/>
              <w:rPr>
                <w:rFonts w:eastAsia="Times New Roman" w:cs="Arial"/>
                <w:color w:val="000000"/>
                <w:sz w:val="18"/>
                <w:szCs w:val="18"/>
                <w:lang w:val="es-CO" w:eastAsia="es-CO"/>
              </w:rPr>
            </w:pPr>
          </w:p>
        </w:tc>
      </w:tr>
      <w:tr w:rsidR="00C374BE" w:rsidRPr="003C3E25" w:rsidTr="003C3E25">
        <w:trPr>
          <w:trHeight w:val="227"/>
        </w:trPr>
        <w:tc>
          <w:tcPr>
            <w:tcW w:w="591" w:type="dxa"/>
            <w:vMerge w:val="restart"/>
            <w:shd w:val="clear" w:color="auto" w:fill="76922E"/>
            <w:vAlign w:val="center"/>
          </w:tcPr>
          <w:p w:rsidR="00C374BE" w:rsidRPr="003C3E25" w:rsidRDefault="00C374BE" w:rsidP="004652A6">
            <w:pPr>
              <w:jc w:val="center"/>
              <w:rPr>
                <w:rFonts w:eastAsia="Times New Roman" w:cs="Arial"/>
                <w:b/>
                <w:color w:val="FFFFFF" w:themeColor="background1"/>
                <w:sz w:val="18"/>
                <w:szCs w:val="18"/>
                <w:lang w:val="es-CO" w:eastAsia="es-CO"/>
              </w:rPr>
            </w:pPr>
            <w:r w:rsidRPr="003C3E25">
              <w:rPr>
                <w:rFonts w:eastAsia="Times New Roman" w:cs="Arial"/>
                <w:b/>
                <w:color w:val="FFFFFF" w:themeColor="background1"/>
                <w:sz w:val="18"/>
                <w:szCs w:val="18"/>
                <w:lang w:val="es-CO" w:eastAsia="es-CO"/>
              </w:rPr>
              <w:t>Código</w:t>
            </w:r>
          </w:p>
        </w:tc>
        <w:tc>
          <w:tcPr>
            <w:tcW w:w="2055" w:type="dxa"/>
            <w:vMerge w:val="restart"/>
            <w:shd w:val="clear" w:color="auto" w:fill="76922E"/>
            <w:vAlign w:val="center"/>
          </w:tcPr>
          <w:p w:rsidR="00C374BE" w:rsidRPr="003C3E25" w:rsidRDefault="00C374BE" w:rsidP="004652A6">
            <w:pPr>
              <w:jc w:val="center"/>
              <w:rPr>
                <w:rFonts w:eastAsia="Times New Roman" w:cs="Arial"/>
                <w:b/>
                <w:color w:val="FFFFFF" w:themeColor="background1"/>
                <w:sz w:val="18"/>
                <w:szCs w:val="18"/>
                <w:lang w:val="es-CO" w:eastAsia="es-CO"/>
              </w:rPr>
            </w:pPr>
            <w:r w:rsidRPr="003C3E25">
              <w:rPr>
                <w:rFonts w:eastAsia="Times New Roman" w:cs="Arial"/>
                <w:b/>
                <w:color w:val="FFFFFF" w:themeColor="background1"/>
                <w:sz w:val="18"/>
                <w:szCs w:val="18"/>
                <w:lang w:val="es-CO" w:eastAsia="es-CO"/>
              </w:rPr>
              <w:t>Indicador SINERGIA</w:t>
            </w:r>
          </w:p>
        </w:tc>
        <w:tc>
          <w:tcPr>
            <w:tcW w:w="674" w:type="dxa"/>
            <w:vMerge w:val="restart"/>
            <w:shd w:val="clear" w:color="auto" w:fill="76922E"/>
            <w:noWrap/>
            <w:vAlign w:val="center"/>
          </w:tcPr>
          <w:p w:rsidR="00C374BE" w:rsidRPr="003C3E25" w:rsidRDefault="00C374BE" w:rsidP="004652A6">
            <w:pPr>
              <w:jc w:val="center"/>
              <w:rPr>
                <w:rFonts w:eastAsia="Times New Roman" w:cs="Arial"/>
                <w:b/>
                <w:color w:val="FFFFFF" w:themeColor="background1"/>
                <w:sz w:val="18"/>
                <w:szCs w:val="18"/>
                <w:lang w:val="es-CO" w:eastAsia="es-CO"/>
              </w:rPr>
            </w:pPr>
            <w:r w:rsidRPr="003C3E25">
              <w:rPr>
                <w:rFonts w:eastAsia="Times New Roman" w:cs="Arial"/>
                <w:b/>
                <w:color w:val="FFFFFF" w:themeColor="background1"/>
                <w:sz w:val="18"/>
                <w:szCs w:val="18"/>
                <w:lang w:val="es-CO" w:eastAsia="es-CO"/>
              </w:rPr>
              <w:t>Línea Base</w:t>
            </w:r>
          </w:p>
        </w:tc>
        <w:tc>
          <w:tcPr>
            <w:tcW w:w="1687" w:type="dxa"/>
            <w:gridSpan w:val="2"/>
            <w:shd w:val="clear" w:color="auto" w:fill="76922E"/>
            <w:noWrap/>
            <w:vAlign w:val="center"/>
          </w:tcPr>
          <w:p w:rsidR="00C374BE" w:rsidRPr="003C3E25" w:rsidRDefault="00C374BE" w:rsidP="004652A6">
            <w:pPr>
              <w:jc w:val="center"/>
              <w:rPr>
                <w:rFonts w:cs="Arial"/>
                <w:b/>
                <w:color w:val="FFFFFF" w:themeColor="background1"/>
                <w:sz w:val="18"/>
                <w:szCs w:val="18"/>
              </w:rPr>
            </w:pPr>
            <w:r w:rsidRPr="003C3E25">
              <w:rPr>
                <w:rFonts w:eastAsia="Times New Roman" w:cs="Arial"/>
                <w:b/>
                <w:color w:val="FFFFFF" w:themeColor="background1"/>
                <w:sz w:val="18"/>
                <w:szCs w:val="18"/>
                <w:lang w:val="es-CO" w:eastAsia="es-CO"/>
              </w:rPr>
              <w:t>Cuatrienio</w:t>
            </w:r>
          </w:p>
        </w:tc>
        <w:tc>
          <w:tcPr>
            <w:tcW w:w="800" w:type="dxa"/>
            <w:vMerge w:val="restart"/>
            <w:shd w:val="clear" w:color="000000" w:fill="EDEDED"/>
            <w:noWrap/>
            <w:vAlign w:val="center"/>
          </w:tcPr>
          <w:p w:rsidR="00C374BE" w:rsidRPr="003C3E25" w:rsidRDefault="00C374BE" w:rsidP="004652A6">
            <w:pPr>
              <w:jc w:val="center"/>
              <w:rPr>
                <w:rFonts w:cs="Arial"/>
                <w:color w:val="000000"/>
                <w:sz w:val="18"/>
                <w:szCs w:val="18"/>
              </w:rPr>
            </w:pPr>
            <w:r w:rsidRPr="003C3E25">
              <w:rPr>
                <w:rFonts w:eastAsia="Times New Roman" w:cs="Arial"/>
                <w:color w:val="000000"/>
                <w:sz w:val="18"/>
                <w:szCs w:val="18"/>
                <w:lang w:val="es-CO" w:eastAsia="es-CO"/>
              </w:rPr>
              <w:t>% cuatrienio</w:t>
            </w:r>
          </w:p>
        </w:tc>
        <w:tc>
          <w:tcPr>
            <w:tcW w:w="1426" w:type="dxa"/>
            <w:gridSpan w:val="2"/>
            <w:shd w:val="clear" w:color="auto" w:fill="76922E"/>
            <w:noWrap/>
            <w:vAlign w:val="center"/>
          </w:tcPr>
          <w:p w:rsidR="00C374BE" w:rsidRPr="003C3E25" w:rsidRDefault="00C374BE" w:rsidP="004652A6">
            <w:pPr>
              <w:jc w:val="center"/>
              <w:rPr>
                <w:rFonts w:cs="Arial"/>
                <w:b/>
                <w:color w:val="FFFFFF" w:themeColor="background1"/>
                <w:sz w:val="18"/>
                <w:szCs w:val="18"/>
              </w:rPr>
            </w:pPr>
            <w:r w:rsidRPr="003C3E25">
              <w:rPr>
                <w:rFonts w:eastAsia="Times New Roman" w:cs="Arial"/>
                <w:b/>
                <w:color w:val="FFFFFF" w:themeColor="background1"/>
                <w:sz w:val="18"/>
                <w:szCs w:val="18"/>
                <w:lang w:val="es-CO" w:eastAsia="es-CO"/>
              </w:rPr>
              <w:t>2017</w:t>
            </w:r>
          </w:p>
        </w:tc>
        <w:tc>
          <w:tcPr>
            <w:tcW w:w="705" w:type="dxa"/>
            <w:vMerge w:val="restart"/>
            <w:shd w:val="clear" w:color="000000" w:fill="EDEDED"/>
            <w:noWrap/>
            <w:vAlign w:val="center"/>
          </w:tcPr>
          <w:p w:rsidR="00C374BE" w:rsidRPr="003C3E25" w:rsidRDefault="00C374BE" w:rsidP="004652A6">
            <w:pPr>
              <w:jc w:val="center"/>
              <w:rPr>
                <w:rFonts w:cs="Arial"/>
                <w:color w:val="000000"/>
                <w:sz w:val="18"/>
                <w:szCs w:val="18"/>
              </w:rPr>
            </w:pPr>
            <w:r w:rsidRPr="003C3E25">
              <w:rPr>
                <w:rFonts w:eastAsia="Times New Roman" w:cs="Arial"/>
                <w:color w:val="000000"/>
                <w:sz w:val="18"/>
                <w:szCs w:val="18"/>
                <w:lang w:val="es-CO" w:eastAsia="es-CO"/>
              </w:rPr>
              <w:t>% 2017</w:t>
            </w:r>
          </w:p>
        </w:tc>
      </w:tr>
      <w:tr w:rsidR="00C374BE" w:rsidRPr="003C3E25" w:rsidTr="003C3E25">
        <w:trPr>
          <w:trHeight w:val="272"/>
        </w:trPr>
        <w:tc>
          <w:tcPr>
            <w:tcW w:w="591" w:type="dxa"/>
            <w:vMerge/>
            <w:shd w:val="clear" w:color="auto" w:fill="76922E"/>
            <w:vAlign w:val="center"/>
          </w:tcPr>
          <w:p w:rsidR="00C374BE" w:rsidRPr="003C3E25" w:rsidRDefault="00C374BE" w:rsidP="004652A6">
            <w:pPr>
              <w:jc w:val="center"/>
              <w:rPr>
                <w:rFonts w:eastAsia="Times New Roman" w:cs="Arial"/>
                <w:b/>
                <w:color w:val="FFFFFF" w:themeColor="background1"/>
                <w:sz w:val="18"/>
                <w:szCs w:val="18"/>
                <w:lang w:val="es-CO" w:eastAsia="es-CO"/>
              </w:rPr>
            </w:pPr>
          </w:p>
        </w:tc>
        <w:tc>
          <w:tcPr>
            <w:tcW w:w="2055" w:type="dxa"/>
            <w:vMerge/>
            <w:shd w:val="clear" w:color="auto" w:fill="76922E"/>
            <w:vAlign w:val="center"/>
          </w:tcPr>
          <w:p w:rsidR="00C374BE" w:rsidRPr="003C3E25" w:rsidRDefault="00C374BE" w:rsidP="004652A6">
            <w:pPr>
              <w:jc w:val="both"/>
              <w:rPr>
                <w:rFonts w:eastAsia="Times New Roman" w:cs="Arial"/>
                <w:b/>
                <w:color w:val="FFFFFF" w:themeColor="background1"/>
                <w:sz w:val="18"/>
                <w:szCs w:val="18"/>
                <w:lang w:val="es-CO" w:eastAsia="es-CO"/>
              </w:rPr>
            </w:pPr>
          </w:p>
        </w:tc>
        <w:tc>
          <w:tcPr>
            <w:tcW w:w="674" w:type="dxa"/>
            <w:vMerge/>
            <w:shd w:val="clear" w:color="auto" w:fill="76922E"/>
            <w:noWrap/>
            <w:vAlign w:val="center"/>
          </w:tcPr>
          <w:p w:rsidR="00C374BE" w:rsidRPr="003C3E25" w:rsidRDefault="00C374BE" w:rsidP="004652A6">
            <w:pPr>
              <w:jc w:val="center"/>
              <w:rPr>
                <w:rFonts w:eastAsia="Times New Roman" w:cs="Arial"/>
                <w:b/>
                <w:color w:val="FFFFFF" w:themeColor="background1"/>
                <w:sz w:val="18"/>
                <w:szCs w:val="18"/>
                <w:lang w:val="es-CO" w:eastAsia="es-CO"/>
              </w:rPr>
            </w:pPr>
          </w:p>
        </w:tc>
        <w:tc>
          <w:tcPr>
            <w:tcW w:w="817" w:type="dxa"/>
            <w:shd w:val="clear" w:color="auto" w:fill="76922E"/>
            <w:noWrap/>
            <w:vAlign w:val="center"/>
          </w:tcPr>
          <w:p w:rsidR="00C374BE" w:rsidRPr="003C3E25" w:rsidRDefault="00C374BE" w:rsidP="004652A6">
            <w:pPr>
              <w:jc w:val="center"/>
              <w:rPr>
                <w:rFonts w:eastAsia="Times New Roman" w:cs="Arial"/>
                <w:b/>
                <w:color w:val="FFFFFF" w:themeColor="background1"/>
                <w:sz w:val="18"/>
                <w:szCs w:val="18"/>
                <w:lang w:val="es-CO" w:eastAsia="es-CO"/>
              </w:rPr>
            </w:pPr>
            <w:r w:rsidRPr="003C3E25">
              <w:rPr>
                <w:rFonts w:eastAsia="Times New Roman" w:cs="Arial"/>
                <w:b/>
                <w:color w:val="FFFFFF" w:themeColor="background1"/>
                <w:sz w:val="18"/>
                <w:szCs w:val="18"/>
                <w:lang w:val="es-CO" w:eastAsia="es-CO"/>
              </w:rPr>
              <w:t>Meta</w:t>
            </w:r>
          </w:p>
        </w:tc>
        <w:tc>
          <w:tcPr>
            <w:tcW w:w="870" w:type="dxa"/>
            <w:shd w:val="clear" w:color="auto" w:fill="76922E"/>
            <w:noWrap/>
            <w:vAlign w:val="center"/>
          </w:tcPr>
          <w:p w:rsidR="00C374BE" w:rsidRPr="003C3E25" w:rsidRDefault="00C374BE" w:rsidP="004652A6">
            <w:pPr>
              <w:jc w:val="center"/>
              <w:rPr>
                <w:rFonts w:cs="Arial"/>
                <w:b/>
                <w:color w:val="FFFFFF" w:themeColor="background1"/>
                <w:sz w:val="18"/>
                <w:szCs w:val="18"/>
              </w:rPr>
            </w:pPr>
            <w:r w:rsidRPr="003C3E25">
              <w:rPr>
                <w:rFonts w:eastAsia="Times New Roman" w:cs="Arial"/>
                <w:b/>
                <w:color w:val="FFFFFF" w:themeColor="background1"/>
                <w:sz w:val="18"/>
                <w:szCs w:val="18"/>
                <w:lang w:val="es-CO" w:eastAsia="es-CO"/>
              </w:rPr>
              <w:t>Avance</w:t>
            </w:r>
          </w:p>
        </w:tc>
        <w:tc>
          <w:tcPr>
            <w:tcW w:w="800" w:type="dxa"/>
            <w:vMerge/>
            <w:shd w:val="clear" w:color="000000" w:fill="EDEDED"/>
            <w:noWrap/>
            <w:vAlign w:val="center"/>
          </w:tcPr>
          <w:p w:rsidR="00C374BE" w:rsidRPr="003C3E25" w:rsidRDefault="00C374BE" w:rsidP="004652A6">
            <w:pPr>
              <w:jc w:val="center"/>
              <w:rPr>
                <w:rFonts w:cs="Arial"/>
                <w:color w:val="000000"/>
                <w:sz w:val="18"/>
                <w:szCs w:val="18"/>
              </w:rPr>
            </w:pPr>
          </w:p>
        </w:tc>
        <w:tc>
          <w:tcPr>
            <w:tcW w:w="705" w:type="dxa"/>
            <w:shd w:val="clear" w:color="auto" w:fill="76922E"/>
            <w:noWrap/>
            <w:vAlign w:val="center"/>
          </w:tcPr>
          <w:p w:rsidR="00C374BE" w:rsidRPr="003C3E25" w:rsidRDefault="00C374BE" w:rsidP="004652A6">
            <w:pPr>
              <w:jc w:val="center"/>
              <w:rPr>
                <w:rFonts w:cs="Arial"/>
                <w:b/>
                <w:color w:val="FFFFFF" w:themeColor="background1"/>
                <w:sz w:val="18"/>
                <w:szCs w:val="18"/>
              </w:rPr>
            </w:pPr>
            <w:r w:rsidRPr="003C3E25">
              <w:rPr>
                <w:rFonts w:eastAsia="Times New Roman" w:cs="Arial"/>
                <w:b/>
                <w:color w:val="FFFFFF" w:themeColor="background1"/>
                <w:sz w:val="18"/>
                <w:szCs w:val="18"/>
                <w:lang w:val="es-CO" w:eastAsia="es-CO"/>
              </w:rPr>
              <w:t>Meta</w:t>
            </w:r>
          </w:p>
        </w:tc>
        <w:tc>
          <w:tcPr>
            <w:tcW w:w="721" w:type="dxa"/>
            <w:shd w:val="clear" w:color="auto" w:fill="76922E"/>
            <w:noWrap/>
            <w:vAlign w:val="center"/>
          </w:tcPr>
          <w:p w:rsidR="00C374BE" w:rsidRPr="003C3E25" w:rsidRDefault="00C374BE" w:rsidP="004652A6">
            <w:pPr>
              <w:jc w:val="center"/>
              <w:rPr>
                <w:rFonts w:cs="Arial"/>
                <w:b/>
                <w:color w:val="FFFFFF" w:themeColor="background1"/>
                <w:sz w:val="18"/>
                <w:szCs w:val="18"/>
              </w:rPr>
            </w:pPr>
            <w:r w:rsidRPr="003C3E25">
              <w:rPr>
                <w:rFonts w:eastAsia="Times New Roman" w:cs="Arial"/>
                <w:b/>
                <w:color w:val="FFFFFF" w:themeColor="background1"/>
                <w:sz w:val="18"/>
                <w:szCs w:val="18"/>
                <w:lang w:val="es-CO" w:eastAsia="es-CO"/>
              </w:rPr>
              <w:t>Avance</w:t>
            </w:r>
          </w:p>
        </w:tc>
        <w:tc>
          <w:tcPr>
            <w:tcW w:w="705" w:type="dxa"/>
            <w:vMerge/>
            <w:shd w:val="clear" w:color="000000" w:fill="EDEDED"/>
            <w:noWrap/>
            <w:vAlign w:val="center"/>
          </w:tcPr>
          <w:p w:rsidR="00C374BE" w:rsidRPr="003C3E25" w:rsidRDefault="00C374BE" w:rsidP="004652A6">
            <w:pPr>
              <w:jc w:val="center"/>
              <w:rPr>
                <w:rFonts w:cs="Arial"/>
                <w:color w:val="000000"/>
                <w:sz w:val="18"/>
                <w:szCs w:val="18"/>
              </w:rPr>
            </w:pPr>
          </w:p>
        </w:tc>
      </w:tr>
      <w:tr w:rsidR="00C374BE" w:rsidRPr="003C3E25" w:rsidTr="003C3E25">
        <w:trPr>
          <w:trHeight w:val="506"/>
        </w:trPr>
        <w:tc>
          <w:tcPr>
            <w:tcW w:w="591" w:type="dxa"/>
            <w:shd w:val="clear" w:color="000000" w:fill="F1F7ED"/>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PA-14</w:t>
            </w:r>
          </w:p>
        </w:tc>
        <w:tc>
          <w:tcPr>
            <w:tcW w:w="2055" w:type="dxa"/>
            <w:shd w:val="clear" w:color="auto" w:fill="auto"/>
            <w:vAlign w:val="center"/>
            <w:hideMark/>
          </w:tcPr>
          <w:p w:rsidR="00C374BE" w:rsidRPr="003C3E25" w:rsidRDefault="00C374BE" w:rsidP="004652A6">
            <w:pPr>
              <w:jc w:val="both"/>
              <w:rPr>
                <w:rFonts w:eastAsia="Times New Roman" w:cs="Arial"/>
                <w:sz w:val="18"/>
                <w:szCs w:val="18"/>
                <w:lang w:val="es-CO" w:eastAsia="es-CO"/>
              </w:rPr>
            </w:pPr>
            <w:r w:rsidRPr="003C3E25">
              <w:rPr>
                <w:rFonts w:eastAsia="Times New Roman" w:cs="Arial"/>
                <w:sz w:val="18"/>
                <w:szCs w:val="18"/>
                <w:lang w:val="es-CO" w:eastAsia="es-CO"/>
              </w:rPr>
              <w:t>Número de Municipios priorizados con la implementación de la estrategia de prevención de embarazo en la adolescencia</w:t>
            </w:r>
          </w:p>
        </w:tc>
        <w:tc>
          <w:tcPr>
            <w:tcW w:w="674" w:type="dxa"/>
            <w:shd w:val="clear" w:color="000000" w:fill="FFFFFF"/>
            <w:noWrap/>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192</w:t>
            </w:r>
          </w:p>
        </w:tc>
        <w:tc>
          <w:tcPr>
            <w:tcW w:w="817" w:type="dxa"/>
            <w:shd w:val="clear" w:color="000000" w:fill="FFFFFF"/>
            <w:noWrap/>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353</w:t>
            </w:r>
          </w:p>
        </w:tc>
        <w:tc>
          <w:tcPr>
            <w:tcW w:w="870"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313</w:t>
            </w:r>
          </w:p>
        </w:tc>
        <w:tc>
          <w:tcPr>
            <w:tcW w:w="800" w:type="dxa"/>
            <w:shd w:val="clear" w:color="000000" w:fill="EDEDED"/>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89%</w:t>
            </w:r>
          </w:p>
        </w:tc>
        <w:tc>
          <w:tcPr>
            <w:tcW w:w="705"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305</w:t>
            </w:r>
          </w:p>
        </w:tc>
        <w:tc>
          <w:tcPr>
            <w:tcW w:w="721"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313</w:t>
            </w:r>
          </w:p>
        </w:tc>
        <w:tc>
          <w:tcPr>
            <w:tcW w:w="705" w:type="dxa"/>
            <w:shd w:val="clear" w:color="000000" w:fill="EDEDED"/>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103%</w:t>
            </w:r>
          </w:p>
        </w:tc>
      </w:tr>
      <w:tr w:rsidR="00C374BE" w:rsidRPr="003C3E25" w:rsidTr="003C3E25">
        <w:trPr>
          <w:trHeight w:val="471"/>
        </w:trPr>
        <w:tc>
          <w:tcPr>
            <w:tcW w:w="591" w:type="dxa"/>
            <w:shd w:val="clear" w:color="000000" w:fill="F1F7ED"/>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PA-16</w:t>
            </w:r>
          </w:p>
        </w:tc>
        <w:tc>
          <w:tcPr>
            <w:tcW w:w="2055" w:type="dxa"/>
            <w:shd w:val="clear" w:color="000000" w:fill="FFFFFF"/>
            <w:vAlign w:val="center"/>
            <w:hideMark/>
          </w:tcPr>
          <w:p w:rsidR="00C374BE" w:rsidRPr="003C3E25" w:rsidRDefault="00C374BE" w:rsidP="004652A6">
            <w:pPr>
              <w:jc w:val="both"/>
              <w:rPr>
                <w:rFonts w:eastAsia="Times New Roman" w:cs="Arial"/>
                <w:sz w:val="18"/>
                <w:szCs w:val="18"/>
                <w:lang w:val="es-CO" w:eastAsia="es-CO"/>
              </w:rPr>
            </w:pPr>
            <w:r w:rsidRPr="003C3E25">
              <w:rPr>
                <w:rFonts w:eastAsia="Times New Roman" w:cs="Arial"/>
                <w:sz w:val="18"/>
                <w:szCs w:val="18"/>
                <w:lang w:val="es-CO" w:eastAsia="es-CO"/>
              </w:rPr>
              <w:t xml:space="preserve">Número de niños, niñas y adolescentes participantes en estrategias de prevención </w:t>
            </w:r>
          </w:p>
        </w:tc>
        <w:tc>
          <w:tcPr>
            <w:tcW w:w="674" w:type="dxa"/>
            <w:shd w:val="clear" w:color="000000" w:fill="FFFFFF"/>
            <w:noWrap/>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199.979</w:t>
            </w:r>
          </w:p>
        </w:tc>
        <w:tc>
          <w:tcPr>
            <w:tcW w:w="817" w:type="dxa"/>
            <w:shd w:val="clear" w:color="000000" w:fill="FFFFFF"/>
            <w:noWrap/>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770.000</w:t>
            </w:r>
          </w:p>
        </w:tc>
        <w:tc>
          <w:tcPr>
            <w:tcW w:w="870" w:type="dxa"/>
            <w:shd w:val="clear" w:color="auto" w:fill="auto"/>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598.840</w:t>
            </w:r>
          </w:p>
        </w:tc>
        <w:tc>
          <w:tcPr>
            <w:tcW w:w="800" w:type="dxa"/>
            <w:shd w:val="clear" w:color="000000" w:fill="EDEDED"/>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78%</w:t>
            </w:r>
          </w:p>
        </w:tc>
        <w:tc>
          <w:tcPr>
            <w:tcW w:w="705" w:type="dxa"/>
            <w:shd w:val="clear" w:color="000000" w:fill="FFFFFF"/>
            <w:noWrap/>
            <w:vAlign w:val="center"/>
          </w:tcPr>
          <w:p w:rsidR="00C374BE" w:rsidRPr="003C3E25" w:rsidRDefault="00C374BE" w:rsidP="004652A6">
            <w:pPr>
              <w:jc w:val="center"/>
              <w:rPr>
                <w:rFonts w:eastAsia="Times New Roman" w:cs="Arial"/>
                <w:sz w:val="18"/>
                <w:szCs w:val="18"/>
                <w:lang w:val="es-CO" w:eastAsia="es-CO"/>
              </w:rPr>
            </w:pPr>
            <w:r w:rsidRPr="003C3E25">
              <w:rPr>
                <w:rFonts w:cs="Arial"/>
                <w:sz w:val="18"/>
                <w:szCs w:val="18"/>
              </w:rPr>
              <w:t>548.675</w:t>
            </w:r>
          </w:p>
        </w:tc>
        <w:tc>
          <w:tcPr>
            <w:tcW w:w="721" w:type="dxa"/>
            <w:shd w:val="clear" w:color="auto" w:fill="auto"/>
            <w:noWrap/>
            <w:vAlign w:val="center"/>
          </w:tcPr>
          <w:p w:rsidR="00C374BE" w:rsidRPr="003C3E25" w:rsidRDefault="00C374BE" w:rsidP="004652A6">
            <w:pPr>
              <w:jc w:val="center"/>
              <w:rPr>
                <w:rFonts w:eastAsia="Times New Roman" w:cs="Arial"/>
                <w:sz w:val="18"/>
                <w:szCs w:val="18"/>
                <w:lang w:val="es-CO" w:eastAsia="es-CO"/>
              </w:rPr>
            </w:pPr>
            <w:r w:rsidRPr="003C3E25">
              <w:rPr>
                <w:rFonts w:cs="Arial"/>
                <w:sz w:val="18"/>
                <w:szCs w:val="18"/>
              </w:rPr>
              <w:t>241.115</w:t>
            </w:r>
          </w:p>
        </w:tc>
        <w:tc>
          <w:tcPr>
            <w:tcW w:w="705" w:type="dxa"/>
            <w:shd w:val="clear" w:color="000000" w:fill="EDEDED"/>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44%</w:t>
            </w:r>
          </w:p>
        </w:tc>
      </w:tr>
      <w:tr w:rsidR="00C374BE" w:rsidRPr="003C3E25" w:rsidTr="003C3E25">
        <w:trPr>
          <w:trHeight w:val="506"/>
        </w:trPr>
        <w:tc>
          <w:tcPr>
            <w:tcW w:w="591" w:type="dxa"/>
            <w:shd w:val="clear" w:color="000000" w:fill="F1F7ED"/>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PA-18</w:t>
            </w:r>
          </w:p>
        </w:tc>
        <w:tc>
          <w:tcPr>
            <w:tcW w:w="2055" w:type="dxa"/>
            <w:shd w:val="clear" w:color="000000" w:fill="FFFFFF"/>
            <w:vAlign w:val="center"/>
            <w:hideMark/>
          </w:tcPr>
          <w:p w:rsidR="00C374BE" w:rsidRPr="003C3E25" w:rsidRDefault="00C374BE" w:rsidP="004652A6">
            <w:pPr>
              <w:jc w:val="both"/>
              <w:rPr>
                <w:rFonts w:eastAsia="Times New Roman" w:cs="Arial"/>
                <w:sz w:val="18"/>
                <w:szCs w:val="18"/>
                <w:lang w:val="es-CO" w:eastAsia="es-CO"/>
              </w:rPr>
            </w:pPr>
            <w:r w:rsidRPr="003C3E25">
              <w:rPr>
                <w:rFonts w:eastAsia="Times New Roman" w:cs="Arial"/>
                <w:sz w:val="18"/>
                <w:szCs w:val="18"/>
                <w:lang w:val="es-CO" w:eastAsia="es-CO"/>
              </w:rPr>
              <w:t xml:space="preserve">Familias en situación de vulnerabilidad atendidas mediante la </w:t>
            </w:r>
            <w:r w:rsidRPr="003C3E25">
              <w:rPr>
                <w:rFonts w:eastAsia="Times New Roman" w:cs="Arial"/>
                <w:sz w:val="18"/>
                <w:szCs w:val="18"/>
                <w:lang w:val="es-CO" w:eastAsia="es-CO"/>
              </w:rPr>
              <w:lastRenderedPageBreak/>
              <w:t>estrategia Familias para la Paz.</w:t>
            </w:r>
          </w:p>
        </w:tc>
        <w:tc>
          <w:tcPr>
            <w:tcW w:w="674" w:type="dxa"/>
            <w:shd w:val="clear" w:color="000000" w:fill="FFFFFF"/>
            <w:noWrap/>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lastRenderedPageBreak/>
              <w:t>541.854</w:t>
            </w:r>
          </w:p>
        </w:tc>
        <w:tc>
          <w:tcPr>
            <w:tcW w:w="817" w:type="dxa"/>
            <w:shd w:val="clear" w:color="000000" w:fill="FFFFFF"/>
            <w:noWrap/>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560.000</w:t>
            </w:r>
          </w:p>
        </w:tc>
        <w:tc>
          <w:tcPr>
            <w:tcW w:w="870" w:type="dxa"/>
            <w:shd w:val="clear" w:color="auto" w:fill="auto"/>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411.739</w:t>
            </w:r>
          </w:p>
        </w:tc>
        <w:tc>
          <w:tcPr>
            <w:tcW w:w="800" w:type="dxa"/>
            <w:shd w:val="clear" w:color="000000" w:fill="EDEDED"/>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74%</w:t>
            </w:r>
          </w:p>
        </w:tc>
        <w:tc>
          <w:tcPr>
            <w:tcW w:w="705" w:type="dxa"/>
            <w:shd w:val="clear" w:color="000000" w:fill="FFFFFF"/>
            <w:noWrap/>
            <w:vAlign w:val="center"/>
          </w:tcPr>
          <w:p w:rsidR="00C374BE" w:rsidRPr="003C3E25" w:rsidRDefault="00C374BE" w:rsidP="004652A6">
            <w:pPr>
              <w:jc w:val="center"/>
              <w:rPr>
                <w:rFonts w:eastAsia="Times New Roman" w:cs="Arial"/>
                <w:sz w:val="18"/>
                <w:szCs w:val="18"/>
                <w:lang w:val="es-CO" w:eastAsia="es-CO"/>
              </w:rPr>
            </w:pPr>
            <w:r w:rsidRPr="003C3E25">
              <w:rPr>
                <w:rFonts w:cs="Arial"/>
                <w:sz w:val="18"/>
                <w:szCs w:val="18"/>
              </w:rPr>
              <w:t>411.391</w:t>
            </w:r>
          </w:p>
        </w:tc>
        <w:tc>
          <w:tcPr>
            <w:tcW w:w="721" w:type="dxa"/>
            <w:shd w:val="clear" w:color="000000" w:fill="FFFFFF"/>
            <w:noWrap/>
            <w:vAlign w:val="center"/>
          </w:tcPr>
          <w:p w:rsidR="00C374BE" w:rsidRPr="003C3E25" w:rsidRDefault="00C374BE" w:rsidP="004652A6">
            <w:pPr>
              <w:jc w:val="center"/>
              <w:rPr>
                <w:rFonts w:eastAsia="Times New Roman" w:cs="Arial"/>
                <w:sz w:val="18"/>
                <w:szCs w:val="18"/>
                <w:lang w:val="es-CO" w:eastAsia="es-CO"/>
              </w:rPr>
            </w:pPr>
            <w:r w:rsidRPr="003C3E25">
              <w:rPr>
                <w:rFonts w:cs="Arial"/>
                <w:sz w:val="18"/>
                <w:szCs w:val="18"/>
              </w:rPr>
              <w:t>411.739</w:t>
            </w:r>
          </w:p>
        </w:tc>
        <w:tc>
          <w:tcPr>
            <w:tcW w:w="705" w:type="dxa"/>
            <w:shd w:val="clear" w:color="000000" w:fill="EDEDED"/>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100%</w:t>
            </w:r>
          </w:p>
        </w:tc>
      </w:tr>
      <w:tr w:rsidR="00C374BE" w:rsidRPr="003C3E25" w:rsidTr="003C3E25">
        <w:trPr>
          <w:trHeight w:val="506"/>
        </w:trPr>
        <w:tc>
          <w:tcPr>
            <w:tcW w:w="591" w:type="dxa"/>
            <w:shd w:val="clear" w:color="000000" w:fill="F1F7ED"/>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PA-30</w:t>
            </w:r>
          </w:p>
        </w:tc>
        <w:tc>
          <w:tcPr>
            <w:tcW w:w="2055" w:type="dxa"/>
            <w:shd w:val="clear" w:color="000000" w:fill="FFFFFF"/>
            <w:vAlign w:val="center"/>
            <w:hideMark/>
          </w:tcPr>
          <w:p w:rsidR="00C374BE" w:rsidRPr="003C3E25" w:rsidRDefault="00C374BE" w:rsidP="004652A6">
            <w:pPr>
              <w:jc w:val="both"/>
              <w:rPr>
                <w:rFonts w:eastAsia="Times New Roman" w:cs="Arial"/>
                <w:sz w:val="18"/>
                <w:szCs w:val="18"/>
                <w:lang w:val="es-CO" w:eastAsia="es-CO"/>
              </w:rPr>
            </w:pPr>
            <w:r w:rsidRPr="003C3E25">
              <w:rPr>
                <w:rFonts w:eastAsia="Times New Roman" w:cs="Arial"/>
                <w:sz w:val="18"/>
                <w:szCs w:val="18"/>
                <w:lang w:val="es-CO" w:eastAsia="es-CO"/>
              </w:rPr>
              <w:t>Niñas y niños menores de 5 años y mujeres gestantes microfocalizados en el marco de la prestación del servicio del ICBF.</w:t>
            </w:r>
          </w:p>
        </w:tc>
        <w:tc>
          <w:tcPr>
            <w:tcW w:w="674" w:type="dxa"/>
            <w:shd w:val="clear" w:color="000000" w:fill="FFFFFF"/>
            <w:noWrap/>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44.049</w:t>
            </w:r>
          </w:p>
        </w:tc>
        <w:tc>
          <w:tcPr>
            <w:tcW w:w="817" w:type="dxa"/>
            <w:shd w:val="clear" w:color="000000" w:fill="FFFFFF"/>
            <w:noWrap/>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376.528</w:t>
            </w:r>
          </w:p>
        </w:tc>
        <w:tc>
          <w:tcPr>
            <w:tcW w:w="870"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223.070</w:t>
            </w:r>
          </w:p>
        </w:tc>
        <w:tc>
          <w:tcPr>
            <w:tcW w:w="800" w:type="dxa"/>
            <w:shd w:val="clear" w:color="000000" w:fill="EDEDED"/>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59%</w:t>
            </w:r>
          </w:p>
        </w:tc>
        <w:tc>
          <w:tcPr>
            <w:tcW w:w="705" w:type="dxa"/>
            <w:shd w:val="clear" w:color="000000" w:fill="FFFFFF"/>
            <w:noWrap/>
            <w:vAlign w:val="center"/>
          </w:tcPr>
          <w:p w:rsidR="00C374BE" w:rsidRPr="003C3E25" w:rsidRDefault="00C374BE" w:rsidP="004652A6">
            <w:pPr>
              <w:jc w:val="center"/>
              <w:rPr>
                <w:rFonts w:eastAsia="Times New Roman" w:cs="Arial"/>
                <w:sz w:val="18"/>
                <w:szCs w:val="18"/>
                <w:lang w:val="es-CO" w:eastAsia="es-CO"/>
              </w:rPr>
            </w:pPr>
            <w:r w:rsidRPr="003C3E25">
              <w:rPr>
                <w:rFonts w:cs="Arial"/>
                <w:sz w:val="18"/>
                <w:szCs w:val="18"/>
              </w:rPr>
              <w:t>220.000</w:t>
            </w:r>
          </w:p>
        </w:tc>
        <w:tc>
          <w:tcPr>
            <w:tcW w:w="721" w:type="dxa"/>
            <w:shd w:val="clear" w:color="000000" w:fill="FFFFFF"/>
            <w:noWrap/>
            <w:vAlign w:val="center"/>
          </w:tcPr>
          <w:p w:rsidR="00C374BE" w:rsidRPr="003C3E25" w:rsidRDefault="00C374BE" w:rsidP="004652A6">
            <w:pPr>
              <w:jc w:val="center"/>
              <w:rPr>
                <w:rFonts w:eastAsia="Times New Roman" w:cs="Arial"/>
                <w:sz w:val="18"/>
                <w:szCs w:val="18"/>
                <w:lang w:val="es-CO" w:eastAsia="es-CO"/>
              </w:rPr>
            </w:pPr>
            <w:r w:rsidRPr="003C3E25">
              <w:rPr>
                <w:rFonts w:cs="Arial"/>
                <w:sz w:val="18"/>
                <w:szCs w:val="18"/>
              </w:rPr>
              <w:t>223.070</w:t>
            </w:r>
          </w:p>
        </w:tc>
        <w:tc>
          <w:tcPr>
            <w:tcW w:w="705" w:type="dxa"/>
            <w:shd w:val="clear" w:color="000000" w:fill="EDEDED"/>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101%</w:t>
            </w:r>
          </w:p>
        </w:tc>
      </w:tr>
      <w:tr w:rsidR="00C374BE" w:rsidRPr="003C3E25" w:rsidTr="003C3E25">
        <w:trPr>
          <w:trHeight w:val="506"/>
        </w:trPr>
        <w:tc>
          <w:tcPr>
            <w:tcW w:w="591" w:type="dxa"/>
            <w:shd w:val="clear" w:color="000000" w:fill="F1F7ED"/>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PA-38</w:t>
            </w:r>
          </w:p>
        </w:tc>
        <w:tc>
          <w:tcPr>
            <w:tcW w:w="2055" w:type="dxa"/>
            <w:shd w:val="clear" w:color="000000" w:fill="FFFFFF"/>
            <w:vAlign w:val="center"/>
            <w:hideMark/>
          </w:tcPr>
          <w:p w:rsidR="00C374BE" w:rsidRPr="003C3E25" w:rsidRDefault="00C374BE" w:rsidP="004652A6">
            <w:pPr>
              <w:jc w:val="both"/>
              <w:rPr>
                <w:rFonts w:eastAsia="Times New Roman" w:cs="Arial"/>
                <w:sz w:val="18"/>
                <w:szCs w:val="18"/>
                <w:lang w:val="es-CO" w:eastAsia="es-CO"/>
              </w:rPr>
            </w:pPr>
            <w:r w:rsidRPr="003C3E25">
              <w:rPr>
                <w:rFonts w:eastAsia="Times New Roman" w:cs="Arial"/>
                <w:sz w:val="18"/>
                <w:szCs w:val="18"/>
                <w:lang w:val="es-CO" w:eastAsia="es-CO"/>
              </w:rPr>
              <w:t>Número de municipios con asistencia técnica para la implementación de las rutas para el Restablecimiento de Derechos de la menor de 14 años embarazada.</w:t>
            </w:r>
          </w:p>
        </w:tc>
        <w:tc>
          <w:tcPr>
            <w:tcW w:w="674" w:type="dxa"/>
            <w:shd w:val="clear" w:color="000000" w:fill="FFFFFF"/>
            <w:noWrap/>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20</w:t>
            </w:r>
          </w:p>
        </w:tc>
        <w:tc>
          <w:tcPr>
            <w:tcW w:w="817" w:type="dxa"/>
            <w:shd w:val="clear" w:color="000000" w:fill="FFFFFF"/>
            <w:noWrap/>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700</w:t>
            </w:r>
          </w:p>
        </w:tc>
        <w:tc>
          <w:tcPr>
            <w:tcW w:w="870"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650</w:t>
            </w:r>
          </w:p>
        </w:tc>
        <w:tc>
          <w:tcPr>
            <w:tcW w:w="800" w:type="dxa"/>
            <w:shd w:val="clear" w:color="000000" w:fill="EDEDED"/>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93%</w:t>
            </w:r>
          </w:p>
        </w:tc>
        <w:tc>
          <w:tcPr>
            <w:tcW w:w="705"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600</w:t>
            </w:r>
          </w:p>
        </w:tc>
        <w:tc>
          <w:tcPr>
            <w:tcW w:w="721" w:type="dxa"/>
            <w:shd w:val="clear" w:color="000000" w:fill="FFFFFF"/>
            <w:noWrap/>
            <w:vAlign w:val="center"/>
          </w:tcPr>
          <w:p w:rsidR="00C374BE" w:rsidRPr="003C3E25" w:rsidRDefault="00C374BE" w:rsidP="004652A6">
            <w:pPr>
              <w:jc w:val="center"/>
              <w:rPr>
                <w:rFonts w:eastAsia="Times New Roman" w:cs="Arial"/>
                <w:sz w:val="18"/>
                <w:szCs w:val="18"/>
                <w:lang w:val="es-CO" w:eastAsia="es-CO"/>
              </w:rPr>
            </w:pPr>
            <w:r w:rsidRPr="003C3E25">
              <w:rPr>
                <w:rFonts w:cs="Arial"/>
                <w:color w:val="000000"/>
                <w:sz w:val="18"/>
                <w:szCs w:val="18"/>
              </w:rPr>
              <w:t>650</w:t>
            </w:r>
          </w:p>
        </w:tc>
        <w:tc>
          <w:tcPr>
            <w:tcW w:w="705" w:type="dxa"/>
            <w:shd w:val="clear" w:color="000000" w:fill="EDEDED"/>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108%</w:t>
            </w:r>
          </w:p>
        </w:tc>
      </w:tr>
      <w:tr w:rsidR="00C374BE" w:rsidRPr="003C3E25" w:rsidTr="003C3E25">
        <w:trPr>
          <w:trHeight w:val="506"/>
        </w:trPr>
        <w:tc>
          <w:tcPr>
            <w:tcW w:w="591" w:type="dxa"/>
            <w:shd w:val="clear" w:color="000000" w:fill="F1F7ED"/>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PA-40</w:t>
            </w:r>
          </w:p>
        </w:tc>
        <w:tc>
          <w:tcPr>
            <w:tcW w:w="2055" w:type="dxa"/>
            <w:shd w:val="clear" w:color="000000" w:fill="FFFFFF"/>
            <w:vAlign w:val="center"/>
            <w:hideMark/>
          </w:tcPr>
          <w:p w:rsidR="00C374BE" w:rsidRPr="003C3E25" w:rsidRDefault="00C374BE" w:rsidP="004652A6">
            <w:pPr>
              <w:jc w:val="both"/>
              <w:rPr>
                <w:rFonts w:eastAsia="Times New Roman" w:cs="Arial"/>
                <w:sz w:val="18"/>
                <w:szCs w:val="18"/>
                <w:lang w:val="es-CO" w:eastAsia="es-CO"/>
              </w:rPr>
            </w:pPr>
            <w:r w:rsidRPr="003C3E25">
              <w:rPr>
                <w:rFonts w:eastAsia="Times New Roman" w:cs="Arial"/>
                <w:sz w:val="18"/>
                <w:szCs w:val="18"/>
                <w:lang w:val="es-CO" w:eastAsia="es-CO"/>
              </w:rPr>
              <w:t>Porcentaje de Niños, niñas y adolescentes CON características y necesidades especiales, con familia asignada.</w:t>
            </w:r>
          </w:p>
        </w:tc>
        <w:tc>
          <w:tcPr>
            <w:tcW w:w="674" w:type="dxa"/>
            <w:shd w:val="clear" w:color="000000" w:fill="FFFFFF"/>
            <w:noWrap/>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65%</w:t>
            </w:r>
          </w:p>
        </w:tc>
        <w:tc>
          <w:tcPr>
            <w:tcW w:w="817" w:type="dxa"/>
            <w:shd w:val="clear" w:color="000000" w:fill="FFFFFF"/>
            <w:noWrap/>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70%</w:t>
            </w:r>
          </w:p>
        </w:tc>
        <w:tc>
          <w:tcPr>
            <w:tcW w:w="870"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80%</w:t>
            </w:r>
          </w:p>
        </w:tc>
        <w:tc>
          <w:tcPr>
            <w:tcW w:w="800" w:type="dxa"/>
            <w:shd w:val="clear" w:color="000000" w:fill="EDEDED"/>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114%</w:t>
            </w:r>
          </w:p>
        </w:tc>
        <w:tc>
          <w:tcPr>
            <w:tcW w:w="705"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67%</w:t>
            </w:r>
          </w:p>
        </w:tc>
        <w:tc>
          <w:tcPr>
            <w:tcW w:w="721" w:type="dxa"/>
            <w:shd w:val="clear" w:color="000000" w:fill="FFFFFF"/>
            <w:noWrap/>
            <w:vAlign w:val="center"/>
          </w:tcPr>
          <w:p w:rsidR="00C374BE" w:rsidRPr="003C3E25" w:rsidRDefault="00C374BE" w:rsidP="004652A6">
            <w:pPr>
              <w:jc w:val="center"/>
              <w:rPr>
                <w:rFonts w:eastAsia="Times New Roman" w:cs="Arial"/>
                <w:sz w:val="18"/>
                <w:szCs w:val="18"/>
                <w:lang w:val="es-CO" w:eastAsia="es-CO"/>
              </w:rPr>
            </w:pPr>
            <w:r w:rsidRPr="003C3E25">
              <w:rPr>
                <w:rFonts w:cs="Arial"/>
                <w:color w:val="000000"/>
                <w:sz w:val="18"/>
                <w:szCs w:val="18"/>
              </w:rPr>
              <w:t>80%</w:t>
            </w:r>
          </w:p>
        </w:tc>
        <w:tc>
          <w:tcPr>
            <w:tcW w:w="705" w:type="dxa"/>
            <w:shd w:val="clear" w:color="000000" w:fill="EDEDED"/>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119%</w:t>
            </w:r>
          </w:p>
        </w:tc>
      </w:tr>
      <w:tr w:rsidR="00C374BE" w:rsidRPr="003C3E25" w:rsidTr="003C3E25">
        <w:trPr>
          <w:trHeight w:val="79"/>
        </w:trPr>
        <w:tc>
          <w:tcPr>
            <w:tcW w:w="591" w:type="dxa"/>
            <w:shd w:val="clear" w:color="000000" w:fill="F1F7ED"/>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PA-42</w:t>
            </w:r>
          </w:p>
        </w:tc>
        <w:tc>
          <w:tcPr>
            <w:tcW w:w="2055" w:type="dxa"/>
            <w:shd w:val="clear" w:color="000000" w:fill="FFFFFF"/>
            <w:vAlign w:val="center"/>
            <w:hideMark/>
          </w:tcPr>
          <w:p w:rsidR="00C374BE" w:rsidRPr="003C3E25" w:rsidRDefault="00C374BE" w:rsidP="004652A6">
            <w:pPr>
              <w:jc w:val="both"/>
              <w:rPr>
                <w:rFonts w:eastAsia="Times New Roman" w:cs="Arial"/>
                <w:sz w:val="18"/>
                <w:szCs w:val="18"/>
                <w:lang w:val="es-CO" w:eastAsia="es-CO"/>
              </w:rPr>
            </w:pPr>
            <w:r w:rsidRPr="003C3E25">
              <w:rPr>
                <w:rFonts w:eastAsia="Times New Roman" w:cs="Arial"/>
                <w:sz w:val="18"/>
                <w:szCs w:val="18"/>
                <w:lang w:val="es-CO" w:eastAsia="es-CO"/>
              </w:rPr>
              <w:t>Porcentaje de adolescentes y jóvenes del SRPA, con más de seis meses de permanencia en el Programa de Atención con la garantía de ejercicio de sus derechos (Identidad, Salud y Educación)</w:t>
            </w:r>
          </w:p>
        </w:tc>
        <w:tc>
          <w:tcPr>
            <w:tcW w:w="674" w:type="dxa"/>
            <w:shd w:val="clear" w:color="000000" w:fill="FFFFFF"/>
            <w:noWrap/>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w:t>
            </w:r>
          </w:p>
        </w:tc>
        <w:tc>
          <w:tcPr>
            <w:tcW w:w="817" w:type="dxa"/>
            <w:shd w:val="clear" w:color="000000" w:fill="FFFFFF"/>
            <w:noWrap/>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100%</w:t>
            </w:r>
          </w:p>
        </w:tc>
        <w:tc>
          <w:tcPr>
            <w:tcW w:w="870"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96%</w:t>
            </w:r>
          </w:p>
        </w:tc>
        <w:tc>
          <w:tcPr>
            <w:tcW w:w="800" w:type="dxa"/>
            <w:shd w:val="clear" w:color="000000" w:fill="EDEDED"/>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96%</w:t>
            </w:r>
          </w:p>
        </w:tc>
        <w:tc>
          <w:tcPr>
            <w:tcW w:w="705"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100%</w:t>
            </w:r>
          </w:p>
        </w:tc>
        <w:tc>
          <w:tcPr>
            <w:tcW w:w="721" w:type="dxa"/>
            <w:shd w:val="clear" w:color="000000" w:fill="FFFFFF"/>
            <w:noWrap/>
            <w:vAlign w:val="center"/>
          </w:tcPr>
          <w:p w:rsidR="00C374BE" w:rsidRPr="003C3E25" w:rsidRDefault="00C374BE" w:rsidP="004652A6">
            <w:pPr>
              <w:jc w:val="center"/>
              <w:rPr>
                <w:rFonts w:eastAsia="Times New Roman" w:cs="Arial"/>
                <w:sz w:val="18"/>
                <w:szCs w:val="18"/>
                <w:lang w:val="es-CO" w:eastAsia="es-CO"/>
              </w:rPr>
            </w:pPr>
            <w:r w:rsidRPr="003C3E25">
              <w:rPr>
                <w:rFonts w:cs="Arial"/>
                <w:color w:val="000000"/>
                <w:sz w:val="18"/>
                <w:szCs w:val="18"/>
              </w:rPr>
              <w:t>96%</w:t>
            </w:r>
          </w:p>
        </w:tc>
        <w:tc>
          <w:tcPr>
            <w:tcW w:w="705" w:type="dxa"/>
            <w:shd w:val="clear" w:color="000000" w:fill="EDEDED"/>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96%</w:t>
            </w:r>
          </w:p>
        </w:tc>
      </w:tr>
      <w:tr w:rsidR="00C374BE" w:rsidRPr="003C3E25" w:rsidTr="003C3E25">
        <w:trPr>
          <w:trHeight w:val="506"/>
        </w:trPr>
        <w:tc>
          <w:tcPr>
            <w:tcW w:w="591" w:type="dxa"/>
            <w:shd w:val="clear" w:color="000000" w:fill="F1F7ED"/>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lastRenderedPageBreak/>
              <w:t>PA-43</w:t>
            </w:r>
          </w:p>
        </w:tc>
        <w:tc>
          <w:tcPr>
            <w:tcW w:w="2055" w:type="dxa"/>
            <w:shd w:val="clear" w:color="auto" w:fill="auto"/>
            <w:vAlign w:val="center"/>
            <w:hideMark/>
          </w:tcPr>
          <w:p w:rsidR="00C374BE" w:rsidRPr="003C3E25" w:rsidRDefault="00C374BE" w:rsidP="004652A6">
            <w:pPr>
              <w:jc w:val="both"/>
              <w:rPr>
                <w:rFonts w:eastAsia="Times New Roman" w:cs="Arial"/>
                <w:sz w:val="18"/>
                <w:szCs w:val="18"/>
                <w:lang w:val="es-CO" w:eastAsia="es-CO"/>
              </w:rPr>
            </w:pPr>
            <w:r w:rsidRPr="003C3E25">
              <w:rPr>
                <w:rFonts w:eastAsia="Times New Roman" w:cs="Arial"/>
                <w:sz w:val="18"/>
                <w:szCs w:val="18"/>
                <w:lang w:val="es-CO" w:eastAsia="es-CO"/>
              </w:rPr>
              <w:t>Porcentaje de adolescentes y jóvenes que egresan el último año del SRPA por cumplimiento de sanción privativa de la libertad, atendidos con estrategias post egreso o inclusión social.</w:t>
            </w:r>
          </w:p>
        </w:tc>
        <w:tc>
          <w:tcPr>
            <w:tcW w:w="674" w:type="dxa"/>
            <w:shd w:val="clear" w:color="000000" w:fill="FFFFFF"/>
            <w:noWrap/>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w:t>
            </w:r>
          </w:p>
        </w:tc>
        <w:tc>
          <w:tcPr>
            <w:tcW w:w="817" w:type="dxa"/>
            <w:shd w:val="clear" w:color="000000" w:fill="FFFFFF"/>
            <w:noWrap/>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65%</w:t>
            </w:r>
          </w:p>
        </w:tc>
        <w:tc>
          <w:tcPr>
            <w:tcW w:w="870"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50%</w:t>
            </w:r>
          </w:p>
        </w:tc>
        <w:tc>
          <w:tcPr>
            <w:tcW w:w="800" w:type="dxa"/>
            <w:shd w:val="clear" w:color="000000" w:fill="EDEDED"/>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77%</w:t>
            </w:r>
          </w:p>
        </w:tc>
        <w:tc>
          <w:tcPr>
            <w:tcW w:w="705"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60%</w:t>
            </w:r>
          </w:p>
        </w:tc>
        <w:tc>
          <w:tcPr>
            <w:tcW w:w="721" w:type="dxa"/>
            <w:shd w:val="clear" w:color="000000" w:fill="FFFFFF"/>
            <w:noWrap/>
            <w:vAlign w:val="center"/>
          </w:tcPr>
          <w:p w:rsidR="00C374BE" w:rsidRPr="003C3E25" w:rsidRDefault="00C374BE" w:rsidP="004652A6">
            <w:pPr>
              <w:jc w:val="center"/>
              <w:rPr>
                <w:rFonts w:eastAsia="Times New Roman" w:cs="Arial"/>
                <w:sz w:val="18"/>
                <w:szCs w:val="18"/>
                <w:lang w:val="es-CO" w:eastAsia="es-CO"/>
              </w:rPr>
            </w:pPr>
            <w:r w:rsidRPr="003C3E25">
              <w:rPr>
                <w:rFonts w:cs="Arial"/>
                <w:color w:val="000000"/>
                <w:sz w:val="18"/>
                <w:szCs w:val="18"/>
              </w:rPr>
              <w:t>50%</w:t>
            </w:r>
          </w:p>
        </w:tc>
        <w:tc>
          <w:tcPr>
            <w:tcW w:w="705" w:type="dxa"/>
            <w:shd w:val="clear" w:color="000000" w:fill="EDEDED"/>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83%</w:t>
            </w:r>
          </w:p>
        </w:tc>
      </w:tr>
      <w:tr w:rsidR="00C374BE" w:rsidRPr="003C3E25" w:rsidTr="003C3E25">
        <w:trPr>
          <w:trHeight w:val="506"/>
        </w:trPr>
        <w:tc>
          <w:tcPr>
            <w:tcW w:w="591" w:type="dxa"/>
            <w:shd w:val="clear" w:color="000000" w:fill="F1F7ED"/>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PA-45</w:t>
            </w:r>
          </w:p>
        </w:tc>
        <w:tc>
          <w:tcPr>
            <w:tcW w:w="2055" w:type="dxa"/>
            <w:shd w:val="clear" w:color="000000" w:fill="FFFFFF"/>
            <w:vAlign w:val="center"/>
            <w:hideMark/>
          </w:tcPr>
          <w:p w:rsidR="00C374BE" w:rsidRPr="003C3E25" w:rsidRDefault="00C374BE" w:rsidP="004652A6">
            <w:pPr>
              <w:jc w:val="both"/>
              <w:rPr>
                <w:rFonts w:eastAsia="Times New Roman" w:cs="Arial"/>
                <w:sz w:val="18"/>
                <w:szCs w:val="18"/>
                <w:lang w:val="es-CO" w:eastAsia="es-CO"/>
              </w:rPr>
            </w:pPr>
            <w:r w:rsidRPr="003C3E25">
              <w:rPr>
                <w:rFonts w:eastAsia="Times New Roman" w:cs="Arial"/>
                <w:sz w:val="18"/>
                <w:szCs w:val="18"/>
                <w:lang w:val="es-CO" w:eastAsia="es-CO"/>
              </w:rPr>
              <w:t>Porcentaje de Unidades de Servicio de Atención a adolescentes y jóvenes del Sistema de Responsabilidad Penal - SRPA, con implementación de procesos de formación en prácticas restaurativas</w:t>
            </w:r>
          </w:p>
        </w:tc>
        <w:tc>
          <w:tcPr>
            <w:tcW w:w="674" w:type="dxa"/>
            <w:shd w:val="clear" w:color="000000" w:fill="FFFFFF"/>
            <w:noWrap/>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30%</w:t>
            </w:r>
          </w:p>
        </w:tc>
        <w:tc>
          <w:tcPr>
            <w:tcW w:w="817" w:type="dxa"/>
            <w:shd w:val="clear" w:color="000000" w:fill="FFFFFF"/>
            <w:noWrap/>
            <w:vAlign w:val="center"/>
            <w:hideMark/>
          </w:tcPr>
          <w:p w:rsidR="00C374BE" w:rsidRPr="003C3E25" w:rsidRDefault="00C374BE" w:rsidP="004652A6">
            <w:pPr>
              <w:jc w:val="center"/>
              <w:rPr>
                <w:rFonts w:eastAsia="Times New Roman" w:cs="Arial"/>
                <w:color w:val="000000"/>
                <w:sz w:val="18"/>
                <w:szCs w:val="18"/>
                <w:lang w:val="es-CO" w:eastAsia="es-CO"/>
              </w:rPr>
            </w:pPr>
            <w:r w:rsidRPr="003C3E25">
              <w:rPr>
                <w:rFonts w:eastAsia="Times New Roman" w:cs="Arial"/>
                <w:color w:val="000000"/>
                <w:sz w:val="18"/>
                <w:szCs w:val="18"/>
                <w:lang w:val="es-CO" w:eastAsia="es-CO"/>
              </w:rPr>
              <w:t>100%</w:t>
            </w:r>
          </w:p>
        </w:tc>
        <w:tc>
          <w:tcPr>
            <w:tcW w:w="870"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85%</w:t>
            </w:r>
          </w:p>
        </w:tc>
        <w:tc>
          <w:tcPr>
            <w:tcW w:w="800" w:type="dxa"/>
            <w:shd w:val="clear" w:color="000000" w:fill="EDEDED"/>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85%</w:t>
            </w:r>
          </w:p>
        </w:tc>
        <w:tc>
          <w:tcPr>
            <w:tcW w:w="705" w:type="dxa"/>
            <w:shd w:val="clear" w:color="000000" w:fill="FFFFFF"/>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84%</w:t>
            </w:r>
          </w:p>
        </w:tc>
        <w:tc>
          <w:tcPr>
            <w:tcW w:w="721" w:type="dxa"/>
            <w:shd w:val="clear" w:color="000000" w:fill="FFFFFF"/>
            <w:noWrap/>
            <w:vAlign w:val="center"/>
          </w:tcPr>
          <w:p w:rsidR="00C374BE" w:rsidRPr="003C3E25" w:rsidRDefault="00C374BE" w:rsidP="004652A6">
            <w:pPr>
              <w:jc w:val="center"/>
              <w:rPr>
                <w:rFonts w:eastAsia="Times New Roman" w:cs="Arial"/>
                <w:sz w:val="18"/>
                <w:szCs w:val="18"/>
                <w:lang w:val="es-CO" w:eastAsia="es-CO"/>
              </w:rPr>
            </w:pPr>
            <w:r w:rsidRPr="003C3E25">
              <w:rPr>
                <w:rFonts w:cs="Arial"/>
                <w:color w:val="000000"/>
                <w:sz w:val="18"/>
                <w:szCs w:val="18"/>
              </w:rPr>
              <w:t>85%</w:t>
            </w:r>
          </w:p>
        </w:tc>
        <w:tc>
          <w:tcPr>
            <w:tcW w:w="705" w:type="dxa"/>
            <w:shd w:val="clear" w:color="000000" w:fill="EDEDED"/>
            <w:noWrap/>
            <w:vAlign w:val="center"/>
          </w:tcPr>
          <w:p w:rsidR="00C374BE" w:rsidRPr="003C3E25" w:rsidRDefault="00C374BE" w:rsidP="004652A6">
            <w:pPr>
              <w:jc w:val="center"/>
              <w:rPr>
                <w:rFonts w:eastAsia="Times New Roman" w:cs="Arial"/>
                <w:color w:val="000000"/>
                <w:sz w:val="18"/>
                <w:szCs w:val="18"/>
                <w:lang w:val="es-CO" w:eastAsia="es-CO"/>
              </w:rPr>
            </w:pPr>
            <w:r w:rsidRPr="003C3E25">
              <w:rPr>
                <w:rFonts w:cs="Arial"/>
                <w:color w:val="000000"/>
                <w:sz w:val="18"/>
                <w:szCs w:val="18"/>
              </w:rPr>
              <w:t>101%</w:t>
            </w:r>
          </w:p>
        </w:tc>
      </w:tr>
    </w:tbl>
    <w:p w:rsidR="00C374BE" w:rsidRPr="007608C2" w:rsidRDefault="003C3E25" w:rsidP="00C374BE">
      <w:pPr>
        <w:rPr>
          <w:rFonts w:cs="Arial"/>
        </w:rPr>
      </w:pPr>
      <w:r w:rsidRPr="007608C2">
        <w:rPr>
          <w:rFonts w:cs="Arial"/>
          <w:b/>
          <w:noProof/>
          <w:lang w:val="es-CO" w:eastAsia="es-CO"/>
        </w:rPr>
        <mc:AlternateContent>
          <mc:Choice Requires="wps">
            <w:drawing>
              <wp:anchor distT="45720" distB="45720" distL="114300" distR="114300" simplePos="0" relativeHeight="251829760" behindDoc="0" locked="0" layoutInCell="1" allowOverlap="1" wp14:anchorId="3C14C289" wp14:editId="4E85999E">
                <wp:simplePos x="0" y="0"/>
                <wp:positionH relativeFrom="column">
                  <wp:posOffset>228600</wp:posOffset>
                </wp:positionH>
                <wp:positionV relativeFrom="paragraph">
                  <wp:posOffset>4637405</wp:posOffset>
                </wp:positionV>
                <wp:extent cx="2582545" cy="248920"/>
                <wp:effectExtent l="0" t="0" r="825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248920"/>
                        </a:xfrm>
                        <a:prstGeom prst="rect">
                          <a:avLst/>
                        </a:prstGeom>
                        <a:solidFill>
                          <a:srgbClr val="FFFFFF"/>
                        </a:solidFill>
                        <a:ln w="9525">
                          <a:noFill/>
                          <a:miter lim="800000"/>
                          <a:headEnd/>
                          <a:tailEnd/>
                        </a:ln>
                      </wps:spPr>
                      <wps:txbx>
                        <w:txbxContent>
                          <w:p w:rsidR="006C2935" w:rsidRPr="00CE3874" w:rsidRDefault="006C2935" w:rsidP="005762C8">
                            <w:pPr>
                              <w:rPr>
                                <w:sz w:val="16"/>
                                <w:szCs w:val="16"/>
                                <w:lang w:val="es-CO"/>
                              </w:rPr>
                            </w:pPr>
                            <w:r w:rsidRPr="00CE3874">
                              <w:rPr>
                                <w:sz w:val="16"/>
                                <w:szCs w:val="16"/>
                                <w:lang w:val="es-CO"/>
                              </w:rPr>
                              <w:t>Fuente: Tablero de control corte diciembre 2017 preliminar.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4C289" id="Cuadro de texto 2" o:spid="_x0000_s1027" type="#_x0000_t202" style="position:absolute;margin-left:18pt;margin-top:365.15pt;width:203.35pt;height:19.6pt;z-index:25182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" stroked="f">
                <v:textbox>
                  <w:txbxContent>
                    <w:p w:rsidR="006C2935" w:rsidRPr="00CE3874" w:rsidRDefault="006C2935" w:rsidP="005762C8">
                      <w:pPr>
                        <w:rPr>
                          <w:sz w:val="16"/>
                          <w:szCs w:val="16"/>
                          <w:lang w:val="es-CO"/>
                        </w:rPr>
                      </w:pPr>
                      <w:r w:rsidRPr="00CE3874">
                        <w:rPr>
                          <w:sz w:val="16"/>
                          <w:szCs w:val="16"/>
                          <w:lang w:val="es-CO"/>
                        </w:rPr>
                        <w:t>Fuente: Tablero de control corte diciembre 2017 preliminar.</w:t>
                      </w:r>
                    </w:p>
                  </w:txbxContent>
                </v:textbox>
                <w10:wrap type="square"/>
              </v:shape>
            </w:pict>
          </mc:Fallback>
        </mc:AlternateContent>
      </w:r>
    </w:p>
    <w:p w:rsidR="005762C8" w:rsidRDefault="005762C8" w:rsidP="00C374BE">
      <w:pPr>
        <w:spacing w:after="0" w:line="240" w:lineRule="auto"/>
        <w:rPr>
          <w:rFonts w:cs="Arial"/>
          <w:b/>
        </w:rPr>
      </w:pPr>
    </w:p>
    <w:p w:rsidR="005762C8" w:rsidRDefault="005762C8" w:rsidP="00C374BE">
      <w:pPr>
        <w:spacing w:after="0" w:line="240" w:lineRule="auto"/>
        <w:rPr>
          <w:rFonts w:cs="Arial"/>
          <w:b/>
        </w:rPr>
      </w:pPr>
    </w:p>
    <w:p w:rsidR="005762C8" w:rsidRDefault="005762C8" w:rsidP="00C374BE">
      <w:pPr>
        <w:spacing w:after="0" w:line="240" w:lineRule="auto"/>
        <w:rPr>
          <w:rFonts w:cs="Arial"/>
          <w:b/>
        </w:rPr>
      </w:pPr>
    </w:p>
    <w:p w:rsidR="005762C8" w:rsidRDefault="005762C8" w:rsidP="00C374BE">
      <w:pPr>
        <w:spacing w:after="0" w:line="240" w:lineRule="auto"/>
        <w:rPr>
          <w:rFonts w:cs="Arial"/>
          <w:b/>
        </w:rPr>
      </w:pPr>
    </w:p>
    <w:p w:rsidR="005762C8" w:rsidRDefault="005762C8" w:rsidP="00C374BE">
      <w:pPr>
        <w:spacing w:after="0" w:line="240" w:lineRule="auto"/>
        <w:rPr>
          <w:rFonts w:cs="Arial"/>
          <w:b/>
        </w:rPr>
      </w:pPr>
    </w:p>
    <w:p w:rsidR="005762C8" w:rsidRDefault="005762C8" w:rsidP="00C374BE">
      <w:pPr>
        <w:spacing w:after="0" w:line="240" w:lineRule="auto"/>
        <w:rPr>
          <w:rFonts w:cs="Arial"/>
          <w:b/>
        </w:rPr>
      </w:pPr>
    </w:p>
    <w:p w:rsidR="005762C8" w:rsidRDefault="005762C8" w:rsidP="00C374BE">
      <w:pPr>
        <w:spacing w:after="0" w:line="240" w:lineRule="auto"/>
        <w:rPr>
          <w:rFonts w:cs="Arial"/>
          <w:b/>
        </w:rPr>
      </w:pPr>
    </w:p>
    <w:p w:rsidR="005762C8" w:rsidRDefault="005762C8" w:rsidP="00C374BE">
      <w:pPr>
        <w:spacing w:after="0" w:line="240" w:lineRule="auto"/>
        <w:rPr>
          <w:rFonts w:cs="Arial"/>
          <w:b/>
        </w:rPr>
      </w:pPr>
    </w:p>
    <w:p w:rsidR="005762C8" w:rsidRDefault="005762C8" w:rsidP="00C374BE">
      <w:pPr>
        <w:spacing w:after="0" w:line="240" w:lineRule="auto"/>
        <w:rPr>
          <w:rFonts w:cs="Arial"/>
          <w:b/>
        </w:rPr>
      </w:pPr>
    </w:p>
    <w:p w:rsidR="005762C8" w:rsidRDefault="005762C8" w:rsidP="00C374BE">
      <w:pPr>
        <w:spacing w:after="0" w:line="240" w:lineRule="auto"/>
        <w:rPr>
          <w:rFonts w:cs="Arial"/>
          <w:b/>
        </w:rPr>
      </w:pPr>
    </w:p>
    <w:p w:rsidR="005762C8" w:rsidRDefault="005762C8" w:rsidP="00C374BE">
      <w:pPr>
        <w:spacing w:after="0" w:line="240" w:lineRule="auto"/>
        <w:rPr>
          <w:rFonts w:cs="Arial"/>
          <w:b/>
        </w:rPr>
      </w:pPr>
    </w:p>
    <w:p w:rsidR="005762C8" w:rsidRDefault="005762C8" w:rsidP="00C374BE">
      <w:pPr>
        <w:spacing w:after="0" w:line="240" w:lineRule="auto"/>
        <w:rPr>
          <w:rFonts w:cs="Arial"/>
          <w:b/>
        </w:rPr>
      </w:pPr>
    </w:p>
    <w:p w:rsidR="00C374BE" w:rsidRPr="007608C2" w:rsidRDefault="00C374BE" w:rsidP="00C374BE">
      <w:pPr>
        <w:spacing w:after="0" w:line="240" w:lineRule="auto"/>
        <w:rPr>
          <w:rFonts w:cs="Arial"/>
          <w:b/>
        </w:rPr>
      </w:pPr>
      <w:r w:rsidRPr="007608C2">
        <w:rPr>
          <w:rFonts w:cs="Arial"/>
          <w:b/>
        </w:rPr>
        <w:br w:type="page"/>
      </w:r>
    </w:p>
    <w:p w:rsidR="005762C8" w:rsidRPr="003C3E25" w:rsidRDefault="00CA0B77" w:rsidP="003C3E25">
      <w:pPr>
        <w:pStyle w:val="Prrafodelista"/>
        <w:numPr>
          <w:ilvl w:val="0"/>
          <w:numId w:val="2"/>
        </w:numPr>
        <w:spacing w:before="100" w:beforeAutospacing="1" w:after="100" w:afterAutospacing="1" w:line="480" w:lineRule="auto"/>
        <w:jc w:val="both"/>
        <w:outlineLvl w:val="0"/>
        <w:rPr>
          <w:rFonts w:cs="Arial"/>
          <w:b/>
        </w:rPr>
      </w:pPr>
      <w:bookmarkStart w:id="7" w:name="_Toc505183026"/>
      <w:r w:rsidRPr="007608C2">
        <w:rPr>
          <w:rFonts w:cs="Arial"/>
          <w:b/>
        </w:rPr>
        <w:lastRenderedPageBreak/>
        <w:t>GESTIÓN FINAN</w:t>
      </w:r>
      <w:r w:rsidR="00831205" w:rsidRPr="007608C2">
        <w:rPr>
          <w:rFonts w:cs="Arial"/>
          <w:b/>
        </w:rPr>
        <w:t>CIERA</w:t>
      </w:r>
      <w:bookmarkEnd w:id="7"/>
    </w:p>
    <w:p w:rsidR="00CA0B77" w:rsidRPr="007608C2" w:rsidRDefault="00CA0B77" w:rsidP="00C75E40">
      <w:pPr>
        <w:pStyle w:val="Prrafodelista"/>
        <w:numPr>
          <w:ilvl w:val="1"/>
          <w:numId w:val="2"/>
        </w:numPr>
        <w:spacing w:before="100" w:beforeAutospacing="1" w:after="100" w:afterAutospacing="1" w:line="240" w:lineRule="auto"/>
        <w:jc w:val="both"/>
        <w:outlineLvl w:val="0"/>
        <w:rPr>
          <w:rFonts w:cs="Arial"/>
          <w:b/>
        </w:rPr>
      </w:pPr>
      <w:bookmarkStart w:id="8" w:name="_Toc505183027"/>
      <w:r w:rsidRPr="007608C2">
        <w:rPr>
          <w:rFonts w:eastAsiaTheme="majorEastAsia" w:cs="Arial"/>
          <w:b/>
        </w:rPr>
        <w:t>Apropiación presupuestal</w:t>
      </w:r>
      <w:bookmarkEnd w:id="8"/>
    </w:p>
    <w:p w:rsidR="005129EB" w:rsidRPr="007608C2" w:rsidRDefault="005129EB" w:rsidP="00A44A2B">
      <w:pPr>
        <w:numPr>
          <w:ilvl w:val="0"/>
          <w:numId w:val="19"/>
        </w:numPr>
        <w:spacing w:before="100" w:beforeAutospacing="1" w:after="100" w:afterAutospacing="1" w:line="240" w:lineRule="auto"/>
        <w:ind w:left="284" w:hanging="284"/>
        <w:contextualSpacing/>
        <w:jc w:val="both"/>
        <w:rPr>
          <w:rFonts w:cs="Arial"/>
        </w:rPr>
      </w:pPr>
      <w:r w:rsidRPr="007608C2">
        <w:rPr>
          <w:rFonts w:cs="Arial"/>
        </w:rPr>
        <w:t>Composición del Gasto por Rubros</w:t>
      </w:r>
    </w:p>
    <w:tbl>
      <w:tblPr>
        <w:tblpPr w:leftFromText="141" w:rightFromText="141" w:vertAnchor="text" w:horzAnchor="margin" w:tblpY="7"/>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3"/>
        <w:gridCol w:w="2409"/>
        <w:gridCol w:w="2551"/>
        <w:gridCol w:w="2269"/>
      </w:tblGrid>
      <w:tr w:rsidR="005129EB" w:rsidRPr="004D096C" w:rsidTr="005762C8">
        <w:trPr>
          <w:trHeight w:val="284"/>
        </w:trPr>
        <w:tc>
          <w:tcPr>
            <w:tcW w:w="1135" w:type="pct"/>
            <w:tcBorders>
              <w:top w:val="single" w:sz="4" w:space="0" w:color="A9D08E"/>
              <w:left w:val="single" w:sz="4" w:space="0" w:color="A9D08E"/>
              <w:bottom w:val="single" w:sz="4" w:space="0" w:color="A9D08E"/>
              <w:right w:val="single" w:sz="4" w:space="0" w:color="A9D08E"/>
            </w:tcBorders>
            <w:shd w:val="clear" w:color="auto" w:fill="76922E"/>
            <w:vAlign w:val="center"/>
            <w:hideMark/>
          </w:tcPr>
          <w:p w:rsidR="005129EB" w:rsidRPr="004D096C" w:rsidRDefault="005129EB" w:rsidP="005762C8">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4D096C">
              <w:rPr>
                <w:rFonts w:eastAsia="Times New Roman" w:cs="Arial"/>
                <w:b/>
                <w:bCs/>
                <w:color w:val="FFFFFF" w:themeColor="background1"/>
                <w:sz w:val="18"/>
                <w:szCs w:val="18"/>
                <w:lang w:val="es-CO" w:eastAsia="es-CO"/>
              </w:rPr>
              <w:t>Apropiación Inicial</w:t>
            </w:r>
          </w:p>
        </w:tc>
        <w:tc>
          <w:tcPr>
            <w:tcW w:w="1288" w:type="pct"/>
            <w:tcBorders>
              <w:top w:val="single" w:sz="4" w:space="0" w:color="A9D08E"/>
              <w:left w:val="single" w:sz="4" w:space="0" w:color="A9D08E"/>
              <w:bottom w:val="single" w:sz="4" w:space="0" w:color="A9D08E"/>
              <w:right w:val="single" w:sz="4" w:space="0" w:color="A9D08E"/>
            </w:tcBorders>
            <w:shd w:val="clear" w:color="auto" w:fill="76922E"/>
            <w:vAlign w:val="center"/>
            <w:hideMark/>
          </w:tcPr>
          <w:p w:rsidR="005129EB" w:rsidRPr="004D096C" w:rsidRDefault="005129EB" w:rsidP="005762C8">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4D096C">
              <w:rPr>
                <w:rFonts w:eastAsia="Times New Roman" w:cs="Arial"/>
                <w:b/>
                <w:bCs/>
                <w:color w:val="FFFFFF" w:themeColor="background1"/>
                <w:sz w:val="18"/>
                <w:szCs w:val="18"/>
                <w:lang w:val="es-CO" w:eastAsia="es-CO"/>
              </w:rPr>
              <w:t>Apropiación Vigente</w:t>
            </w:r>
          </w:p>
        </w:tc>
        <w:tc>
          <w:tcPr>
            <w:tcW w:w="1364" w:type="pct"/>
            <w:tcBorders>
              <w:top w:val="single" w:sz="4" w:space="0" w:color="A9D08E"/>
              <w:left w:val="single" w:sz="4" w:space="0" w:color="A9D08E"/>
              <w:bottom w:val="single" w:sz="4" w:space="0" w:color="A9D08E"/>
              <w:right w:val="single" w:sz="4" w:space="0" w:color="A9D08E"/>
            </w:tcBorders>
            <w:shd w:val="clear" w:color="auto" w:fill="76922E"/>
            <w:vAlign w:val="center"/>
            <w:hideMark/>
          </w:tcPr>
          <w:p w:rsidR="005129EB" w:rsidRPr="004D096C" w:rsidRDefault="005129EB" w:rsidP="005762C8">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4D096C">
              <w:rPr>
                <w:rFonts w:eastAsia="Times New Roman" w:cs="Arial"/>
                <w:b/>
                <w:bCs/>
                <w:color w:val="FFFFFF" w:themeColor="background1"/>
                <w:sz w:val="18"/>
                <w:szCs w:val="18"/>
                <w:lang w:val="es-CO" w:eastAsia="es-CO"/>
              </w:rPr>
              <w:t>Apropiación Bloqueada</w:t>
            </w:r>
          </w:p>
        </w:tc>
        <w:tc>
          <w:tcPr>
            <w:tcW w:w="1213" w:type="pct"/>
            <w:tcBorders>
              <w:top w:val="single" w:sz="4" w:space="0" w:color="A9D08E"/>
              <w:left w:val="single" w:sz="4" w:space="0" w:color="A9D08E"/>
              <w:bottom w:val="single" w:sz="4" w:space="0" w:color="A9D08E"/>
              <w:right w:val="single" w:sz="4" w:space="0" w:color="A9D08E"/>
            </w:tcBorders>
            <w:shd w:val="clear" w:color="auto" w:fill="76922E"/>
            <w:vAlign w:val="center"/>
            <w:hideMark/>
          </w:tcPr>
          <w:p w:rsidR="005129EB" w:rsidRPr="004D096C" w:rsidRDefault="005129EB" w:rsidP="005762C8">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4D096C">
              <w:rPr>
                <w:rFonts w:eastAsia="Times New Roman" w:cs="Arial"/>
                <w:b/>
                <w:bCs/>
                <w:color w:val="FFFFFF" w:themeColor="background1"/>
                <w:sz w:val="18"/>
                <w:szCs w:val="18"/>
                <w:lang w:val="es-CO" w:eastAsia="es-CO"/>
              </w:rPr>
              <w:t>Apropiación a Ejecutar</w:t>
            </w:r>
          </w:p>
        </w:tc>
      </w:tr>
      <w:tr w:rsidR="005129EB" w:rsidRPr="004D096C" w:rsidTr="005762C8">
        <w:trPr>
          <w:trHeight w:val="461"/>
        </w:trPr>
        <w:tc>
          <w:tcPr>
            <w:tcW w:w="1135" w:type="pct"/>
            <w:tcBorders>
              <w:top w:val="single" w:sz="4" w:space="0" w:color="A9D08E"/>
            </w:tcBorders>
            <w:shd w:val="clear" w:color="auto" w:fill="auto"/>
            <w:vAlign w:val="center"/>
            <w:hideMark/>
          </w:tcPr>
          <w:p w:rsidR="005129EB" w:rsidRPr="004D096C" w:rsidRDefault="005129EB" w:rsidP="005762C8">
            <w:pPr>
              <w:spacing w:before="100" w:beforeAutospacing="1" w:after="100" w:afterAutospacing="1" w:line="240" w:lineRule="auto"/>
              <w:jc w:val="center"/>
              <w:rPr>
                <w:rFonts w:cs="Arial"/>
                <w:sz w:val="18"/>
                <w:szCs w:val="18"/>
                <w:lang w:val="es-CO" w:eastAsia="es-CO"/>
              </w:rPr>
            </w:pPr>
            <w:r w:rsidRPr="004D096C">
              <w:rPr>
                <w:rFonts w:cs="Arial"/>
                <w:sz w:val="18"/>
                <w:szCs w:val="18"/>
              </w:rPr>
              <w:t>$5.613.675</w:t>
            </w:r>
          </w:p>
        </w:tc>
        <w:tc>
          <w:tcPr>
            <w:tcW w:w="1288" w:type="pct"/>
            <w:tcBorders>
              <w:top w:val="single" w:sz="4" w:space="0" w:color="A9D08E"/>
            </w:tcBorders>
            <w:shd w:val="clear" w:color="auto" w:fill="auto"/>
            <w:vAlign w:val="center"/>
            <w:hideMark/>
          </w:tcPr>
          <w:p w:rsidR="005129EB" w:rsidRPr="004D096C" w:rsidRDefault="005129EB" w:rsidP="005762C8">
            <w:pPr>
              <w:spacing w:before="100" w:beforeAutospacing="1" w:after="100" w:afterAutospacing="1" w:line="240" w:lineRule="auto"/>
              <w:jc w:val="center"/>
              <w:rPr>
                <w:rFonts w:eastAsia="Times New Roman" w:cs="Arial"/>
                <w:sz w:val="18"/>
                <w:szCs w:val="18"/>
                <w:lang w:val="es-CO" w:eastAsia="es-CO"/>
              </w:rPr>
            </w:pPr>
            <w:r w:rsidRPr="004D096C">
              <w:rPr>
                <w:rFonts w:cs="Arial"/>
                <w:sz w:val="18"/>
                <w:szCs w:val="18"/>
              </w:rPr>
              <w:t>$ 6.105.755</w:t>
            </w:r>
          </w:p>
        </w:tc>
        <w:tc>
          <w:tcPr>
            <w:tcW w:w="1364" w:type="pct"/>
            <w:tcBorders>
              <w:top w:val="single" w:sz="4" w:space="0" w:color="A9D08E"/>
            </w:tcBorders>
            <w:shd w:val="clear" w:color="auto" w:fill="auto"/>
            <w:vAlign w:val="center"/>
            <w:hideMark/>
          </w:tcPr>
          <w:p w:rsidR="005129EB" w:rsidRPr="004D096C" w:rsidRDefault="005129EB" w:rsidP="005762C8">
            <w:pPr>
              <w:spacing w:before="100" w:beforeAutospacing="1" w:after="100" w:afterAutospacing="1" w:line="240" w:lineRule="auto"/>
              <w:jc w:val="center"/>
              <w:rPr>
                <w:rFonts w:eastAsia="Times New Roman" w:cs="Arial"/>
                <w:sz w:val="18"/>
                <w:szCs w:val="18"/>
                <w:lang w:val="es-CO" w:eastAsia="es-CO"/>
              </w:rPr>
            </w:pPr>
            <w:r w:rsidRPr="004D096C">
              <w:rPr>
                <w:rFonts w:cs="Arial"/>
                <w:sz w:val="18"/>
                <w:szCs w:val="18"/>
              </w:rPr>
              <w:t>$ 0</w:t>
            </w:r>
          </w:p>
        </w:tc>
        <w:tc>
          <w:tcPr>
            <w:tcW w:w="1213" w:type="pct"/>
            <w:tcBorders>
              <w:top w:val="single" w:sz="4" w:space="0" w:color="A9D08E"/>
            </w:tcBorders>
            <w:shd w:val="clear" w:color="auto" w:fill="auto"/>
            <w:vAlign w:val="center"/>
            <w:hideMark/>
          </w:tcPr>
          <w:p w:rsidR="005129EB" w:rsidRPr="004D096C" w:rsidRDefault="005129EB" w:rsidP="005762C8">
            <w:pPr>
              <w:spacing w:before="100" w:beforeAutospacing="1" w:after="100" w:afterAutospacing="1" w:line="240" w:lineRule="auto"/>
              <w:jc w:val="center"/>
              <w:rPr>
                <w:rFonts w:eastAsia="Times New Roman" w:cs="Arial"/>
                <w:sz w:val="18"/>
                <w:szCs w:val="18"/>
                <w:lang w:val="es-CO" w:eastAsia="es-CO"/>
              </w:rPr>
            </w:pPr>
            <w:r w:rsidRPr="004D096C">
              <w:rPr>
                <w:rFonts w:cs="Arial"/>
                <w:sz w:val="18"/>
                <w:szCs w:val="18"/>
              </w:rPr>
              <w:t>$ 6.105.755</w:t>
            </w:r>
          </w:p>
        </w:tc>
      </w:tr>
    </w:tbl>
    <w:p w:rsidR="005129EB" w:rsidRPr="005762C8" w:rsidRDefault="005762C8" w:rsidP="005129EB">
      <w:pPr>
        <w:spacing w:after="0" w:line="240" w:lineRule="auto"/>
        <w:rPr>
          <w:rFonts w:cs="Arial"/>
          <w:sz w:val="16"/>
          <w:szCs w:val="16"/>
        </w:rPr>
      </w:pPr>
      <w:r>
        <w:rPr>
          <w:rFonts w:cs="Arial"/>
          <w:sz w:val="16"/>
          <w:szCs w:val="16"/>
        </w:rPr>
        <w:t>C</w:t>
      </w:r>
      <w:r w:rsidR="005129EB" w:rsidRPr="005762C8">
        <w:rPr>
          <w:rFonts w:cs="Arial"/>
          <w:sz w:val="16"/>
          <w:szCs w:val="16"/>
        </w:rPr>
        <w:t>ifras en millones de $</w:t>
      </w:r>
    </w:p>
    <w:p w:rsidR="005129EB" w:rsidRPr="005762C8" w:rsidRDefault="005129EB" w:rsidP="005129EB">
      <w:pPr>
        <w:spacing w:after="0" w:line="240" w:lineRule="auto"/>
        <w:jc w:val="both"/>
        <w:rPr>
          <w:rFonts w:cs="Arial"/>
          <w:sz w:val="16"/>
          <w:szCs w:val="16"/>
        </w:rPr>
      </w:pPr>
      <w:r w:rsidRPr="005762C8">
        <w:rPr>
          <w:rFonts w:cs="Arial"/>
          <w:sz w:val="16"/>
          <w:szCs w:val="16"/>
        </w:rPr>
        <w:t>Fuente SIIF NACION - 31 de diciembre 2</w:t>
      </w:r>
      <w:r w:rsidR="00F406C5">
        <w:rPr>
          <w:rFonts w:cs="Arial"/>
          <w:sz w:val="16"/>
          <w:szCs w:val="16"/>
        </w:rPr>
        <w:t>017</w:t>
      </w:r>
      <w:r w:rsidRPr="005762C8">
        <w:rPr>
          <w:rFonts w:cs="Arial"/>
          <w:sz w:val="16"/>
          <w:szCs w:val="16"/>
        </w:rPr>
        <w:t>.</w:t>
      </w:r>
    </w:p>
    <w:p w:rsidR="005129EB" w:rsidRPr="007608C2" w:rsidRDefault="005129EB" w:rsidP="005129EB">
      <w:pPr>
        <w:spacing w:before="100" w:beforeAutospacing="1" w:after="100" w:afterAutospacing="1" w:line="240" w:lineRule="auto"/>
        <w:jc w:val="both"/>
        <w:rPr>
          <w:rFonts w:cs="Arial"/>
          <w:lang w:eastAsia="es-ES"/>
        </w:rPr>
      </w:pPr>
      <w:r w:rsidRPr="007608C2">
        <w:rPr>
          <w:rFonts w:cs="Arial"/>
          <w:noProof/>
          <w:lang w:eastAsia="es-ES"/>
        </w:rPr>
        <w:t xml:space="preserve">Mediante la Ley 1815 del 07 de diciembre de 2016  se decretó  el Presupuesto de Rentas y Recursos de capital y  la Ley de apropiaciones para la Vigencia Fiscal del año 2017, así mismo mediante el Decreto No. 2170 del 27 de diciembre de 2016 se </w:t>
      </w:r>
      <w:r w:rsidRPr="007608C2">
        <w:rPr>
          <w:rFonts w:cs="Arial"/>
          <w:lang w:eastAsia="es-ES"/>
        </w:rPr>
        <w:t>liquidó el Presupuesto General de la Nación, en el cual se detallaron las apropiaciones, se clasificaron y definieron los gastos para la vigencia fiscal 2017.</w:t>
      </w:r>
    </w:p>
    <w:p w:rsidR="005129EB" w:rsidRPr="007608C2" w:rsidRDefault="005129EB" w:rsidP="005129EB">
      <w:pPr>
        <w:spacing w:before="100" w:beforeAutospacing="1" w:after="100" w:afterAutospacing="1" w:line="240" w:lineRule="auto"/>
        <w:jc w:val="both"/>
        <w:rPr>
          <w:rFonts w:cs="Arial"/>
          <w:lang w:eastAsia="es-ES"/>
        </w:rPr>
      </w:pPr>
      <w:r w:rsidRPr="007608C2">
        <w:rPr>
          <w:rFonts w:cs="Arial"/>
          <w:lang w:eastAsia="es-ES"/>
        </w:rPr>
        <w:t xml:space="preserve">Con base en la normatividad anterior, se asignó para el </w:t>
      </w:r>
      <w:r w:rsidRPr="007608C2">
        <w:rPr>
          <w:rFonts w:cs="Arial"/>
        </w:rPr>
        <w:t>Instituto Colombiano de Bienestar Familiar</w:t>
      </w:r>
      <w:r w:rsidRPr="007608C2">
        <w:rPr>
          <w:rFonts w:cs="Arial"/>
          <w:lang w:eastAsia="es-ES"/>
        </w:rPr>
        <w:t xml:space="preserve"> una apropiación inicial por valor de $5 billones 613.674 millones, distribuida en:  $353.512 millones para funcionamiento y $5 billones 260.162 millones para inversión, de los cuales inicialmente fueron bloqueados $18.273 millones, bajo Previo Concepto de la Dirección General del Presupuesto Público Nacional.</w:t>
      </w:r>
    </w:p>
    <w:p w:rsidR="005129EB" w:rsidRPr="007608C2" w:rsidRDefault="005129EB" w:rsidP="005129EB">
      <w:pPr>
        <w:spacing w:before="100" w:beforeAutospacing="1" w:after="100" w:afterAutospacing="1" w:line="240" w:lineRule="auto"/>
        <w:jc w:val="both"/>
        <w:rPr>
          <w:rFonts w:cs="Arial"/>
          <w:lang w:eastAsia="es-ES"/>
        </w:rPr>
      </w:pPr>
      <w:r w:rsidRPr="007608C2">
        <w:rPr>
          <w:rFonts w:cs="Arial"/>
          <w:lang w:eastAsia="es-ES"/>
        </w:rPr>
        <w:t>Con fecha 01 de marzo de 2017, el Ministerio de Hacienda y Crédito Público realizó adición de recursos para el Proyecto Asistencia a la Primera Infancia a Nivel Nacional por valor de $372.856 millones, ascendiendo la apropiación al orden de $ 5.986.530.</w:t>
      </w:r>
    </w:p>
    <w:p w:rsidR="005129EB" w:rsidRPr="007608C2" w:rsidRDefault="005129EB" w:rsidP="005129EB">
      <w:pPr>
        <w:spacing w:before="100" w:beforeAutospacing="1" w:after="100" w:afterAutospacing="1" w:line="240" w:lineRule="auto"/>
        <w:jc w:val="both"/>
        <w:rPr>
          <w:rFonts w:cs="Arial"/>
          <w:lang w:eastAsia="es-ES"/>
        </w:rPr>
      </w:pPr>
      <w:r w:rsidRPr="007608C2">
        <w:rPr>
          <w:rFonts w:cs="Arial"/>
          <w:lang w:eastAsia="es-ES"/>
        </w:rPr>
        <w:t>Posteriormente a través del Decreto 1238 de fecha 19 de julio de 2017, el MHCP realizó adición al presupuesto del ICBF por valor de $279.238 millones, ($123.557 millones a gastos de personal, $28.480 millones para Protección, $125.001 millones para Primera Infancia y $2.200 millones para el Nuevo Modelo) por lo que la apropiación vigente ascendió a la suma de $6.265.768 millones.</w:t>
      </w:r>
    </w:p>
    <w:p w:rsidR="005129EB" w:rsidRPr="007608C2" w:rsidRDefault="005129EB" w:rsidP="005129EB">
      <w:pPr>
        <w:spacing w:before="100" w:beforeAutospacing="1" w:after="100" w:afterAutospacing="1" w:line="240" w:lineRule="auto"/>
        <w:jc w:val="both"/>
        <w:rPr>
          <w:rFonts w:cs="Arial"/>
          <w:lang w:eastAsia="es-ES"/>
        </w:rPr>
      </w:pPr>
      <w:r w:rsidRPr="007608C2">
        <w:rPr>
          <w:rFonts w:cs="Arial"/>
          <w:lang w:eastAsia="es-ES"/>
        </w:rPr>
        <w:t>Así mismo, los $123.557 millones asignados a gastos de personal fueron incluidos en la apropiación bajo previo concepto de la DGPPN y mediante el mismo Decreto 1238 del 19 de julio de 2017 fue realizado un traslado de apropiación del presupuesto de inversión a funcionamiento por valor de $61.778 millones, dando como resultado una apropiación bloqueada de $203.608 millones.</w:t>
      </w:r>
    </w:p>
    <w:p w:rsidR="005129EB" w:rsidRPr="007608C2" w:rsidRDefault="005129EB" w:rsidP="005129EB">
      <w:pPr>
        <w:spacing w:before="100" w:beforeAutospacing="1" w:after="100" w:afterAutospacing="1" w:line="240" w:lineRule="auto"/>
        <w:jc w:val="both"/>
        <w:rPr>
          <w:rFonts w:cs="Arial"/>
        </w:rPr>
      </w:pPr>
      <w:r w:rsidRPr="007608C2">
        <w:rPr>
          <w:rFonts w:cs="Arial"/>
        </w:rPr>
        <w:t>Frente a los $203.608 millones que se encontraban bloqueados en Funcionamiento, se tramitó solicitud de levantamiento parcial del Previo Concepto de la DGPPN, mediante el Acuerdo 006 del Consejo Directivo del 10 de noviembre de 2017 por un valor de $71.652 millones correspondientes a Otros Gastos de Personales de la Dirección de Gestión Humana.</w:t>
      </w:r>
    </w:p>
    <w:p w:rsidR="005129EB" w:rsidRPr="007608C2" w:rsidRDefault="005129EB" w:rsidP="005129EB">
      <w:pPr>
        <w:spacing w:after="0" w:line="240" w:lineRule="auto"/>
        <w:jc w:val="both"/>
        <w:rPr>
          <w:rFonts w:eastAsia="Times New Roman" w:cs="Arial"/>
          <w:color w:val="000000"/>
          <w:lang w:val="es-CO" w:eastAsia="es-CO"/>
        </w:rPr>
      </w:pPr>
      <w:r w:rsidRPr="007608C2">
        <w:rPr>
          <w:rFonts w:cs="Arial"/>
        </w:rPr>
        <w:t xml:space="preserve">Finalmente, el Ministerio de Hacienda y Crédito Público mediante el Decreto No. 2118 de 2017, efectuó  reducción de apropiaciones en el Presupuesto General de la Nación para la vigencia </w:t>
      </w:r>
      <w:r w:rsidRPr="007608C2">
        <w:rPr>
          <w:rFonts w:cs="Arial"/>
        </w:rPr>
        <w:lastRenderedPageBreak/>
        <w:t>fiscal de 2017, en el Presupuesto de Gastos de Inversión y Funcionamiento del ICBF  por valor de $160.014 millones, que incluían los $131.956 millones restantes que se encontraban bloqueados bajo Previo Concepto de la Dirección General del Presupuesto Público Nacional, por lo que la  apropiación vigente final del 2017 ascendió a la suma de $</w:t>
      </w:r>
      <w:r w:rsidRPr="007608C2">
        <w:rPr>
          <w:rFonts w:eastAsia="Times New Roman" w:cs="Arial"/>
          <w:color w:val="000000"/>
          <w:lang w:val="es-CO" w:eastAsia="es-CO"/>
        </w:rPr>
        <w:t>6.105.755 millones.</w:t>
      </w:r>
    </w:p>
    <w:tbl>
      <w:tblPr>
        <w:tblpPr w:leftFromText="141" w:rightFromText="141" w:vertAnchor="text" w:horzAnchor="margin" w:tblpXSpec="center" w:tblpY="654"/>
        <w:tblW w:w="5000" w:type="pct"/>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555"/>
        <w:gridCol w:w="1558"/>
        <w:gridCol w:w="1702"/>
        <w:gridCol w:w="1558"/>
        <w:gridCol w:w="1560"/>
        <w:gridCol w:w="1462"/>
      </w:tblGrid>
      <w:tr w:rsidR="005129EB" w:rsidRPr="005762C8" w:rsidTr="005762C8">
        <w:trPr>
          <w:trHeight w:val="284"/>
        </w:trPr>
        <w:tc>
          <w:tcPr>
            <w:tcW w:w="828" w:type="pct"/>
            <w:shd w:val="clear" w:color="auto" w:fill="76922E"/>
            <w:vAlign w:val="center"/>
            <w:hideMark/>
          </w:tcPr>
          <w:p w:rsidR="005129EB" w:rsidRPr="005762C8" w:rsidRDefault="005129EB" w:rsidP="005762C8">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5762C8">
              <w:rPr>
                <w:rFonts w:eastAsia="Times New Roman" w:cs="Arial"/>
                <w:b/>
                <w:bCs/>
                <w:color w:val="FFFFFF" w:themeColor="background1"/>
                <w:sz w:val="18"/>
                <w:szCs w:val="18"/>
                <w:lang w:val="es-CO" w:eastAsia="es-CO"/>
              </w:rPr>
              <w:t>Tipo de Gasto</w:t>
            </w:r>
          </w:p>
        </w:tc>
        <w:tc>
          <w:tcPr>
            <w:tcW w:w="829" w:type="pct"/>
            <w:shd w:val="clear" w:color="auto" w:fill="76922E"/>
            <w:vAlign w:val="center"/>
            <w:hideMark/>
          </w:tcPr>
          <w:p w:rsidR="005129EB" w:rsidRPr="005762C8" w:rsidRDefault="005129EB" w:rsidP="005762C8">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5762C8">
              <w:rPr>
                <w:rFonts w:eastAsia="Times New Roman" w:cs="Arial"/>
                <w:b/>
                <w:bCs/>
                <w:color w:val="FFFFFF" w:themeColor="background1"/>
                <w:sz w:val="18"/>
                <w:szCs w:val="18"/>
                <w:lang w:val="es-CO" w:eastAsia="es-CO"/>
              </w:rPr>
              <w:t>Fuente</w:t>
            </w:r>
          </w:p>
        </w:tc>
        <w:tc>
          <w:tcPr>
            <w:tcW w:w="906" w:type="pct"/>
            <w:shd w:val="clear" w:color="auto" w:fill="76922E"/>
            <w:vAlign w:val="center"/>
            <w:hideMark/>
          </w:tcPr>
          <w:p w:rsidR="005129EB" w:rsidRPr="005762C8" w:rsidRDefault="005129EB" w:rsidP="005762C8">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5762C8">
              <w:rPr>
                <w:rFonts w:eastAsia="Times New Roman" w:cs="Arial"/>
                <w:b/>
                <w:bCs/>
                <w:color w:val="FFFFFF" w:themeColor="background1"/>
                <w:sz w:val="18"/>
                <w:szCs w:val="18"/>
                <w:lang w:val="es-CO" w:eastAsia="es-CO"/>
              </w:rPr>
              <w:t>Apropiación Inicial</w:t>
            </w:r>
          </w:p>
        </w:tc>
        <w:tc>
          <w:tcPr>
            <w:tcW w:w="829" w:type="pct"/>
            <w:shd w:val="clear" w:color="auto" w:fill="76922E"/>
            <w:vAlign w:val="center"/>
            <w:hideMark/>
          </w:tcPr>
          <w:p w:rsidR="005129EB" w:rsidRPr="005762C8" w:rsidRDefault="005129EB" w:rsidP="005762C8">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5762C8">
              <w:rPr>
                <w:rFonts w:eastAsia="Times New Roman" w:cs="Arial"/>
                <w:b/>
                <w:bCs/>
                <w:color w:val="FFFFFF" w:themeColor="background1"/>
                <w:sz w:val="18"/>
                <w:szCs w:val="18"/>
                <w:lang w:val="es-CO" w:eastAsia="es-CO"/>
              </w:rPr>
              <w:t>Apropiación Vigente</w:t>
            </w:r>
          </w:p>
        </w:tc>
        <w:tc>
          <w:tcPr>
            <w:tcW w:w="830" w:type="pct"/>
            <w:shd w:val="clear" w:color="auto" w:fill="76922E"/>
            <w:vAlign w:val="center"/>
            <w:hideMark/>
          </w:tcPr>
          <w:p w:rsidR="005129EB" w:rsidRPr="005762C8" w:rsidRDefault="005129EB" w:rsidP="005762C8">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5762C8">
              <w:rPr>
                <w:rFonts w:eastAsia="Times New Roman" w:cs="Arial"/>
                <w:b/>
                <w:bCs/>
                <w:color w:val="FFFFFF" w:themeColor="background1"/>
                <w:sz w:val="18"/>
                <w:szCs w:val="18"/>
                <w:lang w:val="es-CO" w:eastAsia="es-CO"/>
              </w:rPr>
              <w:t>Apropiación Bloqueada</w:t>
            </w:r>
          </w:p>
        </w:tc>
        <w:tc>
          <w:tcPr>
            <w:tcW w:w="778" w:type="pct"/>
            <w:shd w:val="clear" w:color="auto" w:fill="76922E"/>
            <w:vAlign w:val="center"/>
            <w:hideMark/>
          </w:tcPr>
          <w:p w:rsidR="005129EB" w:rsidRPr="005762C8" w:rsidRDefault="005129EB" w:rsidP="005762C8">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5762C8">
              <w:rPr>
                <w:rFonts w:eastAsia="Times New Roman" w:cs="Arial"/>
                <w:b/>
                <w:bCs/>
                <w:color w:val="FFFFFF" w:themeColor="background1"/>
                <w:sz w:val="18"/>
                <w:szCs w:val="18"/>
                <w:lang w:val="es-CO" w:eastAsia="es-CO"/>
              </w:rPr>
              <w:t>Apropiación a Ejecutar</w:t>
            </w:r>
          </w:p>
        </w:tc>
      </w:tr>
      <w:tr w:rsidR="005129EB" w:rsidRPr="005762C8" w:rsidTr="005762C8">
        <w:trPr>
          <w:trHeight w:val="284"/>
        </w:trPr>
        <w:tc>
          <w:tcPr>
            <w:tcW w:w="828" w:type="pct"/>
            <w:shd w:val="clear" w:color="auto" w:fill="auto"/>
            <w:vAlign w:val="center"/>
            <w:hideMark/>
          </w:tcPr>
          <w:p w:rsidR="005129EB" w:rsidRPr="005762C8" w:rsidRDefault="005129EB" w:rsidP="004652A6">
            <w:pPr>
              <w:spacing w:before="100" w:beforeAutospacing="1" w:after="100" w:afterAutospacing="1" w:line="240" w:lineRule="auto"/>
              <w:jc w:val="both"/>
              <w:rPr>
                <w:rFonts w:eastAsia="Times New Roman" w:cs="Arial"/>
                <w:sz w:val="18"/>
                <w:szCs w:val="18"/>
                <w:lang w:val="es-CO" w:eastAsia="es-CO"/>
              </w:rPr>
            </w:pPr>
            <w:r w:rsidRPr="005762C8">
              <w:rPr>
                <w:rFonts w:eastAsia="Times New Roman" w:cs="Arial"/>
                <w:sz w:val="18"/>
                <w:szCs w:val="18"/>
                <w:lang w:eastAsia="es-CO"/>
              </w:rPr>
              <w:t>Funcionamiento</w:t>
            </w:r>
          </w:p>
        </w:tc>
        <w:tc>
          <w:tcPr>
            <w:tcW w:w="829" w:type="pct"/>
            <w:shd w:val="clear" w:color="auto" w:fill="auto"/>
            <w:vAlign w:val="center"/>
            <w:hideMark/>
          </w:tcPr>
          <w:p w:rsidR="005129EB" w:rsidRPr="005762C8" w:rsidRDefault="005129EB" w:rsidP="004652A6">
            <w:pPr>
              <w:spacing w:before="100" w:beforeAutospacing="1" w:after="100" w:afterAutospacing="1" w:line="240" w:lineRule="auto"/>
              <w:jc w:val="both"/>
              <w:rPr>
                <w:rFonts w:eastAsia="Times New Roman" w:cs="Arial"/>
                <w:sz w:val="18"/>
                <w:szCs w:val="18"/>
                <w:lang w:val="es-CO" w:eastAsia="es-CO"/>
              </w:rPr>
            </w:pPr>
            <w:r w:rsidRPr="005762C8">
              <w:rPr>
                <w:rFonts w:eastAsia="Times New Roman" w:cs="Arial"/>
                <w:sz w:val="18"/>
                <w:szCs w:val="18"/>
                <w:lang w:eastAsia="es-CO"/>
              </w:rPr>
              <w:t>Recursos Propios</w:t>
            </w:r>
          </w:p>
        </w:tc>
        <w:tc>
          <w:tcPr>
            <w:tcW w:w="906" w:type="pct"/>
            <w:shd w:val="clear" w:color="auto" w:fill="auto"/>
            <w:vAlign w:val="center"/>
            <w:hideMark/>
          </w:tcPr>
          <w:p w:rsidR="005129EB" w:rsidRPr="005762C8" w:rsidRDefault="005129EB" w:rsidP="004652A6">
            <w:pPr>
              <w:spacing w:before="100" w:beforeAutospacing="1" w:after="100" w:afterAutospacing="1" w:line="240" w:lineRule="auto"/>
              <w:jc w:val="right"/>
              <w:rPr>
                <w:rFonts w:eastAsia="Times New Roman" w:cs="Arial"/>
                <w:sz w:val="18"/>
                <w:szCs w:val="18"/>
                <w:lang w:val="es-CO" w:eastAsia="es-CO"/>
              </w:rPr>
            </w:pPr>
            <w:r w:rsidRPr="005762C8">
              <w:rPr>
                <w:rFonts w:eastAsia="Times New Roman" w:cs="Arial"/>
                <w:sz w:val="18"/>
                <w:szCs w:val="18"/>
                <w:lang w:val="es-CO" w:eastAsia="es-CO"/>
              </w:rPr>
              <w:t>$ 353.512</w:t>
            </w:r>
          </w:p>
        </w:tc>
        <w:tc>
          <w:tcPr>
            <w:tcW w:w="829" w:type="pct"/>
            <w:shd w:val="clear" w:color="auto" w:fill="auto"/>
            <w:vAlign w:val="center"/>
            <w:hideMark/>
          </w:tcPr>
          <w:p w:rsidR="005129EB" w:rsidRPr="005762C8" w:rsidRDefault="005129EB" w:rsidP="004652A6">
            <w:pPr>
              <w:spacing w:before="100" w:beforeAutospacing="1" w:after="100" w:afterAutospacing="1" w:line="240" w:lineRule="auto"/>
              <w:jc w:val="right"/>
              <w:rPr>
                <w:rFonts w:eastAsia="Times New Roman" w:cs="Arial"/>
                <w:sz w:val="18"/>
                <w:szCs w:val="18"/>
                <w:lang w:val="es-CO" w:eastAsia="es-CO"/>
              </w:rPr>
            </w:pPr>
            <w:r w:rsidRPr="005762C8">
              <w:rPr>
                <w:rFonts w:eastAsia="Times New Roman" w:cs="Arial"/>
                <w:sz w:val="18"/>
                <w:szCs w:val="18"/>
                <w:lang w:val="es-CO" w:eastAsia="es-CO"/>
              </w:rPr>
              <w:t>$ 398.847</w:t>
            </w:r>
          </w:p>
        </w:tc>
        <w:tc>
          <w:tcPr>
            <w:tcW w:w="830" w:type="pct"/>
            <w:shd w:val="clear" w:color="auto" w:fill="auto"/>
            <w:vAlign w:val="center"/>
            <w:hideMark/>
          </w:tcPr>
          <w:p w:rsidR="005129EB" w:rsidRPr="005762C8" w:rsidRDefault="005129EB" w:rsidP="004652A6">
            <w:pPr>
              <w:spacing w:before="100" w:beforeAutospacing="1" w:after="100" w:afterAutospacing="1" w:line="240" w:lineRule="auto"/>
              <w:jc w:val="right"/>
              <w:rPr>
                <w:rFonts w:eastAsia="Times New Roman" w:cs="Arial"/>
                <w:sz w:val="18"/>
                <w:szCs w:val="18"/>
                <w:lang w:val="es-CO" w:eastAsia="es-CO"/>
              </w:rPr>
            </w:pPr>
            <w:r w:rsidRPr="005762C8">
              <w:rPr>
                <w:rFonts w:eastAsia="Times New Roman" w:cs="Arial"/>
                <w:sz w:val="18"/>
                <w:szCs w:val="18"/>
                <w:lang w:val="es-CO" w:eastAsia="es-CO"/>
              </w:rPr>
              <w:t>$ 0</w:t>
            </w:r>
          </w:p>
        </w:tc>
        <w:tc>
          <w:tcPr>
            <w:tcW w:w="778" w:type="pct"/>
            <w:shd w:val="clear" w:color="auto" w:fill="auto"/>
            <w:vAlign w:val="center"/>
          </w:tcPr>
          <w:p w:rsidR="005129EB" w:rsidRPr="005762C8" w:rsidRDefault="005129EB" w:rsidP="004652A6">
            <w:pPr>
              <w:spacing w:before="100" w:beforeAutospacing="1" w:after="100" w:afterAutospacing="1" w:line="240" w:lineRule="auto"/>
              <w:jc w:val="right"/>
              <w:rPr>
                <w:rFonts w:eastAsia="Times New Roman" w:cs="Arial"/>
                <w:sz w:val="18"/>
                <w:szCs w:val="18"/>
                <w:lang w:val="es-CO" w:eastAsia="es-CO"/>
              </w:rPr>
            </w:pPr>
            <w:r w:rsidRPr="005762C8">
              <w:rPr>
                <w:rFonts w:eastAsia="Times New Roman" w:cs="Arial"/>
                <w:sz w:val="18"/>
                <w:szCs w:val="18"/>
                <w:lang w:val="es-CO" w:eastAsia="es-CO"/>
              </w:rPr>
              <w:t>$ 398.847</w:t>
            </w:r>
          </w:p>
        </w:tc>
      </w:tr>
      <w:tr w:rsidR="005129EB" w:rsidRPr="005762C8" w:rsidTr="005762C8">
        <w:trPr>
          <w:trHeight w:val="284"/>
        </w:trPr>
        <w:tc>
          <w:tcPr>
            <w:tcW w:w="828" w:type="pct"/>
            <w:shd w:val="clear" w:color="auto" w:fill="auto"/>
            <w:vAlign w:val="center"/>
            <w:hideMark/>
          </w:tcPr>
          <w:p w:rsidR="005129EB" w:rsidRPr="005762C8" w:rsidRDefault="005129EB" w:rsidP="004652A6">
            <w:pPr>
              <w:spacing w:before="100" w:beforeAutospacing="1" w:after="100" w:afterAutospacing="1" w:line="240" w:lineRule="auto"/>
              <w:jc w:val="both"/>
              <w:rPr>
                <w:rFonts w:eastAsia="Times New Roman" w:cs="Arial"/>
                <w:sz w:val="18"/>
                <w:szCs w:val="18"/>
                <w:lang w:val="es-CO" w:eastAsia="es-CO"/>
              </w:rPr>
            </w:pPr>
            <w:r w:rsidRPr="005762C8">
              <w:rPr>
                <w:rFonts w:eastAsia="Times New Roman" w:cs="Arial"/>
                <w:sz w:val="18"/>
                <w:szCs w:val="18"/>
                <w:lang w:eastAsia="es-CO"/>
              </w:rPr>
              <w:t>Inversión</w:t>
            </w:r>
          </w:p>
        </w:tc>
        <w:tc>
          <w:tcPr>
            <w:tcW w:w="829" w:type="pct"/>
            <w:shd w:val="clear" w:color="auto" w:fill="auto"/>
            <w:vAlign w:val="center"/>
            <w:hideMark/>
          </w:tcPr>
          <w:p w:rsidR="005129EB" w:rsidRPr="005762C8" w:rsidRDefault="005129EB" w:rsidP="004652A6">
            <w:pPr>
              <w:spacing w:before="100" w:beforeAutospacing="1" w:after="100" w:afterAutospacing="1" w:line="240" w:lineRule="auto"/>
              <w:jc w:val="both"/>
              <w:rPr>
                <w:rFonts w:eastAsia="Times New Roman" w:cs="Arial"/>
                <w:sz w:val="18"/>
                <w:szCs w:val="18"/>
                <w:lang w:val="es-CO" w:eastAsia="es-CO"/>
              </w:rPr>
            </w:pPr>
            <w:r w:rsidRPr="005762C8">
              <w:rPr>
                <w:rFonts w:eastAsia="Times New Roman" w:cs="Arial"/>
                <w:sz w:val="18"/>
                <w:szCs w:val="18"/>
                <w:lang w:eastAsia="es-CO"/>
              </w:rPr>
              <w:t>Recursos Propios</w:t>
            </w:r>
          </w:p>
        </w:tc>
        <w:tc>
          <w:tcPr>
            <w:tcW w:w="906" w:type="pct"/>
            <w:shd w:val="clear" w:color="auto" w:fill="auto"/>
            <w:vAlign w:val="center"/>
            <w:hideMark/>
          </w:tcPr>
          <w:p w:rsidR="005129EB" w:rsidRPr="005762C8" w:rsidRDefault="005129EB" w:rsidP="004652A6">
            <w:pPr>
              <w:spacing w:before="100" w:beforeAutospacing="1" w:after="100" w:afterAutospacing="1" w:line="240" w:lineRule="auto"/>
              <w:jc w:val="right"/>
              <w:rPr>
                <w:rFonts w:eastAsia="Times New Roman" w:cs="Arial"/>
                <w:sz w:val="18"/>
                <w:szCs w:val="18"/>
                <w:lang w:val="es-CO" w:eastAsia="es-CO"/>
              </w:rPr>
            </w:pPr>
            <w:r w:rsidRPr="005762C8">
              <w:rPr>
                <w:rFonts w:eastAsia="Times New Roman" w:cs="Arial"/>
                <w:sz w:val="18"/>
                <w:szCs w:val="18"/>
                <w:lang w:val="es-CO" w:eastAsia="es-CO"/>
              </w:rPr>
              <w:t>$ 2.429.107</w:t>
            </w:r>
          </w:p>
        </w:tc>
        <w:tc>
          <w:tcPr>
            <w:tcW w:w="829" w:type="pct"/>
            <w:shd w:val="clear" w:color="auto" w:fill="auto"/>
            <w:vAlign w:val="center"/>
            <w:hideMark/>
          </w:tcPr>
          <w:p w:rsidR="005129EB" w:rsidRPr="005762C8" w:rsidRDefault="005129EB" w:rsidP="004652A6">
            <w:pPr>
              <w:spacing w:before="100" w:beforeAutospacing="1" w:after="100" w:afterAutospacing="1" w:line="240" w:lineRule="auto"/>
              <w:jc w:val="right"/>
              <w:rPr>
                <w:rFonts w:eastAsia="Times New Roman" w:cs="Arial"/>
                <w:sz w:val="18"/>
                <w:szCs w:val="18"/>
                <w:lang w:val="es-CO" w:eastAsia="es-CO"/>
              </w:rPr>
            </w:pPr>
            <w:r w:rsidRPr="005762C8">
              <w:rPr>
                <w:rFonts w:eastAsia="Times New Roman" w:cs="Arial"/>
                <w:sz w:val="18"/>
                <w:szCs w:val="18"/>
                <w:lang w:val="es-CO" w:eastAsia="es-CO"/>
              </w:rPr>
              <w:t>$ 2.482.024</w:t>
            </w:r>
          </w:p>
        </w:tc>
        <w:tc>
          <w:tcPr>
            <w:tcW w:w="830" w:type="pct"/>
            <w:shd w:val="clear" w:color="auto" w:fill="auto"/>
            <w:vAlign w:val="center"/>
            <w:hideMark/>
          </w:tcPr>
          <w:p w:rsidR="005129EB" w:rsidRPr="005762C8" w:rsidRDefault="005129EB" w:rsidP="004652A6">
            <w:pPr>
              <w:spacing w:before="100" w:beforeAutospacing="1" w:after="100" w:afterAutospacing="1" w:line="240" w:lineRule="auto"/>
              <w:jc w:val="right"/>
              <w:rPr>
                <w:rFonts w:eastAsia="Times New Roman" w:cs="Arial"/>
                <w:sz w:val="18"/>
                <w:szCs w:val="18"/>
                <w:lang w:val="es-CO" w:eastAsia="es-CO"/>
              </w:rPr>
            </w:pPr>
            <w:r w:rsidRPr="005762C8">
              <w:rPr>
                <w:rFonts w:eastAsia="Times New Roman" w:cs="Arial"/>
                <w:sz w:val="18"/>
                <w:szCs w:val="18"/>
                <w:lang w:val="es-CO" w:eastAsia="es-CO"/>
              </w:rPr>
              <w:t>$ 0</w:t>
            </w:r>
          </w:p>
        </w:tc>
        <w:tc>
          <w:tcPr>
            <w:tcW w:w="778" w:type="pct"/>
            <w:shd w:val="clear" w:color="auto" w:fill="auto"/>
            <w:vAlign w:val="center"/>
          </w:tcPr>
          <w:p w:rsidR="005129EB" w:rsidRPr="005762C8" w:rsidRDefault="005129EB" w:rsidP="004652A6">
            <w:pPr>
              <w:spacing w:before="100" w:beforeAutospacing="1" w:after="100" w:afterAutospacing="1" w:line="240" w:lineRule="auto"/>
              <w:jc w:val="right"/>
              <w:rPr>
                <w:rFonts w:eastAsia="Times New Roman" w:cs="Arial"/>
                <w:sz w:val="18"/>
                <w:szCs w:val="18"/>
                <w:lang w:val="es-CO" w:eastAsia="es-CO"/>
              </w:rPr>
            </w:pPr>
            <w:r w:rsidRPr="005762C8">
              <w:rPr>
                <w:rFonts w:eastAsia="Times New Roman" w:cs="Arial"/>
                <w:sz w:val="18"/>
                <w:szCs w:val="18"/>
                <w:lang w:val="es-CO" w:eastAsia="es-CO"/>
              </w:rPr>
              <w:t>$ 2.482.024</w:t>
            </w:r>
          </w:p>
        </w:tc>
      </w:tr>
      <w:tr w:rsidR="005129EB" w:rsidRPr="005762C8" w:rsidTr="005762C8">
        <w:trPr>
          <w:trHeight w:val="226"/>
        </w:trPr>
        <w:tc>
          <w:tcPr>
            <w:tcW w:w="828" w:type="pct"/>
            <w:shd w:val="clear" w:color="auto" w:fill="auto"/>
            <w:hideMark/>
          </w:tcPr>
          <w:p w:rsidR="005129EB" w:rsidRPr="005762C8" w:rsidRDefault="005129EB" w:rsidP="004652A6">
            <w:pPr>
              <w:spacing w:before="100" w:beforeAutospacing="1" w:after="100" w:afterAutospacing="1" w:line="240" w:lineRule="auto"/>
              <w:jc w:val="both"/>
              <w:rPr>
                <w:rFonts w:eastAsia="Times New Roman" w:cs="Arial"/>
                <w:sz w:val="18"/>
                <w:szCs w:val="18"/>
                <w:lang w:val="es-CO" w:eastAsia="es-CO"/>
              </w:rPr>
            </w:pPr>
            <w:r w:rsidRPr="005762C8">
              <w:rPr>
                <w:rFonts w:eastAsia="Times New Roman" w:cs="Arial"/>
                <w:sz w:val="18"/>
                <w:szCs w:val="18"/>
                <w:lang w:eastAsia="es-CO"/>
              </w:rPr>
              <w:t>Inversión</w:t>
            </w:r>
          </w:p>
        </w:tc>
        <w:tc>
          <w:tcPr>
            <w:tcW w:w="829" w:type="pct"/>
            <w:shd w:val="clear" w:color="auto" w:fill="auto"/>
            <w:hideMark/>
          </w:tcPr>
          <w:p w:rsidR="005129EB" w:rsidRPr="005762C8" w:rsidRDefault="005129EB" w:rsidP="004652A6">
            <w:pPr>
              <w:spacing w:before="100" w:beforeAutospacing="1" w:after="100" w:afterAutospacing="1" w:line="240" w:lineRule="auto"/>
              <w:jc w:val="both"/>
              <w:rPr>
                <w:rFonts w:eastAsia="Times New Roman" w:cs="Arial"/>
                <w:sz w:val="18"/>
                <w:szCs w:val="18"/>
                <w:lang w:val="es-CO" w:eastAsia="es-CO"/>
              </w:rPr>
            </w:pPr>
            <w:r w:rsidRPr="005762C8">
              <w:rPr>
                <w:rFonts w:eastAsia="Times New Roman" w:cs="Arial"/>
                <w:sz w:val="18"/>
                <w:szCs w:val="18"/>
                <w:lang w:eastAsia="es-CO"/>
              </w:rPr>
              <w:t>Recursos Nación</w:t>
            </w:r>
          </w:p>
        </w:tc>
        <w:tc>
          <w:tcPr>
            <w:tcW w:w="906" w:type="pct"/>
            <w:shd w:val="clear" w:color="auto" w:fill="auto"/>
            <w:vAlign w:val="center"/>
            <w:hideMark/>
          </w:tcPr>
          <w:p w:rsidR="005129EB" w:rsidRPr="005762C8" w:rsidRDefault="005129EB" w:rsidP="004652A6">
            <w:pPr>
              <w:spacing w:before="100" w:beforeAutospacing="1" w:after="100" w:afterAutospacing="1" w:line="240" w:lineRule="auto"/>
              <w:jc w:val="right"/>
              <w:rPr>
                <w:rFonts w:eastAsia="Times New Roman" w:cs="Arial"/>
                <w:sz w:val="18"/>
                <w:szCs w:val="18"/>
                <w:lang w:val="es-CO" w:eastAsia="es-CO"/>
              </w:rPr>
            </w:pPr>
            <w:r w:rsidRPr="005762C8">
              <w:rPr>
                <w:rFonts w:eastAsia="Times New Roman" w:cs="Arial"/>
                <w:sz w:val="18"/>
                <w:szCs w:val="18"/>
                <w:lang w:val="es-CO" w:eastAsia="es-CO"/>
              </w:rPr>
              <w:t>$ 2.831.055</w:t>
            </w:r>
          </w:p>
        </w:tc>
        <w:tc>
          <w:tcPr>
            <w:tcW w:w="829" w:type="pct"/>
            <w:shd w:val="clear" w:color="auto" w:fill="auto"/>
            <w:vAlign w:val="center"/>
            <w:hideMark/>
          </w:tcPr>
          <w:p w:rsidR="005129EB" w:rsidRPr="005762C8" w:rsidRDefault="005129EB" w:rsidP="004652A6">
            <w:pPr>
              <w:spacing w:before="100" w:beforeAutospacing="1" w:after="100" w:afterAutospacing="1" w:line="240" w:lineRule="auto"/>
              <w:jc w:val="right"/>
              <w:rPr>
                <w:rFonts w:eastAsia="Times New Roman" w:cs="Arial"/>
                <w:sz w:val="18"/>
                <w:szCs w:val="18"/>
                <w:lang w:val="es-CO" w:eastAsia="es-CO"/>
              </w:rPr>
            </w:pPr>
            <w:r w:rsidRPr="005762C8">
              <w:rPr>
                <w:rFonts w:eastAsia="Times New Roman" w:cs="Arial"/>
                <w:sz w:val="18"/>
                <w:szCs w:val="18"/>
                <w:lang w:val="es-CO" w:eastAsia="es-CO"/>
              </w:rPr>
              <w:t>$ 3.224.883</w:t>
            </w:r>
          </w:p>
        </w:tc>
        <w:tc>
          <w:tcPr>
            <w:tcW w:w="830" w:type="pct"/>
            <w:shd w:val="clear" w:color="auto" w:fill="auto"/>
            <w:hideMark/>
          </w:tcPr>
          <w:p w:rsidR="005129EB" w:rsidRPr="005762C8" w:rsidRDefault="005129EB" w:rsidP="004652A6">
            <w:pPr>
              <w:spacing w:before="100" w:beforeAutospacing="1" w:after="100" w:afterAutospacing="1" w:line="240" w:lineRule="auto"/>
              <w:jc w:val="right"/>
              <w:rPr>
                <w:rFonts w:eastAsia="Times New Roman" w:cs="Arial"/>
                <w:sz w:val="18"/>
                <w:szCs w:val="18"/>
                <w:lang w:val="es-CO" w:eastAsia="es-CO"/>
              </w:rPr>
            </w:pPr>
            <w:r w:rsidRPr="005762C8">
              <w:rPr>
                <w:rFonts w:eastAsia="Times New Roman" w:cs="Arial"/>
                <w:sz w:val="18"/>
                <w:szCs w:val="18"/>
                <w:lang w:val="es-CO" w:eastAsia="es-CO"/>
              </w:rPr>
              <w:t>$ 0</w:t>
            </w:r>
          </w:p>
        </w:tc>
        <w:tc>
          <w:tcPr>
            <w:tcW w:w="778" w:type="pct"/>
            <w:shd w:val="clear" w:color="auto" w:fill="auto"/>
            <w:vAlign w:val="center"/>
          </w:tcPr>
          <w:p w:rsidR="005129EB" w:rsidRPr="005762C8" w:rsidRDefault="005129EB" w:rsidP="004652A6">
            <w:pPr>
              <w:spacing w:before="100" w:beforeAutospacing="1" w:after="100" w:afterAutospacing="1" w:line="240" w:lineRule="auto"/>
              <w:jc w:val="right"/>
              <w:rPr>
                <w:rFonts w:eastAsia="Times New Roman" w:cs="Arial"/>
                <w:sz w:val="18"/>
                <w:szCs w:val="18"/>
                <w:lang w:val="es-CO" w:eastAsia="es-CO"/>
              </w:rPr>
            </w:pPr>
            <w:r w:rsidRPr="005762C8">
              <w:rPr>
                <w:rFonts w:eastAsia="Times New Roman" w:cs="Arial"/>
                <w:sz w:val="18"/>
                <w:szCs w:val="18"/>
                <w:lang w:val="es-CO" w:eastAsia="es-CO"/>
              </w:rPr>
              <w:t>$ 3.224.883</w:t>
            </w:r>
          </w:p>
        </w:tc>
      </w:tr>
      <w:tr w:rsidR="005129EB" w:rsidRPr="005762C8" w:rsidTr="005762C8">
        <w:trPr>
          <w:trHeight w:val="284"/>
        </w:trPr>
        <w:tc>
          <w:tcPr>
            <w:tcW w:w="1657" w:type="pct"/>
            <w:gridSpan w:val="2"/>
            <w:shd w:val="clear" w:color="auto" w:fill="auto"/>
            <w:vAlign w:val="center"/>
            <w:hideMark/>
          </w:tcPr>
          <w:p w:rsidR="005129EB" w:rsidRPr="005762C8" w:rsidRDefault="005129EB" w:rsidP="004652A6">
            <w:pPr>
              <w:spacing w:before="100" w:beforeAutospacing="1" w:after="100" w:afterAutospacing="1" w:line="240" w:lineRule="auto"/>
              <w:jc w:val="both"/>
              <w:rPr>
                <w:rFonts w:eastAsia="Times New Roman" w:cs="Arial"/>
                <w:b/>
                <w:bCs/>
                <w:sz w:val="18"/>
                <w:szCs w:val="18"/>
                <w:lang w:val="es-CO" w:eastAsia="es-CO"/>
              </w:rPr>
            </w:pPr>
            <w:r w:rsidRPr="005762C8">
              <w:rPr>
                <w:rFonts w:eastAsia="Times New Roman" w:cs="Arial"/>
                <w:b/>
                <w:bCs/>
                <w:sz w:val="18"/>
                <w:szCs w:val="18"/>
                <w:lang w:eastAsia="es-CO"/>
              </w:rPr>
              <w:t>Total, Apropiación</w:t>
            </w:r>
          </w:p>
        </w:tc>
        <w:tc>
          <w:tcPr>
            <w:tcW w:w="906" w:type="pct"/>
            <w:shd w:val="clear" w:color="auto" w:fill="auto"/>
            <w:vAlign w:val="center"/>
            <w:hideMark/>
          </w:tcPr>
          <w:p w:rsidR="005129EB" w:rsidRPr="005762C8" w:rsidRDefault="005129EB" w:rsidP="004652A6">
            <w:pPr>
              <w:spacing w:before="100" w:beforeAutospacing="1" w:after="100" w:afterAutospacing="1" w:line="240" w:lineRule="auto"/>
              <w:jc w:val="right"/>
              <w:rPr>
                <w:rFonts w:eastAsia="Times New Roman" w:cs="Arial"/>
                <w:b/>
                <w:bCs/>
                <w:sz w:val="18"/>
                <w:szCs w:val="18"/>
                <w:lang w:eastAsia="es-CO"/>
              </w:rPr>
            </w:pPr>
            <w:r w:rsidRPr="005762C8">
              <w:rPr>
                <w:rFonts w:eastAsia="Times New Roman" w:cs="Arial"/>
                <w:b/>
                <w:bCs/>
                <w:sz w:val="18"/>
                <w:szCs w:val="18"/>
                <w:lang w:eastAsia="es-CO"/>
              </w:rPr>
              <w:t>$ 5.613.674</w:t>
            </w:r>
          </w:p>
        </w:tc>
        <w:tc>
          <w:tcPr>
            <w:tcW w:w="829" w:type="pct"/>
            <w:shd w:val="clear" w:color="auto" w:fill="auto"/>
            <w:vAlign w:val="center"/>
            <w:hideMark/>
          </w:tcPr>
          <w:p w:rsidR="005129EB" w:rsidRPr="005762C8" w:rsidRDefault="005129EB" w:rsidP="004652A6">
            <w:pPr>
              <w:spacing w:before="100" w:beforeAutospacing="1" w:after="100" w:afterAutospacing="1" w:line="240" w:lineRule="auto"/>
              <w:jc w:val="right"/>
              <w:rPr>
                <w:rFonts w:eastAsia="Times New Roman" w:cs="Arial"/>
                <w:b/>
                <w:bCs/>
                <w:sz w:val="18"/>
                <w:szCs w:val="18"/>
                <w:lang w:eastAsia="es-CO"/>
              </w:rPr>
            </w:pPr>
            <w:r w:rsidRPr="005762C8">
              <w:rPr>
                <w:rFonts w:eastAsia="Times New Roman" w:cs="Arial"/>
                <w:b/>
                <w:bCs/>
                <w:sz w:val="18"/>
                <w:szCs w:val="18"/>
                <w:lang w:eastAsia="es-CO"/>
              </w:rPr>
              <w:t>$ 6.105.755</w:t>
            </w:r>
          </w:p>
        </w:tc>
        <w:tc>
          <w:tcPr>
            <w:tcW w:w="830" w:type="pct"/>
            <w:shd w:val="clear" w:color="auto" w:fill="auto"/>
            <w:vAlign w:val="center"/>
            <w:hideMark/>
          </w:tcPr>
          <w:p w:rsidR="005129EB" w:rsidRPr="005762C8" w:rsidRDefault="005129EB" w:rsidP="004652A6">
            <w:pPr>
              <w:spacing w:before="100" w:beforeAutospacing="1" w:after="100" w:afterAutospacing="1" w:line="240" w:lineRule="auto"/>
              <w:jc w:val="right"/>
              <w:rPr>
                <w:rFonts w:eastAsia="Times New Roman" w:cs="Arial"/>
                <w:b/>
                <w:bCs/>
                <w:sz w:val="18"/>
                <w:szCs w:val="18"/>
                <w:lang w:eastAsia="es-CO"/>
              </w:rPr>
            </w:pPr>
            <w:r w:rsidRPr="005762C8">
              <w:rPr>
                <w:rFonts w:eastAsia="Times New Roman" w:cs="Arial"/>
                <w:b/>
                <w:bCs/>
                <w:sz w:val="18"/>
                <w:szCs w:val="18"/>
                <w:lang w:eastAsia="es-CO"/>
              </w:rPr>
              <w:t>$ 0</w:t>
            </w:r>
          </w:p>
        </w:tc>
        <w:tc>
          <w:tcPr>
            <w:tcW w:w="778" w:type="pct"/>
            <w:shd w:val="clear" w:color="auto" w:fill="auto"/>
            <w:vAlign w:val="center"/>
          </w:tcPr>
          <w:p w:rsidR="005129EB" w:rsidRPr="005762C8" w:rsidRDefault="005129EB" w:rsidP="004652A6">
            <w:pPr>
              <w:spacing w:before="100" w:beforeAutospacing="1" w:after="100" w:afterAutospacing="1" w:line="240" w:lineRule="auto"/>
              <w:jc w:val="right"/>
              <w:rPr>
                <w:rFonts w:eastAsia="Times New Roman" w:cs="Arial"/>
                <w:b/>
                <w:bCs/>
                <w:sz w:val="18"/>
                <w:szCs w:val="18"/>
                <w:lang w:eastAsia="es-CO"/>
              </w:rPr>
            </w:pPr>
            <w:r w:rsidRPr="005762C8">
              <w:rPr>
                <w:rFonts w:eastAsia="Times New Roman" w:cs="Arial"/>
                <w:b/>
                <w:bCs/>
                <w:sz w:val="18"/>
                <w:szCs w:val="18"/>
                <w:lang w:eastAsia="es-CO"/>
              </w:rPr>
              <w:t>$ 6.105.755</w:t>
            </w:r>
          </w:p>
        </w:tc>
      </w:tr>
    </w:tbl>
    <w:p w:rsidR="005129EB" w:rsidRPr="007608C2" w:rsidRDefault="005129EB" w:rsidP="005129EB">
      <w:pPr>
        <w:spacing w:before="100" w:beforeAutospacing="1" w:after="100" w:afterAutospacing="1" w:line="240" w:lineRule="auto"/>
        <w:jc w:val="both"/>
        <w:rPr>
          <w:rFonts w:cs="Arial"/>
        </w:rPr>
      </w:pPr>
      <w:r w:rsidRPr="007608C2">
        <w:rPr>
          <w:rFonts w:cs="Arial"/>
          <w:b/>
        </w:rPr>
        <w:t>Composición del gasto por fuente de financiación</w:t>
      </w:r>
      <w:r w:rsidRPr="007608C2">
        <w:rPr>
          <w:rFonts w:cs="Arial"/>
          <w:b/>
        </w:rPr>
        <w:tab/>
      </w:r>
      <w:r w:rsidRPr="007608C2">
        <w:rPr>
          <w:rFonts w:cs="Arial"/>
          <w:b/>
        </w:rPr>
        <w:tab/>
      </w:r>
      <w:r w:rsidRPr="007608C2">
        <w:rPr>
          <w:rFonts w:cs="Arial"/>
          <w:b/>
        </w:rPr>
        <w:tab/>
      </w:r>
      <w:r w:rsidRPr="007608C2">
        <w:rPr>
          <w:rFonts w:cs="Arial"/>
          <w:b/>
        </w:rPr>
        <w:tab/>
      </w:r>
      <w:r w:rsidRPr="007608C2">
        <w:rPr>
          <w:rFonts w:cs="Arial"/>
        </w:rPr>
        <w:t xml:space="preserve"> </w:t>
      </w:r>
      <w:r w:rsidRPr="007608C2">
        <w:rPr>
          <w:rFonts w:cs="Arial"/>
        </w:rPr>
        <w:tab/>
      </w:r>
    </w:p>
    <w:p w:rsidR="005129EB" w:rsidRPr="005762C8" w:rsidRDefault="005762C8" w:rsidP="005129EB">
      <w:pPr>
        <w:spacing w:after="0" w:line="240" w:lineRule="auto"/>
        <w:rPr>
          <w:rFonts w:cs="Arial"/>
          <w:sz w:val="16"/>
          <w:szCs w:val="16"/>
        </w:rPr>
      </w:pPr>
      <w:r w:rsidRPr="005762C8">
        <w:rPr>
          <w:rFonts w:cs="Arial"/>
          <w:sz w:val="16"/>
          <w:szCs w:val="16"/>
        </w:rPr>
        <w:t>C</w:t>
      </w:r>
      <w:r w:rsidR="005129EB" w:rsidRPr="005762C8">
        <w:rPr>
          <w:rFonts w:cs="Arial"/>
          <w:sz w:val="16"/>
          <w:szCs w:val="16"/>
        </w:rPr>
        <w:t>ifras en millones de $</w:t>
      </w:r>
    </w:p>
    <w:p w:rsidR="005129EB" w:rsidRPr="005762C8" w:rsidRDefault="005129EB" w:rsidP="005129EB">
      <w:pPr>
        <w:spacing w:after="0" w:line="240" w:lineRule="auto"/>
        <w:jc w:val="both"/>
        <w:rPr>
          <w:rFonts w:cs="Arial"/>
          <w:sz w:val="16"/>
          <w:szCs w:val="16"/>
        </w:rPr>
      </w:pPr>
      <w:r w:rsidRPr="005762C8">
        <w:rPr>
          <w:rFonts w:cs="Arial"/>
          <w:sz w:val="16"/>
          <w:szCs w:val="16"/>
        </w:rPr>
        <w:t>Fuente SII</w:t>
      </w:r>
      <w:r w:rsidR="00F406C5">
        <w:rPr>
          <w:rFonts w:cs="Arial"/>
          <w:sz w:val="16"/>
          <w:szCs w:val="16"/>
        </w:rPr>
        <w:t>F NACION - 31 de diciembre 2017</w:t>
      </w:r>
    </w:p>
    <w:p w:rsidR="003C3E25" w:rsidRDefault="005129EB" w:rsidP="003C3E25">
      <w:pPr>
        <w:spacing w:before="100" w:beforeAutospacing="1" w:after="100" w:afterAutospacing="1" w:line="240" w:lineRule="auto"/>
        <w:jc w:val="both"/>
        <w:rPr>
          <w:rFonts w:cs="Arial"/>
        </w:rPr>
      </w:pPr>
      <w:r w:rsidRPr="007608C2">
        <w:rPr>
          <w:rFonts w:cs="Arial"/>
        </w:rPr>
        <w:t>El presupuesto asignado inicialmente al ICBF para la vigencia 2017, fue financiado en el 49.56% con recursos propios y el 50.44% restante con recursos nación.</w:t>
      </w:r>
    </w:p>
    <w:p w:rsidR="003C3E25" w:rsidRPr="003C3E25" w:rsidRDefault="003C3E25" w:rsidP="003C3E25">
      <w:pPr>
        <w:spacing w:after="0" w:line="240" w:lineRule="auto"/>
        <w:jc w:val="both"/>
        <w:rPr>
          <w:rFonts w:cs="Arial"/>
        </w:rPr>
      </w:pPr>
    </w:p>
    <w:p w:rsidR="009C6A2C" w:rsidRPr="007608C2" w:rsidRDefault="009C6A2C" w:rsidP="009C6A2C">
      <w:pPr>
        <w:pStyle w:val="Prrafodelista"/>
        <w:numPr>
          <w:ilvl w:val="1"/>
          <w:numId w:val="2"/>
        </w:numPr>
        <w:spacing w:before="100" w:beforeAutospacing="1" w:after="100" w:afterAutospacing="1" w:line="240" w:lineRule="auto"/>
        <w:jc w:val="both"/>
        <w:outlineLvl w:val="0"/>
        <w:rPr>
          <w:rFonts w:cs="Arial"/>
          <w:b/>
        </w:rPr>
      </w:pPr>
      <w:bookmarkStart w:id="9" w:name="_Toc505183028"/>
      <w:r w:rsidRPr="009C6A2C">
        <w:rPr>
          <w:rFonts w:eastAsiaTheme="majorEastAsia" w:cs="Arial"/>
          <w:b/>
        </w:rPr>
        <w:t>Ejecución Presupuestal</w:t>
      </w:r>
      <w:bookmarkEnd w:id="9"/>
    </w:p>
    <w:p w:rsidR="005129EB" w:rsidRPr="007608C2" w:rsidRDefault="005129EB" w:rsidP="005129EB">
      <w:pPr>
        <w:rPr>
          <w:rFonts w:cs="Arial"/>
          <w:b/>
        </w:rPr>
      </w:pPr>
      <w:bookmarkStart w:id="10" w:name="_Toc473541595"/>
      <w:r w:rsidRPr="007608C2">
        <w:rPr>
          <w:rFonts w:cs="Arial"/>
          <w:b/>
        </w:rPr>
        <w:t xml:space="preserve">Por Regional </w:t>
      </w:r>
      <w:bookmarkEnd w:id="10"/>
      <w:r w:rsidRPr="007608C2">
        <w:rPr>
          <w:rFonts w:cs="Arial"/>
          <w:sz w:val="20"/>
        </w:rPr>
        <w:fldChar w:fldCharType="begin"/>
      </w:r>
      <w:r w:rsidRPr="007608C2">
        <w:rPr>
          <w:rFonts w:cs="Arial"/>
          <w:sz w:val="20"/>
        </w:rPr>
        <w:instrText xml:space="preserve"> LINK Excel.Sheet.12 "C:\\Users\\Daniel.Buitrago\\Desktop\\Presupuesto\\Informes\\Diciembre\\Informe de Gestión 2017\\Ejecucion Regional Diciembre.xlsx" "Hoja2!F2C2:F38C8" \a \f 4 \h  \* MERGEFORMAT </w:instrText>
      </w:r>
      <w:r w:rsidRPr="007608C2">
        <w:rPr>
          <w:rFonts w:cs="Arial"/>
          <w:sz w:val="20"/>
        </w:rPr>
        <w:fldChar w:fldCharType="separate"/>
      </w:r>
    </w:p>
    <w:tbl>
      <w:tblPr>
        <w:tblW w:w="9368" w:type="dxa"/>
        <w:tblInd w:w="-10"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565"/>
        <w:gridCol w:w="1559"/>
        <w:gridCol w:w="992"/>
        <w:gridCol w:w="1559"/>
        <w:gridCol w:w="1530"/>
        <w:gridCol w:w="1102"/>
        <w:gridCol w:w="1061"/>
      </w:tblGrid>
      <w:tr w:rsidR="005129EB" w:rsidRPr="005762C8" w:rsidTr="005762C8">
        <w:trPr>
          <w:trHeight w:val="347"/>
          <w:tblHeader/>
        </w:trPr>
        <w:tc>
          <w:tcPr>
            <w:tcW w:w="1565" w:type="dxa"/>
            <w:shd w:val="clear" w:color="auto" w:fill="76922E"/>
            <w:vAlign w:val="center"/>
            <w:hideMark/>
          </w:tcPr>
          <w:p w:rsidR="005129EB" w:rsidRPr="005762C8" w:rsidRDefault="005762C8" w:rsidP="004652A6">
            <w:pPr>
              <w:spacing w:after="0" w:line="240" w:lineRule="auto"/>
              <w:jc w:val="center"/>
              <w:rPr>
                <w:rFonts w:eastAsia="Times New Roman" w:cs="Arial"/>
                <w:b/>
                <w:bCs/>
                <w:color w:val="FFFFFF" w:themeColor="background1"/>
                <w:sz w:val="18"/>
                <w:szCs w:val="18"/>
                <w:lang w:val="es-CO" w:eastAsia="es-CO"/>
              </w:rPr>
            </w:pPr>
            <w:r w:rsidRPr="005762C8">
              <w:rPr>
                <w:rFonts w:eastAsia="Times New Roman" w:cs="Arial"/>
                <w:b/>
                <w:bCs/>
                <w:color w:val="FFFFFF" w:themeColor="background1"/>
                <w:sz w:val="18"/>
                <w:szCs w:val="18"/>
                <w:lang w:val="es-CO" w:eastAsia="es-CO"/>
              </w:rPr>
              <w:t>Regional</w:t>
            </w:r>
          </w:p>
        </w:tc>
        <w:tc>
          <w:tcPr>
            <w:tcW w:w="1559" w:type="dxa"/>
            <w:shd w:val="clear" w:color="auto" w:fill="76922E"/>
            <w:vAlign w:val="center"/>
            <w:hideMark/>
          </w:tcPr>
          <w:p w:rsidR="005129EB" w:rsidRPr="005762C8" w:rsidRDefault="005762C8" w:rsidP="004652A6">
            <w:pPr>
              <w:spacing w:after="0" w:line="240" w:lineRule="auto"/>
              <w:jc w:val="center"/>
              <w:rPr>
                <w:rFonts w:eastAsia="Times New Roman" w:cs="Arial"/>
                <w:b/>
                <w:bCs/>
                <w:color w:val="FFFFFF" w:themeColor="background1"/>
                <w:sz w:val="18"/>
                <w:szCs w:val="18"/>
                <w:lang w:val="es-CO" w:eastAsia="es-CO"/>
              </w:rPr>
            </w:pPr>
            <w:r w:rsidRPr="005762C8">
              <w:rPr>
                <w:rFonts w:eastAsia="Times New Roman" w:cs="Arial"/>
                <w:b/>
                <w:bCs/>
                <w:color w:val="FFFFFF" w:themeColor="background1"/>
                <w:sz w:val="18"/>
                <w:szCs w:val="18"/>
                <w:lang w:val="es-CO" w:eastAsia="es-CO"/>
              </w:rPr>
              <w:t>Apr. Vig</w:t>
            </w:r>
          </w:p>
        </w:tc>
        <w:tc>
          <w:tcPr>
            <w:tcW w:w="992" w:type="dxa"/>
            <w:shd w:val="clear" w:color="auto" w:fill="76922E"/>
            <w:vAlign w:val="center"/>
            <w:hideMark/>
          </w:tcPr>
          <w:p w:rsidR="005129EB" w:rsidRPr="005762C8" w:rsidRDefault="005129EB" w:rsidP="004652A6">
            <w:pPr>
              <w:spacing w:after="0" w:line="240" w:lineRule="auto"/>
              <w:jc w:val="center"/>
              <w:rPr>
                <w:rFonts w:eastAsia="Times New Roman" w:cs="Arial"/>
                <w:b/>
                <w:bCs/>
                <w:color w:val="FFFFFF" w:themeColor="background1"/>
                <w:sz w:val="18"/>
                <w:szCs w:val="18"/>
                <w:lang w:val="es-CO" w:eastAsia="es-CO"/>
              </w:rPr>
            </w:pPr>
            <w:r w:rsidRPr="005762C8">
              <w:rPr>
                <w:rFonts w:eastAsia="Times New Roman" w:cs="Arial"/>
                <w:b/>
                <w:bCs/>
                <w:color w:val="FFFFFF" w:themeColor="background1"/>
                <w:sz w:val="18"/>
                <w:szCs w:val="18"/>
                <w:lang w:val="es-CO" w:eastAsia="es-CO"/>
              </w:rPr>
              <w:t>CDP</w:t>
            </w:r>
          </w:p>
        </w:tc>
        <w:tc>
          <w:tcPr>
            <w:tcW w:w="1559" w:type="dxa"/>
            <w:shd w:val="clear" w:color="auto" w:fill="76922E"/>
            <w:vAlign w:val="center"/>
            <w:hideMark/>
          </w:tcPr>
          <w:p w:rsidR="005129EB" w:rsidRPr="005762C8" w:rsidRDefault="005762C8" w:rsidP="004652A6">
            <w:pPr>
              <w:spacing w:after="0" w:line="240" w:lineRule="auto"/>
              <w:jc w:val="center"/>
              <w:rPr>
                <w:rFonts w:eastAsia="Times New Roman" w:cs="Arial"/>
                <w:b/>
                <w:bCs/>
                <w:color w:val="FFFFFF" w:themeColor="background1"/>
                <w:sz w:val="18"/>
                <w:szCs w:val="18"/>
                <w:lang w:val="es-CO" w:eastAsia="es-CO"/>
              </w:rPr>
            </w:pPr>
            <w:r w:rsidRPr="005762C8">
              <w:rPr>
                <w:rFonts w:eastAsia="Times New Roman" w:cs="Arial"/>
                <w:b/>
                <w:bCs/>
                <w:color w:val="FFFFFF" w:themeColor="background1"/>
                <w:sz w:val="18"/>
                <w:szCs w:val="18"/>
                <w:lang w:val="es-CO" w:eastAsia="es-CO"/>
              </w:rPr>
              <w:t>Compromiso</w:t>
            </w:r>
          </w:p>
        </w:tc>
        <w:tc>
          <w:tcPr>
            <w:tcW w:w="1530" w:type="dxa"/>
            <w:shd w:val="clear" w:color="auto" w:fill="76922E"/>
            <w:vAlign w:val="center"/>
            <w:hideMark/>
          </w:tcPr>
          <w:p w:rsidR="005129EB" w:rsidRPr="005762C8" w:rsidRDefault="005762C8" w:rsidP="004652A6">
            <w:pPr>
              <w:spacing w:after="0" w:line="240" w:lineRule="auto"/>
              <w:jc w:val="center"/>
              <w:rPr>
                <w:rFonts w:eastAsia="Times New Roman" w:cs="Arial"/>
                <w:b/>
                <w:bCs/>
                <w:color w:val="FFFFFF" w:themeColor="background1"/>
                <w:sz w:val="18"/>
                <w:szCs w:val="18"/>
                <w:lang w:val="es-CO" w:eastAsia="es-CO"/>
              </w:rPr>
            </w:pPr>
            <w:r w:rsidRPr="005762C8">
              <w:rPr>
                <w:rFonts w:eastAsia="Times New Roman" w:cs="Arial"/>
                <w:b/>
                <w:bCs/>
                <w:color w:val="FFFFFF" w:themeColor="background1"/>
                <w:sz w:val="18"/>
                <w:szCs w:val="18"/>
                <w:lang w:val="es-CO" w:eastAsia="es-CO"/>
              </w:rPr>
              <w:t>Obligación</w:t>
            </w:r>
          </w:p>
        </w:tc>
        <w:tc>
          <w:tcPr>
            <w:tcW w:w="1102" w:type="dxa"/>
            <w:shd w:val="clear" w:color="auto" w:fill="76922E"/>
            <w:vAlign w:val="center"/>
            <w:hideMark/>
          </w:tcPr>
          <w:p w:rsidR="005129EB" w:rsidRPr="005762C8" w:rsidRDefault="005762C8" w:rsidP="004652A6">
            <w:pPr>
              <w:spacing w:after="0" w:line="240" w:lineRule="auto"/>
              <w:jc w:val="center"/>
              <w:rPr>
                <w:rFonts w:eastAsia="Times New Roman" w:cs="Arial"/>
                <w:b/>
                <w:bCs/>
                <w:color w:val="FFFFFF" w:themeColor="background1"/>
                <w:sz w:val="18"/>
                <w:szCs w:val="18"/>
                <w:lang w:val="es-CO" w:eastAsia="es-CO"/>
              </w:rPr>
            </w:pPr>
            <w:r w:rsidRPr="005762C8">
              <w:rPr>
                <w:rFonts w:eastAsia="Times New Roman" w:cs="Arial"/>
                <w:b/>
                <w:bCs/>
                <w:color w:val="FFFFFF" w:themeColor="background1"/>
                <w:sz w:val="18"/>
                <w:szCs w:val="18"/>
                <w:lang w:val="es-CO" w:eastAsia="es-CO"/>
              </w:rPr>
              <w:t>Pago</w:t>
            </w:r>
          </w:p>
        </w:tc>
        <w:tc>
          <w:tcPr>
            <w:tcW w:w="1061" w:type="dxa"/>
            <w:shd w:val="clear" w:color="auto" w:fill="76922E"/>
            <w:vAlign w:val="center"/>
            <w:hideMark/>
          </w:tcPr>
          <w:p w:rsidR="005129EB" w:rsidRPr="005762C8" w:rsidRDefault="005762C8" w:rsidP="004652A6">
            <w:pPr>
              <w:spacing w:after="0" w:line="240" w:lineRule="auto"/>
              <w:jc w:val="center"/>
              <w:rPr>
                <w:rFonts w:eastAsia="Times New Roman" w:cs="Arial"/>
                <w:b/>
                <w:bCs/>
                <w:color w:val="FFFFFF" w:themeColor="background1"/>
                <w:sz w:val="18"/>
                <w:szCs w:val="18"/>
                <w:lang w:val="es-CO" w:eastAsia="es-CO"/>
              </w:rPr>
            </w:pPr>
            <w:r w:rsidRPr="005762C8">
              <w:rPr>
                <w:rFonts w:eastAsia="Times New Roman" w:cs="Arial"/>
                <w:b/>
                <w:bCs/>
                <w:color w:val="FFFFFF" w:themeColor="background1"/>
                <w:sz w:val="18"/>
                <w:szCs w:val="18"/>
                <w:lang w:val="es-CO" w:eastAsia="es-CO"/>
              </w:rPr>
              <w:t>Apr Disponible</w:t>
            </w:r>
          </w:p>
        </w:tc>
      </w:tr>
      <w:tr w:rsidR="005129EB" w:rsidRPr="005762C8" w:rsidTr="005762C8">
        <w:trPr>
          <w:trHeight w:val="221"/>
        </w:trPr>
        <w:tc>
          <w:tcPr>
            <w:tcW w:w="1565" w:type="dxa"/>
            <w:shd w:val="clear" w:color="auto" w:fill="auto"/>
            <w:vAlign w:val="center"/>
            <w:hideMark/>
          </w:tcPr>
          <w:p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Nivel Nacional</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$ 67</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$ 67</w:t>
            </w:r>
          </w:p>
        </w:tc>
      </w:tr>
      <w:tr w:rsidR="005129EB" w:rsidRPr="005762C8" w:rsidTr="005762C8">
        <w:trPr>
          <w:trHeight w:val="221"/>
        </w:trPr>
        <w:tc>
          <w:tcPr>
            <w:tcW w:w="1565" w:type="dxa"/>
            <w:shd w:val="clear" w:color="auto" w:fill="auto"/>
            <w:vAlign w:val="center"/>
            <w:hideMark/>
          </w:tcPr>
          <w:p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Sede Nacional</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$ 1.192.112</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$ 1.184.105</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$ 1.153.961</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$ 1.130.900</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$ 8.007</w:t>
            </w:r>
          </w:p>
        </w:tc>
      </w:tr>
      <w:tr w:rsidR="005129EB" w:rsidRPr="005762C8" w:rsidTr="005762C8">
        <w:trPr>
          <w:trHeight w:val="221"/>
        </w:trPr>
        <w:tc>
          <w:tcPr>
            <w:tcW w:w="1565" w:type="dxa"/>
            <w:shd w:val="clear" w:color="auto" w:fill="auto"/>
            <w:vAlign w:val="center"/>
            <w:hideMark/>
          </w:tcPr>
          <w:p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Antioquia</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$ 410.105</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$ 409.179</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$ 398.527</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$ 392.849</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$ 926</w:t>
            </w:r>
          </w:p>
        </w:tc>
      </w:tr>
      <w:tr w:rsidR="005129EB" w:rsidRPr="005762C8" w:rsidTr="005762C8">
        <w:trPr>
          <w:trHeight w:val="221"/>
        </w:trPr>
        <w:tc>
          <w:tcPr>
            <w:tcW w:w="1565" w:type="dxa"/>
            <w:shd w:val="clear" w:color="auto" w:fill="auto"/>
            <w:vAlign w:val="center"/>
            <w:hideMark/>
          </w:tcPr>
          <w:p w:rsidR="005129EB" w:rsidRPr="005762C8" w:rsidRDefault="003C3E25"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Atlántico</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$ 220.378</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$ 219.946</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$ 218.670</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$ 216.009</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$ 432</w:t>
            </w:r>
          </w:p>
        </w:tc>
      </w:tr>
      <w:tr w:rsidR="005129EB" w:rsidRPr="005762C8" w:rsidTr="005762C8">
        <w:trPr>
          <w:trHeight w:val="221"/>
        </w:trPr>
        <w:tc>
          <w:tcPr>
            <w:tcW w:w="1565" w:type="dxa"/>
            <w:shd w:val="clear" w:color="auto" w:fill="auto"/>
            <w:vAlign w:val="center"/>
            <w:hideMark/>
          </w:tcPr>
          <w:p w:rsidR="005129EB" w:rsidRPr="005762C8" w:rsidRDefault="003C3E25"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Bogotá</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$ 473.842</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$ 470.706</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$ 458.516</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$ 456.687</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$ 3.136</w:t>
            </w:r>
          </w:p>
        </w:tc>
      </w:tr>
      <w:tr w:rsidR="005129EB" w:rsidRPr="005762C8" w:rsidTr="005762C8">
        <w:trPr>
          <w:trHeight w:val="221"/>
        </w:trPr>
        <w:tc>
          <w:tcPr>
            <w:tcW w:w="1565" w:type="dxa"/>
            <w:shd w:val="clear" w:color="auto" w:fill="auto"/>
            <w:vAlign w:val="center"/>
            <w:hideMark/>
          </w:tcPr>
          <w:p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Bolivar</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$ 275.587</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$ 275.161</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$ 274.310</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$ 268.333</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$ 426</w:t>
            </w:r>
          </w:p>
        </w:tc>
      </w:tr>
      <w:tr w:rsidR="005129EB" w:rsidRPr="005762C8" w:rsidTr="005762C8">
        <w:trPr>
          <w:trHeight w:val="221"/>
        </w:trPr>
        <w:tc>
          <w:tcPr>
            <w:tcW w:w="1565" w:type="dxa"/>
            <w:shd w:val="clear" w:color="auto" w:fill="auto"/>
            <w:vAlign w:val="center"/>
            <w:hideMark/>
          </w:tcPr>
          <w:p w:rsidR="005129EB" w:rsidRPr="005762C8" w:rsidRDefault="003C3E25"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Boyacá</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$ 112.458</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$ 111.924</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$ 107.733</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$ 106.616</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$ 534</w:t>
            </w:r>
          </w:p>
        </w:tc>
      </w:tr>
      <w:tr w:rsidR="005129EB" w:rsidRPr="005762C8" w:rsidTr="005762C8">
        <w:trPr>
          <w:trHeight w:val="221"/>
        </w:trPr>
        <w:tc>
          <w:tcPr>
            <w:tcW w:w="1565" w:type="dxa"/>
            <w:shd w:val="clear" w:color="auto" w:fill="auto"/>
            <w:vAlign w:val="center"/>
            <w:hideMark/>
          </w:tcPr>
          <w:p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Caldas</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$ 152.006</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$ 151.658</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$ 148.451</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$ 147.461</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$ 347</w:t>
            </w:r>
          </w:p>
        </w:tc>
      </w:tr>
      <w:tr w:rsidR="005129EB" w:rsidRPr="005762C8" w:rsidTr="005762C8">
        <w:trPr>
          <w:trHeight w:val="221"/>
        </w:trPr>
        <w:tc>
          <w:tcPr>
            <w:tcW w:w="1565" w:type="dxa"/>
            <w:shd w:val="clear" w:color="auto" w:fill="auto"/>
            <w:vAlign w:val="center"/>
            <w:hideMark/>
          </w:tcPr>
          <w:p w:rsidR="005129EB" w:rsidRPr="005762C8" w:rsidRDefault="003C3E25"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Caquetá</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$ 59.230</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$ 59.161</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$ 58.945</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$ 58.536</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$ 69</w:t>
            </w:r>
          </w:p>
        </w:tc>
      </w:tr>
      <w:tr w:rsidR="005129EB" w:rsidRPr="005762C8" w:rsidTr="005762C8">
        <w:trPr>
          <w:trHeight w:val="221"/>
        </w:trPr>
        <w:tc>
          <w:tcPr>
            <w:tcW w:w="1565" w:type="dxa"/>
            <w:shd w:val="clear" w:color="auto" w:fill="auto"/>
            <w:vAlign w:val="center"/>
            <w:hideMark/>
          </w:tcPr>
          <w:p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Cauca</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$ 225.290</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$ 224.615</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$ 222.747</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$ 221.561</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$ 675</w:t>
            </w:r>
          </w:p>
        </w:tc>
      </w:tr>
      <w:tr w:rsidR="005129EB" w:rsidRPr="005762C8" w:rsidTr="005762C8">
        <w:trPr>
          <w:trHeight w:val="221"/>
        </w:trPr>
        <w:tc>
          <w:tcPr>
            <w:tcW w:w="1565" w:type="dxa"/>
            <w:shd w:val="clear" w:color="auto" w:fill="auto"/>
            <w:vAlign w:val="center"/>
            <w:hideMark/>
          </w:tcPr>
          <w:p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Cesar</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$ 177.185</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$ 176.891</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$ 176.288</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$ 175.435</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$ 294</w:t>
            </w:r>
          </w:p>
        </w:tc>
      </w:tr>
      <w:tr w:rsidR="005129EB" w:rsidRPr="005762C8" w:rsidTr="005762C8">
        <w:trPr>
          <w:trHeight w:val="221"/>
        </w:trPr>
        <w:tc>
          <w:tcPr>
            <w:tcW w:w="1565" w:type="dxa"/>
            <w:shd w:val="clear" w:color="auto" w:fill="auto"/>
            <w:vAlign w:val="center"/>
            <w:hideMark/>
          </w:tcPr>
          <w:p w:rsidR="005129EB" w:rsidRPr="005762C8" w:rsidRDefault="003C3E25"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Córdoba</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$ 236.786</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$ 236.587</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$ 236.042</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$ 232.940</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$ 199</w:t>
            </w:r>
          </w:p>
        </w:tc>
      </w:tr>
      <w:tr w:rsidR="005129EB" w:rsidRPr="005762C8" w:rsidTr="005762C8">
        <w:trPr>
          <w:trHeight w:val="221"/>
        </w:trPr>
        <w:tc>
          <w:tcPr>
            <w:tcW w:w="1565" w:type="dxa"/>
            <w:shd w:val="clear" w:color="auto" w:fill="auto"/>
            <w:vAlign w:val="center"/>
            <w:hideMark/>
          </w:tcPr>
          <w:p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Cundinamarca</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$ 192.723</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$ 192.440</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$ 188.652</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$ 183.304</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$ 283</w:t>
            </w:r>
          </w:p>
        </w:tc>
      </w:tr>
      <w:tr w:rsidR="005129EB" w:rsidRPr="005762C8" w:rsidTr="005762C8">
        <w:trPr>
          <w:trHeight w:val="221"/>
        </w:trPr>
        <w:tc>
          <w:tcPr>
            <w:tcW w:w="1565" w:type="dxa"/>
            <w:shd w:val="clear" w:color="auto" w:fill="auto"/>
            <w:vAlign w:val="center"/>
            <w:hideMark/>
          </w:tcPr>
          <w:p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Choco</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$ 145.178</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$ 143.854</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$ 143.473</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$ 141.145</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$ 1.324</w:t>
            </w:r>
          </w:p>
        </w:tc>
      </w:tr>
      <w:tr w:rsidR="005129EB" w:rsidRPr="005762C8" w:rsidTr="005762C8">
        <w:trPr>
          <w:trHeight w:val="221"/>
        </w:trPr>
        <w:tc>
          <w:tcPr>
            <w:tcW w:w="1565" w:type="dxa"/>
            <w:shd w:val="clear" w:color="auto" w:fill="auto"/>
            <w:vAlign w:val="center"/>
            <w:hideMark/>
          </w:tcPr>
          <w:p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Huila</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$ 135.216</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$ 134.667</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$ 133.911</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$ 133.045</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$ 549</w:t>
            </w:r>
          </w:p>
        </w:tc>
      </w:tr>
      <w:tr w:rsidR="005129EB" w:rsidRPr="005762C8" w:rsidTr="005762C8">
        <w:trPr>
          <w:trHeight w:val="221"/>
        </w:trPr>
        <w:tc>
          <w:tcPr>
            <w:tcW w:w="1565" w:type="dxa"/>
            <w:shd w:val="clear" w:color="auto" w:fill="auto"/>
            <w:vAlign w:val="center"/>
            <w:hideMark/>
          </w:tcPr>
          <w:p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Guajira</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$ 246.375</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$ 246.128</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$ 245.323</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$ 237.205</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$ 247</w:t>
            </w:r>
          </w:p>
        </w:tc>
      </w:tr>
      <w:tr w:rsidR="005129EB" w:rsidRPr="005762C8" w:rsidTr="005762C8">
        <w:trPr>
          <w:trHeight w:val="221"/>
        </w:trPr>
        <w:tc>
          <w:tcPr>
            <w:tcW w:w="1565" w:type="dxa"/>
            <w:shd w:val="clear" w:color="auto" w:fill="auto"/>
            <w:vAlign w:val="center"/>
            <w:hideMark/>
          </w:tcPr>
          <w:p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Magdalena</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$ 199.690</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$ 199.328</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$ 199.319</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$ 198.098</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$ 362</w:t>
            </w:r>
          </w:p>
        </w:tc>
      </w:tr>
      <w:tr w:rsidR="005129EB" w:rsidRPr="005762C8" w:rsidTr="005762C8">
        <w:trPr>
          <w:trHeight w:val="221"/>
        </w:trPr>
        <w:tc>
          <w:tcPr>
            <w:tcW w:w="1565" w:type="dxa"/>
            <w:shd w:val="clear" w:color="auto" w:fill="auto"/>
            <w:vAlign w:val="center"/>
            <w:hideMark/>
          </w:tcPr>
          <w:p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Meta</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$ 97.038</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$ 96.617</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$ 95.283</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$ 94.958</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$ 422</w:t>
            </w:r>
          </w:p>
        </w:tc>
      </w:tr>
      <w:tr w:rsidR="005129EB" w:rsidRPr="005762C8" w:rsidTr="005762C8">
        <w:trPr>
          <w:trHeight w:val="221"/>
        </w:trPr>
        <w:tc>
          <w:tcPr>
            <w:tcW w:w="1565" w:type="dxa"/>
            <w:shd w:val="clear" w:color="auto" w:fill="auto"/>
            <w:vAlign w:val="center"/>
            <w:hideMark/>
          </w:tcPr>
          <w:p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Nariño</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$ 205.414</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$ 204.462</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$ 203.114</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$ 198.986</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$ 952</w:t>
            </w:r>
          </w:p>
        </w:tc>
      </w:tr>
      <w:tr w:rsidR="005129EB" w:rsidRPr="005762C8" w:rsidTr="005762C8">
        <w:trPr>
          <w:trHeight w:val="221"/>
        </w:trPr>
        <w:tc>
          <w:tcPr>
            <w:tcW w:w="1565" w:type="dxa"/>
            <w:shd w:val="clear" w:color="auto" w:fill="auto"/>
            <w:vAlign w:val="center"/>
            <w:hideMark/>
          </w:tcPr>
          <w:p w:rsidR="005129EB" w:rsidRPr="005762C8" w:rsidRDefault="003C3E25" w:rsidP="004652A6">
            <w:pPr>
              <w:spacing w:after="0" w:line="240" w:lineRule="auto"/>
              <w:jc w:val="both"/>
              <w:rPr>
                <w:rFonts w:eastAsia="Times New Roman" w:cs="Arial"/>
                <w:color w:val="000000"/>
                <w:sz w:val="18"/>
                <w:szCs w:val="18"/>
                <w:lang w:val="es-CO" w:eastAsia="es-CO"/>
              </w:rPr>
            </w:pPr>
            <w:r>
              <w:rPr>
                <w:rFonts w:eastAsia="Times New Roman" w:cs="Arial"/>
                <w:color w:val="000000"/>
                <w:sz w:val="18"/>
                <w:szCs w:val="18"/>
                <w:lang w:val="es-CO" w:eastAsia="es-CO"/>
              </w:rPr>
              <w:t>Norte d</w:t>
            </w:r>
            <w:r w:rsidR="005762C8" w:rsidRPr="005762C8">
              <w:rPr>
                <w:rFonts w:eastAsia="Times New Roman" w:cs="Arial"/>
                <w:color w:val="000000"/>
                <w:sz w:val="18"/>
                <w:szCs w:val="18"/>
                <w:lang w:val="es-CO" w:eastAsia="es-CO"/>
              </w:rPr>
              <w:t>e Santander</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$ 134.942</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$ 134.559</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$ 133.538</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$ 133.012</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$ 383</w:t>
            </w:r>
          </w:p>
        </w:tc>
      </w:tr>
      <w:tr w:rsidR="005129EB" w:rsidRPr="005762C8" w:rsidTr="005762C8">
        <w:trPr>
          <w:trHeight w:val="221"/>
        </w:trPr>
        <w:tc>
          <w:tcPr>
            <w:tcW w:w="1565" w:type="dxa"/>
            <w:shd w:val="clear" w:color="auto" w:fill="auto"/>
            <w:vAlign w:val="center"/>
            <w:hideMark/>
          </w:tcPr>
          <w:p w:rsidR="005129EB" w:rsidRPr="005762C8" w:rsidRDefault="003C3E25"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Quindío</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$ 59.848</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$ 59.455</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$ 58.164</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$ 56.818</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$ 392</w:t>
            </w:r>
          </w:p>
        </w:tc>
      </w:tr>
      <w:tr w:rsidR="005129EB" w:rsidRPr="005762C8" w:rsidTr="005762C8">
        <w:trPr>
          <w:trHeight w:val="221"/>
        </w:trPr>
        <w:tc>
          <w:tcPr>
            <w:tcW w:w="1565" w:type="dxa"/>
            <w:shd w:val="clear" w:color="auto" w:fill="auto"/>
            <w:vAlign w:val="center"/>
            <w:hideMark/>
          </w:tcPr>
          <w:p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lastRenderedPageBreak/>
              <w:t>Risaralda</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$ 89.048</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$ 88.674</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$ 87.205</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$ 86.773</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$ 374</w:t>
            </w:r>
          </w:p>
        </w:tc>
      </w:tr>
      <w:tr w:rsidR="005129EB" w:rsidRPr="005762C8" w:rsidTr="005762C8">
        <w:trPr>
          <w:trHeight w:val="221"/>
        </w:trPr>
        <w:tc>
          <w:tcPr>
            <w:tcW w:w="1565" w:type="dxa"/>
            <w:shd w:val="clear" w:color="auto" w:fill="auto"/>
            <w:vAlign w:val="center"/>
            <w:hideMark/>
          </w:tcPr>
          <w:p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Santander</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$ 182.051</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$ 181.118</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$ 179.163</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$ 178.445</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$ 933</w:t>
            </w:r>
          </w:p>
        </w:tc>
      </w:tr>
      <w:tr w:rsidR="005129EB" w:rsidRPr="005762C8" w:rsidTr="005762C8">
        <w:trPr>
          <w:trHeight w:val="221"/>
        </w:trPr>
        <w:tc>
          <w:tcPr>
            <w:tcW w:w="1565" w:type="dxa"/>
            <w:shd w:val="clear" w:color="auto" w:fill="auto"/>
            <w:vAlign w:val="center"/>
            <w:hideMark/>
          </w:tcPr>
          <w:p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Sucre</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$ 128.921</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$ 128.592</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$ 128.588</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$ 126.869</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$ 329</w:t>
            </w:r>
          </w:p>
        </w:tc>
      </w:tr>
      <w:tr w:rsidR="005129EB" w:rsidRPr="005762C8" w:rsidTr="005762C8">
        <w:trPr>
          <w:trHeight w:val="221"/>
        </w:trPr>
        <w:tc>
          <w:tcPr>
            <w:tcW w:w="1565" w:type="dxa"/>
            <w:shd w:val="clear" w:color="auto" w:fill="auto"/>
            <w:vAlign w:val="center"/>
            <w:hideMark/>
          </w:tcPr>
          <w:p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Tolima</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$ 160.791</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$ 160.516</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$ 158.665</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$ 156.804</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$ 274</w:t>
            </w:r>
          </w:p>
        </w:tc>
      </w:tr>
      <w:tr w:rsidR="005129EB" w:rsidRPr="005762C8" w:rsidTr="005762C8">
        <w:trPr>
          <w:trHeight w:val="221"/>
        </w:trPr>
        <w:tc>
          <w:tcPr>
            <w:tcW w:w="1565" w:type="dxa"/>
            <w:shd w:val="clear" w:color="auto" w:fill="auto"/>
            <w:vAlign w:val="center"/>
            <w:hideMark/>
          </w:tcPr>
          <w:p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Valle</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$ 381.777</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$ 379.448</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$ 368.510</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$ 365.784</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$ 2.329</w:t>
            </w:r>
          </w:p>
        </w:tc>
      </w:tr>
      <w:tr w:rsidR="005129EB" w:rsidRPr="005762C8" w:rsidTr="005762C8">
        <w:trPr>
          <w:trHeight w:val="221"/>
        </w:trPr>
        <w:tc>
          <w:tcPr>
            <w:tcW w:w="1565" w:type="dxa"/>
            <w:shd w:val="clear" w:color="auto" w:fill="auto"/>
            <w:vAlign w:val="center"/>
            <w:hideMark/>
          </w:tcPr>
          <w:p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Arauca</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$ 42.432</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$ 42.350</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$ 42.291</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$ 42.003</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$ 82</w:t>
            </w:r>
          </w:p>
        </w:tc>
      </w:tr>
      <w:tr w:rsidR="005129EB" w:rsidRPr="005762C8" w:rsidTr="005762C8">
        <w:trPr>
          <w:trHeight w:val="221"/>
        </w:trPr>
        <w:tc>
          <w:tcPr>
            <w:tcW w:w="1565" w:type="dxa"/>
            <w:shd w:val="clear" w:color="auto" w:fill="auto"/>
            <w:vAlign w:val="center"/>
            <w:hideMark/>
          </w:tcPr>
          <w:p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Casanare</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$ 39.907</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$ 39.749</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$ 39.486</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$ 39.089</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$ 159</w:t>
            </w:r>
          </w:p>
        </w:tc>
      </w:tr>
      <w:tr w:rsidR="005129EB" w:rsidRPr="005762C8" w:rsidTr="005762C8">
        <w:trPr>
          <w:trHeight w:val="221"/>
        </w:trPr>
        <w:tc>
          <w:tcPr>
            <w:tcW w:w="1565" w:type="dxa"/>
            <w:shd w:val="clear" w:color="auto" w:fill="auto"/>
            <w:vAlign w:val="center"/>
            <w:hideMark/>
          </w:tcPr>
          <w:p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Putumayo</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$ 51.094</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$ 50.769</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$ 50.767</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$ 50.445</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$ 325</w:t>
            </w:r>
          </w:p>
        </w:tc>
      </w:tr>
      <w:tr w:rsidR="005129EB" w:rsidRPr="005762C8" w:rsidTr="005762C8">
        <w:trPr>
          <w:trHeight w:val="221"/>
        </w:trPr>
        <w:tc>
          <w:tcPr>
            <w:tcW w:w="1565" w:type="dxa"/>
            <w:shd w:val="clear" w:color="auto" w:fill="auto"/>
            <w:vAlign w:val="center"/>
            <w:hideMark/>
          </w:tcPr>
          <w:p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San Andres</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$ 11.158</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$ 10.898</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$ 10.651</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$ 10.566</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$ 261</w:t>
            </w:r>
          </w:p>
        </w:tc>
      </w:tr>
      <w:tr w:rsidR="005129EB" w:rsidRPr="005762C8" w:rsidTr="005762C8">
        <w:trPr>
          <w:trHeight w:val="221"/>
        </w:trPr>
        <w:tc>
          <w:tcPr>
            <w:tcW w:w="1565" w:type="dxa"/>
            <w:shd w:val="clear" w:color="auto" w:fill="auto"/>
            <w:vAlign w:val="center"/>
            <w:hideMark/>
          </w:tcPr>
          <w:p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Amazonas</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$ 21.068</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$ 20.925</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$ 20.692</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$ 20.106</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$ 143</w:t>
            </w:r>
          </w:p>
        </w:tc>
      </w:tr>
      <w:tr w:rsidR="005129EB" w:rsidRPr="005762C8" w:rsidTr="005762C8">
        <w:trPr>
          <w:trHeight w:val="221"/>
        </w:trPr>
        <w:tc>
          <w:tcPr>
            <w:tcW w:w="1565" w:type="dxa"/>
            <w:shd w:val="clear" w:color="auto" w:fill="auto"/>
            <w:vAlign w:val="center"/>
            <w:hideMark/>
          </w:tcPr>
          <w:p w:rsidR="005129EB" w:rsidRPr="005762C8" w:rsidRDefault="00D5490E"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Guainía</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$ 7.549</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$ 7.322</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$ 7.278</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$ 6.995</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$ 227</w:t>
            </w:r>
          </w:p>
        </w:tc>
      </w:tr>
      <w:tr w:rsidR="005129EB" w:rsidRPr="005762C8" w:rsidTr="005762C8">
        <w:trPr>
          <w:trHeight w:val="221"/>
        </w:trPr>
        <w:tc>
          <w:tcPr>
            <w:tcW w:w="1565" w:type="dxa"/>
            <w:shd w:val="clear" w:color="auto" w:fill="auto"/>
            <w:vAlign w:val="center"/>
            <w:hideMark/>
          </w:tcPr>
          <w:p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Guaviare</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$ 18.025</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$ 17.900</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$ 17.833</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$ 17.631</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$ 124</w:t>
            </w:r>
          </w:p>
        </w:tc>
      </w:tr>
      <w:tr w:rsidR="005129EB" w:rsidRPr="005762C8" w:rsidTr="005762C8">
        <w:trPr>
          <w:trHeight w:val="221"/>
        </w:trPr>
        <w:tc>
          <w:tcPr>
            <w:tcW w:w="1565" w:type="dxa"/>
            <w:shd w:val="clear" w:color="auto" w:fill="auto"/>
            <w:vAlign w:val="center"/>
            <w:hideMark/>
          </w:tcPr>
          <w:p w:rsidR="005129EB" w:rsidRPr="005762C8" w:rsidRDefault="00D5490E"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Vaupés</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$ 9.877</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$ 9.199</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$ 8.887</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$ 8.796</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$ 678</w:t>
            </w:r>
          </w:p>
        </w:tc>
      </w:tr>
      <w:tr w:rsidR="005129EB" w:rsidRPr="005762C8" w:rsidTr="005762C8">
        <w:trPr>
          <w:trHeight w:val="221"/>
        </w:trPr>
        <w:tc>
          <w:tcPr>
            <w:tcW w:w="1565" w:type="dxa"/>
            <w:shd w:val="clear" w:color="auto" w:fill="auto"/>
            <w:vAlign w:val="center"/>
            <w:hideMark/>
          </w:tcPr>
          <w:p w:rsidR="005129EB" w:rsidRPr="005762C8" w:rsidRDefault="005762C8" w:rsidP="004652A6">
            <w:pPr>
              <w:spacing w:after="0" w:line="240" w:lineRule="auto"/>
              <w:jc w:val="both"/>
              <w:rPr>
                <w:rFonts w:eastAsia="Times New Roman" w:cs="Arial"/>
                <w:color w:val="000000"/>
                <w:sz w:val="18"/>
                <w:szCs w:val="18"/>
                <w:lang w:val="es-CO" w:eastAsia="es-CO"/>
              </w:rPr>
            </w:pPr>
            <w:r w:rsidRPr="005762C8">
              <w:rPr>
                <w:rFonts w:eastAsia="Times New Roman" w:cs="Arial"/>
                <w:color w:val="000000"/>
                <w:sz w:val="18"/>
                <w:szCs w:val="18"/>
                <w:lang w:val="es-CO" w:eastAsia="es-CO"/>
              </w:rPr>
              <w:t>Vichada</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$ 10.590</w:t>
            </w:r>
          </w:p>
        </w:tc>
        <w:tc>
          <w:tcPr>
            <w:tcW w:w="99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$ 0</w:t>
            </w:r>
          </w:p>
        </w:tc>
        <w:tc>
          <w:tcPr>
            <w:tcW w:w="1559"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$ 10.473</w:t>
            </w:r>
          </w:p>
        </w:tc>
        <w:tc>
          <w:tcPr>
            <w:tcW w:w="1530"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$ 10.448</w:t>
            </w:r>
          </w:p>
        </w:tc>
        <w:tc>
          <w:tcPr>
            <w:tcW w:w="1102"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$ 9.826</w:t>
            </w:r>
          </w:p>
        </w:tc>
        <w:tc>
          <w:tcPr>
            <w:tcW w:w="1061" w:type="dxa"/>
            <w:shd w:val="clear" w:color="auto" w:fill="auto"/>
            <w:vAlign w:val="center"/>
            <w:hideMark/>
          </w:tcPr>
          <w:p w:rsidR="005129EB" w:rsidRPr="005762C8" w:rsidRDefault="005129EB" w:rsidP="004652A6">
            <w:pPr>
              <w:spacing w:after="0" w:line="240" w:lineRule="auto"/>
              <w:jc w:val="right"/>
              <w:rPr>
                <w:rFonts w:eastAsia="Times New Roman" w:cs="Arial"/>
                <w:color w:val="000000"/>
                <w:sz w:val="18"/>
                <w:szCs w:val="18"/>
                <w:lang w:val="es-CO" w:eastAsia="es-CO"/>
              </w:rPr>
            </w:pPr>
            <w:r w:rsidRPr="005762C8">
              <w:rPr>
                <w:rFonts w:eastAsia="Times New Roman" w:cs="Arial"/>
                <w:color w:val="000000"/>
                <w:sz w:val="18"/>
                <w:szCs w:val="18"/>
                <w:lang w:val="es-CO" w:eastAsia="es-CO"/>
              </w:rPr>
              <w:t>$ 117</w:t>
            </w:r>
          </w:p>
        </w:tc>
      </w:tr>
      <w:tr w:rsidR="005129EB" w:rsidRPr="005762C8" w:rsidTr="005762C8">
        <w:trPr>
          <w:trHeight w:val="221"/>
        </w:trPr>
        <w:tc>
          <w:tcPr>
            <w:tcW w:w="1565" w:type="dxa"/>
            <w:shd w:val="clear" w:color="auto" w:fill="auto"/>
            <w:vAlign w:val="center"/>
            <w:hideMark/>
          </w:tcPr>
          <w:p w:rsidR="005129EB" w:rsidRPr="005762C8" w:rsidRDefault="005129EB" w:rsidP="004652A6">
            <w:pPr>
              <w:spacing w:after="0" w:line="240" w:lineRule="auto"/>
              <w:jc w:val="both"/>
              <w:rPr>
                <w:rFonts w:eastAsia="Times New Roman" w:cs="Arial"/>
                <w:b/>
                <w:bCs/>
                <w:color w:val="000000"/>
                <w:sz w:val="18"/>
                <w:szCs w:val="18"/>
                <w:lang w:val="es-CO" w:eastAsia="es-CO"/>
              </w:rPr>
            </w:pPr>
            <w:r w:rsidRPr="005762C8">
              <w:rPr>
                <w:rFonts w:eastAsia="Times New Roman" w:cs="Arial"/>
                <w:b/>
                <w:bCs/>
                <w:color w:val="000000"/>
                <w:sz w:val="18"/>
                <w:szCs w:val="18"/>
                <w:lang w:val="es-CO" w:eastAsia="es-CO"/>
              </w:rPr>
              <w:t>TOTAL</w:t>
            </w:r>
          </w:p>
        </w:tc>
        <w:tc>
          <w:tcPr>
            <w:tcW w:w="1559" w:type="dxa"/>
            <w:shd w:val="clear" w:color="auto" w:fill="auto"/>
            <w:noWrap/>
            <w:vAlign w:val="center"/>
            <w:hideMark/>
          </w:tcPr>
          <w:p w:rsidR="005129EB" w:rsidRPr="005762C8" w:rsidRDefault="005129EB" w:rsidP="004652A6">
            <w:pPr>
              <w:spacing w:after="0" w:line="240" w:lineRule="auto"/>
              <w:jc w:val="right"/>
              <w:rPr>
                <w:rFonts w:eastAsia="Times New Roman" w:cs="Arial"/>
                <w:b/>
                <w:bCs/>
                <w:color w:val="000000"/>
                <w:sz w:val="18"/>
                <w:szCs w:val="18"/>
                <w:lang w:val="es-CO" w:eastAsia="es-CO"/>
              </w:rPr>
            </w:pPr>
            <w:r w:rsidRPr="005762C8">
              <w:rPr>
                <w:rFonts w:eastAsia="Times New Roman" w:cs="Arial"/>
                <w:b/>
                <w:bCs/>
                <w:color w:val="000000"/>
                <w:sz w:val="18"/>
                <w:szCs w:val="18"/>
                <w:lang w:val="es-CO" w:eastAsia="es-CO"/>
              </w:rPr>
              <w:t>$ 6.105.754</w:t>
            </w:r>
          </w:p>
        </w:tc>
        <w:tc>
          <w:tcPr>
            <w:tcW w:w="992" w:type="dxa"/>
            <w:shd w:val="clear" w:color="auto" w:fill="auto"/>
            <w:noWrap/>
            <w:vAlign w:val="center"/>
            <w:hideMark/>
          </w:tcPr>
          <w:p w:rsidR="005129EB" w:rsidRPr="005762C8" w:rsidRDefault="005129EB" w:rsidP="004652A6">
            <w:pPr>
              <w:spacing w:after="0" w:line="240" w:lineRule="auto"/>
              <w:jc w:val="right"/>
              <w:rPr>
                <w:rFonts w:eastAsia="Times New Roman" w:cs="Arial"/>
                <w:b/>
                <w:bCs/>
                <w:color w:val="000000"/>
                <w:sz w:val="18"/>
                <w:szCs w:val="18"/>
                <w:lang w:val="es-CO" w:eastAsia="es-CO"/>
              </w:rPr>
            </w:pPr>
            <w:r w:rsidRPr="005762C8">
              <w:rPr>
                <w:rFonts w:eastAsia="Times New Roman" w:cs="Arial"/>
                <w:b/>
                <w:bCs/>
                <w:color w:val="000000"/>
                <w:sz w:val="18"/>
                <w:szCs w:val="18"/>
                <w:lang w:val="es-CO" w:eastAsia="es-CO"/>
              </w:rPr>
              <w:t>$ 0</w:t>
            </w:r>
          </w:p>
        </w:tc>
        <w:tc>
          <w:tcPr>
            <w:tcW w:w="1559" w:type="dxa"/>
            <w:shd w:val="clear" w:color="auto" w:fill="auto"/>
            <w:noWrap/>
            <w:vAlign w:val="center"/>
            <w:hideMark/>
          </w:tcPr>
          <w:p w:rsidR="005129EB" w:rsidRPr="005762C8" w:rsidRDefault="005129EB" w:rsidP="004652A6">
            <w:pPr>
              <w:spacing w:after="0" w:line="240" w:lineRule="auto"/>
              <w:jc w:val="right"/>
              <w:rPr>
                <w:rFonts w:eastAsia="Times New Roman" w:cs="Arial"/>
                <w:b/>
                <w:bCs/>
                <w:color w:val="000000"/>
                <w:sz w:val="18"/>
                <w:szCs w:val="18"/>
                <w:lang w:val="es-CO" w:eastAsia="es-CO"/>
              </w:rPr>
            </w:pPr>
            <w:r w:rsidRPr="005762C8">
              <w:rPr>
                <w:rFonts w:eastAsia="Times New Roman" w:cs="Arial"/>
                <w:b/>
                <w:bCs/>
                <w:color w:val="000000"/>
                <w:sz w:val="18"/>
                <w:szCs w:val="18"/>
                <w:lang w:val="es-CO" w:eastAsia="es-CO"/>
              </w:rPr>
              <w:t>$ 6.079.377</w:t>
            </w:r>
          </w:p>
        </w:tc>
        <w:tc>
          <w:tcPr>
            <w:tcW w:w="1530" w:type="dxa"/>
            <w:shd w:val="clear" w:color="auto" w:fill="auto"/>
            <w:noWrap/>
            <w:vAlign w:val="center"/>
            <w:hideMark/>
          </w:tcPr>
          <w:p w:rsidR="005129EB" w:rsidRPr="005762C8" w:rsidRDefault="005129EB" w:rsidP="004652A6">
            <w:pPr>
              <w:spacing w:after="0" w:line="240" w:lineRule="auto"/>
              <w:jc w:val="right"/>
              <w:rPr>
                <w:rFonts w:eastAsia="Times New Roman" w:cs="Arial"/>
                <w:b/>
                <w:bCs/>
                <w:color w:val="000000"/>
                <w:sz w:val="18"/>
                <w:szCs w:val="18"/>
                <w:lang w:val="es-CO" w:eastAsia="es-CO"/>
              </w:rPr>
            </w:pPr>
            <w:r w:rsidRPr="005762C8">
              <w:rPr>
                <w:rFonts w:eastAsia="Times New Roman" w:cs="Arial"/>
                <w:b/>
                <w:bCs/>
                <w:color w:val="000000"/>
                <w:sz w:val="18"/>
                <w:szCs w:val="18"/>
                <w:lang w:val="es-CO" w:eastAsia="es-CO"/>
              </w:rPr>
              <w:t>$ 5.985.436</w:t>
            </w:r>
          </w:p>
        </w:tc>
        <w:tc>
          <w:tcPr>
            <w:tcW w:w="1102" w:type="dxa"/>
            <w:shd w:val="clear" w:color="auto" w:fill="auto"/>
            <w:noWrap/>
            <w:vAlign w:val="center"/>
            <w:hideMark/>
          </w:tcPr>
          <w:p w:rsidR="005129EB" w:rsidRPr="005762C8" w:rsidRDefault="005129EB" w:rsidP="004652A6">
            <w:pPr>
              <w:spacing w:after="0" w:line="240" w:lineRule="auto"/>
              <w:jc w:val="right"/>
              <w:rPr>
                <w:rFonts w:eastAsia="Times New Roman" w:cs="Arial"/>
                <w:b/>
                <w:bCs/>
                <w:color w:val="000000"/>
                <w:sz w:val="18"/>
                <w:szCs w:val="18"/>
                <w:lang w:val="es-CO" w:eastAsia="es-CO"/>
              </w:rPr>
            </w:pPr>
            <w:r w:rsidRPr="005762C8">
              <w:rPr>
                <w:rFonts w:eastAsia="Times New Roman" w:cs="Arial"/>
                <w:b/>
                <w:bCs/>
                <w:color w:val="000000"/>
                <w:sz w:val="18"/>
                <w:szCs w:val="18"/>
                <w:lang w:val="es-CO" w:eastAsia="es-CO"/>
              </w:rPr>
              <w:t>$ 5.904.031</w:t>
            </w:r>
          </w:p>
        </w:tc>
        <w:tc>
          <w:tcPr>
            <w:tcW w:w="1061" w:type="dxa"/>
            <w:shd w:val="clear" w:color="auto" w:fill="auto"/>
            <w:noWrap/>
            <w:vAlign w:val="center"/>
            <w:hideMark/>
          </w:tcPr>
          <w:p w:rsidR="005129EB" w:rsidRPr="005762C8" w:rsidRDefault="005129EB" w:rsidP="004652A6">
            <w:pPr>
              <w:spacing w:after="0" w:line="240" w:lineRule="auto"/>
              <w:jc w:val="right"/>
              <w:rPr>
                <w:rFonts w:eastAsia="Times New Roman" w:cs="Arial"/>
                <w:b/>
                <w:bCs/>
                <w:color w:val="000000"/>
                <w:sz w:val="18"/>
                <w:szCs w:val="18"/>
                <w:lang w:val="es-CO" w:eastAsia="es-CO"/>
              </w:rPr>
            </w:pPr>
            <w:r w:rsidRPr="005762C8">
              <w:rPr>
                <w:rFonts w:eastAsia="Times New Roman" w:cs="Arial"/>
                <w:b/>
                <w:bCs/>
                <w:color w:val="000000"/>
                <w:sz w:val="18"/>
                <w:szCs w:val="18"/>
                <w:lang w:val="es-CO" w:eastAsia="es-CO"/>
              </w:rPr>
              <w:t>$ 26.377</w:t>
            </w:r>
          </w:p>
        </w:tc>
      </w:tr>
    </w:tbl>
    <w:p w:rsidR="005129EB" w:rsidRPr="005762C8" w:rsidRDefault="005129EB" w:rsidP="005129EB">
      <w:pPr>
        <w:spacing w:after="0" w:line="240" w:lineRule="auto"/>
        <w:rPr>
          <w:rFonts w:cs="Arial"/>
          <w:sz w:val="16"/>
          <w:szCs w:val="16"/>
        </w:rPr>
      </w:pPr>
      <w:r w:rsidRPr="007608C2">
        <w:rPr>
          <w:rFonts w:cs="Arial"/>
          <w:sz w:val="20"/>
        </w:rPr>
        <w:fldChar w:fldCharType="end"/>
      </w:r>
      <w:r w:rsidRPr="005762C8">
        <w:rPr>
          <w:rFonts w:cs="Arial"/>
          <w:sz w:val="16"/>
          <w:szCs w:val="16"/>
        </w:rPr>
        <w:t xml:space="preserve"> cifras en millones de $</w:t>
      </w:r>
    </w:p>
    <w:p w:rsidR="005129EB" w:rsidRPr="005762C8" w:rsidRDefault="005129EB" w:rsidP="005129EB">
      <w:pPr>
        <w:spacing w:after="0" w:line="240" w:lineRule="auto"/>
        <w:jc w:val="both"/>
        <w:rPr>
          <w:rFonts w:cs="Arial"/>
          <w:sz w:val="16"/>
          <w:szCs w:val="16"/>
        </w:rPr>
      </w:pPr>
      <w:r w:rsidRPr="005762C8">
        <w:rPr>
          <w:rFonts w:cs="Arial"/>
          <w:sz w:val="16"/>
          <w:szCs w:val="16"/>
        </w:rPr>
        <w:t>Fuente SI</w:t>
      </w:r>
      <w:r w:rsidR="00F406C5">
        <w:rPr>
          <w:rFonts w:cs="Arial"/>
          <w:sz w:val="16"/>
          <w:szCs w:val="16"/>
        </w:rPr>
        <w:t>IF NACION - 31 de diciembre 2017</w:t>
      </w:r>
    </w:p>
    <w:p w:rsidR="005129EB" w:rsidRPr="007608C2" w:rsidRDefault="005129EB" w:rsidP="005129EB">
      <w:pPr>
        <w:spacing w:after="0" w:line="240" w:lineRule="auto"/>
        <w:jc w:val="both"/>
        <w:rPr>
          <w:rFonts w:cs="Arial"/>
          <w:noProof/>
          <w:lang w:eastAsia="es-ES"/>
        </w:rPr>
      </w:pPr>
    </w:p>
    <w:p w:rsidR="005129EB" w:rsidRPr="007608C2" w:rsidRDefault="005129EB" w:rsidP="005129EB">
      <w:pPr>
        <w:spacing w:after="0" w:line="240" w:lineRule="auto"/>
        <w:jc w:val="both"/>
        <w:rPr>
          <w:rFonts w:cs="Arial"/>
          <w:lang w:eastAsia="es-ES"/>
        </w:rPr>
      </w:pPr>
      <w:r w:rsidRPr="007608C2">
        <w:rPr>
          <w:rFonts w:cs="Arial"/>
          <w:noProof/>
          <w:lang w:eastAsia="es-ES"/>
        </w:rPr>
        <w:t>Como resultado de la gestión presupuestal, el ICBF al 31 de diciembre de 2017, adelantó compromisos por el 99.57%, de la apropiación, (</w:t>
      </w:r>
      <w:r w:rsidRPr="007608C2">
        <w:rPr>
          <w:rFonts w:eastAsia="Times New Roman" w:cs="Arial"/>
          <w:lang w:val="es-CO" w:eastAsia="es-CO"/>
        </w:rPr>
        <w:t>$ 6</w:t>
      </w:r>
      <w:r w:rsidRPr="007608C2">
        <w:rPr>
          <w:rFonts w:cs="Arial"/>
          <w:lang w:eastAsia="es-ES"/>
        </w:rPr>
        <w:t xml:space="preserve"> billones 79</w:t>
      </w:r>
      <w:r w:rsidRPr="007608C2">
        <w:rPr>
          <w:rFonts w:eastAsia="Times New Roman" w:cs="Arial"/>
          <w:lang w:val="es-CO" w:eastAsia="es-CO"/>
        </w:rPr>
        <w:t xml:space="preserve">.377 millones), obligó el 98.03% de la apropiación vigente ($5 </w:t>
      </w:r>
      <w:r w:rsidRPr="007608C2">
        <w:rPr>
          <w:rFonts w:cs="Arial"/>
          <w:lang w:eastAsia="es-ES"/>
        </w:rPr>
        <w:t>billones 985</w:t>
      </w:r>
      <w:r w:rsidRPr="007608C2">
        <w:rPr>
          <w:rFonts w:eastAsia="Times New Roman" w:cs="Arial"/>
          <w:lang w:val="es-CO" w:eastAsia="es-CO"/>
        </w:rPr>
        <w:t>.436 millones) y generó pagos por el 96.70% de la apropiación ($ 5</w:t>
      </w:r>
      <w:r w:rsidRPr="007608C2">
        <w:rPr>
          <w:rFonts w:cs="Arial"/>
          <w:lang w:eastAsia="es-ES"/>
        </w:rPr>
        <w:t xml:space="preserve"> billones </w:t>
      </w:r>
      <w:r w:rsidRPr="007608C2">
        <w:rPr>
          <w:rFonts w:eastAsia="Times New Roman" w:cs="Arial"/>
          <w:lang w:val="es-CO" w:eastAsia="es-CO"/>
        </w:rPr>
        <w:t>904.030 millones).</w:t>
      </w:r>
    </w:p>
    <w:p w:rsidR="005129EB" w:rsidRPr="007608C2" w:rsidRDefault="005129EB" w:rsidP="005129EB">
      <w:pPr>
        <w:spacing w:before="100" w:beforeAutospacing="1" w:after="100" w:afterAutospacing="1" w:line="240" w:lineRule="auto"/>
        <w:jc w:val="both"/>
        <w:rPr>
          <w:rFonts w:cs="Arial"/>
          <w:b/>
        </w:rPr>
      </w:pPr>
      <w:r w:rsidRPr="007608C2">
        <w:rPr>
          <w:rFonts w:cs="Arial"/>
          <w:b/>
        </w:rPr>
        <w:t>Ejecución Pr</w:t>
      </w:r>
      <w:r w:rsidR="0074739F">
        <w:rPr>
          <w:rFonts w:cs="Arial"/>
          <w:b/>
        </w:rPr>
        <w:t>esupuestal por Área Responsable</w:t>
      </w:r>
    </w:p>
    <w:tbl>
      <w:tblPr>
        <w:tblW w:w="9493" w:type="dxa"/>
        <w:tblInd w:w="-10"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4116"/>
        <w:gridCol w:w="1276"/>
        <w:gridCol w:w="1417"/>
        <w:gridCol w:w="1418"/>
        <w:gridCol w:w="1266"/>
      </w:tblGrid>
      <w:tr w:rsidR="005129EB" w:rsidRPr="00FD61FF" w:rsidTr="00FD61FF">
        <w:trPr>
          <w:trHeight w:val="115"/>
        </w:trPr>
        <w:tc>
          <w:tcPr>
            <w:tcW w:w="4116" w:type="dxa"/>
            <w:shd w:val="clear" w:color="auto" w:fill="76922E"/>
            <w:vAlign w:val="center"/>
            <w:hideMark/>
          </w:tcPr>
          <w:p w:rsidR="005129EB" w:rsidRPr="00FD61FF" w:rsidRDefault="00FD61FF" w:rsidP="004652A6">
            <w:pPr>
              <w:spacing w:after="0" w:line="240" w:lineRule="auto"/>
              <w:jc w:val="center"/>
              <w:rPr>
                <w:rFonts w:eastAsia="Times New Roman" w:cs="Arial"/>
                <w:b/>
                <w:bCs/>
                <w:color w:val="FFFFFF" w:themeColor="background1"/>
                <w:sz w:val="18"/>
                <w:szCs w:val="18"/>
                <w:lang w:val="es-CO" w:eastAsia="es-CO"/>
              </w:rPr>
            </w:pPr>
            <w:r w:rsidRPr="00FD61FF">
              <w:rPr>
                <w:rFonts w:eastAsia="Times New Roman" w:cs="Arial"/>
                <w:b/>
                <w:bCs/>
                <w:color w:val="FFFFFF" w:themeColor="background1"/>
                <w:sz w:val="18"/>
                <w:szCs w:val="18"/>
                <w:lang w:val="es-CO" w:eastAsia="es-CO"/>
              </w:rPr>
              <w:t>Área</w:t>
            </w:r>
          </w:p>
        </w:tc>
        <w:tc>
          <w:tcPr>
            <w:tcW w:w="1276" w:type="dxa"/>
            <w:shd w:val="clear" w:color="auto" w:fill="76922E"/>
            <w:vAlign w:val="center"/>
            <w:hideMark/>
          </w:tcPr>
          <w:p w:rsidR="005129EB" w:rsidRPr="00FD61FF" w:rsidRDefault="00FD61FF" w:rsidP="004652A6">
            <w:pPr>
              <w:spacing w:after="0" w:line="240" w:lineRule="auto"/>
              <w:jc w:val="center"/>
              <w:rPr>
                <w:rFonts w:eastAsia="Times New Roman" w:cs="Arial"/>
                <w:b/>
                <w:bCs/>
                <w:color w:val="FFFFFF" w:themeColor="background1"/>
                <w:sz w:val="18"/>
                <w:szCs w:val="18"/>
                <w:lang w:val="es-CO" w:eastAsia="es-CO"/>
              </w:rPr>
            </w:pPr>
            <w:r w:rsidRPr="00FD61FF">
              <w:rPr>
                <w:rFonts w:eastAsia="Times New Roman" w:cs="Arial"/>
                <w:b/>
                <w:bCs/>
                <w:color w:val="FFFFFF" w:themeColor="background1"/>
                <w:sz w:val="18"/>
                <w:szCs w:val="18"/>
                <w:lang w:val="es-CO" w:eastAsia="es-CO"/>
              </w:rPr>
              <w:t>Apr Vigente</w:t>
            </w:r>
          </w:p>
        </w:tc>
        <w:tc>
          <w:tcPr>
            <w:tcW w:w="1417" w:type="dxa"/>
            <w:shd w:val="clear" w:color="auto" w:fill="76922E"/>
            <w:vAlign w:val="center"/>
            <w:hideMark/>
          </w:tcPr>
          <w:p w:rsidR="005129EB" w:rsidRPr="00FD61FF" w:rsidRDefault="00FD61FF" w:rsidP="004652A6">
            <w:pPr>
              <w:spacing w:after="0" w:line="240" w:lineRule="auto"/>
              <w:jc w:val="center"/>
              <w:rPr>
                <w:rFonts w:eastAsia="Times New Roman" w:cs="Arial"/>
                <w:b/>
                <w:bCs/>
                <w:color w:val="FFFFFF" w:themeColor="background1"/>
                <w:sz w:val="18"/>
                <w:szCs w:val="18"/>
                <w:lang w:val="es-CO" w:eastAsia="es-CO"/>
              </w:rPr>
            </w:pPr>
            <w:r w:rsidRPr="00FD61FF">
              <w:rPr>
                <w:rFonts w:eastAsia="Times New Roman" w:cs="Arial"/>
                <w:b/>
                <w:bCs/>
                <w:color w:val="FFFFFF" w:themeColor="background1"/>
                <w:sz w:val="18"/>
                <w:szCs w:val="18"/>
                <w:lang w:val="es-CO" w:eastAsia="es-CO"/>
              </w:rPr>
              <w:t>Compromiso</w:t>
            </w:r>
          </w:p>
        </w:tc>
        <w:tc>
          <w:tcPr>
            <w:tcW w:w="1418" w:type="dxa"/>
            <w:shd w:val="clear" w:color="auto" w:fill="76922E"/>
            <w:vAlign w:val="center"/>
            <w:hideMark/>
          </w:tcPr>
          <w:p w:rsidR="005129EB" w:rsidRPr="00FD61FF" w:rsidRDefault="00FD61FF" w:rsidP="004652A6">
            <w:pPr>
              <w:spacing w:after="0" w:line="240" w:lineRule="auto"/>
              <w:jc w:val="center"/>
              <w:rPr>
                <w:rFonts w:eastAsia="Times New Roman" w:cs="Arial"/>
                <w:b/>
                <w:bCs/>
                <w:color w:val="FFFFFF" w:themeColor="background1"/>
                <w:sz w:val="18"/>
                <w:szCs w:val="18"/>
                <w:lang w:val="es-CO" w:eastAsia="es-CO"/>
              </w:rPr>
            </w:pPr>
            <w:r w:rsidRPr="00FD61FF">
              <w:rPr>
                <w:rFonts w:eastAsia="Times New Roman" w:cs="Arial"/>
                <w:b/>
                <w:bCs/>
                <w:color w:val="FFFFFF" w:themeColor="background1"/>
                <w:sz w:val="18"/>
                <w:szCs w:val="18"/>
                <w:lang w:val="es-CO" w:eastAsia="es-CO"/>
              </w:rPr>
              <w:t>Obligación</w:t>
            </w:r>
          </w:p>
        </w:tc>
        <w:tc>
          <w:tcPr>
            <w:tcW w:w="1266" w:type="dxa"/>
            <w:shd w:val="clear" w:color="auto" w:fill="76922E"/>
            <w:vAlign w:val="center"/>
            <w:hideMark/>
          </w:tcPr>
          <w:p w:rsidR="005129EB" w:rsidRPr="00FD61FF" w:rsidRDefault="00FD61FF" w:rsidP="004652A6">
            <w:pPr>
              <w:spacing w:after="0" w:line="240" w:lineRule="auto"/>
              <w:jc w:val="center"/>
              <w:rPr>
                <w:rFonts w:eastAsia="Times New Roman" w:cs="Arial"/>
                <w:b/>
                <w:bCs/>
                <w:color w:val="FFFFFF" w:themeColor="background1"/>
                <w:sz w:val="18"/>
                <w:szCs w:val="18"/>
                <w:lang w:val="es-CO" w:eastAsia="es-CO"/>
              </w:rPr>
            </w:pPr>
            <w:r w:rsidRPr="00FD61FF">
              <w:rPr>
                <w:rFonts w:eastAsia="Times New Roman" w:cs="Arial"/>
                <w:b/>
                <w:bCs/>
                <w:color w:val="FFFFFF" w:themeColor="background1"/>
                <w:sz w:val="18"/>
                <w:szCs w:val="18"/>
                <w:lang w:val="es-CO" w:eastAsia="es-CO"/>
              </w:rPr>
              <w:t>Pago</w:t>
            </w:r>
          </w:p>
        </w:tc>
      </w:tr>
      <w:tr w:rsidR="005129EB" w:rsidRPr="00FD61FF" w:rsidTr="00FD61FF">
        <w:trPr>
          <w:trHeight w:val="115"/>
        </w:trPr>
        <w:tc>
          <w:tcPr>
            <w:tcW w:w="4116" w:type="dxa"/>
            <w:shd w:val="clear" w:color="auto" w:fill="auto"/>
            <w:noWrap/>
            <w:vAlign w:val="center"/>
            <w:hideMark/>
          </w:tcPr>
          <w:p w:rsidR="005129EB" w:rsidRPr="00FD61FF" w:rsidRDefault="00FD61FF" w:rsidP="004652A6">
            <w:pPr>
              <w:spacing w:after="0" w:line="240" w:lineRule="auto"/>
              <w:jc w:val="both"/>
              <w:rPr>
                <w:rFonts w:eastAsia="Times New Roman" w:cs="Arial"/>
                <w:bCs/>
                <w:color w:val="000000"/>
                <w:sz w:val="18"/>
                <w:szCs w:val="18"/>
                <w:lang w:val="es-CO" w:eastAsia="es-CO"/>
              </w:rPr>
            </w:pPr>
            <w:r w:rsidRPr="00FD61FF">
              <w:rPr>
                <w:rFonts w:eastAsia="Times New Roman" w:cs="Arial"/>
                <w:bCs/>
                <w:color w:val="000000"/>
                <w:sz w:val="18"/>
                <w:szCs w:val="18"/>
                <w:lang w:val="es-CO" w:eastAsia="es-CO"/>
              </w:rPr>
              <w:t>Dirección Administrativa</w:t>
            </w:r>
          </w:p>
        </w:tc>
        <w:tc>
          <w:tcPr>
            <w:tcW w:w="127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$ 199.211</w:t>
            </w:r>
          </w:p>
        </w:tc>
        <w:tc>
          <w:tcPr>
            <w:tcW w:w="1417"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$ 198.551</w:t>
            </w:r>
          </w:p>
        </w:tc>
        <w:tc>
          <w:tcPr>
            <w:tcW w:w="1418"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$ 190.189</w:t>
            </w:r>
          </w:p>
        </w:tc>
        <w:tc>
          <w:tcPr>
            <w:tcW w:w="126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$ 178.549</w:t>
            </w:r>
          </w:p>
        </w:tc>
      </w:tr>
      <w:tr w:rsidR="005129EB" w:rsidRPr="00FD61FF" w:rsidTr="00FD61FF">
        <w:trPr>
          <w:trHeight w:val="115"/>
        </w:trPr>
        <w:tc>
          <w:tcPr>
            <w:tcW w:w="4116" w:type="dxa"/>
            <w:shd w:val="clear" w:color="auto" w:fill="auto"/>
            <w:noWrap/>
            <w:vAlign w:val="center"/>
            <w:hideMark/>
          </w:tcPr>
          <w:p w:rsidR="005129EB" w:rsidRPr="00FD61FF" w:rsidRDefault="00D5490E" w:rsidP="004652A6">
            <w:pPr>
              <w:spacing w:after="0" w:line="240" w:lineRule="auto"/>
              <w:jc w:val="both"/>
              <w:rPr>
                <w:rFonts w:eastAsia="Times New Roman" w:cs="Arial"/>
                <w:color w:val="000000"/>
                <w:sz w:val="18"/>
                <w:szCs w:val="18"/>
                <w:lang w:val="es-CO" w:eastAsia="es-CO"/>
              </w:rPr>
            </w:pPr>
            <w:r>
              <w:rPr>
                <w:rFonts w:eastAsia="Times New Roman" w:cs="Arial"/>
                <w:color w:val="000000"/>
                <w:sz w:val="18"/>
                <w:szCs w:val="18"/>
                <w:lang w:val="es-CO" w:eastAsia="es-CO"/>
              </w:rPr>
              <w:t>Dirección d</w:t>
            </w:r>
            <w:r w:rsidR="00FD61FF" w:rsidRPr="00FD61FF">
              <w:rPr>
                <w:rFonts w:eastAsia="Times New Roman" w:cs="Arial"/>
                <w:color w:val="000000"/>
                <w:sz w:val="18"/>
                <w:szCs w:val="18"/>
                <w:lang w:val="es-CO" w:eastAsia="es-CO"/>
              </w:rPr>
              <w:t>e Abastecimiento</w:t>
            </w:r>
          </w:p>
        </w:tc>
        <w:tc>
          <w:tcPr>
            <w:tcW w:w="127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$ 4.200</w:t>
            </w:r>
          </w:p>
        </w:tc>
        <w:tc>
          <w:tcPr>
            <w:tcW w:w="1417"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$ 4.200</w:t>
            </w:r>
          </w:p>
        </w:tc>
        <w:tc>
          <w:tcPr>
            <w:tcW w:w="1418"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$ 4.199</w:t>
            </w:r>
          </w:p>
        </w:tc>
        <w:tc>
          <w:tcPr>
            <w:tcW w:w="126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$ 4.196</w:t>
            </w:r>
          </w:p>
        </w:tc>
      </w:tr>
      <w:tr w:rsidR="005129EB" w:rsidRPr="00FD61FF" w:rsidTr="00FD61FF">
        <w:trPr>
          <w:trHeight w:val="115"/>
        </w:trPr>
        <w:tc>
          <w:tcPr>
            <w:tcW w:w="4116" w:type="dxa"/>
            <w:shd w:val="clear" w:color="auto" w:fill="auto"/>
            <w:noWrap/>
            <w:vAlign w:val="center"/>
            <w:hideMark/>
          </w:tcPr>
          <w:p w:rsidR="005129EB" w:rsidRPr="00FD61FF" w:rsidRDefault="00D5490E" w:rsidP="004652A6">
            <w:pPr>
              <w:spacing w:after="0" w:line="240" w:lineRule="auto"/>
              <w:jc w:val="both"/>
              <w:rPr>
                <w:rFonts w:eastAsia="Times New Roman" w:cs="Arial"/>
                <w:color w:val="000000"/>
                <w:sz w:val="18"/>
                <w:szCs w:val="18"/>
                <w:lang w:val="es-CO" w:eastAsia="es-CO"/>
              </w:rPr>
            </w:pPr>
            <w:r>
              <w:rPr>
                <w:rFonts w:eastAsia="Times New Roman" w:cs="Arial"/>
                <w:color w:val="000000"/>
                <w:sz w:val="18"/>
                <w:szCs w:val="18"/>
                <w:lang w:val="es-CO" w:eastAsia="es-CO"/>
              </w:rPr>
              <w:t>Dirección de Familias y</w:t>
            </w:r>
            <w:r w:rsidR="00FD61FF" w:rsidRPr="00FD61FF">
              <w:rPr>
                <w:rFonts w:eastAsia="Times New Roman" w:cs="Arial"/>
                <w:color w:val="000000"/>
                <w:sz w:val="18"/>
                <w:szCs w:val="18"/>
                <w:lang w:val="es-CO" w:eastAsia="es-CO"/>
              </w:rPr>
              <w:t xml:space="preserve"> Comunidades</w:t>
            </w:r>
          </w:p>
        </w:tc>
        <w:tc>
          <w:tcPr>
            <w:tcW w:w="127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$ 104.033</w:t>
            </w:r>
          </w:p>
        </w:tc>
        <w:tc>
          <w:tcPr>
            <w:tcW w:w="1417"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$ 103.877</w:t>
            </w:r>
          </w:p>
        </w:tc>
        <w:tc>
          <w:tcPr>
            <w:tcW w:w="1418"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$ 103.117</w:t>
            </w:r>
          </w:p>
        </w:tc>
        <w:tc>
          <w:tcPr>
            <w:tcW w:w="126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$ 101.076</w:t>
            </w:r>
          </w:p>
        </w:tc>
      </w:tr>
      <w:tr w:rsidR="005129EB" w:rsidRPr="00FD61FF" w:rsidTr="00FD61FF">
        <w:trPr>
          <w:trHeight w:val="115"/>
        </w:trPr>
        <w:tc>
          <w:tcPr>
            <w:tcW w:w="4116" w:type="dxa"/>
            <w:shd w:val="clear" w:color="auto" w:fill="auto"/>
            <w:noWrap/>
            <w:vAlign w:val="center"/>
            <w:hideMark/>
          </w:tcPr>
          <w:p w:rsidR="005129EB" w:rsidRPr="00FD61FF" w:rsidRDefault="00D5490E" w:rsidP="004652A6">
            <w:pPr>
              <w:spacing w:after="0" w:line="240" w:lineRule="auto"/>
              <w:jc w:val="both"/>
              <w:rPr>
                <w:rFonts w:eastAsia="Times New Roman" w:cs="Arial"/>
                <w:color w:val="000000"/>
                <w:sz w:val="18"/>
                <w:szCs w:val="18"/>
                <w:lang w:val="es-CO" w:eastAsia="es-CO"/>
              </w:rPr>
            </w:pPr>
            <w:r>
              <w:rPr>
                <w:rFonts w:eastAsia="Times New Roman" w:cs="Arial"/>
                <w:color w:val="000000"/>
                <w:sz w:val="18"/>
                <w:szCs w:val="18"/>
                <w:lang w:val="es-CO" w:eastAsia="es-CO"/>
              </w:rPr>
              <w:t>Dirección d</w:t>
            </w:r>
            <w:r w:rsidR="00FD61FF" w:rsidRPr="00FD61FF">
              <w:rPr>
                <w:rFonts w:eastAsia="Times New Roman" w:cs="Arial"/>
                <w:color w:val="000000"/>
                <w:sz w:val="18"/>
                <w:szCs w:val="18"/>
                <w:lang w:val="es-CO" w:eastAsia="es-CO"/>
              </w:rPr>
              <w:t>e Gestión Humana</w:t>
            </w:r>
          </w:p>
        </w:tc>
        <w:tc>
          <w:tcPr>
            <w:tcW w:w="127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$ 616.302</w:t>
            </w:r>
          </w:p>
        </w:tc>
        <w:tc>
          <w:tcPr>
            <w:tcW w:w="1417"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$ 607.141</w:t>
            </w:r>
          </w:p>
        </w:tc>
        <w:tc>
          <w:tcPr>
            <w:tcW w:w="1418"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$ 605.913</w:t>
            </w:r>
          </w:p>
        </w:tc>
        <w:tc>
          <w:tcPr>
            <w:tcW w:w="126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$ 597.434</w:t>
            </w:r>
          </w:p>
        </w:tc>
      </w:tr>
      <w:tr w:rsidR="005129EB" w:rsidRPr="00FD61FF" w:rsidTr="00FD61FF">
        <w:trPr>
          <w:trHeight w:val="115"/>
        </w:trPr>
        <w:tc>
          <w:tcPr>
            <w:tcW w:w="4116" w:type="dxa"/>
            <w:shd w:val="clear" w:color="auto" w:fill="auto"/>
            <w:noWrap/>
            <w:vAlign w:val="center"/>
            <w:hideMark/>
          </w:tcPr>
          <w:p w:rsidR="005129EB" w:rsidRPr="00FD61FF" w:rsidRDefault="00D5490E" w:rsidP="004652A6">
            <w:pPr>
              <w:spacing w:after="0" w:line="240" w:lineRule="auto"/>
              <w:jc w:val="both"/>
              <w:rPr>
                <w:rFonts w:eastAsia="Times New Roman" w:cs="Arial"/>
                <w:color w:val="000000"/>
                <w:sz w:val="18"/>
                <w:szCs w:val="18"/>
                <w:lang w:val="es-CO" w:eastAsia="es-CO"/>
              </w:rPr>
            </w:pPr>
            <w:r>
              <w:rPr>
                <w:rFonts w:eastAsia="Times New Roman" w:cs="Arial"/>
                <w:color w:val="000000"/>
                <w:sz w:val="18"/>
                <w:szCs w:val="18"/>
                <w:lang w:val="es-CO" w:eastAsia="es-CO"/>
              </w:rPr>
              <w:t>Dirección de Información y</w:t>
            </w:r>
            <w:r w:rsidR="00FD61FF" w:rsidRPr="00FD61FF">
              <w:rPr>
                <w:rFonts w:eastAsia="Times New Roman" w:cs="Arial"/>
                <w:color w:val="000000"/>
                <w:sz w:val="18"/>
                <w:szCs w:val="18"/>
                <w:lang w:val="es-CO" w:eastAsia="es-CO"/>
              </w:rPr>
              <w:t xml:space="preserve"> Tecnología</w:t>
            </w:r>
          </w:p>
        </w:tc>
        <w:tc>
          <w:tcPr>
            <w:tcW w:w="127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$ 42.788</w:t>
            </w:r>
          </w:p>
        </w:tc>
        <w:tc>
          <w:tcPr>
            <w:tcW w:w="1417"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$ 42.522</w:t>
            </w:r>
          </w:p>
        </w:tc>
        <w:tc>
          <w:tcPr>
            <w:tcW w:w="1418"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$ 34.569</w:t>
            </w:r>
          </w:p>
        </w:tc>
        <w:tc>
          <w:tcPr>
            <w:tcW w:w="126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$ 33.397</w:t>
            </w:r>
          </w:p>
        </w:tc>
      </w:tr>
      <w:tr w:rsidR="005129EB" w:rsidRPr="00FD61FF" w:rsidTr="00FD61FF">
        <w:trPr>
          <w:trHeight w:val="115"/>
        </w:trPr>
        <w:tc>
          <w:tcPr>
            <w:tcW w:w="4116" w:type="dxa"/>
            <w:shd w:val="clear" w:color="auto" w:fill="auto"/>
            <w:noWrap/>
            <w:vAlign w:val="center"/>
            <w:hideMark/>
          </w:tcPr>
          <w:p w:rsidR="005129EB" w:rsidRPr="00FD61FF" w:rsidRDefault="00D5490E" w:rsidP="004652A6">
            <w:pPr>
              <w:spacing w:after="0" w:line="240" w:lineRule="auto"/>
              <w:jc w:val="both"/>
              <w:rPr>
                <w:rFonts w:eastAsia="Times New Roman" w:cs="Arial"/>
                <w:color w:val="000000"/>
                <w:sz w:val="18"/>
                <w:szCs w:val="18"/>
                <w:lang w:val="es-CO" w:eastAsia="es-CO"/>
              </w:rPr>
            </w:pPr>
            <w:r>
              <w:rPr>
                <w:rFonts w:eastAsia="Times New Roman" w:cs="Arial"/>
                <w:color w:val="000000"/>
                <w:sz w:val="18"/>
                <w:szCs w:val="18"/>
                <w:lang w:val="es-CO" w:eastAsia="es-CO"/>
              </w:rPr>
              <w:t>Dirección de Niñez y</w:t>
            </w:r>
            <w:r w:rsidR="00FD61FF" w:rsidRPr="00FD61FF">
              <w:rPr>
                <w:rFonts w:eastAsia="Times New Roman" w:cs="Arial"/>
                <w:color w:val="000000"/>
                <w:sz w:val="18"/>
                <w:szCs w:val="18"/>
                <w:lang w:val="es-CO" w:eastAsia="es-CO"/>
              </w:rPr>
              <w:t xml:space="preserve"> Adolescencia</w:t>
            </w:r>
          </w:p>
        </w:tc>
        <w:tc>
          <w:tcPr>
            <w:tcW w:w="127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$ 104.550</w:t>
            </w:r>
          </w:p>
        </w:tc>
        <w:tc>
          <w:tcPr>
            <w:tcW w:w="1417"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$ 104.317</w:t>
            </w:r>
          </w:p>
        </w:tc>
        <w:tc>
          <w:tcPr>
            <w:tcW w:w="1418"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$ 103.374</w:t>
            </w:r>
          </w:p>
        </w:tc>
        <w:tc>
          <w:tcPr>
            <w:tcW w:w="126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$ 96.687</w:t>
            </w:r>
          </w:p>
        </w:tc>
      </w:tr>
      <w:tr w:rsidR="005129EB" w:rsidRPr="00FD61FF" w:rsidTr="00FD61FF">
        <w:trPr>
          <w:trHeight w:val="115"/>
        </w:trPr>
        <w:tc>
          <w:tcPr>
            <w:tcW w:w="4116" w:type="dxa"/>
            <w:shd w:val="clear" w:color="auto" w:fill="auto"/>
            <w:noWrap/>
            <w:vAlign w:val="center"/>
            <w:hideMark/>
          </w:tcPr>
          <w:p w:rsidR="005129EB" w:rsidRPr="00FD61FF" w:rsidRDefault="00D5490E" w:rsidP="004652A6">
            <w:pPr>
              <w:spacing w:after="0" w:line="240" w:lineRule="auto"/>
              <w:jc w:val="both"/>
              <w:rPr>
                <w:rFonts w:eastAsia="Times New Roman" w:cs="Arial"/>
                <w:color w:val="000000"/>
                <w:sz w:val="18"/>
                <w:szCs w:val="18"/>
                <w:lang w:val="es-CO" w:eastAsia="es-CO"/>
              </w:rPr>
            </w:pPr>
            <w:r>
              <w:rPr>
                <w:rFonts w:eastAsia="Times New Roman" w:cs="Arial"/>
                <w:color w:val="000000"/>
                <w:sz w:val="18"/>
                <w:szCs w:val="18"/>
                <w:lang w:val="es-CO" w:eastAsia="es-CO"/>
              </w:rPr>
              <w:t>Dirección d</w:t>
            </w:r>
            <w:r w:rsidR="00FD61FF" w:rsidRPr="00FD61FF">
              <w:rPr>
                <w:rFonts w:eastAsia="Times New Roman" w:cs="Arial"/>
                <w:color w:val="000000"/>
                <w:sz w:val="18"/>
                <w:szCs w:val="18"/>
                <w:lang w:val="es-CO" w:eastAsia="es-CO"/>
              </w:rPr>
              <w:t>e Nutrición</w:t>
            </w:r>
          </w:p>
        </w:tc>
        <w:tc>
          <w:tcPr>
            <w:tcW w:w="127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$ 186.117</w:t>
            </w:r>
          </w:p>
        </w:tc>
        <w:tc>
          <w:tcPr>
            <w:tcW w:w="1417"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$ 185.577</w:t>
            </w:r>
          </w:p>
        </w:tc>
        <w:tc>
          <w:tcPr>
            <w:tcW w:w="1418"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$ 176.636</w:t>
            </w:r>
          </w:p>
        </w:tc>
        <w:tc>
          <w:tcPr>
            <w:tcW w:w="126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$ 172.709</w:t>
            </w:r>
          </w:p>
        </w:tc>
      </w:tr>
      <w:tr w:rsidR="005129EB" w:rsidRPr="00FD61FF" w:rsidTr="00FD61FF">
        <w:trPr>
          <w:trHeight w:val="115"/>
        </w:trPr>
        <w:tc>
          <w:tcPr>
            <w:tcW w:w="4116" w:type="dxa"/>
            <w:shd w:val="clear" w:color="auto" w:fill="auto"/>
            <w:noWrap/>
            <w:vAlign w:val="center"/>
            <w:hideMark/>
          </w:tcPr>
          <w:p w:rsidR="005129EB" w:rsidRPr="00FD61FF" w:rsidRDefault="00D5490E" w:rsidP="004652A6">
            <w:pPr>
              <w:spacing w:after="0" w:line="240" w:lineRule="auto"/>
              <w:jc w:val="both"/>
              <w:rPr>
                <w:rFonts w:eastAsia="Times New Roman" w:cs="Arial"/>
                <w:color w:val="000000"/>
                <w:sz w:val="18"/>
                <w:szCs w:val="18"/>
                <w:lang w:val="es-CO" w:eastAsia="es-CO"/>
              </w:rPr>
            </w:pPr>
            <w:r>
              <w:rPr>
                <w:rFonts w:eastAsia="Times New Roman" w:cs="Arial"/>
                <w:color w:val="000000"/>
                <w:sz w:val="18"/>
                <w:szCs w:val="18"/>
                <w:lang w:val="es-CO" w:eastAsia="es-CO"/>
              </w:rPr>
              <w:t>Dirección de Planeación y Control de l</w:t>
            </w:r>
            <w:r w:rsidR="00FD61FF" w:rsidRPr="00FD61FF">
              <w:rPr>
                <w:rFonts w:eastAsia="Times New Roman" w:cs="Arial"/>
                <w:color w:val="000000"/>
                <w:sz w:val="18"/>
                <w:szCs w:val="18"/>
                <w:lang w:val="es-CO" w:eastAsia="es-CO"/>
              </w:rPr>
              <w:t>a Gestión</w:t>
            </w:r>
          </w:p>
        </w:tc>
        <w:tc>
          <w:tcPr>
            <w:tcW w:w="127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$ 62</w:t>
            </w:r>
          </w:p>
        </w:tc>
        <w:tc>
          <w:tcPr>
            <w:tcW w:w="1417"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$ 62</w:t>
            </w:r>
          </w:p>
        </w:tc>
        <w:tc>
          <w:tcPr>
            <w:tcW w:w="1418"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$ 62</w:t>
            </w:r>
          </w:p>
        </w:tc>
        <w:tc>
          <w:tcPr>
            <w:tcW w:w="126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$ 62</w:t>
            </w:r>
          </w:p>
        </w:tc>
      </w:tr>
      <w:tr w:rsidR="005129EB" w:rsidRPr="00FD61FF" w:rsidTr="00FD61FF">
        <w:trPr>
          <w:trHeight w:val="115"/>
        </w:trPr>
        <w:tc>
          <w:tcPr>
            <w:tcW w:w="4116" w:type="dxa"/>
            <w:shd w:val="clear" w:color="auto" w:fill="auto"/>
            <w:noWrap/>
            <w:vAlign w:val="center"/>
            <w:hideMark/>
          </w:tcPr>
          <w:p w:rsidR="005129EB" w:rsidRPr="00FD61FF" w:rsidRDefault="00D5490E" w:rsidP="004652A6">
            <w:pPr>
              <w:spacing w:after="0" w:line="240" w:lineRule="auto"/>
              <w:jc w:val="both"/>
              <w:rPr>
                <w:rFonts w:eastAsia="Times New Roman" w:cs="Arial"/>
                <w:color w:val="000000"/>
                <w:sz w:val="18"/>
                <w:szCs w:val="18"/>
                <w:lang w:val="es-CO" w:eastAsia="es-CO"/>
              </w:rPr>
            </w:pPr>
            <w:r>
              <w:rPr>
                <w:rFonts w:eastAsia="Times New Roman" w:cs="Arial"/>
                <w:color w:val="000000"/>
                <w:sz w:val="18"/>
                <w:szCs w:val="18"/>
                <w:lang w:val="es-CO" w:eastAsia="es-CO"/>
              </w:rPr>
              <w:t>Dirección d</w:t>
            </w:r>
            <w:r w:rsidR="00FD61FF" w:rsidRPr="00FD61FF">
              <w:rPr>
                <w:rFonts w:eastAsia="Times New Roman" w:cs="Arial"/>
                <w:color w:val="000000"/>
                <w:sz w:val="18"/>
                <w:szCs w:val="18"/>
                <w:lang w:val="es-CO" w:eastAsia="es-CO"/>
              </w:rPr>
              <w:t>e Primera Infancia</w:t>
            </w:r>
          </w:p>
        </w:tc>
        <w:tc>
          <w:tcPr>
            <w:tcW w:w="127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$ 3.976.497</w:t>
            </w:r>
          </w:p>
        </w:tc>
        <w:tc>
          <w:tcPr>
            <w:tcW w:w="1417"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$ 3.968.695</w:t>
            </w:r>
          </w:p>
        </w:tc>
        <w:tc>
          <w:tcPr>
            <w:tcW w:w="1418"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$ 3.961.460</w:t>
            </w:r>
          </w:p>
        </w:tc>
        <w:tc>
          <w:tcPr>
            <w:tcW w:w="126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$ 3.927.236</w:t>
            </w:r>
          </w:p>
        </w:tc>
      </w:tr>
      <w:tr w:rsidR="005129EB" w:rsidRPr="00FD61FF" w:rsidTr="00FD61FF">
        <w:trPr>
          <w:trHeight w:val="115"/>
        </w:trPr>
        <w:tc>
          <w:tcPr>
            <w:tcW w:w="4116" w:type="dxa"/>
            <w:shd w:val="clear" w:color="auto" w:fill="auto"/>
            <w:noWrap/>
            <w:vAlign w:val="center"/>
            <w:hideMark/>
          </w:tcPr>
          <w:p w:rsidR="005129EB" w:rsidRPr="00FD61FF" w:rsidRDefault="00D5490E" w:rsidP="004652A6">
            <w:pPr>
              <w:spacing w:after="0" w:line="240" w:lineRule="auto"/>
              <w:jc w:val="both"/>
              <w:rPr>
                <w:rFonts w:eastAsia="Times New Roman" w:cs="Arial"/>
                <w:color w:val="000000"/>
                <w:sz w:val="18"/>
                <w:szCs w:val="18"/>
                <w:lang w:val="es-CO" w:eastAsia="es-CO"/>
              </w:rPr>
            </w:pPr>
            <w:r>
              <w:rPr>
                <w:rFonts w:eastAsia="Times New Roman" w:cs="Arial"/>
                <w:color w:val="000000"/>
                <w:sz w:val="18"/>
                <w:szCs w:val="18"/>
                <w:lang w:val="es-CO" w:eastAsia="es-CO"/>
              </w:rPr>
              <w:t>Dirección d</w:t>
            </w:r>
            <w:r w:rsidR="00FD61FF" w:rsidRPr="00FD61FF">
              <w:rPr>
                <w:rFonts w:eastAsia="Times New Roman" w:cs="Arial"/>
                <w:color w:val="000000"/>
                <w:sz w:val="18"/>
                <w:szCs w:val="18"/>
                <w:lang w:val="es-CO" w:eastAsia="es-CO"/>
              </w:rPr>
              <w:t>e Protección</w:t>
            </w:r>
          </w:p>
        </w:tc>
        <w:tc>
          <w:tcPr>
            <w:tcW w:w="127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$ 816.815</w:t>
            </w:r>
          </w:p>
        </w:tc>
        <w:tc>
          <w:tcPr>
            <w:tcW w:w="1417"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$ 809.490</w:t>
            </w:r>
          </w:p>
        </w:tc>
        <w:tc>
          <w:tcPr>
            <w:tcW w:w="1418"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$ 752.965</w:t>
            </w:r>
          </w:p>
        </w:tc>
        <w:tc>
          <w:tcPr>
            <w:tcW w:w="126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$ 741.764</w:t>
            </w:r>
          </w:p>
        </w:tc>
      </w:tr>
      <w:tr w:rsidR="005129EB" w:rsidRPr="00FD61FF" w:rsidTr="00FD61FF">
        <w:trPr>
          <w:trHeight w:val="115"/>
        </w:trPr>
        <w:tc>
          <w:tcPr>
            <w:tcW w:w="4116" w:type="dxa"/>
            <w:shd w:val="clear" w:color="auto" w:fill="auto"/>
            <w:noWrap/>
            <w:vAlign w:val="center"/>
            <w:hideMark/>
          </w:tcPr>
          <w:p w:rsidR="005129EB" w:rsidRPr="00FD61FF" w:rsidRDefault="00FD61FF" w:rsidP="004652A6">
            <w:pPr>
              <w:spacing w:after="0" w:line="240" w:lineRule="auto"/>
              <w:jc w:val="both"/>
              <w:rPr>
                <w:rFonts w:eastAsia="Times New Roman" w:cs="Arial"/>
                <w:color w:val="000000"/>
                <w:sz w:val="18"/>
                <w:szCs w:val="18"/>
                <w:lang w:val="es-CO" w:eastAsia="es-CO"/>
              </w:rPr>
            </w:pPr>
            <w:r w:rsidRPr="00FD61FF">
              <w:rPr>
                <w:rFonts w:eastAsia="Times New Roman" w:cs="Arial"/>
                <w:color w:val="000000"/>
                <w:sz w:val="18"/>
                <w:szCs w:val="18"/>
                <w:lang w:val="es-CO" w:eastAsia="es-CO"/>
              </w:rPr>
              <w:t>Dirección Financiera</w:t>
            </w:r>
          </w:p>
        </w:tc>
        <w:tc>
          <w:tcPr>
            <w:tcW w:w="127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$ 14.755</w:t>
            </w:r>
          </w:p>
        </w:tc>
        <w:tc>
          <w:tcPr>
            <w:tcW w:w="1417"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$ 14.735</w:t>
            </w:r>
          </w:p>
        </w:tc>
        <w:tc>
          <w:tcPr>
            <w:tcW w:w="1418"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$ 13.930</w:t>
            </w:r>
          </w:p>
        </w:tc>
        <w:tc>
          <w:tcPr>
            <w:tcW w:w="126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$ 13.898</w:t>
            </w:r>
          </w:p>
        </w:tc>
      </w:tr>
      <w:tr w:rsidR="005129EB" w:rsidRPr="00FD61FF" w:rsidTr="00FD61FF">
        <w:trPr>
          <w:trHeight w:val="115"/>
        </w:trPr>
        <w:tc>
          <w:tcPr>
            <w:tcW w:w="4116" w:type="dxa"/>
            <w:shd w:val="clear" w:color="auto" w:fill="auto"/>
            <w:noWrap/>
            <w:vAlign w:val="center"/>
            <w:hideMark/>
          </w:tcPr>
          <w:p w:rsidR="005129EB" w:rsidRPr="00FD61FF" w:rsidRDefault="00D5490E" w:rsidP="004652A6">
            <w:pPr>
              <w:spacing w:after="0" w:line="240" w:lineRule="auto"/>
              <w:jc w:val="both"/>
              <w:rPr>
                <w:rFonts w:eastAsia="Times New Roman" w:cs="Arial"/>
                <w:color w:val="000000"/>
                <w:sz w:val="18"/>
                <w:szCs w:val="18"/>
                <w:lang w:val="es-CO" w:eastAsia="es-CO"/>
              </w:rPr>
            </w:pPr>
            <w:r>
              <w:rPr>
                <w:rFonts w:eastAsia="Times New Roman" w:cs="Arial"/>
                <w:color w:val="000000"/>
                <w:sz w:val="18"/>
                <w:szCs w:val="18"/>
                <w:lang w:val="es-CO" w:eastAsia="es-CO"/>
              </w:rPr>
              <w:t>Sistema Nacional d</w:t>
            </w:r>
            <w:r w:rsidR="00FD61FF" w:rsidRPr="00FD61FF">
              <w:rPr>
                <w:rFonts w:eastAsia="Times New Roman" w:cs="Arial"/>
                <w:color w:val="000000"/>
                <w:sz w:val="18"/>
                <w:szCs w:val="18"/>
                <w:lang w:val="es-CO" w:eastAsia="es-CO"/>
              </w:rPr>
              <w:t>e Bienestar Familiar</w:t>
            </w:r>
          </w:p>
        </w:tc>
        <w:tc>
          <w:tcPr>
            <w:tcW w:w="127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$ 6.147</w:t>
            </w:r>
          </w:p>
        </w:tc>
        <w:tc>
          <w:tcPr>
            <w:tcW w:w="1417"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$ 6.146</w:t>
            </w:r>
          </w:p>
        </w:tc>
        <w:tc>
          <w:tcPr>
            <w:tcW w:w="1418"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$ 5.061</w:t>
            </w:r>
          </w:p>
        </w:tc>
        <w:tc>
          <w:tcPr>
            <w:tcW w:w="126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$ 4.326</w:t>
            </w:r>
          </w:p>
        </w:tc>
      </w:tr>
      <w:tr w:rsidR="005129EB" w:rsidRPr="00FD61FF" w:rsidTr="00FD61FF">
        <w:trPr>
          <w:trHeight w:val="115"/>
        </w:trPr>
        <w:tc>
          <w:tcPr>
            <w:tcW w:w="4116" w:type="dxa"/>
            <w:shd w:val="clear" w:color="auto" w:fill="auto"/>
            <w:noWrap/>
            <w:vAlign w:val="center"/>
            <w:hideMark/>
          </w:tcPr>
          <w:p w:rsidR="005129EB" w:rsidRPr="00FD61FF" w:rsidRDefault="00D5490E" w:rsidP="004652A6">
            <w:pPr>
              <w:spacing w:after="0" w:line="240" w:lineRule="auto"/>
              <w:jc w:val="both"/>
              <w:rPr>
                <w:rFonts w:eastAsia="Times New Roman" w:cs="Arial"/>
                <w:color w:val="000000"/>
                <w:sz w:val="18"/>
                <w:szCs w:val="18"/>
                <w:lang w:val="es-CO" w:eastAsia="es-CO"/>
              </w:rPr>
            </w:pPr>
            <w:r>
              <w:rPr>
                <w:rFonts w:eastAsia="Times New Roman" w:cs="Arial"/>
                <w:color w:val="000000"/>
                <w:sz w:val="18"/>
                <w:szCs w:val="18"/>
                <w:lang w:val="es-CO" w:eastAsia="es-CO"/>
              </w:rPr>
              <w:t>Dirección d</w:t>
            </w:r>
            <w:r w:rsidR="00FD61FF" w:rsidRPr="00FD61FF">
              <w:rPr>
                <w:rFonts w:eastAsia="Times New Roman" w:cs="Arial"/>
                <w:color w:val="000000"/>
                <w:sz w:val="18"/>
                <w:szCs w:val="18"/>
                <w:lang w:val="es-CO" w:eastAsia="es-CO"/>
              </w:rPr>
              <w:t>e Contratación</w:t>
            </w:r>
          </w:p>
        </w:tc>
        <w:tc>
          <w:tcPr>
            <w:tcW w:w="127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$ 50</w:t>
            </w:r>
          </w:p>
        </w:tc>
        <w:tc>
          <w:tcPr>
            <w:tcW w:w="1417"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$ 50</w:t>
            </w:r>
          </w:p>
        </w:tc>
        <w:tc>
          <w:tcPr>
            <w:tcW w:w="1418"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$ 38</w:t>
            </w:r>
          </w:p>
        </w:tc>
        <w:tc>
          <w:tcPr>
            <w:tcW w:w="126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$ 38</w:t>
            </w:r>
          </w:p>
        </w:tc>
      </w:tr>
      <w:tr w:rsidR="005129EB" w:rsidRPr="00FD61FF" w:rsidTr="00FD61FF">
        <w:trPr>
          <w:trHeight w:val="115"/>
        </w:trPr>
        <w:tc>
          <w:tcPr>
            <w:tcW w:w="4116" w:type="dxa"/>
            <w:shd w:val="clear" w:color="auto" w:fill="auto"/>
            <w:noWrap/>
            <w:vAlign w:val="center"/>
            <w:hideMark/>
          </w:tcPr>
          <w:p w:rsidR="005129EB" w:rsidRPr="00FD61FF" w:rsidRDefault="00D5490E" w:rsidP="004652A6">
            <w:pPr>
              <w:spacing w:after="0" w:line="240" w:lineRule="auto"/>
              <w:jc w:val="both"/>
              <w:rPr>
                <w:rFonts w:eastAsia="Times New Roman" w:cs="Arial"/>
                <w:color w:val="000000"/>
                <w:sz w:val="18"/>
                <w:szCs w:val="18"/>
                <w:lang w:val="es-CO" w:eastAsia="es-CO"/>
              </w:rPr>
            </w:pPr>
            <w:r>
              <w:rPr>
                <w:rFonts w:eastAsia="Times New Roman" w:cs="Arial"/>
                <w:color w:val="000000"/>
                <w:sz w:val="18"/>
                <w:szCs w:val="18"/>
                <w:lang w:val="es-CO" w:eastAsia="es-CO"/>
              </w:rPr>
              <w:t>Dirección d</w:t>
            </w:r>
            <w:r w:rsidR="00FD61FF" w:rsidRPr="00FD61FF">
              <w:rPr>
                <w:rFonts w:eastAsia="Times New Roman" w:cs="Arial"/>
                <w:color w:val="000000"/>
                <w:sz w:val="18"/>
                <w:szCs w:val="18"/>
                <w:lang w:val="es-CO" w:eastAsia="es-CO"/>
              </w:rPr>
              <w:t>e Servicios De Atención</w:t>
            </w:r>
          </w:p>
        </w:tc>
        <w:tc>
          <w:tcPr>
            <w:tcW w:w="127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$ 13.194</w:t>
            </w:r>
          </w:p>
        </w:tc>
        <w:tc>
          <w:tcPr>
            <w:tcW w:w="1417"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$ 13.194</w:t>
            </w:r>
          </w:p>
        </w:tc>
        <w:tc>
          <w:tcPr>
            <w:tcW w:w="1418"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$ 13.194</w:t>
            </w:r>
          </w:p>
        </w:tc>
        <w:tc>
          <w:tcPr>
            <w:tcW w:w="126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$ 12.436</w:t>
            </w:r>
          </w:p>
        </w:tc>
      </w:tr>
      <w:tr w:rsidR="005129EB" w:rsidRPr="00FD61FF" w:rsidTr="00FD61FF">
        <w:trPr>
          <w:trHeight w:val="115"/>
        </w:trPr>
        <w:tc>
          <w:tcPr>
            <w:tcW w:w="4116" w:type="dxa"/>
            <w:shd w:val="clear" w:color="auto" w:fill="auto"/>
            <w:noWrap/>
            <w:vAlign w:val="center"/>
            <w:hideMark/>
          </w:tcPr>
          <w:p w:rsidR="005129EB" w:rsidRPr="00FD61FF" w:rsidRDefault="00D5490E" w:rsidP="004652A6">
            <w:pPr>
              <w:spacing w:after="0" w:line="240" w:lineRule="auto"/>
              <w:jc w:val="both"/>
              <w:rPr>
                <w:rFonts w:eastAsia="Times New Roman" w:cs="Arial"/>
                <w:color w:val="000000"/>
                <w:sz w:val="18"/>
                <w:szCs w:val="18"/>
                <w:lang w:val="es-CO" w:eastAsia="es-CO"/>
              </w:rPr>
            </w:pPr>
            <w:r>
              <w:rPr>
                <w:rFonts w:eastAsia="Times New Roman" w:cs="Arial"/>
                <w:color w:val="000000"/>
                <w:sz w:val="18"/>
                <w:szCs w:val="18"/>
                <w:lang w:val="es-CO" w:eastAsia="es-CO"/>
              </w:rPr>
              <w:t>Oficina Asesora d</w:t>
            </w:r>
            <w:r w:rsidR="00FD61FF" w:rsidRPr="00FD61FF">
              <w:rPr>
                <w:rFonts w:eastAsia="Times New Roman" w:cs="Arial"/>
                <w:color w:val="000000"/>
                <w:sz w:val="18"/>
                <w:szCs w:val="18"/>
                <w:lang w:val="es-CO" w:eastAsia="es-CO"/>
              </w:rPr>
              <w:t>e Comunicaciones</w:t>
            </w:r>
          </w:p>
        </w:tc>
        <w:tc>
          <w:tcPr>
            <w:tcW w:w="127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$ 6.910</w:t>
            </w:r>
          </w:p>
        </w:tc>
        <w:tc>
          <w:tcPr>
            <w:tcW w:w="1417"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$ 6.899</w:t>
            </w:r>
          </w:p>
        </w:tc>
        <w:tc>
          <w:tcPr>
            <w:tcW w:w="1418"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$ 6.885</w:t>
            </w:r>
          </w:p>
        </w:tc>
        <w:tc>
          <w:tcPr>
            <w:tcW w:w="126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$ 6.840</w:t>
            </w:r>
          </w:p>
        </w:tc>
      </w:tr>
      <w:tr w:rsidR="005129EB" w:rsidRPr="00FD61FF" w:rsidTr="00FD61FF">
        <w:trPr>
          <w:trHeight w:val="115"/>
        </w:trPr>
        <w:tc>
          <w:tcPr>
            <w:tcW w:w="4116" w:type="dxa"/>
            <w:shd w:val="clear" w:color="auto" w:fill="auto"/>
            <w:noWrap/>
            <w:vAlign w:val="center"/>
            <w:hideMark/>
          </w:tcPr>
          <w:p w:rsidR="005129EB" w:rsidRPr="00FD61FF" w:rsidRDefault="00FD61FF" w:rsidP="004652A6">
            <w:pPr>
              <w:spacing w:after="0" w:line="240" w:lineRule="auto"/>
              <w:jc w:val="both"/>
              <w:rPr>
                <w:rFonts w:eastAsia="Times New Roman" w:cs="Arial"/>
                <w:color w:val="000000"/>
                <w:sz w:val="18"/>
                <w:szCs w:val="18"/>
                <w:lang w:val="es-CO" w:eastAsia="es-CO"/>
              </w:rPr>
            </w:pPr>
            <w:r w:rsidRPr="00FD61FF">
              <w:rPr>
                <w:rFonts w:eastAsia="Times New Roman" w:cs="Arial"/>
                <w:color w:val="000000"/>
                <w:sz w:val="18"/>
                <w:szCs w:val="18"/>
                <w:lang w:val="es-CO" w:eastAsia="es-CO"/>
              </w:rPr>
              <w:t>Oficina Asesora Jurídica</w:t>
            </w:r>
          </w:p>
        </w:tc>
        <w:tc>
          <w:tcPr>
            <w:tcW w:w="127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$ 10.027</w:t>
            </w:r>
          </w:p>
        </w:tc>
        <w:tc>
          <w:tcPr>
            <w:tcW w:w="1417"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$ 9.834</w:t>
            </w:r>
          </w:p>
        </w:tc>
        <w:tc>
          <w:tcPr>
            <w:tcW w:w="1418"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$ 9.760</w:t>
            </w:r>
          </w:p>
        </w:tc>
        <w:tc>
          <w:tcPr>
            <w:tcW w:w="126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$ 9.724</w:t>
            </w:r>
          </w:p>
        </w:tc>
      </w:tr>
      <w:tr w:rsidR="005129EB" w:rsidRPr="00FD61FF" w:rsidTr="00FD61FF">
        <w:trPr>
          <w:trHeight w:val="115"/>
        </w:trPr>
        <w:tc>
          <w:tcPr>
            <w:tcW w:w="4116" w:type="dxa"/>
            <w:shd w:val="clear" w:color="auto" w:fill="auto"/>
            <w:noWrap/>
            <w:vAlign w:val="center"/>
            <w:hideMark/>
          </w:tcPr>
          <w:p w:rsidR="005129EB" w:rsidRPr="00FD61FF" w:rsidRDefault="00FD61FF" w:rsidP="004652A6">
            <w:pPr>
              <w:spacing w:after="0" w:line="240" w:lineRule="auto"/>
              <w:jc w:val="both"/>
              <w:rPr>
                <w:rFonts w:eastAsia="Times New Roman" w:cs="Arial"/>
                <w:color w:val="000000"/>
                <w:sz w:val="18"/>
                <w:szCs w:val="18"/>
                <w:lang w:val="es-CO" w:eastAsia="es-CO"/>
              </w:rPr>
            </w:pPr>
            <w:r w:rsidRPr="00FD61FF">
              <w:rPr>
                <w:rFonts w:eastAsia="Times New Roman" w:cs="Arial"/>
                <w:color w:val="000000"/>
                <w:sz w:val="18"/>
                <w:szCs w:val="18"/>
                <w:lang w:val="es-CO" w:eastAsia="es-CO"/>
              </w:rPr>
              <w:t>Secretaria General</w:t>
            </w:r>
          </w:p>
        </w:tc>
        <w:tc>
          <w:tcPr>
            <w:tcW w:w="127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$ 75</w:t>
            </w:r>
          </w:p>
        </w:tc>
        <w:tc>
          <w:tcPr>
            <w:tcW w:w="1417"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$ 66</w:t>
            </w:r>
          </w:p>
        </w:tc>
        <w:tc>
          <w:tcPr>
            <w:tcW w:w="1418"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$ 64</w:t>
            </w:r>
          </w:p>
        </w:tc>
        <w:tc>
          <w:tcPr>
            <w:tcW w:w="126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$ 64</w:t>
            </w:r>
          </w:p>
        </w:tc>
      </w:tr>
      <w:tr w:rsidR="005129EB" w:rsidRPr="00FD61FF" w:rsidTr="00FD61FF">
        <w:trPr>
          <w:trHeight w:val="115"/>
        </w:trPr>
        <w:tc>
          <w:tcPr>
            <w:tcW w:w="4116" w:type="dxa"/>
            <w:shd w:val="clear" w:color="auto" w:fill="auto"/>
            <w:noWrap/>
            <w:vAlign w:val="center"/>
            <w:hideMark/>
          </w:tcPr>
          <w:p w:rsidR="005129EB" w:rsidRPr="00FD61FF" w:rsidRDefault="00FD61FF" w:rsidP="004652A6">
            <w:pPr>
              <w:spacing w:after="0" w:line="240" w:lineRule="auto"/>
              <w:jc w:val="both"/>
              <w:rPr>
                <w:rFonts w:eastAsia="Times New Roman" w:cs="Arial"/>
                <w:color w:val="000000"/>
                <w:sz w:val="18"/>
                <w:szCs w:val="18"/>
                <w:lang w:val="es-CO" w:eastAsia="es-CO"/>
              </w:rPr>
            </w:pPr>
            <w:r w:rsidRPr="00FD61FF">
              <w:rPr>
                <w:rFonts w:eastAsia="Times New Roman" w:cs="Arial"/>
                <w:color w:val="000000"/>
                <w:sz w:val="18"/>
                <w:szCs w:val="18"/>
                <w:lang w:val="es-CO" w:eastAsia="es-CO"/>
              </w:rPr>
              <w:t>Subdirección De Monitoreo Y Evaluación</w:t>
            </w:r>
          </w:p>
        </w:tc>
        <w:tc>
          <w:tcPr>
            <w:tcW w:w="127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$ 4.022</w:t>
            </w:r>
          </w:p>
        </w:tc>
        <w:tc>
          <w:tcPr>
            <w:tcW w:w="1417"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$ 4.022</w:t>
            </w:r>
          </w:p>
        </w:tc>
        <w:tc>
          <w:tcPr>
            <w:tcW w:w="1418"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$ 4.022</w:t>
            </w:r>
          </w:p>
        </w:tc>
        <w:tc>
          <w:tcPr>
            <w:tcW w:w="1266" w:type="dxa"/>
            <w:shd w:val="clear" w:color="auto" w:fill="auto"/>
            <w:noWrap/>
            <w:vAlign w:val="center"/>
            <w:hideMark/>
          </w:tcPr>
          <w:p w:rsidR="005129EB" w:rsidRPr="00FD61FF" w:rsidRDefault="00FD61FF" w:rsidP="004652A6">
            <w:pPr>
              <w:spacing w:after="0" w:line="240" w:lineRule="auto"/>
              <w:jc w:val="right"/>
              <w:rPr>
                <w:rFonts w:eastAsia="Times New Roman" w:cs="Arial"/>
                <w:color w:val="000000"/>
                <w:sz w:val="18"/>
                <w:szCs w:val="18"/>
                <w:lang w:val="es-CO" w:eastAsia="es-CO"/>
              </w:rPr>
            </w:pPr>
            <w:r w:rsidRPr="00FD61FF">
              <w:rPr>
                <w:rFonts w:eastAsia="Times New Roman" w:cs="Arial"/>
                <w:color w:val="000000"/>
                <w:sz w:val="18"/>
                <w:szCs w:val="18"/>
                <w:lang w:val="es-CO" w:eastAsia="es-CO"/>
              </w:rPr>
              <w:t>$ 3.595</w:t>
            </w:r>
          </w:p>
        </w:tc>
      </w:tr>
      <w:tr w:rsidR="005129EB" w:rsidRPr="00FD61FF" w:rsidTr="00FD61FF">
        <w:trPr>
          <w:trHeight w:val="115"/>
        </w:trPr>
        <w:tc>
          <w:tcPr>
            <w:tcW w:w="4116" w:type="dxa"/>
            <w:shd w:val="clear" w:color="auto" w:fill="auto"/>
            <w:noWrap/>
            <w:vAlign w:val="center"/>
            <w:hideMark/>
          </w:tcPr>
          <w:p w:rsidR="005129EB" w:rsidRPr="00FD61FF" w:rsidRDefault="00FD61FF" w:rsidP="004652A6">
            <w:pPr>
              <w:spacing w:after="0" w:line="240" w:lineRule="auto"/>
              <w:jc w:val="both"/>
              <w:rPr>
                <w:rFonts w:eastAsia="Times New Roman" w:cs="Arial"/>
                <w:b/>
                <w:bCs/>
                <w:color w:val="000000"/>
                <w:sz w:val="18"/>
                <w:szCs w:val="18"/>
                <w:lang w:val="es-CO" w:eastAsia="es-CO"/>
              </w:rPr>
            </w:pPr>
            <w:r w:rsidRPr="00FD61FF">
              <w:rPr>
                <w:rFonts w:eastAsia="Times New Roman" w:cs="Arial"/>
                <w:b/>
                <w:bCs/>
                <w:color w:val="000000"/>
                <w:sz w:val="18"/>
                <w:szCs w:val="18"/>
                <w:lang w:val="es-CO" w:eastAsia="es-CO"/>
              </w:rPr>
              <w:t>Total</w:t>
            </w:r>
          </w:p>
        </w:tc>
        <w:tc>
          <w:tcPr>
            <w:tcW w:w="1276" w:type="dxa"/>
            <w:shd w:val="clear" w:color="auto" w:fill="auto"/>
            <w:noWrap/>
            <w:vAlign w:val="center"/>
            <w:hideMark/>
          </w:tcPr>
          <w:p w:rsidR="005129EB" w:rsidRPr="00FD61FF" w:rsidRDefault="00FD61FF" w:rsidP="004652A6">
            <w:pPr>
              <w:spacing w:after="0" w:line="240" w:lineRule="auto"/>
              <w:jc w:val="right"/>
              <w:rPr>
                <w:rFonts w:eastAsia="Times New Roman" w:cs="Arial"/>
                <w:b/>
                <w:bCs/>
                <w:color w:val="000000"/>
                <w:sz w:val="18"/>
                <w:szCs w:val="18"/>
                <w:lang w:val="es-CO" w:eastAsia="es-CO"/>
              </w:rPr>
            </w:pPr>
            <w:r w:rsidRPr="00FD61FF">
              <w:rPr>
                <w:rFonts w:eastAsia="Times New Roman" w:cs="Arial"/>
                <w:b/>
                <w:bCs/>
                <w:color w:val="000000"/>
                <w:sz w:val="18"/>
                <w:szCs w:val="18"/>
                <w:lang w:val="es-CO" w:eastAsia="es-CO"/>
              </w:rPr>
              <w:t>$ 6.105.754</w:t>
            </w:r>
          </w:p>
        </w:tc>
        <w:tc>
          <w:tcPr>
            <w:tcW w:w="1417" w:type="dxa"/>
            <w:shd w:val="clear" w:color="auto" w:fill="auto"/>
            <w:noWrap/>
            <w:vAlign w:val="center"/>
            <w:hideMark/>
          </w:tcPr>
          <w:p w:rsidR="005129EB" w:rsidRPr="00FD61FF" w:rsidRDefault="00FD61FF" w:rsidP="004652A6">
            <w:pPr>
              <w:spacing w:after="0" w:line="240" w:lineRule="auto"/>
              <w:jc w:val="right"/>
              <w:rPr>
                <w:rFonts w:eastAsia="Times New Roman" w:cs="Arial"/>
                <w:b/>
                <w:bCs/>
                <w:color w:val="000000"/>
                <w:sz w:val="18"/>
                <w:szCs w:val="18"/>
                <w:lang w:val="es-CO" w:eastAsia="es-CO"/>
              </w:rPr>
            </w:pPr>
            <w:r w:rsidRPr="00FD61FF">
              <w:rPr>
                <w:rFonts w:eastAsia="Times New Roman" w:cs="Arial"/>
                <w:b/>
                <w:bCs/>
                <w:color w:val="000000"/>
                <w:sz w:val="18"/>
                <w:szCs w:val="18"/>
                <w:lang w:val="es-CO" w:eastAsia="es-CO"/>
              </w:rPr>
              <w:t>$ 6.079.377</w:t>
            </w:r>
          </w:p>
        </w:tc>
        <w:tc>
          <w:tcPr>
            <w:tcW w:w="1418" w:type="dxa"/>
            <w:shd w:val="clear" w:color="auto" w:fill="auto"/>
            <w:noWrap/>
            <w:vAlign w:val="center"/>
            <w:hideMark/>
          </w:tcPr>
          <w:p w:rsidR="005129EB" w:rsidRPr="00FD61FF" w:rsidRDefault="00FD61FF" w:rsidP="004652A6">
            <w:pPr>
              <w:spacing w:after="0" w:line="240" w:lineRule="auto"/>
              <w:jc w:val="right"/>
              <w:rPr>
                <w:rFonts w:eastAsia="Times New Roman" w:cs="Arial"/>
                <w:b/>
                <w:bCs/>
                <w:color w:val="000000"/>
                <w:sz w:val="18"/>
                <w:szCs w:val="18"/>
                <w:lang w:val="es-CO" w:eastAsia="es-CO"/>
              </w:rPr>
            </w:pPr>
            <w:r w:rsidRPr="00FD61FF">
              <w:rPr>
                <w:rFonts w:eastAsia="Times New Roman" w:cs="Arial"/>
                <w:b/>
                <w:bCs/>
                <w:color w:val="000000"/>
                <w:sz w:val="18"/>
                <w:szCs w:val="18"/>
                <w:lang w:val="es-CO" w:eastAsia="es-CO"/>
              </w:rPr>
              <w:t>$ 5.985.436</w:t>
            </w:r>
          </w:p>
        </w:tc>
        <w:tc>
          <w:tcPr>
            <w:tcW w:w="1266" w:type="dxa"/>
            <w:shd w:val="clear" w:color="auto" w:fill="auto"/>
            <w:noWrap/>
            <w:vAlign w:val="center"/>
            <w:hideMark/>
          </w:tcPr>
          <w:p w:rsidR="005129EB" w:rsidRPr="00FD61FF" w:rsidRDefault="00FD61FF" w:rsidP="004652A6">
            <w:pPr>
              <w:spacing w:after="0" w:line="240" w:lineRule="auto"/>
              <w:jc w:val="right"/>
              <w:rPr>
                <w:rFonts w:eastAsia="Times New Roman" w:cs="Arial"/>
                <w:b/>
                <w:bCs/>
                <w:color w:val="000000"/>
                <w:sz w:val="18"/>
                <w:szCs w:val="18"/>
                <w:lang w:val="es-CO" w:eastAsia="es-CO"/>
              </w:rPr>
            </w:pPr>
            <w:r w:rsidRPr="00FD61FF">
              <w:rPr>
                <w:rFonts w:eastAsia="Times New Roman" w:cs="Arial"/>
                <w:b/>
                <w:bCs/>
                <w:color w:val="000000"/>
                <w:sz w:val="18"/>
                <w:szCs w:val="18"/>
                <w:lang w:val="es-CO" w:eastAsia="es-CO"/>
              </w:rPr>
              <w:t>$ 5.904.030</w:t>
            </w:r>
          </w:p>
        </w:tc>
      </w:tr>
    </w:tbl>
    <w:p w:rsidR="005129EB" w:rsidRPr="00FD61FF" w:rsidRDefault="00FD61FF" w:rsidP="005129EB">
      <w:pPr>
        <w:spacing w:after="0" w:line="240" w:lineRule="auto"/>
        <w:rPr>
          <w:rFonts w:cs="Arial"/>
          <w:sz w:val="16"/>
          <w:szCs w:val="16"/>
        </w:rPr>
      </w:pPr>
      <w:r>
        <w:rPr>
          <w:rFonts w:cs="Arial"/>
          <w:sz w:val="16"/>
          <w:szCs w:val="16"/>
        </w:rPr>
        <w:t>C</w:t>
      </w:r>
      <w:r w:rsidR="005129EB" w:rsidRPr="00FD61FF">
        <w:rPr>
          <w:rFonts w:cs="Arial"/>
          <w:sz w:val="16"/>
          <w:szCs w:val="16"/>
        </w:rPr>
        <w:t>ifras en millones de $</w:t>
      </w:r>
    </w:p>
    <w:p w:rsidR="005129EB" w:rsidRPr="00FD61FF" w:rsidRDefault="005129EB" w:rsidP="005129EB">
      <w:pPr>
        <w:rPr>
          <w:rFonts w:cs="Arial"/>
          <w:sz w:val="16"/>
          <w:szCs w:val="16"/>
        </w:rPr>
      </w:pPr>
      <w:r w:rsidRPr="00FD61FF">
        <w:rPr>
          <w:rFonts w:cs="Arial"/>
          <w:sz w:val="16"/>
          <w:szCs w:val="16"/>
        </w:rPr>
        <w:t>Fuente SI</w:t>
      </w:r>
      <w:r w:rsidR="00F406C5">
        <w:rPr>
          <w:rFonts w:cs="Arial"/>
          <w:sz w:val="16"/>
          <w:szCs w:val="16"/>
        </w:rPr>
        <w:t>IF NACION - 31 de diciembre 2017</w:t>
      </w:r>
    </w:p>
    <w:p w:rsidR="005129EB" w:rsidRPr="007608C2" w:rsidRDefault="005129EB" w:rsidP="005129EB">
      <w:pPr>
        <w:jc w:val="both"/>
        <w:rPr>
          <w:rFonts w:cs="Arial"/>
        </w:rPr>
      </w:pPr>
      <w:r w:rsidRPr="007608C2">
        <w:rPr>
          <w:rFonts w:cs="Arial"/>
        </w:rPr>
        <w:lastRenderedPageBreak/>
        <w:t>De la apropiación final asignada al ICBF para la vigencia 2017, el 65,12% se asignó a la Dirección de Primera Infancia, el 13,37% a la Dirección de Protección, el 10,09% a la Di</w:t>
      </w:r>
      <w:r w:rsidR="00FD61FF">
        <w:rPr>
          <w:rFonts w:cs="Arial"/>
        </w:rPr>
        <w:t xml:space="preserve">rección de Gestión Humana y el </w:t>
      </w:r>
      <w:r w:rsidRPr="007608C2">
        <w:rPr>
          <w:rFonts w:cs="Arial"/>
        </w:rPr>
        <w:t>11,42% a áreas restantes.</w:t>
      </w:r>
    </w:p>
    <w:p w:rsidR="005129EB" w:rsidRPr="007608C2" w:rsidRDefault="005129EB" w:rsidP="005129EB">
      <w:pPr>
        <w:jc w:val="both"/>
        <w:rPr>
          <w:rFonts w:cs="Arial"/>
        </w:rPr>
      </w:pPr>
      <w:r w:rsidRPr="007608C2">
        <w:rPr>
          <w:rFonts w:cs="Arial"/>
        </w:rPr>
        <w:t>El comportamiento de los compromisos, obligaciones y pagos de cada área, es equivalente al comportamiento de la apropiación, es decir el porcentaje de registros logrados con corte al 31 de diciembre de 2017 corresponde al  nivel de la apropiación asignada,  fue así que con los recursos asignados a la Dirección de Primera Infancia se realizaron registros presupuestales equivalentes al 65% de los $ 6 billones 79.377 millones y se efectuaron obligaciones y pagos por el orden del 64% del total nacional.</w:t>
      </w:r>
    </w:p>
    <w:p w:rsidR="005129EB" w:rsidRPr="007608C2" w:rsidRDefault="005129EB" w:rsidP="005129EB">
      <w:pPr>
        <w:jc w:val="both"/>
        <w:rPr>
          <w:rFonts w:cs="Arial"/>
        </w:rPr>
      </w:pPr>
      <w:r w:rsidRPr="007608C2">
        <w:rPr>
          <w:rFonts w:cs="Arial"/>
        </w:rPr>
        <w:t>Teniendo en cuenta las cifras reportadas anteriormente se evidencia que los recursos apropiados las áreas misionales del ICBF (Primera Infancia y Protección) manejaron el 78,5% de la apropiación, es decir cerca de $ 4 billones 793 mil millones, reflejado en la cobertura de los servicios que se prestan a nivel nacional.</w:t>
      </w:r>
    </w:p>
    <w:p w:rsidR="005129EB" w:rsidRPr="007608C2" w:rsidRDefault="00FD61FF" w:rsidP="005129EB">
      <w:pPr>
        <w:jc w:val="both"/>
        <w:rPr>
          <w:rFonts w:cs="Arial"/>
          <w:b/>
        </w:rPr>
      </w:pPr>
      <w:r>
        <w:rPr>
          <w:rFonts w:cs="Arial"/>
          <w:b/>
        </w:rPr>
        <w:t>Indicadores de Gestión</w:t>
      </w:r>
    </w:p>
    <w:p w:rsidR="005129EB" w:rsidRPr="007608C2" w:rsidRDefault="005129EB" w:rsidP="005129EB">
      <w:pPr>
        <w:jc w:val="both"/>
        <w:rPr>
          <w:rFonts w:cs="Arial"/>
        </w:rPr>
      </w:pPr>
      <w:r w:rsidRPr="007608C2">
        <w:rPr>
          <w:rFonts w:cs="Arial"/>
        </w:rPr>
        <w:t>Los Indicadores de gestión del portal de transparencia de la Presidencia de la República, evalúan la ejecución presupuestal de diferentes entidades del Estado con base en los compromisos presupuestales y las obligaciones generadas por cada entidad frente a la apropiación vigente.</w:t>
      </w:r>
    </w:p>
    <w:p w:rsidR="005129EB" w:rsidRPr="007608C2" w:rsidRDefault="005129EB" w:rsidP="005129EB">
      <w:pPr>
        <w:jc w:val="both"/>
        <w:rPr>
          <w:rFonts w:cs="Arial"/>
        </w:rPr>
      </w:pPr>
      <w:r w:rsidRPr="007608C2">
        <w:rPr>
          <w:rFonts w:cs="Arial"/>
        </w:rPr>
        <w:t xml:space="preserve">El ICBF forma parte del Sector de la Inclusión Social y la Reconciliación con el Departamento Administrativo para la Prosperidad Social (DPS), la Unidad Administrativa Especial para la Consolidación (UAEC), la Agencia Nacional para la Superación de la Pobreza Extrema (ANSPE), la Unidad de Atención y Reparación Integral a las Víctimas (UARIV), el Centro de Memoria Histórica (CMH) y la Dirección de Gestión Territorial (DGT). </w:t>
      </w:r>
    </w:p>
    <w:p w:rsidR="005129EB" w:rsidRPr="007608C2" w:rsidRDefault="005129EB" w:rsidP="005129EB">
      <w:pPr>
        <w:jc w:val="both"/>
        <w:rPr>
          <w:rFonts w:cs="Arial"/>
        </w:rPr>
      </w:pPr>
      <w:r w:rsidRPr="007608C2">
        <w:rPr>
          <w:rFonts w:cs="Arial"/>
        </w:rPr>
        <w:t>Los indicadores de compromisos presupuestales y obligaciones con corte al 31 de diciembre de 2017, del Portal de Transparencia Económica de la Presidencia de la República, para el Sector de la Inclusión Social y la Reconciliación en general y para el ICBF en particular, presenta los siguientes resultados:</w:t>
      </w:r>
      <w:r w:rsidRPr="007608C2">
        <w:rPr>
          <w:rFonts w:cs="Arial"/>
          <w:noProof/>
          <w:lang w:eastAsia="es-ES"/>
        </w:rPr>
        <w:fldChar w:fldCharType="begin"/>
      </w:r>
      <w:r w:rsidRPr="007608C2">
        <w:rPr>
          <w:rFonts w:cs="Arial"/>
          <w:noProof/>
          <w:lang w:eastAsia="es-ES"/>
        </w:rPr>
        <w:instrText xml:space="preserve"> LINK Excel.Sheet.12 "Libro1" "Hoja1!F6C3:F8C13" \a \f 4 \h  \* MERGEFORMAT </w:instrText>
      </w:r>
      <w:r w:rsidRPr="007608C2">
        <w:rPr>
          <w:rFonts w:cs="Arial"/>
          <w:noProof/>
          <w:lang w:eastAsia="es-ES"/>
        </w:rPr>
        <w:fldChar w:fldCharType="separate"/>
      </w:r>
      <w:r w:rsidRPr="007608C2">
        <w:rPr>
          <w:rFonts w:cs="Arial"/>
          <w:noProof/>
          <w:lang w:eastAsia="es-ES"/>
        </w:rPr>
        <w:fldChar w:fldCharType="begin"/>
      </w:r>
      <w:r w:rsidRPr="007608C2">
        <w:rPr>
          <w:rFonts w:cs="Arial"/>
          <w:noProof/>
          <w:lang w:eastAsia="es-ES"/>
        </w:rPr>
        <w:instrText xml:space="preserve"> LINK Excel.Sheet.12 "C:\\Users\\Daniel.Buitrago\\AppData\\Local\\Microsoft\\Windows\\INetCache\\Content.Outlook\\Y1YEPRVW\\EJECUCION PRESUPUESTAL DEFINITIVA  2017 AREAS.xlsx" "Hoja2!F2C9:F5C21" \a \f 4 \h  \* MERGEFORMAT </w:instrText>
      </w:r>
      <w:r w:rsidRPr="007608C2">
        <w:rPr>
          <w:rFonts w:cs="Arial"/>
          <w:noProof/>
          <w:lang w:eastAsia="es-ES"/>
        </w:rPr>
        <w:fldChar w:fldCharType="separate"/>
      </w:r>
    </w:p>
    <w:tbl>
      <w:tblPr>
        <w:tblW w:w="9310"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902"/>
        <w:gridCol w:w="637"/>
        <w:gridCol w:w="807"/>
        <w:gridCol w:w="685"/>
        <w:gridCol w:w="549"/>
        <w:gridCol w:w="628"/>
        <w:gridCol w:w="589"/>
        <w:gridCol w:w="530"/>
        <w:gridCol w:w="735"/>
        <w:gridCol w:w="522"/>
        <w:gridCol w:w="646"/>
        <w:gridCol w:w="568"/>
        <w:gridCol w:w="512"/>
      </w:tblGrid>
      <w:tr w:rsidR="005129EB" w:rsidRPr="002F4157" w:rsidTr="002F4157">
        <w:trPr>
          <w:trHeight w:val="246"/>
        </w:trPr>
        <w:tc>
          <w:tcPr>
            <w:tcW w:w="9310" w:type="dxa"/>
            <w:gridSpan w:val="13"/>
            <w:shd w:val="clear" w:color="auto" w:fill="76922E"/>
            <w:noWrap/>
            <w:vAlign w:val="center"/>
            <w:hideMark/>
          </w:tcPr>
          <w:p w:rsidR="005129EB" w:rsidRPr="002F4157" w:rsidRDefault="005129EB" w:rsidP="00FD61FF">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eastAsia="es-CO"/>
              </w:rPr>
              <w:t>Vigencia 2017</w:t>
            </w:r>
          </w:p>
        </w:tc>
      </w:tr>
      <w:tr w:rsidR="002F4157" w:rsidRPr="002F4157" w:rsidTr="002F4157">
        <w:trPr>
          <w:trHeight w:val="246"/>
        </w:trPr>
        <w:tc>
          <w:tcPr>
            <w:tcW w:w="1902" w:type="dxa"/>
            <w:shd w:val="clear" w:color="auto" w:fill="E2EFDA"/>
            <w:noWrap/>
            <w:vAlign w:val="center"/>
            <w:hideMark/>
          </w:tcPr>
          <w:p w:rsidR="005129EB" w:rsidRPr="002F4157" w:rsidRDefault="00FD61FF" w:rsidP="004652A6">
            <w:pPr>
              <w:spacing w:after="0" w:line="240" w:lineRule="auto"/>
              <w:jc w:val="both"/>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Indicador</w:t>
            </w:r>
          </w:p>
        </w:tc>
        <w:tc>
          <w:tcPr>
            <w:tcW w:w="637" w:type="dxa"/>
            <w:shd w:val="clear" w:color="auto" w:fill="E2EFDA"/>
            <w:noWrap/>
            <w:vAlign w:val="center"/>
            <w:hideMark/>
          </w:tcPr>
          <w:p w:rsidR="005129EB" w:rsidRPr="002F4157" w:rsidRDefault="00FD61FF"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Enero</w:t>
            </w:r>
          </w:p>
        </w:tc>
        <w:tc>
          <w:tcPr>
            <w:tcW w:w="807" w:type="dxa"/>
            <w:shd w:val="clear" w:color="auto" w:fill="E2EFDA"/>
            <w:noWrap/>
            <w:vAlign w:val="center"/>
            <w:hideMark/>
          </w:tcPr>
          <w:p w:rsidR="005129EB" w:rsidRPr="002F4157" w:rsidRDefault="00FD61FF"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Febrero</w:t>
            </w:r>
          </w:p>
        </w:tc>
        <w:tc>
          <w:tcPr>
            <w:tcW w:w="685" w:type="dxa"/>
            <w:shd w:val="clear" w:color="auto" w:fill="E2EFDA"/>
            <w:noWrap/>
            <w:vAlign w:val="center"/>
            <w:hideMark/>
          </w:tcPr>
          <w:p w:rsidR="005129EB" w:rsidRPr="002F4157" w:rsidRDefault="00FD61FF"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Marzo</w:t>
            </w:r>
          </w:p>
        </w:tc>
        <w:tc>
          <w:tcPr>
            <w:tcW w:w="549" w:type="dxa"/>
            <w:shd w:val="clear" w:color="auto" w:fill="E2EFDA"/>
            <w:noWrap/>
            <w:vAlign w:val="center"/>
            <w:hideMark/>
          </w:tcPr>
          <w:p w:rsidR="005129EB" w:rsidRPr="002F4157" w:rsidRDefault="00FD61FF"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Abril</w:t>
            </w:r>
          </w:p>
        </w:tc>
        <w:tc>
          <w:tcPr>
            <w:tcW w:w="628" w:type="dxa"/>
            <w:shd w:val="clear" w:color="auto" w:fill="E2EFDA"/>
            <w:noWrap/>
            <w:vAlign w:val="center"/>
            <w:hideMark/>
          </w:tcPr>
          <w:p w:rsidR="005129EB" w:rsidRPr="002F4157" w:rsidRDefault="00FD61FF"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Mayo</w:t>
            </w:r>
          </w:p>
        </w:tc>
        <w:tc>
          <w:tcPr>
            <w:tcW w:w="589" w:type="dxa"/>
            <w:shd w:val="clear" w:color="auto" w:fill="E2EFDA"/>
            <w:noWrap/>
            <w:vAlign w:val="center"/>
            <w:hideMark/>
          </w:tcPr>
          <w:p w:rsidR="005129EB" w:rsidRPr="002F4157" w:rsidRDefault="00FD61FF"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Junio</w:t>
            </w:r>
          </w:p>
        </w:tc>
        <w:tc>
          <w:tcPr>
            <w:tcW w:w="530" w:type="dxa"/>
            <w:shd w:val="clear" w:color="auto" w:fill="E2EFDA"/>
            <w:noWrap/>
            <w:vAlign w:val="center"/>
            <w:hideMark/>
          </w:tcPr>
          <w:p w:rsidR="005129EB" w:rsidRPr="002F4157" w:rsidRDefault="00FD61FF"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Julio</w:t>
            </w:r>
          </w:p>
        </w:tc>
        <w:tc>
          <w:tcPr>
            <w:tcW w:w="735" w:type="dxa"/>
            <w:shd w:val="clear" w:color="auto" w:fill="E2EFDA"/>
            <w:noWrap/>
            <w:vAlign w:val="center"/>
            <w:hideMark/>
          </w:tcPr>
          <w:p w:rsidR="005129EB" w:rsidRPr="002F4157" w:rsidRDefault="00FD61FF"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Agosto</w:t>
            </w:r>
          </w:p>
        </w:tc>
        <w:tc>
          <w:tcPr>
            <w:tcW w:w="522" w:type="dxa"/>
            <w:shd w:val="clear" w:color="auto" w:fill="E2EFDA"/>
            <w:noWrap/>
            <w:vAlign w:val="center"/>
            <w:hideMark/>
          </w:tcPr>
          <w:p w:rsidR="005129EB" w:rsidRPr="002F4157" w:rsidRDefault="00FD61FF"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Sept</w:t>
            </w:r>
          </w:p>
        </w:tc>
        <w:tc>
          <w:tcPr>
            <w:tcW w:w="646" w:type="dxa"/>
            <w:shd w:val="clear" w:color="auto" w:fill="E2EFDA"/>
            <w:noWrap/>
            <w:vAlign w:val="center"/>
            <w:hideMark/>
          </w:tcPr>
          <w:p w:rsidR="005129EB" w:rsidRPr="002F4157" w:rsidRDefault="00FD61FF"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Oct</w:t>
            </w:r>
          </w:p>
        </w:tc>
        <w:tc>
          <w:tcPr>
            <w:tcW w:w="568" w:type="dxa"/>
            <w:shd w:val="clear" w:color="auto" w:fill="E2EFDA"/>
            <w:noWrap/>
            <w:vAlign w:val="center"/>
            <w:hideMark/>
          </w:tcPr>
          <w:p w:rsidR="005129EB" w:rsidRPr="002F4157" w:rsidRDefault="00FD61FF"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Nov</w:t>
            </w:r>
          </w:p>
        </w:tc>
        <w:tc>
          <w:tcPr>
            <w:tcW w:w="505" w:type="dxa"/>
            <w:shd w:val="clear" w:color="auto" w:fill="E2EFDA"/>
            <w:noWrap/>
            <w:vAlign w:val="center"/>
            <w:hideMark/>
          </w:tcPr>
          <w:p w:rsidR="005129EB" w:rsidRPr="002F4157" w:rsidRDefault="00FD61FF"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Dic</w:t>
            </w:r>
          </w:p>
        </w:tc>
      </w:tr>
      <w:tr w:rsidR="005129EB" w:rsidRPr="002F4157" w:rsidTr="002F4157">
        <w:trPr>
          <w:trHeight w:val="246"/>
        </w:trPr>
        <w:tc>
          <w:tcPr>
            <w:tcW w:w="1902" w:type="dxa"/>
            <w:shd w:val="clear" w:color="auto" w:fill="auto"/>
            <w:noWrap/>
            <w:vAlign w:val="center"/>
            <w:hideMark/>
          </w:tcPr>
          <w:p w:rsidR="005129EB" w:rsidRPr="002F4157" w:rsidRDefault="005129EB"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eastAsia="es-CO"/>
              </w:rPr>
              <w:t>Compromisos Sector</w:t>
            </w:r>
          </w:p>
        </w:tc>
        <w:tc>
          <w:tcPr>
            <w:tcW w:w="637"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54,2</w:t>
            </w:r>
          </w:p>
        </w:tc>
        <w:tc>
          <w:tcPr>
            <w:tcW w:w="807"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58,2</w:t>
            </w:r>
          </w:p>
        </w:tc>
        <w:tc>
          <w:tcPr>
            <w:tcW w:w="685"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60,6</w:t>
            </w:r>
          </w:p>
        </w:tc>
        <w:tc>
          <w:tcPr>
            <w:tcW w:w="549"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62,3</w:t>
            </w:r>
          </w:p>
        </w:tc>
        <w:tc>
          <w:tcPr>
            <w:tcW w:w="628"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64</w:t>
            </w:r>
          </w:p>
        </w:tc>
        <w:tc>
          <w:tcPr>
            <w:tcW w:w="589"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67,2</w:t>
            </w:r>
          </w:p>
        </w:tc>
        <w:tc>
          <w:tcPr>
            <w:tcW w:w="530"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80,1</w:t>
            </w:r>
          </w:p>
        </w:tc>
        <w:tc>
          <w:tcPr>
            <w:tcW w:w="735"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82</w:t>
            </w:r>
          </w:p>
        </w:tc>
        <w:tc>
          <w:tcPr>
            <w:tcW w:w="522"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84,5</w:t>
            </w:r>
          </w:p>
        </w:tc>
        <w:tc>
          <w:tcPr>
            <w:tcW w:w="646"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87,7</w:t>
            </w:r>
          </w:p>
        </w:tc>
        <w:tc>
          <w:tcPr>
            <w:tcW w:w="568"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93,2</w:t>
            </w:r>
          </w:p>
        </w:tc>
        <w:tc>
          <w:tcPr>
            <w:tcW w:w="505"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98,7</w:t>
            </w:r>
          </w:p>
        </w:tc>
      </w:tr>
      <w:tr w:rsidR="002F4157" w:rsidRPr="002F4157" w:rsidTr="002F4157">
        <w:trPr>
          <w:trHeight w:val="246"/>
        </w:trPr>
        <w:tc>
          <w:tcPr>
            <w:tcW w:w="1902" w:type="dxa"/>
            <w:shd w:val="clear" w:color="auto" w:fill="auto"/>
            <w:noWrap/>
            <w:vAlign w:val="center"/>
            <w:hideMark/>
          </w:tcPr>
          <w:p w:rsidR="005129EB" w:rsidRPr="002F4157" w:rsidRDefault="005129EB"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eastAsia="es-CO"/>
              </w:rPr>
              <w:t>Compromisos ICBF</w:t>
            </w:r>
          </w:p>
        </w:tc>
        <w:tc>
          <w:tcPr>
            <w:tcW w:w="637"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76,2</w:t>
            </w:r>
          </w:p>
        </w:tc>
        <w:tc>
          <w:tcPr>
            <w:tcW w:w="807"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80,1</w:t>
            </w:r>
          </w:p>
        </w:tc>
        <w:tc>
          <w:tcPr>
            <w:tcW w:w="685"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83,7</w:t>
            </w:r>
          </w:p>
        </w:tc>
        <w:tc>
          <w:tcPr>
            <w:tcW w:w="549"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86</w:t>
            </w:r>
          </w:p>
        </w:tc>
        <w:tc>
          <w:tcPr>
            <w:tcW w:w="628"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87,6</w:t>
            </w:r>
          </w:p>
        </w:tc>
        <w:tc>
          <w:tcPr>
            <w:tcW w:w="589"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89,3</w:t>
            </w:r>
          </w:p>
        </w:tc>
        <w:tc>
          <w:tcPr>
            <w:tcW w:w="530"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90,1</w:t>
            </w:r>
          </w:p>
        </w:tc>
        <w:tc>
          <w:tcPr>
            <w:tcW w:w="735"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91,1</w:t>
            </w:r>
          </w:p>
        </w:tc>
        <w:tc>
          <w:tcPr>
            <w:tcW w:w="522" w:type="dxa"/>
            <w:tcBorders>
              <w:bottom w:val="single" w:sz="4" w:space="0" w:color="E2EFDA"/>
            </w:tcBorders>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92,5</w:t>
            </w:r>
          </w:p>
        </w:tc>
        <w:tc>
          <w:tcPr>
            <w:tcW w:w="646"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94,7</w:t>
            </w:r>
          </w:p>
        </w:tc>
        <w:tc>
          <w:tcPr>
            <w:tcW w:w="568"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96,9</w:t>
            </w:r>
          </w:p>
        </w:tc>
        <w:tc>
          <w:tcPr>
            <w:tcW w:w="505"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99,6</w:t>
            </w:r>
          </w:p>
        </w:tc>
      </w:tr>
    </w:tbl>
    <w:p w:rsidR="005129EB" w:rsidRPr="002F4157" w:rsidRDefault="005129EB" w:rsidP="005129EB">
      <w:pPr>
        <w:spacing w:after="0" w:line="240" w:lineRule="auto"/>
        <w:jc w:val="both"/>
        <w:rPr>
          <w:rFonts w:cs="Arial"/>
          <w:sz w:val="16"/>
          <w:szCs w:val="16"/>
        </w:rPr>
      </w:pPr>
      <w:r w:rsidRPr="007608C2">
        <w:rPr>
          <w:rFonts w:cs="Arial"/>
          <w:noProof/>
          <w:lang w:eastAsia="es-ES"/>
        </w:rPr>
        <w:fldChar w:fldCharType="end"/>
      </w:r>
      <w:r w:rsidRPr="007608C2">
        <w:rPr>
          <w:rFonts w:cs="Arial"/>
          <w:noProof/>
          <w:lang w:eastAsia="es-ES"/>
        </w:rPr>
        <w:fldChar w:fldCharType="end"/>
      </w:r>
      <w:r w:rsidRPr="007608C2">
        <w:rPr>
          <w:rFonts w:cs="Arial"/>
          <w:sz w:val="16"/>
        </w:rPr>
        <w:t xml:space="preserve"> </w:t>
      </w:r>
      <w:r w:rsidRPr="002F4157">
        <w:rPr>
          <w:rFonts w:cs="Arial"/>
          <w:sz w:val="16"/>
          <w:szCs w:val="16"/>
        </w:rPr>
        <w:t>Fuente: Portal de Transparencia Económica</w:t>
      </w:r>
    </w:p>
    <w:p w:rsidR="005129EB" w:rsidRPr="007608C2" w:rsidRDefault="005129EB" w:rsidP="005129EB">
      <w:pPr>
        <w:spacing w:before="100" w:beforeAutospacing="1" w:after="100" w:afterAutospacing="1" w:line="240" w:lineRule="auto"/>
        <w:jc w:val="both"/>
        <w:rPr>
          <w:rFonts w:cs="Arial"/>
          <w:lang w:val="es-CO" w:eastAsia="es-CO"/>
        </w:rPr>
      </w:pPr>
      <w:r w:rsidRPr="007608C2">
        <w:rPr>
          <w:rFonts w:cs="Arial"/>
          <w:noProof/>
          <w:lang w:eastAsia="es-ES"/>
        </w:rPr>
        <w:t>El indicador de compromisos del sector establece un promedio general en la vigencia 2017 para todas las entidades del Sector, como se evidencia en cuadro anterior, el ICBF en la vigencia superó los promedios propuestos por el Portal de Transparencia.</w:t>
      </w:r>
      <w:r w:rsidRPr="007608C2">
        <w:rPr>
          <w:rFonts w:cs="Arial"/>
        </w:rPr>
        <w:fldChar w:fldCharType="begin"/>
      </w:r>
      <w:r w:rsidRPr="007608C2">
        <w:rPr>
          <w:rFonts w:cs="Arial"/>
        </w:rPr>
        <w:instrText xml:space="preserve"> LINK Excel.Sheet.12 "Libro1" "Hoja1!F11C3:F13C13" \a \f 4 \h  \* MERGEFORMAT </w:instrText>
      </w:r>
      <w:r w:rsidRPr="007608C2">
        <w:rPr>
          <w:rFonts w:cs="Arial"/>
        </w:rPr>
        <w:fldChar w:fldCharType="separate"/>
      </w:r>
      <w:r w:rsidRPr="007608C2">
        <w:rPr>
          <w:rFonts w:cs="Arial"/>
        </w:rPr>
        <w:fldChar w:fldCharType="begin"/>
      </w:r>
      <w:r w:rsidRPr="007608C2">
        <w:rPr>
          <w:rFonts w:cs="Arial"/>
        </w:rPr>
        <w:instrText xml:space="preserve"> LINK Excel.Sheet.12 "C:\\Users\\Daniel.Buitrago\\AppData\\Local\\Microsoft\\Windows\\INetCache\\Content.Outlook\\Y1YEPRVW\\EJECUCION PRESUPUESTAL DEFINITIVA  2017 AREAS.xlsx" "Hoja2!F8C9:F11C21" \a \f 4 \h  \* MERGEFORMAT </w:instrText>
      </w:r>
      <w:r w:rsidRPr="007608C2">
        <w:rPr>
          <w:rFonts w:cs="Arial"/>
        </w:rPr>
        <w:fldChar w:fldCharType="separate"/>
      </w:r>
    </w:p>
    <w:tbl>
      <w:tblPr>
        <w:tblW w:w="9405"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797"/>
        <w:gridCol w:w="639"/>
        <w:gridCol w:w="808"/>
        <w:gridCol w:w="687"/>
        <w:gridCol w:w="550"/>
        <w:gridCol w:w="630"/>
        <w:gridCol w:w="590"/>
        <w:gridCol w:w="531"/>
        <w:gridCol w:w="736"/>
        <w:gridCol w:w="523"/>
        <w:gridCol w:w="833"/>
        <w:gridCol w:w="564"/>
        <w:gridCol w:w="591"/>
      </w:tblGrid>
      <w:tr w:rsidR="005129EB" w:rsidRPr="002F4157" w:rsidTr="002F4157">
        <w:trPr>
          <w:trHeight w:val="241"/>
        </w:trPr>
        <w:tc>
          <w:tcPr>
            <w:tcW w:w="9405" w:type="dxa"/>
            <w:gridSpan w:val="13"/>
            <w:shd w:val="clear" w:color="auto" w:fill="76922E"/>
            <w:noWrap/>
            <w:vAlign w:val="center"/>
            <w:hideMark/>
          </w:tcPr>
          <w:p w:rsidR="005129EB" w:rsidRPr="002F4157" w:rsidRDefault="005129EB" w:rsidP="002F4157">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eastAsia="es-CO"/>
              </w:rPr>
              <w:t>Vigencia 2017</w:t>
            </w:r>
          </w:p>
        </w:tc>
      </w:tr>
      <w:tr w:rsidR="005129EB" w:rsidRPr="002F4157" w:rsidTr="002F4157">
        <w:trPr>
          <w:trHeight w:val="241"/>
        </w:trPr>
        <w:tc>
          <w:tcPr>
            <w:tcW w:w="1797" w:type="dxa"/>
            <w:shd w:val="clear" w:color="auto" w:fill="E2EFDA"/>
            <w:noWrap/>
            <w:vAlign w:val="center"/>
            <w:hideMark/>
          </w:tcPr>
          <w:p w:rsidR="005129EB" w:rsidRPr="002F4157" w:rsidRDefault="002F4157" w:rsidP="004652A6">
            <w:pPr>
              <w:spacing w:after="0" w:line="240" w:lineRule="auto"/>
              <w:jc w:val="both"/>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lastRenderedPageBreak/>
              <w:t>Indicador</w:t>
            </w:r>
          </w:p>
        </w:tc>
        <w:tc>
          <w:tcPr>
            <w:tcW w:w="639" w:type="dxa"/>
            <w:shd w:val="clear" w:color="auto" w:fill="E2EFDA"/>
            <w:noWrap/>
            <w:vAlign w:val="center"/>
            <w:hideMark/>
          </w:tcPr>
          <w:p w:rsidR="005129EB" w:rsidRPr="002F4157" w:rsidRDefault="005129EB"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Enero</w:t>
            </w:r>
          </w:p>
        </w:tc>
        <w:tc>
          <w:tcPr>
            <w:tcW w:w="808" w:type="dxa"/>
            <w:shd w:val="clear" w:color="auto" w:fill="E2EFDA"/>
            <w:noWrap/>
            <w:vAlign w:val="center"/>
            <w:hideMark/>
          </w:tcPr>
          <w:p w:rsidR="005129EB" w:rsidRPr="002F4157" w:rsidRDefault="005129EB"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Feb</w:t>
            </w:r>
          </w:p>
        </w:tc>
        <w:tc>
          <w:tcPr>
            <w:tcW w:w="687" w:type="dxa"/>
            <w:shd w:val="clear" w:color="auto" w:fill="E2EFDA"/>
            <w:noWrap/>
            <w:vAlign w:val="center"/>
            <w:hideMark/>
          </w:tcPr>
          <w:p w:rsidR="005129EB" w:rsidRPr="002F4157" w:rsidRDefault="005129EB"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Marzo</w:t>
            </w:r>
          </w:p>
        </w:tc>
        <w:tc>
          <w:tcPr>
            <w:tcW w:w="550" w:type="dxa"/>
            <w:shd w:val="clear" w:color="auto" w:fill="E2EFDA"/>
            <w:noWrap/>
            <w:vAlign w:val="center"/>
            <w:hideMark/>
          </w:tcPr>
          <w:p w:rsidR="005129EB" w:rsidRPr="002F4157" w:rsidRDefault="005129EB"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Abril</w:t>
            </w:r>
          </w:p>
        </w:tc>
        <w:tc>
          <w:tcPr>
            <w:tcW w:w="630" w:type="dxa"/>
            <w:shd w:val="clear" w:color="auto" w:fill="E2EFDA"/>
            <w:noWrap/>
            <w:vAlign w:val="center"/>
            <w:hideMark/>
          </w:tcPr>
          <w:p w:rsidR="005129EB" w:rsidRPr="002F4157" w:rsidRDefault="005129EB"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Mayo</w:t>
            </w:r>
          </w:p>
        </w:tc>
        <w:tc>
          <w:tcPr>
            <w:tcW w:w="590" w:type="dxa"/>
            <w:shd w:val="clear" w:color="auto" w:fill="E2EFDA"/>
            <w:noWrap/>
            <w:vAlign w:val="center"/>
            <w:hideMark/>
          </w:tcPr>
          <w:p w:rsidR="005129EB" w:rsidRPr="002F4157" w:rsidRDefault="005129EB"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Junio</w:t>
            </w:r>
          </w:p>
        </w:tc>
        <w:tc>
          <w:tcPr>
            <w:tcW w:w="531" w:type="dxa"/>
            <w:shd w:val="clear" w:color="auto" w:fill="E2EFDA"/>
            <w:noWrap/>
            <w:vAlign w:val="center"/>
            <w:hideMark/>
          </w:tcPr>
          <w:p w:rsidR="005129EB" w:rsidRPr="002F4157" w:rsidRDefault="005129EB"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Julio</w:t>
            </w:r>
          </w:p>
        </w:tc>
        <w:tc>
          <w:tcPr>
            <w:tcW w:w="736" w:type="dxa"/>
            <w:shd w:val="clear" w:color="auto" w:fill="E2EFDA"/>
            <w:noWrap/>
            <w:vAlign w:val="center"/>
            <w:hideMark/>
          </w:tcPr>
          <w:p w:rsidR="005129EB" w:rsidRPr="002F4157" w:rsidRDefault="005129EB"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Agos</w:t>
            </w:r>
          </w:p>
        </w:tc>
        <w:tc>
          <w:tcPr>
            <w:tcW w:w="523" w:type="dxa"/>
            <w:shd w:val="clear" w:color="auto" w:fill="E2EFDA"/>
            <w:noWrap/>
            <w:vAlign w:val="center"/>
            <w:hideMark/>
          </w:tcPr>
          <w:p w:rsidR="005129EB" w:rsidRPr="002F4157" w:rsidRDefault="005129EB"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Sept</w:t>
            </w:r>
          </w:p>
        </w:tc>
        <w:tc>
          <w:tcPr>
            <w:tcW w:w="833" w:type="dxa"/>
            <w:shd w:val="clear" w:color="auto" w:fill="E2EFDA"/>
            <w:noWrap/>
            <w:vAlign w:val="center"/>
            <w:hideMark/>
          </w:tcPr>
          <w:p w:rsidR="005129EB" w:rsidRPr="002F4157" w:rsidRDefault="005129EB"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Oct</w:t>
            </w:r>
          </w:p>
        </w:tc>
        <w:tc>
          <w:tcPr>
            <w:tcW w:w="564" w:type="dxa"/>
            <w:shd w:val="clear" w:color="auto" w:fill="E2EFDA"/>
            <w:noWrap/>
            <w:vAlign w:val="center"/>
            <w:hideMark/>
          </w:tcPr>
          <w:p w:rsidR="005129EB" w:rsidRPr="002F4157" w:rsidRDefault="005129EB"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Nov</w:t>
            </w:r>
          </w:p>
        </w:tc>
        <w:tc>
          <w:tcPr>
            <w:tcW w:w="506" w:type="dxa"/>
            <w:shd w:val="clear" w:color="auto" w:fill="E2EFDA"/>
            <w:noWrap/>
            <w:vAlign w:val="center"/>
            <w:hideMark/>
          </w:tcPr>
          <w:p w:rsidR="005129EB" w:rsidRPr="002F4157" w:rsidRDefault="005129EB" w:rsidP="004652A6">
            <w:pPr>
              <w:spacing w:after="0" w:line="240" w:lineRule="auto"/>
              <w:jc w:val="center"/>
              <w:rPr>
                <w:rFonts w:eastAsia="Times New Roman" w:cs="Arial"/>
                <w:b/>
                <w:bCs/>
                <w:color w:val="000000"/>
                <w:sz w:val="16"/>
                <w:szCs w:val="16"/>
                <w:lang w:val="es-CO" w:eastAsia="es-CO"/>
              </w:rPr>
            </w:pPr>
            <w:r w:rsidRPr="002F4157">
              <w:rPr>
                <w:rFonts w:eastAsia="Times New Roman" w:cs="Arial"/>
                <w:b/>
                <w:bCs/>
                <w:color w:val="000000"/>
                <w:sz w:val="16"/>
                <w:szCs w:val="16"/>
                <w:lang w:eastAsia="es-CO"/>
              </w:rPr>
              <w:t>Dic</w:t>
            </w:r>
          </w:p>
        </w:tc>
      </w:tr>
      <w:tr w:rsidR="005129EB" w:rsidRPr="002F4157" w:rsidTr="002F4157">
        <w:trPr>
          <w:trHeight w:val="241"/>
        </w:trPr>
        <w:tc>
          <w:tcPr>
            <w:tcW w:w="1797" w:type="dxa"/>
            <w:shd w:val="clear" w:color="auto" w:fill="auto"/>
            <w:noWrap/>
            <w:vAlign w:val="center"/>
            <w:hideMark/>
          </w:tcPr>
          <w:p w:rsidR="005129EB" w:rsidRPr="002F4157" w:rsidRDefault="005129EB"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eastAsia="es-CO"/>
              </w:rPr>
              <w:t>Obligaciones Sector</w:t>
            </w:r>
          </w:p>
        </w:tc>
        <w:tc>
          <w:tcPr>
            <w:tcW w:w="639" w:type="dxa"/>
            <w:shd w:val="clear" w:color="000000" w:fill="FFFFFF"/>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3,9</w:t>
            </w:r>
          </w:p>
        </w:tc>
        <w:tc>
          <w:tcPr>
            <w:tcW w:w="808" w:type="dxa"/>
            <w:shd w:val="clear" w:color="000000" w:fill="FFFFFF"/>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7,5</w:t>
            </w:r>
          </w:p>
        </w:tc>
        <w:tc>
          <w:tcPr>
            <w:tcW w:w="687" w:type="dxa"/>
            <w:shd w:val="clear" w:color="000000" w:fill="FFFFFF"/>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17</w:t>
            </w:r>
          </w:p>
        </w:tc>
        <w:tc>
          <w:tcPr>
            <w:tcW w:w="550" w:type="dxa"/>
            <w:shd w:val="clear" w:color="000000" w:fill="FFFFFF"/>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20,4</w:t>
            </w:r>
          </w:p>
        </w:tc>
        <w:tc>
          <w:tcPr>
            <w:tcW w:w="630" w:type="dxa"/>
            <w:shd w:val="clear" w:color="000000" w:fill="FFFFFF"/>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28,1</w:t>
            </w:r>
          </w:p>
        </w:tc>
        <w:tc>
          <w:tcPr>
            <w:tcW w:w="590" w:type="dxa"/>
            <w:shd w:val="clear" w:color="000000" w:fill="FFFFFF"/>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35,5</w:t>
            </w:r>
          </w:p>
        </w:tc>
        <w:tc>
          <w:tcPr>
            <w:tcW w:w="531" w:type="dxa"/>
            <w:shd w:val="clear" w:color="000000" w:fill="FFFFFF"/>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43,2</w:t>
            </w:r>
          </w:p>
        </w:tc>
        <w:tc>
          <w:tcPr>
            <w:tcW w:w="736" w:type="dxa"/>
            <w:shd w:val="clear" w:color="000000" w:fill="FFFFFF"/>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47,7</w:t>
            </w:r>
          </w:p>
        </w:tc>
        <w:tc>
          <w:tcPr>
            <w:tcW w:w="523" w:type="dxa"/>
            <w:shd w:val="clear" w:color="000000" w:fill="FFFFFF"/>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59,7</w:t>
            </w:r>
          </w:p>
        </w:tc>
        <w:tc>
          <w:tcPr>
            <w:tcW w:w="833" w:type="dxa"/>
            <w:shd w:val="clear" w:color="000000" w:fill="FFFFFF"/>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66,2</w:t>
            </w:r>
          </w:p>
        </w:tc>
        <w:tc>
          <w:tcPr>
            <w:tcW w:w="564" w:type="dxa"/>
            <w:shd w:val="clear" w:color="000000" w:fill="FFFFFF"/>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77,7</w:t>
            </w:r>
          </w:p>
        </w:tc>
        <w:tc>
          <w:tcPr>
            <w:tcW w:w="506"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96,3</w:t>
            </w:r>
          </w:p>
        </w:tc>
      </w:tr>
      <w:tr w:rsidR="005129EB" w:rsidRPr="002F4157" w:rsidTr="002F4157">
        <w:trPr>
          <w:trHeight w:val="241"/>
        </w:trPr>
        <w:tc>
          <w:tcPr>
            <w:tcW w:w="1797" w:type="dxa"/>
            <w:shd w:val="clear" w:color="auto" w:fill="auto"/>
            <w:noWrap/>
            <w:vAlign w:val="center"/>
            <w:hideMark/>
          </w:tcPr>
          <w:p w:rsidR="005129EB" w:rsidRPr="002F4157" w:rsidRDefault="005129EB"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eastAsia="es-CO"/>
              </w:rPr>
              <w:t>Obligaciones ICBF</w:t>
            </w:r>
          </w:p>
        </w:tc>
        <w:tc>
          <w:tcPr>
            <w:tcW w:w="639" w:type="dxa"/>
            <w:shd w:val="clear" w:color="000000" w:fill="FFFFFF"/>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3,7</w:t>
            </w:r>
          </w:p>
        </w:tc>
        <w:tc>
          <w:tcPr>
            <w:tcW w:w="808" w:type="dxa"/>
            <w:shd w:val="clear" w:color="000000" w:fill="FFFFFF"/>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9,1</w:t>
            </w:r>
          </w:p>
        </w:tc>
        <w:tc>
          <w:tcPr>
            <w:tcW w:w="687" w:type="dxa"/>
            <w:shd w:val="clear" w:color="000000" w:fill="FFFFFF"/>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19,9</w:t>
            </w:r>
          </w:p>
        </w:tc>
        <w:tc>
          <w:tcPr>
            <w:tcW w:w="550" w:type="dxa"/>
            <w:shd w:val="clear" w:color="000000" w:fill="FFFFFF"/>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23,8</w:t>
            </w:r>
          </w:p>
        </w:tc>
        <w:tc>
          <w:tcPr>
            <w:tcW w:w="630" w:type="dxa"/>
            <w:shd w:val="clear" w:color="000000" w:fill="FFFFFF"/>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34</w:t>
            </w:r>
          </w:p>
        </w:tc>
        <w:tc>
          <w:tcPr>
            <w:tcW w:w="590" w:type="dxa"/>
            <w:shd w:val="clear" w:color="000000" w:fill="FFFFFF"/>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39,8</w:t>
            </w:r>
          </w:p>
        </w:tc>
        <w:tc>
          <w:tcPr>
            <w:tcW w:w="531" w:type="dxa"/>
            <w:shd w:val="clear" w:color="000000" w:fill="FFFFFF"/>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51,5</w:t>
            </w:r>
          </w:p>
        </w:tc>
        <w:tc>
          <w:tcPr>
            <w:tcW w:w="736" w:type="dxa"/>
            <w:shd w:val="clear" w:color="000000" w:fill="FFFFFF"/>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56,4</w:t>
            </w:r>
          </w:p>
        </w:tc>
        <w:tc>
          <w:tcPr>
            <w:tcW w:w="523" w:type="dxa"/>
            <w:shd w:val="clear" w:color="000000" w:fill="FFFFFF"/>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68,5</w:t>
            </w:r>
          </w:p>
        </w:tc>
        <w:tc>
          <w:tcPr>
            <w:tcW w:w="833" w:type="dxa"/>
            <w:shd w:val="clear" w:color="000000" w:fill="FFFFFF"/>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75,3</w:t>
            </w:r>
          </w:p>
        </w:tc>
        <w:tc>
          <w:tcPr>
            <w:tcW w:w="564" w:type="dxa"/>
            <w:shd w:val="clear" w:color="000000" w:fill="FFFFFF"/>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86,1</w:t>
            </w:r>
          </w:p>
        </w:tc>
        <w:tc>
          <w:tcPr>
            <w:tcW w:w="506" w:type="dxa"/>
            <w:shd w:val="clear" w:color="000000" w:fill="FFFFFF"/>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98,02</w:t>
            </w:r>
          </w:p>
        </w:tc>
      </w:tr>
    </w:tbl>
    <w:p w:rsidR="005129EB" w:rsidRPr="002F4157" w:rsidRDefault="005129EB" w:rsidP="005129EB">
      <w:pPr>
        <w:spacing w:after="0" w:line="240" w:lineRule="auto"/>
        <w:jc w:val="both"/>
        <w:rPr>
          <w:rFonts w:cs="Arial"/>
          <w:sz w:val="16"/>
          <w:szCs w:val="16"/>
        </w:rPr>
      </w:pPr>
      <w:r w:rsidRPr="007608C2">
        <w:rPr>
          <w:rFonts w:cs="Arial"/>
        </w:rPr>
        <w:fldChar w:fldCharType="end"/>
      </w:r>
      <w:r w:rsidRPr="007608C2">
        <w:rPr>
          <w:rFonts w:cs="Arial"/>
        </w:rPr>
        <w:fldChar w:fldCharType="end"/>
      </w:r>
      <w:r w:rsidRPr="007608C2">
        <w:rPr>
          <w:rFonts w:cs="Arial"/>
        </w:rPr>
        <w:t xml:space="preserve"> </w:t>
      </w:r>
      <w:r w:rsidRPr="002F4157">
        <w:rPr>
          <w:rFonts w:cs="Arial"/>
          <w:sz w:val="16"/>
          <w:szCs w:val="16"/>
        </w:rPr>
        <w:t>Fuente: Portal de Transparencia Económica</w:t>
      </w:r>
    </w:p>
    <w:p w:rsidR="005129EB" w:rsidRPr="007608C2" w:rsidRDefault="005129EB" w:rsidP="005129EB">
      <w:pPr>
        <w:spacing w:before="100" w:beforeAutospacing="1" w:after="100" w:afterAutospacing="1" w:line="240" w:lineRule="auto"/>
        <w:jc w:val="both"/>
        <w:rPr>
          <w:rFonts w:cs="Arial"/>
          <w:noProof/>
          <w:lang w:eastAsia="es-ES"/>
        </w:rPr>
      </w:pPr>
      <w:r w:rsidRPr="007608C2">
        <w:rPr>
          <w:rFonts w:cs="Arial"/>
        </w:rPr>
        <w:t xml:space="preserve">Frente a las obligaciones, el ICBF superó el indicador del sector, en el periodo comprendido entre los </w:t>
      </w:r>
      <w:r w:rsidRPr="007608C2">
        <w:rPr>
          <w:rFonts w:cs="Arial"/>
          <w:noProof/>
          <w:lang w:eastAsia="es-ES"/>
        </w:rPr>
        <w:t>meses de febrero a diciembre de 2017.</w:t>
      </w:r>
    </w:p>
    <w:p w:rsidR="005129EB" w:rsidRPr="007608C2" w:rsidRDefault="005129EB" w:rsidP="005129EB">
      <w:pPr>
        <w:spacing w:before="100" w:beforeAutospacing="1" w:after="100" w:afterAutospacing="1" w:line="240" w:lineRule="auto"/>
        <w:jc w:val="both"/>
        <w:rPr>
          <w:rFonts w:cs="Arial"/>
          <w:b/>
          <w:lang w:eastAsia="es-ES"/>
        </w:rPr>
      </w:pPr>
      <w:bookmarkStart w:id="11" w:name="_Toc473541596"/>
      <w:r w:rsidRPr="007608C2">
        <w:rPr>
          <w:rFonts w:cs="Arial"/>
          <w:b/>
        </w:rPr>
        <w:t>Reservas Presupuestales</w:t>
      </w:r>
      <w:bookmarkEnd w:id="11"/>
    </w:p>
    <w:p w:rsidR="005129EB" w:rsidRPr="007608C2" w:rsidRDefault="005129EB" w:rsidP="005129EB">
      <w:pPr>
        <w:spacing w:before="100" w:beforeAutospacing="1" w:after="100" w:afterAutospacing="1" w:line="240" w:lineRule="auto"/>
        <w:jc w:val="both"/>
        <w:rPr>
          <w:rFonts w:cs="Arial"/>
          <w:b/>
        </w:rPr>
      </w:pPr>
      <w:r w:rsidRPr="007608C2">
        <w:rPr>
          <w:rFonts w:cs="Arial"/>
          <w:b/>
        </w:rPr>
        <w:t xml:space="preserve">Constituidas al cierre de la vigencia 2016: </w:t>
      </w:r>
    </w:p>
    <w:p w:rsidR="005129EB" w:rsidRPr="007608C2" w:rsidRDefault="005129EB" w:rsidP="005129EB">
      <w:pPr>
        <w:spacing w:before="100" w:beforeAutospacing="1" w:after="100" w:afterAutospacing="1" w:line="240" w:lineRule="auto"/>
        <w:jc w:val="both"/>
        <w:rPr>
          <w:rFonts w:cs="Arial"/>
        </w:rPr>
      </w:pPr>
      <w:r w:rsidRPr="007608C2">
        <w:rPr>
          <w:rFonts w:cs="Arial"/>
        </w:rPr>
        <w:t xml:space="preserve">Al cierre del 31 de diciembre de 2016, el ICBF constituyó reservas presupuestales potenciales por valor de $105.345 millones, de las cuales en el periodo de transición trasladó $75.613 millones como reserva real, que equivalen al 1.4% del presupuesto asignado para dicha vigencia. </w:t>
      </w:r>
    </w:p>
    <w:tbl>
      <w:tblPr>
        <w:tblW w:w="8099" w:type="dxa"/>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302"/>
        <w:gridCol w:w="1486"/>
        <w:gridCol w:w="1278"/>
        <w:gridCol w:w="1643"/>
        <w:gridCol w:w="1062"/>
        <w:gridCol w:w="1328"/>
      </w:tblGrid>
      <w:tr w:rsidR="005129EB" w:rsidRPr="002F4157" w:rsidTr="002F4157">
        <w:trPr>
          <w:trHeight w:val="50"/>
          <w:jc w:val="center"/>
        </w:trPr>
        <w:tc>
          <w:tcPr>
            <w:tcW w:w="1302" w:type="dxa"/>
            <w:shd w:val="clear" w:color="auto" w:fill="76922E"/>
            <w:vAlign w:val="center"/>
            <w:hideMark/>
          </w:tcPr>
          <w:p w:rsidR="005129EB" w:rsidRPr="002F4157" w:rsidRDefault="002F4157" w:rsidP="004652A6">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Trasladada</w:t>
            </w:r>
          </w:p>
        </w:tc>
        <w:tc>
          <w:tcPr>
            <w:tcW w:w="1486" w:type="dxa"/>
            <w:shd w:val="clear" w:color="auto" w:fill="76922E"/>
            <w:vAlign w:val="center"/>
            <w:hideMark/>
          </w:tcPr>
          <w:p w:rsidR="005129EB" w:rsidRPr="002F4157" w:rsidRDefault="002F4157" w:rsidP="004652A6">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Modificada</w:t>
            </w:r>
          </w:p>
        </w:tc>
        <w:tc>
          <w:tcPr>
            <w:tcW w:w="1278" w:type="dxa"/>
            <w:shd w:val="clear" w:color="auto" w:fill="76922E"/>
            <w:vAlign w:val="center"/>
            <w:hideMark/>
          </w:tcPr>
          <w:p w:rsidR="005129EB" w:rsidRPr="002F4157" w:rsidRDefault="002F4157" w:rsidP="004652A6">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Rva Final</w:t>
            </w:r>
          </w:p>
        </w:tc>
        <w:tc>
          <w:tcPr>
            <w:tcW w:w="1643" w:type="dxa"/>
            <w:shd w:val="clear" w:color="auto" w:fill="76922E"/>
            <w:noWrap/>
            <w:vAlign w:val="center"/>
            <w:hideMark/>
          </w:tcPr>
          <w:p w:rsidR="005129EB" w:rsidRPr="002F4157" w:rsidRDefault="002F4157" w:rsidP="004652A6">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Pagada</w:t>
            </w:r>
          </w:p>
        </w:tc>
        <w:tc>
          <w:tcPr>
            <w:tcW w:w="1062" w:type="dxa"/>
            <w:shd w:val="clear" w:color="auto" w:fill="76922E"/>
            <w:noWrap/>
            <w:vAlign w:val="center"/>
            <w:hideMark/>
          </w:tcPr>
          <w:p w:rsidR="005129EB" w:rsidRPr="002F4157" w:rsidRDefault="002F4157" w:rsidP="004652A6">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Por Pagar</w:t>
            </w:r>
          </w:p>
        </w:tc>
        <w:tc>
          <w:tcPr>
            <w:tcW w:w="1328" w:type="dxa"/>
            <w:shd w:val="clear" w:color="auto" w:fill="76922E"/>
            <w:noWrap/>
            <w:vAlign w:val="center"/>
            <w:hideMark/>
          </w:tcPr>
          <w:p w:rsidR="005129EB" w:rsidRPr="002F4157" w:rsidRDefault="002F4157" w:rsidP="004652A6">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 Ejecución</w:t>
            </w:r>
          </w:p>
        </w:tc>
      </w:tr>
      <w:tr w:rsidR="005129EB" w:rsidRPr="002F4157" w:rsidTr="002F4157">
        <w:trPr>
          <w:trHeight w:val="383"/>
          <w:jc w:val="center"/>
        </w:trPr>
        <w:tc>
          <w:tcPr>
            <w:tcW w:w="1302" w:type="dxa"/>
            <w:shd w:val="clear" w:color="auto" w:fill="auto"/>
            <w:noWrap/>
            <w:vAlign w:val="center"/>
            <w:hideMark/>
          </w:tcPr>
          <w:p w:rsidR="005129EB" w:rsidRPr="002F4157" w:rsidRDefault="005129EB" w:rsidP="002F4157">
            <w:pPr>
              <w:spacing w:before="100" w:beforeAutospacing="1" w:after="100" w:afterAutospacing="1" w:line="240" w:lineRule="auto"/>
              <w:jc w:val="center"/>
              <w:rPr>
                <w:rFonts w:eastAsia="Times New Roman" w:cs="Arial"/>
                <w:sz w:val="18"/>
                <w:szCs w:val="18"/>
                <w:lang w:val="es-CO" w:eastAsia="es-CO"/>
              </w:rPr>
            </w:pPr>
            <w:r w:rsidRPr="002F4157">
              <w:rPr>
                <w:rFonts w:eastAsia="Times New Roman" w:cs="Arial"/>
                <w:sz w:val="18"/>
                <w:szCs w:val="18"/>
                <w:lang w:val="es-CO" w:eastAsia="es-CO"/>
              </w:rPr>
              <w:t>$ 75.613</w:t>
            </w:r>
          </w:p>
        </w:tc>
        <w:tc>
          <w:tcPr>
            <w:tcW w:w="1486" w:type="dxa"/>
            <w:shd w:val="clear" w:color="auto" w:fill="auto"/>
            <w:vAlign w:val="center"/>
            <w:hideMark/>
          </w:tcPr>
          <w:p w:rsidR="005129EB" w:rsidRPr="002F4157" w:rsidRDefault="005129EB" w:rsidP="002F4157">
            <w:pPr>
              <w:spacing w:before="100" w:beforeAutospacing="1" w:after="100" w:afterAutospacing="1" w:line="240" w:lineRule="auto"/>
              <w:jc w:val="center"/>
              <w:rPr>
                <w:rFonts w:eastAsia="Times New Roman" w:cs="Arial"/>
                <w:sz w:val="18"/>
                <w:szCs w:val="18"/>
                <w:lang w:val="es-CO" w:eastAsia="es-CO"/>
              </w:rPr>
            </w:pPr>
            <w:r w:rsidRPr="002F4157">
              <w:rPr>
                <w:rFonts w:eastAsia="Times New Roman" w:cs="Arial"/>
                <w:sz w:val="18"/>
                <w:szCs w:val="18"/>
                <w:lang w:val="es-CO" w:eastAsia="es-CO"/>
              </w:rPr>
              <w:t>$ 11.586</w:t>
            </w:r>
          </w:p>
        </w:tc>
        <w:tc>
          <w:tcPr>
            <w:tcW w:w="1278" w:type="dxa"/>
            <w:shd w:val="clear" w:color="auto" w:fill="auto"/>
            <w:noWrap/>
            <w:vAlign w:val="center"/>
            <w:hideMark/>
          </w:tcPr>
          <w:p w:rsidR="005129EB" w:rsidRPr="002F4157" w:rsidRDefault="005129EB" w:rsidP="002F4157">
            <w:pPr>
              <w:spacing w:before="100" w:beforeAutospacing="1" w:after="100" w:afterAutospacing="1" w:line="240" w:lineRule="auto"/>
              <w:jc w:val="center"/>
              <w:rPr>
                <w:rFonts w:eastAsia="Times New Roman" w:cs="Arial"/>
                <w:sz w:val="18"/>
                <w:szCs w:val="18"/>
                <w:lang w:val="es-CO" w:eastAsia="es-CO"/>
              </w:rPr>
            </w:pPr>
            <w:r w:rsidRPr="002F4157">
              <w:rPr>
                <w:rFonts w:eastAsia="Times New Roman" w:cs="Arial"/>
                <w:sz w:val="18"/>
                <w:szCs w:val="18"/>
                <w:lang w:val="es-CO" w:eastAsia="es-CO"/>
              </w:rPr>
              <w:t>$ 64.027</w:t>
            </w:r>
          </w:p>
        </w:tc>
        <w:tc>
          <w:tcPr>
            <w:tcW w:w="1643" w:type="dxa"/>
            <w:shd w:val="clear" w:color="auto" w:fill="auto"/>
            <w:noWrap/>
            <w:vAlign w:val="center"/>
            <w:hideMark/>
          </w:tcPr>
          <w:p w:rsidR="005129EB" w:rsidRPr="002F4157" w:rsidRDefault="005129EB" w:rsidP="002F4157">
            <w:pPr>
              <w:spacing w:before="100" w:beforeAutospacing="1" w:after="100" w:afterAutospacing="1" w:line="240" w:lineRule="auto"/>
              <w:jc w:val="center"/>
              <w:rPr>
                <w:rFonts w:eastAsia="Times New Roman" w:cs="Arial"/>
                <w:sz w:val="18"/>
                <w:szCs w:val="18"/>
                <w:lang w:val="es-CO" w:eastAsia="es-CO"/>
              </w:rPr>
            </w:pPr>
            <w:r w:rsidRPr="002F4157">
              <w:rPr>
                <w:rFonts w:eastAsia="Times New Roman" w:cs="Arial"/>
                <w:sz w:val="18"/>
                <w:szCs w:val="18"/>
                <w:lang w:val="es-CO" w:eastAsia="es-CO"/>
              </w:rPr>
              <w:t>$ 54.087</w:t>
            </w:r>
          </w:p>
        </w:tc>
        <w:tc>
          <w:tcPr>
            <w:tcW w:w="1062" w:type="dxa"/>
            <w:shd w:val="clear" w:color="auto" w:fill="auto"/>
            <w:noWrap/>
            <w:vAlign w:val="center"/>
            <w:hideMark/>
          </w:tcPr>
          <w:p w:rsidR="005129EB" w:rsidRPr="002F4157" w:rsidRDefault="005129EB" w:rsidP="002F4157">
            <w:pPr>
              <w:spacing w:before="100" w:beforeAutospacing="1" w:after="100" w:afterAutospacing="1" w:line="240" w:lineRule="auto"/>
              <w:jc w:val="center"/>
              <w:rPr>
                <w:rFonts w:eastAsia="Times New Roman" w:cs="Arial"/>
                <w:sz w:val="18"/>
                <w:szCs w:val="18"/>
                <w:lang w:val="es-CO" w:eastAsia="es-CO"/>
              </w:rPr>
            </w:pPr>
            <w:r w:rsidRPr="002F4157">
              <w:rPr>
                <w:rFonts w:eastAsia="Times New Roman" w:cs="Arial"/>
                <w:sz w:val="18"/>
                <w:szCs w:val="18"/>
                <w:lang w:val="es-CO" w:eastAsia="es-CO"/>
              </w:rPr>
              <w:t>$9.940</w:t>
            </w:r>
          </w:p>
        </w:tc>
        <w:tc>
          <w:tcPr>
            <w:tcW w:w="1328" w:type="dxa"/>
            <w:shd w:val="clear" w:color="auto" w:fill="auto"/>
            <w:noWrap/>
            <w:vAlign w:val="center"/>
            <w:hideMark/>
          </w:tcPr>
          <w:p w:rsidR="005129EB" w:rsidRPr="002F4157" w:rsidRDefault="005129EB" w:rsidP="002F4157">
            <w:pPr>
              <w:spacing w:before="100" w:beforeAutospacing="1" w:after="100" w:afterAutospacing="1" w:line="240" w:lineRule="auto"/>
              <w:jc w:val="center"/>
              <w:rPr>
                <w:rFonts w:eastAsia="Times New Roman" w:cs="Arial"/>
                <w:sz w:val="18"/>
                <w:szCs w:val="18"/>
                <w:lang w:val="es-CO" w:eastAsia="es-CO"/>
              </w:rPr>
            </w:pPr>
            <w:r w:rsidRPr="002F4157">
              <w:rPr>
                <w:rFonts w:eastAsia="Times New Roman" w:cs="Arial"/>
                <w:sz w:val="18"/>
                <w:szCs w:val="18"/>
                <w:lang w:val="es-CO" w:eastAsia="es-CO"/>
              </w:rPr>
              <w:t>84,4%</w:t>
            </w:r>
          </w:p>
        </w:tc>
      </w:tr>
    </w:tbl>
    <w:p w:rsidR="005129EB" w:rsidRPr="002F4157" w:rsidRDefault="005129EB" w:rsidP="005129EB">
      <w:pPr>
        <w:spacing w:after="0" w:line="240" w:lineRule="auto"/>
        <w:jc w:val="both"/>
        <w:rPr>
          <w:rFonts w:cs="Arial"/>
          <w:sz w:val="16"/>
          <w:szCs w:val="16"/>
        </w:rPr>
      </w:pPr>
      <w:r w:rsidRPr="002F4157">
        <w:rPr>
          <w:rFonts w:cs="Arial"/>
          <w:sz w:val="16"/>
          <w:szCs w:val="16"/>
        </w:rPr>
        <w:t>Cifras en millones de $</w:t>
      </w:r>
    </w:p>
    <w:p w:rsidR="005129EB" w:rsidRPr="002F4157" w:rsidRDefault="005129EB" w:rsidP="005129EB">
      <w:pPr>
        <w:spacing w:after="0" w:line="240" w:lineRule="auto"/>
        <w:jc w:val="both"/>
        <w:rPr>
          <w:rFonts w:cs="Arial"/>
          <w:sz w:val="16"/>
          <w:szCs w:val="16"/>
        </w:rPr>
      </w:pPr>
      <w:r w:rsidRPr="002F4157">
        <w:rPr>
          <w:rFonts w:cs="Arial"/>
          <w:sz w:val="16"/>
          <w:szCs w:val="16"/>
        </w:rPr>
        <w:t>Fuente: SIIF NACION</w:t>
      </w:r>
    </w:p>
    <w:p w:rsidR="005129EB" w:rsidRPr="007608C2" w:rsidRDefault="005129EB" w:rsidP="005129EB">
      <w:pPr>
        <w:spacing w:after="0" w:line="240" w:lineRule="auto"/>
        <w:jc w:val="both"/>
        <w:rPr>
          <w:rFonts w:cs="Arial"/>
          <w:sz w:val="18"/>
          <w:szCs w:val="18"/>
        </w:rPr>
      </w:pPr>
    </w:p>
    <w:p w:rsidR="005129EB" w:rsidRPr="007608C2" w:rsidRDefault="005129EB" w:rsidP="005129EB">
      <w:pPr>
        <w:numPr>
          <w:ilvl w:val="2"/>
          <w:numId w:val="2"/>
        </w:numPr>
        <w:spacing w:before="100" w:beforeAutospacing="1" w:after="100" w:afterAutospacing="1" w:line="240" w:lineRule="auto"/>
        <w:jc w:val="both"/>
        <w:outlineLvl w:val="1"/>
        <w:rPr>
          <w:rFonts w:cs="Arial"/>
        </w:rPr>
      </w:pPr>
      <w:bookmarkStart w:id="12" w:name="_Toc473541597"/>
      <w:bookmarkStart w:id="13" w:name="_Toc503465473"/>
      <w:bookmarkStart w:id="14" w:name="_Toc505183029"/>
      <w:r w:rsidRPr="007608C2">
        <w:rPr>
          <w:rFonts w:cs="Arial"/>
          <w:b/>
        </w:rPr>
        <w:t>Reservas Presupuestales por Regional</w:t>
      </w:r>
      <w:bookmarkEnd w:id="12"/>
      <w:r w:rsidRPr="007608C2">
        <w:rPr>
          <w:rFonts w:cs="Arial"/>
          <w:b/>
          <w:vertAlign w:val="superscript"/>
        </w:rPr>
        <w:footnoteReference w:id="1"/>
      </w:r>
      <w:bookmarkEnd w:id="13"/>
      <w:bookmarkEnd w:id="14"/>
    </w:p>
    <w:p w:rsidR="005129EB" w:rsidRPr="007608C2" w:rsidRDefault="005129EB" w:rsidP="005129EB">
      <w:pPr>
        <w:jc w:val="both"/>
        <w:rPr>
          <w:rFonts w:cs="Arial"/>
        </w:rPr>
      </w:pPr>
      <w:r w:rsidRPr="007608C2">
        <w:rPr>
          <w:rFonts w:cs="Arial"/>
        </w:rPr>
        <w:t>La ejecución de reservas presupuestales constituidas al cierre de la 2016, presentan al 31 diciembre de 2017 el siguiente resultado:</w:t>
      </w:r>
    </w:p>
    <w:tbl>
      <w:tblPr>
        <w:tblW w:w="9473"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2073"/>
        <w:gridCol w:w="1301"/>
        <w:gridCol w:w="2181"/>
        <w:gridCol w:w="1301"/>
        <w:gridCol w:w="1185"/>
        <w:gridCol w:w="1432"/>
      </w:tblGrid>
      <w:tr w:rsidR="005129EB" w:rsidRPr="002F4157" w:rsidTr="002F4157">
        <w:trPr>
          <w:trHeight w:val="191"/>
        </w:trPr>
        <w:tc>
          <w:tcPr>
            <w:tcW w:w="2073" w:type="dxa"/>
            <w:shd w:val="clear" w:color="auto" w:fill="76922E"/>
            <w:vAlign w:val="center"/>
            <w:hideMark/>
          </w:tcPr>
          <w:p w:rsidR="005129EB" w:rsidRPr="002F4157" w:rsidRDefault="002F4157" w:rsidP="004652A6">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Regional</w:t>
            </w:r>
          </w:p>
        </w:tc>
        <w:tc>
          <w:tcPr>
            <w:tcW w:w="1301" w:type="dxa"/>
            <w:shd w:val="clear" w:color="auto" w:fill="76922E"/>
            <w:vAlign w:val="center"/>
            <w:hideMark/>
          </w:tcPr>
          <w:p w:rsidR="005129EB" w:rsidRPr="002F4157" w:rsidRDefault="002F4157" w:rsidP="004652A6">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Reserva Inicial</w:t>
            </w:r>
          </w:p>
        </w:tc>
        <w:tc>
          <w:tcPr>
            <w:tcW w:w="2181" w:type="dxa"/>
            <w:shd w:val="clear" w:color="auto" w:fill="76922E"/>
            <w:vAlign w:val="center"/>
            <w:hideMark/>
          </w:tcPr>
          <w:p w:rsidR="005129EB" w:rsidRPr="002F4157" w:rsidRDefault="002F4157" w:rsidP="004652A6">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Modificaciones</w:t>
            </w:r>
          </w:p>
        </w:tc>
        <w:tc>
          <w:tcPr>
            <w:tcW w:w="1301" w:type="dxa"/>
            <w:shd w:val="clear" w:color="auto" w:fill="76922E"/>
            <w:vAlign w:val="center"/>
            <w:hideMark/>
          </w:tcPr>
          <w:p w:rsidR="005129EB" w:rsidRPr="002F4157" w:rsidRDefault="002F4157" w:rsidP="004652A6">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Reserva Final</w:t>
            </w:r>
          </w:p>
        </w:tc>
        <w:tc>
          <w:tcPr>
            <w:tcW w:w="1185" w:type="dxa"/>
            <w:shd w:val="clear" w:color="auto" w:fill="76922E"/>
            <w:vAlign w:val="center"/>
            <w:hideMark/>
          </w:tcPr>
          <w:p w:rsidR="005129EB" w:rsidRPr="002F4157" w:rsidRDefault="002F4157" w:rsidP="004652A6">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Pagos</w:t>
            </w:r>
          </w:p>
        </w:tc>
        <w:tc>
          <w:tcPr>
            <w:tcW w:w="1432" w:type="dxa"/>
            <w:shd w:val="clear" w:color="auto" w:fill="76922E"/>
            <w:vAlign w:val="center"/>
            <w:hideMark/>
          </w:tcPr>
          <w:p w:rsidR="005129EB" w:rsidRPr="002F4157" w:rsidRDefault="002F4157" w:rsidP="004652A6">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 Ejecución</w:t>
            </w:r>
          </w:p>
        </w:tc>
      </w:tr>
      <w:tr w:rsidR="005129EB" w:rsidRPr="002F4157" w:rsidTr="002F4157">
        <w:trPr>
          <w:trHeight w:val="191"/>
        </w:trPr>
        <w:tc>
          <w:tcPr>
            <w:tcW w:w="2073" w:type="dxa"/>
            <w:shd w:val="clear" w:color="auto" w:fill="auto"/>
            <w:vAlign w:val="center"/>
            <w:hideMark/>
          </w:tcPr>
          <w:p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Sede Nacional</w:t>
            </w:r>
          </w:p>
        </w:tc>
        <w:tc>
          <w:tcPr>
            <w:tcW w:w="1301"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$ 30.492</w:t>
            </w:r>
          </w:p>
        </w:tc>
        <w:tc>
          <w:tcPr>
            <w:tcW w:w="2181"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-$ 1.359</w:t>
            </w:r>
          </w:p>
        </w:tc>
        <w:tc>
          <w:tcPr>
            <w:tcW w:w="1301"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$ 29.133</w:t>
            </w:r>
          </w:p>
        </w:tc>
        <w:tc>
          <w:tcPr>
            <w:tcW w:w="1185"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$ 25.281</w:t>
            </w:r>
          </w:p>
        </w:tc>
        <w:tc>
          <w:tcPr>
            <w:tcW w:w="1432"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87%</w:t>
            </w:r>
          </w:p>
        </w:tc>
      </w:tr>
      <w:tr w:rsidR="005129EB" w:rsidRPr="002F4157" w:rsidTr="002F4157">
        <w:trPr>
          <w:trHeight w:val="114"/>
        </w:trPr>
        <w:tc>
          <w:tcPr>
            <w:tcW w:w="2073" w:type="dxa"/>
            <w:shd w:val="clear" w:color="auto" w:fill="auto"/>
            <w:vAlign w:val="center"/>
            <w:hideMark/>
          </w:tcPr>
          <w:p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Antioquia</w:t>
            </w:r>
          </w:p>
        </w:tc>
        <w:tc>
          <w:tcPr>
            <w:tcW w:w="1301"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$ 7.044</w:t>
            </w:r>
          </w:p>
        </w:tc>
        <w:tc>
          <w:tcPr>
            <w:tcW w:w="2181"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-$ 2.743</w:t>
            </w:r>
          </w:p>
        </w:tc>
        <w:tc>
          <w:tcPr>
            <w:tcW w:w="1301"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$ 4.301</w:t>
            </w:r>
          </w:p>
        </w:tc>
        <w:tc>
          <w:tcPr>
            <w:tcW w:w="1185"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$ 4.275</w:t>
            </w:r>
          </w:p>
        </w:tc>
        <w:tc>
          <w:tcPr>
            <w:tcW w:w="1432"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99%</w:t>
            </w:r>
          </w:p>
        </w:tc>
      </w:tr>
      <w:tr w:rsidR="005129EB" w:rsidRPr="002F4157" w:rsidTr="002F4157">
        <w:trPr>
          <w:trHeight w:val="114"/>
        </w:trPr>
        <w:tc>
          <w:tcPr>
            <w:tcW w:w="2073" w:type="dxa"/>
            <w:shd w:val="clear" w:color="auto" w:fill="auto"/>
            <w:vAlign w:val="center"/>
            <w:hideMark/>
          </w:tcPr>
          <w:p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Bolivar</w:t>
            </w:r>
          </w:p>
        </w:tc>
        <w:tc>
          <w:tcPr>
            <w:tcW w:w="1301"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$ 1.248</w:t>
            </w:r>
          </w:p>
        </w:tc>
        <w:tc>
          <w:tcPr>
            <w:tcW w:w="2181"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-$ 4</w:t>
            </w:r>
          </w:p>
        </w:tc>
        <w:tc>
          <w:tcPr>
            <w:tcW w:w="1301"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$ 1.244</w:t>
            </w:r>
          </w:p>
        </w:tc>
        <w:tc>
          <w:tcPr>
            <w:tcW w:w="1185"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$ 1.065</w:t>
            </w:r>
          </w:p>
        </w:tc>
        <w:tc>
          <w:tcPr>
            <w:tcW w:w="1432"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86%</w:t>
            </w:r>
          </w:p>
        </w:tc>
      </w:tr>
      <w:tr w:rsidR="005129EB" w:rsidRPr="002F4157" w:rsidTr="002F4157">
        <w:trPr>
          <w:trHeight w:val="114"/>
        </w:trPr>
        <w:tc>
          <w:tcPr>
            <w:tcW w:w="2073" w:type="dxa"/>
            <w:shd w:val="clear" w:color="auto" w:fill="auto"/>
            <w:vAlign w:val="center"/>
            <w:hideMark/>
          </w:tcPr>
          <w:p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Boyacá</w:t>
            </w:r>
          </w:p>
        </w:tc>
        <w:tc>
          <w:tcPr>
            <w:tcW w:w="1301"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$ 56</w:t>
            </w:r>
          </w:p>
        </w:tc>
        <w:tc>
          <w:tcPr>
            <w:tcW w:w="2181"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-$ 2</w:t>
            </w:r>
          </w:p>
        </w:tc>
        <w:tc>
          <w:tcPr>
            <w:tcW w:w="1301"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$ 55</w:t>
            </w:r>
          </w:p>
        </w:tc>
        <w:tc>
          <w:tcPr>
            <w:tcW w:w="1185"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$ 0</w:t>
            </w:r>
          </w:p>
        </w:tc>
        <w:tc>
          <w:tcPr>
            <w:tcW w:w="1432"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1%</w:t>
            </w:r>
          </w:p>
        </w:tc>
      </w:tr>
      <w:tr w:rsidR="005129EB" w:rsidRPr="002F4157" w:rsidTr="002F4157">
        <w:trPr>
          <w:trHeight w:val="114"/>
        </w:trPr>
        <w:tc>
          <w:tcPr>
            <w:tcW w:w="2073" w:type="dxa"/>
            <w:shd w:val="clear" w:color="auto" w:fill="auto"/>
            <w:vAlign w:val="center"/>
            <w:hideMark/>
          </w:tcPr>
          <w:p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Córdoba</w:t>
            </w:r>
          </w:p>
        </w:tc>
        <w:tc>
          <w:tcPr>
            <w:tcW w:w="1301"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$ 2.224</w:t>
            </w:r>
          </w:p>
        </w:tc>
        <w:tc>
          <w:tcPr>
            <w:tcW w:w="2181"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-$ 30</w:t>
            </w:r>
          </w:p>
        </w:tc>
        <w:tc>
          <w:tcPr>
            <w:tcW w:w="1301"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$ 2.194</w:t>
            </w:r>
          </w:p>
        </w:tc>
        <w:tc>
          <w:tcPr>
            <w:tcW w:w="1185"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$ 1.169</w:t>
            </w:r>
          </w:p>
        </w:tc>
        <w:tc>
          <w:tcPr>
            <w:tcW w:w="1432"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53%</w:t>
            </w:r>
          </w:p>
        </w:tc>
      </w:tr>
      <w:tr w:rsidR="005129EB" w:rsidRPr="002F4157" w:rsidTr="002F4157">
        <w:trPr>
          <w:trHeight w:val="191"/>
        </w:trPr>
        <w:tc>
          <w:tcPr>
            <w:tcW w:w="2073" w:type="dxa"/>
            <w:shd w:val="clear" w:color="auto" w:fill="auto"/>
            <w:vAlign w:val="center"/>
            <w:hideMark/>
          </w:tcPr>
          <w:p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Cundinamarca</w:t>
            </w:r>
          </w:p>
        </w:tc>
        <w:tc>
          <w:tcPr>
            <w:tcW w:w="1301"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$ 3.609</w:t>
            </w:r>
          </w:p>
        </w:tc>
        <w:tc>
          <w:tcPr>
            <w:tcW w:w="2181"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-$ 707</w:t>
            </w:r>
          </w:p>
        </w:tc>
        <w:tc>
          <w:tcPr>
            <w:tcW w:w="1301"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$ 2.902</w:t>
            </w:r>
          </w:p>
        </w:tc>
        <w:tc>
          <w:tcPr>
            <w:tcW w:w="1185"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$ 2.436</w:t>
            </w:r>
          </w:p>
        </w:tc>
        <w:tc>
          <w:tcPr>
            <w:tcW w:w="1432"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84%</w:t>
            </w:r>
          </w:p>
        </w:tc>
      </w:tr>
      <w:tr w:rsidR="005129EB" w:rsidRPr="002F4157" w:rsidTr="002F4157">
        <w:trPr>
          <w:trHeight w:val="114"/>
        </w:trPr>
        <w:tc>
          <w:tcPr>
            <w:tcW w:w="2073" w:type="dxa"/>
            <w:shd w:val="clear" w:color="auto" w:fill="auto"/>
            <w:vAlign w:val="center"/>
            <w:hideMark/>
          </w:tcPr>
          <w:p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Guajira</w:t>
            </w:r>
          </w:p>
        </w:tc>
        <w:tc>
          <w:tcPr>
            <w:tcW w:w="1301"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$ 8.477</w:t>
            </w:r>
          </w:p>
        </w:tc>
        <w:tc>
          <w:tcPr>
            <w:tcW w:w="2181"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-$ 1.195</w:t>
            </w:r>
          </w:p>
        </w:tc>
        <w:tc>
          <w:tcPr>
            <w:tcW w:w="1301"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$ 7.282</w:t>
            </w:r>
          </w:p>
        </w:tc>
        <w:tc>
          <w:tcPr>
            <w:tcW w:w="1185"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$ 5.821</w:t>
            </w:r>
          </w:p>
        </w:tc>
        <w:tc>
          <w:tcPr>
            <w:tcW w:w="1432"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80%</w:t>
            </w:r>
          </w:p>
        </w:tc>
      </w:tr>
      <w:tr w:rsidR="005129EB" w:rsidRPr="002F4157" w:rsidTr="002F4157">
        <w:trPr>
          <w:trHeight w:val="114"/>
        </w:trPr>
        <w:tc>
          <w:tcPr>
            <w:tcW w:w="2073" w:type="dxa"/>
            <w:shd w:val="clear" w:color="auto" w:fill="auto"/>
            <w:vAlign w:val="center"/>
            <w:hideMark/>
          </w:tcPr>
          <w:p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Meta</w:t>
            </w:r>
          </w:p>
        </w:tc>
        <w:tc>
          <w:tcPr>
            <w:tcW w:w="1301"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$ 70</w:t>
            </w:r>
          </w:p>
        </w:tc>
        <w:tc>
          <w:tcPr>
            <w:tcW w:w="2181"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$ 0</w:t>
            </w:r>
          </w:p>
        </w:tc>
        <w:tc>
          <w:tcPr>
            <w:tcW w:w="1301"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$ 70</w:t>
            </w:r>
          </w:p>
        </w:tc>
        <w:tc>
          <w:tcPr>
            <w:tcW w:w="1185"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$ 33</w:t>
            </w:r>
          </w:p>
        </w:tc>
        <w:tc>
          <w:tcPr>
            <w:tcW w:w="1432"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47%</w:t>
            </w:r>
          </w:p>
        </w:tc>
      </w:tr>
      <w:tr w:rsidR="005129EB" w:rsidRPr="002F4157" w:rsidTr="002F4157">
        <w:trPr>
          <w:trHeight w:val="114"/>
        </w:trPr>
        <w:tc>
          <w:tcPr>
            <w:tcW w:w="2073" w:type="dxa"/>
            <w:shd w:val="clear" w:color="auto" w:fill="auto"/>
            <w:vAlign w:val="center"/>
            <w:hideMark/>
          </w:tcPr>
          <w:p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Nariño</w:t>
            </w:r>
          </w:p>
        </w:tc>
        <w:tc>
          <w:tcPr>
            <w:tcW w:w="1301"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$ 4.925</w:t>
            </w:r>
          </w:p>
        </w:tc>
        <w:tc>
          <w:tcPr>
            <w:tcW w:w="2181"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-$ 2.870</w:t>
            </w:r>
          </w:p>
        </w:tc>
        <w:tc>
          <w:tcPr>
            <w:tcW w:w="1301"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$ 2.055</w:t>
            </w:r>
          </w:p>
        </w:tc>
        <w:tc>
          <w:tcPr>
            <w:tcW w:w="1185"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$ 1.508</w:t>
            </w:r>
          </w:p>
        </w:tc>
        <w:tc>
          <w:tcPr>
            <w:tcW w:w="1432"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73%</w:t>
            </w:r>
          </w:p>
        </w:tc>
      </w:tr>
      <w:tr w:rsidR="005129EB" w:rsidRPr="002F4157" w:rsidTr="002F4157">
        <w:trPr>
          <w:trHeight w:val="114"/>
        </w:trPr>
        <w:tc>
          <w:tcPr>
            <w:tcW w:w="2073" w:type="dxa"/>
            <w:shd w:val="clear" w:color="auto" w:fill="auto"/>
            <w:vAlign w:val="center"/>
            <w:hideMark/>
          </w:tcPr>
          <w:p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Quindío</w:t>
            </w:r>
          </w:p>
        </w:tc>
        <w:tc>
          <w:tcPr>
            <w:tcW w:w="1301"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$ 3.243</w:t>
            </w:r>
          </w:p>
        </w:tc>
        <w:tc>
          <w:tcPr>
            <w:tcW w:w="2181"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-$ 3</w:t>
            </w:r>
          </w:p>
        </w:tc>
        <w:tc>
          <w:tcPr>
            <w:tcW w:w="1301"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$ 3.239</w:t>
            </w:r>
          </w:p>
        </w:tc>
        <w:tc>
          <w:tcPr>
            <w:tcW w:w="1185"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$ 78</w:t>
            </w:r>
          </w:p>
        </w:tc>
        <w:tc>
          <w:tcPr>
            <w:tcW w:w="1432"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2%</w:t>
            </w:r>
          </w:p>
        </w:tc>
      </w:tr>
      <w:tr w:rsidR="005129EB" w:rsidRPr="002F4157" w:rsidTr="002F4157">
        <w:trPr>
          <w:trHeight w:val="114"/>
        </w:trPr>
        <w:tc>
          <w:tcPr>
            <w:tcW w:w="2073" w:type="dxa"/>
            <w:shd w:val="clear" w:color="auto" w:fill="auto"/>
            <w:vAlign w:val="center"/>
            <w:hideMark/>
          </w:tcPr>
          <w:p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Valle</w:t>
            </w:r>
          </w:p>
        </w:tc>
        <w:tc>
          <w:tcPr>
            <w:tcW w:w="1301"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$ 9.012</w:t>
            </w:r>
          </w:p>
        </w:tc>
        <w:tc>
          <w:tcPr>
            <w:tcW w:w="2181"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-$ 598</w:t>
            </w:r>
          </w:p>
        </w:tc>
        <w:tc>
          <w:tcPr>
            <w:tcW w:w="1301"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$ 8.415</w:t>
            </w:r>
          </w:p>
        </w:tc>
        <w:tc>
          <w:tcPr>
            <w:tcW w:w="1185"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$ 8.409</w:t>
            </w:r>
          </w:p>
        </w:tc>
        <w:tc>
          <w:tcPr>
            <w:tcW w:w="1432"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99%</w:t>
            </w:r>
          </w:p>
        </w:tc>
      </w:tr>
      <w:tr w:rsidR="005129EB" w:rsidRPr="002F4157" w:rsidTr="002F4157">
        <w:trPr>
          <w:trHeight w:val="114"/>
        </w:trPr>
        <w:tc>
          <w:tcPr>
            <w:tcW w:w="2073" w:type="dxa"/>
            <w:shd w:val="clear" w:color="auto" w:fill="auto"/>
            <w:vAlign w:val="center"/>
            <w:hideMark/>
          </w:tcPr>
          <w:p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Putumayo</w:t>
            </w:r>
          </w:p>
        </w:tc>
        <w:tc>
          <w:tcPr>
            <w:tcW w:w="1301"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$ 125</w:t>
            </w:r>
          </w:p>
        </w:tc>
        <w:tc>
          <w:tcPr>
            <w:tcW w:w="2181"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-$ 92</w:t>
            </w:r>
          </w:p>
        </w:tc>
        <w:tc>
          <w:tcPr>
            <w:tcW w:w="1301"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$ 32</w:t>
            </w:r>
          </w:p>
        </w:tc>
        <w:tc>
          <w:tcPr>
            <w:tcW w:w="1185"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$ 16</w:t>
            </w:r>
          </w:p>
        </w:tc>
        <w:tc>
          <w:tcPr>
            <w:tcW w:w="1432"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49%</w:t>
            </w:r>
          </w:p>
        </w:tc>
      </w:tr>
    </w:tbl>
    <w:p w:rsidR="005129EB" w:rsidRPr="002F4157" w:rsidRDefault="005129EB" w:rsidP="005129EB">
      <w:pPr>
        <w:spacing w:after="0" w:line="240" w:lineRule="auto"/>
        <w:jc w:val="both"/>
        <w:rPr>
          <w:rFonts w:cs="Arial"/>
          <w:sz w:val="16"/>
          <w:szCs w:val="16"/>
        </w:rPr>
      </w:pPr>
      <w:r w:rsidRPr="002F4157">
        <w:rPr>
          <w:rFonts w:cs="Arial"/>
          <w:sz w:val="16"/>
          <w:szCs w:val="16"/>
        </w:rPr>
        <w:t>Cifras en millones de $</w:t>
      </w:r>
    </w:p>
    <w:p w:rsidR="005129EB" w:rsidRPr="002F4157" w:rsidRDefault="005129EB" w:rsidP="005129EB">
      <w:pPr>
        <w:spacing w:after="0" w:line="240" w:lineRule="auto"/>
        <w:jc w:val="both"/>
        <w:rPr>
          <w:rFonts w:cs="Arial"/>
          <w:sz w:val="16"/>
          <w:szCs w:val="16"/>
        </w:rPr>
      </w:pPr>
      <w:r w:rsidRPr="002F4157">
        <w:rPr>
          <w:rFonts w:cs="Arial"/>
          <w:sz w:val="16"/>
          <w:szCs w:val="16"/>
        </w:rPr>
        <w:t>Fuente: SIIF NACION</w:t>
      </w:r>
    </w:p>
    <w:p w:rsidR="005129EB" w:rsidRPr="007608C2" w:rsidRDefault="005129EB" w:rsidP="005129EB">
      <w:pPr>
        <w:spacing w:before="100" w:beforeAutospacing="1" w:after="100" w:afterAutospacing="1" w:line="240" w:lineRule="auto"/>
        <w:jc w:val="both"/>
        <w:rPr>
          <w:rFonts w:cs="Arial"/>
        </w:rPr>
      </w:pPr>
      <w:r w:rsidRPr="007608C2">
        <w:rPr>
          <w:rFonts w:cs="Arial"/>
        </w:rPr>
        <w:lastRenderedPageBreak/>
        <w:t>Durante la vigencia 2017 las regionales Amazonas, Atlántico, Bogotá, Caldas, Casanare, Cauca, Choco, Guaviare, Guainía, Huila, Magdalena, Norte de Santander, Risaralda, San Andres, Sucre, Tolima, Vaupés y Vichada pagaron el 100%.</w:t>
      </w:r>
    </w:p>
    <w:p w:rsidR="005129EB" w:rsidRPr="007608C2" w:rsidRDefault="005129EB" w:rsidP="005129EB">
      <w:pPr>
        <w:numPr>
          <w:ilvl w:val="2"/>
          <w:numId w:val="2"/>
        </w:numPr>
        <w:spacing w:before="100" w:beforeAutospacing="1" w:after="100" w:afterAutospacing="1" w:line="240" w:lineRule="auto"/>
        <w:contextualSpacing/>
        <w:jc w:val="both"/>
        <w:rPr>
          <w:rFonts w:cs="Arial"/>
          <w:b/>
          <w:lang w:eastAsia="es-ES"/>
        </w:rPr>
      </w:pPr>
      <w:r w:rsidRPr="007608C2">
        <w:rPr>
          <w:rFonts w:cs="Arial"/>
          <w:b/>
        </w:rPr>
        <w:t>Reservas Presupuestales por Área Responsable</w:t>
      </w:r>
    </w:p>
    <w:p w:rsidR="005129EB" w:rsidRPr="007608C2" w:rsidRDefault="005129EB" w:rsidP="005129EB">
      <w:pPr>
        <w:spacing w:before="100" w:beforeAutospacing="1" w:after="100" w:afterAutospacing="1" w:line="240" w:lineRule="auto"/>
        <w:contextualSpacing/>
        <w:jc w:val="both"/>
        <w:rPr>
          <w:rFonts w:cs="Arial"/>
          <w:b/>
        </w:rPr>
      </w:pPr>
    </w:p>
    <w:p w:rsidR="005129EB" w:rsidRPr="007608C2" w:rsidRDefault="005129EB" w:rsidP="005129EB">
      <w:pPr>
        <w:rPr>
          <w:rFonts w:cs="Arial"/>
        </w:rPr>
      </w:pPr>
      <w:r w:rsidRPr="007608C2">
        <w:rPr>
          <w:rFonts w:cs="Arial"/>
        </w:rPr>
        <w:t>La ejecución de reservas presupuestales constituidas al cierre de la 2016, presentan al 31 diciembre de 2017 el siguiente resultado por área:</w:t>
      </w:r>
      <w:r w:rsidRPr="007608C2">
        <w:rPr>
          <w:rFonts w:cs="Arial"/>
        </w:rPr>
        <w:fldChar w:fldCharType="begin"/>
      </w:r>
      <w:r w:rsidRPr="007608C2">
        <w:rPr>
          <w:rFonts w:cs="Arial"/>
        </w:rPr>
        <w:instrText xml:space="preserve"> LINK Excel.Sheet.12 "C:\\Users\\Daniel.Buitrago\\Desktop\\Presupuesto\\Informes\\HOJAS DE TRABAJO\\Copia de EJECUCION RESERVA A OCTUBRE 31.xlsx" "RESUMEN RESERVA!F43C8:F58C13" \a \f 4 \h  \* MERGEFORMAT </w:instrText>
      </w:r>
      <w:r w:rsidRPr="007608C2">
        <w:rPr>
          <w:rFonts w:cs="Arial"/>
        </w:rPr>
        <w:fldChar w:fldCharType="separate"/>
      </w:r>
      <w:r w:rsidRPr="007608C2">
        <w:rPr>
          <w:rFonts w:cs="Arial"/>
        </w:rPr>
        <w:fldChar w:fldCharType="begin"/>
      </w:r>
      <w:r w:rsidRPr="007608C2">
        <w:rPr>
          <w:rFonts w:cs="Arial"/>
        </w:rPr>
        <w:instrText xml:space="preserve"> LINK Excel.Sheet.12 "C:\\Users\\Daniel.Buitrago\\AppData\\Local\\Microsoft\\Windows\\INetCache\\Content.Outlook\\Y1YEPRVW\\EJECUCION RESERVA A DICIEMBRE 28   8 am.xlsx" "RESUMEN RESERVA (2)!F43C9:F58C14" \a \f 4 \h  \* MERGEFORMAT </w:instrText>
      </w:r>
      <w:r w:rsidRPr="007608C2">
        <w:rPr>
          <w:rFonts w:cs="Arial"/>
        </w:rPr>
        <w:fldChar w:fldCharType="separate"/>
      </w:r>
      <w:r w:rsidRPr="007608C2">
        <w:rPr>
          <w:rFonts w:cs="Arial"/>
        </w:rPr>
        <w:fldChar w:fldCharType="begin"/>
      </w:r>
      <w:r w:rsidRPr="007608C2">
        <w:rPr>
          <w:rFonts w:cs="Arial"/>
        </w:rPr>
        <w:instrText xml:space="preserve"> LINK Excel.Sheet.12 "C:\\Users\\Daniel.Buitrago\\AppData\\Local\\Microsoft\\Windows\\INetCache\\Content.Outlook\\Y1YEPRVW\\EJECUCION RESERVA A DICIEMBRE 31.xlsx" "RESUMEN RESERVA!F2C9:F17C14" \a \f 4 \h  \* MERGEFORMAT </w:instrText>
      </w:r>
      <w:r w:rsidRPr="007608C2">
        <w:rPr>
          <w:rFonts w:cs="Arial"/>
        </w:rPr>
        <w:fldChar w:fldCharType="separate"/>
      </w:r>
    </w:p>
    <w:tbl>
      <w:tblPr>
        <w:tblW w:w="9267"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2536"/>
        <w:gridCol w:w="1428"/>
        <w:gridCol w:w="1464"/>
        <w:gridCol w:w="1384"/>
        <w:gridCol w:w="1464"/>
        <w:gridCol w:w="991"/>
      </w:tblGrid>
      <w:tr w:rsidR="005129EB" w:rsidRPr="002F4157" w:rsidTr="002F4157">
        <w:trPr>
          <w:trHeight w:val="212"/>
        </w:trPr>
        <w:tc>
          <w:tcPr>
            <w:tcW w:w="2536" w:type="dxa"/>
            <w:shd w:val="clear" w:color="auto" w:fill="76922E"/>
            <w:noWrap/>
            <w:vAlign w:val="center"/>
            <w:hideMark/>
          </w:tcPr>
          <w:p w:rsidR="005129EB" w:rsidRPr="002F4157" w:rsidRDefault="002F4157" w:rsidP="002F4157">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Área Responsable</w:t>
            </w:r>
          </w:p>
        </w:tc>
        <w:tc>
          <w:tcPr>
            <w:tcW w:w="1477" w:type="dxa"/>
            <w:shd w:val="clear" w:color="auto" w:fill="76922E"/>
            <w:vAlign w:val="center"/>
            <w:hideMark/>
          </w:tcPr>
          <w:p w:rsidR="005129EB" w:rsidRPr="002F4157" w:rsidRDefault="002F4157" w:rsidP="002F4157">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Reserva Trasladada</w:t>
            </w:r>
          </w:p>
        </w:tc>
        <w:tc>
          <w:tcPr>
            <w:tcW w:w="1464" w:type="dxa"/>
            <w:shd w:val="clear" w:color="auto" w:fill="76922E"/>
            <w:noWrap/>
            <w:vAlign w:val="center"/>
            <w:hideMark/>
          </w:tcPr>
          <w:p w:rsidR="005129EB" w:rsidRPr="002F4157" w:rsidRDefault="002F4157" w:rsidP="002F4157">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Modificaciones</w:t>
            </w:r>
          </w:p>
        </w:tc>
        <w:tc>
          <w:tcPr>
            <w:tcW w:w="1464" w:type="dxa"/>
            <w:shd w:val="clear" w:color="auto" w:fill="76922E"/>
            <w:vAlign w:val="center"/>
            <w:hideMark/>
          </w:tcPr>
          <w:p w:rsidR="005129EB" w:rsidRPr="002F4157" w:rsidRDefault="002F4157" w:rsidP="002F4157">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Reserva Final</w:t>
            </w:r>
          </w:p>
        </w:tc>
        <w:tc>
          <w:tcPr>
            <w:tcW w:w="1464" w:type="dxa"/>
            <w:shd w:val="clear" w:color="auto" w:fill="76922E"/>
            <w:noWrap/>
            <w:vAlign w:val="center"/>
            <w:hideMark/>
          </w:tcPr>
          <w:p w:rsidR="005129EB" w:rsidRPr="002F4157" w:rsidRDefault="002F4157" w:rsidP="002F4157">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Pagos</w:t>
            </w:r>
          </w:p>
        </w:tc>
        <w:tc>
          <w:tcPr>
            <w:tcW w:w="862" w:type="dxa"/>
            <w:shd w:val="clear" w:color="auto" w:fill="76922E"/>
            <w:vAlign w:val="center"/>
            <w:hideMark/>
          </w:tcPr>
          <w:p w:rsidR="005129EB" w:rsidRPr="002F4157" w:rsidRDefault="002F4157" w:rsidP="002F4157">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 Ejecución</w:t>
            </w:r>
          </w:p>
        </w:tc>
      </w:tr>
      <w:tr w:rsidR="005129EB" w:rsidRPr="002F4157" w:rsidTr="002F4157">
        <w:trPr>
          <w:trHeight w:val="212"/>
        </w:trPr>
        <w:tc>
          <w:tcPr>
            <w:tcW w:w="2536" w:type="dxa"/>
            <w:shd w:val="clear" w:color="auto" w:fill="auto"/>
            <w:vAlign w:val="center"/>
            <w:hideMark/>
          </w:tcPr>
          <w:p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Dirección Administrativa</w:t>
            </w:r>
          </w:p>
        </w:tc>
        <w:tc>
          <w:tcPr>
            <w:tcW w:w="1477"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$ 11.594</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-$ 708</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$ 10.885</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$ 9.981</w:t>
            </w:r>
          </w:p>
        </w:tc>
        <w:tc>
          <w:tcPr>
            <w:tcW w:w="862"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90%</w:t>
            </w:r>
          </w:p>
        </w:tc>
      </w:tr>
      <w:tr w:rsidR="005129EB" w:rsidRPr="002F4157" w:rsidTr="002F4157">
        <w:trPr>
          <w:trHeight w:val="212"/>
        </w:trPr>
        <w:tc>
          <w:tcPr>
            <w:tcW w:w="2536" w:type="dxa"/>
            <w:shd w:val="clear" w:color="auto" w:fill="auto"/>
            <w:vAlign w:val="center"/>
            <w:hideMark/>
          </w:tcPr>
          <w:p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Dirección de Familias y Comunidades</w:t>
            </w:r>
          </w:p>
        </w:tc>
        <w:tc>
          <w:tcPr>
            <w:tcW w:w="1477"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$ 1.541</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-$ 31</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$ 1.510</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$ 1.510</w:t>
            </w:r>
          </w:p>
        </w:tc>
        <w:tc>
          <w:tcPr>
            <w:tcW w:w="862"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98%</w:t>
            </w:r>
          </w:p>
        </w:tc>
      </w:tr>
      <w:tr w:rsidR="005129EB" w:rsidRPr="002F4157" w:rsidTr="002F4157">
        <w:trPr>
          <w:trHeight w:val="212"/>
        </w:trPr>
        <w:tc>
          <w:tcPr>
            <w:tcW w:w="2536" w:type="dxa"/>
            <w:shd w:val="clear" w:color="auto" w:fill="auto"/>
            <w:vAlign w:val="center"/>
            <w:hideMark/>
          </w:tcPr>
          <w:p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Dirección de Gestión Humana</w:t>
            </w:r>
          </w:p>
        </w:tc>
        <w:tc>
          <w:tcPr>
            <w:tcW w:w="1477"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$ 4.828</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-$ 321</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$ 4.507</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$ 4.371</w:t>
            </w:r>
          </w:p>
        </w:tc>
        <w:tc>
          <w:tcPr>
            <w:tcW w:w="862"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96%</w:t>
            </w:r>
          </w:p>
        </w:tc>
      </w:tr>
      <w:tr w:rsidR="005129EB" w:rsidRPr="002F4157" w:rsidTr="002F4157">
        <w:trPr>
          <w:trHeight w:val="212"/>
        </w:trPr>
        <w:tc>
          <w:tcPr>
            <w:tcW w:w="2536" w:type="dxa"/>
            <w:shd w:val="clear" w:color="auto" w:fill="auto"/>
            <w:vAlign w:val="center"/>
            <w:hideMark/>
          </w:tcPr>
          <w:p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Dirección de Información y Tecnología</w:t>
            </w:r>
          </w:p>
        </w:tc>
        <w:tc>
          <w:tcPr>
            <w:tcW w:w="1477"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$ 5.256</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-$ 1</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$ 5.255</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$ 5.255</w:t>
            </w:r>
          </w:p>
        </w:tc>
        <w:tc>
          <w:tcPr>
            <w:tcW w:w="862"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100%</w:t>
            </w:r>
          </w:p>
        </w:tc>
      </w:tr>
      <w:tr w:rsidR="005129EB" w:rsidRPr="002F4157" w:rsidTr="002F4157">
        <w:trPr>
          <w:trHeight w:val="212"/>
        </w:trPr>
        <w:tc>
          <w:tcPr>
            <w:tcW w:w="2536" w:type="dxa"/>
            <w:shd w:val="clear" w:color="auto" w:fill="auto"/>
            <w:vAlign w:val="center"/>
            <w:hideMark/>
          </w:tcPr>
          <w:p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Dirección de Niñez y Adolescencia</w:t>
            </w:r>
          </w:p>
        </w:tc>
        <w:tc>
          <w:tcPr>
            <w:tcW w:w="1477"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$ 2.615</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-$ 82</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$ 2.533</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$ 2.533</w:t>
            </w:r>
          </w:p>
        </w:tc>
        <w:tc>
          <w:tcPr>
            <w:tcW w:w="862"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99%</w:t>
            </w:r>
          </w:p>
        </w:tc>
      </w:tr>
      <w:tr w:rsidR="005129EB" w:rsidRPr="002F4157" w:rsidTr="002F4157">
        <w:trPr>
          <w:trHeight w:val="212"/>
        </w:trPr>
        <w:tc>
          <w:tcPr>
            <w:tcW w:w="2536" w:type="dxa"/>
            <w:shd w:val="clear" w:color="auto" w:fill="auto"/>
            <w:vAlign w:val="center"/>
            <w:hideMark/>
          </w:tcPr>
          <w:p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Dirección de Nutrición</w:t>
            </w:r>
          </w:p>
        </w:tc>
        <w:tc>
          <w:tcPr>
            <w:tcW w:w="1477"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$ 3.368</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-$ 762</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$ 2.607</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$ 2.174</w:t>
            </w:r>
          </w:p>
        </w:tc>
        <w:tc>
          <w:tcPr>
            <w:tcW w:w="862"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83%</w:t>
            </w:r>
          </w:p>
        </w:tc>
      </w:tr>
      <w:tr w:rsidR="005129EB" w:rsidRPr="002F4157" w:rsidTr="002F4157">
        <w:trPr>
          <w:trHeight w:val="212"/>
        </w:trPr>
        <w:tc>
          <w:tcPr>
            <w:tcW w:w="2536" w:type="dxa"/>
            <w:shd w:val="clear" w:color="auto" w:fill="auto"/>
            <w:vAlign w:val="center"/>
            <w:hideMark/>
          </w:tcPr>
          <w:p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Dirección de Primera Infancia</w:t>
            </w:r>
          </w:p>
        </w:tc>
        <w:tc>
          <w:tcPr>
            <w:tcW w:w="1477"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$ 30.365</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-$ 7.808</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$ 22.557</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$ 14.360</w:t>
            </w:r>
          </w:p>
        </w:tc>
        <w:tc>
          <w:tcPr>
            <w:tcW w:w="862"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62%</w:t>
            </w:r>
          </w:p>
        </w:tc>
      </w:tr>
      <w:tr w:rsidR="005129EB" w:rsidRPr="002F4157" w:rsidTr="002F4157">
        <w:trPr>
          <w:trHeight w:val="212"/>
        </w:trPr>
        <w:tc>
          <w:tcPr>
            <w:tcW w:w="2536" w:type="dxa"/>
            <w:shd w:val="clear" w:color="auto" w:fill="auto"/>
            <w:vAlign w:val="center"/>
            <w:hideMark/>
          </w:tcPr>
          <w:p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Dirección de Protección</w:t>
            </w:r>
          </w:p>
        </w:tc>
        <w:tc>
          <w:tcPr>
            <w:tcW w:w="1477"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$ 14.865</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-$ 1.786</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$ 13.080</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$ 12.811</w:t>
            </w:r>
          </w:p>
        </w:tc>
        <w:tc>
          <w:tcPr>
            <w:tcW w:w="862"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98%</w:t>
            </w:r>
          </w:p>
        </w:tc>
      </w:tr>
      <w:tr w:rsidR="005129EB" w:rsidRPr="002F4157" w:rsidTr="002F4157">
        <w:trPr>
          <w:trHeight w:val="212"/>
        </w:trPr>
        <w:tc>
          <w:tcPr>
            <w:tcW w:w="2536" w:type="dxa"/>
            <w:shd w:val="clear" w:color="auto" w:fill="auto"/>
            <w:vAlign w:val="center"/>
            <w:hideMark/>
          </w:tcPr>
          <w:p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Dirección Financiera</w:t>
            </w:r>
          </w:p>
        </w:tc>
        <w:tc>
          <w:tcPr>
            <w:tcW w:w="1477"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$ 724</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-$ 88</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$ 637</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$ 635</w:t>
            </w:r>
          </w:p>
        </w:tc>
        <w:tc>
          <w:tcPr>
            <w:tcW w:w="862"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100%</w:t>
            </w:r>
          </w:p>
        </w:tc>
      </w:tr>
      <w:tr w:rsidR="005129EB" w:rsidRPr="002F4157" w:rsidTr="002F4157">
        <w:trPr>
          <w:trHeight w:val="415"/>
        </w:trPr>
        <w:tc>
          <w:tcPr>
            <w:tcW w:w="2536" w:type="dxa"/>
            <w:shd w:val="clear" w:color="auto" w:fill="auto"/>
            <w:vAlign w:val="center"/>
            <w:hideMark/>
          </w:tcPr>
          <w:p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Dirección Sistema Nacional de Bienestar Familiar</w:t>
            </w:r>
          </w:p>
        </w:tc>
        <w:tc>
          <w:tcPr>
            <w:tcW w:w="1477"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$ 118</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$ 0</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$ 118</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$ 118</w:t>
            </w:r>
          </w:p>
        </w:tc>
        <w:tc>
          <w:tcPr>
            <w:tcW w:w="862"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100%</w:t>
            </w:r>
          </w:p>
        </w:tc>
      </w:tr>
      <w:tr w:rsidR="005129EB" w:rsidRPr="002F4157" w:rsidTr="002F4157">
        <w:trPr>
          <w:trHeight w:val="212"/>
        </w:trPr>
        <w:tc>
          <w:tcPr>
            <w:tcW w:w="2536" w:type="dxa"/>
            <w:shd w:val="clear" w:color="auto" w:fill="auto"/>
            <w:vAlign w:val="center"/>
            <w:hideMark/>
          </w:tcPr>
          <w:p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Oficina Jurídica</w:t>
            </w:r>
          </w:p>
        </w:tc>
        <w:tc>
          <w:tcPr>
            <w:tcW w:w="1477"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$ 319</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-$ 0</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$ 319</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$ 319</w:t>
            </w:r>
          </w:p>
        </w:tc>
        <w:tc>
          <w:tcPr>
            <w:tcW w:w="862"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100%</w:t>
            </w:r>
          </w:p>
        </w:tc>
      </w:tr>
      <w:tr w:rsidR="005129EB" w:rsidRPr="002F4157" w:rsidTr="002F4157">
        <w:trPr>
          <w:trHeight w:val="212"/>
        </w:trPr>
        <w:tc>
          <w:tcPr>
            <w:tcW w:w="2536" w:type="dxa"/>
            <w:shd w:val="clear" w:color="auto" w:fill="auto"/>
            <w:vAlign w:val="center"/>
            <w:hideMark/>
          </w:tcPr>
          <w:p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Secretaria General</w:t>
            </w:r>
          </w:p>
        </w:tc>
        <w:tc>
          <w:tcPr>
            <w:tcW w:w="1477"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$ 0</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-$ 0</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$ 0</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$ 0</w:t>
            </w:r>
          </w:p>
        </w:tc>
        <w:tc>
          <w:tcPr>
            <w:tcW w:w="862"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100%</w:t>
            </w:r>
          </w:p>
        </w:tc>
      </w:tr>
      <w:tr w:rsidR="005129EB" w:rsidRPr="002F4157" w:rsidTr="002F4157">
        <w:trPr>
          <w:trHeight w:val="415"/>
        </w:trPr>
        <w:tc>
          <w:tcPr>
            <w:tcW w:w="2536" w:type="dxa"/>
            <w:shd w:val="clear" w:color="auto" w:fill="auto"/>
            <w:vAlign w:val="center"/>
            <w:hideMark/>
          </w:tcPr>
          <w:p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Subdirección de Monitoreo y Evaluación</w:t>
            </w:r>
          </w:p>
        </w:tc>
        <w:tc>
          <w:tcPr>
            <w:tcW w:w="1477"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$ 16</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-$ 0</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$ 16</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$ 16</w:t>
            </w:r>
          </w:p>
        </w:tc>
        <w:tc>
          <w:tcPr>
            <w:tcW w:w="862"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100%</w:t>
            </w:r>
          </w:p>
        </w:tc>
      </w:tr>
      <w:tr w:rsidR="005129EB" w:rsidRPr="002F4157" w:rsidTr="002F4157">
        <w:trPr>
          <w:trHeight w:val="415"/>
        </w:trPr>
        <w:tc>
          <w:tcPr>
            <w:tcW w:w="2536" w:type="dxa"/>
            <w:shd w:val="clear" w:color="auto" w:fill="auto"/>
            <w:vAlign w:val="center"/>
            <w:hideMark/>
          </w:tcPr>
          <w:p w:rsidR="005129EB" w:rsidRPr="002F4157" w:rsidRDefault="002F4157" w:rsidP="004652A6">
            <w:pPr>
              <w:spacing w:after="0" w:line="240" w:lineRule="auto"/>
              <w:jc w:val="both"/>
              <w:rPr>
                <w:rFonts w:eastAsia="Times New Roman" w:cs="Arial"/>
                <w:color w:val="000000"/>
                <w:sz w:val="18"/>
                <w:szCs w:val="18"/>
                <w:lang w:val="es-CO" w:eastAsia="es-CO"/>
              </w:rPr>
            </w:pPr>
            <w:r w:rsidRPr="002F4157">
              <w:rPr>
                <w:rFonts w:eastAsia="Times New Roman" w:cs="Arial"/>
                <w:color w:val="000000"/>
                <w:sz w:val="18"/>
                <w:szCs w:val="18"/>
                <w:lang w:val="es-CO" w:eastAsia="es-CO"/>
              </w:rPr>
              <w:t>Subdirección Mejoramiento Organizacional</w:t>
            </w:r>
          </w:p>
        </w:tc>
        <w:tc>
          <w:tcPr>
            <w:tcW w:w="1477"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$ 3</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$ 0</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$ 3</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$ 3</w:t>
            </w:r>
          </w:p>
        </w:tc>
        <w:tc>
          <w:tcPr>
            <w:tcW w:w="862" w:type="dxa"/>
            <w:shd w:val="clear" w:color="auto" w:fill="auto"/>
            <w:vAlign w:val="center"/>
            <w:hideMark/>
          </w:tcPr>
          <w:p w:rsidR="005129EB" w:rsidRPr="002F4157" w:rsidRDefault="005129EB" w:rsidP="004652A6">
            <w:pPr>
              <w:spacing w:after="0" w:line="240" w:lineRule="auto"/>
              <w:jc w:val="right"/>
              <w:rPr>
                <w:rFonts w:eastAsia="Times New Roman" w:cs="Arial"/>
                <w:color w:val="000000"/>
                <w:sz w:val="18"/>
                <w:szCs w:val="18"/>
                <w:lang w:val="es-CO" w:eastAsia="es-CO"/>
              </w:rPr>
            </w:pPr>
            <w:r w:rsidRPr="002F4157">
              <w:rPr>
                <w:rFonts w:eastAsia="Times New Roman" w:cs="Arial"/>
                <w:color w:val="000000"/>
                <w:sz w:val="18"/>
                <w:szCs w:val="18"/>
                <w:lang w:val="es-CO" w:eastAsia="es-CO"/>
              </w:rPr>
              <w:t>100%</w:t>
            </w:r>
          </w:p>
        </w:tc>
      </w:tr>
      <w:tr w:rsidR="005129EB" w:rsidRPr="002F4157" w:rsidTr="002F4157">
        <w:trPr>
          <w:trHeight w:val="212"/>
        </w:trPr>
        <w:tc>
          <w:tcPr>
            <w:tcW w:w="2536" w:type="dxa"/>
            <w:shd w:val="clear" w:color="auto" w:fill="auto"/>
            <w:vAlign w:val="center"/>
            <w:hideMark/>
          </w:tcPr>
          <w:p w:rsidR="005129EB" w:rsidRPr="002F4157" w:rsidRDefault="005129EB" w:rsidP="004652A6">
            <w:pPr>
              <w:spacing w:after="0" w:line="240" w:lineRule="auto"/>
              <w:jc w:val="both"/>
              <w:rPr>
                <w:rFonts w:eastAsia="Times New Roman" w:cs="Arial"/>
                <w:b/>
                <w:bCs/>
                <w:color w:val="000000"/>
                <w:sz w:val="18"/>
                <w:szCs w:val="18"/>
                <w:lang w:val="es-CO" w:eastAsia="es-CO"/>
              </w:rPr>
            </w:pPr>
            <w:r w:rsidRPr="002F4157">
              <w:rPr>
                <w:rFonts w:eastAsia="Times New Roman" w:cs="Arial"/>
                <w:b/>
                <w:bCs/>
                <w:color w:val="000000"/>
                <w:sz w:val="18"/>
                <w:szCs w:val="18"/>
                <w:lang w:val="es-CO" w:eastAsia="es-CO"/>
              </w:rPr>
              <w:t xml:space="preserve">TOTAL </w:t>
            </w:r>
          </w:p>
        </w:tc>
        <w:tc>
          <w:tcPr>
            <w:tcW w:w="1477" w:type="dxa"/>
            <w:shd w:val="clear" w:color="auto" w:fill="auto"/>
            <w:vAlign w:val="center"/>
            <w:hideMark/>
          </w:tcPr>
          <w:p w:rsidR="005129EB" w:rsidRPr="002F4157" w:rsidRDefault="005129EB" w:rsidP="004652A6">
            <w:pPr>
              <w:spacing w:after="0" w:line="240" w:lineRule="auto"/>
              <w:jc w:val="right"/>
              <w:rPr>
                <w:rFonts w:eastAsia="Times New Roman" w:cs="Arial"/>
                <w:b/>
                <w:bCs/>
                <w:color w:val="000000"/>
                <w:sz w:val="18"/>
                <w:szCs w:val="18"/>
                <w:lang w:val="es-CO" w:eastAsia="es-CO"/>
              </w:rPr>
            </w:pPr>
            <w:r w:rsidRPr="002F4157">
              <w:rPr>
                <w:rFonts w:eastAsia="Times New Roman" w:cs="Arial"/>
                <w:b/>
                <w:bCs/>
                <w:color w:val="000000"/>
                <w:sz w:val="18"/>
                <w:szCs w:val="18"/>
                <w:lang w:val="es-CO" w:eastAsia="es-CO"/>
              </w:rPr>
              <w:t>$ 75.613</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b/>
                <w:bCs/>
                <w:sz w:val="18"/>
                <w:szCs w:val="18"/>
                <w:lang w:val="es-CO" w:eastAsia="es-CO"/>
              </w:rPr>
            </w:pPr>
            <w:r w:rsidRPr="002F4157">
              <w:rPr>
                <w:rFonts w:eastAsia="Times New Roman" w:cs="Arial"/>
                <w:b/>
                <w:bCs/>
                <w:sz w:val="18"/>
                <w:szCs w:val="18"/>
                <w:lang w:val="es-CO" w:eastAsia="es-CO"/>
              </w:rPr>
              <w:t>-$ 11.586</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b/>
                <w:bCs/>
                <w:color w:val="000000"/>
                <w:sz w:val="18"/>
                <w:szCs w:val="18"/>
                <w:lang w:val="es-CO" w:eastAsia="es-CO"/>
              </w:rPr>
            </w:pPr>
            <w:r w:rsidRPr="002F4157">
              <w:rPr>
                <w:rFonts w:eastAsia="Times New Roman" w:cs="Arial"/>
                <w:b/>
                <w:bCs/>
                <w:color w:val="000000"/>
                <w:sz w:val="18"/>
                <w:szCs w:val="18"/>
                <w:lang w:val="es-CO" w:eastAsia="es-CO"/>
              </w:rPr>
              <w:t>$ 64.027</w:t>
            </w:r>
          </w:p>
        </w:tc>
        <w:tc>
          <w:tcPr>
            <w:tcW w:w="1464" w:type="dxa"/>
            <w:shd w:val="clear" w:color="auto" w:fill="auto"/>
            <w:vAlign w:val="center"/>
            <w:hideMark/>
          </w:tcPr>
          <w:p w:rsidR="005129EB" w:rsidRPr="002F4157" w:rsidRDefault="005129EB" w:rsidP="004652A6">
            <w:pPr>
              <w:spacing w:after="0" w:line="240" w:lineRule="auto"/>
              <w:jc w:val="right"/>
              <w:rPr>
                <w:rFonts w:eastAsia="Times New Roman" w:cs="Arial"/>
                <w:b/>
                <w:bCs/>
                <w:color w:val="000000"/>
                <w:sz w:val="18"/>
                <w:szCs w:val="18"/>
                <w:lang w:val="es-CO" w:eastAsia="es-CO"/>
              </w:rPr>
            </w:pPr>
            <w:r w:rsidRPr="002F4157">
              <w:rPr>
                <w:rFonts w:eastAsia="Times New Roman" w:cs="Arial"/>
                <w:b/>
                <w:bCs/>
                <w:color w:val="000000"/>
                <w:sz w:val="18"/>
                <w:szCs w:val="18"/>
                <w:lang w:val="es-CO" w:eastAsia="es-CO"/>
              </w:rPr>
              <w:t>$ 54.087</w:t>
            </w:r>
          </w:p>
        </w:tc>
        <w:tc>
          <w:tcPr>
            <w:tcW w:w="862" w:type="dxa"/>
            <w:shd w:val="clear" w:color="auto" w:fill="auto"/>
            <w:vAlign w:val="center"/>
            <w:hideMark/>
          </w:tcPr>
          <w:p w:rsidR="005129EB" w:rsidRPr="002F4157" w:rsidRDefault="005129EB" w:rsidP="004652A6">
            <w:pPr>
              <w:spacing w:after="0" w:line="240" w:lineRule="auto"/>
              <w:jc w:val="right"/>
              <w:rPr>
                <w:rFonts w:eastAsia="Times New Roman" w:cs="Arial"/>
                <w:b/>
                <w:bCs/>
                <w:color w:val="000000"/>
                <w:sz w:val="18"/>
                <w:szCs w:val="18"/>
                <w:lang w:val="es-CO" w:eastAsia="es-CO"/>
              </w:rPr>
            </w:pPr>
            <w:r w:rsidRPr="002F4157">
              <w:rPr>
                <w:rFonts w:eastAsia="Times New Roman" w:cs="Arial"/>
                <w:b/>
                <w:bCs/>
                <w:color w:val="000000"/>
                <w:sz w:val="18"/>
                <w:szCs w:val="18"/>
                <w:lang w:val="es-CO" w:eastAsia="es-CO"/>
              </w:rPr>
              <w:t>84,48%</w:t>
            </w:r>
          </w:p>
        </w:tc>
      </w:tr>
    </w:tbl>
    <w:p w:rsidR="005129EB" w:rsidRPr="002F4157" w:rsidRDefault="005129EB" w:rsidP="005129EB">
      <w:pPr>
        <w:spacing w:after="0" w:line="240" w:lineRule="auto"/>
        <w:jc w:val="both"/>
        <w:rPr>
          <w:rFonts w:cs="Arial"/>
          <w:sz w:val="16"/>
          <w:szCs w:val="16"/>
        </w:rPr>
      </w:pPr>
      <w:r w:rsidRPr="007608C2">
        <w:rPr>
          <w:rFonts w:cs="Arial"/>
        </w:rPr>
        <w:fldChar w:fldCharType="end"/>
      </w:r>
      <w:r w:rsidRPr="007608C2">
        <w:rPr>
          <w:rFonts w:cs="Arial"/>
        </w:rPr>
        <w:fldChar w:fldCharType="end"/>
      </w:r>
      <w:r w:rsidRPr="007608C2">
        <w:rPr>
          <w:rFonts w:cs="Arial"/>
        </w:rPr>
        <w:fldChar w:fldCharType="end"/>
      </w:r>
      <w:r w:rsidRPr="002F4157">
        <w:rPr>
          <w:rFonts w:cs="Arial"/>
          <w:sz w:val="16"/>
          <w:szCs w:val="16"/>
        </w:rPr>
        <w:t xml:space="preserve"> Cifras en millones de $</w:t>
      </w:r>
    </w:p>
    <w:p w:rsidR="005129EB" w:rsidRPr="002F4157" w:rsidRDefault="005129EB" w:rsidP="005129EB">
      <w:pPr>
        <w:spacing w:after="0" w:line="240" w:lineRule="auto"/>
        <w:jc w:val="both"/>
        <w:rPr>
          <w:rFonts w:cs="Arial"/>
          <w:sz w:val="16"/>
          <w:szCs w:val="16"/>
        </w:rPr>
      </w:pPr>
      <w:r w:rsidRPr="002F4157">
        <w:rPr>
          <w:rFonts w:cs="Arial"/>
          <w:sz w:val="16"/>
          <w:szCs w:val="16"/>
        </w:rPr>
        <w:t>Fuente: SIIF NACION</w:t>
      </w:r>
    </w:p>
    <w:p w:rsidR="005129EB" w:rsidRPr="007608C2" w:rsidRDefault="005129EB" w:rsidP="005129EB">
      <w:pPr>
        <w:spacing w:before="100" w:beforeAutospacing="1" w:after="100" w:afterAutospacing="1" w:line="240" w:lineRule="auto"/>
        <w:jc w:val="both"/>
        <w:rPr>
          <w:rFonts w:cs="Arial"/>
        </w:rPr>
      </w:pPr>
      <w:r w:rsidRPr="007608C2">
        <w:rPr>
          <w:rFonts w:cs="Arial"/>
        </w:rPr>
        <w:t>Durante la vigencia 2017, las Direcciones de Información y Tecnología, Financiera, Sistema Nacional de Bienestar Familiar, la Oficina Jurídica, Secretaría General y las Subdirecciones de Monitoreo y Evaluación y de Mejoramiento Organizacional, pagaron el 100% de la reserva trasladada.</w:t>
      </w:r>
    </w:p>
    <w:p w:rsidR="005129EB" w:rsidRPr="007608C2" w:rsidRDefault="005129EB" w:rsidP="005129EB">
      <w:pPr>
        <w:spacing w:before="100" w:beforeAutospacing="1" w:after="100" w:afterAutospacing="1" w:line="240" w:lineRule="auto"/>
        <w:jc w:val="both"/>
        <w:rPr>
          <w:rFonts w:cs="Arial"/>
          <w:b/>
        </w:rPr>
      </w:pPr>
      <w:r w:rsidRPr="007608C2">
        <w:rPr>
          <w:rFonts w:cs="Arial"/>
          <w:b/>
        </w:rPr>
        <w:t xml:space="preserve">Constituidas al cierre de la vigencia 2016: </w:t>
      </w:r>
    </w:p>
    <w:p w:rsidR="002F4157" w:rsidRDefault="005129EB" w:rsidP="005129EB">
      <w:pPr>
        <w:spacing w:after="0" w:line="240" w:lineRule="auto"/>
        <w:jc w:val="both"/>
        <w:rPr>
          <w:rFonts w:cs="Arial"/>
          <w:noProof/>
          <w:color w:val="FF0000"/>
          <w:lang w:eastAsia="es-ES"/>
        </w:rPr>
      </w:pPr>
      <w:r w:rsidRPr="007608C2">
        <w:rPr>
          <w:rFonts w:cs="Arial"/>
          <w:noProof/>
          <w:lang w:eastAsia="es-ES"/>
        </w:rPr>
        <w:t>Al cierre de la Vigencia 2016, el ICBF presentó los siguientes resultados relacionados con la constitución del rezago presupuestal:</w:t>
      </w:r>
    </w:p>
    <w:p w:rsidR="005129EB" w:rsidRPr="007608C2" w:rsidRDefault="005129EB" w:rsidP="005129EB">
      <w:pPr>
        <w:spacing w:after="0" w:line="240" w:lineRule="auto"/>
        <w:jc w:val="both"/>
        <w:rPr>
          <w:rFonts w:cs="Arial"/>
          <w:sz w:val="20"/>
          <w:lang w:val="es-CO" w:eastAsia="es-CO"/>
        </w:rPr>
      </w:pPr>
      <w:r w:rsidRPr="007608C2">
        <w:rPr>
          <w:rFonts w:cs="Arial"/>
          <w:noProof/>
          <w:sz w:val="20"/>
          <w:lang w:eastAsia="es-ES"/>
        </w:rPr>
        <w:fldChar w:fldCharType="begin"/>
      </w:r>
      <w:r w:rsidRPr="007608C2">
        <w:rPr>
          <w:rFonts w:cs="Arial"/>
          <w:noProof/>
          <w:sz w:val="20"/>
          <w:lang w:eastAsia="es-ES"/>
        </w:rPr>
        <w:instrText xml:space="preserve"> LINK Excel.Sheet.12 "Libro1" "Hoja1!F18C4:F20C6" \a \f 4 \h  \* MERGEFORMAT </w:instrText>
      </w:r>
      <w:r w:rsidRPr="007608C2">
        <w:rPr>
          <w:rFonts w:cs="Arial"/>
          <w:noProof/>
          <w:sz w:val="20"/>
          <w:lang w:eastAsia="es-ES"/>
        </w:rPr>
        <w:fldChar w:fldCharType="separate"/>
      </w:r>
    </w:p>
    <w:tbl>
      <w:tblPr>
        <w:tblW w:w="6460" w:type="dxa"/>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2920"/>
        <w:gridCol w:w="2220"/>
        <w:gridCol w:w="1320"/>
      </w:tblGrid>
      <w:tr w:rsidR="005129EB" w:rsidRPr="002F4157" w:rsidTr="002F4157">
        <w:trPr>
          <w:trHeight w:val="315"/>
          <w:jc w:val="center"/>
        </w:trPr>
        <w:tc>
          <w:tcPr>
            <w:tcW w:w="2920" w:type="dxa"/>
            <w:shd w:val="clear" w:color="auto" w:fill="76922E"/>
            <w:vAlign w:val="center"/>
            <w:hideMark/>
          </w:tcPr>
          <w:p w:rsidR="005129EB" w:rsidRPr="002F4157" w:rsidRDefault="002F4157" w:rsidP="004652A6">
            <w:pPr>
              <w:spacing w:after="0" w:line="240" w:lineRule="auto"/>
              <w:jc w:val="both"/>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Rezago Potencial A 31/12/16</w:t>
            </w:r>
          </w:p>
        </w:tc>
        <w:tc>
          <w:tcPr>
            <w:tcW w:w="2220" w:type="dxa"/>
            <w:shd w:val="clear" w:color="auto" w:fill="76922E"/>
            <w:vAlign w:val="center"/>
            <w:hideMark/>
          </w:tcPr>
          <w:p w:rsidR="005129EB" w:rsidRPr="002F4157" w:rsidRDefault="002F4157" w:rsidP="004652A6">
            <w:pPr>
              <w:spacing w:after="0" w:line="240" w:lineRule="auto"/>
              <w:jc w:val="right"/>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 xml:space="preserve"> $ 254.864,84</w:t>
            </w:r>
          </w:p>
        </w:tc>
        <w:tc>
          <w:tcPr>
            <w:tcW w:w="1320" w:type="dxa"/>
            <w:shd w:val="clear" w:color="auto" w:fill="76922E"/>
            <w:vAlign w:val="center"/>
            <w:hideMark/>
          </w:tcPr>
          <w:p w:rsidR="005129EB" w:rsidRPr="002F4157" w:rsidRDefault="002F4157" w:rsidP="004652A6">
            <w:pPr>
              <w:spacing w:after="0" w:line="240" w:lineRule="auto"/>
              <w:jc w:val="right"/>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4,67%</w:t>
            </w:r>
          </w:p>
        </w:tc>
      </w:tr>
      <w:tr w:rsidR="005129EB" w:rsidRPr="002F4157" w:rsidTr="002F4157">
        <w:trPr>
          <w:trHeight w:val="315"/>
          <w:jc w:val="center"/>
        </w:trPr>
        <w:tc>
          <w:tcPr>
            <w:tcW w:w="2920" w:type="dxa"/>
            <w:shd w:val="clear" w:color="auto" w:fill="auto"/>
            <w:vAlign w:val="center"/>
            <w:hideMark/>
          </w:tcPr>
          <w:p w:rsidR="005129EB" w:rsidRPr="002F4157" w:rsidRDefault="002F4157" w:rsidP="004652A6">
            <w:pPr>
              <w:spacing w:after="0" w:line="240" w:lineRule="auto"/>
              <w:jc w:val="both"/>
              <w:rPr>
                <w:rFonts w:eastAsia="Times New Roman" w:cs="Arial"/>
                <w:sz w:val="18"/>
                <w:szCs w:val="18"/>
                <w:lang w:val="es-CO" w:eastAsia="es-CO"/>
              </w:rPr>
            </w:pPr>
            <w:r w:rsidRPr="002F4157">
              <w:rPr>
                <w:rFonts w:eastAsia="Times New Roman" w:cs="Arial"/>
                <w:sz w:val="18"/>
                <w:szCs w:val="18"/>
                <w:lang w:val="es-CO" w:eastAsia="es-CO"/>
              </w:rPr>
              <w:t>Reservas Presupuestales</w:t>
            </w:r>
          </w:p>
        </w:tc>
        <w:tc>
          <w:tcPr>
            <w:tcW w:w="2220"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$ 254.791,26</w:t>
            </w:r>
          </w:p>
        </w:tc>
        <w:tc>
          <w:tcPr>
            <w:tcW w:w="1320"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99,97%</w:t>
            </w:r>
          </w:p>
        </w:tc>
      </w:tr>
      <w:tr w:rsidR="005129EB" w:rsidRPr="002F4157" w:rsidTr="002F4157">
        <w:trPr>
          <w:trHeight w:val="315"/>
          <w:jc w:val="center"/>
        </w:trPr>
        <w:tc>
          <w:tcPr>
            <w:tcW w:w="2920" w:type="dxa"/>
            <w:shd w:val="clear" w:color="auto" w:fill="auto"/>
            <w:vAlign w:val="center"/>
            <w:hideMark/>
          </w:tcPr>
          <w:p w:rsidR="005129EB" w:rsidRPr="002F4157" w:rsidRDefault="002F4157" w:rsidP="004652A6">
            <w:pPr>
              <w:spacing w:after="0" w:line="240" w:lineRule="auto"/>
              <w:jc w:val="both"/>
              <w:rPr>
                <w:rFonts w:eastAsia="Times New Roman" w:cs="Arial"/>
                <w:sz w:val="18"/>
                <w:szCs w:val="18"/>
                <w:lang w:val="es-CO" w:eastAsia="es-CO"/>
              </w:rPr>
            </w:pPr>
            <w:r>
              <w:rPr>
                <w:rFonts w:eastAsia="Times New Roman" w:cs="Arial"/>
                <w:sz w:val="18"/>
                <w:szCs w:val="18"/>
                <w:lang w:val="es-CO" w:eastAsia="es-CO"/>
              </w:rPr>
              <w:t>Cuentas P</w:t>
            </w:r>
            <w:r w:rsidRPr="002F4157">
              <w:rPr>
                <w:rFonts w:eastAsia="Times New Roman" w:cs="Arial"/>
                <w:sz w:val="18"/>
                <w:szCs w:val="18"/>
                <w:lang w:val="es-CO" w:eastAsia="es-CO"/>
              </w:rPr>
              <w:t>or Pagar</w:t>
            </w:r>
          </w:p>
        </w:tc>
        <w:tc>
          <w:tcPr>
            <w:tcW w:w="2220"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$ 73,59</w:t>
            </w:r>
          </w:p>
        </w:tc>
        <w:tc>
          <w:tcPr>
            <w:tcW w:w="1320"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0,03%</w:t>
            </w:r>
          </w:p>
        </w:tc>
      </w:tr>
    </w:tbl>
    <w:p w:rsidR="005129EB" w:rsidRPr="007608C2" w:rsidRDefault="005129EB" w:rsidP="005129EB">
      <w:pPr>
        <w:spacing w:after="0" w:line="240" w:lineRule="auto"/>
        <w:jc w:val="both"/>
        <w:rPr>
          <w:rFonts w:cs="Arial"/>
          <w:sz w:val="20"/>
          <w:lang w:val="es-CO" w:eastAsia="es-CO"/>
        </w:rPr>
      </w:pPr>
      <w:r w:rsidRPr="007608C2">
        <w:rPr>
          <w:rFonts w:cs="Arial"/>
          <w:noProof/>
          <w:sz w:val="20"/>
          <w:lang w:eastAsia="es-ES"/>
        </w:rPr>
        <w:fldChar w:fldCharType="end"/>
      </w:r>
      <w:r w:rsidRPr="007608C2">
        <w:rPr>
          <w:rFonts w:cs="Arial"/>
          <w:noProof/>
          <w:sz w:val="20"/>
          <w:lang w:eastAsia="es-ES"/>
        </w:rPr>
        <w:fldChar w:fldCharType="begin"/>
      </w:r>
      <w:r w:rsidRPr="007608C2">
        <w:rPr>
          <w:rFonts w:cs="Arial"/>
          <w:noProof/>
          <w:sz w:val="20"/>
          <w:lang w:eastAsia="es-ES"/>
        </w:rPr>
        <w:instrText xml:space="preserve"> LINK Excel.Sheet.12 "Libro1" "Hoja1!F23C4:F25C6" \a \f 4 \h  \* MERGEFORMAT </w:instrText>
      </w:r>
      <w:r w:rsidRPr="007608C2">
        <w:rPr>
          <w:rFonts w:cs="Arial"/>
          <w:noProof/>
          <w:sz w:val="20"/>
          <w:lang w:eastAsia="es-ES"/>
        </w:rPr>
        <w:fldChar w:fldCharType="separate"/>
      </w:r>
    </w:p>
    <w:tbl>
      <w:tblPr>
        <w:tblW w:w="6460" w:type="dxa"/>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2920"/>
        <w:gridCol w:w="2220"/>
        <w:gridCol w:w="1320"/>
      </w:tblGrid>
      <w:tr w:rsidR="005129EB" w:rsidRPr="002F4157" w:rsidTr="002F4157">
        <w:trPr>
          <w:trHeight w:val="315"/>
          <w:jc w:val="center"/>
        </w:trPr>
        <w:tc>
          <w:tcPr>
            <w:tcW w:w="2920" w:type="dxa"/>
            <w:shd w:val="clear" w:color="auto" w:fill="76922E"/>
            <w:vAlign w:val="center"/>
            <w:hideMark/>
          </w:tcPr>
          <w:p w:rsidR="005129EB" w:rsidRPr="002F4157" w:rsidRDefault="004005A3" w:rsidP="004005A3">
            <w:pPr>
              <w:spacing w:after="0" w:line="240" w:lineRule="auto"/>
              <w:jc w:val="center"/>
              <w:rPr>
                <w:rFonts w:eastAsia="Times New Roman" w:cs="Arial"/>
                <w:b/>
                <w:bCs/>
                <w:color w:val="FFFFFF" w:themeColor="background1"/>
                <w:sz w:val="18"/>
                <w:szCs w:val="18"/>
                <w:lang w:val="es-CO" w:eastAsia="es-CO"/>
              </w:rPr>
            </w:pPr>
            <w:r>
              <w:rPr>
                <w:rFonts w:eastAsia="Times New Roman" w:cs="Arial"/>
                <w:b/>
                <w:bCs/>
                <w:color w:val="FFFFFF" w:themeColor="background1"/>
                <w:sz w:val="18"/>
                <w:szCs w:val="18"/>
                <w:lang w:val="es-CO" w:eastAsia="es-CO"/>
              </w:rPr>
              <w:lastRenderedPageBreak/>
              <w:t xml:space="preserve">Rezago Trasladado al </w:t>
            </w:r>
            <w:r w:rsidR="002F4157" w:rsidRPr="002F4157">
              <w:rPr>
                <w:rFonts w:eastAsia="Times New Roman" w:cs="Arial"/>
                <w:b/>
                <w:bCs/>
                <w:color w:val="FFFFFF" w:themeColor="background1"/>
                <w:sz w:val="18"/>
                <w:szCs w:val="18"/>
                <w:lang w:val="es-CO" w:eastAsia="es-CO"/>
              </w:rPr>
              <w:t>20/01/2017</w:t>
            </w:r>
          </w:p>
        </w:tc>
        <w:tc>
          <w:tcPr>
            <w:tcW w:w="2220" w:type="dxa"/>
            <w:shd w:val="clear" w:color="auto" w:fill="76922E"/>
            <w:vAlign w:val="center"/>
            <w:hideMark/>
          </w:tcPr>
          <w:p w:rsidR="005129EB" w:rsidRPr="002F4157" w:rsidRDefault="002F4157" w:rsidP="004005A3">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$ 225.134,03</w:t>
            </w:r>
          </w:p>
        </w:tc>
        <w:tc>
          <w:tcPr>
            <w:tcW w:w="1320" w:type="dxa"/>
            <w:shd w:val="clear" w:color="auto" w:fill="76922E"/>
            <w:vAlign w:val="center"/>
            <w:hideMark/>
          </w:tcPr>
          <w:p w:rsidR="005129EB" w:rsidRPr="002F4157" w:rsidRDefault="002F4157" w:rsidP="004005A3">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4,13%</w:t>
            </w:r>
          </w:p>
        </w:tc>
      </w:tr>
      <w:tr w:rsidR="005129EB" w:rsidRPr="002F4157" w:rsidTr="002F4157">
        <w:trPr>
          <w:trHeight w:val="315"/>
          <w:jc w:val="center"/>
        </w:trPr>
        <w:tc>
          <w:tcPr>
            <w:tcW w:w="2920" w:type="dxa"/>
            <w:shd w:val="clear" w:color="auto" w:fill="auto"/>
            <w:vAlign w:val="center"/>
            <w:hideMark/>
          </w:tcPr>
          <w:p w:rsidR="005129EB" w:rsidRPr="002F4157" w:rsidRDefault="002F4157" w:rsidP="004652A6">
            <w:pPr>
              <w:spacing w:after="0" w:line="240" w:lineRule="auto"/>
              <w:jc w:val="both"/>
              <w:rPr>
                <w:rFonts w:eastAsia="Times New Roman" w:cs="Arial"/>
                <w:sz w:val="18"/>
                <w:szCs w:val="18"/>
                <w:lang w:val="es-CO" w:eastAsia="es-CO"/>
              </w:rPr>
            </w:pPr>
            <w:r w:rsidRPr="002F4157">
              <w:rPr>
                <w:rFonts w:eastAsia="Times New Roman" w:cs="Arial"/>
                <w:sz w:val="18"/>
                <w:szCs w:val="18"/>
                <w:lang w:val="es-CO" w:eastAsia="es-CO"/>
              </w:rPr>
              <w:t>Reservas Presupuestales</w:t>
            </w:r>
          </w:p>
        </w:tc>
        <w:tc>
          <w:tcPr>
            <w:tcW w:w="2220"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$ 75.613,87</w:t>
            </w:r>
          </w:p>
        </w:tc>
        <w:tc>
          <w:tcPr>
            <w:tcW w:w="1320"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33,59%</w:t>
            </w:r>
          </w:p>
        </w:tc>
      </w:tr>
      <w:tr w:rsidR="005129EB" w:rsidRPr="002F4157" w:rsidTr="002F4157">
        <w:trPr>
          <w:trHeight w:val="315"/>
          <w:jc w:val="center"/>
        </w:trPr>
        <w:tc>
          <w:tcPr>
            <w:tcW w:w="2920" w:type="dxa"/>
            <w:shd w:val="clear" w:color="auto" w:fill="auto"/>
            <w:vAlign w:val="center"/>
            <w:hideMark/>
          </w:tcPr>
          <w:p w:rsidR="005129EB" w:rsidRPr="002F4157" w:rsidRDefault="002F4157" w:rsidP="004652A6">
            <w:pPr>
              <w:spacing w:after="0" w:line="240" w:lineRule="auto"/>
              <w:jc w:val="both"/>
              <w:rPr>
                <w:rFonts w:eastAsia="Times New Roman" w:cs="Arial"/>
                <w:sz w:val="18"/>
                <w:szCs w:val="18"/>
                <w:lang w:val="es-CO" w:eastAsia="es-CO"/>
              </w:rPr>
            </w:pPr>
            <w:r w:rsidRPr="002F4157">
              <w:rPr>
                <w:rFonts w:eastAsia="Times New Roman" w:cs="Arial"/>
                <w:sz w:val="18"/>
                <w:szCs w:val="18"/>
                <w:lang w:val="es-CO" w:eastAsia="es-CO"/>
              </w:rPr>
              <w:t>Cuentas Por Pagar</w:t>
            </w:r>
          </w:p>
        </w:tc>
        <w:tc>
          <w:tcPr>
            <w:tcW w:w="2220"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$ 149.520,16</w:t>
            </w:r>
          </w:p>
        </w:tc>
        <w:tc>
          <w:tcPr>
            <w:tcW w:w="1320" w:type="dxa"/>
            <w:shd w:val="clear" w:color="auto" w:fill="auto"/>
            <w:vAlign w:val="center"/>
            <w:hideMark/>
          </w:tcPr>
          <w:p w:rsidR="005129EB" w:rsidRPr="002F4157" w:rsidRDefault="005129EB" w:rsidP="004652A6">
            <w:pPr>
              <w:spacing w:after="0" w:line="240" w:lineRule="auto"/>
              <w:jc w:val="right"/>
              <w:rPr>
                <w:rFonts w:eastAsia="Times New Roman" w:cs="Arial"/>
                <w:sz w:val="18"/>
                <w:szCs w:val="18"/>
                <w:lang w:val="es-CO" w:eastAsia="es-CO"/>
              </w:rPr>
            </w:pPr>
            <w:r w:rsidRPr="002F4157">
              <w:rPr>
                <w:rFonts w:eastAsia="Times New Roman" w:cs="Arial"/>
                <w:sz w:val="18"/>
                <w:szCs w:val="18"/>
                <w:lang w:val="es-CO" w:eastAsia="es-CO"/>
              </w:rPr>
              <w:t>66,41%</w:t>
            </w:r>
          </w:p>
        </w:tc>
      </w:tr>
    </w:tbl>
    <w:p w:rsidR="005129EB" w:rsidRPr="002F4157" w:rsidRDefault="005129EB" w:rsidP="005129EB">
      <w:pPr>
        <w:spacing w:after="0" w:line="240" w:lineRule="auto"/>
        <w:jc w:val="both"/>
        <w:rPr>
          <w:rFonts w:cs="Arial"/>
          <w:sz w:val="16"/>
          <w:szCs w:val="16"/>
        </w:rPr>
      </w:pPr>
      <w:r w:rsidRPr="007608C2">
        <w:rPr>
          <w:rFonts w:cs="Arial"/>
          <w:noProof/>
          <w:sz w:val="20"/>
          <w:lang w:eastAsia="es-ES"/>
        </w:rPr>
        <w:fldChar w:fldCharType="end"/>
      </w:r>
      <w:r w:rsidRPr="007608C2">
        <w:rPr>
          <w:rFonts w:cs="Arial"/>
        </w:rPr>
        <w:t xml:space="preserve"> </w:t>
      </w:r>
      <w:r w:rsidRPr="007608C2">
        <w:rPr>
          <w:rFonts w:cs="Arial"/>
        </w:rPr>
        <w:tab/>
      </w:r>
      <w:r w:rsidRPr="007608C2">
        <w:rPr>
          <w:rFonts w:cs="Arial"/>
        </w:rPr>
        <w:tab/>
      </w:r>
      <w:r w:rsidRPr="002F4157">
        <w:rPr>
          <w:rFonts w:cs="Arial"/>
          <w:sz w:val="16"/>
          <w:szCs w:val="16"/>
        </w:rPr>
        <w:t xml:space="preserve"> Fuente: SIIF NACION</w:t>
      </w:r>
    </w:p>
    <w:p w:rsidR="005129EB" w:rsidRPr="007608C2" w:rsidRDefault="005129EB" w:rsidP="005129EB">
      <w:pPr>
        <w:spacing w:before="100" w:beforeAutospacing="1" w:after="100" w:afterAutospacing="1" w:line="240" w:lineRule="auto"/>
        <w:jc w:val="both"/>
        <w:rPr>
          <w:rFonts w:cs="Arial"/>
          <w:noProof/>
          <w:lang w:eastAsia="es-ES"/>
        </w:rPr>
      </w:pPr>
      <w:r w:rsidRPr="007608C2">
        <w:rPr>
          <w:rFonts w:cs="Arial"/>
          <w:noProof/>
          <w:lang w:eastAsia="es-ES"/>
        </w:rPr>
        <w:t>El cuadro anterior revela la situación presentada el 31 de diciembre en la cual se determinaron reservas presupuestales potenciales por $ 254.791 millones, correspondientes al 99.97% del total del rezago potencial (254.864 millones), y obligaciones potenciales por $ 73 millones equivalentes al 0.03%.</w:t>
      </w:r>
    </w:p>
    <w:p w:rsidR="008D7C76" w:rsidRPr="007F3B58" w:rsidRDefault="005129EB" w:rsidP="007F3B58">
      <w:pPr>
        <w:spacing w:before="100" w:beforeAutospacing="1" w:after="100" w:afterAutospacing="1" w:line="240" w:lineRule="auto"/>
        <w:jc w:val="both"/>
        <w:rPr>
          <w:rFonts w:cs="Arial"/>
          <w:noProof/>
          <w:lang w:eastAsia="es-ES"/>
        </w:rPr>
      </w:pPr>
      <w:r w:rsidRPr="007608C2">
        <w:rPr>
          <w:rFonts w:cs="Arial"/>
          <w:noProof/>
          <w:lang w:eastAsia="es-ES"/>
        </w:rPr>
        <w:t>Durante el período habilitado por el MHCP para el traslado de documentos en SIIF Nación,  las reservas presupuestales definitivas ascendieorn a $ 75.613 millones (equivalentes al 33.59% del rezago trasladado $225.134 millones), y las obligaciones de cuentas por pagar $ 149.520 millo</w:t>
      </w:r>
      <w:r w:rsidR="007F3B58">
        <w:rPr>
          <w:rFonts w:cs="Arial"/>
          <w:noProof/>
          <w:lang w:eastAsia="es-ES"/>
        </w:rPr>
        <w:t>nes correspondientes al 66.41%.</w:t>
      </w:r>
    </w:p>
    <w:p w:rsidR="008D7C76" w:rsidRPr="007608C2" w:rsidRDefault="008D7C76" w:rsidP="008D7C76">
      <w:pPr>
        <w:pStyle w:val="Prrafodelista"/>
        <w:numPr>
          <w:ilvl w:val="1"/>
          <w:numId w:val="2"/>
        </w:numPr>
        <w:spacing w:before="100" w:beforeAutospacing="1" w:after="100" w:afterAutospacing="1" w:line="240" w:lineRule="auto"/>
        <w:jc w:val="both"/>
        <w:outlineLvl w:val="0"/>
        <w:rPr>
          <w:rFonts w:cs="Arial"/>
          <w:b/>
        </w:rPr>
      </w:pPr>
      <w:bookmarkStart w:id="15" w:name="_Toc505183030"/>
      <w:r>
        <w:rPr>
          <w:rFonts w:eastAsiaTheme="majorEastAsia" w:cs="Arial"/>
          <w:b/>
        </w:rPr>
        <w:t>LOGROS 2017</w:t>
      </w:r>
      <w:bookmarkEnd w:id="15"/>
      <w:r>
        <w:rPr>
          <w:rFonts w:eastAsiaTheme="majorEastAsia" w:cs="Arial"/>
          <w:b/>
        </w:rPr>
        <w:t xml:space="preserve"> </w:t>
      </w:r>
    </w:p>
    <w:p w:rsidR="005129EB" w:rsidRPr="007608C2" w:rsidRDefault="005129EB" w:rsidP="005129EB">
      <w:pPr>
        <w:spacing w:before="100" w:beforeAutospacing="1" w:after="100" w:afterAutospacing="1" w:line="240" w:lineRule="auto"/>
        <w:jc w:val="both"/>
        <w:rPr>
          <w:rFonts w:cs="Arial"/>
        </w:rPr>
      </w:pPr>
      <w:r w:rsidRPr="007608C2">
        <w:rPr>
          <w:rFonts w:cs="Arial"/>
        </w:rPr>
        <w:t>La ejecución presupuestal (compromisos), registrada en 2017 del ICBF es la mejor de su historia “49 AÑOS”. Por otro lado, la obligación registrada es la más alta desde el 2011 y superamos las metas planteadas con Presidencia (portal de transparencia económica) y DPS.</w:t>
      </w:r>
    </w:p>
    <w:p w:rsidR="005129EB" w:rsidRPr="007608C2" w:rsidRDefault="005129EB" w:rsidP="005129EB">
      <w:pPr>
        <w:spacing w:before="100" w:beforeAutospacing="1" w:after="100" w:afterAutospacing="1" w:line="240" w:lineRule="auto"/>
        <w:jc w:val="both"/>
        <w:rPr>
          <w:rFonts w:cs="Arial"/>
        </w:rPr>
      </w:pPr>
      <w:r w:rsidRPr="007608C2">
        <w:rPr>
          <w:rFonts w:cs="Arial"/>
        </w:rPr>
        <w:t>Los resultados registrados de los niveles de ejecución presupuestal  en compromisos y obligaciones del ICBF al  cierre de la vigencia 2017, son producto de la implementación de estrategias de seguimiento permanente  con el fin de garantizar la ejecución del 100% de los recursos, con miras a cumplir el  objetivo planteado por la Dirección General y ejecutado por la Secretaria General a través de la Dirección Financiera en conjunto con las Áreas de la Sede de la Dirección General frente a la ejecución eficaz de los recursos de la entidad.</w:t>
      </w:r>
    </w:p>
    <w:p w:rsidR="005129EB" w:rsidRPr="007608C2" w:rsidRDefault="005129EB" w:rsidP="005129EB">
      <w:pPr>
        <w:spacing w:before="100" w:beforeAutospacing="1" w:after="100" w:afterAutospacing="1" w:line="240" w:lineRule="auto"/>
        <w:jc w:val="both"/>
        <w:rPr>
          <w:rFonts w:cs="Arial"/>
        </w:rPr>
      </w:pPr>
      <w:r w:rsidRPr="007608C2">
        <w:rPr>
          <w:rFonts w:cs="Arial"/>
        </w:rPr>
        <w:t>Durante el año 2017 se llevaron a cabo 4 encuentros Macro regionales en los que se realizaron jornadas de capacitación y actualización con los equipos financieros de todas las Regionales del ICBF, con lo que se logró atender temáticas fundamentales, aclarar dudas importantes y concertar compromisos para solucionar inconvenientes y problemáticas presentadas en el ámbito del proceso financiero de las distintas Regionales.</w:t>
      </w:r>
    </w:p>
    <w:p w:rsidR="005129EB" w:rsidRPr="007608C2" w:rsidRDefault="005129EB" w:rsidP="005129EB">
      <w:pPr>
        <w:spacing w:before="100" w:beforeAutospacing="1" w:after="100" w:afterAutospacing="1" w:line="240" w:lineRule="auto"/>
        <w:jc w:val="both"/>
        <w:rPr>
          <w:rFonts w:cs="Arial"/>
        </w:rPr>
      </w:pPr>
      <w:r w:rsidRPr="007608C2">
        <w:rPr>
          <w:rFonts w:cs="Arial"/>
        </w:rPr>
        <w:t>Con la expedición de la Circular 009 del 5 de mayo de 2017 y el alcance a la circular 004 de 2017, se definieron los plazos para que los Gerentes de recursos  tramitarán los traslados presupuestales, disminuyendo en alto grado la emisión de Resoluciones de modificación presupuestal frente al 2016, arrojando resultados favorables en la reducción  del impacto y desgaste administrativo producto de las asignaciones repetitivas de apropiación por parte delas áreas a las distintas Regionales del ICBF.</w:t>
      </w:r>
    </w:p>
    <w:p w:rsidR="005129EB" w:rsidRPr="007608C2" w:rsidRDefault="005129EB" w:rsidP="005129EB">
      <w:pPr>
        <w:spacing w:before="100" w:beforeAutospacing="1" w:after="100" w:afterAutospacing="1" w:line="240" w:lineRule="auto"/>
        <w:jc w:val="both"/>
        <w:rPr>
          <w:rFonts w:cs="Arial"/>
        </w:rPr>
      </w:pPr>
      <w:r w:rsidRPr="007608C2">
        <w:rPr>
          <w:rFonts w:cs="Arial"/>
        </w:rPr>
        <w:t xml:space="preserve">Un aspecto relevante y trascendental que marcó la diferencia durante el 2017 ha sido la puesta en marcha, estabilización y funcionabilidad del Aplicativo de Análisis y Seguimiento Presupuestal ASP-NMF, producto las actividades encabezadas por el Grupo de Presupuesto de la Dirección Financiera , adelantando capacitaciones presenciales y en línea, con las distintas áreas de la </w:t>
      </w:r>
      <w:r w:rsidRPr="007608C2">
        <w:rPr>
          <w:rFonts w:cs="Arial"/>
        </w:rPr>
        <w:lastRenderedPageBreak/>
        <w:t>Sede Nacional y las 33 Regionales del ICBF, sumado a las labores de campo en las Regionales Bogotá y Valle y reportando casos de uso para el mejoramiento de la herramienta, todo esto con el fin que las Regionales y Áreas y Gerentes de Recursos adelanten el seguimiento a la ejecución presupuestal cada mes.</w:t>
      </w:r>
    </w:p>
    <w:p w:rsidR="005129EB" w:rsidRPr="007608C2" w:rsidRDefault="005129EB" w:rsidP="005129EB">
      <w:pPr>
        <w:spacing w:before="100" w:beforeAutospacing="1" w:after="100" w:afterAutospacing="1" w:line="240" w:lineRule="auto"/>
        <w:jc w:val="both"/>
        <w:rPr>
          <w:rFonts w:cs="Arial"/>
        </w:rPr>
      </w:pPr>
      <w:r w:rsidRPr="007608C2">
        <w:rPr>
          <w:rFonts w:cs="Arial"/>
        </w:rPr>
        <w:t>Desde el grupo de Presupuesto fueron reportados mes a mes a las distintas Regionales y a las Áreas de la Sede Nacional los informes de seguimiento con Certificados de Disponibilidad Presupuestal recurrentes generando alertas con el fin de identificar las razones por las cuales se encontraban saldos en los mimos con periodicidad de 90 días sin movimientos, lo que ha permitió el seguimiento y utilización de los recursos oportunamente.</w:t>
      </w:r>
    </w:p>
    <w:p w:rsidR="005129EB" w:rsidRPr="007608C2" w:rsidRDefault="005129EB" w:rsidP="005129EB">
      <w:pPr>
        <w:spacing w:before="100" w:beforeAutospacing="1" w:after="100" w:afterAutospacing="1" w:line="240" w:lineRule="auto"/>
        <w:jc w:val="both"/>
        <w:rPr>
          <w:rFonts w:cs="Arial"/>
        </w:rPr>
      </w:pPr>
      <w:r w:rsidRPr="007608C2">
        <w:rPr>
          <w:rFonts w:cs="Arial"/>
        </w:rPr>
        <w:t>Finalmente, producto de la gestión de monitoreo y control adelantada desde la Dirección Financiera en coordinación con el Grupo de Presupuesto y al seguimiento exhaustivo de la ejecución presupuestal, por áreas y Regionales del ICBF, se logró resultados históricos respecto a la ejecución de la vigencia 2016 y anteriores.</w:t>
      </w:r>
    </w:p>
    <w:tbl>
      <w:tblPr>
        <w:tblW w:w="9335"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408"/>
        <w:gridCol w:w="2126"/>
        <w:gridCol w:w="2067"/>
        <w:gridCol w:w="1867"/>
        <w:gridCol w:w="1867"/>
      </w:tblGrid>
      <w:tr w:rsidR="005129EB" w:rsidRPr="007608C2" w:rsidTr="002F4157">
        <w:trPr>
          <w:trHeight w:val="244"/>
        </w:trPr>
        <w:tc>
          <w:tcPr>
            <w:tcW w:w="1408" w:type="dxa"/>
            <w:shd w:val="clear" w:color="auto" w:fill="76922E"/>
            <w:noWrap/>
            <w:vAlign w:val="center"/>
            <w:hideMark/>
          </w:tcPr>
          <w:p w:rsidR="005129EB" w:rsidRPr="002F4157" w:rsidRDefault="002F4157" w:rsidP="004652A6">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Vigencia</w:t>
            </w:r>
          </w:p>
        </w:tc>
        <w:tc>
          <w:tcPr>
            <w:tcW w:w="2126" w:type="dxa"/>
            <w:shd w:val="clear" w:color="auto" w:fill="76922E"/>
            <w:noWrap/>
            <w:vAlign w:val="center"/>
            <w:hideMark/>
          </w:tcPr>
          <w:p w:rsidR="005129EB" w:rsidRPr="002F4157" w:rsidRDefault="002F4157" w:rsidP="004652A6">
            <w:pPr>
              <w:spacing w:after="0" w:line="240" w:lineRule="auto"/>
              <w:jc w:val="center"/>
              <w:rPr>
                <w:rFonts w:eastAsia="Times New Roman" w:cs="Arial"/>
                <w:b/>
                <w:bCs/>
                <w:color w:val="FFFFFF" w:themeColor="background1"/>
                <w:sz w:val="18"/>
                <w:szCs w:val="18"/>
                <w:lang w:val="es-CO" w:eastAsia="es-CO"/>
              </w:rPr>
            </w:pPr>
            <w:r>
              <w:rPr>
                <w:rFonts w:eastAsia="Times New Roman" w:cs="Arial"/>
                <w:b/>
                <w:bCs/>
                <w:color w:val="FFFFFF" w:themeColor="background1"/>
                <w:sz w:val="18"/>
                <w:szCs w:val="18"/>
                <w:lang w:val="es-CO" w:eastAsia="es-CO"/>
              </w:rPr>
              <w:t>Apropiación</w:t>
            </w:r>
            <w:r w:rsidRPr="002F4157">
              <w:rPr>
                <w:rFonts w:eastAsia="Times New Roman" w:cs="Arial"/>
                <w:b/>
                <w:bCs/>
                <w:color w:val="FFFFFF" w:themeColor="background1"/>
                <w:sz w:val="18"/>
                <w:szCs w:val="18"/>
                <w:lang w:val="es-CO" w:eastAsia="es-CO"/>
              </w:rPr>
              <w:t xml:space="preserve"> Vigente</w:t>
            </w:r>
          </w:p>
        </w:tc>
        <w:tc>
          <w:tcPr>
            <w:tcW w:w="2067" w:type="dxa"/>
            <w:shd w:val="clear" w:color="auto" w:fill="76922E"/>
            <w:noWrap/>
            <w:vAlign w:val="center"/>
            <w:hideMark/>
          </w:tcPr>
          <w:p w:rsidR="005129EB" w:rsidRPr="002F4157" w:rsidRDefault="002F4157" w:rsidP="004652A6">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Compromisos</w:t>
            </w:r>
          </w:p>
        </w:tc>
        <w:tc>
          <w:tcPr>
            <w:tcW w:w="1867" w:type="dxa"/>
            <w:shd w:val="clear" w:color="auto" w:fill="76922E"/>
            <w:noWrap/>
            <w:vAlign w:val="center"/>
            <w:hideMark/>
          </w:tcPr>
          <w:p w:rsidR="005129EB" w:rsidRPr="002F4157" w:rsidRDefault="002F4157" w:rsidP="004652A6">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Obligaciones</w:t>
            </w:r>
          </w:p>
        </w:tc>
        <w:tc>
          <w:tcPr>
            <w:tcW w:w="1867" w:type="dxa"/>
            <w:shd w:val="clear" w:color="auto" w:fill="76922E"/>
            <w:noWrap/>
            <w:vAlign w:val="center"/>
            <w:hideMark/>
          </w:tcPr>
          <w:p w:rsidR="005129EB" w:rsidRPr="002F4157" w:rsidRDefault="002F4157" w:rsidP="004652A6">
            <w:pPr>
              <w:spacing w:after="0" w:line="240" w:lineRule="auto"/>
              <w:jc w:val="center"/>
              <w:rPr>
                <w:rFonts w:eastAsia="Times New Roman" w:cs="Arial"/>
                <w:b/>
                <w:bCs/>
                <w:color w:val="FFFFFF" w:themeColor="background1"/>
                <w:sz w:val="18"/>
                <w:szCs w:val="18"/>
                <w:lang w:val="es-CO" w:eastAsia="es-CO"/>
              </w:rPr>
            </w:pPr>
            <w:r w:rsidRPr="002F4157">
              <w:rPr>
                <w:rFonts w:eastAsia="Times New Roman" w:cs="Arial"/>
                <w:b/>
                <w:bCs/>
                <w:color w:val="FFFFFF" w:themeColor="background1"/>
                <w:sz w:val="18"/>
                <w:szCs w:val="18"/>
                <w:lang w:val="es-CO" w:eastAsia="es-CO"/>
              </w:rPr>
              <w:t>Pagos</w:t>
            </w:r>
          </w:p>
        </w:tc>
      </w:tr>
      <w:tr w:rsidR="005129EB" w:rsidRPr="007608C2" w:rsidTr="002F4157">
        <w:trPr>
          <w:trHeight w:val="244"/>
        </w:trPr>
        <w:tc>
          <w:tcPr>
            <w:tcW w:w="1408" w:type="dxa"/>
            <w:vMerge w:val="restart"/>
            <w:shd w:val="clear" w:color="auto" w:fill="auto"/>
            <w:noWrap/>
            <w:vAlign w:val="center"/>
            <w:hideMark/>
          </w:tcPr>
          <w:p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2017</w:t>
            </w:r>
          </w:p>
        </w:tc>
        <w:tc>
          <w:tcPr>
            <w:tcW w:w="2126" w:type="dxa"/>
            <w:vMerge w:val="restart"/>
            <w:shd w:val="clear" w:color="auto" w:fill="auto"/>
            <w:noWrap/>
            <w:vAlign w:val="center"/>
            <w:hideMark/>
          </w:tcPr>
          <w:p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$ 6.105.754,60</w:t>
            </w:r>
          </w:p>
        </w:tc>
        <w:tc>
          <w:tcPr>
            <w:tcW w:w="2067" w:type="dxa"/>
            <w:shd w:val="clear" w:color="auto" w:fill="auto"/>
            <w:noWrap/>
            <w:vAlign w:val="center"/>
            <w:hideMark/>
          </w:tcPr>
          <w:p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$ 6.079.405,64</w:t>
            </w:r>
          </w:p>
        </w:tc>
        <w:tc>
          <w:tcPr>
            <w:tcW w:w="1867" w:type="dxa"/>
            <w:shd w:val="clear" w:color="auto" w:fill="auto"/>
            <w:noWrap/>
            <w:vAlign w:val="center"/>
            <w:hideMark/>
          </w:tcPr>
          <w:p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$ 5.985.553,09</w:t>
            </w:r>
          </w:p>
        </w:tc>
        <w:tc>
          <w:tcPr>
            <w:tcW w:w="1867" w:type="dxa"/>
            <w:shd w:val="clear" w:color="auto" w:fill="auto"/>
            <w:noWrap/>
            <w:vAlign w:val="center"/>
            <w:hideMark/>
          </w:tcPr>
          <w:p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$ 5.904.101,90</w:t>
            </w:r>
          </w:p>
        </w:tc>
      </w:tr>
      <w:tr w:rsidR="005129EB" w:rsidRPr="007608C2" w:rsidTr="002F4157">
        <w:trPr>
          <w:trHeight w:val="244"/>
        </w:trPr>
        <w:tc>
          <w:tcPr>
            <w:tcW w:w="1408" w:type="dxa"/>
            <w:vMerge/>
            <w:shd w:val="clear" w:color="auto" w:fill="auto"/>
            <w:vAlign w:val="center"/>
            <w:hideMark/>
          </w:tcPr>
          <w:p w:rsidR="005129EB" w:rsidRPr="007608C2" w:rsidRDefault="005129EB" w:rsidP="004652A6">
            <w:pPr>
              <w:spacing w:after="0" w:line="240" w:lineRule="auto"/>
              <w:rPr>
                <w:rFonts w:eastAsia="Times New Roman" w:cs="Arial"/>
                <w:color w:val="000000"/>
                <w:sz w:val="18"/>
                <w:szCs w:val="18"/>
                <w:lang w:val="es-CO" w:eastAsia="es-CO"/>
              </w:rPr>
            </w:pPr>
          </w:p>
        </w:tc>
        <w:tc>
          <w:tcPr>
            <w:tcW w:w="2126" w:type="dxa"/>
            <w:vMerge/>
            <w:shd w:val="clear" w:color="auto" w:fill="auto"/>
            <w:vAlign w:val="center"/>
            <w:hideMark/>
          </w:tcPr>
          <w:p w:rsidR="005129EB" w:rsidRPr="007608C2" w:rsidRDefault="005129EB" w:rsidP="004652A6">
            <w:pPr>
              <w:spacing w:after="0" w:line="240" w:lineRule="auto"/>
              <w:rPr>
                <w:rFonts w:eastAsia="Times New Roman" w:cs="Arial"/>
                <w:color w:val="000000"/>
                <w:sz w:val="18"/>
                <w:szCs w:val="18"/>
                <w:lang w:val="es-CO" w:eastAsia="es-CO"/>
              </w:rPr>
            </w:pPr>
          </w:p>
        </w:tc>
        <w:tc>
          <w:tcPr>
            <w:tcW w:w="2067" w:type="dxa"/>
            <w:shd w:val="clear" w:color="auto" w:fill="auto"/>
            <w:noWrap/>
            <w:vAlign w:val="center"/>
            <w:hideMark/>
          </w:tcPr>
          <w:p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99,57%</w:t>
            </w:r>
          </w:p>
        </w:tc>
        <w:tc>
          <w:tcPr>
            <w:tcW w:w="1867" w:type="dxa"/>
            <w:shd w:val="clear" w:color="auto" w:fill="auto"/>
            <w:noWrap/>
            <w:vAlign w:val="center"/>
            <w:hideMark/>
          </w:tcPr>
          <w:p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98,03%</w:t>
            </w:r>
          </w:p>
        </w:tc>
        <w:tc>
          <w:tcPr>
            <w:tcW w:w="1867" w:type="dxa"/>
            <w:shd w:val="clear" w:color="auto" w:fill="auto"/>
            <w:noWrap/>
            <w:vAlign w:val="center"/>
            <w:hideMark/>
          </w:tcPr>
          <w:p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96,70%</w:t>
            </w:r>
          </w:p>
        </w:tc>
      </w:tr>
      <w:tr w:rsidR="005129EB" w:rsidRPr="007608C2" w:rsidTr="002F4157">
        <w:trPr>
          <w:trHeight w:val="244"/>
        </w:trPr>
        <w:tc>
          <w:tcPr>
            <w:tcW w:w="1408" w:type="dxa"/>
            <w:vMerge w:val="restart"/>
            <w:shd w:val="clear" w:color="auto" w:fill="auto"/>
            <w:noWrap/>
            <w:vAlign w:val="center"/>
            <w:hideMark/>
          </w:tcPr>
          <w:p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2016</w:t>
            </w:r>
          </w:p>
        </w:tc>
        <w:tc>
          <w:tcPr>
            <w:tcW w:w="2126" w:type="dxa"/>
            <w:vMerge w:val="restart"/>
            <w:shd w:val="clear" w:color="auto" w:fill="auto"/>
            <w:noWrap/>
            <w:vAlign w:val="center"/>
            <w:hideMark/>
          </w:tcPr>
          <w:p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$ 5.457.586,45</w:t>
            </w:r>
          </w:p>
        </w:tc>
        <w:tc>
          <w:tcPr>
            <w:tcW w:w="2067" w:type="dxa"/>
            <w:shd w:val="clear" w:color="auto" w:fill="auto"/>
            <w:noWrap/>
            <w:vAlign w:val="center"/>
            <w:hideMark/>
          </w:tcPr>
          <w:p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$ 5.424.751,72</w:t>
            </w:r>
          </w:p>
        </w:tc>
        <w:tc>
          <w:tcPr>
            <w:tcW w:w="1867" w:type="dxa"/>
            <w:shd w:val="clear" w:color="auto" w:fill="auto"/>
            <w:noWrap/>
            <w:vAlign w:val="center"/>
            <w:hideMark/>
          </w:tcPr>
          <w:p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$ 5.319.407,24</w:t>
            </w:r>
          </w:p>
        </w:tc>
        <w:tc>
          <w:tcPr>
            <w:tcW w:w="1867" w:type="dxa"/>
            <w:shd w:val="clear" w:color="auto" w:fill="auto"/>
            <w:noWrap/>
            <w:vAlign w:val="center"/>
            <w:hideMark/>
          </w:tcPr>
          <w:p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$ 5.169.886,87</w:t>
            </w:r>
          </w:p>
        </w:tc>
      </w:tr>
      <w:tr w:rsidR="005129EB" w:rsidRPr="007608C2" w:rsidTr="002F4157">
        <w:trPr>
          <w:trHeight w:val="244"/>
        </w:trPr>
        <w:tc>
          <w:tcPr>
            <w:tcW w:w="1408" w:type="dxa"/>
            <w:vMerge/>
            <w:shd w:val="clear" w:color="auto" w:fill="auto"/>
            <w:vAlign w:val="center"/>
            <w:hideMark/>
          </w:tcPr>
          <w:p w:rsidR="005129EB" w:rsidRPr="007608C2" w:rsidRDefault="005129EB" w:rsidP="004652A6">
            <w:pPr>
              <w:spacing w:after="0" w:line="240" w:lineRule="auto"/>
              <w:rPr>
                <w:rFonts w:eastAsia="Times New Roman" w:cs="Arial"/>
                <w:color w:val="000000"/>
                <w:sz w:val="18"/>
                <w:szCs w:val="18"/>
                <w:lang w:val="es-CO" w:eastAsia="es-CO"/>
              </w:rPr>
            </w:pPr>
          </w:p>
        </w:tc>
        <w:tc>
          <w:tcPr>
            <w:tcW w:w="2126" w:type="dxa"/>
            <w:vMerge/>
            <w:shd w:val="clear" w:color="auto" w:fill="auto"/>
            <w:vAlign w:val="center"/>
            <w:hideMark/>
          </w:tcPr>
          <w:p w:rsidR="005129EB" w:rsidRPr="007608C2" w:rsidRDefault="005129EB" w:rsidP="004652A6">
            <w:pPr>
              <w:spacing w:after="0" w:line="240" w:lineRule="auto"/>
              <w:rPr>
                <w:rFonts w:eastAsia="Times New Roman" w:cs="Arial"/>
                <w:color w:val="000000"/>
                <w:sz w:val="18"/>
                <w:szCs w:val="18"/>
                <w:lang w:val="es-CO" w:eastAsia="es-CO"/>
              </w:rPr>
            </w:pPr>
          </w:p>
        </w:tc>
        <w:tc>
          <w:tcPr>
            <w:tcW w:w="2067" w:type="dxa"/>
            <w:shd w:val="clear" w:color="auto" w:fill="auto"/>
            <w:noWrap/>
            <w:vAlign w:val="center"/>
            <w:hideMark/>
          </w:tcPr>
          <w:p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99,40%</w:t>
            </w:r>
          </w:p>
        </w:tc>
        <w:tc>
          <w:tcPr>
            <w:tcW w:w="1867" w:type="dxa"/>
            <w:shd w:val="clear" w:color="auto" w:fill="auto"/>
            <w:noWrap/>
            <w:vAlign w:val="center"/>
            <w:hideMark/>
          </w:tcPr>
          <w:p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97,47%</w:t>
            </w:r>
          </w:p>
        </w:tc>
        <w:tc>
          <w:tcPr>
            <w:tcW w:w="1867" w:type="dxa"/>
            <w:shd w:val="clear" w:color="auto" w:fill="auto"/>
            <w:noWrap/>
            <w:vAlign w:val="center"/>
            <w:hideMark/>
          </w:tcPr>
          <w:p w:rsidR="005129EB" w:rsidRPr="007608C2" w:rsidRDefault="002F4157" w:rsidP="004652A6">
            <w:pPr>
              <w:spacing w:after="0" w:line="240" w:lineRule="auto"/>
              <w:jc w:val="center"/>
              <w:rPr>
                <w:rFonts w:eastAsia="Times New Roman" w:cs="Arial"/>
                <w:color w:val="000000"/>
                <w:sz w:val="18"/>
                <w:szCs w:val="18"/>
                <w:lang w:val="es-CO" w:eastAsia="es-CO"/>
              </w:rPr>
            </w:pPr>
            <w:r w:rsidRPr="007608C2">
              <w:rPr>
                <w:rFonts w:eastAsia="Times New Roman" w:cs="Arial"/>
                <w:color w:val="000000"/>
                <w:sz w:val="18"/>
                <w:szCs w:val="18"/>
                <w:lang w:val="es-CO" w:eastAsia="es-CO"/>
              </w:rPr>
              <w:t>94,73%</w:t>
            </w:r>
          </w:p>
        </w:tc>
      </w:tr>
    </w:tbl>
    <w:p w:rsidR="005129EB" w:rsidRPr="002F4157" w:rsidRDefault="005129EB" w:rsidP="005129EB">
      <w:pPr>
        <w:spacing w:after="0" w:line="240" w:lineRule="auto"/>
        <w:jc w:val="both"/>
        <w:rPr>
          <w:rFonts w:cs="Arial"/>
          <w:sz w:val="16"/>
          <w:szCs w:val="16"/>
        </w:rPr>
      </w:pPr>
      <w:bookmarkStart w:id="16" w:name="_Toc473541599"/>
      <w:bookmarkStart w:id="17" w:name="_Toc503465475"/>
      <w:r w:rsidRPr="002F4157">
        <w:rPr>
          <w:rFonts w:cs="Arial"/>
          <w:sz w:val="16"/>
          <w:szCs w:val="16"/>
        </w:rPr>
        <w:t>Cifras en millones de $</w:t>
      </w:r>
    </w:p>
    <w:p w:rsidR="005129EB" w:rsidRDefault="005129EB" w:rsidP="005129EB">
      <w:pPr>
        <w:spacing w:after="0" w:line="240" w:lineRule="auto"/>
        <w:jc w:val="both"/>
        <w:rPr>
          <w:rFonts w:cs="Arial"/>
          <w:sz w:val="16"/>
          <w:szCs w:val="16"/>
        </w:rPr>
      </w:pPr>
      <w:r w:rsidRPr="002F4157">
        <w:rPr>
          <w:rFonts w:cs="Arial"/>
          <w:sz w:val="16"/>
          <w:szCs w:val="16"/>
        </w:rPr>
        <w:t>Fuente: SIIF NACION</w:t>
      </w:r>
    </w:p>
    <w:p w:rsidR="009C6A2C" w:rsidRDefault="009C6A2C" w:rsidP="005129EB">
      <w:pPr>
        <w:spacing w:after="0" w:line="240" w:lineRule="auto"/>
        <w:jc w:val="both"/>
        <w:rPr>
          <w:rFonts w:cs="Arial"/>
          <w:sz w:val="16"/>
          <w:szCs w:val="16"/>
        </w:rPr>
      </w:pPr>
    </w:p>
    <w:p w:rsidR="009C6A2C" w:rsidRPr="008D7C76" w:rsidRDefault="008D7C76" w:rsidP="008D7C76">
      <w:pPr>
        <w:pStyle w:val="Prrafodelista"/>
        <w:numPr>
          <w:ilvl w:val="1"/>
          <w:numId w:val="2"/>
        </w:numPr>
        <w:spacing w:before="100" w:beforeAutospacing="1" w:after="100" w:afterAutospacing="1" w:line="240" w:lineRule="auto"/>
        <w:jc w:val="both"/>
        <w:outlineLvl w:val="0"/>
        <w:rPr>
          <w:rFonts w:cs="Arial"/>
          <w:b/>
        </w:rPr>
      </w:pPr>
      <w:bookmarkStart w:id="18" w:name="_Toc505183031"/>
      <w:r>
        <w:rPr>
          <w:rFonts w:eastAsiaTheme="majorEastAsia" w:cs="Arial"/>
          <w:b/>
        </w:rPr>
        <w:t>RETOS 2018</w:t>
      </w:r>
      <w:bookmarkEnd w:id="18"/>
    </w:p>
    <w:bookmarkEnd w:id="16"/>
    <w:bookmarkEnd w:id="17"/>
    <w:p w:rsidR="005129EB" w:rsidRPr="007608C2" w:rsidRDefault="005129EB" w:rsidP="00A44A2B">
      <w:pPr>
        <w:numPr>
          <w:ilvl w:val="0"/>
          <w:numId w:val="20"/>
        </w:numPr>
        <w:tabs>
          <w:tab w:val="clear" w:pos="-918"/>
          <w:tab w:val="num" w:pos="-1344"/>
          <w:tab w:val="num" w:pos="709"/>
        </w:tabs>
        <w:spacing w:before="100" w:beforeAutospacing="1" w:after="100" w:afterAutospacing="1" w:line="240" w:lineRule="auto"/>
        <w:ind w:left="283" w:hanging="283"/>
        <w:jc w:val="both"/>
        <w:rPr>
          <w:rFonts w:cs="Arial"/>
        </w:rPr>
      </w:pPr>
      <w:r w:rsidRPr="007608C2">
        <w:rPr>
          <w:rFonts w:cs="Arial"/>
        </w:rPr>
        <w:t xml:space="preserve">Mejorar los niveles de ejecución presupuestal en el 2018. </w:t>
      </w:r>
    </w:p>
    <w:p w:rsidR="005129EB" w:rsidRPr="007608C2" w:rsidRDefault="005129EB" w:rsidP="00A44A2B">
      <w:pPr>
        <w:numPr>
          <w:ilvl w:val="0"/>
          <w:numId w:val="20"/>
        </w:numPr>
        <w:tabs>
          <w:tab w:val="clear" w:pos="-918"/>
          <w:tab w:val="num" w:pos="-1344"/>
          <w:tab w:val="num" w:pos="709"/>
        </w:tabs>
        <w:spacing w:before="100" w:beforeAutospacing="1" w:after="100" w:afterAutospacing="1" w:line="240" w:lineRule="auto"/>
        <w:ind w:left="283" w:hanging="283"/>
        <w:jc w:val="both"/>
        <w:rPr>
          <w:rFonts w:cs="Arial"/>
        </w:rPr>
      </w:pPr>
      <w:r w:rsidRPr="007608C2">
        <w:rPr>
          <w:rFonts w:cs="Arial"/>
        </w:rPr>
        <w:t>Fortalecer el seguimiento a la ejecución presupuestal en los niveles regional y Sede Nacional</w:t>
      </w:r>
    </w:p>
    <w:p w:rsidR="005129EB" w:rsidRPr="007608C2" w:rsidRDefault="005129EB" w:rsidP="00A44A2B">
      <w:pPr>
        <w:numPr>
          <w:ilvl w:val="0"/>
          <w:numId w:val="20"/>
        </w:numPr>
        <w:tabs>
          <w:tab w:val="clear" w:pos="-918"/>
          <w:tab w:val="num" w:pos="-1344"/>
          <w:tab w:val="num" w:pos="709"/>
        </w:tabs>
        <w:spacing w:before="100" w:beforeAutospacing="1" w:after="100" w:afterAutospacing="1" w:line="240" w:lineRule="auto"/>
        <w:ind w:left="283" w:hanging="283"/>
        <w:jc w:val="both"/>
        <w:rPr>
          <w:rFonts w:cs="Arial"/>
        </w:rPr>
      </w:pPr>
      <w:r w:rsidRPr="007608C2">
        <w:rPr>
          <w:rFonts w:cs="Arial"/>
        </w:rPr>
        <w:t>Brindar asistencia técnica presencial a las áreas de la Sede Nacional y Regionales.</w:t>
      </w:r>
    </w:p>
    <w:p w:rsidR="005129EB" w:rsidRPr="007608C2" w:rsidRDefault="005129EB" w:rsidP="00A44A2B">
      <w:pPr>
        <w:numPr>
          <w:ilvl w:val="0"/>
          <w:numId w:val="20"/>
        </w:numPr>
        <w:tabs>
          <w:tab w:val="clear" w:pos="-918"/>
          <w:tab w:val="num" w:pos="-1344"/>
          <w:tab w:val="num" w:pos="709"/>
        </w:tabs>
        <w:spacing w:before="100" w:beforeAutospacing="1" w:after="100" w:afterAutospacing="1" w:line="240" w:lineRule="auto"/>
        <w:ind w:left="283" w:hanging="283"/>
        <w:jc w:val="both"/>
        <w:rPr>
          <w:rFonts w:cs="Arial"/>
        </w:rPr>
      </w:pPr>
      <w:r w:rsidRPr="007608C2">
        <w:rPr>
          <w:rFonts w:cs="Arial"/>
        </w:rPr>
        <w:t>Fortalecer los canales de comunicación con los Gerentes de recursos de la Sede de la Dirección General, para lograr una excelente ejecución de los recursos asignados.</w:t>
      </w:r>
      <w:r w:rsidRPr="007608C2" w:rsidDel="00435AA2">
        <w:rPr>
          <w:rFonts w:cs="Arial"/>
        </w:rPr>
        <w:t xml:space="preserve"> </w:t>
      </w:r>
    </w:p>
    <w:p w:rsidR="005129EB" w:rsidRPr="007608C2" w:rsidRDefault="005129EB" w:rsidP="00A44A2B">
      <w:pPr>
        <w:numPr>
          <w:ilvl w:val="0"/>
          <w:numId w:val="20"/>
        </w:numPr>
        <w:tabs>
          <w:tab w:val="clear" w:pos="-918"/>
          <w:tab w:val="num" w:pos="-1344"/>
          <w:tab w:val="num" w:pos="709"/>
        </w:tabs>
        <w:spacing w:before="100" w:beforeAutospacing="1" w:after="100" w:afterAutospacing="1" w:line="240" w:lineRule="auto"/>
        <w:ind w:left="283" w:hanging="283"/>
        <w:jc w:val="both"/>
        <w:rPr>
          <w:rFonts w:cs="Arial"/>
        </w:rPr>
      </w:pPr>
      <w:r w:rsidRPr="007608C2">
        <w:rPr>
          <w:rFonts w:cs="Arial"/>
        </w:rPr>
        <w:t>Garantizar el cumplimiento de la normatividad en materia de ejecución presupuestal.</w:t>
      </w:r>
    </w:p>
    <w:p w:rsidR="005129EB" w:rsidRPr="007608C2" w:rsidRDefault="005129EB" w:rsidP="00A44A2B">
      <w:pPr>
        <w:numPr>
          <w:ilvl w:val="0"/>
          <w:numId w:val="20"/>
        </w:numPr>
        <w:tabs>
          <w:tab w:val="clear" w:pos="-918"/>
          <w:tab w:val="num" w:pos="-1344"/>
          <w:tab w:val="num" w:pos="709"/>
        </w:tabs>
        <w:spacing w:before="100" w:beforeAutospacing="1" w:after="100" w:afterAutospacing="1" w:line="240" w:lineRule="auto"/>
        <w:ind w:left="283" w:hanging="283"/>
        <w:jc w:val="both"/>
        <w:rPr>
          <w:rFonts w:cs="Arial"/>
        </w:rPr>
      </w:pPr>
      <w:r w:rsidRPr="007608C2">
        <w:rPr>
          <w:rFonts w:cs="Arial"/>
        </w:rPr>
        <w:t>Capacitar permanente a los colaboradores encargados del control y seguimiento a la ejecución presupuestal en los niveles regional y sede de la dirección general.</w:t>
      </w:r>
    </w:p>
    <w:p w:rsidR="005129EB" w:rsidRPr="007608C2" w:rsidRDefault="005129EB" w:rsidP="00A44A2B">
      <w:pPr>
        <w:numPr>
          <w:ilvl w:val="0"/>
          <w:numId w:val="20"/>
        </w:numPr>
        <w:tabs>
          <w:tab w:val="clear" w:pos="-918"/>
          <w:tab w:val="num" w:pos="-1344"/>
          <w:tab w:val="num" w:pos="709"/>
        </w:tabs>
        <w:spacing w:before="100" w:beforeAutospacing="1" w:after="100" w:afterAutospacing="1" w:line="240" w:lineRule="auto"/>
        <w:ind w:left="283" w:hanging="283"/>
        <w:jc w:val="both"/>
        <w:rPr>
          <w:rFonts w:cs="Arial"/>
        </w:rPr>
      </w:pPr>
      <w:r w:rsidRPr="007608C2">
        <w:rPr>
          <w:rFonts w:cs="Arial"/>
        </w:rPr>
        <w:t>Coordinar con los grupos jurídicos en regionales y la dirección de contratación la liquidación de los contratos, suministrando la información registrada en SIIF nación como saldos no ejecutados 2017.</w:t>
      </w:r>
    </w:p>
    <w:p w:rsidR="005129EB" w:rsidRPr="007608C2" w:rsidRDefault="005129EB" w:rsidP="00A44A2B">
      <w:pPr>
        <w:numPr>
          <w:ilvl w:val="0"/>
          <w:numId w:val="20"/>
        </w:numPr>
        <w:tabs>
          <w:tab w:val="clear" w:pos="-918"/>
          <w:tab w:val="num" w:pos="-1344"/>
          <w:tab w:val="num" w:pos="709"/>
        </w:tabs>
        <w:spacing w:before="100" w:beforeAutospacing="1" w:after="100" w:afterAutospacing="1" w:line="240" w:lineRule="auto"/>
        <w:ind w:left="283" w:hanging="283"/>
        <w:jc w:val="both"/>
        <w:rPr>
          <w:rFonts w:cs="Arial"/>
        </w:rPr>
      </w:pPr>
      <w:r w:rsidRPr="007608C2">
        <w:rPr>
          <w:rFonts w:cs="Arial"/>
        </w:rPr>
        <w:t xml:space="preserve">Solicitar a la Dirección de Contratación la liquidación de los contratos de manera oportuna, con el fin de reinvertir en los rubros de funcionamiento y/o inversión, los saldos no ejecutados </w:t>
      </w:r>
    </w:p>
    <w:p w:rsidR="000102A4" w:rsidRPr="007608C2" w:rsidRDefault="000102A4" w:rsidP="000102A4">
      <w:pPr>
        <w:tabs>
          <w:tab w:val="num" w:pos="709"/>
        </w:tabs>
        <w:spacing w:before="100" w:beforeAutospacing="1" w:after="100" w:afterAutospacing="1" w:line="240" w:lineRule="auto"/>
        <w:ind w:left="283"/>
        <w:jc w:val="both"/>
        <w:rPr>
          <w:rFonts w:cs="Arial"/>
        </w:rPr>
      </w:pPr>
    </w:p>
    <w:p w:rsidR="00751035" w:rsidRPr="007608C2" w:rsidRDefault="00751035" w:rsidP="000102A4">
      <w:pPr>
        <w:tabs>
          <w:tab w:val="num" w:pos="709"/>
        </w:tabs>
        <w:spacing w:before="100" w:beforeAutospacing="1" w:after="100" w:afterAutospacing="1" w:line="240" w:lineRule="auto"/>
        <w:ind w:left="283"/>
        <w:jc w:val="both"/>
        <w:rPr>
          <w:rFonts w:cs="Arial"/>
        </w:rPr>
      </w:pPr>
    </w:p>
    <w:p w:rsidR="00751035" w:rsidRPr="007608C2" w:rsidRDefault="00751035" w:rsidP="000102A4">
      <w:pPr>
        <w:tabs>
          <w:tab w:val="num" w:pos="709"/>
        </w:tabs>
        <w:spacing w:before="100" w:beforeAutospacing="1" w:after="100" w:afterAutospacing="1" w:line="240" w:lineRule="auto"/>
        <w:ind w:left="283"/>
        <w:jc w:val="both"/>
        <w:rPr>
          <w:rFonts w:cs="Arial"/>
        </w:rPr>
      </w:pPr>
    </w:p>
    <w:p w:rsidR="000102A4" w:rsidRPr="007608C2" w:rsidRDefault="000102A4" w:rsidP="00054899">
      <w:pPr>
        <w:pStyle w:val="Ttulo1"/>
        <w:numPr>
          <w:ilvl w:val="0"/>
          <w:numId w:val="2"/>
        </w:numPr>
        <w:rPr>
          <w:rFonts w:cs="Arial"/>
        </w:rPr>
      </w:pPr>
      <w:bookmarkStart w:id="19" w:name="_Toc505183032"/>
      <w:bookmarkStart w:id="20" w:name="_Hlk503275344"/>
      <w:r w:rsidRPr="007608C2">
        <w:rPr>
          <w:rFonts w:cs="Arial"/>
        </w:rPr>
        <w:lastRenderedPageBreak/>
        <w:t>GESTION MISIONAL Y DE GOBIERNO</w:t>
      </w:r>
      <w:bookmarkEnd w:id="19"/>
      <w:r w:rsidRPr="007608C2">
        <w:rPr>
          <w:rFonts w:cs="Arial"/>
        </w:rPr>
        <w:t xml:space="preserve"> </w:t>
      </w:r>
    </w:p>
    <w:p w:rsidR="00FD6985" w:rsidRPr="007608C2" w:rsidRDefault="00FD6985" w:rsidP="00FD6985">
      <w:pPr>
        <w:rPr>
          <w:rFonts w:cs="Arial"/>
        </w:rPr>
      </w:pPr>
    </w:p>
    <w:p w:rsidR="005C1DAB" w:rsidRDefault="00F9482F" w:rsidP="00054899">
      <w:pPr>
        <w:pStyle w:val="Ttulo1"/>
        <w:numPr>
          <w:ilvl w:val="1"/>
          <w:numId w:val="2"/>
        </w:numPr>
        <w:rPr>
          <w:rFonts w:cs="Arial"/>
        </w:rPr>
      </w:pPr>
      <w:bookmarkStart w:id="21" w:name="_Toc505183033"/>
      <w:r w:rsidRPr="007608C2">
        <w:rPr>
          <w:rFonts w:cs="Arial"/>
        </w:rPr>
        <w:t>ATENCIÓN A LA PRIMERA INFANCIA</w:t>
      </w:r>
      <w:bookmarkEnd w:id="21"/>
    </w:p>
    <w:p w:rsidR="00B80F2D" w:rsidRPr="00B80F2D" w:rsidRDefault="00B80F2D" w:rsidP="00B80F2D"/>
    <w:tbl>
      <w:tblPr>
        <w:tblW w:w="9259" w:type="dxa"/>
        <w:tblInd w:w="-5"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ayout w:type="fixed"/>
        <w:tblCellMar>
          <w:left w:w="70" w:type="dxa"/>
          <w:right w:w="70" w:type="dxa"/>
        </w:tblCellMar>
        <w:tblLook w:val="04A0" w:firstRow="1" w:lastRow="0" w:firstColumn="1" w:lastColumn="0" w:noHBand="0" w:noVBand="1"/>
      </w:tblPr>
      <w:tblGrid>
        <w:gridCol w:w="3828"/>
        <w:gridCol w:w="1275"/>
        <w:gridCol w:w="1134"/>
        <w:gridCol w:w="1276"/>
        <w:gridCol w:w="1746"/>
      </w:tblGrid>
      <w:tr w:rsidR="00711B38" w:rsidRPr="004D096C" w:rsidTr="00B80F2D">
        <w:trPr>
          <w:trHeight w:val="70"/>
        </w:trPr>
        <w:tc>
          <w:tcPr>
            <w:tcW w:w="3828" w:type="dxa"/>
            <w:vMerge w:val="restart"/>
            <w:shd w:val="clear" w:color="auto" w:fill="76922E"/>
            <w:vAlign w:val="center"/>
            <w:hideMark/>
          </w:tcPr>
          <w:p w:rsidR="00711B38" w:rsidRPr="004D096C" w:rsidRDefault="00BE42CF" w:rsidP="004D096C">
            <w:pPr>
              <w:spacing w:after="0" w:line="240" w:lineRule="auto"/>
              <w:jc w:val="center"/>
              <w:rPr>
                <w:rFonts w:eastAsia="Times New Roman" w:cs="Arial"/>
                <w:b/>
                <w:color w:val="FFFFFF" w:themeColor="background1"/>
                <w:sz w:val="16"/>
                <w:szCs w:val="16"/>
                <w:lang w:val="es-CO" w:eastAsia="es-CO"/>
              </w:rPr>
            </w:pPr>
            <w:r w:rsidRPr="004D096C">
              <w:rPr>
                <w:rFonts w:eastAsia="Times New Roman" w:cs="Arial"/>
                <w:b/>
                <w:color w:val="FFFFFF" w:themeColor="background1"/>
                <w:sz w:val="16"/>
                <w:szCs w:val="16"/>
                <w:lang w:val="es-CO" w:eastAsia="es-CO"/>
              </w:rPr>
              <w:t xml:space="preserve">Asistencia </w:t>
            </w:r>
            <w:r w:rsidR="004D096C" w:rsidRPr="004D096C">
              <w:rPr>
                <w:rFonts w:eastAsia="Times New Roman" w:cs="Arial"/>
                <w:b/>
                <w:color w:val="FFFFFF" w:themeColor="background1"/>
                <w:sz w:val="16"/>
                <w:szCs w:val="16"/>
                <w:lang w:val="es-CO" w:eastAsia="es-CO"/>
              </w:rPr>
              <w:t>a l</w:t>
            </w:r>
            <w:r w:rsidRPr="004D096C">
              <w:rPr>
                <w:rFonts w:eastAsia="Times New Roman" w:cs="Arial"/>
                <w:b/>
                <w:color w:val="FFFFFF" w:themeColor="background1"/>
                <w:sz w:val="16"/>
                <w:szCs w:val="16"/>
                <w:lang w:val="es-CO" w:eastAsia="es-CO"/>
              </w:rPr>
              <w:t>a Primera Infancia a Nivel Nacional</w:t>
            </w:r>
          </w:p>
        </w:tc>
        <w:tc>
          <w:tcPr>
            <w:tcW w:w="1275" w:type="dxa"/>
            <w:shd w:val="clear" w:color="auto" w:fill="76922E"/>
            <w:vAlign w:val="center"/>
            <w:hideMark/>
          </w:tcPr>
          <w:p w:rsidR="00711B38" w:rsidRPr="004D096C" w:rsidRDefault="00BE42CF" w:rsidP="004D096C">
            <w:pPr>
              <w:spacing w:after="0" w:line="240" w:lineRule="auto"/>
              <w:jc w:val="center"/>
              <w:rPr>
                <w:rFonts w:eastAsia="Times New Roman" w:cs="Arial"/>
                <w:b/>
                <w:color w:val="FFFFFF" w:themeColor="background1"/>
                <w:sz w:val="16"/>
                <w:szCs w:val="16"/>
                <w:lang w:val="es-CO" w:eastAsia="es-CO"/>
              </w:rPr>
            </w:pPr>
            <w:r w:rsidRPr="004D096C">
              <w:rPr>
                <w:rFonts w:eastAsia="Times New Roman" w:cs="Arial"/>
                <w:b/>
                <w:color w:val="FFFFFF" w:themeColor="background1"/>
                <w:sz w:val="16"/>
                <w:szCs w:val="16"/>
                <w:lang w:val="es-CO" w:eastAsia="es-CO"/>
              </w:rPr>
              <w:t>Unidades</w:t>
            </w:r>
          </w:p>
        </w:tc>
        <w:tc>
          <w:tcPr>
            <w:tcW w:w="1134" w:type="dxa"/>
            <w:shd w:val="clear" w:color="auto" w:fill="76922E"/>
            <w:vAlign w:val="center"/>
            <w:hideMark/>
          </w:tcPr>
          <w:p w:rsidR="00711B38" w:rsidRPr="004D096C" w:rsidRDefault="00BE42CF" w:rsidP="004D096C">
            <w:pPr>
              <w:spacing w:after="0" w:line="240" w:lineRule="auto"/>
              <w:jc w:val="center"/>
              <w:rPr>
                <w:rFonts w:eastAsia="Times New Roman" w:cs="Arial"/>
                <w:b/>
                <w:color w:val="FFFFFF" w:themeColor="background1"/>
                <w:sz w:val="16"/>
                <w:szCs w:val="16"/>
                <w:lang w:val="es-CO" w:eastAsia="es-CO"/>
              </w:rPr>
            </w:pPr>
            <w:r w:rsidRPr="004D096C">
              <w:rPr>
                <w:rFonts w:eastAsia="Times New Roman" w:cs="Arial"/>
                <w:b/>
                <w:color w:val="FFFFFF" w:themeColor="background1"/>
                <w:sz w:val="16"/>
                <w:szCs w:val="16"/>
                <w:lang w:val="es-CO" w:eastAsia="es-CO"/>
              </w:rPr>
              <w:t>Cupos</w:t>
            </w:r>
          </w:p>
        </w:tc>
        <w:tc>
          <w:tcPr>
            <w:tcW w:w="1276" w:type="dxa"/>
            <w:shd w:val="clear" w:color="auto" w:fill="76922E"/>
            <w:vAlign w:val="center"/>
            <w:hideMark/>
          </w:tcPr>
          <w:p w:rsidR="00711B38" w:rsidRPr="004D096C" w:rsidRDefault="00BE42CF" w:rsidP="004D096C">
            <w:pPr>
              <w:spacing w:after="0" w:line="240" w:lineRule="auto"/>
              <w:jc w:val="center"/>
              <w:rPr>
                <w:rFonts w:eastAsia="Times New Roman" w:cs="Arial"/>
                <w:b/>
                <w:color w:val="FFFFFF" w:themeColor="background1"/>
                <w:sz w:val="16"/>
                <w:szCs w:val="16"/>
                <w:lang w:val="es-CO" w:eastAsia="es-CO"/>
              </w:rPr>
            </w:pPr>
            <w:r w:rsidRPr="004D096C">
              <w:rPr>
                <w:rFonts w:eastAsia="Times New Roman" w:cs="Arial"/>
                <w:b/>
                <w:color w:val="FFFFFF" w:themeColor="background1"/>
                <w:sz w:val="16"/>
                <w:szCs w:val="16"/>
                <w:lang w:val="es-CO" w:eastAsia="es-CO"/>
              </w:rPr>
              <w:t>Usuarios</w:t>
            </w:r>
          </w:p>
        </w:tc>
        <w:tc>
          <w:tcPr>
            <w:tcW w:w="1746" w:type="dxa"/>
            <w:shd w:val="clear" w:color="auto" w:fill="76922E"/>
            <w:vAlign w:val="center"/>
            <w:hideMark/>
          </w:tcPr>
          <w:p w:rsidR="00711B38" w:rsidRPr="004D096C" w:rsidRDefault="00BE42CF" w:rsidP="004D096C">
            <w:pPr>
              <w:spacing w:after="0" w:line="240" w:lineRule="auto"/>
              <w:jc w:val="center"/>
              <w:rPr>
                <w:rFonts w:eastAsia="Times New Roman" w:cs="Arial"/>
                <w:b/>
                <w:color w:val="FFFFFF" w:themeColor="background1"/>
                <w:sz w:val="16"/>
                <w:szCs w:val="16"/>
                <w:lang w:val="es-CO" w:eastAsia="es-CO"/>
              </w:rPr>
            </w:pPr>
            <w:r w:rsidRPr="004D096C">
              <w:rPr>
                <w:rFonts w:eastAsia="Times New Roman" w:cs="Arial"/>
                <w:b/>
                <w:color w:val="FFFFFF" w:themeColor="background1"/>
                <w:sz w:val="16"/>
                <w:szCs w:val="16"/>
                <w:lang w:val="es-CO" w:eastAsia="es-CO"/>
              </w:rPr>
              <w:t>Inversión</w:t>
            </w:r>
            <w:r w:rsidRPr="004D096C">
              <w:rPr>
                <w:rFonts w:eastAsia="Times New Roman" w:cs="Arial"/>
                <w:b/>
                <w:color w:val="FFFFFF" w:themeColor="background1"/>
                <w:sz w:val="16"/>
                <w:szCs w:val="16"/>
                <w:lang w:val="es-CO" w:eastAsia="es-CO"/>
              </w:rPr>
              <w:br/>
              <w:t>SIIF</w:t>
            </w:r>
          </w:p>
        </w:tc>
      </w:tr>
      <w:tr w:rsidR="00711B38" w:rsidRPr="004D096C" w:rsidTr="00B80F2D">
        <w:trPr>
          <w:trHeight w:val="300"/>
        </w:trPr>
        <w:tc>
          <w:tcPr>
            <w:tcW w:w="3828" w:type="dxa"/>
            <w:vMerge/>
            <w:shd w:val="clear" w:color="auto" w:fill="76922E"/>
            <w:vAlign w:val="center"/>
            <w:hideMark/>
          </w:tcPr>
          <w:p w:rsidR="00711B38" w:rsidRPr="004D096C" w:rsidRDefault="00711B38" w:rsidP="004D096C">
            <w:pPr>
              <w:spacing w:after="0" w:line="240" w:lineRule="auto"/>
              <w:jc w:val="center"/>
              <w:rPr>
                <w:rFonts w:eastAsia="Times New Roman" w:cs="Arial"/>
                <w:b/>
                <w:color w:val="FFFFFF" w:themeColor="background1"/>
                <w:sz w:val="16"/>
                <w:szCs w:val="16"/>
                <w:lang w:val="es-CO" w:eastAsia="es-CO"/>
              </w:rPr>
            </w:pPr>
          </w:p>
        </w:tc>
        <w:tc>
          <w:tcPr>
            <w:tcW w:w="1275" w:type="dxa"/>
            <w:shd w:val="clear" w:color="auto" w:fill="76922E"/>
            <w:noWrap/>
            <w:vAlign w:val="center"/>
          </w:tcPr>
          <w:p w:rsidR="00711B38" w:rsidRPr="004D096C" w:rsidRDefault="00BE42CF" w:rsidP="004D096C">
            <w:pPr>
              <w:spacing w:after="0" w:line="240" w:lineRule="auto"/>
              <w:jc w:val="center"/>
              <w:rPr>
                <w:rFonts w:eastAsia="Times New Roman" w:cs="Arial"/>
                <w:b/>
                <w:color w:val="FFFFFF" w:themeColor="background1"/>
                <w:sz w:val="16"/>
                <w:szCs w:val="16"/>
                <w:lang w:val="es-CO" w:eastAsia="es-CO"/>
              </w:rPr>
            </w:pPr>
            <w:r w:rsidRPr="004D096C">
              <w:rPr>
                <w:rFonts w:eastAsia="Times New Roman" w:cs="Arial"/>
                <w:b/>
                <w:color w:val="FFFFFF" w:themeColor="background1"/>
                <w:sz w:val="16"/>
                <w:szCs w:val="16"/>
                <w:lang w:val="es-CO" w:eastAsia="es-CO"/>
              </w:rPr>
              <w:t>80.185</w:t>
            </w:r>
          </w:p>
        </w:tc>
        <w:tc>
          <w:tcPr>
            <w:tcW w:w="1134" w:type="dxa"/>
            <w:shd w:val="clear" w:color="auto" w:fill="76922E"/>
            <w:noWrap/>
            <w:vAlign w:val="center"/>
          </w:tcPr>
          <w:p w:rsidR="00711B38" w:rsidRPr="004D096C" w:rsidRDefault="00BE42CF" w:rsidP="004D096C">
            <w:pPr>
              <w:spacing w:after="0" w:line="240" w:lineRule="auto"/>
              <w:jc w:val="center"/>
              <w:rPr>
                <w:rFonts w:eastAsia="Times New Roman" w:cs="Arial"/>
                <w:b/>
                <w:color w:val="FFFFFF" w:themeColor="background1"/>
                <w:sz w:val="16"/>
                <w:szCs w:val="16"/>
                <w:lang w:val="es-CO" w:eastAsia="es-CO"/>
              </w:rPr>
            </w:pPr>
            <w:r w:rsidRPr="004D096C">
              <w:rPr>
                <w:rFonts w:eastAsia="Times New Roman" w:cs="Arial"/>
                <w:b/>
                <w:color w:val="FFFFFF" w:themeColor="background1"/>
                <w:sz w:val="16"/>
                <w:szCs w:val="16"/>
                <w:lang w:val="es-CO" w:eastAsia="es-CO"/>
              </w:rPr>
              <w:t>1.877.250</w:t>
            </w:r>
          </w:p>
        </w:tc>
        <w:tc>
          <w:tcPr>
            <w:tcW w:w="1276" w:type="dxa"/>
            <w:shd w:val="clear" w:color="auto" w:fill="76922E"/>
            <w:noWrap/>
            <w:vAlign w:val="center"/>
          </w:tcPr>
          <w:p w:rsidR="00711B38" w:rsidRPr="004D096C" w:rsidRDefault="00BE42CF" w:rsidP="004D096C">
            <w:pPr>
              <w:spacing w:after="0" w:line="240" w:lineRule="auto"/>
              <w:jc w:val="center"/>
              <w:rPr>
                <w:rFonts w:eastAsia="Times New Roman" w:cs="Arial"/>
                <w:b/>
                <w:color w:val="FFFFFF" w:themeColor="background1"/>
                <w:sz w:val="16"/>
                <w:szCs w:val="16"/>
                <w:lang w:val="es-CO" w:eastAsia="es-CO"/>
              </w:rPr>
            </w:pPr>
            <w:r w:rsidRPr="004D096C">
              <w:rPr>
                <w:rFonts w:eastAsia="Times New Roman" w:cs="Arial"/>
                <w:b/>
                <w:color w:val="FFFFFF" w:themeColor="background1"/>
                <w:sz w:val="16"/>
                <w:szCs w:val="16"/>
                <w:lang w:val="es-CO" w:eastAsia="es-CO"/>
              </w:rPr>
              <w:t>1.967.294</w:t>
            </w:r>
          </w:p>
        </w:tc>
        <w:tc>
          <w:tcPr>
            <w:tcW w:w="1746" w:type="dxa"/>
            <w:shd w:val="clear" w:color="auto" w:fill="76922E"/>
            <w:noWrap/>
            <w:vAlign w:val="center"/>
          </w:tcPr>
          <w:p w:rsidR="00711B38" w:rsidRPr="004D096C" w:rsidRDefault="00BE42CF" w:rsidP="004D096C">
            <w:pPr>
              <w:spacing w:after="0" w:line="240" w:lineRule="auto"/>
              <w:jc w:val="center"/>
              <w:rPr>
                <w:rFonts w:eastAsia="Times New Roman" w:cs="Arial"/>
                <w:b/>
                <w:color w:val="FFFFFF" w:themeColor="background1"/>
                <w:sz w:val="16"/>
                <w:szCs w:val="16"/>
                <w:lang w:val="es-CO" w:eastAsia="es-CO"/>
              </w:rPr>
            </w:pPr>
            <w:r w:rsidRPr="004D096C">
              <w:rPr>
                <w:rFonts w:eastAsia="Times New Roman" w:cs="Arial"/>
                <w:b/>
                <w:color w:val="FFFFFF" w:themeColor="background1"/>
                <w:sz w:val="16"/>
                <w:szCs w:val="16"/>
                <w:lang w:val="es-CO" w:eastAsia="es-CO"/>
              </w:rPr>
              <w:t>3.650.935.734.578</w:t>
            </w:r>
          </w:p>
        </w:tc>
      </w:tr>
      <w:tr w:rsidR="00711B38" w:rsidRPr="004D096C" w:rsidTr="004D096C">
        <w:trPr>
          <w:trHeight w:val="206"/>
        </w:trPr>
        <w:tc>
          <w:tcPr>
            <w:tcW w:w="3828" w:type="dxa"/>
            <w:shd w:val="clear" w:color="auto" w:fill="E2EFDA"/>
            <w:vAlign w:val="center"/>
            <w:hideMark/>
          </w:tcPr>
          <w:p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Integral</w:t>
            </w:r>
          </w:p>
        </w:tc>
        <w:tc>
          <w:tcPr>
            <w:tcW w:w="1275" w:type="dxa"/>
            <w:shd w:val="clear" w:color="auto" w:fill="E2EFDA"/>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30.399</w:t>
            </w:r>
          </w:p>
        </w:tc>
        <w:tc>
          <w:tcPr>
            <w:tcW w:w="1134" w:type="dxa"/>
            <w:shd w:val="clear" w:color="auto" w:fill="E2EFDA"/>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1.240.102</w:t>
            </w:r>
          </w:p>
        </w:tc>
        <w:tc>
          <w:tcPr>
            <w:tcW w:w="1276" w:type="dxa"/>
            <w:shd w:val="clear" w:color="auto" w:fill="E2EFDA"/>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1.240.102</w:t>
            </w:r>
          </w:p>
        </w:tc>
        <w:tc>
          <w:tcPr>
            <w:tcW w:w="1746" w:type="dxa"/>
            <w:shd w:val="clear" w:color="auto" w:fill="E2EFDA"/>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2.541.279.578.507</w:t>
            </w:r>
          </w:p>
        </w:tc>
      </w:tr>
      <w:tr w:rsidR="00711B38" w:rsidRPr="004D096C" w:rsidTr="00B80F2D">
        <w:trPr>
          <w:trHeight w:val="248"/>
        </w:trPr>
        <w:tc>
          <w:tcPr>
            <w:tcW w:w="3828" w:type="dxa"/>
            <w:shd w:val="clear" w:color="auto" w:fill="auto"/>
            <w:vAlign w:val="center"/>
            <w:hideMark/>
          </w:tcPr>
          <w:p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CDI - Institucional (I)</w:t>
            </w:r>
          </w:p>
        </w:tc>
        <w:tc>
          <w:tcPr>
            <w:tcW w:w="1275"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2.185</w:t>
            </w:r>
          </w:p>
        </w:tc>
        <w:tc>
          <w:tcPr>
            <w:tcW w:w="1134"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259.763</w:t>
            </w:r>
          </w:p>
        </w:tc>
        <w:tc>
          <w:tcPr>
            <w:tcW w:w="1276"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259.763</w:t>
            </w:r>
          </w:p>
        </w:tc>
        <w:tc>
          <w:tcPr>
            <w:tcW w:w="1746" w:type="dxa"/>
            <w:vMerge w:val="restart"/>
            <w:shd w:val="clear" w:color="auto" w:fill="auto"/>
            <w:noWrap/>
            <w:vAlign w:val="center"/>
          </w:tcPr>
          <w:p w:rsidR="00711B38" w:rsidRPr="004D096C" w:rsidRDefault="00711B38" w:rsidP="00CE70DD">
            <w:pPr>
              <w:jc w:val="right"/>
              <w:rPr>
                <w:rFonts w:cs="Arial"/>
                <w:sz w:val="16"/>
                <w:szCs w:val="16"/>
              </w:rPr>
            </w:pPr>
            <w:r w:rsidRPr="004D096C">
              <w:rPr>
                <w:rFonts w:cs="Arial"/>
                <w:sz w:val="16"/>
                <w:szCs w:val="16"/>
              </w:rPr>
              <w:t>2.541.279.578.507</w:t>
            </w:r>
          </w:p>
        </w:tc>
      </w:tr>
      <w:tr w:rsidR="00711B38" w:rsidRPr="004D096C" w:rsidTr="00B80F2D">
        <w:trPr>
          <w:trHeight w:val="240"/>
        </w:trPr>
        <w:tc>
          <w:tcPr>
            <w:tcW w:w="3828" w:type="dxa"/>
            <w:shd w:val="clear" w:color="auto" w:fill="auto"/>
            <w:vAlign w:val="center"/>
            <w:hideMark/>
          </w:tcPr>
          <w:p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CDI Con Arriendo - Institucional Integral</w:t>
            </w:r>
          </w:p>
        </w:tc>
        <w:tc>
          <w:tcPr>
            <w:tcW w:w="1275"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749</w:t>
            </w:r>
          </w:p>
        </w:tc>
        <w:tc>
          <w:tcPr>
            <w:tcW w:w="1134"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88.433</w:t>
            </w:r>
          </w:p>
        </w:tc>
        <w:tc>
          <w:tcPr>
            <w:tcW w:w="1276"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88.433</w:t>
            </w:r>
          </w:p>
        </w:tc>
        <w:tc>
          <w:tcPr>
            <w:tcW w:w="1746" w:type="dxa"/>
            <w:vMerge/>
            <w:shd w:val="clear" w:color="auto" w:fill="auto"/>
            <w:noWrap/>
            <w:vAlign w:val="center"/>
          </w:tcPr>
          <w:p w:rsidR="00711B38" w:rsidRPr="004D096C" w:rsidRDefault="00711B38" w:rsidP="00CE70DD">
            <w:pPr>
              <w:jc w:val="right"/>
              <w:rPr>
                <w:rFonts w:cs="Arial"/>
                <w:sz w:val="16"/>
                <w:szCs w:val="16"/>
              </w:rPr>
            </w:pPr>
          </w:p>
        </w:tc>
      </w:tr>
      <w:tr w:rsidR="00711B38" w:rsidRPr="004D096C" w:rsidTr="00B80F2D">
        <w:trPr>
          <w:trHeight w:val="240"/>
        </w:trPr>
        <w:tc>
          <w:tcPr>
            <w:tcW w:w="3828" w:type="dxa"/>
            <w:shd w:val="clear" w:color="auto" w:fill="auto"/>
            <w:vAlign w:val="center"/>
          </w:tcPr>
          <w:p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CDI Sin Arriendo - Institucional Integral</w:t>
            </w:r>
          </w:p>
        </w:tc>
        <w:tc>
          <w:tcPr>
            <w:tcW w:w="1275"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1.436</w:t>
            </w:r>
          </w:p>
        </w:tc>
        <w:tc>
          <w:tcPr>
            <w:tcW w:w="1134"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171.330</w:t>
            </w:r>
          </w:p>
        </w:tc>
        <w:tc>
          <w:tcPr>
            <w:tcW w:w="1276"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171.330</w:t>
            </w:r>
          </w:p>
        </w:tc>
        <w:tc>
          <w:tcPr>
            <w:tcW w:w="1746" w:type="dxa"/>
            <w:vMerge/>
            <w:shd w:val="clear" w:color="auto" w:fill="auto"/>
            <w:noWrap/>
            <w:vAlign w:val="center"/>
          </w:tcPr>
          <w:p w:rsidR="00711B38" w:rsidRPr="004D096C" w:rsidRDefault="00711B38" w:rsidP="00CE70DD">
            <w:pPr>
              <w:jc w:val="right"/>
              <w:rPr>
                <w:rFonts w:cs="Arial"/>
                <w:sz w:val="16"/>
                <w:szCs w:val="16"/>
              </w:rPr>
            </w:pPr>
          </w:p>
        </w:tc>
      </w:tr>
      <w:tr w:rsidR="00711B38" w:rsidRPr="004D096C" w:rsidTr="00B80F2D">
        <w:trPr>
          <w:trHeight w:val="240"/>
        </w:trPr>
        <w:tc>
          <w:tcPr>
            <w:tcW w:w="3828" w:type="dxa"/>
            <w:shd w:val="clear" w:color="auto" w:fill="auto"/>
            <w:vAlign w:val="center"/>
          </w:tcPr>
          <w:p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Hogares Infantiles - Institucional (I)</w:t>
            </w:r>
          </w:p>
        </w:tc>
        <w:tc>
          <w:tcPr>
            <w:tcW w:w="1275"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806</w:t>
            </w:r>
          </w:p>
        </w:tc>
        <w:tc>
          <w:tcPr>
            <w:tcW w:w="1134"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102.901</w:t>
            </w:r>
          </w:p>
        </w:tc>
        <w:tc>
          <w:tcPr>
            <w:tcW w:w="1276"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102.901</w:t>
            </w:r>
          </w:p>
        </w:tc>
        <w:tc>
          <w:tcPr>
            <w:tcW w:w="1746" w:type="dxa"/>
            <w:vMerge/>
            <w:shd w:val="clear" w:color="auto" w:fill="auto"/>
            <w:noWrap/>
            <w:vAlign w:val="center"/>
          </w:tcPr>
          <w:p w:rsidR="00711B38" w:rsidRPr="004D096C" w:rsidRDefault="00711B38" w:rsidP="00CE70DD">
            <w:pPr>
              <w:jc w:val="right"/>
              <w:rPr>
                <w:rFonts w:cs="Arial"/>
                <w:sz w:val="16"/>
                <w:szCs w:val="16"/>
              </w:rPr>
            </w:pPr>
          </w:p>
        </w:tc>
      </w:tr>
      <w:tr w:rsidR="00711B38" w:rsidRPr="004D096C" w:rsidTr="00B80F2D">
        <w:trPr>
          <w:trHeight w:val="240"/>
        </w:trPr>
        <w:tc>
          <w:tcPr>
            <w:tcW w:w="3828" w:type="dxa"/>
            <w:shd w:val="clear" w:color="auto" w:fill="auto"/>
            <w:vAlign w:val="center"/>
          </w:tcPr>
          <w:p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Jardines Sociales - Institucional (I)</w:t>
            </w:r>
          </w:p>
        </w:tc>
        <w:tc>
          <w:tcPr>
            <w:tcW w:w="1275"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24</w:t>
            </w:r>
          </w:p>
        </w:tc>
        <w:tc>
          <w:tcPr>
            <w:tcW w:w="1134"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7.012</w:t>
            </w:r>
          </w:p>
        </w:tc>
        <w:tc>
          <w:tcPr>
            <w:tcW w:w="1276"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7.012</w:t>
            </w:r>
          </w:p>
        </w:tc>
        <w:tc>
          <w:tcPr>
            <w:tcW w:w="1746" w:type="dxa"/>
            <w:vMerge/>
            <w:shd w:val="clear" w:color="auto" w:fill="auto"/>
            <w:noWrap/>
            <w:vAlign w:val="center"/>
          </w:tcPr>
          <w:p w:rsidR="00711B38" w:rsidRPr="004D096C" w:rsidRDefault="00711B38" w:rsidP="00CE70DD">
            <w:pPr>
              <w:jc w:val="right"/>
              <w:rPr>
                <w:rFonts w:cs="Arial"/>
                <w:sz w:val="16"/>
                <w:szCs w:val="16"/>
              </w:rPr>
            </w:pPr>
          </w:p>
        </w:tc>
      </w:tr>
      <w:tr w:rsidR="00711B38" w:rsidRPr="004D096C" w:rsidTr="00B80F2D">
        <w:trPr>
          <w:trHeight w:val="240"/>
        </w:trPr>
        <w:tc>
          <w:tcPr>
            <w:tcW w:w="3828" w:type="dxa"/>
            <w:shd w:val="clear" w:color="auto" w:fill="auto"/>
            <w:vAlign w:val="center"/>
          </w:tcPr>
          <w:p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Hogares Empresariales - Institucional (I)</w:t>
            </w:r>
          </w:p>
        </w:tc>
        <w:tc>
          <w:tcPr>
            <w:tcW w:w="1275"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19</w:t>
            </w:r>
          </w:p>
        </w:tc>
        <w:tc>
          <w:tcPr>
            <w:tcW w:w="1134"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1.147</w:t>
            </w:r>
          </w:p>
        </w:tc>
        <w:tc>
          <w:tcPr>
            <w:tcW w:w="1276"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1.147</w:t>
            </w:r>
          </w:p>
        </w:tc>
        <w:tc>
          <w:tcPr>
            <w:tcW w:w="1746" w:type="dxa"/>
            <w:vMerge/>
            <w:shd w:val="clear" w:color="auto" w:fill="auto"/>
            <w:noWrap/>
            <w:vAlign w:val="center"/>
          </w:tcPr>
          <w:p w:rsidR="00711B38" w:rsidRPr="004D096C" w:rsidRDefault="00711B38" w:rsidP="00CE70DD">
            <w:pPr>
              <w:jc w:val="right"/>
              <w:rPr>
                <w:rFonts w:cs="Arial"/>
                <w:sz w:val="16"/>
                <w:szCs w:val="16"/>
              </w:rPr>
            </w:pPr>
          </w:p>
        </w:tc>
      </w:tr>
      <w:tr w:rsidR="00711B38" w:rsidRPr="004D096C" w:rsidTr="00B80F2D">
        <w:trPr>
          <w:trHeight w:val="240"/>
        </w:trPr>
        <w:tc>
          <w:tcPr>
            <w:tcW w:w="3828" w:type="dxa"/>
            <w:shd w:val="clear" w:color="auto" w:fill="auto"/>
            <w:vAlign w:val="center"/>
            <w:hideMark/>
          </w:tcPr>
          <w:p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Hogares Múltiples - Institucional (I)</w:t>
            </w:r>
          </w:p>
        </w:tc>
        <w:tc>
          <w:tcPr>
            <w:tcW w:w="1275"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2</w:t>
            </w:r>
          </w:p>
        </w:tc>
        <w:tc>
          <w:tcPr>
            <w:tcW w:w="1134"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143</w:t>
            </w:r>
          </w:p>
        </w:tc>
        <w:tc>
          <w:tcPr>
            <w:tcW w:w="1276"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143</w:t>
            </w:r>
          </w:p>
        </w:tc>
        <w:tc>
          <w:tcPr>
            <w:tcW w:w="1746" w:type="dxa"/>
            <w:vMerge/>
            <w:shd w:val="clear" w:color="auto" w:fill="auto"/>
            <w:noWrap/>
            <w:vAlign w:val="center"/>
          </w:tcPr>
          <w:p w:rsidR="00711B38" w:rsidRPr="004D096C" w:rsidRDefault="00711B38" w:rsidP="00CE70DD">
            <w:pPr>
              <w:jc w:val="right"/>
              <w:rPr>
                <w:rFonts w:cs="Arial"/>
                <w:sz w:val="16"/>
                <w:szCs w:val="16"/>
              </w:rPr>
            </w:pPr>
          </w:p>
        </w:tc>
      </w:tr>
      <w:tr w:rsidR="00711B38" w:rsidRPr="004D096C" w:rsidTr="004D096C">
        <w:trPr>
          <w:trHeight w:val="228"/>
        </w:trPr>
        <w:tc>
          <w:tcPr>
            <w:tcW w:w="3828" w:type="dxa"/>
            <w:shd w:val="clear" w:color="auto" w:fill="auto"/>
            <w:vAlign w:val="center"/>
          </w:tcPr>
          <w:p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Desarrollo Infantil en Medio Familiar - Familiar (I)</w:t>
            </w:r>
          </w:p>
        </w:tc>
        <w:tc>
          <w:tcPr>
            <w:tcW w:w="1275"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13.371</w:t>
            </w:r>
          </w:p>
        </w:tc>
        <w:tc>
          <w:tcPr>
            <w:tcW w:w="1134"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448.881</w:t>
            </w:r>
          </w:p>
        </w:tc>
        <w:tc>
          <w:tcPr>
            <w:tcW w:w="1276"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448.881</w:t>
            </w:r>
          </w:p>
        </w:tc>
        <w:tc>
          <w:tcPr>
            <w:tcW w:w="1746" w:type="dxa"/>
            <w:vMerge/>
            <w:shd w:val="clear" w:color="auto" w:fill="auto"/>
            <w:noWrap/>
            <w:vAlign w:val="center"/>
          </w:tcPr>
          <w:p w:rsidR="00711B38" w:rsidRPr="004D096C" w:rsidRDefault="00711B38" w:rsidP="00CE70DD">
            <w:pPr>
              <w:jc w:val="right"/>
              <w:rPr>
                <w:rFonts w:cs="Arial"/>
                <w:sz w:val="16"/>
                <w:szCs w:val="16"/>
              </w:rPr>
            </w:pPr>
          </w:p>
        </w:tc>
      </w:tr>
      <w:tr w:rsidR="00711B38" w:rsidRPr="004D096C" w:rsidTr="00B80F2D">
        <w:trPr>
          <w:trHeight w:val="240"/>
        </w:trPr>
        <w:tc>
          <w:tcPr>
            <w:tcW w:w="3828" w:type="dxa"/>
            <w:shd w:val="clear" w:color="auto" w:fill="auto"/>
            <w:vAlign w:val="center"/>
            <w:hideMark/>
          </w:tcPr>
          <w:p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Desarrollo Infantil en Medio Familiar – Con Arriendo Familiar Integral</w:t>
            </w:r>
          </w:p>
        </w:tc>
        <w:tc>
          <w:tcPr>
            <w:tcW w:w="1275"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5.288</w:t>
            </w:r>
          </w:p>
        </w:tc>
        <w:tc>
          <w:tcPr>
            <w:tcW w:w="1134"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198.921</w:t>
            </w:r>
          </w:p>
        </w:tc>
        <w:tc>
          <w:tcPr>
            <w:tcW w:w="1276"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198.921</w:t>
            </w:r>
          </w:p>
        </w:tc>
        <w:tc>
          <w:tcPr>
            <w:tcW w:w="1746" w:type="dxa"/>
            <w:vMerge/>
            <w:shd w:val="clear" w:color="auto" w:fill="auto"/>
            <w:noWrap/>
            <w:vAlign w:val="center"/>
          </w:tcPr>
          <w:p w:rsidR="00711B38" w:rsidRPr="004D096C" w:rsidRDefault="00711B38" w:rsidP="00CE70DD">
            <w:pPr>
              <w:jc w:val="right"/>
              <w:rPr>
                <w:rFonts w:cs="Arial"/>
                <w:sz w:val="16"/>
                <w:szCs w:val="16"/>
              </w:rPr>
            </w:pPr>
          </w:p>
        </w:tc>
      </w:tr>
      <w:tr w:rsidR="00711B38" w:rsidRPr="004D096C" w:rsidTr="00B80F2D">
        <w:trPr>
          <w:trHeight w:val="240"/>
        </w:trPr>
        <w:tc>
          <w:tcPr>
            <w:tcW w:w="3828" w:type="dxa"/>
            <w:shd w:val="clear" w:color="auto" w:fill="auto"/>
            <w:vAlign w:val="center"/>
            <w:hideMark/>
          </w:tcPr>
          <w:p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Desarrollo Infantil en Medio Familiar Sin Arriendo - Familiar Integral</w:t>
            </w:r>
          </w:p>
        </w:tc>
        <w:tc>
          <w:tcPr>
            <w:tcW w:w="1275"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8.083</w:t>
            </w:r>
          </w:p>
        </w:tc>
        <w:tc>
          <w:tcPr>
            <w:tcW w:w="1134"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249.960</w:t>
            </w:r>
          </w:p>
        </w:tc>
        <w:tc>
          <w:tcPr>
            <w:tcW w:w="1276"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249.960</w:t>
            </w:r>
          </w:p>
        </w:tc>
        <w:tc>
          <w:tcPr>
            <w:tcW w:w="1746" w:type="dxa"/>
            <w:vMerge/>
            <w:shd w:val="clear" w:color="auto" w:fill="auto"/>
            <w:noWrap/>
            <w:vAlign w:val="center"/>
          </w:tcPr>
          <w:p w:rsidR="00711B38" w:rsidRPr="004D096C" w:rsidRDefault="00711B38" w:rsidP="00CE70DD">
            <w:pPr>
              <w:jc w:val="right"/>
              <w:rPr>
                <w:rFonts w:cs="Arial"/>
                <w:sz w:val="16"/>
                <w:szCs w:val="16"/>
              </w:rPr>
            </w:pPr>
          </w:p>
        </w:tc>
      </w:tr>
      <w:tr w:rsidR="00711B38" w:rsidRPr="004D096C" w:rsidTr="00B80F2D">
        <w:trPr>
          <w:trHeight w:val="240"/>
        </w:trPr>
        <w:tc>
          <w:tcPr>
            <w:tcW w:w="3828" w:type="dxa"/>
            <w:shd w:val="clear" w:color="auto" w:fill="auto"/>
            <w:vAlign w:val="center"/>
          </w:tcPr>
          <w:p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HCB Integral - Comunitario (I)</w:t>
            </w:r>
          </w:p>
        </w:tc>
        <w:tc>
          <w:tcPr>
            <w:tcW w:w="1275"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7.168</w:t>
            </w:r>
          </w:p>
        </w:tc>
        <w:tc>
          <w:tcPr>
            <w:tcW w:w="1134"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91.281</w:t>
            </w:r>
          </w:p>
        </w:tc>
        <w:tc>
          <w:tcPr>
            <w:tcW w:w="1276"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91.281</w:t>
            </w:r>
          </w:p>
        </w:tc>
        <w:tc>
          <w:tcPr>
            <w:tcW w:w="1746" w:type="dxa"/>
            <w:vMerge/>
            <w:shd w:val="clear" w:color="auto" w:fill="auto"/>
            <w:noWrap/>
            <w:vAlign w:val="center"/>
          </w:tcPr>
          <w:p w:rsidR="00711B38" w:rsidRPr="004D096C" w:rsidRDefault="00711B38" w:rsidP="00CE70DD">
            <w:pPr>
              <w:jc w:val="right"/>
              <w:rPr>
                <w:rFonts w:cs="Arial"/>
                <w:sz w:val="16"/>
                <w:szCs w:val="16"/>
              </w:rPr>
            </w:pPr>
          </w:p>
        </w:tc>
      </w:tr>
      <w:tr w:rsidR="00711B38" w:rsidRPr="004D096C" w:rsidTr="00B80F2D">
        <w:trPr>
          <w:trHeight w:val="240"/>
        </w:trPr>
        <w:tc>
          <w:tcPr>
            <w:tcW w:w="3828" w:type="dxa"/>
            <w:shd w:val="clear" w:color="auto" w:fill="auto"/>
            <w:vAlign w:val="center"/>
          </w:tcPr>
          <w:p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Servicio Especial - Comunitario Integral (I)</w:t>
            </w:r>
          </w:p>
        </w:tc>
        <w:tc>
          <w:tcPr>
            <w:tcW w:w="1275"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317</w:t>
            </w:r>
          </w:p>
        </w:tc>
        <w:tc>
          <w:tcPr>
            <w:tcW w:w="1134"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4.042</w:t>
            </w:r>
          </w:p>
        </w:tc>
        <w:tc>
          <w:tcPr>
            <w:tcW w:w="1276"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4.042</w:t>
            </w:r>
          </w:p>
        </w:tc>
        <w:tc>
          <w:tcPr>
            <w:tcW w:w="1746" w:type="dxa"/>
            <w:vMerge/>
            <w:shd w:val="clear" w:color="auto" w:fill="auto"/>
            <w:noWrap/>
            <w:vAlign w:val="center"/>
          </w:tcPr>
          <w:p w:rsidR="00711B38" w:rsidRPr="004D096C" w:rsidRDefault="00711B38" w:rsidP="00CE70DD">
            <w:pPr>
              <w:jc w:val="right"/>
              <w:rPr>
                <w:rFonts w:cs="Arial"/>
                <w:sz w:val="16"/>
                <w:szCs w:val="16"/>
              </w:rPr>
            </w:pPr>
          </w:p>
        </w:tc>
      </w:tr>
      <w:tr w:rsidR="00711B38" w:rsidRPr="004D096C" w:rsidTr="004005A3">
        <w:trPr>
          <w:trHeight w:val="305"/>
        </w:trPr>
        <w:tc>
          <w:tcPr>
            <w:tcW w:w="3828" w:type="dxa"/>
            <w:shd w:val="clear" w:color="auto" w:fill="auto"/>
            <w:vAlign w:val="center"/>
          </w:tcPr>
          <w:p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Servicio Especial – Familiar Integral (I)</w:t>
            </w:r>
          </w:p>
        </w:tc>
        <w:tc>
          <w:tcPr>
            <w:tcW w:w="1275"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2.274</w:t>
            </w:r>
          </w:p>
        </w:tc>
        <w:tc>
          <w:tcPr>
            <w:tcW w:w="1134"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94.105</w:t>
            </w:r>
          </w:p>
        </w:tc>
        <w:tc>
          <w:tcPr>
            <w:tcW w:w="1276"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94.105</w:t>
            </w:r>
          </w:p>
        </w:tc>
        <w:tc>
          <w:tcPr>
            <w:tcW w:w="1746" w:type="dxa"/>
            <w:vMerge/>
            <w:shd w:val="clear" w:color="auto" w:fill="auto"/>
            <w:noWrap/>
            <w:vAlign w:val="center"/>
          </w:tcPr>
          <w:p w:rsidR="00711B38" w:rsidRPr="004D096C" w:rsidRDefault="00711B38" w:rsidP="00CE70DD">
            <w:pPr>
              <w:jc w:val="right"/>
              <w:rPr>
                <w:rFonts w:cs="Arial"/>
                <w:sz w:val="16"/>
                <w:szCs w:val="16"/>
              </w:rPr>
            </w:pPr>
          </w:p>
        </w:tc>
      </w:tr>
      <w:tr w:rsidR="00711B38" w:rsidRPr="004D096C" w:rsidTr="004005A3">
        <w:trPr>
          <w:trHeight w:val="252"/>
        </w:trPr>
        <w:tc>
          <w:tcPr>
            <w:tcW w:w="3828" w:type="dxa"/>
            <w:shd w:val="clear" w:color="auto" w:fill="auto"/>
            <w:vAlign w:val="center"/>
          </w:tcPr>
          <w:p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Servicio Especial – Institucional Integral (I)</w:t>
            </w:r>
          </w:p>
        </w:tc>
        <w:tc>
          <w:tcPr>
            <w:tcW w:w="1275"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806</w:t>
            </w:r>
          </w:p>
        </w:tc>
        <w:tc>
          <w:tcPr>
            <w:tcW w:w="1134"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102.249</w:t>
            </w:r>
          </w:p>
        </w:tc>
        <w:tc>
          <w:tcPr>
            <w:tcW w:w="1276"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102.249</w:t>
            </w:r>
          </w:p>
        </w:tc>
        <w:tc>
          <w:tcPr>
            <w:tcW w:w="1746" w:type="dxa"/>
            <w:vMerge/>
            <w:shd w:val="clear" w:color="auto" w:fill="auto"/>
            <w:noWrap/>
            <w:vAlign w:val="center"/>
          </w:tcPr>
          <w:p w:rsidR="00711B38" w:rsidRPr="004D096C" w:rsidRDefault="00711B38" w:rsidP="00CE70DD">
            <w:pPr>
              <w:jc w:val="right"/>
              <w:rPr>
                <w:rFonts w:cs="Arial"/>
                <w:sz w:val="16"/>
                <w:szCs w:val="16"/>
              </w:rPr>
            </w:pPr>
          </w:p>
        </w:tc>
      </w:tr>
      <w:tr w:rsidR="00711B38" w:rsidRPr="004D096C" w:rsidTr="004005A3">
        <w:trPr>
          <w:trHeight w:val="215"/>
        </w:trPr>
        <w:tc>
          <w:tcPr>
            <w:tcW w:w="3828" w:type="dxa"/>
            <w:shd w:val="clear" w:color="auto" w:fill="auto"/>
            <w:vAlign w:val="center"/>
            <w:hideMark/>
          </w:tcPr>
          <w:p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Servicio Especial – Atención Propia e Intercultural</w:t>
            </w:r>
          </w:p>
        </w:tc>
        <w:tc>
          <w:tcPr>
            <w:tcW w:w="1275"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10</w:t>
            </w:r>
          </w:p>
        </w:tc>
        <w:tc>
          <w:tcPr>
            <w:tcW w:w="1134"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479</w:t>
            </w:r>
          </w:p>
        </w:tc>
        <w:tc>
          <w:tcPr>
            <w:tcW w:w="1276"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479</w:t>
            </w:r>
          </w:p>
        </w:tc>
        <w:tc>
          <w:tcPr>
            <w:tcW w:w="1746" w:type="dxa"/>
            <w:vMerge/>
            <w:shd w:val="clear" w:color="auto" w:fill="auto"/>
            <w:noWrap/>
            <w:vAlign w:val="center"/>
          </w:tcPr>
          <w:p w:rsidR="00711B38" w:rsidRPr="004D096C" w:rsidRDefault="00711B38" w:rsidP="00CE70DD">
            <w:pPr>
              <w:jc w:val="right"/>
              <w:rPr>
                <w:rFonts w:cs="Arial"/>
                <w:sz w:val="16"/>
                <w:szCs w:val="16"/>
              </w:rPr>
            </w:pPr>
          </w:p>
        </w:tc>
      </w:tr>
      <w:tr w:rsidR="00711B38" w:rsidRPr="004D096C" w:rsidTr="00B80F2D">
        <w:trPr>
          <w:trHeight w:val="417"/>
        </w:trPr>
        <w:tc>
          <w:tcPr>
            <w:tcW w:w="3828" w:type="dxa"/>
            <w:shd w:val="clear" w:color="auto" w:fill="auto"/>
            <w:vAlign w:val="center"/>
            <w:hideMark/>
          </w:tcPr>
          <w:p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Atención a Niños hasta los 3 Años en Establecimientos De Reclusión a Mujeres (I)</w:t>
            </w:r>
          </w:p>
        </w:tc>
        <w:tc>
          <w:tcPr>
            <w:tcW w:w="1275"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11</w:t>
            </w:r>
          </w:p>
        </w:tc>
        <w:tc>
          <w:tcPr>
            <w:tcW w:w="1134"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121</w:t>
            </w:r>
          </w:p>
        </w:tc>
        <w:tc>
          <w:tcPr>
            <w:tcW w:w="1276"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121</w:t>
            </w:r>
          </w:p>
        </w:tc>
        <w:tc>
          <w:tcPr>
            <w:tcW w:w="1746" w:type="dxa"/>
            <w:vMerge/>
            <w:shd w:val="clear" w:color="auto" w:fill="auto"/>
            <w:noWrap/>
            <w:vAlign w:val="center"/>
          </w:tcPr>
          <w:p w:rsidR="00711B38" w:rsidRPr="004D096C" w:rsidRDefault="00711B38" w:rsidP="00CE70DD">
            <w:pPr>
              <w:jc w:val="right"/>
              <w:rPr>
                <w:rFonts w:cs="Arial"/>
                <w:sz w:val="16"/>
                <w:szCs w:val="16"/>
              </w:rPr>
            </w:pPr>
          </w:p>
        </w:tc>
      </w:tr>
      <w:tr w:rsidR="00711B38" w:rsidRPr="004D096C" w:rsidTr="00B80F2D">
        <w:trPr>
          <w:trHeight w:val="240"/>
        </w:trPr>
        <w:tc>
          <w:tcPr>
            <w:tcW w:w="3828" w:type="dxa"/>
            <w:shd w:val="clear" w:color="auto" w:fill="auto"/>
            <w:vAlign w:val="center"/>
            <w:hideMark/>
          </w:tcPr>
          <w:p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Otras Formas de atención (T)</w:t>
            </w:r>
          </w:p>
        </w:tc>
        <w:tc>
          <w:tcPr>
            <w:tcW w:w="1275"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3.406</w:t>
            </w:r>
          </w:p>
        </w:tc>
        <w:tc>
          <w:tcPr>
            <w:tcW w:w="1134"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127.978</w:t>
            </w:r>
          </w:p>
        </w:tc>
        <w:tc>
          <w:tcPr>
            <w:tcW w:w="1276"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127.978</w:t>
            </w:r>
          </w:p>
        </w:tc>
        <w:tc>
          <w:tcPr>
            <w:tcW w:w="1746" w:type="dxa"/>
            <w:vMerge/>
            <w:shd w:val="clear" w:color="auto" w:fill="auto"/>
            <w:noWrap/>
            <w:vAlign w:val="center"/>
          </w:tcPr>
          <w:p w:rsidR="00711B38" w:rsidRPr="004D096C" w:rsidRDefault="00711B38" w:rsidP="00CE70DD">
            <w:pPr>
              <w:jc w:val="right"/>
              <w:rPr>
                <w:rFonts w:cs="Arial"/>
                <w:sz w:val="16"/>
                <w:szCs w:val="16"/>
              </w:rPr>
            </w:pPr>
          </w:p>
        </w:tc>
      </w:tr>
      <w:tr w:rsidR="00711B38" w:rsidRPr="004D096C" w:rsidTr="00B80F2D">
        <w:trPr>
          <w:trHeight w:val="240"/>
        </w:trPr>
        <w:tc>
          <w:tcPr>
            <w:tcW w:w="3828" w:type="dxa"/>
            <w:shd w:val="clear" w:color="auto" w:fill="auto"/>
            <w:vAlign w:val="center"/>
            <w:hideMark/>
          </w:tcPr>
          <w:p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Atención Propia e Intercultural</w:t>
            </w:r>
          </w:p>
        </w:tc>
        <w:tc>
          <w:tcPr>
            <w:tcW w:w="1275"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2.855</w:t>
            </w:r>
          </w:p>
        </w:tc>
        <w:tc>
          <w:tcPr>
            <w:tcW w:w="1134"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74.165</w:t>
            </w:r>
          </w:p>
        </w:tc>
        <w:tc>
          <w:tcPr>
            <w:tcW w:w="1276"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74.165</w:t>
            </w:r>
          </w:p>
        </w:tc>
        <w:tc>
          <w:tcPr>
            <w:tcW w:w="1746" w:type="dxa"/>
            <w:vMerge/>
            <w:shd w:val="clear" w:color="auto" w:fill="auto"/>
            <w:noWrap/>
            <w:vAlign w:val="center"/>
          </w:tcPr>
          <w:p w:rsidR="00711B38" w:rsidRPr="004D096C" w:rsidRDefault="00711B38" w:rsidP="00CE70DD">
            <w:pPr>
              <w:jc w:val="right"/>
              <w:rPr>
                <w:rFonts w:cs="Arial"/>
                <w:sz w:val="16"/>
                <w:szCs w:val="16"/>
              </w:rPr>
            </w:pPr>
          </w:p>
        </w:tc>
      </w:tr>
      <w:tr w:rsidR="00711B38" w:rsidRPr="004D096C" w:rsidTr="00B80F2D">
        <w:trPr>
          <w:trHeight w:val="240"/>
        </w:trPr>
        <w:tc>
          <w:tcPr>
            <w:tcW w:w="3828" w:type="dxa"/>
            <w:shd w:val="clear" w:color="auto" w:fill="auto"/>
            <w:vAlign w:val="center"/>
            <w:hideMark/>
          </w:tcPr>
          <w:p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Grado Transición Con Atención Integral</w:t>
            </w:r>
          </w:p>
        </w:tc>
        <w:tc>
          <w:tcPr>
            <w:tcW w:w="1275"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551</w:t>
            </w:r>
          </w:p>
        </w:tc>
        <w:tc>
          <w:tcPr>
            <w:tcW w:w="1134"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53.813</w:t>
            </w:r>
          </w:p>
        </w:tc>
        <w:tc>
          <w:tcPr>
            <w:tcW w:w="1276" w:type="dxa"/>
            <w:shd w:val="clear" w:color="auto" w:fill="auto"/>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53.813</w:t>
            </w:r>
          </w:p>
        </w:tc>
        <w:tc>
          <w:tcPr>
            <w:tcW w:w="1746" w:type="dxa"/>
            <w:vMerge/>
            <w:shd w:val="clear" w:color="auto" w:fill="auto"/>
            <w:noWrap/>
            <w:vAlign w:val="center"/>
          </w:tcPr>
          <w:p w:rsidR="00711B38" w:rsidRPr="004D096C" w:rsidRDefault="00711B38" w:rsidP="00CE70DD">
            <w:pPr>
              <w:jc w:val="right"/>
              <w:rPr>
                <w:rFonts w:cs="Arial"/>
                <w:sz w:val="16"/>
                <w:szCs w:val="16"/>
              </w:rPr>
            </w:pPr>
          </w:p>
        </w:tc>
      </w:tr>
      <w:tr w:rsidR="00711B38" w:rsidRPr="004D096C" w:rsidTr="00B80F2D">
        <w:trPr>
          <w:trHeight w:val="240"/>
        </w:trPr>
        <w:tc>
          <w:tcPr>
            <w:tcW w:w="3828" w:type="dxa"/>
            <w:shd w:val="clear" w:color="auto" w:fill="EAF1DD" w:themeFill="accent3" w:themeFillTint="33"/>
            <w:vAlign w:val="center"/>
            <w:hideMark/>
          </w:tcPr>
          <w:p w:rsidR="00711B38" w:rsidRPr="004D096C" w:rsidRDefault="00B80F2D" w:rsidP="004D096C">
            <w:pPr>
              <w:spacing w:after="0" w:line="240" w:lineRule="auto"/>
              <w:rPr>
                <w:rFonts w:eastAsia="Times New Roman" w:cs="Arial"/>
                <w:color w:val="000000"/>
                <w:sz w:val="16"/>
                <w:szCs w:val="16"/>
                <w:lang w:val="es-CO" w:eastAsia="es-CO"/>
              </w:rPr>
            </w:pPr>
            <w:r w:rsidRPr="004D096C">
              <w:rPr>
                <w:rFonts w:eastAsia="Times New Roman" w:cs="Arial"/>
                <w:color w:val="000000"/>
                <w:sz w:val="16"/>
                <w:szCs w:val="16"/>
                <w:lang w:val="es-CO" w:eastAsia="es-CO"/>
              </w:rPr>
              <w:t>Tradicional</w:t>
            </w:r>
          </w:p>
        </w:tc>
        <w:tc>
          <w:tcPr>
            <w:tcW w:w="1275" w:type="dxa"/>
            <w:shd w:val="clear" w:color="auto" w:fill="EAF1DD" w:themeFill="accent3" w:themeFillTint="33"/>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49.786</w:t>
            </w:r>
          </w:p>
        </w:tc>
        <w:tc>
          <w:tcPr>
            <w:tcW w:w="1134" w:type="dxa"/>
            <w:shd w:val="clear" w:color="auto" w:fill="EAF1DD" w:themeFill="accent3" w:themeFillTint="33"/>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637.148</w:t>
            </w:r>
          </w:p>
        </w:tc>
        <w:tc>
          <w:tcPr>
            <w:tcW w:w="1276" w:type="dxa"/>
            <w:shd w:val="clear" w:color="auto" w:fill="EAF1DD" w:themeFill="accent3" w:themeFillTint="33"/>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727.192</w:t>
            </w:r>
          </w:p>
        </w:tc>
        <w:tc>
          <w:tcPr>
            <w:tcW w:w="1746" w:type="dxa"/>
            <w:shd w:val="clear" w:color="auto" w:fill="EAF1DD" w:themeFill="accent3" w:themeFillTint="33"/>
            <w:noWrap/>
            <w:vAlign w:val="center"/>
          </w:tcPr>
          <w:p w:rsidR="00711B38" w:rsidRPr="004D096C" w:rsidRDefault="00711B38" w:rsidP="004D096C">
            <w:pPr>
              <w:spacing w:after="0" w:line="240" w:lineRule="auto"/>
              <w:jc w:val="right"/>
              <w:rPr>
                <w:rFonts w:eastAsia="Times New Roman" w:cs="Arial"/>
                <w:color w:val="000000"/>
                <w:sz w:val="16"/>
                <w:szCs w:val="16"/>
                <w:lang w:val="es-CO" w:eastAsia="es-CO"/>
              </w:rPr>
            </w:pPr>
            <w:r w:rsidRPr="004D096C">
              <w:rPr>
                <w:rFonts w:eastAsia="Times New Roman" w:cs="Arial"/>
                <w:color w:val="000000"/>
                <w:sz w:val="16"/>
                <w:szCs w:val="16"/>
                <w:lang w:val="es-CO" w:eastAsia="es-CO"/>
              </w:rPr>
              <w:t>1.109.656.156.071</w:t>
            </w:r>
          </w:p>
        </w:tc>
      </w:tr>
      <w:tr w:rsidR="00711B38" w:rsidRPr="004D096C" w:rsidTr="00B80F2D">
        <w:trPr>
          <w:trHeight w:val="240"/>
        </w:trPr>
        <w:tc>
          <w:tcPr>
            <w:tcW w:w="3828" w:type="dxa"/>
            <w:shd w:val="clear" w:color="auto" w:fill="auto"/>
            <w:vAlign w:val="center"/>
            <w:hideMark/>
          </w:tcPr>
          <w:p w:rsidR="00711B38" w:rsidRPr="004005A3" w:rsidRDefault="00B80F2D" w:rsidP="004005A3">
            <w:pPr>
              <w:spacing w:after="0" w:line="240" w:lineRule="auto"/>
              <w:rPr>
                <w:rFonts w:eastAsia="Times New Roman" w:cs="Arial"/>
                <w:color w:val="000000"/>
                <w:sz w:val="16"/>
                <w:szCs w:val="16"/>
                <w:lang w:val="es-CO" w:eastAsia="es-CO"/>
              </w:rPr>
            </w:pPr>
            <w:r w:rsidRPr="004005A3">
              <w:rPr>
                <w:rFonts w:eastAsia="Times New Roman" w:cs="Arial"/>
                <w:color w:val="000000"/>
                <w:sz w:val="16"/>
                <w:szCs w:val="16"/>
                <w:lang w:val="es-CO" w:eastAsia="es-CO"/>
              </w:rPr>
              <w:t>HCB Agrupados - Institucional (T)</w:t>
            </w:r>
          </w:p>
        </w:tc>
        <w:tc>
          <w:tcPr>
            <w:tcW w:w="1275" w:type="dxa"/>
            <w:shd w:val="clear" w:color="auto" w:fill="auto"/>
            <w:noWrap/>
            <w:vAlign w:val="center"/>
          </w:tcPr>
          <w:p w:rsidR="00711B38" w:rsidRPr="004005A3" w:rsidRDefault="00711B38" w:rsidP="004005A3">
            <w:pPr>
              <w:spacing w:after="0" w:line="240" w:lineRule="auto"/>
              <w:jc w:val="right"/>
              <w:rPr>
                <w:rFonts w:eastAsia="Times New Roman" w:cs="Arial"/>
                <w:color w:val="000000"/>
                <w:sz w:val="16"/>
                <w:szCs w:val="16"/>
                <w:lang w:val="es-CO" w:eastAsia="es-CO"/>
              </w:rPr>
            </w:pPr>
            <w:r w:rsidRPr="004005A3">
              <w:rPr>
                <w:rFonts w:eastAsia="Times New Roman" w:cs="Arial"/>
                <w:color w:val="000000"/>
                <w:sz w:val="16"/>
                <w:szCs w:val="16"/>
                <w:lang w:val="es-CO" w:eastAsia="es-CO"/>
              </w:rPr>
              <w:t>994</w:t>
            </w:r>
          </w:p>
        </w:tc>
        <w:tc>
          <w:tcPr>
            <w:tcW w:w="1134" w:type="dxa"/>
            <w:shd w:val="clear" w:color="auto" w:fill="auto"/>
            <w:noWrap/>
            <w:vAlign w:val="center"/>
          </w:tcPr>
          <w:p w:rsidR="00711B38" w:rsidRPr="004005A3" w:rsidRDefault="00711B38" w:rsidP="004005A3">
            <w:pPr>
              <w:spacing w:after="0" w:line="240" w:lineRule="auto"/>
              <w:jc w:val="right"/>
              <w:rPr>
                <w:rFonts w:eastAsia="Times New Roman" w:cs="Arial"/>
                <w:color w:val="000000"/>
                <w:sz w:val="16"/>
                <w:szCs w:val="16"/>
                <w:lang w:val="es-CO" w:eastAsia="es-CO"/>
              </w:rPr>
            </w:pPr>
            <w:r w:rsidRPr="004005A3">
              <w:rPr>
                <w:rFonts w:eastAsia="Times New Roman" w:cs="Arial"/>
                <w:color w:val="000000"/>
                <w:sz w:val="16"/>
                <w:szCs w:val="16"/>
                <w:lang w:val="es-CO" w:eastAsia="es-CO"/>
              </w:rPr>
              <w:t>37.427</w:t>
            </w:r>
          </w:p>
        </w:tc>
        <w:tc>
          <w:tcPr>
            <w:tcW w:w="1276" w:type="dxa"/>
            <w:shd w:val="clear" w:color="auto" w:fill="auto"/>
            <w:noWrap/>
            <w:vAlign w:val="center"/>
          </w:tcPr>
          <w:p w:rsidR="00711B38" w:rsidRPr="004005A3" w:rsidRDefault="00711B38" w:rsidP="004005A3">
            <w:pPr>
              <w:spacing w:after="0" w:line="240" w:lineRule="auto"/>
              <w:jc w:val="right"/>
              <w:rPr>
                <w:rFonts w:eastAsia="Times New Roman" w:cs="Arial"/>
                <w:color w:val="000000"/>
                <w:sz w:val="16"/>
                <w:szCs w:val="16"/>
                <w:lang w:val="es-CO" w:eastAsia="es-CO"/>
              </w:rPr>
            </w:pPr>
            <w:r w:rsidRPr="004005A3">
              <w:rPr>
                <w:rFonts w:eastAsia="Times New Roman" w:cs="Arial"/>
                <w:color w:val="000000"/>
                <w:sz w:val="16"/>
                <w:szCs w:val="16"/>
                <w:lang w:val="es-CO" w:eastAsia="es-CO"/>
              </w:rPr>
              <w:t>37.427</w:t>
            </w:r>
          </w:p>
        </w:tc>
        <w:tc>
          <w:tcPr>
            <w:tcW w:w="1746" w:type="dxa"/>
            <w:vMerge w:val="restart"/>
            <w:shd w:val="clear" w:color="auto" w:fill="auto"/>
            <w:noWrap/>
            <w:vAlign w:val="center"/>
          </w:tcPr>
          <w:p w:rsidR="00711B38" w:rsidRPr="004D096C" w:rsidRDefault="00711B38" w:rsidP="00CE70DD">
            <w:pPr>
              <w:jc w:val="right"/>
              <w:rPr>
                <w:rFonts w:cs="Arial"/>
                <w:sz w:val="16"/>
                <w:szCs w:val="16"/>
              </w:rPr>
            </w:pPr>
          </w:p>
        </w:tc>
      </w:tr>
      <w:tr w:rsidR="00711B38" w:rsidRPr="004D096C" w:rsidTr="00B80F2D">
        <w:trPr>
          <w:trHeight w:val="240"/>
        </w:trPr>
        <w:tc>
          <w:tcPr>
            <w:tcW w:w="3828" w:type="dxa"/>
            <w:shd w:val="clear" w:color="auto" w:fill="auto"/>
            <w:vAlign w:val="center"/>
            <w:hideMark/>
          </w:tcPr>
          <w:p w:rsidR="00711B38" w:rsidRPr="004005A3" w:rsidRDefault="00B80F2D" w:rsidP="004005A3">
            <w:pPr>
              <w:spacing w:after="0" w:line="240" w:lineRule="auto"/>
              <w:rPr>
                <w:rFonts w:eastAsia="Times New Roman" w:cs="Arial"/>
                <w:color w:val="000000"/>
                <w:sz w:val="16"/>
                <w:szCs w:val="16"/>
                <w:lang w:val="es-CO" w:eastAsia="es-CO"/>
              </w:rPr>
            </w:pPr>
            <w:r w:rsidRPr="004005A3">
              <w:rPr>
                <w:rFonts w:eastAsia="Times New Roman" w:cs="Arial"/>
                <w:color w:val="000000"/>
                <w:sz w:val="16"/>
                <w:szCs w:val="16"/>
                <w:lang w:val="es-CO" w:eastAsia="es-CO"/>
              </w:rPr>
              <w:t>HCB Tradicional - Comunitario (T)</w:t>
            </w:r>
          </w:p>
        </w:tc>
        <w:tc>
          <w:tcPr>
            <w:tcW w:w="1275" w:type="dxa"/>
            <w:shd w:val="clear" w:color="auto" w:fill="auto"/>
            <w:noWrap/>
            <w:vAlign w:val="center"/>
          </w:tcPr>
          <w:p w:rsidR="00711B38" w:rsidRPr="004005A3" w:rsidRDefault="00711B38" w:rsidP="004005A3">
            <w:pPr>
              <w:spacing w:after="0" w:line="240" w:lineRule="auto"/>
              <w:jc w:val="right"/>
              <w:rPr>
                <w:rFonts w:eastAsia="Times New Roman" w:cs="Arial"/>
                <w:color w:val="000000"/>
                <w:sz w:val="16"/>
                <w:szCs w:val="16"/>
                <w:lang w:val="es-CO" w:eastAsia="es-CO"/>
              </w:rPr>
            </w:pPr>
            <w:r w:rsidRPr="004005A3">
              <w:rPr>
                <w:rFonts w:eastAsia="Times New Roman" w:cs="Arial"/>
                <w:color w:val="000000"/>
                <w:sz w:val="16"/>
                <w:szCs w:val="16"/>
                <w:lang w:val="es-CO" w:eastAsia="es-CO"/>
              </w:rPr>
              <w:t>39.145</w:t>
            </w:r>
          </w:p>
        </w:tc>
        <w:tc>
          <w:tcPr>
            <w:tcW w:w="1134" w:type="dxa"/>
            <w:shd w:val="clear" w:color="auto" w:fill="auto"/>
            <w:noWrap/>
            <w:vAlign w:val="center"/>
          </w:tcPr>
          <w:p w:rsidR="00711B38" w:rsidRPr="004005A3" w:rsidRDefault="00711B38" w:rsidP="004005A3">
            <w:pPr>
              <w:spacing w:after="0" w:line="240" w:lineRule="auto"/>
              <w:jc w:val="right"/>
              <w:rPr>
                <w:rFonts w:eastAsia="Times New Roman" w:cs="Arial"/>
                <w:color w:val="000000"/>
                <w:sz w:val="16"/>
                <w:szCs w:val="16"/>
                <w:lang w:val="es-CO" w:eastAsia="es-CO"/>
              </w:rPr>
            </w:pPr>
            <w:r w:rsidRPr="004005A3">
              <w:rPr>
                <w:rFonts w:eastAsia="Times New Roman" w:cs="Arial"/>
                <w:color w:val="000000"/>
                <w:sz w:val="16"/>
                <w:szCs w:val="16"/>
                <w:lang w:val="es-CO" w:eastAsia="es-CO"/>
              </w:rPr>
              <w:t>478.706</w:t>
            </w:r>
          </w:p>
        </w:tc>
        <w:tc>
          <w:tcPr>
            <w:tcW w:w="1276" w:type="dxa"/>
            <w:shd w:val="clear" w:color="auto" w:fill="auto"/>
            <w:noWrap/>
            <w:vAlign w:val="center"/>
          </w:tcPr>
          <w:p w:rsidR="00711B38" w:rsidRPr="004005A3" w:rsidRDefault="00711B38" w:rsidP="004005A3">
            <w:pPr>
              <w:spacing w:after="0" w:line="240" w:lineRule="auto"/>
              <w:jc w:val="right"/>
              <w:rPr>
                <w:rFonts w:eastAsia="Times New Roman" w:cs="Arial"/>
                <w:color w:val="000000"/>
                <w:sz w:val="16"/>
                <w:szCs w:val="16"/>
                <w:lang w:val="es-CO" w:eastAsia="es-CO"/>
              </w:rPr>
            </w:pPr>
            <w:r w:rsidRPr="004005A3">
              <w:rPr>
                <w:rFonts w:eastAsia="Times New Roman" w:cs="Arial"/>
                <w:color w:val="000000"/>
                <w:sz w:val="16"/>
                <w:szCs w:val="16"/>
                <w:lang w:val="es-CO" w:eastAsia="es-CO"/>
              </w:rPr>
              <w:t>478.706</w:t>
            </w:r>
          </w:p>
        </w:tc>
        <w:tc>
          <w:tcPr>
            <w:tcW w:w="1746" w:type="dxa"/>
            <w:vMerge/>
            <w:shd w:val="clear" w:color="auto" w:fill="auto"/>
            <w:noWrap/>
            <w:vAlign w:val="center"/>
          </w:tcPr>
          <w:p w:rsidR="00711B38" w:rsidRPr="004D096C" w:rsidRDefault="00711B38" w:rsidP="00CE70DD">
            <w:pPr>
              <w:jc w:val="right"/>
              <w:rPr>
                <w:rFonts w:cs="Arial"/>
                <w:sz w:val="16"/>
                <w:szCs w:val="16"/>
              </w:rPr>
            </w:pPr>
          </w:p>
        </w:tc>
      </w:tr>
      <w:tr w:rsidR="00711B38" w:rsidRPr="004D096C" w:rsidTr="004005A3">
        <w:trPr>
          <w:trHeight w:val="60"/>
        </w:trPr>
        <w:tc>
          <w:tcPr>
            <w:tcW w:w="3828" w:type="dxa"/>
            <w:shd w:val="clear" w:color="auto" w:fill="auto"/>
            <w:vAlign w:val="center"/>
            <w:hideMark/>
          </w:tcPr>
          <w:p w:rsidR="00711B38" w:rsidRPr="004005A3" w:rsidRDefault="00B80F2D" w:rsidP="004005A3">
            <w:pPr>
              <w:spacing w:after="0" w:line="240" w:lineRule="auto"/>
              <w:rPr>
                <w:rFonts w:eastAsia="Times New Roman" w:cs="Arial"/>
                <w:color w:val="000000"/>
                <w:sz w:val="16"/>
                <w:szCs w:val="16"/>
                <w:lang w:val="es-CO" w:eastAsia="es-CO"/>
              </w:rPr>
            </w:pPr>
            <w:r w:rsidRPr="004005A3">
              <w:rPr>
                <w:rFonts w:eastAsia="Times New Roman" w:cs="Arial"/>
                <w:color w:val="000000"/>
                <w:sz w:val="16"/>
                <w:szCs w:val="16"/>
                <w:lang w:val="es-CO" w:eastAsia="es-CO"/>
              </w:rPr>
              <w:t>HCB FAMI- Familiar (T)</w:t>
            </w:r>
          </w:p>
        </w:tc>
        <w:tc>
          <w:tcPr>
            <w:tcW w:w="1275" w:type="dxa"/>
            <w:shd w:val="clear" w:color="auto" w:fill="auto"/>
            <w:noWrap/>
            <w:vAlign w:val="center"/>
          </w:tcPr>
          <w:p w:rsidR="00711B38" w:rsidRPr="004005A3" w:rsidRDefault="00711B38" w:rsidP="004005A3">
            <w:pPr>
              <w:spacing w:after="0" w:line="240" w:lineRule="auto"/>
              <w:jc w:val="right"/>
              <w:rPr>
                <w:rFonts w:eastAsia="Times New Roman" w:cs="Arial"/>
                <w:color w:val="000000"/>
                <w:sz w:val="16"/>
                <w:szCs w:val="16"/>
                <w:lang w:val="es-CO" w:eastAsia="es-CO"/>
              </w:rPr>
            </w:pPr>
            <w:r w:rsidRPr="004005A3">
              <w:rPr>
                <w:rFonts w:eastAsia="Times New Roman" w:cs="Arial"/>
                <w:color w:val="000000"/>
                <w:sz w:val="16"/>
                <w:szCs w:val="16"/>
                <w:lang w:val="es-CO" w:eastAsia="es-CO"/>
              </w:rPr>
              <w:t>9.647</w:t>
            </w:r>
          </w:p>
        </w:tc>
        <w:tc>
          <w:tcPr>
            <w:tcW w:w="1134" w:type="dxa"/>
            <w:shd w:val="clear" w:color="auto" w:fill="auto"/>
            <w:noWrap/>
            <w:vAlign w:val="center"/>
          </w:tcPr>
          <w:p w:rsidR="00711B38" w:rsidRPr="004005A3" w:rsidRDefault="00711B38" w:rsidP="004005A3">
            <w:pPr>
              <w:spacing w:after="0" w:line="240" w:lineRule="auto"/>
              <w:jc w:val="right"/>
              <w:rPr>
                <w:rFonts w:eastAsia="Times New Roman" w:cs="Arial"/>
                <w:color w:val="000000"/>
                <w:sz w:val="16"/>
                <w:szCs w:val="16"/>
                <w:lang w:val="es-CO" w:eastAsia="es-CO"/>
              </w:rPr>
            </w:pPr>
            <w:r w:rsidRPr="004005A3">
              <w:rPr>
                <w:rFonts w:eastAsia="Times New Roman" w:cs="Arial"/>
                <w:color w:val="000000"/>
                <w:sz w:val="16"/>
                <w:szCs w:val="16"/>
                <w:lang w:val="es-CO" w:eastAsia="es-CO"/>
              </w:rPr>
              <w:t>121.015</w:t>
            </w:r>
          </w:p>
        </w:tc>
        <w:tc>
          <w:tcPr>
            <w:tcW w:w="1276" w:type="dxa"/>
            <w:shd w:val="clear" w:color="auto" w:fill="auto"/>
            <w:noWrap/>
            <w:vAlign w:val="center"/>
          </w:tcPr>
          <w:p w:rsidR="00711B38" w:rsidRPr="004005A3" w:rsidRDefault="00711B38" w:rsidP="004005A3">
            <w:pPr>
              <w:spacing w:after="0" w:line="240" w:lineRule="auto"/>
              <w:jc w:val="right"/>
              <w:rPr>
                <w:rFonts w:eastAsia="Times New Roman" w:cs="Arial"/>
                <w:color w:val="000000"/>
                <w:sz w:val="16"/>
                <w:szCs w:val="16"/>
                <w:lang w:val="es-CO" w:eastAsia="es-CO"/>
              </w:rPr>
            </w:pPr>
            <w:r w:rsidRPr="004005A3">
              <w:rPr>
                <w:rFonts w:eastAsia="Times New Roman" w:cs="Arial"/>
                <w:color w:val="000000"/>
                <w:sz w:val="16"/>
                <w:szCs w:val="16"/>
                <w:lang w:val="es-CO" w:eastAsia="es-CO"/>
              </w:rPr>
              <w:t>211.059</w:t>
            </w:r>
          </w:p>
        </w:tc>
        <w:tc>
          <w:tcPr>
            <w:tcW w:w="1746" w:type="dxa"/>
            <w:vMerge/>
            <w:shd w:val="clear" w:color="auto" w:fill="auto"/>
            <w:noWrap/>
            <w:vAlign w:val="center"/>
          </w:tcPr>
          <w:p w:rsidR="00711B38" w:rsidRPr="004D096C" w:rsidRDefault="00711B38" w:rsidP="00CE70DD">
            <w:pPr>
              <w:jc w:val="right"/>
              <w:rPr>
                <w:rFonts w:cs="Arial"/>
                <w:sz w:val="16"/>
                <w:szCs w:val="16"/>
              </w:rPr>
            </w:pPr>
          </w:p>
        </w:tc>
      </w:tr>
    </w:tbl>
    <w:p w:rsidR="00711B38" w:rsidRDefault="00711B38" w:rsidP="00711B38">
      <w:pPr>
        <w:rPr>
          <w:rFonts w:cs="Arial"/>
          <w:sz w:val="16"/>
          <w:szCs w:val="16"/>
        </w:rPr>
      </w:pPr>
      <w:r w:rsidRPr="00BE42CF">
        <w:rPr>
          <w:rFonts w:cs="Arial"/>
          <w:sz w:val="16"/>
          <w:szCs w:val="16"/>
        </w:rPr>
        <w:t xml:space="preserve">Fuente: Metas Sociales y Financieras – Cierre de vigencia 2017 </w:t>
      </w:r>
      <w:r w:rsidR="00B80F2D">
        <w:rPr>
          <w:rFonts w:cs="Arial"/>
          <w:sz w:val="16"/>
          <w:szCs w:val="16"/>
        </w:rPr>
        <w:t>–</w:t>
      </w:r>
      <w:r w:rsidRPr="00BE42CF">
        <w:rPr>
          <w:rFonts w:cs="Arial"/>
          <w:sz w:val="16"/>
          <w:szCs w:val="16"/>
        </w:rPr>
        <w:t xml:space="preserve"> Preliminar</w:t>
      </w:r>
    </w:p>
    <w:p w:rsidR="00B80F2D" w:rsidRPr="00BE42CF" w:rsidRDefault="00B80F2D" w:rsidP="00B80F2D">
      <w:pPr>
        <w:spacing w:after="0"/>
        <w:rPr>
          <w:rFonts w:cs="Arial"/>
          <w:sz w:val="16"/>
          <w:szCs w:val="16"/>
        </w:rPr>
      </w:pPr>
    </w:p>
    <w:p w:rsidR="000102A4" w:rsidRPr="007608C2" w:rsidRDefault="000E0283" w:rsidP="00054899">
      <w:pPr>
        <w:pStyle w:val="Ttulo2"/>
        <w:numPr>
          <w:ilvl w:val="2"/>
          <w:numId w:val="2"/>
        </w:numPr>
        <w:rPr>
          <w:rFonts w:cs="Arial"/>
          <w:b/>
        </w:rPr>
      </w:pPr>
      <w:hyperlink w:anchor="_Toc478635845" w:history="1">
        <w:bookmarkStart w:id="22" w:name="_Toc505183034"/>
        <w:r w:rsidR="00255EC0" w:rsidRPr="007608C2">
          <w:rPr>
            <w:rFonts w:cs="Arial"/>
            <w:b/>
          </w:rPr>
          <w:t>Marco Política Pública Primera Infancia</w:t>
        </w:r>
        <w:bookmarkEnd w:id="22"/>
      </w:hyperlink>
    </w:p>
    <w:p w:rsidR="002D2D91" w:rsidRPr="007608C2" w:rsidRDefault="002D2D91" w:rsidP="007F3B58">
      <w:pPr>
        <w:spacing w:after="0"/>
        <w:rPr>
          <w:rFonts w:cs="Arial"/>
        </w:rPr>
      </w:pPr>
    </w:p>
    <w:p w:rsidR="002D2D91" w:rsidRPr="007608C2" w:rsidRDefault="002D2D91" w:rsidP="002D2D91">
      <w:pPr>
        <w:jc w:val="both"/>
        <w:rPr>
          <w:rFonts w:cs="Arial"/>
        </w:rPr>
      </w:pPr>
      <w:r w:rsidRPr="007608C2">
        <w:rPr>
          <w:rFonts w:cs="Arial"/>
        </w:rPr>
        <w:t>El 07 de agosto de 2014, el Presidente Juan Manuel Santos Calderón, en su discurso de posesión anunció que “Ser el país más educado de América Latina en el 2025 significa que todos los niños y las niñas de Colombia en su Primera Infancia reciban la mejor atención, sin importar su condición económica. Vamos a asegurar cobertura universal de atención integral para todos los niños entre 0 y 5 años, con la Estrategia de Cero a Siempre”.</w:t>
      </w:r>
    </w:p>
    <w:p w:rsidR="002D2D91" w:rsidRPr="007608C2" w:rsidRDefault="002D2D91" w:rsidP="002D2D91">
      <w:pPr>
        <w:jc w:val="both"/>
        <w:rPr>
          <w:rFonts w:cs="Arial"/>
        </w:rPr>
      </w:pPr>
      <w:r w:rsidRPr="007608C2">
        <w:rPr>
          <w:rFonts w:cs="Arial"/>
        </w:rPr>
        <w:lastRenderedPageBreak/>
        <w:t>Por lo cual, el 02 de agosto del 2016 ante la plenaria del senado, la “Estrategia de Cero a Siempre” fue elevada a rango de Ley 1804 del 2016 “por la cual se establece la política de estado para el desarrollo integral de la primera infancia de Cero a Siempre se dictan otras disposiciones”; demostrando de tal manera, el compromiso del Gobierno con la Primera Infancia del país, mediante esta iniciativa legislativa la cual busca consolidar un conjunto de acciones planificadas de carácter nacional y territorial, esquemas de gestión y financiación que permiten avanzar hacia la universalización de la atención integral y el ejercicio pleno de los derechos de la Primera Infancia.  Estas acciones se encuentran enfocadas en generar una intervención diferenciada según la edad, el sexo, el contexto local, las condiciones socioculturales y las particularidades de cada individuo.</w:t>
      </w:r>
    </w:p>
    <w:p w:rsidR="002D2D91" w:rsidRPr="007608C2" w:rsidRDefault="002D2D91" w:rsidP="002D2D91">
      <w:pPr>
        <w:jc w:val="both"/>
        <w:rPr>
          <w:rFonts w:cs="Arial"/>
        </w:rPr>
      </w:pPr>
      <w:r w:rsidRPr="007608C2">
        <w:rPr>
          <w:rFonts w:cs="Arial"/>
        </w:rPr>
        <w:t xml:space="preserve">Por consiguiente, luego de tres años enfocados en la “Estrategia de Cero a Siempre”, y después de más un año promoviendo la Ley 1804, el ICBF generó en la vigencia 2017 la ampliación de cobertura y una mejora en la calidad de las siguientes modalidades de atención: i) Modalidad Institucional, ii) Modalidad Familiar, iii) Modalidad Comunitaria y iv) Modalidad Propia Intercultural para Comunidades Étnicas y Rurales, las cuales cumplen el objetivo principal de promover el desarrollo integral en el país. </w:t>
      </w:r>
    </w:p>
    <w:p w:rsidR="002D2D91" w:rsidRPr="007608C2" w:rsidRDefault="002D2D91" w:rsidP="002D2D91">
      <w:pPr>
        <w:jc w:val="both"/>
        <w:rPr>
          <w:rFonts w:cs="Arial"/>
        </w:rPr>
      </w:pPr>
      <w:r w:rsidRPr="007608C2">
        <w:rPr>
          <w:rFonts w:cs="Arial"/>
        </w:rPr>
        <w:t xml:space="preserve">Por otro lado, frente a la mejora de calidad, y de acuerdo a las funciones establecidas al ICBF en la Ley 1804, que se encuentra orientada a actuar como ente rector y articulador en la prestación de servicios directos a la población, se han generado las siguientes estrategias: </w:t>
      </w:r>
    </w:p>
    <w:p w:rsidR="002D2D91" w:rsidRDefault="002D2D91" w:rsidP="00A44A2B">
      <w:pPr>
        <w:pStyle w:val="Prrafodelista"/>
        <w:numPr>
          <w:ilvl w:val="0"/>
          <w:numId w:val="67"/>
        </w:numPr>
        <w:spacing w:after="0"/>
        <w:ind w:left="714" w:hanging="357"/>
        <w:jc w:val="both"/>
        <w:rPr>
          <w:rFonts w:cs="Arial"/>
        </w:rPr>
      </w:pPr>
      <w:r w:rsidRPr="007608C2">
        <w:rPr>
          <w:rFonts w:cs="Arial"/>
        </w:rPr>
        <w:t>Acompañar y fortalecer a las Regionales, Centros Zonales, Entidades Territoriales, Entidades Administradoras de Servicios (EAS) y a las Unidades de Servicios (UDS) en la implementación de las condiciones de calidad de la política de estado.</w:t>
      </w:r>
    </w:p>
    <w:p w:rsidR="002D2D91" w:rsidRDefault="002D2D91" w:rsidP="00A44A2B">
      <w:pPr>
        <w:pStyle w:val="Prrafodelista"/>
        <w:numPr>
          <w:ilvl w:val="0"/>
          <w:numId w:val="67"/>
        </w:numPr>
        <w:spacing w:after="0"/>
        <w:ind w:left="714" w:hanging="357"/>
        <w:jc w:val="both"/>
        <w:rPr>
          <w:rFonts w:cs="Arial"/>
        </w:rPr>
      </w:pPr>
      <w:r w:rsidRPr="007608C2">
        <w:rPr>
          <w:rFonts w:cs="Arial"/>
        </w:rPr>
        <w:t>Acompañar y formar agentes educativos en el marco de la política de estado.</w:t>
      </w:r>
    </w:p>
    <w:p w:rsidR="002D2D91" w:rsidRDefault="002D2D91" w:rsidP="00A44A2B">
      <w:pPr>
        <w:pStyle w:val="Prrafodelista"/>
        <w:numPr>
          <w:ilvl w:val="0"/>
          <w:numId w:val="67"/>
        </w:numPr>
        <w:spacing w:after="0"/>
        <w:ind w:left="714" w:hanging="357"/>
        <w:jc w:val="both"/>
        <w:rPr>
          <w:rFonts w:cs="Arial"/>
        </w:rPr>
      </w:pPr>
      <w:r w:rsidRPr="007608C2">
        <w:rPr>
          <w:rFonts w:cs="Arial"/>
        </w:rPr>
        <w:t>Construir, adecuar, mejorar y dotar la infraestructura para la atención en las modalidades de primera infancia.</w:t>
      </w:r>
    </w:p>
    <w:p w:rsidR="002D2D91" w:rsidRDefault="002D2D91" w:rsidP="00A44A2B">
      <w:pPr>
        <w:pStyle w:val="Prrafodelista"/>
        <w:numPr>
          <w:ilvl w:val="0"/>
          <w:numId w:val="67"/>
        </w:numPr>
        <w:spacing w:after="0"/>
        <w:ind w:left="714" w:hanging="357"/>
        <w:jc w:val="both"/>
        <w:rPr>
          <w:rFonts w:cs="Arial"/>
        </w:rPr>
      </w:pPr>
      <w:r w:rsidRPr="007608C2">
        <w:rPr>
          <w:rFonts w:cs="Arial"/>
        </w:rPr>
        <w:t>Evaluar la calidad en la prestación de los servicios misionales del ICBF.</w:t>
      </w:r>
    </w:p>
    <w:p w:rsidR="002D2D91" w:rsidRPr="007608C2" w:rsidRDefault="002D2D91" w:rsidP="00A44A2B">
      <w:pPr>
        <w:pStyle w:val="Prrafodelista"/>
        <w:numPr>
          <w:ilvl w:val="0"/>
          <w:numId w:val="67"/>
        </w:numPr>
        <w:spacing w:after="0"/>
        <w:ind w:left="714" w:hanging="357"/>
        <w:jc w:val="both"/>
        <w:rPr>
          <w:rFonts w:cs="Arial"/>
        </w:rPr>
      </w:pPr>
      <w:r w:rsidRPr="007608C2">
        <w:rPr>
          <w:rFonts w:cs="Arial"/>
        </w:rPr>
        <w:t>Coordinar la implementación de las estrategias y mecanismos orientados a la articulación del Sistema Nacional de Bienestar Familiar – SNBF en los diferentes ámbitos de gobierno y sectores.</w:t>
      </w:r>
    </w:p>
    <w:p w:rsidR="00E1469E" w:rsidRPr="007608C2" w:rsidRDefault="00E1469E" w:rsidP="00E1469E">
      <w:pPr>
        <w:pStyle w:val="Prrafodelista"/>
        <w:spacing w:after="0"/>
        <w:ind w:left="714"/>
        <w:jc w:val="both"/>
        <w:rPr>
          <w:rFonts w:cs="Arial"/>
        </w:rPr>
      </w:pPr>
    </w:p>
    <w:p w:rsidR="000102A4" w:rsidRDefault="000E0283" w:rsidP="00054899">
      <w:pPr>
        <w:pStyle w:val="Ttulo2"/>
        <w:numPr>
          <w:ilvl w:val="2"/>
          <w:numId w:val="2"/>
        </w:numPr>
        <w:rPr>
          <w:rFonts w:cs="Arial"/>
          <w:b/>
        </w:rPr>
      </w:pPr>
      <w:hyperlink w:anchor="_Toc478635846" w:history="1">
        <w:bookmarkStart w:id="23" w:name="_Toc505183035"/>
        <w:r w:rsidR="000102A4" w:rsidRPr="007608C2">
          <w:rPr>
            <w:rFonts w:cs="Arial"/>
            <w:b/>
          </w:rPr>
          <w:t>Atención Integral</w:t>
        </w:r>
        <w:bookmarkEnd w:id="23"/>
      </w:hyperlink>
    </w:p>
    <w:p w:rsidR="00B80F2D" w:rsidRPr="00B80F2D" w:rsidRDefault="00B80F2D" w:rsidP="00B80F2D">
      <w:pPr>
        <w:spacing w:after="0"/>
      </w:pPr>
    </w:p>
    <w:p w:rsidR="002D2D91" w:rsidRPr="007608C2" w:rsidRDefault="002D2D91" w:rsidP="002D2D91">
      <w:pPr>
        <w:jc w:val="both"/>
        <w:rPr>
          <w:rFonts w:cs="Arial"/>
        </w:rPr>
      </w:pPr>
      <w:r w:rsidRPr="007608C2">
        <w:rPr>
          <w:rFonts w:cs="Arial"/>
        </w:rPr>
        <w:t xml:space="preserve">El objetivo primordial de la atención integral a la Primera Infancia es asegurar las condiciones que posibiliten el desarrollo infantil, acrecentando las capacidades, habilidades y potencialidades humanas, las cuales tienen un asiento más exitoso en los primeros años de vida. Por consiguiente, para la vigencia 2017, se asumió la atención de un total de </w:t>
      </w:r>
      <w:r w:rsidR="00194772" w:rsidRPr="00B80F2D">
        <w:rPr>
          <w:rFonts w:cs="Arial"/>
          <w:sz w:val="20"/>
          <w:szCs w:val="20"/>
        </w:rPr>
        <w:t xml:space="preserve">1.240.102 </w:t>
      </w:r>
      <w:r w:rsidRPr="00B80F2D">
        <w:rPr>
          <w:rFonts w:cs="Arial"/>
        </w:rPr>
        <w:t>niñas</w:t>
      </w:r>
      <w:r w:rsidRPr="007608C2">
        <w:rPr>
          <w:rFonts w:cs="Arial"/>
        </w:rPr>
        <w:t xml:space="preserve"> y niños del país desde la gestación hasta los 6 años (</w:t>
      </w:r>
      <w:r w:rsidRPr="007608C2">
        <w:rPr>
          <w:rFonts w:cs="Arial"/>
          <w:i/>
        </w:rPr>
        <w:t xml:space="preserve">con corte de 31 de diciembre de 2017, de Metas </w:t>
      </w:r>
      <w:r w:rsidRPr="007608C2">
        <w:rPr>
          <w:rFonts w:cs="Arial"/>
          <w:i/>
        </w:rPr>
        <w:lastRenderedPageBreak/>
        <w:t>Sociales y Financieras - Preliminar</w:t>
      </w:r>
      <w:r w:rsidRPr="007608C2">
        <w:rPr>
          <w:rFonts w:cs="Arial"/>
        </w:rPr>
        <w:t>), mediante la garantía de sus derechos a la educación inicial, cuidado, salud y nutrición, protección y participación; mediante las siguientes ocho atenciones:</w:t>
      </w:r>
    </w:p>
    <w:p w:rsidR="002D2D91" w:rsidRPr="007608C2" w:rsidRDefault="002D2D91" w:rsidP="00A44A2B">
      <w:pPr>
        <w:pStyle w:val="Prrafodelista"/>
        <w:numPr>
          <w:ilvl w:val="0"/>
          <w:numId w:val="68"/>
        </w:numPr>
        <w:spacing w:after="0"/>
        <w:ind w:left="714" w:hanging="357"/>
        <w:jc w:val="both"/>
        <w:rPr>
          <w:rFonts w:cs="Arial"/>
        </w:rPr>
      </w:pPr>
      <w:r w:rsidRPr="007608C2">
        <w:rPr>
          <w:rFonts w:cs="Arial"/>
        </w:rPr>
        <w:t>Afiliación vigente a salud en el Sistema General de la Seguridad Social en Salud.</w:t>
      </w:r>
    </w:p>
    <w:p w:rsidR="002D2D91" w:rsidRPr="007608C2" w:rsidRDefault="002D2D91" w:rsidP="00A44A2B">
      <w:pPr>
        <w:pStyle w:val="Prrafodelista"/>
        <w:numPr>
          <w:ilvl w:val="0"/>
          <w:numId w:val="68"/>
        </w:numPr>
        <w:spacing w:after="0"/>
        <w:ind w:left="714" w:hanging="357"/>
        <w:jc w:val="both"/>
        <w:rPr>
          <w:rFonts w:cs="Arial"/>
        </w:rPr>
      </w:pPr>
      <w:r w:rsidRPr="007608C2">
        <w:rPr>
          <w:rFonts w:cs="Arial"/>
        </w:rPr>
        <w:t>Esquema de vacunación completo para edad.</w:t>
      </w:r>
    </w:p>
    <w:p w:rsidR="002D2D91" w:rsidRPr="007608C2" w:rsidRDefault="002D2D91" w:rsidP="00A44A2B">
      <w:pPr>
        <w:pStyle w:val="Prrafodelista"/>
        <w:numPr>
          <w:ilvl w:val="0"/>
          <w:numId w:val="68"/>
        </w:numPr>
        <w:spacing w:after="0"/>
        <w:ind w:left="714" w:hanging="357"/>
        <w:jc w:val="both"/>
        <w:rPr>
          <w:rFonts w:cs="Arial"/>
        </w:rPr>
      </w:pPr>
      <w:r w:rsidRPr="007608C2">
        <w:rPr>
          <w:rFonts w:cs="Arial"/>
        </w:rPr>
        <w:t>Asistencia a las consultas para la detección temprana de las alteraciones en el crecimiento y desarrollo.</w:t>
      </w:r>
    </w:p>
    <w:p w:rsidR="002D2D91" w:rsidRPr="007608C2" w:rsidRDefault="002D2D91" w:rsidP="00A44A2B">
      <w:pPr>
        <w:pStyle w:val="Prrafodelista"/>
        <w:numPr>
          <w:ilvl w:val="0"/>
          <w:numId w:val="68"/>
        </w:numPr>
        <w:spacing w:after="0"/>
        <w:ind w:left="714" w:hanging="357"/>
        <w:jc w:val="both"/>
        <w:rPr>
          <w:rFonts w:cs="Arial"/>
        </w:rPr>
      </w:pPr>
      <w:r w:rsidRPr="007608C2">
        <w:rPr>
          <w:rFonts w:cs="Arial"/>
        </w:rPr>
        <w:t>Valoración y seguimiento nutricional.</w:t>
      </w:r>
    </w:p>
    <w:p w:rsidR="002D2D91" w:rsidRPr="007608C2" w:rsidRDefault="002D2D91" w:rsidP="00A44A2B">
      <w:pPr>
        <w:pStyle w:val="Prrafodelista"/>
        <w:numPr>
          <w:ilvl w:val="0"/>
          <w:numId w:val="68"/>
        </w:numPr>
        <w:spacing w:after="0"/>
        <w:ind w:left="714" w:hanging="357"/>
        <w:jc w:val="both"/>
        <w:rPr>
          <w:rFonts w:cs="Arial"/>
        </w:rPr>
      </w:pPr>
      <w:r w:rsidRPr="007608C2">
        <w:rPr>
          <w:rFonts w:cs="Arial"/>
        </w:rPr>
        <w:t>Asistencia a una unidad de servicio de las modalidades de educación inicial en el marco de atención integral, cuyo talento humano está certificado en procesos de cualificación.</w:t>
      </w:r>
    </w:p>
    <w:p w:rsidR="002D2D91" w:rsidRPr="007608C2" w:rsidRDefault="002D2D91" w:rsidP="00A44A2B">
      <w:pPr>
        <w:pStyle w:val="Prrafodelista"/>
        <w:numPr>
          <w:ilvl w:val="0"/>
          <w:numId w:val="68"/>
        </w:numPr>
        <w:spacing w:after="0"/>
        <w:ind w:left="714" w:hanging="357"/>
        <w:jc w:val="both"/>
        <w:rPr>
          <w:rFonts w:cs="Arial"/>
        </w:rPr>
      </w:pPr>
      <w:r w:rsidRPr="007608C2">
        <w:rPr>
          <w:rFonts w:cs="Arial"/>
        </w:rPr>
        <w:t>Acceso a colecciones de libros o contenidos culturales especializados en las modalidades de Educación Inicial en el marco de la atención integral.</w:t>
      </w:r>
    </w:p>
    <w:p w:rsidR="002D2D91" w:rsidRPr="007608C2" w:rsidRDefault="002D2D91" w:rsidP="00A44A2B">
      <w:pPr>
        <w:pStyle w:val="Prrafodelista"/>
        <w:numPr>
          <w:ilvl w:val="0"/>
          <w:numId w:val="68"/>
        </w:numPr>
        <w:spacing w:after="0"/>
        <w:ind w:left="714" w:hanging="357"/>
        <w:jc w:val="both"/>
        <w:rPr>
          <w:rFonts w:cs="Arial"/>
        </w:rPr>
      </w:pPr>
      <w:r w:rsidRPr="007608C2">
        <w:rPr>
          <w:rFonts w:cs="Arial"/>
        </w:rPr>
        <w:t>Registro Civil de Nacimiento.</w:t>
      </w:r>
    </w:p>
    <w:p w:rsidR="002D2D91" w:rsidRPr="007608C2" w:rsidRDefault="002D2D91" w:rsidP="00A44A2B">
      <w:pPr>
        <w:pStyle w:val="Prrafodelista"/>
        <w:numPr>
          <w:ilvl w:val="0"/>
          <w:numId w:val="68"/>
        </w:numPr>
        <w:spacing w:after="0"/>
        <w:ind w:left="714" w:hanging="357"/>
        <w:jc w:val="both"/>
        <w:rPr>
          <w:rFonts w:cs="Arial"/>
        </w:rPr>
      </w:pPr>
      <w:r w:rsidRPr="007608C2">
        <w:rPr>
          <w:rFonts w:cs="Arial"/>
        </w:rPr>
        <w:t>Participación de sus familias en procesos de formación.</w:t>
      </w:r>
    </w:p>
    <w:p w:rsidR="002D2D91" w:rsidRPr="007608C2" w:rsidRDefault="002D2D91" w:rsidP="002D2D91">
      <w:pPr>
        <w:pStyle w:val="Prrafodelista"/>
        <w:spacing w:after="0"/>
        <w:ind w:left="714"/>
        <w:jc w:val="both"/>
        <w:rPr>
          <w:rFonts w:cs="Arial"/>
        </w:rPr>
      </w:pPr>
    </w:p>
    <w:p w:rsidR="002D2D91" w:rsidRDefault="002D2D91" w:rsidP="002D2D91">
      <w:pPr>
        <w:jc w:val="both"/>
        <w:rPr>
          <w:rFonts w:cs="Arial"/>
        </w:rPr>
      </w:pPr>
      <w:r w:rsidRPr="007608C2">
        <w:rPr>
          <w:rFonts w:cs="Arial"/>
        </w:rPr>
        <w:t>A continuación, se presentan los servicios ofrecidos por el ICBF en el marco de la atención integral a la Primera Infancia.</w:t>
      </w:r>
    </w:p>
    <w:p w:rsidR="002D2D91" w:rsidRPr="007608C2" w:rsidRDefault="002D2D91" w:rsidP="002D2D91">
      <w:pPr>
        <w:jc w:val="both"/>
        <w:rPr>
          <w:rFonts w:cs="Arial"/>
          <w:b/>
        </w:rPr>
      </w:pPr>
      <w:r w:rsidRPr="007608C2">
        <w:rPr>
          <w:rFonts w:cs="Arial"/>
          <w:b/>
        </w:rPr>
        <w:t>Modalidades de Atención Integral</w:t>
      </w:r>
    </w:p>
    <w:p w:rsidR="002D2D91" w:rsidRPr="007608C2" w:rsidRDefault="002D2D91" w:rsidP="002D2D91">
      <w:pPr>
        <w:jc w:val="both"/>
        <w:rPr>
          <w:rFonts w:cs="Arial"/>
        </w:rPr>
      </w:pPr>
      <w:r w:rsidRPr="007608C2">
        <w:rPr>
          <w:rFonts w:cs="Arial"/>
        </w:rPr>
        <w:t xml:space="preserve">La modalidad Integral garantiza la educación inicial en el marco de la atención a niñas y niños hasta los 5 años, 11 meses y 29 días, en el marco de la diversidad a través de acciones pedagógicas y de cuidado calificado, así como la realización de gestiones para promover los derechos de salud, protección y participación que permitan favorecer el desarrollo integral en la Primera Infancia. </w:t>
      </w:r>
    </w:p>
    <w:p w:rsidR="002D2D91" w:rsidRPr="007608C2" w:rsidRDefault="002D2D91" w:rsidP="002D2D91">
      <w:pPr>
        <w:jc w:val="both"/>
        <w:rPr>
          <w:rFonts w:cs="Arial"/>
        </w:rPr>
      </w:pPr>
      <w:r w:rsidRPr="007608C2">
        <w:rPr>
          <w:rFonts w:cs="Arial"/>
        </w:rPr>
        <w:t>Esta modalidad funciona en espacios institucionales especializados, 8 horas diarias 5 días a la semana; en donde se reconoce el lugar protagónico que tienen las familias en el cuidado, crianza, educación y desarrollo de las niñas y los niños desde la gestación hasta los 5 años, convirtiéndose en el escenario más cercano de corresponsabilidad.</w:t>
      </w:r>
    </w:p>
    <w:p w:rsidR="002D2D91" w:rsidRPr="007608C2" w:rsidRDefault="002D2D91" w:rsidP="002D2D91">
      <w:pPr>
        <w:jc w:val="both"/>
        <w:rPr>
          <w:rFonts w:cs="Arial"/>
        </w:rPr>
      </w:pPr>
      <w:r w:rsidRPr="007608C2">
        <w:rPr>
          <w:rFonts w:cs="Arial"/>
        </w:rPr>
        <w:t>A continuación, se presentan los servicios integrales que ofrece el ICBF en el marco de la atención a la Primera Infancia:</w:t>
      </w:r>
    </w:p>
    <w:p w:rsidR="002D2D91" w:rsidRPr="007608C2" w:rsidRDefault="00912C8A" w:rsidP="002D2D91">
      <w:pPr>
        <w:jc w:val="both"/>
        <w:rPr>
          <w:rFonts w:cs="Arial"/>
          <w:b/>
          <w:u w:val="single"/>
        </w:rPr>
      </w:pPr>
      <w:r>
        <w:rPr>
          <w:rFonts w:cs="Arial"/>
          <w:b/>
          <w:u w:val="single"/>
        </w:rPr>
        <w:t>Atención a Niños h</w:t>
      </w:r>
      <w:r w:rsidR="002D2D91" w:rsidRPr="007608C2">
        <w:rPr>
          <w:rFonts w:cs="Arial"/>
          <w:b/>
          <w:u w:val="single"/>
        </w:rPr>
        <w:t xml:space="preserve">asta los 3 años en Establecimientos de Reclusión a Mujeres </w:t>
      </w:r>
    </w:p>
    <w:p w:rsidR="002D2D91" w:rsidRPr="007608C2" w:rsidRDefault="002D2D91" w:rsidP="002D2D91">
      <w:pPr>
        <w:jc w:val="both"/>
        <w:rPr>
          <w:rFonts w:cs="Arial"/>
        </w:rPr>
      </w:pPr>
      <w:r w:rsidRPr="007608C2">
        <w:rPr>
          <w:rFonts w:cs="Arial"/>
        </w:rPr>
        <w:t xml:space="preserve">Esta forma de atención reconoce la presencia de los niños y niñas hasta 3 años de edad, que permanecen con sus madres privadas de libertad en los Establecimientos de Reclusión, así como a mujeres gestantes y madres lactantes internas, donde se encuentra activo el servicio. Por su carácter especial, promueve acciones intencionadas que potencian el desarrollo integral de los niños y de las niñas, como el fortalecimiento del vínculo afectivo madre e hijo(a). Así mismo, establece el acompañamiento y fortalecimiento del vínculo afectivo con otros miembros de la </w:t>
      </w:r>
      <w:r w:rsidRPr="007608C2">
        <w:rPr>
          <w:rFonts w:cs="Arial"/>
        </w:rPr>
        <w:lastRenderedPageBreak/>
        <w:t>familia y cuidadores, para favorecer el desarrollo integral, de tal manera que el cuidador asuma la responsabilidad a la que se compromete durante la permanencia del servicio ofrecido, así como cuando el niño (a) presenta salidas temporales o egreso permanente.</w:t>
      </w:r>
    </w:p>
    <w:p w:rsidR="002D2D91" w:rsidRPr="007608C2" w:rsidRDefault="002D2D91" w:rsidP="002D2D91">
      <w:pPr>
        <w:jc w:val="both"/>
        <w:rPr>
          <w:rFonts w:cs="Arial"/>
        </w:rPr>
      </w:pPr>
      <w:r w:rsidRPr="00D4584F">
        <w:rPr>
          <w:rFonts w:cs="Arial"/>
          <w:b/>
          <w:i/>
        </w:rPr>
        <w:t>Población Objetivo</w:t>
      </w:r>
      <w:r w:rsidRPr="00D4584F">
        <w:rPr>
          <w:rFonts w:cs="Arial"/>
          <w:b/>
        </w:rPr>
        <w:t>:</w:t>
      </w:r>
      <w:r w:rsidR="00D4584F">
        <w:rPr>
          <w:rFonts w:cs="Arial"/>
        </w:rPr>
        <w:t xml:space="preserve"> n</w:t>
      </w:r>
      <w:r w:rsidRPr="007608C2">
        <w:rPr>
          <w:rFonts w:cs="Arial"/>
        </w:rPr>
        <w:t>iñas y niños menores de 3 años, madres gestantes de centros de reclusión para mujeres.</w:t>
      </w:r>
    </w:p>
    <w:p w:rsidR="002D2D91" w:rsidRPr="007608C2" w:rsidRDefault="002D2D91" w:rsidP="002D2D91">
      <w:pPr>
        <w:jc w:val="both"/>
        <w:rPr>
          <w:rFonts w:cs="Arial"/>
        </w:rPr>
      </w:pPr>
      <w:r w:rsidRPr="00D4584F">
        <w:rPr>
          <w:rFonts w:cs="Arial"/>
          <w:b/>
          <w:i/>
        </w:rPr>
        <w:t>Cobertura</w:t>
      </w:r>
      <w:r w:rsidRPr="00D4584F">
        <w:rPr>
          <w:rFonts w:cs="Arial"/>
          <w:b/>
        </w:rPr>
        <w:t>:</w:t>
      </w:r>
      <w:r w:rsidR="00D4584F">
        <w:rPr>
          <w:rFonts w:cs="Arial"/>
        </w:rPr>
        <w:t xml:space="preserve"> t</w:t>
      </w:r>
      <w:r w:rsidRPr="007608C2">
        <w:rPr>
          <w:rFonts w:cs="Arial"/>
        </w:rPr>
        <w:t xml:space="preserve">iene presencia en establecimientos de reclusión del orden nacional en Medellín, Bogotá, Popayán, Cúcuta, Dosquebradas, Bucaramanga, Ibagué y Jamundí. Se brindó atención a </w:t>
      </w:r>
      <w:r w:rsidRPr="00D4584F">
        <w:rPr>
          <w:rFonts w:cs="Arial"/>
        </w:rPr>
        <w:t xml:space="preserve">121 </w:t>
      </w:r>
      <w:r w:rsidRPr="007608C2">
        <w:rPr>
          <w:rFonts w:cs="Arial"/>
        </w:rPr>
        <w:t>usuarios en el presente servicio (</w:t>
      </w:r>
      <w:r w:rsidRPr="007608C2">
        <w:rPr>
          <w:rFonts w:cs="Arial"/>
          <w:i/>
        </w:rPr>
        <w:t>fuente: Metas Sociales y Financieras, cierre de vigencia diciembre 2017 – Preliminar</w:t>
      </w:r>
      <w:r w:rsidRPr="007608C2">
        <w:rPr>
          <w:rFonts w:cs="Arial"/>
        </w:rPr>
        <w:t>).</w:t>
      </w:r>
    </w:p>
    <w:p w:rsidR="002D2D91" w:rsidRPr="007608C2" w:rsidRDefault="002D2D91" w:rsidP="002D2D91">
      <w:pPr>
        <w:jc w:val="both"/>
        <w:rPr>
          <w:rFonts w:cs="Arial"/>
          <w:b/>
          <w:u w:val="single"/>
        </w:rPr>
      </w:pPr>
      <w:r w:rsidRPr="007608C2">
        <w:rPr>
          <w:rFonts w:cs="Arial"/>
          <w:b/>
          <w:u w:val="single"/>
        </w:rPr>
        <w:t>Modalidad Propia Intercultural para Comunidades Étnicas y Rurales</w:t>
      </w:r>
    </w:p>
    <w:p w:rsidR="002D2D91" w:rsidRPr="007608C2" w:rsidRDefault="002D2D91" w:rsidP="002D2D91">
      <w:pPr>
        <w:jc w:val="both"/>
        <w:rPr>
          <w:rFonts w:cs="Arial"/>
        </w:rPr>
      </w:pPr>
      <w:r w:rsidRPr="007608C2">
        <w:rPr>
          <w:rFonts w:cs="Arial"/>
        </w:rPr>
        <w:t xml:space="preserve">Esta es una modalidad de educación inicial para comunidades étnicas y rurales parte del concepto de desarrollo de la política de atención integral a la Primera Infancia que reconoce la diversidad y singularidad de las niñas y los niños, sus familias y comunidades. Así mismo, recoge lo establecido en el artículo 47 del Decreto 1953 de 2014 (atención a la Primera Infancia en territorios indígenas no habilitados) y dentro de sus criterios de referencia promueve la atención en sintonía con las estrategias y acciones acordadas con las comunidades indígenas en el artículo 42 del Decreto en mención. </w:t>
      </w:r>
    </w:p>
    <w:p w:rsidR="002D2D91" w:rsidRPr="007608C2" w:rsidRDefault="002D2D91" w:rsidP="002D2D91">
      <w:pPr>
        <w:jc w:val="both"/>
        <w:rPr>
          <w:rFonts w:cs="Arial"/>
        </w:rPr>
      </w:pPr>
      <w:r w:rsidRPr="007608C2">
        <w:rPr>
          <w:rFonts w:cs="Arial"/>
        </w:rPr>
        <w:t xml:space="preserve">Dicha modalidad es fruto de la experiencia que el ICBF ha acumulado en los últimos años en atención a la Primera Infancia de comunidades étnicas y rurales dispersas en la atención integral y tradicional, así como del trabajo intersectorial que, en coordinación con la CIPI se ha adelantado desde el 2012. </w:t>
      </w:r>
    </w:p>
    <w:p w:rsidR="002D2D91" w:rsidRPr="007608C2" w:rsidRDefault="002D2D91" w:rsidP="002D2D91">
      <w:pPr>
        <w:jc w:val="both"/>
        <w:rPr>
          <w:rFonts w:cs="Arial"/>
        </w:rPr>
      </w:pPr>
      <w:r w:rsidRPr="007608C2">
        <w:rPr>
          <w:rFonts w:cs="Arial"/>
        </w:rPr>
        <w:t>En cuanto a las características principales de esta nueva modalidad de educación inicial se destaca que: i) se basa en los principios de confianza, flexibilidad, interculturalidad, participación y concertación; ii) ocurre en espacios y tiempos concertados con las comunidades; iii) es liderada por un talento humano intercultural y iv) se garantiza a los usuarios hasta el 70% del componente nutricional diario (principalmente bajo ración servida para niños y niñas y en paquete alimentario para mujeres gestantes y niños menores de 1 año).</w:t>
      </w:r>
    </w:p>
    <w:p w:rsidR="002D2D91" w:rsidRPr="007608C2" w:rsidRDefault="002D2D91" w:rsidP="002D2D91">
      <w:pPr>
        <w:jc w:val="both"/>
        <w:rPr>
          <w:rFonts w:cs="Arial"/>
        </w:rPr>
      </w:pPr>
      <w:r w:rsidRPr="00D4584F">
        <w:rPr>
          <w:rFonts w:cs="Arial"/>
          <w:b/>
          <w:i/>
        </w:rPr>
        <w:t>Población Objetivo</w:t>
      </w:r>
      <w:r w:rsidRPr="00D4584F">
        <w:rPr>
          <w:rFonts w:cs="Arial"/>
          <w:b/>
        </w:rPr>
        <w:t>:</w:t>
      </w:r>
      <w:r w:rsidR="00D4584F">
        <w:rPr>
          <w:rFonts w:cs="Arial"/>
        </w:rPr>
        <w:t xml:space="preserve"> m</w:t>
      </w:r>
      <w:r w:rsidRPr="007608C2">
        <w:rPr>
          <w:rFonts w:cs="Arial"/>
        </w:rPr>
        <w:t xml:space="preserve">ujeres gestantes y niños y niñas en Primera Infancia de comunidades étnicas y rurales (dispersos o no). </w:t>
      </w:r>
    </w:p>
    <w:p w:rsidR="002D2D91" w:rsidRPr="007608C2" w:rsidRDefault="002D2D91" w:rsidP="002D2D91">
      <w:pPr>
        <w:jc w:val="both"/>
        <w:rPr>
          <w:rFonts w:cs="Arial"/>
        </w:rPr>
      </w:pPr>
      <w:r w:rsidRPr="00D4584F">
        <w:rPr>
          <w:rFonts w:cs="Arial"/>
          <w:b/>
          <w:i/>
        </w:rPr>
        <w:t>Cobertura:</w:t>
      </w:r>
      <w:r w:rsidR="00D4584F">
        <w:rPr>
          <w:rFonts w:cs="Arial"/>
        </w:rPr>
        <w:t xml:space="preserve"> t</w:t>
      </w:r>
      <w:r w:rsidRPr="007608C2">
        <w:rPr>
          <w:rFonts w:cs="Arial"/>
        </w:rPr>
        <w:t xml:space="preserve">iene presencia en Antioquia, Arauca, Bogotá, Bolívar, Casanare, Cauca, Cesar, Chocó, Córdoba, Guainía, Guaviare, Huila, La Guajira, Meta, Nariño, Putumayo, Risaralda, Archipiélago de San Andrés, Providencia y Santa Catalina, Sucre y Valle del Cauca. Se brindó atención a </w:t>
      </w:r>
      <w:r w:rsidR="00751035" w:rsidRPr="00D4584F">
        <w:rPr>
          <w:rFonts w:cs="Arial"/>
        </w:rPr>
        <w:t>74.165</w:t>
      </w:r>
      <w:r w:rsidRPr="007608C2">
        <w:rPr>
          <w:rFonts w:cs="Arial"/>
        </w:rPr>
        <w:t xml:space="preserve"> usuarios en el presente servicio (</w:t>
      </w:r>
      <w:r w:rsidRPr="007608C2">
        <w:rPr>
          <w:rFonts w:cs="Arial"/>
          <w:i/>
        </w:rPr>
        <w:t>fuente: Metas Sociales y Financieras, cierre de vigencia diciembre 2017 – Preliminar</w:t>
      </w:r>
      <w:r w:rsidRPr="007608C2">
        <w:rPr>
          <w:rFonts w:cs="Arial"/>
        </w:rPr>
        <w:t>).</w:t>
      </w:r>
    </w:p>
    <w:p w:rsidR="002D2D91" w:rsidRPr="007608C2" w:rsidRDefault="002D2D91" w:rsidP="002D2D91">
      <w:pPr>
        <w:jc w:val="both"/>
        <w:rPr>
          <w:rFonts w:cs="Arial"/>
          <w:b/>
          <w:u w:val="single"/>
        </w:rPr>
      </w:pPr>
      <w:r w:rsidRPr="007608C2">
        <w:rPr>
          <w:rFonts w:cs="Arial"/>
          <w:b/>
          <w:u w:val="single"/>
        </w:rPr>
        <w:lastRenderedPageBreak/>
        <w:t>Centros de Desarrollo Infantil (CDI)</w:t>
      </w:r>
    </w:p>
    <w:p w:rsidR="002D2D91" w:rsidRPr="007608C2" w:rsidRDefault="002D2D91" w:rsidP="002D2D91">
      <w:pPr>
        <w:jc w:val="both"/>
        <w:rPr>
          <w:rFonts w:cs="Arial"/>
        </w:rPr>
      </w:pPr>
      <w:r w:rsidRPr="007608C2">
        <w:rPr>
          <w:rFonts w:cs="Arial"/>
        </w:rPr>
        <w:t>Los Centros de Desarrollo Infantil son espacios especializados en donde se garantiza la prestación del servicio de educación inicial en el marco de la atención integral, con componentes de calidad en familia, comunidad y redes sociales; salud y nutrición; proceso pedagógico, talento humano, ambientes educativos y protectores; administración y gestión.  Estos espacios están concebidos como un servicio complementario a las acciones de las familias y la comunidad, la cual se presta de forma gratuita durante 220 días al año en jornadas completas de 8 horas 5 días a la semana.</w:t>
      </w:r>
    </w:p>
    <w:p w:rsidR="002D2D91" w:rsidRPr="007608C2" w:rsidRDefault="002D2D91" w:rsidP="002D2D91">
      <w:pPr>
        <w:jc w:val="both"/>
        <w:rPr>
          <w:rFonts w:cs="Arial"/>
        </w:rPr>
      </w:pPr>
      <w:r w:rsidRPr="00D4584F">
        <w:rPr>
          <w:rFonts w:cs="Arial"/>
          <w:b/>
          <w:i/>
        </w:rPr>
        <w:t>Población Objetivo</w:t>
      </w:r>
      <w:r w:rsidRPr="00D4584F">
        <w:rPr>
          <w:rFonts w:cs="Arial"/>
          <w:b/>
        </w:rPr>
        <w:t>:</w:t>
      </w:r>
      <w:r w:rsidRPr="007608C2">
        <w:rPr>
          <w:rFonts w:cs="Arial"/>
        </w:rPr>
        <w:t xml:space="preserve"> niñas y niños de Primera Infancia, prioritariamente en el rango de edad de 2 años a menores de 5 años o hasta que ingresen al grado de prescolar integral. Sin perjuicio de lo anterior, podrán ser atendidos niños y niñas entre los 6 meses y los 2 años de edad, cuando su condición lo amerite y la Unidad de Servicio cuente con las condiciones requeridas para atenderlos.</w:t>
      </w:r>
    </w:p>
    <w:p w:rsidR="002D2D91" w:rsidRPr="007608C2" w:rsidRDefault="002D2D91" w:rsidP="002D2D91">
      <w:pPr>
        <w:jc w:val="both"/>
        <w:rPr>
          <w:rFonts w:cs="Arial"/>
        </w:rPr>
      </w:pPr>
      <w:r w:rsidRPr="00D4584F">
        <w:rPr>
          <w:rFonts w:cs="Arial"/>
          <w:b/>
          <w:i/>
        </w:rPr>
        <w:t>Cobertura</w:t>
      </w:r>
      <w:r w:rsidRPr="00D4584F">
        <w:rPr>
          <w:rFonts w:cs="Arial"/>
          <w:b/>
        </w:rPr>
        <w:t>:</w:t>
      </w:r>
      <w:r w:rsidR="00D4584F">
        <w:rPr>
          <w:rFonts w:cs="Arial"/>
        </w:rPr>
        <w:t xml:space="preserve"> t</w:t>
      </w:r>
      <w:r w:rsidRPr="007608C2">
        <w:rPr>
          <w:rFonts w:cs="Arial"/>
        </w:rPr>
        <w:t xml:space="preserve">iene presencia en todo el territorio nacional. Se brindó atención a </w:t>
      </w:r>
      <w:r w:rsidR="00751035" w:rsidRPr="00912C8A">
        <w:rPr>
          <w:rFonts w:cs="Arial"/>
          <w:b/>
        </w:rPr>
        <w:t>259.763</w:t>
      </w:r>
      <w:r w:rsidR="00751035" w:rsidRPr="007608C2">
        <w:rPr>
          <w:rFonts w:cs="Arial"/>
        </w:rPr>
        <w:t xml:space="preserve"> </w:t>
      </w:r>
      <w:r w:rsidRPr="007608C2">
        <w:rPr>
          <w:rFonts w:cs="Arial"/>
        </w:rPr>
        <w:t>usuarios en el presente servicio (</w:t>
      </w:r>
      <w:r w:rsidRPr="007608C2">
        <w:rPr>
          <w:rFonts w:cs="Arial"/>
          <w:i/>
        </w:rPr>
        <w:t>fuente: Metas Sociales y Financieras, cierre de vigencia diciembre 2017 – Preliminar</w:t>
      </w:r>
      <w:r w:rsidRPr="007608C2">
        <w:rPr>
          <w:rFonts w:cs="Arial"/>
        </w:rPr>
        <w:t>).</w:t>
      </w:r>
    </w:p>
    <w:p w:rsidR="002D2D91" w:rsidRPr="007608C2" w:rsidRDefault="002D2D91" w:rsidP="002D2D91">
      <w:pPr>
        <w:jc w:val="both"/>
        <w:rPr>
          <w:rFonts w:cs="Arial"/>
          <w:b/>
          <w:u w:val="single"/>
        </w:rPr>
      </w:pPr>
      <w:r w:rsidRPr="007608C2">
        <w:rPr>
          <w:rFonts w:cs="Arial"/>
          <w:b/>
          <w:u w:val="single"/>
        </w:rPr>
        <w:t xml:space="preserve">Desarrollo Infantil en Medio Familiar </w:t>
      </w:r>
    </w:p>
    <w:p w:rsidR="002D2D91" w:rsidRPr="007608C2" w:rsidRDefault="002D2D91" w:rsidP="002D2D91">
      <w:pPr>
        <w:jc w:val="both"/>
        <w:rPr>
          <w:rFonts w:cs="Arial"/>
        </w:rPr>
      </w:pPr>
      <w:r w:rsidRPr="007608C2">
        <w:rPr>
          <w:rFonts w:cs="Arial"/>
        </w:rPr>
        <w:t>El servicio de Desarrollo Infantil en Medio Familiar gestiona acciones en los componentes de calidad de familia comunidad y redes sociales, salud y nutrición, proceso pedagógico, talento humano, ambientes educativos y protectores, administración y gestión; así mismo, realiza encuentros educativos grupales una vez a la semana en lugares disponibles y concertados con la comunidad y los entes territoriales y un encuentro educativo en el hogar una vez al mes.</w:t>
      </w:r>
    </w:p>
    <w:p w:rsidR="002D2D91" w:rsidRPr="007608C2" w:rsidRDefault="002D2D91" w:rsidP="002D2D91">
      <w:pPr>
        <w:jc w:val="both"/>
        <w:rPr>
          <w:rFonts w:cs="Arial"/>
        </w:rPr>
      </w:pPr>
      <w:r w:rsidRPr="007608C2">
        <w:rPr>
          <w:rFonts w:cs="Arial"/>
        </w:rPr>
        <w:t>A través de este servicio, el ICBF suministra el 70% del requerimiento nutricional diario, mediante la entrega de un refrigerio semanal y un paquete alimentario mensual para llevar a casa calculado para 5 días de la semana. Cuenta con equipo psicosocial y un profesional de la salud, docentes, y auxiliares pedagógicos.</w:t>
      </w:r>
    </w:p>
    <w:p w:rsidR="002D2D91" w:rsidRPr="007608C2" w:rsidRDefault="002D2D91" w:rsidP="002D2D91">
      <w:pPr>
        <w:jc w:val="both"/>
        <w:rPr>
          <w:rFonts w:cs="Arial"/>
        </w:rPr>
      </w:pPr>
      <w:r w:rsidRPr="00D4584F">
        <w:rPr>
          <w:rFonts w:cs="Arial"/>
          <w:b/>
          <w:i/>
        </w:rPr>
        <w:t>Población Objetivo</w:t>
      </w:r>
      <w:r w:rsidRPr="00D4584F">
        <w:rPr>
          <w:rFonts w:cs="Arial"/>
          <w:b/>
        </w:rPr>
        <w:t>:</w:t>
      </w:r>
      <w:r w:rsidR="00D4584F">
        <w:rPr>
          <w:rFonts w:cs="Arial"/>
        </w:rPr>
        <w:t xml:space="preserve"> e</w:t>
      </w:r>
      <w:r w:rsidRPr="007608C2">
        <w:rPr>
          <w:rFonts w:cs="Arial"/>
        </w:rPr>
        <w:t>stá dirigida prioritariamente a niñas y niños menores de 2 años, mujeres gestantes y madres lactantes. Sin perjuicio de lo anterior, se atienden niñas y niños mayores de dos años y menores de 5 años y/o hasta su ingreso al grado de transición, que no formen parte del Programa Familia Mujer e Infancia – FAMI, ni de cualquier otra modalidad de educación inicial.</w:t>
      </w:r>
    </w:p>
    <w:p w:rsidR="002D2D91" w:rsidRPr="007608C2" w:rsidRDefault="002D2D91" w:rsidP="002D2D91">
      <w:pPr>
        <w:jc w:val="both"/>
        <w:rPr>
          <w:rFonts w:cs="Arial"/>
        </w:rPr>
      </w:pPr>
      <w:r w:rsidRPr="00D4584F">
        <w:rPr>
          <w:rFonts w:cs="Arial"/>
          <w:b/>
          <w:i/>
        </w:rPr>
        <w:t>Cobertura</w:t>
      </w:r>
      <w:r w:rsidRPr="00D4584F">
        <w:rPr>
          <w:rFonts w:cs="Arial"/>
          <w:b/>
        </w:rPr>
        <w:t>:</w:t>
      </w:r>
      <w:r w:rsidRPr="007608C2">
        <w:rPr>
          <w:rFonts w:cs="Arial"/>
        </w:rPr>
        <w:t xml:space="preserve"> </w:t>
      </w:r>
      <w:r w:rsidR="00D4584F">
        <w:rPr>
          <w:rFonts w:cs="Arial"/>
        </w:rPr>
        <w:t>t</w:t>
      </w:r>
      <w:r w:rsidRPr="007608C2">
        <w:rPr>
          <w:rFonts w:cs="Arial"/>
        </w:rPr>
        <w:t xml:space="preserve">iene presencia en todo el territorio nacional excepto en La Guajira. Se brindó atención a </w:t>
      </w:r>
      <w:r w:rsidR="00751035" w:rsidRPr="007608C2">
        <w:rPr>
          <w:rFonts w:cs="Arial"/>
        </w:rPr>
        <w:t xml:space="preserve">448.881 </w:t>
      </w:r>
      <w:r w:rsidRPr="007608C2">
        <w:rPr>
          <w:rFonts w:cs="Arial"/>
        </w:rPr>
        <w:t xml:space="preserve">usuarios en el presente servicio </w:t>
      </w:r>
      <w:r w:rsidRPr="007608C2">
        <w:rPr>
          <w:rFonts w:cs="Arial"/>
          <w:i/>
        </w:rPr>
        <w:t>(fuente: Metas Sociales y Financieras, cierre de vigencia diciembre 2017 – Preliminar)</w:t>
      </w:r>
      <w:r w:rsidRPr="007608C2">
        <w:rPr>
          <w:rFonts w:cs="Arial"/>
        </w:rPr>
        <w:t>.</w:t>
      </w:r>
    </w:p>
    <w:p w:rsidR="007F3B58" w:rsidRDefault="007F3B58" w:rsidP="002D2D91">
      <w:pPr>
        <w:jc w:val="both"/>
        <w:rPr>
          <w:rFonts w:cs="Arial"/>
          <w:b/>
          <w:u w:val="single"/>
        </w:rPr>
      </w:pPr>
    </w:p>
    <w:p w:rsidR="002D2D91" w:rsidRPr="007608C2" w:rsidRDefault="002D2D91" w:rsidP="002D2D91">
      <w:pPr>
        <w:jc w:val="both"/>
        <w:rPr>
          <w:rFonts w:cs="Arial"/>
          <w:b/>
          <w:u w:val="single"/>
        </w:rPr>
      </w:pPr>
      <w:r w:rsidRPr="007608C2">
        <w:rPr>
          <w:rFonts w:cs="Arial"/>
          <w:b/>
          <w:u w:val="single"/>
        </w:rPr>
        <w:lastRenderedPageBreak/>
        <w:t>Hogares Comunitarios de Bienestar Cualificados o Integral – (Comunitario Integral)</w:t>
      </w:r>
    </w:p>
    <w:p w:rsidR="002D2D91" w:rsidRPr="007608C2" w:rsidRDefault="002D2D91" w:rsidP="002D2D91">
      <w:pPr>
        <w:jc w:val="both"/>
        <w:rPr>
          <w:rFonts w:cs="Arial"/>
        </w:rPr>
      </w:pPr>
      <w:r w:rsidRPr="007608C2">
        <w:rPr>
          <w:rFonts w:cs="Arial"/>
        </w:rPr>
        <w:t>Los Hogares Comunitarios de Bienestar Cualificados o Integral son el resultado del trabajo en equipo de las madres o padres comunitarios y un equipo interdisciplinario que apoya su labor, desde la perspectiva de reconocer y compartir sus saberes propios, los de las familias y las comunidades. Este servicio se implementa en las viviendas de las madres/padres comunitarios.</w:t>
      </w:r>
    </w:p>
    <w:p w:rsidR="002D2D91" w:rsidRPr="007608C2" w:rsidRDefault="002D2D91" w:rsidP="002D2D91">
      <w:pPr>
        <w:jc w:val="both"/>
        <w:rPr>
          <w:rFonts w:cs="Arial"/>
        </w:rPr>
      </w:pPr>
      <w:r w:rsidRPr="007608C2">
        <w:rPr>
          <w:rFonts w:cs="Arial"/>
        </w:rPr>
        <w:t>Mediante esta forma de atención se garantiza el servicio de educación inicial, cuidado y nutrición, en el marco de la atención integral y diferencial realizando un trabajo en equipo de las madres o padres comunitarios y un equipo interdisciplinario que apoya su labor, desde la perspectiva de reconocer y compartir sus saberes propios, los de las familias y las comunidades a través de acciones pedagógicas, de cuidado calificado y nutrición, así como la realización de gestiones para promover los derechos de salud, protección y participación que permitan favorecer su desarrollo integral.</w:t>
      </w:r>
    </w:p>
    <w:p w:rsidR="002D2D91" w:rsidRPr="007608C2" w:rsidRDefault="002D2D91" w:rsidP="002D2D91">
      <w:pPr>
        <w:jc w:val="both"/>
        <w:rPr>
          <w:rFonts w:cs="Arial"/>
        </w:rPr>
      </w:pPr>
      <w:r w:rsidRPr="00D4584F">
        <w:rPr>
          <w:rFonts w:cs="Arial"/>
          <w:b/>
          <w:i/>
        </w:rPr>
        <w:t>Población Objetivo</w:t>
      </w:r>
      <w:r w:rsidRPr="00D4584F">
        <w:rPr>
          <w:rFonts w:cs="Arial"/>
          <w:b/>
        </w:rPr>
        <w:t>:</w:t>
      </w:r>
      <w:r w:rsidR="00D4584F">
        <w:rPr>
          <w:rFonts w:cs="Arial"/>
        </w:rPr>
        <w:t xml:space="preserve"> ni</w:t>
      </w:r>
      <w:r w:rsidRPr="007608C2">
        <w:rPr>
          <w:rFonts w:cs="Arial"/>
        </w:rPr>
        <w:t>ñas y los niños menores de 5 años en condición de riesgo y vulnerabilidad.</w:t>
      </w:r>
    </w:p>
    <w:p w:rsidR="002D2D91" w:rsidRPr="007608C2" w:rsidRDefault="002D2D91" w:rsidP="002D2D91">
      <w:pPr>
        <w:jc w:val="both"/>
        <w:rPr>
          <w:rFonts w:cs="Arial"/>
        </w:rPr>
      </w:pPr>
      <w:r w:rsidRPr="00D4584F">
        <w:rPr>
          <w:rFonts w:cs="Arial"/>
          <w:b/>
          <w:i/>
        </w:rPr>
        <w:t>Cobertura</w:t>
      </w:r>
      <w:r w:rsidRPr="00D4584F">
        <w:rPr>
          <w:rFonts w:cs="Arial"/>
          <w:b/>
        </w:rPr>
        <w:t>:</w:t>
      </w:r>
      <w:r w:rsidRPr="007608C2">
        <w:rPr>
          <w:rFonts w:cs="Arial"/>
        </w:rPr>
        <w:t xml:space="preserve"> </w:t>
      </w:r>
      <w:r w:rsidR="00D4584F">
        <w:rPr>
          <w:rFonts w:cs="Arial"/>
        </w:rPr>
        <w:t>t</w:t>
      </w:r>
      <w:r w:rsidRPr="007608C2">
        <w:rPr>
          <w:rFonts w:cs="Arial"/>
        </w:rPr>
        <w:t xml:space="preserve">iene presencia en Antioquia, Atlántico, Caldas, Córdoba, La Guajira, Norte de Santander, Quindío y Santander. Se brindó atención a </w:t>
      </w:r>
      <w:r w:rsidR="00751035" w:rsidRPr="00912C8A">
        <w:rPr>
          <w:rFonts w:cs="Arial"/>
          <w:b/>
        </w:rPr>
        <w:t>91.281</w:t>
      </w:r>
      <w:r w:rsidR="00751035" w:rsidRPr="007608C2">
        <w:rPr>
          <w:rFonts w:cs="Arial"/>
        </w:rPr>
        <w:t xml:space="preserve"> </w:t>
      </w:r>
      <w:r w:rsidRPr="007608C2">
        <w:rPr>
          <w:rFonts w:cs="Arial"/>
        </w:rPr>
        <w:t>usuarios en el presente servicio (</w:t>
      </w:r>
      <w:r w:rsidRPr="007608C2">
        <w:rPr>
          <w:rFonts w:cs="Arial"/>
          <w:i/>
        </w:rPr>
        <w:t>fuente: Metas Sociales y Financieras, cierre de vigencia diciembre 2017 – Preliminar</w:t>
      </w:r>
      <w:r w:rsidRPr="007608C2">
        <w:rPr>
          <w:rFonts w:cs="Arial"/>
        </w:rPr>
        <w:t>).</w:t>
      </w:r>
    </w:p>
    <w:p w:rsidR="002D2D91" w:rsidRPr="007608C2" w:rsidRDefault="002D2D91" w:rsidP="002D2D91">
      <w:pPr>
        <w:jc w:val="both"/>
        <w:rPr>
          <w:rFonts w:cs="Arial"/>
          <w:b/>
          <w:u w:val="single"/>
        </w:rPr>
      </w:pPr>
      <w:r w:rsidRPr="007608C2">
        <w:rPr>
          <w:rFonts w:cs="Arial"/>
          <w:b/>
          <w:u w:val="single"/>
        </w:rPr>
        <w:t>Hogares Comunitarios de Bienestar Empresariales (Hogar Empresarial)</w:t>
      </w:r>
    </w:p>
    <w:p w:rsidR="002D2D91" w:rsidRPr="007608C2" w:rsidRDefault="002D2D91" w:rsidP="002D2D91">
      <w:pPr>
        <w:jc w:val="both"/>
        <w:rPr>
          <w:rFonts w:cs="Arial"/>
        </w:rPr>
      </w:pPr>
      <w:r w:rsidRPr="007608C2">
        <w:rPr>
          <w:rFonts w:cs="Arial"/>
        </w:rPr>
        <w:t>En este servicio se brinda atención a hijos de trabajadores de más bajos ingresos en un sitio adecuado por la empresa, presentando su servicio por 200 días al año, 5 días la semana en jornadas ajustadas a los horarios de trabajo de los padres, con el apoyo y cofinanciación de las empresas donde éstos laboran.</w:t>
      </w:r>
    </w:p>
    <w:p w:rsidR="002D2D91" w:rsidRPr="007608C2" w:rsidRDefault="002D2D91" w:rsidP="002D2D91">
      <w:pPr>
        <w:jc w:val="both"/>
        <w:rPr>
          <w:rFonts w:cs="Arial"/>
        </w:rPr>
      </w:pPr>
      <w:r w:rsidRPr="007608C2">
        <w:rPr>
          <w:rFonts w:cs="Arial"/>
        </w:rPr>
        <w:t>En los Hogares Empresariales se cuenta con agentes educativos cualificados y un equipo interdisciplinario aportado por la empresa, y su presupuesto para la operación está conformado por el aporte del ICBF, el ingreso por concepto de recaudo de cuotas de participación que pagan las familias beneficiarias y aportes de cofinanciación de otros entes.</w:t>
      </w:r>
    </w:p>
    <w:p w:rsidR="002D2D91" w:rsidRPr="007608C2" w:rsidRDefault="002D2D91" w:rsidP="002D2D91">
      <w:pPr>
        <w:jc w:val="both"/>
        <w:rPr>
          <w:rFonts w:cs="Arial"/>
        </w:rPr>
      </w:pPr>
      <w:r w:rsidRPr="00C43157">
        <w:rPr>
          <w:rFonts w:cs="Arial"/>
          <w:b/>
          <w:i/>
        </w:rPr>
        <w:t>Población Objetivo</w:t>
      </w:r>
      <w:r w:rsidRPr="00C43157">
        <w:rPr>
          <w:rFonts w:cs="Arial"/>
          <w:b/>
        </w:rPr>
        <w:t>:</w:t>
      </w:r>
      <w:r w:rsidRPr="007608C2">
        <w:rPr>
          <w:rFonts w:cs="Arial"/>
        </w:rPr>
        <w:t xml:space="preserve"> </w:t>
      </w:r>
      <w:r w:rsidR="00D4584F">
        <w:rPr>
          <w:rFonts w:cs="Arial"/>
        </w:rPr>
        <w:t>n</w:t>
      </w:r>
      <w:r w:rsidRPr="007608C2">
        <w:rPr>
          <w:rFonts w:cs="Arial"/>
        </w:rPr>
        <w:t>iñas y niños desde los 6 meses hasta los 4 años y 11 meses, hijos de trabajadores de más bajos ingresos de la empresa.</w:t>
      </w:r>
    </w:p>
    <w:p w:rsidR="002D2D91" w:rsidRPr="007608C2" w:rsidRDefault="002D2D91" w:rsidP="002D2D91">
      <w:pPr>
        <w:jc w:val="both"/>
        <w:rPr>
          <w:rFonts w:cs="Arial"/>
        </w:rPr>
      </w:pPr>
      <w:r w:rsidRPr="00B7454E">
        <w:rPr>
          <w:rFonts w:cs="Arial"/>
          <w:b/>
          <w:i/>
        </w:rPr>
        <w:t>Cobertura</w:t>
      </w:r>
      <w:r w:rsidRPr="00B7454E">
        <w:rPr>
          <w:rFonts w:cs="Arial"/>
          <w:b/>
        </w:rPr>
        <w:t>:</w:t>
      </w:r>
      <w:r w:rsidR="00D4584F">
        <w:rPr>
          <w:rFonts w:cs="Arial"/>
        </w:rPr>
        <w:t xml:space="preserve"> t</w:t>
      </w:r>
      <w:r w:rsidRPr="007608C2">
        <w:rPr>
          <w:rFonts w:cs="Arial"/>
        </w:rPr>
        <w:t xml:space="preserve">iene presencia en Antioquia, Bogotá, Cundinamarca, Nariño, Tolima y Valle del Cauca. Se brindó atención a </w:t>
      </w:r>
      <w:r w:rsidRPr="00D4584F">
        <w:rPr>
          <w:rFonts w:cs="Arial"/>
        </w:rPr>
        <w:t>1.147</w:t>
      </w:r>
      <w:r w:rsidRPr="007608C2">
        <w:rPr>
          <w:rFonts w:cs="Arial"/>
        </w:rPr>
        <w:t xml:space="preserve"> usuarios en el presente servicio (</w:t>
      </w:r>
      <w:r w:rsidRPr="007608C2">
        <w:rPr>
          <w:rFonts w:cs="Arial"/>
          <w:i/>
        </w:rPr>
        <w:t>fuente: Metas Sociales y Financieras, cierre de vigencia diciembre 2017 – Preliminar)</w:t>
      </w:r>
      <w:r w:rsidRPr="007608C2">
        <w:rPr>
          <w:rFonts w:cs="Arial"/>
        </w:rPr>
        <w:t>.</w:t>
      </w:r>
    </w:p>
    <w:p w:rsidR="002D2D91" w:rsidRPr="007608C2" w:rsidRDefault="002D2D91" w:rsidP="002D2D91">
      <w:pPr>
        <w:jc w:val="both"/>
        <w:rPr>
          <w:rFonts w:cs="Arial"/>
          <w:b/>
          <w:u w:val="single"/>
        </w:rPr>
      </w:pPr>
      <w:r w:rsidRPr="007608C2">
        <w:rPr>
          <w:rFonts w:cs="Arial"/>
          <w:b/>
          <w:u w:val="single"/>
        </w:rPr>
        <w:t>Hogares Infantiles (HI)</w:t>
      </w:r>
    </w:p>
    <w:p w:rsidR="002D2D91" w:rsidRPr="007608C2" w:rsidRDefault="002D2D91" w:rsidP="002D2D91">
      <w:pPr>
        <w:jc w:val="both"/>
        <w:rPr>
          <w:rFonts w:cs="Arial"/>
        </w:rPr>
      </w:pPr>
      <w:r w:rsidRPr="007608C2">
        <w:rPr>
          <w:rFonts w:cs="Arial"/>
        </w:rPr>
        <w:t xml:space="preserve">Los Hogares Infantiles fueron creados en el año 1974 bajo el nombre de Centros de Atención Integral al Preescolar (CAIP); los cuales mediante, la Ley 7 de 1979 fueron transformados a </w:t>
      </w:r>
      <w:r w:rsidRPr="007608C2">
        <w:rPr>
          <w:rFonts w:cs="Arial"/>
        </w:rPr>
        <w:lastRenderedPageBreak/>
        <w:t xml:space="preserve">Hogares Infantiles, estableciendo recursos para su financiamiento, promoviendo una atención integral de calidad, durante 210 días hábiles del año en jornada completa (8 horas diarias, 5 días a la semana). </w:t>
      </w:r>
    </w:p>
    <w:p w:rsidR="002D2D91" w:rsidRPr="007608C2" w:rsidRDefault="002D2D91" w:rsidP="002D2D91">
      <w:pPr>
        <w:jc w:val="both"/>
        <w:rPr>
          <w:rFonts w:cs="Arial"/>
        </w:rPr>
      </w:pPr>
      <w:r w:rsidRPr="007608C2">
        <w:rPr>
          <w:rFonts w:cs="Arial"/>
        </w:rPr>
        <w:t xml:space="preserve">En cuanto al presupuesto para la operación, este se encuentra conformado por el aporte del ICBF, el ingreso por concepto de recaudo de cuotas de participación que pagan las familias beneficiarias y aportes de cofinanciación de otros entes. </w:t>
      </w:r>
    </w:p>
    <w:p w:rsidR="002D2D91" w:rsidRPr="007608C2" w:rsidRDefault="002D2D91" w:rsidP="002D2D91">
      <w:pPr>
        <w:jc w:val="both"/>
        <w:rPr>
          <w:rFonts w:cs="Arial"/>
        </w:rPr>
      </w:pPr>
      <w:r w:rsidRPr="00D4584F">
        <w:rPr>
          <w:rFonts w:cs="Arial"/>
          <w:b/>
          <w:i/>
        </w:rPr>
        <w:t>Población Objetivo</w:t>
      </w:r>
      <w:r w:rsidRPr="00D4584F">
        <w:rPr>
          <w:rFonts w:cs="Arial"/>
          <w:b/>
        </w:rPr>
        <w:t>:</w:t>
      </w:r>
      <w:r w:rsidR="00D4584F">
        <w:rPr>
          <w:rFonts w:cs="Arial"/>
        </w:rPr>
        <w:t xml:space="preserve"> ni</w:t>
      </w:r>
      <w:r w:rsidRPr="007608C2">
        <w:rPr>
          <w:rFonts w:cs="Arial"/>
        </w:rPr>
        <w:t>ñas y niños entre los 6 meses y 4 años y 11 meses de edad, provenientes de familias con vulnerabilidad económica y social prioritariamente, a quienes por razones de trabajo y otras circunstancias comprobadas de sus padres o adultos responsables de su cuidado, permanecen solos temporalmente; hijas e hijos de familias en situación de desplazamiento forzado; o, niñas y niños con discapacidad leve.</w:t>
      </w:r>
    </w:p>
    <w:p w:rsidR="002D2D91" w:rsidRPr="007608C2" w:rsidRDefault="002D2D91" w:rsidP="002D2D91">
      <w:pPr>
        <w:jc w:val="both"/>
        <w:rPr>
          <w:rFonts w:cs="Arial"/>
        </w:rPr>
      </w:pPr>
      <w:r w:rsidRPr="00D4584F">
        <w:rPr>
          <w:rFonts w:cs="Arial"/>
          <w:b/>
          <w:i/>
        </w:rPr>
        <w:t>Cobertura</w:t>
      </w:r>
      <w:r w:rsidRPr="00D4584F">
        <w:rPr>
          <w:rFonts w:cs="Arial"/>
          <w:b/>
        </w:rPr>
        <w:t>:</w:t>
      </w:r>
      <w:r w:rsidR="00D4584F">
        <w:rPr>
          <w:rFonts w:cs="Arial"/>
        </w:rPr>
        <w:t xml:space="preserve"> t</w:t>
      </w:r>
      <w:r w:rsidRPr="007608C2">
        <w:rPr>
          <w:rFonts w:cs="Arial"/>
        </w:rPr>
        <w:t xml:space="preserve">iene presencia en todo el país a excepción de los departamentos de Amazonas, Archipiélago de San Andrés, Providencia y Santa Catalina y Vaupés. Se brindó atención a </w:t>
      </w:r>
      <w:r w:rsidRPr="00D4584F">
        <w:rPr>
          <w:rFonts w:cs="Arial"/>
        </w:rPr>
        <w:t>102.901</w:t>
      </w:r>
      <w:r w:rsidRPr="007608C2">
        <w:rPr>
          <w:rFonts w:cs="Arial"/>
        </w:rPr>
        <w:t xml:space="preserve"> usuarios en el presente servicio (</w:t>
      </w:r>
      <w:r w:rsidRPr="007608C2">
        <w:rPr>
          <w:rFonts w:cs="Arial"/>
          <w:i/>
        </w:rPr>
        <w:t>fuente: Metas Sociales y Financieras, cierre de vigencia diciembre 2017 – Preliminar</w:t>
      </w:r>
      <w:r w:rsidRPr="007608C2">
        <w:rPr>
          <w:rFonts w:cs="Arial"/>
        </w:rPr>
        <w:t>).</w:t>
      </w:r>
    </w:p>
    <w:p w:rsidR="002D2D91" w:rsidRPr="007608C2" w:rsidRDefault="002D2D91" w:rsidP="002D2D91">
      <w:pPr>
        <w:jc w:val="both"/>
        <w:rPr>
          <w:rFonts w:cs="Arial"/>
          <w:b/>
          <w:u w:val="single"/>
        </w:rPr>
      </w:pPr>
      <w:r w:rsidRPr="007608C2">
        <w:rPr>
          <w:rFonts w:cs="Arial"/>
          <w:b/>
          <w:u w:val="single"/>
        </w:rPr>
        <w:t xml:space="preserve">Hogares Comunitarios de Bienestar Múltiples </w:t>
      </w:r>
    </w:p>
    <w:p w:rsidR="002D2D91" w:rsidRPr="007608C2" w:rsidRDefault="002D2D91" w:rsidP="002D2D91">
      <w:pPr>
        <w:jc w:val="both"/>
        <w:rPr>
          <w:rFonts w:cs="Arial"/>
        </w:rPr>
      </w:pPr>
      <w:r w:rsidRPr="007608C2">
        <w:rPr>
          <w:rFonts w:cs="Arial"/>
        </w:rPr>
        <w:t>Los Hogares Múltiples son un servicio integral que agrupa hasta 12 Hogares Comunitarios de Bienestar (HCB); la atención se brinda en espacios adecuados para la primera infancia, de acuerdo con la capacidad instalada de la infraestructura. El servicio se presta 200 días al año, en jornadas de 8 horas diarias, 5 días a la semana mediante alianzas con Alcaldías, Cajas de Compensación Familiar y otras instituciones que fortalecen el componente pedagógico, desarrollo físico, protección y cuidado.</w:t>
      </w:r>
    </w:p>
    <w:p w:rsidR="002D2D91" w:rsidRPr="007608C2" w:rsidRDefault="002D2D91" w:rsidP="002D2D91">
      <w:pPr>
        <w:jc w:val="both"/>
        <w:rPr>
          <w:rFonts w:cs="Arial"/>
        </w:rPr>
      </w:pPr>
      <w:r w:rsidRPr="007608C2">
        <w:rPr>
          <w:rFonts w:cs="Arial"/>
        </w:rPr>
        <w:t>En cuanto al presupuesto para la operación, este se encuentra conformado por el aporte del ICBF, el ingreso por concepto de recaudo de cuotas de participación que pagan las familias beneficiarias y aportes de cofinanciación de otros entes. Según lo establecido en el Decreto 1490 de mayo 6 de 2008, el valor de la cuota de participación debe ser acorde con el acto administrativo emitido por el ICBF. Están exentos del pago de la cuota de participación, las niñas y los niños de familias desplazadas.</w:t>
      </w:r>
    </w:p>
    <w:p w:rsidR="002D2D91" w:rsidRPr="007608C2" w:rsidRDefault="002D2D91" w:rsidP="002D2D91">
      <w:pPr>
        <w:jc w:val="both"/>
        <w:rPr>
          <w:rFonts w:cs="Arial"/>
        </w:rPr>
      </w:pPr>
      <w:r w:rsidRPr="00D4584F">
        <w:rPr>
          <w:rFonts w:cs="Arial"/>
          <w:b/>
          <w:i/>
        </w:rPr>
        <w:t>Población Objetivo</w:t>
      </w:r>
      <w:r w:rsidRPr="00D4584F">
        <w:rPr>
          <w:rFonts w:cs="Arial"/>
          <w:b/>
        </w:rPr>
        <w:t>:</w:t>
      </w:r>
      <w:r w:rsidR="00D4584F">
        <w:rPr>
          <w:rFonts w:cs="Arial"/>
        </w:rPr>
        <w:t xml:space="preserve"> n</w:t>
      </w:r>
      <w:r w:rsidRPr="007608C2">
        <w:rPr>
          <w:rFonts w:cs="Arial"/>
        </w:rPr>
        <w:t xml:space="preserve">iñas y niños preferiblemente mayores de 2 años hasta los 4 años y 11 meses. </w:t>
      </w:r>
    </w:p>
    <w:p w:rsidR="002D2D91" w:rsidRPr="007608C2" w:rsidRDefault="002D2D91" w:rsidP="002D2D91">
      <w:pPr>
        <w:jc w:val="both"/>
        <w:rPr>
          <w:rFonts w:cs="Arial"/>
        </w:rPr>
      </w:pPr>
      <w:r w:rsidRPr="00D4584F">
        <w:rPr>
          <w:rFonts w:cs="Arial"/>
          <w:b/>
          <w:i/>
        </w:rPr>
        <w:t>Cobertura</w:t>
      </w:r>
      <w:r w:rsidR="00D4584F" w:rsidRPr="00D4584F">
        <w:rPr>
          <w:rFonts w:cs="Arial"/>
          <w:b/>
        </w:rPr>
        <w:t>:</w:t>
      </w:r>
      <w:r w:rsidR="00D4584F">
        <w:rPr>
          <w:rFonts w:cs="Arial"/>
        </w:rPr>
        <w:t xml:space="preserve"> t</w:t>
      </w:r>
      <w:r w:rsidRPr="007608C2">
        <w:rPr>
          <w:rFonts w:cs="Arial"/>
        </w:rPr>
        <w:t xml:space="preserve">iene presencia en Atlántico, Boyacá, Chocó, Cundinamarca y Tolima. Se brindó atención a </w:t>
      </w:r>
      <w:r w:rsidRPr="00D4584F">
        <w:rPr>
          <w:rFonts w:cs="Arial"/>
        </w:rPr>
        <w:t xml:space="preserve">143 </w:t>
      </w:r>
      <w:r w:rsidRPr="007608C2">
        <w:rPr>
          <w:rFonts w:cs="Arial"/>
        </w:rPr>
        <w:t>usuarios en el presente servicio (</w:t>
      </w:r>
      <w:r w:rsidRPr="007608C2">
        <w:rPr>
          <w:rFonts w:cs="Arial"/>
          <w:i/>
        </w:rPr>
        <w:t>fuente: Metas Sociales y Financieras, cierre de vigencia diciembre 2017 – Preliminar</w:t>
      </w:r>
      <w:r w:rsidRPr="007608C2">
        <w:rPr>
          <w:rFonts w:cs="Arial"/>
        </w:rPr>
        <w:t>).</w:t>
      </w:r>
    </w:p>
    <w:p w:rsidR="007F3B58" w:rsidRDefault="007F3B58" w:rsidP="002D2D91">
      <w:pPr>
        <w:jc w:val="both"/>
        <w:rPr>
          <w:rFonts w:cs="Arial"/>
          <w:b/>
          <w:u w:val="single"/>
        </w:rPr>
      </w:pPr>
    </w:p>
    <w:p w:rsidR="002D2D91" w:rsidRPr="007608C2" w:rsidRDefault="002D2D91" w:rsidP="002D2D91">
      <w:pPr>
        <w:jc w:val="both"/>
        <w:rPr>
          <w:rFonts w:cs="Arial"/>
          <w:b/>
          <w:u w:val="single"/>
        </w:rPr>
      </w:pPr>
      <w:r w:rsidRPr="007608C2">
        <w:rPr>
          <w:rFonts w:cs="Arial"/>
          <w:b/>
          <w:u w:val="single"/>
        </w:rPr>
        <w:lastRenderedPageBreak/>
        <w:t>Hogar Comunitario de Bienestar - Jardín Social</w:t>
      </w:r>
    </w:p>
    <w:p w:rsidR="002D2D91" w:rsidRPr="007608C2" w:rsidRDefault="002D2D91" w:rsidP="002D2D91">
      <w:pPr>
        <w:jc w:val="both"/>
        <w:rPr>
          <w:rFonts w:cs="Arial"/>
        </w:rPr>
      </w:pPr>
      <w:r w:rsidRPr="007608C2">
        <w:rPr>
          <w:rFonts w:cs="Arial"/>
        </w:rPr>
        <w:t>El Jardín Social agrupa hasta 32 Hogares Comunitarios en infraestructuras diseñadas especialmente para primera infancia, con capacidad para atender 300 niñas y niños, en jornadas de 8 horas diarias, 5 días a la semana, durante 200 días al año. En este servicio el ICBF aporta el 70% del requerimiento nutricional diario, teniendo como referencia las recomendaciones diarias de calorías y nutrientes para la población colombiana.</w:t>
      </w:r>
    </w:p>
    <w:p w:rsidR="002D2D91" w:rsidRPr="007608C2" w:rsidRDefault="002D2D91" w:rsidP="002D2D91">
      <w:pPr>
        <w:jc w:val="both"/>
        <w:rPr>
          <w:rFonts w:cs="Arial"/>
        </w:rPr>
      </w:pPr>
      <w:r w:rsidRPr="007608C2">
        <w:rPr>
          <w:rFonts w:cs="Arial"/>
        </w:rPr>
        <w:t>Operan en alianza con socios estratégicos (Cajas de compensación u operadores de amplia experiencia en el trabajo con primera infancia), que aportan su experiencia y capacidad instalada. El presupuesto para su operación está conformado por el aporte del ICBF, el ingreso por concepto de recaudo de cuotas de participación que pagan las familias beneficiarias y aportes de cofinanciación de otros entes.</w:t>
      </w:r>
    </w:p>
    <w:p w:rsidR="002D2D91" w:rsidRPr="007608C2" w:rsidRDefault="002D2D91" w:rsidP="002D2D91">
      <w:pPr>
        <w:jc w:val="both"/>
        <w:rPr>
          <w:rFonts w:cs="Arial"/>
        </w:rPr>
      </w:pPr>
      <w:r w:rsidRPr="00D4584F">
        <w:rPr>
          <w:rFonts w:cs="Arial"/>
          <w:b/>
          <w:i/>
        </w:rPr>
        <w:t>Población Objetivo</w:t>
      </w:r>
      <w:r w:rsidR="00D4584F" w:rsidRPr="00D4584F">
        <w:rPr>
          <w:rFonts w:cs="Arial"/>
          <w:b/>
        </w:rPr>
        <w:t>:</w:t>
      </w:r>
      <w:r w:rsidR="00D4584F">
        <w:rPr>
          <w:rFonts w:cs="Arial"/>
        </w:rPr>
        <w:t xml:space="preserve"> ni</w:t>
      </w:r>
      <w:r w:rsidRPr="007608C2">
        <w:rPr>
          <w:rFonts w:cs="Arial"/>
        </w:rPr>
        <w:t>ñas y niños hasta los 4 años y 11 meses.</w:t>
      </w:r>
    </w:p>
    <w:p w:rsidR="002D2D91" w:rsidRPr="007608C2" w:rsidRDefault="002D2D91" w:rsidP="002D2D91">
      <w:pPr>
        <w:jc w:val="both"/>
        <w:rPr>
          <w:rFonts w:cs="Arial"/>
        </w:rPr>
      </w:pPr>
      <w:r w:rsidRPr="00D4584F">
        <w:rPr>
          <w:rFonts w:cs="Arial"/>
          <w:b/>
          <w:i/>
        </w:rPr>
        <w:t>Cobertura</w:t>
      </w:r>
      <w:r w:rsidRPr="00D4584F">
        <w:rPr>
          <w:rFonts w:cs="Arial"/>
          <w:b/>
        </w:rPr>
        <w:t>:</w:t>
      </w:r>
      <w:r w:rsidRPr="007608C2">
        <w:rPr>
          <w:rFonts w:cs="Arial"/>
        </w:rPr>
        <w:t xml:space="preserve"> Tiene presencia en Antioquia, Atlántico, Cundinamarca, Nariño y Quindío. Se brindó atención a </w:t>
      </w:r>
      <w:r w:rsidRPr="00D4584F">
        <w:rPr>
          <w:rFonts w:cs="Arial"/>
        </w:rPr>
        <w:t xml:space="preserve">7.012 </w:t>
      </w:r>
      <w:r w:rsidRPr="007608C2">
        <w:rPr>
          <w:rFonts w:cs="Arial"/>
        </w:rPr>
        <w:t>usuarios en el presente servicio (</w:t>
      </w:r>
      <w:r w:rsidRPr="007608C2">
        <w:rPr>
          <w:rFonts w:cs="Arial"/>
          <w:i/>
        </w:rPr>
        <w:t>fuente: Metas Sociales y Financieras, cierre de vigencia diciembre 2017 – Preliminar</w:t>
      </w:r>
      <w:r w:rsidRPr="007608C2">
        <w:rPr>
          <w:rFonts w:cs="Arial"/>
        </w:rPr>
        <w:t>).</w:t>
      </w:r>
    </w:p>
    <w:p w:rsidR="002D2D91" w:rsidRPr="007608C2" w:rsidRDefault="002D2D91" w:rsidP="002D2D91">
      <w:pPr>
        <w:jc w:val="both"/>
        <w:rPr>
          <w:rFonts w:cs="Arial"/>
          <w:b/>
          <w:u w:val="single"/>
        </w:rPr>
      </w:pPr>
      <w:r w:rsidRPr="007608C2">
        <w:rPr>
          <w:rFonts w:cs="Arial"/>
          <w:b/>
          <w:u w:val="single"/>
        </w:rPr>
        <w:t>Grado Transición con Atención Integral</w:t>
      </w:r>
    </w:p>
    <w:p w:rsidR="002D2D91" w:rsidRPr="007608C2" w:rsidRDefault="002D2D91" w:rsidP="002D2D91">
      <w:pPr>
        <w:jc w:val="both"/>
        <w:rPr>
          <w:rFonts w:cs="Arial"/>
        </w:rPr>
      </w:pPr>
      <w:r w:rsidRPr="007608C2">
        <w:rPr>
          <w:rFonts w:cs="Arial"/>
        </w:rPr>
        <w:t xml:space="preserve">El servicio de Preescolar Integral tiene como objeto garantizar la atención de los niños y niñas matriculados en los grados pre jardín, jardín y transición durante 5 días de la semana, de acuerdo a la jornada educativa a la que pertenezcan, aportando cuidado y nutrición de acuerdo a las orientaciones, líneas técnicas y disposiciones generales de la Comisión Intersectorial para la Atención Integral de la Primera Infancia - CIPI. </w:t>
      </w:r>
    </w:p>
    <w:p w:rsidR="002D2D91" w:rsidRPr="007608C2" w:rsidRDefault="002D2D91" w:rsidP="002D2D91">
      <w:pPr>
        <w:jc w:val="both"/>
        <w:rPr>
          <w:rFonts w:cs="Arial"/>
        </w:rPr>
      </w:pPr>
      <w:r w:rsidRPr="007608C2">
        <w:rPr>
          <w:rFonts w:cs="Arial"/>
        </w:rPr>
        <w:t>Los procesos de identificación e inscripción se adelantan de conformidad con el proceso de cobertura de las Secretarías de Educación de las entidades territoriales certificadas, atendiendo a las solicitudes de cupo durante toda la vigencia. Este servicio desarrolla acciones orientadas a la promoción de los derechos, a la prevención de su vulneración y activar la ruta integral de restablecimiento de los mismos, en los casos en los que se evidencie la amenaza, vulneración o inobservancia.</w:t>
      </w:r>
    </w:p>
    <w:p w:rsidR="002D2D91" w:rsidRPr="007608C2" w:rsidRDefault="002D2D91" w:rsidP="002D2D91">
      <w:pPr>
        <w:jc w:val="both"/>
        <w:rPr>
          <w:rFonts w:cs="Arial"/>
        </w:rPr>
      </w:pPr>
      <w:r w:rsidRPr="00D4584F">
        <w:rPr>
          <w:rFonts w:cs="Arial"/>
          <w:b/>
          <w:i/>
        </w:rPr>
        <w:t>Población Objetivo</w:t>
      </w:r>
      <w:r w:rsidRPr="00D4584F">
        <w:rPr>
          <w:rFonts w:cs="Arial"/>
          <w:b/>
        </w:rPr>
        <w:t>:</w:t>
      </w:r>
      <w:r w:rsidR="00D4584F">
        <w:rPr>
          <w:rFonts w:cs="Arial"/>
        </w:rPr>
        <w:t xml:space="preserve"> n</w:t>
      </w:r>
      <w:r w:rsidRPr="007608C2">
        <w:rPr>
          <w:rFonts w:cs="Arial"/>
        </w:rPr>
        <w:t>iñas y niños entre los 5 y 6 años de edad matriculados en preescolar integral.</w:t>
      </w:r>
    </w:p>
    <w:p w:rsidR="002D2D91" w:rsidRDefault="002D2D91" w:rsidP="002D2D91">
      <w:pPr>
        <w:jc w:val="both"/>
        <w:rPr>
          <w:rFonts w:cs="Arial"/>
        </w:rPr>
      </w:pPr>
      <w:r w:rsidRPr="00D4584F">
        <w:rPr>
          <w:rFonts w:cs="Arial"/>
          <w:b/>
          <w:i/>
        </w:rPr>
        <w:t>Cobertura</w:t>
      </w:r>
      <w:r w:rsidRPr="00D4584F">
        <w:rPr>
          <w:rFonts w:cs="Arial"/>
          <w:b/>
        </w:rPr>
        <w:t>:</w:t>
      </w:r>
      <w:r w:rsidR="00D4584F">
        <w:rPr>
          <w:rFonts w:cs="Arial"/>
        </w:rPr>
        <w:t xml:space="preserve"> t</w:t>
      </w:r>
      <w:r w:rsidRPr="007608C2">
        <w:rPr>
          <w:rFonts w:cs="Arial"/>
        </w:rPr>
        <w:t xml:space="preserve">iene presencia en Antioquia, Atlántico, Bogotá, Caldas, Chocó, Cundinamarca, Huila, La Guajira, Risaralda y Valle del Cauca. Se brindó atención a </w:t>
      </w:r>
      <w:r w:rsidRPr="007F3B58">
        <w:rPr>
          <w:rFonts w:cs="Arial"/>
        </w:rPr>
        <w:t>53.813</w:t>
      </w:r>
      <w:r w:rsidRPr="007608C2">
        <w:rPr>
          <w:rFonts w:cs="Arial"/>
        </w:rPr>
        <w:t xml:space="preserve"> usuarios en el presente servicio (</w:t>
      </w:r>
      <w:r w:rsidRPr="007608C2">
        <w:rPr>
          <w:rFonts w:cs="Arial"/>
          <w:i/>
        </w:rPr>
        <w:t>fuente: Metas Sociales y Financieras, cierre de vigencia diciembre 2017 – Preliminar</w:t>
      </w:r>
      <w:r w:rsidRPr="007608C2">
        <w:rPr>
          <w:rFonts w:cs="Arial"/>
        </w:rPr>
        <w:t>).</w:t>
      </w:r>
    </w:p>
    <w:p w:rsidR="00A60C11" w:rsidRPr="007608C2" w:rsidRDefault="00A60C11" w:rsidP="00A60C11">
      <w:pPr>
        <w:spacing w:after="0"/>
        <w:jc w:val="both"/>
        <w:rPr>
          <w:rFonts w:cs="Arial"/>
        </w:rPr>
      </w:pPr>
    </w:p>
    <w:p w:rsidR="002D2D91" w:rsidRDefault="000E0283" w:rsidP="002D2D91">
      <w:pPr>
        <w:pStyle w:val="Ttulo2"/>
        <w:numPr>
          <w:ilvl w:val="2"/>
          <w:numId w:val="2"/>
        </w:numPr>
        <w:rPr>
          <w:rFonts w:cs="Arial"/>
          <w:b/>
        </w:rPr>
      </w:pPr>
      <w:hyperlink w:anchor="_Toc478635847" w:history="1">
        <w:bookmarkStart w:id="24" w:name="_Toc504459727"/>
        <w:bookmarkStart w:id="25" w:name="_Toc505183036"/>
        <w:r w:rsidR="002D2D91" w:rsidRPr="007608C2">
          <w:rPr>
            <w:rFonts w:cs="Arial"/>
            <w:b/>
          </w:rPr>
          <w:t>Atención Tradicional</w:t>
        </w:r>
        <w:bookmarkEnd w:id="24"/>
        <w:bookmarkEnd w:id="25"/>
      </w:hyperlink>
    </w:p>
    <w:p w:rsidR="00A60C11" w:rsidRPr="00A60C11" w:rsidRDefault="00A60C11" w:rsidP="007F3B58">
      <w:pPr>
        <w:spacing w:after="0"/>
      </w:pPr>
    </w:p>
    <w:p w:rsidR="002D2D91" w:rsidRPr="007608C2" w:rsidRDefault="002D2D91" w:rsidP="002D2D91">
      <w:pPr>
        <w:jc w:val="both"/>
        <w:rPr>
          <w:rFonts w:cs="Arial"/>
        </w:rPr>
      </w:pPr>
      <w:r w:rsidRPr="007608C2">
        <w:rPr>
          <w:rFonts w:cs="Arial"/>
        </w:rPr>
        <w:t xml:space="preserve">Este servicio de Primera Infancia buscó desde sus inicios la democratización de los programas para la infancia, el aumento de las coberturas y la participación de las familias y la comunidad. Esta modalidad se planteó como un escenario de acogida para las niñas y los niños menores de 5 años en condición de riesgo y vulnerabilidad, sus familias y cuidadores, y es coherente con las características, particularidades e historias territoriales del país. </w:t>
      </w:r>
    </w:p>
    <w:p w:rsidR="002D2D91" w:rsidRPr="007608C2" w:rsidRDefault="002D2D91" w:rsidP="002D2D91">
      <w:pPr>
        <w:jc w:val="both"/>
        <w:rPr>
          <w:rFonts w:cs="Arial"/>
        </w:rPr>
      </w:pPr>
      <w:r w:rsidRPr="007608C2">
        <w:rPr>
          <w:rFonts w:cs="Arial"/>
        </w:rPr>
        <w:t>En este sentido, la atención tradicional tiene como finalidad promover de manera intencionada el desarrollo de las niñas y los niños, con la participación de talento humano idóneo, responsable de planear y gestionar acciones tendientes a la garantía de los derechos, construir propuestas pedagógicas que generen oportunidades de expresión y comunicación con pares y adultos, así como la construcción de acuerdos sociales y territoriales que permita la diversidad de experiencias.  Durante la vigencia 2017 se contó con una atención en esta modalidad de 727.192 usuarios en todo el territorio nacional (</w:t>
      </w:r>
      <w:r w:rsidRPr="007608C2">
        <w:rPr>
          <w:rFonts w:cs="Arial"/>
          <w:i/>
        </w:rPr>
        <w:t>con corte de 31 de diciembre de 2017, fuente: Metas Sociales y Financieras - Preliminar</w:t>
      </w:r>
      <w:r w:rsidRPr="007608C2">
        <w:rPr>
          <w:rFonts w:cs="Arial"/>
        </w:rPr>
        <w:t xml:space="preserve">).   </w:t>
      </w:r>
    </w:p>
    <w:p w:rsidR="002D2D91" w:rsidRPr="007608C2" w:rsidRDefault="002D2D91" w:rsidP="002D2D91">
      <w:pPr>
        <w:jc w:val="both"/>
        <w:rPr>
          <w:rFonts w:cs="Arial"/>
        </w:rPr>
      </w:pPr>
      <w:r w:rsidRPr="007608C2">
        <w:rPr>
          <w:rFonts w:cs="Arial"/>
        </w:rPr>
        <w:t>A continuación, se presentan los servicios tradicionales que ofrece el ICBF a la Primera Infancia en el país:</w:t>
      </w:r>
    </w:p>
    <w:p w:rsidR="002D2D91" w:rsidRPr="007608C2" w:rsidRDefault="002D2D91" w:rsidP="002D2D91">
      <w:pPr>
        <w:jc w:val="both"/>
        <w:rPr>
          <w:rFonts w:cs="Arial"/>
          <w:b/>
          <w:u w:val="single"/>
        </w:rPr>
      </w:pPr>
      <w:r w:rsidRPr="007608C2">
        <w:rPr>
          <w:rFonts w:cs="Arial"/>
          <w:b/>
          <w:u w:val="single"/>
        </w:rPr>
        <w:t>Hogares Comunitarios de Bienestar - HCB Familiar</w:t>
      </w:r>
    </w:p>
    <w:p w:rsidR="002D2D91" w:rsidRPr="007608C2" w:rsidRDefault="002D2D91" w:rsidP="002D2D91">
      <w:pPr>
        <w:jc w:val="both"/>
        <w:rPr>
          <w:rFonts w:cs="Arial"/>
        </w:rPr>
      </w:pPr>
      <w:r w:rsidRPr="007608C2">
        <w:rPr>
          <w:rFonts w:cs="Arial"/>
        </w:rPr>
        <w:t>El servicio HCB Familiar funciona en las viviendas de las madres comunitarias, en espacios aportados por la comunidad o en infraestructuras construidas o adecuadas para tal fin. Su propósito es el de atender las necesidades básicas de protección, cuidado, nutrición, salud, educación y desarrollo psicosocial de las niñas y los niños en la primera infancia.</w:t>
      </w:r>
    </w:p>
    <w:p w:rsidR="002D2D91" w:rsidRPr="007608C2" w:rsidRDefault="002D2D91" w:rsidP="002D2D91">
      <w:pPr>
        <w:jc w:val="both"/>
        <w:rPr>
          <w:rFonts w:cs="Arial"/>
        </w:rPr>
      </w:pPr>
      <w:r w:rsidRPr="00881556">
        <w:rPr>
          <w:rFonts w:cs="Arial"/>
          <w:b/>
          <w:i/>
        </w:rPr>
        <w:t>Población Objetivo</w:t>
      </w:r>
      <w:r w:rsidRPr="00881556">
        <w:rPr>
          <w:rFonts w:cs="Arial"/>
          <w:b/>
        </w:rPr>
        <w:t>:</w:t>
      </w:r>
      <w:r w:rsidR="00881556">
        <w:rPr>
          <w:rFonts w:cs="Arial"/>
        </w:rPr>
        <w:t xml:space="preserve"> n</w:t>
      </w:r>
      <w:r w:rsidRPr="007608C2">
        <w:rPr>
          <w:rFonts w:cs="Arial"/>
        </w:rPr>
        <w:t>iñas y niños desde 18 meses hasta los 4 años y 11 meses de edad, pertenecientes a familias clasificadas de acuerdo con los criterios definidos de focalización a nivel nacional.</w:t>
      </w:r>
    </w:p>
    <w:p w:rsidR="002D2D91" w:rsidRPr="007608C2" w:rsidRDefault="002D2D91" w:rsidP="002D2D91">
      <w:pPr>
        <w:jc w:val="both"/>
        <w:rPr>
          <w:rFonts w:cs="Arial"/>
        </w:rPr>
      </w:pPr>
      <w:r w:rsidRPr="00881556">
        <w:rPr>
          <w:rFonts w:cs="Arial"/>
          <w:b/>
          <w:i/>
        </w:rPr>
        <w:t>Cobertura</w:t>
      </w:r>
      <w:r w:rsidRPr="00881556">
        <w:rPr>
          <w:rFonts w:cs="Arial"/>
          <w:b/>
        </w:rPr>
        <w:t>:</w:t>
      </w:r>
      <w:r w:rsidR="00881556">
        <w:rPr>
          <w:rFonts w:cs="Arial"/>
        </w:rPr>
        <w:t xml:space="preserve"> t</w:t>
      </w:r>
      <w:r w:rsidRPr="007608C2">
        <w:rPr>
          <w:rFonts w:cs="Arial"/>
        </w:rPr>
        <w:t xml:space="preserve">iene presencia en todos los departamentos, excepto en Amazonas. Se brindó atención a </w:t>
      </w:r>
      <w:r w:rsidRPr="00881556">
        <w:rPr>
          <w:rFonts w:cs="Arial"/>
        </w:rPr>
        <w:t>478.706</w:t>
      </w:r>
      <w:r w:rsidRPr="007608C2">
        <w:rPr>
          <w:rFonts w:cs="Arial"/>
        </w:rPr>
        <w:t xml:space="preserve"> usuarios en el presente servicio (</w:t>
      </w:r>
      <w:r w:rsidRPr="007608C2">
        <w:rPr>
          <w:rFonts w:cs="Arial"/>
          <w:i/>
        </w:rPr>
        <w:t>fuente: Metas Sociales y Financieras, cierre de vigencia diciembre 2017 – Preliminar</w:t>
      </w:r>
      <w:r w:rsidRPr="007608C2">
        <w:rPr>
          <w:rFonts w:cs="Arial"/>
        </w:rPr>
        <w:t>).</w:t>
      </w:r>
    </w:p>
    <w:p w:rsidR="002D2D91" w:rsidRPr="007608C2" w:rsidRDefault="002D2D91" w:rsidP="002D2D91">
      <w:pPr>
        <w:jc w:val="both"/>
        <w:rPr>
          <w:rFonts w:cs="Arial"/>
          <w:b/>
          <w:u w:val="single"/>
        </w:rPr>
      </w:pPr>
      <w:r w:rsidRPr="007608C2">
        <w:rPr>
          <w:rFonts w:cs="Arial"/>
          <w:b/>
          <w:u w:val="single"/>
        </w:rPr>
        <w:t>Hogares Comunitarios de Bienestar Agrupados</w:t>
      </w:r>
    </w:p>
    <w:p w:rsidR="002D2D91" w:rsidRPr="007608C2" w:rsidRDefault="002D2D91" w:rsidP="002D2D91">
      <w:pPr>
        <w:jc w:val="both"/>
        <w:rPr>
          <w:rFonts w:cs="Arial"/>
        </w:rPr>
      </w:pPr>
      <w:r w:rsidRPr="007608C2">
        <w:rPr>
          <w:rFonts w:cs="Arial"/>
        </w:rPr>
        <w:t xml:space="preserve">Los HCB agrupados son una forma de atención que concentra a 2 o más Hogares Comunitarios, en una misma planta física, el número de hogares a agrupar dependerá de la capacidad instalada de la infraestructura, con una previa verificación por parte del respectivo centro zonal para otorgar el cumplimiento del estándar técnico. </w:t>
      </w:r>
    </w:p>
    <w:p w:rsidR="002D2D91" w:rsidRPr="007608C2" w:rsidRDefault="002D2D91" w:rsidP="002D2D91">
      <w:pPr>
        <w:jc w:val="both"/>
        <w:rPr>
          <w:rFonts w:cs="Arial"/>
        </w:rPr>
      </w:pPr>
      <w:r w:rsidRPr="00881556">
        <w:rPr>
          <w:rFonts w:cs="Arial"/>
          <w:b/>
          <w:i/>
        </w:rPr>
        <w:t>Población Objetivo</w:t>
      </w:r>
      <w:r w:rsidR="00881556" w:rsidRPr="00881556">
        <w:rPr>
          <w:rFonts w:cs="Arial"/>
          <w:b/>
        </w:rPr>
        <w:t>:</w:t>
      </w:r>
      <w:r w:rsidR="00881556">
        <w:rPr>
          <w:rFonts w:cs="Arial"/>
        </w:rPr>
        <w:t xml:space="preserve"> n</w:t>
      </w:r>
      <w:r w:rsidRPr="007608C2">
        <w:rPr>
          <w:rFonts w:cs="Arial"/>
        </w:rPr>
        <w:t xml:space="preserve">iñas y niños hasta los 4 años y 11 meses. </w:t>
      </w:r>
    </w:p>
    <w:p w:rsidR="002D2D91" w:rsidRPr="007608C2" w:rsidRDefault="002D2D91" w:rsidP="002D2D91">
      <w:pPr>
        <w:jc w:val="both"/>
        <w:rPr>
          <w:rFonts w:cs="Arial"/>
        </w:rPr>
      </w:pPr>
      <w:r w:rsidRPr="00881556">
        <w:rPr>
          <w:rFonts w:cs="Arial"/>
          <w:b/>
          <w:i/>
        </w:rPr>
        <w:lastRenderedPageBreak/>
        <w:t>Cobertura</w:t>
      </w:r>
      <w:r w:rsidRPr="00881556">
        <w:rPr>
          <w:rFonts w:cs="Arial"/>
          <w:b/>
        </w:rPr>
        <w:t>:</w:t>
      </w:r>
      <w:r w:rsidR="00881556">
        <w:rPr>
          <w:rFonts w:cs="Arial"/>
        </w:rPr>
        <w:t xml:space="preserve"> t</w:t>
      </w:r>
      <w:r w:rsidRPr="007608C2">
        <w:rPr>
          <w:rFonts w:cs="Arial"/>
        </w:rPr>
        <w:t xml:space="preserve">iene presencia en Antioquia, Bogotá, Bolívar, Boyacá, Casanare, Cauca, Chocó, Cundinamarca, Huila, La Guajira, Magdalena, Meta, Nariño, Norte de Santander, Quindío, Risaralda, Santander, Sucre, Tolima, Valle del Cauca y Vaupés. Se brindó atención a </w:t>
      </w:r>
      <w:r w:rsidRPr="007608C2">
        <w:rPr>
          <w:rFonts w:cs="Arial"/>
          <w:b/>
        </w:rPr>
        <w:t>37.427</w:t>
      </w:r>
      <w:r w:rsidRPr="007608C2">
        <w:rPr>
          <w:rFonts w:cs="Arial"/>
        </w:rPr>
        <w:t xml:space="preserve"> usuarios en el presente servicio (</w:t>
      </w:r>
      <w:r w:rsidRPr="007608C2">
        <w:rPr>
          <w:rFonts w:cs="Arial"/>
          <w:i/>
        </w:rPr>
        <w:t>fuente: Metas Sociales y Financieras, cierre de vigencia diciembre 2017 – Preliminar</w:t>
      </w:r>
      <w:r w:rsidRPr="007608C2">
        <w:rPr>
          <w:rFonts w:cs="Arial"/>
        </w:rPr>
        <w:t>).</w:t>
      </w:r>
    </w:p>
    <w:p w:rsidR="002D2D91" w:rsidRPr="007608C2" w:rsidRDefault="002D2D91" w:rsidP="002D2D91">
      <w:pPr>
        <w:jc w:val="both"/>
        <w:rPr>
          <w:rFonts w:cs="Arial"/>
          <w:b/>
          <w:u w:val="single"/>
        </w:rPr>
      </w:pPr>
      <w:r w:rsidRPr="007608C2">
        <w:rPr>
          <w:rFonts w:cs="Arial"/>
          <w:b/>
          <w:u w:val="single"/>
        </w:rPr>
        <w:t>Hogares Comunitarios de Bienestar (HCB) - Familia Mujer e Infancia, FAMI</w:t>
      </w:r>
    </w:p>
    <w:p w:rsidR="002D2D91" w:rsidRPr="007608C2" w:rsidRDefault="002D2D91" w:rsidP="002D2D91">
      <w:pPr>
        <w:jc w:val="both"/>
        <w:rPr>
          <w:rFonts w:cs="Arial"/>
        </w:rPr>
      </w:pPr>
      <w:r w:rsidRPr="007608C2">
        <w:rPr>
          <w:rFonts w:cs="Arial"/>
        </w:rPr>
        <w:t>La atención del servicio FAMI se brinda por las madres comunitarias, a través de encuentros grupales y visitas en el hogar. En este servicio se atienden entre 12 y 15 familias, durante 11 meses del año. El horario se define de acuerdo con las necesidades de las familias, en sesiones educativas grupales y visitas domiciliarias durante 80 horas mensuales.</w:t>
      </w:r>
    </w:p>
    <w:p w:rsidR="002D2D91" w:rsidRPr="007608C2" w:rsidRDefault="002D2D91" w:rsidP="002D2D91">
      <w:pPr>
        <w:jc w:val="both"/>
        <w:rPr>
          <w:rFonts w:cs="Arial"/>
        </w:rPr>
      </w:pPr>
      <w:r w:rsidRPr="00881556">
        <w:rPr>
          <w:rFonts w:cs="Arial"/>
          <w:b/>
          <w:i/>
        </w:rPr>
        <w:t>Población Objetivo</w:t>
      </w:r>
      <w:r w:rsidRPr="00881556">
        <w:rPr>
          <w:rFonts w:cs="Arial"/>
          <w:b/>
        </w:rPr>
        <w:t>:</w:t>
      </w:r>
      <w:r w:rsidRPr="007608C2">
        <w:rPr>
          <w:rFonts w:cs="Arial"/>
        </w:rPr>
        <w:t xml:space="preserve"> </w:t>
      </w:r>
      <w:r w:rsidR="00881556">
        <w:rPr>
          <w:rFonts w:cs="Arial"/>
        </w:rPr>
        <w:t>n</w:t>
      </w:r>
      <w:r w:rsidRPr="007608C2">
        <w:rPr>
          <w:rFonts w:cs="Arial"/>
        </w:rPr>
        <w:t xml:space="preserve">iñas y niños desde su gestación hasta los 2 años y a mujeres en período de gestación o en período de lactancia exclusiva y/o al cuidador. </w:t>
      </w:r>
    </w:p>
    <w:p w:rsidR="002D2D91" w:rsidRPr="007608C2" w:rsidRDefault="002D2D91" w:rsidP="002D2D91">
      <w:pPr>
        <w:jc w:val="both"/>
        <w:rPr>
          <w:rFonts w:cs="Arial"/>
        </w:rPr>
      </w:pPr>
      <w:r w:rsidRPr="00881556">
        <w:rPr>
          <w:rFonts w:cs="Arial"/>
          <w:b/>
          <w:i/>
        </w:rPr>
        <w:t>Cobertura:</w:t>
      </w:r>
      <w:r w:rsidR="00881556">
        <w:rPr>
          <w:rFonts w:cs="Arial"/>
        </w:rPr>
        <w:t xml:space="preserve"> s</w:t>
      </w:r>
      <w:r w:rsidRPr="007608C2">
        <w:rPr>
          <w:rFonts w:cs="Arial"/>
        </w:rPr>
        <w:t xml:space="preserve">e implementa en Antioquia, Arauca, Atlántico, Bogotá, Bolívar, Boyacá, Caldas, Caquetá, Cauca, Cesar, Chocó, Córdoba, Cundinamarca, Huila, La Guajira, Magdalena, Meta, Nariño, Norte de Santander, Putumayo, Quindío, Risaralda, Santander, Sucre, Tolima, Valle del Cauca y Vichada. Se brindó atención a </w:t>
      </w:r>
      <w:r w:rsidRPr="007608C2">
        <w:rPr>
          <w:rFonts w:cs="Arial"/>
          <w:b/>
        </w:rPr>
        <w:t>211.059</w:t>
      </w:r>
      <w:r w:rsidRPr="007608C2">
        <w:rPr>
          <w:rFonts w:cs="Arial"/>
        </w:rPr>
        <w:t xml:space="preserve"> usuarios en el presente servicio (</w:t>
      </w:r>
      <w:r w:rsidRPr="007608C2">
        <w:rPr>
          <w:rFonts w:cs="Arial"/>
          <w:i/>
        </w:rPr>
        <w:t>fuente: Metas Sociales y Financieras, cierre de vigencia diciembre 2017 – Preliminar</w:t>
      </w:r>
      <w:r w:rsidRPr="007608C2">
        <w:rPr>
          <w:rFonts w:cs="Arial"/>
        </w:rPr>
        <w:t>).</w:t>
      </w:r>
    </w:p>
    <w:p w:rsidR="002D2D91" w:rsidRDefault="002D2D91" w:rsidP="002D2D91">
      <w:pPr>
        <w:pStyle w:val="Ttulo2"/>
        <w:numPr>
          <w:ilvl w:val="2"/>
          <w:numId w:val="2"/>
        </w:numPr>
        <w:rPr>
          <w:rFonts w:cs="Arial"/>
          <w:b/>
        </w:rPr>
      </w:pPr>
      <w:bookmarkStart w:id="26" w:name="_Toc504459728"/>
      <w:bookmarkStart w:id="27" w:name="_Toc505183037"/>
      <w:r w:rsidRPr="007608C2">
        <w:rPr>
          <w:rFonts w:cs="Arial"/>
          <w:b/>
        </w:rPr>
        <w:t>Convenios Especiales</w:t>
      </w:r>
      <w:bookmarkEnd w:id="26"/>
      <w:bookmarkEnd w:id="27"/>
    </w:p>
    <w:p w:rsidR="00881556" w:rsidRPr="00881556" w:rsidRDefault="00881556" w:rsidP="00881556">
      <w:pPr>
        <w:spacing w:after="0"/>
      </w:pPr>
    </w:p>
    <w:p w:rsidR="002D2D91" w:rsidRPr="007608C2" w:rsidRDefault="002D2D91" w:rsidP="002D2D91">
      <w:pPr>
        <w:jc w:val="both"/>
        <w:rPr>
          <w:rFonts w:cs="Arial"/>
        </w:rPr>
      </w:pPr>
      <w:r w:rsidRPr="007608C2">
        <w:rPr>
          <w:rFonts w:cs="Arial"/>
        </w:rPr>
        <w:t xml:space="preserve">El ICBF en conjunto con entidades territoriales, ha venido realizando alianzas estratégicas con el fin de fortalecer los servicios que se brindan en el marco de la atención integral. En la vigencia 2017, se realizaron convenios de canasta local con las Alcaldías de Barranquilla, Bogotá, Cali, Medellín y la Gobernación de Antioquia.  A través de este esquema, se busca aunar esfuerzos, armonizar las políticas nacionales y territoriales, y optimizar recursos que permitan ampliar coberturas y mejorar las condiciones de vida de las niñas y los niños a través de los servicios de primera infancia. </w:t>
      </w:r>
    </w:p>
    <w:p w:rsidR="002D2D91" w:rsidRPr="007608C2" w:rsidRDefault="002D2D91" w:rsidP="002D2D91">
      <w:pPr>
        <w:jc w:val="both"/>
        <w:rPr>
          <w:rFonts w:cs="Arial"/>
        </w:rPr>
      </w:pPr>
      <w:r w:rsidRPr="007608C2">
        <w:rPr>
          <w:rFonts w:cs="Arial"/>
        </w:rPr>
        <w:t xml:space="preserve">A continuación, se presentan los convenios suscritos con cada ente territorial y el seguimiento que se realizó durante la vigencia 2017: </w:t>
      </w:r>
    </w:p>
    <w:tbl>
      <w:tblPr>
        <w:tblStyle w:val="Tablaconcuadrcula"/>
        <w:tblW w:w="0" w:type="auto"/>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ook w:val="04A0" w:firstRow="1" w:lastRow="0" w:firstColumn="1" w:lastColumn="0" w:noHBand="0" w:noVBand="1"/>
      </w:tblPr>
      <w:tblGrid>
        <w:gridCol w:w="2902"/>
        <w:gridCol w:w="1629"/>
        <w:gridCol w:w="1454"/>
        <w:gridCol w:w="1584"/>
        <w:gridCol w:w="1826"/>
      </w:tblGrid>
      <w:tr w:rsidR="002D2D91" w:rsidRPr="004D096C" w:rsidTr="00881556">
        <w:trPr>
          <w:tblHeader/>
        </w:trPr>
        <w:tc>
          <w:tcPr>
            <w:tcW w:w="2902" w:type="dxa"/>
            <w:shd w:val="clear" w:color="auto" w:fill="76922E"/>
            <w:vAlign w:val="center"/>
          </w:tcPr>
          <w:p w:rsidR="002D2D91" w:rsidRPr="004D096C" w:rsidRDefault="00881556"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Convenios</w:t>
            </w:r>
          </w:p>
        </w:tc>
        <w:tc>
          <w:tcPr>
            <w:tcW w:w="1629" w:type="dxa"/>
            <w:shd w:val="clear" w:color="auto" w:fill="76922E"/>
            <w:vAlign w:val="center"/>
          </w:tcPr>
          <w:p w:rsidR="002D2D91" w:rsidRPr="004D096C" w:rsidRDefault="00881556"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Numero de Convenio</w:t>
            </w:r>
          </w:p>
        </w:tc>
        <w:tc>
          <w:tcPr>
            <w:tcW w:w="1454" w:type="dxa"/>
            <w:shd w:val="clear" w:color="auto" w:fill="76922E"/>
            <w:vAlign w:val="center"/>
          </w:tcPr>
          <w:p w:rsidR="002D2D91" w:rsidRPr="004D096C" w:rsidRDefault="00881556"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Cobertura</w:t>
            </w:r>
          </w:p>
        </w:tc>
        <w:tc>
          <w:tcPr>
            <w:tcW w:w="1584" w:type="dxa"/>
            <w:shd w:val="clear" w:color="auto" w:fill="76922E"/>
            <w:vAlign w:val="center"/>
          </w:tcPr>
          <w:p w:rsidR="002D2D91" w:rsidRPr="004D096C" w:rsidRDefault="00881556"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Inversión ICBF</w:t>
            </w:r>
          </w:p>
        </w:tc>
        <w:tc>
          <w:tcPr>
            <w:tcW w:w="1826" w:type="dxa"/>
            <w:shd w:val="clear" w:color="auto" w:fill="76922E"/>
            <w:vAlign w:val="center"/>
          </w:tcPr>
          <w:p w:rsidR="002D2D91" w:rsidRPr="004D096C" w:rsidRDefault="00881556"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Inversión Total</w:t>
            </w:r>
          </w:p>
        </w:tc>
      </w:tr>
      <w:tr w:rsidR="002D2D91" w:rsidRPr="004D096C" w:rsidTr="00881556">
        <w:trPr>
          <w:trHeight w:val="88"/>
        </w:trPr>
        <w:tc>
          <w:tcPr>
            <w:tcW w:w="2902" w:type="dxa"/>
            <w:vAlign w:val="center"/>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ICBF y la Secretaria Distrital de Integración Social de Bogotá</w:t>
            </w:r>
          </w:p>
        </w:tc>
        <w:tc>
          <w:tcPr>
            <w:tcW w:w="1629" w:type="dxa"/>
            <w:vAlign w:val="center"/>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1175 de 2017</w:t>
            </w:r>
          </w:p>
        </w:tc>
        <w:tc>
          <w:tcPr>
            <w:tcW w:w="1454" w:type="dxa"/>
            <w:vAlign w:val="center"/>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77.764 cupos</w:t>
            </w:r>
          </w:p>
        </w:tc>
        <w:tc>
          <w:tcPr>
            <w:tcW w:w="1584" w:type="dxa"/>
            <w:vAlign w:val="center"/>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$44.000.000</w:t>
            </w:r>
          </w:p>
        </w:tc>
        <w:tc>
          <w:tcPr>
            <w:tcW w:w="1826" w:type="dxa"/>
            <w:vAlign w:val="center"/>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$195.189.323.009</w:t>
            </w:r>
          </w:p>
        </w:tc>
      </w:tr>
      <w:tr w:rsidR="002D2D91" w:rsidRPr="004D096C" w:rsidTr="00881556">
        <w:trPr>
          <w:trHeight w:val="50"/>
        </w:trPr>
        <w:tc>
          <w:tcPr>
            <w:tcW w:w="2902" w:type="dxa"/>
            <w:vAlign w:val="center"/>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ICBF y el Distrito de Barranquilla</w:t>
            </w:r>
          </w:p>
        </w:tc>
        <w:tc>
          <w:tcPr>
            <w:tcW w:w="1629" w:type="dxa"/>
            <w:vAlign w:val="center"/>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1097 de 2017</w:t>
            </w:r>
          </w:p>
        </w:tc>
        <w:tc>
          <w:tcPr>
            <w:tcW w:w="1454" w:type="dxa"/>
            <w:vAlign w:val="center"/>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46.800 cupos</w:t>
            </w:r>
          </w:p>
        </w:tc>
        <w:tc>
          <w:tcPr>
            <w:tcW w:w="1584" w:type="dxa"/>
            <w:vAlign w:val="center"/>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$58.161.967.050</w:t>
            </w:r>
          </w:p>
        </w:tc>
        <w:tc>
          <w:tcPr>
            <w:tcW w:w="1826" w:type="dxa"/>
            <w:vAlign w:val="center"/>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$ 76.851.153.100</w:t>
            </w:r>
          </w:p>
        </w:tc>
      </w:tr>
      <w:tr w:rsidR="002D2D91" w:rsidRPr="004D096C" w:rsidTr="00881556">
        <w:tc>
          <w:tcPr>
            <w:tcW w:w="2902" w:type="dxa"/>
            <w:vAlign w:val="center"/>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ICBF y Departamento de Antioquia</w:t>
            </w:r>
          </w:p>
        </w:tc>
        <w:tc>
          <w:tcPr>
            <w:tcW w:w="1629" w:type="dxa"/>
            <w:vAlign w:val="center"/>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1088 de 2017</w:t>
            </w:r>
          </w:p>
        </w:tc>
        <w:tc>
          <w:tcPr>
            <w:tcW w:w="1454" w:type="dxa"/>
            <w:vAlign w:val="center"/>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57.397 cupos</w:t>
            </w:r>
          </w:p>
        </w:tc>
        <w:tc>
          <w:tcPr>
            <w:tcW w:w="1584" w:type="dxa"/>
            <w:vAlign w:val="center"/>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$89.740.228.414</w:t>
            </w:r>
          </w:p>
        </w:tc>
        <w:tc>
          <w:tcPr>
            <w:tcW w:w="1826" w:type="dxa"/>
            <w:vAlign w:val="center"/>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$133.743.632.641</w:t>
            </w:r>
          </w:p>
        </w:tc>
      </w:tr>
      <w:tr w:rsidR="002D2D91" w:rsidRPr="004D096C" w:rsidTr="00881556">
        <w:trPr>
          <w:trHeight w:val="50"/>
        </w:trPr>
        <w:tc>
          <w:tcPr>
            <w:tcW w:w="2902" w:type="dxa"/>
            <w:vAlign w:val="center"/>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ICBF y el Municipio de Medellín – Secretaria de Educación</w:t>
            </w:r>
          </w:p>
        </w:tc>
        <w:tc>
          <w:tcPr>
            <w:tcW w:w="1629" w:type="dxa"/>
            <w:vAlign w:val="center"/>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1210 de 2017</w:t>
            </w:r>
          </w:p>
        </w:tc>
        <w:tc>
          <w:tcPr>
            <w:tcW w:w="1454" w:type="dxa"/>
            <w:vAlign w:val="center"/>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39.245 cupos</w:t>
            </w:r>
          </w:p>
        </w:tc>
        <w:tc>
          <w:tcPr>
            <w:tcW w:w="1584" w:type="dxa"/>
            <w:vAlign w:val="center"/>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$95.010.655.012</w:t>
            </w:r>
          </w:p>
        </w:tc>
        <w:tc>
          <w:tcPr>
            <w:tcW w:w="1826" w:type="dxa"/>
            <w:vAlign w:val="center"/>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$157.172.271.648</w:t>
            </w:r>
          </w:p>
        </w:tc>
      </w:tr>
      <w:tr w:rsidR="002D2D91" w:rsidRPr="004D096C" w:rsidTr="00881556">
        <w:trPr>
          <w:trHeight w:val="50"/>
        </w:trPr>
        <w:tc>
          <w:tcPr>
            <w:tcW w:w="2902" w:type="dxa"/>
            <w:vAlign w:val="center"/>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lastRenderedPageBreak/>
              <w:t>ICBF y el Municipio de Santiago de Cali</w:t>
            </w:r>
          </w:p>
        </w:tc>
        <w:tc>
          <w:tcPr>
            <w:tcW w:w="1629" w:type="dxa"/>
            <w:vAlign w:val="center"/>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1194 de 2017</w:t>
            </w:r>
          </w:p>
        </w:tc>
        <w:tc>
          <w:tcPr>
            <w:tcW w:w="1454" w:type="dxa"/>
            <w:vAlign w:val="center"/>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6.539 cupos</w:t>
            </w:r>
          </w:p>
        </w:tc>
        <w:tc>
          <w:tcPr>
            <w:tcW w:w="1584" w:type="dxa"/>
            <w:vAlign w:val="center"/>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$7.176.376.041</w:t>
            </w:r>
          </w:p>
        </w:tc>
        <w:tc>
          <w:tcPr>
            <w:tcW w:w="1826" w:type="dxa"/>
            <w:vAlign w:val="center"/>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$13.861.032.745</w:t>
            </w:r>
          </w:p>
        </w:tc>
      </w:tr>
    </w:tbl>
    <w:p w:rsidR="002D2D91" w:rsidRDefault="002D2D91" w:rsidP="002D2D91">
      <w:pPr>
        <w:jc w:val="both"/>
        <w:rPr>
          <w:rFonts w:cs="Arial"/>
          <w:sz w:val="16"/>
          <w:szCs w:val="16"/>
        </w:rPr>
      </w:pPr>
      <w:r w:rsidRPr="00881556">
        <w:rPr>
          <w:rFonts w:cs="Arial"/>
          <w:sz w:val="16"/>
          <w:szCs w:val="16"/>
        </w:rPr>
        <w:t>Fuente: Subdirección de operación para la atención de la Primera Infancia, corte 31 de diciembre de 2017</w:t>
      </w:r>
    </w:p>
    <w:p w:rsidR="00881556" w:rsidRPr="00881556" w:rsidRDefault="00881556" w:rsidP="00881556">
      <w:pPr>
        <w:spacing w:after="0"/>
        <w:jc w:val="both"/>
        <w:rPr>
          <w:rFonts w:cs="Arial"/>
          <w:sz w:val="16"/>
          <w:szCs w:val="16"/>
        </w:rPr>
      </w:pPr>
    </w:p>
    <w:p w:rsidR="002D2D91" w:rsidRDefault="000E0283" w:rsidP="002D2D91">
      <w:pPr>
        <w:pStyle w:val="Ttulo2"/>
        <w:numPr>
          <w:ilvl w:val="2"/>
          <w:numId w:val="2"/>
        </w:numPr>
        <w:rPr>
          <w:rFonts w:cs="Arial"/>
          <w:b/>
        </w:rPr>
      </w:pPr>
      <w:hyperlink w:anchor="_Toc478635848" w:history="1">
        <w:bookmarkStart w:id="28" w:name="_Toc504459729"/>
        <w:bookmarkStart w:id="29" w:name="_Toc505183038"/>
        <w:r w:rsidR="002D2D91" w:rsidRPr="007608C2">
          <w:rPr>
            <w:rFonts w:cs="Arial"/>
            <w:b/>
          </w:rPr>
          <w:t>Fortalecimiento de la gestión de la Dirección de Primera Infancia</w:t>
        </w:r>
        <w:bookmarkEnd w:id="28"/>
        <w:bookmarkEnd w:id="29"/>
      </w:hyperlink>
    </w:p>
    <w:p w:rsidR="00881556" w:rsidRPr="00881556" w:rsidRDefault="00881556" w:rsidP="00881556">
      <w:pPr>
        <w:spacing w:after="0"/>
      </w:pPr>
    </w:p>
    <w:p w:rsidR="002D2D91" w:rsidRPr="007608C2" w:rsidRDefault="002D2D91" w:rsidP="002D2D91">
      <w:pPr>
        <w:jc w:val="both"/>
        <w:rPr>
          <w:rFonts w:cs="Arial"/>
        </w:rPr>
      </w:pPr>
      <w:r w:rsidRPr="007608C2">
        <w:rPr>
          <w:rFonts w:cs="Arial"/>
        </w:rPr>
        <w:t xml:space="preserve">Para la vigencia 2017, se desarrollaron estrategias de fortalecimiento en el marco de la política mediante esquema de supervisión, contratación y conformación del Banco Nacional de Oferentes de Primera Infancia (BNOPI) y en la estrategia de socialización de los servicios prestados por el ICBF, con el fin de promover la atención integral de la Primera Infancia. </w:t>
      </w:r>
    </w:p>
    <w:p w:rsidR="002D2D91" w:rsidRPr="007608C2" w:rsidRDefault="002D2D91" w:rsidP="002D2D91">
      <w:pPr>
        <w:jc w:val="both"/>
        <w:rPr>
          <w:rFonts w:cs="Arial"/>
        </w:rPr>
      </w:pPr>
      <w:r w:rsidRPr="007608C2">
        <w:rPr>
          <w:rFonts w:cs="Arial"/>
        </w:rPr>
        <w:t>A continuación, se encuentran los esquemas de fortalecimiento de la gestión de la Dirección de Primera Infancia mencionados:</w:t>
      </w:r>
    </w:p>
    <w:p w:rsidR="002D2D91" w:rsidRPr="007608C2" w:rsidRDefault="002D2D91" w:rsidP="002D2D91">
      <w:pPr>
        <w:jc w:val="both"/>
        <w:rPr>
          <w:rFonts w:cs="Arial"/>
        </w:rPr>
      </w:pPr>
      <w:r w:rsidRPr="007608C2">
        <w:rPr>
          <w:rFonts w:cs="Arial"/>
          <w:b/>
        </w:rPr>
        <w:t xml:space="preserve">Esquema de Supervisión: </w:t>
      </w:r>
      <w:r w:rsidRPr="007608C2">
        <w:rPr>
          <w:rFonts w:cs="Arial"/>
        </w:rPr>
        <w:t>El esquema de supervisión se fundamenta en cuatro líneas estratégicas por medio de las cuales se busca el cumplimiento del objetivo del apoyo a la supervisión desde la sede de la Dirección General el cual es: “</w:t>
      </w:r>
      <w:r w:rsidRPr="007608C2">
        <w:rPr>
          <w:rFonts w:cs="Arial"/>
          <w:i/>
        </w:rPr>
        <w:t>Brindar a las y los supervisores de contratos de aporte y a los equipos de apoyo a la supervisión, orientaciones para el desarrollo adecuado de las acciones que permiten verificar el cumplimiento de las obligaciones contractuales suscritas con las diferentes Entidades Administradoras del Servicio (EAS) y Unidades de Servicio (UDS) que prestan los servicios de atención a la Primera Infancia, asegurando su oportunidad, calidad y pertinencia</w:t>
      </w:r>
      <w:r w:rsidRPr="007608C2">
        <w:rPr>
          <w:rFonts w:cs="Arial"/>
        </w:rPr>
        <w:t>”.</w:t>
      </w:r>
    </w:p>
    <w:p w:rsidR="002D2D91" w:rsidRPr="007608C2" w:rsidRDefault="002D2D91" w:rsidP="002D2D91">
      <w:pPr>
        <w:jc w:val="both"/>
        <w:rPr>
          <w:rFonts w:cs="Arial"/>
        </w:rPr>
      </w:pPr>
      <w:r w:rsidRPr="007608C2">
        <w:rPr>
          <w:rFonts w:cs="Arial"/>
        </w:rPr>
        <w:t>Durante el año 2017, en el marco de los contratos/convenios o colaboraciones con: la Universidad Nacional de Colombia, el Banco Interamericano de Desarrollo y La Fundación Plan Internacional, se avanzó en la identificación de aspectos tendientes a fortalecer el Esquema de Supervisión de la DPI, lo anterior para implementar un sistema de información y de gestión del conocimiento con un proceso que permita armonizar, articular e integrar la supervisión, asistencia técnica y el fortalecimiento buscando generar mayores eficiencias en cada uno de los procesos y contar con mayor información de forma oportuna y eficaz. Para asegurar lo anterior se plantea con que una herramienta tecnológica cuente con diversos módulos y funcionalidades de información, reporte, visualización y generación de alertas automáticas para cada uno de los niveles de gestión.</w:t>
      </w:r>
    </w:p>
    <w:p w:rsidR="002D2D91" w:rsidRPr="007608C2" w:rsidRDefault="002D2D91" w:rsidP="002D2D91">
      <w:pPr>
        <w:jc w:val="both"/>
        <w:rPr>
          <w:rFonts w:cs="Arial"/>
        </w:rPr>
      </w:pPr>
      <w:r w:rsidRPr="007608C2">
        <w:rPr>
          <w:rFonts w:cs="Arial"/>
        </w:rPr>
        <w:t xml:space="preserve">A continuación, mencionaremos los avances más relevantes que a la fecha se tienen en el esquema de supervisión durante la vigencia 2017. </w:t>
      </w:r>
    </w:p>
    <w:p w:rsidR="002D2D91" w:rsidRPr="007608C2" w:rsidRDefault="002D2D91" w:rsidP="00A44A2B">
      <w:pPr>
        <w:pStyle w:val="Prrafodelista"/>
        <w:numPr>
          <w:ilvl w:val="0"/>
          <w:numId w:val="73"/>
        </w:numPr>
        <w:jc w:val="both"/>
        <w:rPr>
          <w:rFonts w:cs="Arial"/>
          <w:b/>
        </w:rPr>
      </w:pPr>
      <w:r w:rsidRPr="007608C2">
        <w:rPr>
          <w:rFonts w:cs="Arial"/>
          <w:b/>
        </w:rPr>
        <w:t>Gestión del conocimiento</w:t>
      </w:r>
    </w:p>
    <w:p w:rsidR="002D2D91" w:rsidRPr="007608C2" w:rsidRDefault="002D2D91" w:rsidP="002D2D91">
      <w:pPr>
        <w:jc w:val="both"/>
        <w:rPr>
          <w:rFonts w:cs="Arial"/>
        </w:rPr>
      </w:pPr>
      <w:r w:rsidRPr="007608C2">
        <w:rPr>
          <w:rFonts w:cs="Arial"/>
        </w:rPr>
        <w:t xml:space="preserve">Durante el año 2017 se ajustaron los documentos, guías, instrumentos e instructivos en un ejercicio territorial y desde la experiencia, es así como se publica la “Guía Orientadora para el Apoyo a la Supervisión en las Modalidades de Atención a la Primera Infancia” (G12.PP), se </w:t>
      </w:r>
      <w:r w:rsidRPr="007608C2">
        <w:rPr>
          <w:rFonts w:cs="Arial"/>
        </w:rPr>
        <w:lastRenderedPageBreak/>
        <w:t>revisan y ajustan a una nueva versión en un ejercicio participativo y conjunto con regionales y centros zonales de los instrumentos e instructivos para la supervisión de los servicios de primera infancia.</w:t>
      </w:r>
    </w:p>
    <w:p w:rsidR="002D2D91" w:rsidRPr="007608C2" w:rsidRDefault="002D2D91" w:rsidP="00A44A2B">
      <w:pPr>
        <w:pStyle w:val="Prrafodelista"/>
        <w:numPr>
          <w:ilvl w:val="0"/>
          <w:numId w:val="73"/>
        </w:numPr>
        <w:jc w:val="both"/>
        <w:rPr>
          <w:rFonts w:cs="Arial"/>
          <w:b/>
        </w:rPr>
      </w:pPr>
      <w:r w:rsidRPr="007608C2">
        <w:rPr>
          <w:rFonts w:cs="Arial"/>
          <w:b/>
        </w:rPr>
        <w:t>Socialización del Esquema de Apoyo a la Supervisión</w:t>
      </w:r>
    </w:p>
    <w:p w:rsidR="002D2D91" w:rsidRPr="007608C2" w:rsidRDefault="002D2D91" w:rsidP="002D2D91">
      <w:pPr>
        <w:jc w:val="both"/>
        <w:rPr>
          <w:rFonts w:cs="Arial"/>
        </w:rPr>
      </w:pPr>
      <w:r w:rsidRPr="007608C2">
        <w:rPr>
          <w:rFonts w:cs="Arial"/>
        </w:rPr>
        <w:t xml:space="preserve">Al valorar el binomio gestión del conocimiento y cualificación del talento humano para cambiar el mundo de las familias Colombianas, en el marco del Plan Institucional de Capacitación el Equipo de Apoyo a la Supervisión de la DPI realizó encuentros presenciales virtuales para entrenar y capacitar al 100% de los profesionales de apoyo a la supervisión de centros zonales y Regionales, las capacitaciones presenciales se realizaron durante el mes de febrero y septiembre, y las virtuales se llevaron a cabo en el mes de junio. Así mismo se aplicaron los formatos de efectividad y satisfacción de usuarios requeridos por la Dirección de Gestión Humana que permitió conocer más a fondo las debilidades, alertas, oportunidades y fortalezas presentes a nivel personal y de equipos en las diferentes regionales. </w:t>
      </w:r>
    </w:p>
    <w:p w:rsidR="002D2D91" w:rsidRPr="007608C2" w:rsidRDefault="002D2D91" w:rsidP="00A44A2B">
      <w:pPr>
        <w:pStyle w:val="Prrafodelista"/>
        <w:numPr>
          <w:ilvl w:val="0"/>
          <w:numId w:val="73"/>
        </w:numPr>
        <w:jc w:val="both"/>
        <w:rPr>
          <w:rFonts w:cs="Arial"/>
          <w:b/>
        </w:rPr>
      </w:pPr>
      <w:r w:rsidRPr="007608C2">
        <w:rPr>
          <w:rFonts w:cs="Arial"/>
          <w:b/>
        </w:rPr>
        <w:t>Acompañami</w:t>
      </w:r>
      <w:r w:rsidR="00881556">
        <w:rPr>
          <w:rFonts w:cs="Arial"/>
          <w:b/>
        </w:rPr>
        <w:t>ento, orientación y seguimiento</w:t>
      </w:r>
    </w:p>
    <w:p w:rsidR="002D2D91" w:rsidRPr="007608C2" w:rsidRDefault="002D2D91" w:rsidP="002D2D91">
      <w:pPr>
        <w:jc w:val="both"/>
        <w:rPr>
          <w:rFonts w:cs="Arial"/>
        </w:rPr>
      </w:pPr>
      <w:r w:rsidRPr="007608C2">
        <w:rPr>
          <w:rFonts w:cs="Arial"/>
        </w:rPr>
        <w:t>Durante 2017, varios profesionales de la Dirección de Primera Infancia que realizan el ejercicio de apoyo a la supervisión realizaron actividades de acompañamiento, orientación y seguimiento a regionales y centros zonales, se definieron el número y perfil de los profesionales que realizan Apoyo a la Supervisión y seguimiento al cumplimiento.</w:t>
      </w:r>
    </w:p>
    <w:p w:rsidR="002D2D91" w:rsidRPr="007608C2" w:rsidRDefault="002D2D91" w:rsidP="002D2D91">
      <w:pPr>
        <w:jc w:val="both"/>
        <w:rPr>
          <w:rFonts w:cs="Arial"/>
        </w:rPr>
      </w:pPr>
      <w:r w:rsidRPr="007608C2">
        <w:rPr>
          <w:rFonts w:cs="Arial"/>
        </w:rPr>
        <w:t xml:space="preserve">En las actividades de orientación y seguimiento se logró el cierre de 10.413 de Situación de Atención Inmediata (SAI) de 11.644 que fueron abiertas en 2016 quedando pendientes 1.231 en su mayoría de la Regional Bogotá, de la misma forma se orientó el cierre de 4.696 SAI de 5.551 abiertas en 2017 quedando por cerrar 855. En cuanto a requerimientos se realiza el acompañamiento para el cierre adecuado de 638 de 933 abiertos durante 2016, con respecto a los requerimientos realizados en 2017 se cerraron 845 de 1.205 abiertos durante la vigencia quedando 360 por cerrar. Por otro lado, se realiza la recepción, trámite y seguimiento de 420 Peticiones, Quejas, Reclamos o Solicitudes.  </w:t>
      </w:r>
    </w:p>
    <w:p w:rsidR="002D2D91" w:rsidRPr="007608C2" w:rsidRDefault="002D2D91" w:rsidP="002D2D91">
      <w:pPr>
        <w:jc w:val="both"/>
        <w:rPr>
          <w:rFonts w:cs="Arial"/>
        </w:rPr>
      </w:pPr>
      <w:r w:rsidRPr="007608C2">
        <w:rPr>
          <w:rFonts w:cs="Arial"/>
        </w:rPr>
        <w:t xml:space="preserve">Con el fin de fortalecer el acompañamiento in situ, los profesionales de Apoyo a la Supervisión de la sede de la Dirección General apoyaron en las visitas a Unidades de Servicio o Entidades Administradoras del Servicio: </w:t>
      </w:r>
    </w:p>
    <w:p w:rsidR="002D2D91" w:rsidRPr="007608C2" w:rsidRDefault="002D2D91" w:rsidP="002D2D91">
      <w:pPr>
        <w:jc w:val="both"/>
        <w:rPr>
          <w:rFonts w:cs="Arial"/>
        </w:rPr>
      </w:pPr>
      <w:r w:rsidRPr="007608C2">
        <w:rPr>
          <w:rFonts w:cs="Arial"/>
          <w:u w:val="single"/>
        </w:rPr>
        <w:t xml:space="preserve">Visitas de acompañamiento: </w:t>
      </w:r>
      <w:r w:rsidRPr="007608C2">
        <w:rPr>
          <w:rFonts w:cs="Arial"/>
        </w:rPr>
        <w:t xml:space="preserve">Durante el año 2017 se realizaron visitas de acompañamiento al 100% de centros zonales, brindando el respectivo direccionamiento y orientación en las visitas de supervisión. Estas fueron visitas de tipo formativo en las que se explicó el diligenciamiento de los distintos instrumentos de supervisión, así como los procedimientos necesarios para llevarlas a cabo. </w:t>
      </w:r>
    </w:p>
    <w:p w:rsidR="002D2D91" w:rsidRPr="007608C2" w:rsidRDefault="002D2D91" w:rsidP="002D2D91">
      <w:pPr>
        <w:jc w:val="both"/>
        <w:rPr>
          <w:rFonts w:cs="Arial"/>
        </w:rPr>
      </w:pPr>
      <w:r w:rsidRPr="007608C2">
        <w:rPr>
          <w:rFonts w:cs="Arial"/>
          <w:u w:val="single"/>
        </w:rPr>
        <w:lastRenderedPageBreak/>
        <w:t>Visitas de Plan de Choque</w:t>
      </w:r>
      <w:r w:rsidRPr="007608C2">
        <w:rPr>
          <w:rFonts w:cs="Arial"/>
          <w:b/>
        </w:rPr>
        <w:t xml:space="preserve">: </w:t>
      </w:r>
      <w:r w:rsidRPr="007608C2">
        <w:rPr>
          <w:rFonts w:cs="Arial"/>
        </w:rPr>
        <w:t>Buscando apoyar de manera directa hacia la adecuada prestación del servicio en UDS o EAS en casos de denuncias, quejas o solicitudes de verificación durante el año 2017 se realizaron cinco (5) Planes de Choque en las regionales La Guajira, Chocó, Amazonas, Antioquia (Urabá) y Cauca con el respectivo seguimiento (visita) a cada uno de estos y un mini plan de choque (verificación de 2 componentes) en el Departamento del Meta. Los resultados de estas visitas dan elementos a los supervisores de contratos para que realicen las acciones pertinentes a la luz del contrato.</w:t>
      </w:r>
    </w:p>
    <w:p w:rsidR="002D2D91" w:rsidRPr="007608C2" w:rsidRDefault="002D2D91" w:rsidP="002D2D91">
      <w:pPr>
        <w:jc w:val="both"/>
        <w:rPr>
          <w:rFonts w:cs="Arial"/>
        </w:rPr>
      </w:pPr>
      <w:r w:rsidRPr="007608C2">
        <w:rPr>
          <w:rFonts w:cs="Arial"/>
        </w:rPr>
        <w:t xml:space="preserve">Durante el año 2017 el cumplimiento del indicador PA 10 se encuentra en estado óptimo con 100% de ejecución, se cierra la vigencia con un total de 72.632 de visitas realizadas a UDS y EAS entre visitas integrales, de seguimiento a compromisos, instrumento especial y otras visitas, esta ejecución se da gracias a la gestión de regionales y centros zonales, así como a la aprobación de cargas y vehículos adicionales en el mes de junio y septiembre. </w:t>
      </w:r>
    </w:p>
    <w:p w:rsidR="002D2D91" w:rsidRPr="007608C2" w:rsidRDefault="002D2D91" w:rsidP="00A44A2B">
      <w:pPr>
        <w:pStyle w:val="Prrafodelista"/>
        <w:numPr>
          <w:ilvl w:val="0"/>
          <w:numId w:val="73"/>
        </w:numPr>
        <w:jc w:val="both"/>
        <w:rPr>
          <w:rFonts w:cs="Arial"/>
          <w:b/>
        </w:rPr>
      </w:pPr>
      <w:r w:rsidRPr="007608C2">
        <w:rPr>
          <w:rFonts w:cs="Arial"/>
          <w:b/>
        </w:rPr>
        <w:t>Contratación y conformación Banco Nacional de Oferentes de Primera Infancia (BNOPI)</w:t>
      </w:r>
    </w:p>
    <w:p w:rsidR="002D2D91" w:rsidRPr="007608C2" w:rsidRDefault="002D2D91" w:rsidP="002D2D91">
      <w:pPr>
        <w:jc w:val="both"/>
        <w:rPr>
          <w:rFonts w:cs="Arial"/>
        </w:rPr>
      </w:pPr>
      <w:r w:rsidRPr="007608C2">
        <w:rPr>
          <w:rFonts w:cs="Arial"/>
        </w:rPr>
        <w:t>Con base en la Invitación Pública No. 004 de 2015 se dio inicio a la conformación del Banco Nacional de Oferentes de Primera Infancia (BNOPI) para la prestación del servicio público de Bienestar Familiar, el cual, a través de la Resolución No. 11084 del 23 de julio de 2017, se constituyó con un listado de 2.916 EAS habilitadas, en donde, conforme a lo estipulado en el Manual de Contratación, todas las entidades que están interesadas en contratar con el ICBF en las modalidades de atención a la primera infancia y que en la vigencia 2015 fueron habilitadas deben actualizar anualmente su información financiera.</w:t>
      </w:r>
    </w:p>
    <w:p w:rsidR="002D2D91" w:rsidRPr="007608C2" w:rsidRDefault="002D2D91" w:rsidP="002D2D91">
      <w:pPr>
        <w:jc w:val="both"/>
        <w:rPr>
          <w:rFonts w:cs="Arial"/>
        </w:rPr>
      </w:pPr>
      <w:r w:rsidRPr="007608C2">
        <w:rPr>
          <w:rFonts w:cs="Arial"/>
        </w:rPr>
        <w:t>Por tal razón, se conformó un equipo para la actualización del BNOPI, el cual lidera con apoyo de las Direcciones Regionales, la consecución de la información financiera de las asociaciones de padres usuarios y/o madres comunitarias que se actualizan mediante libros fiscales y las demás entidades que renuevan su información a través de estados financieros.</w:t>
      </w:r>
    </w:p>
    <w:p w:rsidR="002D2D91" w:rsidRPr="007608C2" w:rsidRDefault="002D2D91" w:rsidP="002D2D91">
      <w:pPr>
        <w:jc w:val="both"/>
        <w:rPr>
          <w:rFonts w:cs="Arial"/>
        </w:rPr>
      </w:pPr>
      <w:r w:rsidRPr="007608C2">
        <w:rPr>
          <w:rFonts w:cs="Arial"/>
        </w:rPr>
        <w:t xml:space="preserve">Durante la vigencia 2017, se han adelantado diferentes actividades tendientes a actualizar de manera oportuna la matriz donde se registra la información de los operadores, mediante acciones realizadas desde la Dirección de Primera Infancia con canales de comunicación establecidos con las Regionales y las EAS. Como resultado del ejercicio, de las 2.916 EAS habilitadas, han actualizado 2.355 que corresponde al 80,7 %, de las cuales, 337 han manifestado no actualizar; 114 en estado de subsanación y 110 EAS pendientes por recibir información. </w:t>
      </w:r>
    </w:p>
    <w:p w:rsidR="002D2D91" w:rsidRPr="007608C2" w:rsidRDefault="002D2D91" w:rsidP="00A44A2B">
      <w:pPr>
        <w:pStyle w:val="Prrafodelista"/>
        <w:numPr>
          <w:ilvl w:val="0"/>
          <w:numId w:val="73"/>
        </w:numPr>
        <w:jc w:val="both"/>
        <w:rPr>
          <w:rFonts w:cs="Arial"/>
          <w:b/>
        </w:rPr>
      </w:pPr>
      <w:r w:rsidRPr="007608C2">
        <w:rPr>
          <w:rFonts w:cs="Arial"/>
          <w:b/>
        </w:rPr>
        <w:t>Socialización de los Servicios de Primera Infancia</w:t>
      </w:r>
    </w:p>
    <w:p w:rsidR="002D2D91" w:rsidRPr="007608C2" w:rsidRDefault="002D2D91" w:rsidP="002D2D91">
      <w:pPr>
        <w:jc w:val="both"/>
        <w:rPr>
          <w:rFonts w:cs="Arial"/>
        </w:rPr>
      </w:pPr>
      <w:r w:rsidRPr="007608C2">
        <w:rPr>
          <w:rFonts w:cs="Arial"/>
        </w:rPr>
        <w:t>Como parte de los resultados de los Pactos de la Legalidad y la Transparencia realizados en el 2016, se concretó un proceso que involucra la participación ciudadana y el control social denominado “Socialización de los servicios de Primera Infancia”, donde se hace referencia a la gestión que deben realizar las EAS, ya que se encuentran contratados mediante la inversión de recursos públicos.</w:t>
      </w:r>
    </w:p>
    <w:p w:rsidR="002D2D91" w:rsidRPr="007608C2" w:rsidRDefault="002D2D91" w:rsidP="002D2D91">
      <w:pPr>
        <w:jc w:val="both"/>
        <w:rPr>
          <w:rFonts w:cs="Arial"/>
        </w:rPr>
      </w:pPr>
      <w:r w:rsidRPr="007608C2">
        <w:rPr>
          <w:rFonts w:cs="Arial"/>
        </w:rPr>
        <w:lastRenderedPageBreak/>
        <w:t>Por lo anterior, se elaboró un documento Guía de Socialización, con el propósito de orientar a las EAS, para realizar un ejercicio asertivo de control social; puesto que para la Dirección de Primera Infancia del ICBF es fundamental incentivar y posicionar la participación de la comunidad y sobre todo de las familias de los beneficiarios, en el seguimiento de la ejecución de los servicios, incidiendo de manera contundente en la calidad de la atención de los niños y niñas del país.</w:t>
      </w:r>
    </w:p>
    <w:p w:rsidR="002D2D91" w:rsidRPr="007608C2" w:rsidRDefault="002D2D91" w:rsidP="002D2D91">
      <w:pPr>
        <w:jc w:val="both"/>
        <w:rPr>
          <w:rFonts w:cs="Arial"/>
        </w:rPr>
      </w:pPr>
      <w:r w:rsidRPr="007608C2">
        <w:rPr>
          <w:rFonts w:cs="Arial"/>
        </w:rPr>
        <w:t xml:space="preserve">Para la vigencia 2017, 2.732 EAS realizaron esta actividad presentando un estado en la ejecución de los servicios, propiciando espacios para recibir propuestas de mejora por parte de los beneficiarios, la comunidad, así como la articulación de los actores y sectores que están involucrados en la garantía de los derechos de las niñas y los niños. Con este proceso el ICBF refuerza las estrategias de participación ciudadana, creando mecanismos de control social que deben generarse desde el inicio de la gestión pública, pasando por la implementación y la evaluación de resultados. </w:t>
      </w:r>
    </w:p>
    <w:p w:rsidR="002D2D91" w:rsidRDefault="000E0283" w:rsidP="002D2D91">
      <w:pPr>
        <w:pStyle w:val="Ttulo2"/>
        <w:numPr>
          <w:ilvl w:val="2"/>
          <w:numId w:val="2"/>
        </w:numPr>
        <w:rPr>
          <w:rFonts w:cs="Arial"/>
          <w:b/>
        </w:rPr>
      </w:pPr>
      <w:hyperlink w:anchor="_Toc478635849" w:history="1">
        <w:bookmarkStart w:id="30" w:name="_Toc504459730"/>
        <w:bookmarkStart w:id="31" w:name="_Toc505183039"/>
        <w:r w:rsidR="002D2D91" w:rsidRPr="007608C2">
          <w:rPr>
            <w:rFonts w:cs="Arial"/>
            <w:b/>
          </w:rPr>
          <w:t>Estrategias para mejorar calidad en la atención a la primera infancia</w:t>
        </w:r>
        <w:bookmarkEnd w:id="30"/>
        <w:bookmarkEnd w:id="31"/>
      </w:hyperlink>
    </w:p>
    <w:p w:rsidR="00881556" w:rsidRPr="00881556" w:rsidRDefault="00881556" w:rsidP="00881556">
      <w:pPr>
        <w:spacing w:after="0"/>
      </w:pPr>
    </w:p>
    <w:p w:rsidR="002D2D91" w:rsidRPr="007608C2" w:rsidRDefault="002D2D91" w:rsidP="002D2D91">
      <w:pPr>
        <w:jc w:val="both"/>
        <w:rPr>
          <w:rFonts w:cs="Arial"/>
        </w:rPr>
      </w:pPr>
      <w:r w:rsidRPr="007608C2">
        <w:rPr>
          <w:rFonts w:cs="Arial"/>
        </w:rPr>
        <w:t>Tal y como se manifestó al inicio del presente aparte, se generaron 5 estrategias con el fin de incidir de manera positiva en la calidad de los servicios, estas se desarrollan a continuación:</w:t>
      </w:r>
    </w:p>
    <w:p w:rsidR="002D2D91" w:rsidRPr="007608C2" w:rsidRDefault="002D2D91" w:rsidP="00A44A2B">
      <w:pPr>
        <w:pStyle w:val="Prrafodelista"/>
        <w:numPr>
          <w:ilvl w:val="0"/>
          <w:numId w:val="69"/>
        </w:numPr>
        <w:jc w:val="both"/>
        <w:rPr>
          <w:rFonts w:cs="Arial"/>
          <w:b/>
        </w:rPr>
      </w:pPr>
      <w:r w:rsidRPr="007608C2">
        <w:rPr>
          <w:rFonts w:cs="Arial"/>
          <w:b/>
        </w:rPr>
        <w:t>Acompañar y fortalecer a las regionales, centros zonales, entidades territoriales, EAS y UDS en la implementación de las condiciones de calidad de la política de estado de cero a siempre.</w:t>
      </w:r>
    </w:p>
    <w:p w:rsidR="002D2D91" w:rsidRPr="007608C2" w:rsidRDefault="002D2D91" w:rsidP="002D2D91">
      <w:pPr>
        <w:jc w:val="both"/>
        <w:rPr>
          <w:rFonts w:cs="Arial"/>
          <w:b/>
        </w:rPr>
      </w:pPr>
      <w:r w:rsidRPr="007608C2">
        <w:rPr>
          <w:rFonts w:cs="Arial"/>
          <w:u w:val="single"/>
        </w:rPr>
        <w:t>Formulación e Implementación del plan de Asistencia Técnica</w:t>
      </w:r>
      <w:r w:rsidRPr="007608C2">
        <w:rPr>
          <w:rFonts w:cs="Arial"/>
          <w:b/>
        </w:rPr>
        <w:t>:</w:t>
      </w:r>
    </w:p>
    <w:p w:rsidR="002D2D91" w:rsidRPr="007608C2" w:rsidRDefault="002D2D91" w:rsidP="002D2D91">
      <w:pPr>
        <w:jc w:val="both"/>
        <w:rPr>
          <w:rFonts w:cs="Arial"/>
        </w:rPr>
      </w:pPr>
      <w:r w:rsidRPr="007608C2">
        <w:rPr>
          <w:rFonts w:cs="Arial"/>
        </w:rPr>
        <w:t xml:space="preserve">A partir de las necesidades identificadas por las Regionales, de los resultados de supervisión, plan de mejoramiento de la contraloría, de los resultados de evaluación en los servicios de primera infancia, entre otros, se diseñó e implementó el plan de asistencia técnica para la vigencia 2017. Las principales acciones de este proceso son: </w:t>
      </w:r>
    </w:p>
    <w:p w:rsidR="002D2D91" w:rsidRPr="007608C2" w:rsidRDefault="002D2D91" w:rsidP="00A44A2B">
      <w:pPr>
        <w:pStyle w:val="Prrafodelista"/>
        <w:numPr>
          <w:ilvl w:val="0"/>
          <w:numId w:val="146"/>
        </w:numPr>
        <w:spacing w:after="120"/>
        <w:jc w:val="both"/>
        <w:rPr>
          <w:rFonts w:cs="Arial"/>
        </w:rPr>
      </w:pPr>
      <w:r w:rsidRPr="007608C2">
        <w:rPr>
          <w:rFonts w:cs="Arial"/>
        </w:rPr>
        <w:t>Asistencia técnica presencial a las 33 Regionales por parte del equipo de la Subdirección de Gestión Técnica en los componentes y temas identificados por la Dirección de Primera Infancia, así como en aquellos solicitados por las Direcciones Regionales.</w:t>
      </w:r>
    </w:p>
    <w:p w:rsidR="002D2D91" w:rsidRPr="007608C2" w:rsidRDefault="002D2D91" w:rsidP="00A44A2B">
      <w:pPr>
        <w:pStyle w:val="Prrafodelista"/>
        <w:numPr>
          <w:ilvl w:val="0"/>
          <w:numId w:val="146"/>
        </w:numPr>
        <w:spacing w:after="120"/>
        <w:jc w:val="both"/>
        <w:rPr>
          <w:rFonts w:cs="Arial"/>
        </w:rPr>
      </w:pPr>
      <w:r w:rsidRPr="007608C2">
        <w:rPr>
          <w:rFonts w:cs="Arial"/>
        </w:rPr>
        <w:t>Realización de 14 jornadas de entrenamiento en la aplicación de la Escala de Valoración Cualitativa del Desarrollo (EVCD-R) a 33 Regionales, para el uso adecuado y efectivo de la información que se recolecta.</w:t>
      </w:r>
    </w:p>
    <w:p w:rsidR="002D2D91" w:rsidRPr="007608C2" w:rsidRDefault="002D2D91" w:rsidP="00A44A2B">
      <w:pPr>
        <w:pStyle w:val="Prrafodelista"/>
        <w:numPr>
          <w:ilvl w:val="0"/>
          <w:numId w:val="146"/>
        </w:numPr>
        <w:spacing w:after="120"/>
        <w:jc w:val="both"/>
        <w:rPr>
          <w:rFonts w:cs="Arial"/>
        </w:rPr>
      </w:pPr>
      <w:r w:rsidRPr="007608C2">
        <w:rPr>
          <w:rFonts w:cs="Arial"/>
        </w:rPr>
        <w:t xml:space="preserve">Implementación de 8 ciclos de videoconferencias para fortalecer la implementación de la política pública. </w:t>
      </w:r>
    </w:p>
    <w:p w:rsidR="002D2D91" w:rsidRPr="007608C2" w:rsidRDefault="002D2D91" w:rsidP="00A44A2B">
      <w:pPr>
        <w:pStyle w:val="Prrafodelista"/>
        <w:numPr>
          <w:ilvl w:val="0"/>
          <w:numId w:val="146"/>
        </w:numPr>
        <w:spacing w:after="120"/>
        <w:jc w:val="both"/>
        <w:rPr>
          <w:rFonts w:cs="Arial"/>
        </w:rPr>
      </w:pPr>
      <w:r w:rsidRPr="007608C2">
        <w:rPr>
          <w:rFonts w:cs="Arial"/>
        </w:rPr>
        <w:t>Participación y acompañamiento a los Comités Regionales y los Comités Técnicos Operativos</w:t>
      </w:r>
    </w:p>
    <w:p w:rsidR="002D2D91" w:rsidRPr="007608C2" w:rsidRDefault="002D2D91" w:rsidP="00A44A2B">
      <w:pPr>
        <w:pStyle w:val="Prrafodelista"/>
        <w:numPr>
          <w:ilvl w:val="0"/>
          <w:numId w:val="146"/>
        </w:numPr>
        <w:spacing w:after="120"/>
        <w:jc w:val="both"/>
        <w:rPr>
          <w:rFonts w:cs="Arial"/>
        </w:rPr>
      </w:pPr>
      <w:r w:rsidRPr="007608C2">
        <w:rPr>
          <w:rFonts w:cs="Arial"/>
        </w:rPr>
        <w:lastRenderedPageBreak/>
        <w:t xml:space="preserve">Acompañamiento y verificación de la implementación de las salas de lectura.  Se identificaron las necesidades técnicas y oportunidades de mejora para fortalecer su operación. Acompañamiento y asistencia técnica conjunta con las Direcciones Regionales y EAS para la implementación de la Modalidad Propia.  </w:t>
      </w:r>
    </w:p>
    <w:p w:rsidR="002D2D91" w:rsidRPr="007608C2" w:rsidRDefault="002D2D91" w:rsidP="00A44A2B">
      <w:pPr>
        <w:pStyle w:val="Prrafodelista"/>
        <w:numPr>
          <w:ilvl w:val="0"/>
          <w:numId w:val="146"/>
        </w:numPr>
        <w:spacing w:after="120"/>
        <w:jc w:val="both"/>
        <w:rPr>
          <w:rFonts w:cs="Arial"/>
        </w:rPr>
      </w:pPr>
      <w:r w:rsidRPr="007608C2">
        <w:rPr>
          <w:rFonts w:cs="Arial"/>
        </w:rPr>
        <w:t>Revisión y retroalimentación de los POAI de 18 regionales.</w:t>
      </w:r>
    </w:p>
    <w:p w:rsidR="002D2D91" w:rsidRPr="007608C2" w:rsidRDefault="002D2D91" w:rsidP="00A44A2B">
      <w:pPr>
        <w:pStyle w:val="Prrafodelista"/>
        <w:numPr>
          <w:ilvl w:val="0"/>
          <w:numId w:val="146"/>
        </w:numPr>
        <w:spacing w:after="120"/>
        <w:jc w:val="both"/>
        <w:rPr>
          <w:rFonts w:cs="Arial"/>
        </w:rPr>
      </w:pPr>
      <w:r w:rsidRPr="007608C2">
        <w:rPr>
          <w:rFonts w:cs="Arial"/>
        </w:rPr>
        <w:t>Análisis y elaboración de informes regionales sobre el comportamiento de la calidad de la atención a la primera infancia para retroalimentar la gestión de las direcciones regionales en los siguientes temas:</w:t>
      </w:r>
    </w:p>
    <w:p w:rsidR="002D2D91" w:rsidRPr="007608C2" w:rsidRDefault="002D2D91" w:rsidP="00A44A2B">
      <w:pPr>
        <w:pStyle w:val="Prrafodelista"/>
        <w:numPr>
          <w:ilvl w:val="1"/>
          <w:numId w:val="70"/>
        </w:numPr>
        <w:spacing w:after="0"/>
        <w:ind w:left="1077" w:hanging="357"/>
        <w:jc w:val="both"/>
        <w:rPr>
          <w:rFonts w:cs="Arial"/>
        </w:rPr>
      </w:pPr>
      <w:r w:rsidRPr="007608C2">
        <w:rPr>
          <w:rFonts w:cs="Arial"/>
        </w:rPr>
        <w:t>Logro de las ocho atenciones priorizadas (mensual).</w:t>
      </w:r>
    </w:p>
    <w:p w:rsidR="002D2D91" w:rsidRPr="007608C2" w:rsidRDefault="002D2D91" w:rsidP="00A44A2B">
      <w:pPr>
        <w:pStyle w:val="Prrafodelista"/>
        <w:numPr>
          <w:ilvl w:val="1"/>
          <w:numId w:val="70"/>
        </w:numPr>
        <w:spacing w:after="0"/>
        <w:ind w:left="1077" w:hanging="357"/>
        <w:jc w:val="both"/>
        <w:rPr>
          <w:rFonts w:cs="Arial"/>
        </w:rPr>
      </w:pPr>
      <w:r w:rsidRPr="007608C2">
        <w:rPr>
          <w:rFonts w:cs="Arial"/>
        </w:rPr>
        <w:t>Tránsito al sistema educativo formal (anual).</w:t>
      </w:r>
    </w:p>
    <w:p w:rsidR="002D2D91" w:rsidRPr="007608C2" w:rsidRDefault="002D2D91" w:rsidP="00A44A2B">
      <w:pPr>
        <w:pStyle w:val="Prrafodelista"/>
        <w:numPr>
          <w:ilvl w:val="1"/>
          <w:numId w:val="70"/>
        </w:numPr>
        <w:spacing w:after="0"/>
        <w:ind w:left="1077" w:hanging="357"/>
        <w:jc w:val="both"/>
        <w:rPr>
          <w:rFonts w:cs="Arial"/>
        </w:rPr>
      </w:pPr>
      <w:r w:rsidRPr="007608C2">
        <w:rPr>
          <w:rFonts w:cs="Arial"/>
        </w:rPr>
        <w:t>Cumplimiento de perfiles del talento humano (anual).</w:t>
      </w:r>
    </w:p>
    <w:p w:rsidR="002D2D91" w:rsidRPr="007608C2" w:rsidRDefault="002D2D91" w:rsidP="00A44A2B">
      <w:pPr>
        <w:pStyle w:val="Prrafodelista"/>
        <w:numPr>
          <w:ilvl w:val="1"/>
          <w:numId w:val="70"/>
        </w:numPr>
        <w:spacing w:after="0"/>
        <w:ind w:left="1077" w:hanging="357"/>
        <w:jc w:val="both"/>
        <w:rPr>
          <w:rFonts w:cs="Arial"/>
        </w:rPr>
      </w:pPr>
      <w:r w:rsidRPr="007608C2">
        <w:rPr>
          <w:rFonts w:cs="Arial"/>
        </w:rPr>
        <w:t>Resultados de la Escala Cualitativa del Desarrollo (2 en el periodo).</w:t>
      </w:r>
    </w:p>
    <w:p w:rsidR="002D2D91" w:rsidRPr="007608C2" w:rsidRDefault="002D2D91" w:rsidP="00A44A2B">
      <w:pPr>
        <w:pStyle w:val="Prrafodelista"/>
        <w:numPr>
          <w:ilvl w:val="1"/>
          <w:numId w:val="70"/>
        </w:numPr>
        <w:spacing w:after="0"/>
        <w:ind w:left="1077" w:hanging="357"/>
        <w:jc w:val="both"/>
        <w:rPr>
          <w:rFonts w:cs="Arial"/>
        </w:rPr>
      </w:pPr>
      <w:r w:rsidRPr="007608C2">
        <w:rPr>
          <w:rFonts w:cs="Arial"/>
        </w:rPr>
        <w:t>Casos de desnutrición y orientaciones para la activación de rutas (anual)</w:t>
      </w:r>
    </w:p>
    <w:p w:rsidR="002D2D91" w:rsidRPr="007608C2" w:rsidRDefault="002D2D91" w:rsidP="002D2D91">
      <w:pPr>
        <w:spacing w:after="120"/>
        <w:jc w:val="both"/>
        <w:rPr>
          <w:rFonts w:cs="Arial"/>
        </w:rPr>
      </w:pPr>
    </w:p>
    <w:p w:rsidR="002D2D91" w:rsidRPr="007608C2" w:rsidRDefault="002D2D91" w:rsidP="002D2D91">
      <w:pPr>
        <w:jc w:val="both"/>
        <w:rPr>
          <w:rFonts w:cs="Arial"/>
          <w:u w:val="single"/>
        </w:rPr>
      </w:pPr>
      <w:r w:rsidRPr="007608C2">
        <w:rPr>
          <w:rFonts w:cs="Arial"/>
          <w:u w:val="single"/>
        </w:rPr>
        <w:t>Implementación de la estrategia de Fortalecimiento</w:t>
      </w:r>
    </w:p>
    <w:p w:rsidR="002D2D91" w:rsidRPr="007608C2" w:rsidRDefault="002D2D91" w:rsidP="002D2D91">
      <w:pPr>
        <w:jc w:val="both"/>
        <w:rPr>
          <w:rFonts w:cs="Arial"/>
        </w:rPr>
      </w:pPr>
      <w:r w:rsidRPr="007608C2">
        <w:rPr>
          <w:rFonts w:cs="Arial"/>
        </w:rPr>
        <w:t>Durante la vigencia 2017 se diseñaron e implementaron dos esquemas de fortalecimiento de las diferentes modalidades y servicios de educación inicial en el marco de la atención integral para generar las condiciones, capacidades, prácticas de calidad; don se favorece el desarrollo integral de niñas y niños de la primera infancia.</w:t>
      </w:r>
    </w:p>
    <w:p w:rsidR="002D2D91" w:rsidRPr="007608C2" w:rsidRDefault="002D2D91" w:rsidP="002D2D91">
      <w:pPr>
        <w:jc w:val="both"/>
        <w:rPr>
          <w:rFonts w:cs="Arial"/>
        </w:rPr>
      </w:pPr>
      <w:r w:rsidRPr="007608C2">
        <w:rPr>
          <w:rFonts w:cs="Arial"/>
        </w:rPr>
        <w:t xml:space="preserve">Una metodología de acompañamiento a la definición y despliegue de acciones de mejora a partir de los resultados del apoyo a la supervisión y de la revisión de los Planes Operativos de Atención Integral (POAI). Este esquema consistió en desarrollo de </w:t>
      </w:r>
      <w:r w:rsidR="00751035" w:rsidRPr="007608C2">
        <w:rPr>
          <w:rFonts w:cs="Arial"/>
        </w:rPr>
        <w:t>un ciclo de talleres teórico pra</w:t>
      </w:r>
      <w:r w:rsidRPr="007608C2">
        <w:rPr>
          <w:rFonts w:cs="Arial"/>
        </w:rPr>
        <w:t>cticos con las EAS basados en las brechas de calidad identificadas en la elaboración del diagnóstico de donde parten los POAI</w:t>
      </w:r>
    </w:p>
    <w:p w:rsidR="002D2D91" w:rsidRPr="007608C2" w:rsidRDefault="002D2D91" w:rsidP="002D2D91">
      <w:pPr>
        <w:jc w:val="both"/>
        <w:rPr>
          <w:rFonts w:cs="Arial"/>
        </w:rPr>
      </w:pPr>
      <w:r w:rsidRPr="007608C2">
        <w:rPr>
          <w:rFonts w:cs="Arial"/>
        </w:rPr>
        <w:t>Este esquema de fortalecimiento tuvo como propósito contribuir con la mejora de las condiciones de calidad de los seis componentes de la atención e incidir en la generación de capacidades, habilidades y acciones sostenibles del talento humano que atiende los niños, niñas y las familias. Con este modelo se acompañó a 396 EAS de un total de 2.732 que operaron durante la vigencia 2017.</w:t>
      </w:r>
    </w:p>
    <w:p w:rsidR="002D2D91" w:rsidRPr="007608C2" w:rsidRDefault="002D2D91" w:rsidP="002D2D91">
      <w:pPr>
        <w:jc w:val="both"/>
        <w:rPr>
          <w:rFonts w:cs="Arial"/>
        </w:rPr>
      </w:pPr>
      <w:r w:rsidRPr="007608C2">
        <w:rPr>
          <w:rFonts w:cs="Arial"/>
        </w:rPr>
        <w:t xml:space="preserve">Un segundo esquema permitió acompañar a 304 EAS y 433 UDS y consistió en trabajar con el talento humano de EAS y UDS del ICBF en torno a: (i) la comprensión del niño y la niña como sujetos de derechos y de la importancia de la educación inicial en su desarrollo integral; (ii) el reconocimiento y la reflexión de sus saberes y prácticas, para fortalecerlos y resignificarlos alrededor de la protección integral de los derechos de las niñas y los niños; (iii) la cualificación y acompañamiento situado a las UDS en los seis (6) componentes del servicio; (iv) y finalmente, </w:t>
      </w:r>
      <w:r w:rsidRPr="007608C2">
        <w:rPr>
          <w:rFonts w:cs="Arial"/>
        </w:rPr>
        <w:lastRenderedPageBreak/>
        <w:t>identificar acciones de articulación intersectorial en los territorios, para el mejoramiento de la calidad de educación inicial.</w:t>
      </w:r>
    </w:p>
    <w:p w:rsidR="002D2D91" w:rsidRPr="007608C2" w:rsidRDefault="002D2D91" w:rsidP="002D2D91">
      <w:pPr>
        <w:jc w:val="both"/>
        <w:rPr>
          <w:rFonts w:cs="Arial"/>
        </w:rPr>
      </w:pPr>
      <w:r w:rsidRPr="007608C2">
        <w:rPr>
          <w:rFonts w:cs="Arial"/>
        </w:rPr>
        <w:t>La metodología se desarrolla en las siguientes tres etapas:</w:t>
      </w:r>
    </w:p>
    <w:p w:rsidR="002D2D91" w:rsidRPr="007608C2" w:rsidRDefault="002D2D91" w:rsidP="002D2D91">
      <w:pPr>
        <w:jc w:val="both"/>
        <w:rPr>
          <w:rFonts w:cs="Arial"/>
        </w:rPr>
      </w:pPr>
      <w:r w:rsidRPr="00142549">
        <w:rPr>
          <w:rFonts w:cs="Arial"/>
          <w:b/>
        </w:rPr>
        <w:t>Alistamiento:</w:t>
      </w:r>
      <w:r w:rsidRPr="007608C2">
        <w:rPr>
          <w:rFonts w:cs="Arial"/>
        </w:rPr>
        <w:t xml:space="preserve"> consiste en reunir los recursos necesarios (talento humano, herramientas metodológicas y planeación) de forma armonizada para emprender la etapa de implementación. Esto incluye: contratación del talento humano, socialización de la estrategia, cualificación de equipo de fortalecimiento en campo y planeación etapa de implementación</w:t>
      </w:r>
    </w:p>
    <w:p w:rsidR="002D2D91" w:rsidRPr="007608C2" w:rsidRDefault="002D2D91" w:rsidP="002D2D91">
      <w:pPr>
        <w:jc w:val="both"/>
        <w:rPr>
          <w:rFonts w:cs="Arial"/>
        </w:rPr>
      </w:pPr>
      <w:r w:rsidRPr="00142549">
        <w:rPr>
          <w:rFonts w:cs="Arial"/>
          <w:b/>
        </w:rPr>
        <w:t>Implementación:</w:t>
      </w:r>
      <w:r w:rsidR="00142549">
        <w:rPr>
          <w:rFonts w:cs="Arial"/>
        </w:rPr>
        <w:t xml:space="preserve"> e</w:t>
      </w:r>
      <w:r w:rsidRPr="007608C2">
        <w:rPr>
          <w:rFonts w:cs="Arial"/>
        </w:rPr>
        <w:t>sta etapa comprende: acercamiento y acompañamiento a la UDS y validación del POAI, elaboración y entrega del plan de fortalecimiento, fortalecimiento Regional y la realización de grupos de estudio</w:t>
      </w:r>
    </w:p>
    <w:p w:rsidR="002D2D91" w:rsidRPr="007608C2" w:rsidRDefault="002D2D91" w:rsidP="002D2D91">
      <w:pPr>
        <w:jc w:val="both"/>
        <w:rPr>
          <w:rFonts w:cs="Arial"/>
        </w:rPr>
      </w:pPr>
      <w:r w:rsidRPr="00142549">
        <w:rPr>
          <w:rFonts w:cs="Arial"/>
          <w:b/>
        </w:rPr>
        <w:t>Seguimiento y monitoreo:</w:t>
      </w:r>
      <w:r w:rsidR="00142549">
        <w:rPr>
          <w:rFonts w:cs="Arial"/>
        </w:rPr>
        <w:t xml:space="preserve"> p</w:t>
      </w:r>
      <w:r w:rsidRPr="007608C2">
        <w:rPr>
          <w:rFonts w:cs="Arial"/>
        </w:rPr>
        <w:t>ara esta etapa se contempla la sistematización y reporte de procesos; el registro del Progreso en el Fortalecimiento de Educación Inicial (RPF) de cada UDS, el reporte de acompañamientos, el registro de los grupos de estudio, el reporte de Fortalecimiento Regional, y de la realización de comités técnicos y financieros en las regionales.</w:t>
      </w:r>
    </w:p>
    <w:p w:rsidR="002D2D91" w:rsidRPr="007608C2" w:rsidRDefault="002D2D91" w:rsidP="00A44A2B">
      <w:pPr>
        <w:pStyle w:val="Prrafodelista"/>
        <w:numPr>
          <w:ilvl w:val="0"/>
          <w:numId w:val="71"/>
        </w:numPr>
        <w:jc w:val="both"/>
        <w:rPr>
          <w:rFonts w:cs="Arial"/>
          <w:b/>
        </w:rPr>
      </w:pPr>
      <w:r w:rsidRPr="007608C2">
        <w:rPr>
          <w:rFonts w:cs="Arial"/>
          <w:b/>
        </w:rPr>
        <w:t>Acompañar y formar agentes educativos en el marco de la estrategia de cero a siempre</w:t>
      </w:r>
    </w:p>
    <w:p w:rsidR="002D2D91" w:rsidRPr="007608C2" w:rsidRDefault="002D2D91" w:rsidP="002D2D91">
      <w:pPr>
        <w:jc w:val="both"/>
        <w:rPr>
          <w:rFonts w:cs="Arial"/>
        </w:rPr>
      </w:pPr>
      <w:r w:rsidRPr="007608C2">
        <w:rPr>
          <w:rFonts w:cs="Arial"/>
        </w:rPr>
        <w:t xml:space="preserve">La formación de madres comunitarias y otros agentes educativos tiene como propósito el fortalecimiento y transformación de sus prácticas y saberes, ya que tienen responsabilidad directa en la promoción del desarrollo integral de las niñas y los niños en los primeros años de vida, y contribuir de esta forma en el aseguramiento de la calidad de la atención integral, en tanto cuenten con las cualidades requeridas para desarrollar sus responsabilidades de manera actualizada, pertinente, comprometida y significativa. </w:t>
      </w:r>
    </w:p>
    <w:p w:rsidR="002D2D91" w:rsidRPr="007608C2" w:rsidRDefault="002D2D91" w:rsidP="002D2D91">
      <w:pPr>
        <w:jc w:val="both"/>
        <w:rPr>
          <w:rFonts w:cs="Arial"/>
        </w:rPr>
      </w:pPr>
      <w:r w:rsidRPr="00142549">
        <w:rPr>
          <w:rFonts w:cs="Arial"/>
          <w:b/>
          <w:u w:val="single"/>
        </w:rPr>
        <w:t>Formación</w:t>
      </w:r>
      <w:r w:rsidRPr="00142549">
        <w:rPr>
          <w:rFonts w:cs="Arial"/>
          <w:b/>
        </w:rPr>
        <w:t>:</w:t>
      </w:r>
      <w:r w:rsidRPr="007608C2">
        <w:rPr>
          <w:rFonts w:cs="Arial"/>
          <w:b/>
        </w:rPr>
        <w:t xml:space="preserve"> </w:t>
      </w:r>
      <w:r w:rsidRPr="007608C2">
        <w:rPr>
          <w:rFonts w:cs="Arial"/>
        </w:rPr>
        <w:t xml:space="preserve">Se brindó continuidad a los procesos de formación iniciados en vigencias anteriores. En la fase de planeación se validó la permanencia de las cualificadas según los 1.001 cupos programados para garantizar los procesos en licenciaturas en pedagogía infantil desarrollados conjuntamente entre el ICBF y las siguientes instituciones de educación superior: UNIMINUTO Santander (148 cupos), UNIMINUTO Antioquia (269 cupos), Iberoamericana (435 cupos) y Universidad Tecnológica de Pereira (149 cupos).  Se terminó el proceso de formación desarrollado con la Fundación Carvajal (700 cupos) iniciado en el 2016 para la formación en el Técnico de Saberes. </w:t>
      </w:r>
    </w:p>
    <w:p w:rsidR="002D2D91" w:rsidRPr="007608C2" w:rsidRDefault="002D2D91" w:rsidP="002D2D91">
      <w:pPr>
        <w:jc w:val="both"/>
        <w:rPr>
          <w:rFonts w:cs="Arial"/>
        </w:rPr>
      </w:pPr>
      <w:r w:rsidRPr="00142549">
        <w:rPr>
          <w:rFonts w:cs="Arial"/>
          <w:b/>
          <w:u w:val="single"/>
        </w:rPr>
        <w:t>Cualificación</w:t>
      </w:r>
      <w:r w:rsidRPr="00142549">
        <w:rPr>
          <w:rFonts w:cs="Arial"/>
          <w:b/>
        </w:rPr>
        <w:t>:</w:t>
      </w:r>
      <w:r w:rsidRPr="007608C2">
        <w:rPr>
          <w:rFonts w:cs="Arial"/>
          <w:b/>
        </w:rPr>
        <w:t xml:space="preserve"> </w:t>
      </w:r>
      <w:r w:rsidRPr="007608C2">
        <w:rPr>
          <w:rFonts w:cs="Arial"/>
        </w:rPr>
        <w:t>Durante la vigencia 2017 se desarrollaron diversos procesos estructurados para la actualización, ampliación y resignificación de los conocimientos de los agentes educativos y madres comunitarias, en general del talento humano vinculado a los diferentes servicios de atención a la primera infancia. Esto contribuyó a avanzar en la meta el cumplimiento de la meta de cualificación prevista para la vigencia y el periodo de Gobierno.  En este sentido se desarrollaron las siguientes acciones:</w:t>
      </w:r>
    </w:p>
    <w:p w:rsidR="002D2D91" w:rsidRPr="007608C2" w:rsidRDefault="002D2D91" w:rsidP="00A44A2B">
      <w:pPr>
        <w:pStyle w:val="Prrafodelista"/>
        <w:numPr>
          <w:ilvl w:val="0"/>
          <w:numId w:val="147"/>
        </w:numPr>
        <w:jc w:val="both"/>
        <w:rPr>
          <w:rFonts w:cs="Arial"/>
        </w:rPr>
      </w:pPr>
      <w:r w:rsidRPr="007608C2">
        <w:rPr>
          <w:rFonts w:cs="Arial"/>
        </w:rPr>
        <w:lastRenderedPageBreak/>
        <w:t>Diseño e inicio del pilotaje de la plataforma Moodle AVISPA (Aula Virtual de Saberes en Primera Infancia). Actualmente se cuenta con dos cursos virtuales: uno sobre referentes técnicos y el otro sobre fundamentos políticos de la atención integral. AVISPA es una plataforma dispuesta para enriquecer con procesos de cualificación existentes y por fortalecer en el 2018.</w:t>
      </w:r>
    </w:p>
    <w:p w:rsidR="002D2D91" w:rsidRPr="007608C2" w:rsidRDefault="002D2D91" w:rsidP="00A44A2B">
      <w:pPr>
        <w:pStyle w:val="Prrafodelista"/>
        <w:numPr>
          <w:ilvl w:val="0"/>
          <w:numId w:val="147"/>
        </w:numPr>
        <w:jc w:val="both"/>
        <w:rPr>
          <w:rFonts w:cs="Arial"/>
        </w:rPr>
      </w:pPr>
      <w:r w:rsidRPr="007608C2">
        <w:rPr>
          <w:rFonts w:cs="Arial"/>
        </w:rPr>
        <w:t>En alianza con la Cruz Roja y financiado por dicha entidad, se probó un proceso de cualificación en la temática de gestión del riesgo y primeros auxilios, ha sido validado y hace parte de la batería de contenidos y procesos a desarrollar en la siguiente vigencia.</w:t>
      </w:r>
    </w:p>
    <w:p w:rsidR="002D2D91" w:rsidRPr="007608C2" w:rsidRDefault="002D2D91" w:rsidP="00A44A2B">
      <w:pPr>
        <w:pStyle w:val="Prrafodelista"/>
        <w:numPr>
          <w:ilvl w:val="0"/>
          <w:numId w:val="147"/>
        </w:numPr>
        <w:jc w:val="both"/>
        <w:rPr>
          <w:rFonts w:cs="Arial"/>
        </w:rPr>
      </w:pPr>
      <w:r w:rsidRPr="007608C2">
        <w:rPr>
          <w:rFonts w:cs="Arial"/>
        </w:rPr>
        <w:t xml:space="preserve">En el marco de la operación de la atención y de los contratos de aporte suscritos con las EAS se apoyó técnicamente la definición de temáticas y procesos de cualificación y se generó un procedimiento para el reporte de los agentes educativos cualificados en el plan de formación desarrollado según lo dispuesto en los Manuales Operativos de las diferentes modalidades.  </w:t>
      </w:r>
    </w:p>
    <w:p w:rsidR="002D2D91" w:rsidRPr="007608C2" w:rsidRDefault="002D2D91" w:rsidP="00A44A2B">
      <w:pPr>
        <w:pStyle w:val="Prrafodelista"/>
        <w:numPr>
          <w:ilvl w:val="0"/>
          <w:numId w:val="147"/>
        </w:numPr>
        <w:jc w:val="both"/>
        <w:rPr>
          <w:rFonts w:cs="Arial"/>
        </w:rPr>
      </w:pPr>
      <w:r w:rsidRPr="007608C2">
        <w:rPr>
          <w:rFonts w:cs="Arial"/>
        </w:rPr>
        <w:t xml:space="preserve">Se realizó un análisis para identificar temáticas sobre las cuales podrían diseñar y desarrollar procesos de cualificación para garantizar la pertinencia y oportunidad de los mismos. A partir de los resultados de apoyo a la supervisión y del ejercicio de fortalecimiento, se priorizaron las siguientes temáticas: a) prácticas pedagógicas, b) discapacidad, c) diversidad y enfoque diferencial, d) buenas prácticas de manufactura, e) seguimiento nutricional, y f) gestión del riesgo. </w:t>
      </w:r>
    </w:p>
    <w:p w:rsidR="002D2D91" w:rsidRPr="007608C2" w:rsidRDefault="002D2D91" w:rsidP="00A44A2B">
      <w:pPr>
        <w:pStyle w:val="Prrafodelista"/>
        <w:numPr>
          <w:ilvl w:val="0"/>
          <w:numId w:val="147"/>
        </w:numPr>
        <w:jc w:val="both"/>
        <w:rPr>
          <w:rFonts w:cs="Arial"/>
        </w:rPr>
      </w:pPr>
      <w:r w:rsidRPr="007608C2">
        <w:rPr>
          <w:rFonts w:cs="Arial"/>
        </w:rPr>
        <w:t>Se desarrollaron dos procesos de cualificación, en el formato de diplomado, con la Fundación Carvajal y la Fundación Universidad del Norte (Pisotón) en temas relacionados con educación emocional y crianza.</w:t>
      </w:r>
    </w:p>
    <w:p w:rsidR="002D2D91" w:rsidRPr="007608C2" w:rsidRDefault="002D2D91" w:rsidP="002D2D91">
      <w:pPr>
        <w:jc w:val="both"/>
        <w:rPr>
          <w:rFonts w:cs="Arial"/>
        </w:rPr>
      </w:pPr>
      <w:r w:rsidRPr="007608C2">
        <w:rPr>
          <w:rFonts w:cs="Arial"/>
        </w:rPr>
        <w:t>Con los procesos antes relacionados se logró llegar a 15.580 durante la vigencia 2017, discriminados de la siguiente manera:</w:t>
      </w:r>
    </w:p>
    <w:tbl>
      <w:tblPr>
        <w:tblStyle w:val="Tablanormal21"/>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ook w:val="04A0" w:firstRow="1" w:lastRow="0" w:firstColumn="1" w:lastColumn="0" w:noHBand="0" w:noVBand="1"/>
      </w:tblPr>
      <w:tblGrid>
        <w:gridCol w:w="3278"/>
        <w:gridCol w:w="3117"/>
      </w:tblGrid>
      <w:tr w:rsidR="002D2D91" w:rsidRPr="004D096C" w:rsidTr="007F3B58">
        <w:trPr>
          <w:cnfStyle w:val="100000000000" w:firstRow="1" w:lastRow="0" w:firstColumn="0" w:lastColumn="0" w:oddVBand="0" w:evenVBand="0" w:oddHBand="0"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76922E"/>
            <w:vAlign w:val="center"/>
            <w:hideMark/>
          </w:tcPr>
          <w:p w:rsidR="002D2D91" w:rsidRPr="004D096C" w:rsidRDefault="00142549" w:rsidP="004D096C">
            <w:pPr>
              <w:spacing w:after="0" w:line="240" w:lineRule="auto"/>
              <w:jc w:val="center"/>
              <w:rPr>
                <w:rFonts w:eastAsia="Times New Roman" w:cs="Arial"/>
                <w:color w:val="FFFFFF" w:themeColor="background1"/>
                <w:sz w:val="18"/>
                <w:szCs w:val="18"/>
                <w:lang w:val="es-CO" w:eastAsia="es-CO"/>
              </w:rPr>
            </w:pPr>
            <w:r w:rsidRPr="004D096C">
              <w:rPr>
                <w:rFonts w:eastAsia="Times New Roman" w:cs="Arial"/>
                <w:color w:val="FFFFFF" w:themeColor="background1"/>
                <w:sz w:val="18"/>
                <w:szCs w:val="18"/>
                <w:lang w:val="es-CO" w:eastAsia="es-CO"/>
              </w:rPr>
              <w:t>Proceso</w:t>
            </w:r>
          </w:p>
        </w:tc>
        <w:tc>
          <w:tcPr>
            <w:tcW w:w="0" w:type="auto"/>
            <w:tcBorders>
              <w:bottom w:val="none" w:sz="0" w:space="0" w:color="auto"/>
            </w:tcBorders>
            <w:shd w:val="clear" w:color="auto" w:fill="76922E"/>
            <w:vAlign w:val="center"/>
            <w:hideMark/>
          </w:tcPr>
          <w:p w:rsidR="002D2D91" w:rsidRPr="004D096C" w:rsidRDefault="00142549" w:rsidP="004D096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18"/>
                <w:szCs w:val="18"/>
                <w:lang w:val="es-CO" w:eastAsia="es-CO"/>
              </w:rPr>
            </w:pPr>
            <w:r w:rsidRPr="004D096C">
              <w:rPr>
                <w:rFonts w:eastAsia="Times New Roman" w:cs="Arial"/>
                <w:color w:val="FFFFFF" w:themeColor="background1"/>
                <w:sz w:val="18"/>
                <w:szCs w:val="18"/>
                <w:lang w:val="es-CO" w:eastAsia="es-CO"/>
              </w:rPr>
              <w:t>Agentes Cualificados y Formados</w:t>
            </w:r>
          </w:p>
        </w:tc>
      </w:tr>
      <w:tr w:rsidR="002D2D91" w:rsidRPr="004D096C" w:rsidTr="007F3B5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rsidR="002D2D91" w:rsidRPr="004D096C" w:rsidRDefault="002D2D91" w:rsidP="004D096C">
            <w:pPr>
              <w:spacing w:after="0" w:line="240" w:lineRule="auto"/>
              <w:rPr>
                <w:rFonts w:eastAsia="Times New Roman" w:cs="Arial"/>
                <w:b w:val="0"/>
                <w:color w:val="000000"/>
                <w:sz w:val="18"/>
                <w:szCs w:val="18"/>
                <w:lang w:val="es-CO" w:eastAsia="es-CO"/>
              </w:rPr>
            </w:pPr>
            <w:r w:rsidRPr="004D096C">
              <w:rPr>
                <w:rFonts w:eastAsia="Times New Roman" w:cs="Arial"/>
                <w:b w:val="0"/>
                <w:color w:val="000000"/>
                <w:sz w:val="18"/>
                <w:szCs w:val="18"/>
                <w:lang w:val="es-CO" w:eastAsia="es-CO"/>
              </w:rPr>
              <w:t>Licenciatura - UNIMINUTO Antioquia</w:t>
            </w:r>
          </w:p>
        </w:tc>
        <w:tc>
          <w:tcPr>
            <w:tcW w:w="0" w:type="auto"/>
            <w:tcBorders>
              <w:top w:val="none" w:sz="0" w:space="0" w:color="auto"/>
              <w:bottom w:val="none" w:sz="0" w:space="0" w:color="auto"/>
            </w:tcBorders>
            <w:noWrap/>
            <w:hideMark/>
          </w:tcPr>
          <w:p w:rsidR="002D2D91" w:rsidRPr="004D096C" w:rsidRDefault="002D2D91" w:rsidP="004D096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es-CO" w:eastAsia="es-CO"/>
              </w:rPr>
            </w:pPr>
            <w:r w:rsidRPr="004D096C">
              <w:rPr>
                <w:rFonts w:eastAsia="Times New Roman" w:cs="Arial"/>
                <w:color w:val="000000"/>
                <w:sz w:val="18"/>
                <w:szCs w:val="18"/>
                <w:lang w:val="es-CO" w:eastAsia="es-CO"/>
              </w:rPr>
              <w:t xml:space="preserve">                            269 </w:t>
            </w:r>
          </w:p>
        </w:tc>
      </w:tr>
      <w:tr w:rsidR="002D2D91" w:rsidRPr="004D096C" w:rsidTr="007F3B58">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D2D91" w:rsidRPr="004D096C" w:rsidRDefault="002D2D91" w:rsidP="004D096C">
            <w:pPr>
              <w:spacing w:after="0" w:line="240" w:lineRule="auto"/>
              <w:rPr>
                <w:rFonts w:eastAsia="Times New Roman" w:cs="Arial"/>
                <w:b w:val="0"/>
                <w:color w:val="000000"/>
                <w:sz w:val="18"/>
                <w:szCs w:val="18"/>
                <w:lang w:val="es-CO" w:eastAsia="es-CO"/>
              </w:rPr>
            </w:pPr>
            <w:r w:rsidRPr="004D096C">
              <w:rPr>
                <w:rFonts w:eastAsia="Times New Roman" w:cs="Arial"/>
                <w:b w:val="0"/>
                <w:color w:val="000000"/>
                <w:sz w:val="18"/>
                <w:szCs w:val="18"/>
                <w:lang w:val="es-CO" w:eastAsia="es-CO"/>
              </w:rPr>
              <w:t>Licenciatura - UNIMINUTO Santander</w:t>
            </w:r>
          </w:p>
        </w:tc>
        <w:tc>
          <w:tcPr>
            <w:tcW w:w="0" w:type="auto"/>
            <w:noWrap/>
            <w:hideMark/>
          </w:tcPr>
          <w:p w:rsidR="002D2D91" w:rsidRPr="004D096C" w:rsidRDefault="002D2D91" w:rsidP="004D096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s-CO" w:eastAsia="es-CO"/>
              </w:rPr>
            </w:pPr>
            <w:r w:rsidRPr="004D096C">
              <w:rPr>
                <w:rFonts w:eastAsia="Times New Roman" w:cs="Arial"/>
                <w:color w:val="000000"/>
                <w:sz w:val="18"/>
                <w:szCs w:val="18"/>
                <w:lang w:val="es-CO" w:eastAsia="es-CO"/>
              </w:rPr>
              <w:t xml:space="preserve">                            148 </w:t>
            </w:r>
          </w:p>
        </w:tc>
      </w:tr>
      <w:tr w:rsidR="002D2D91" w:rsidRPr="004D096C" w:rsidTr="007F3B5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rsidR="002D2D91" w:rsidRPr="004D096C" w:rsidRDefault="002D2D91" w:rsidP="004D096C">
            <w:pPr>
              <w:spacing w:after="0" w:line="240" w:lineRule="auto"/>
              <w:rPr>
                <w:rFonts w:eastAsia="Times New Roman" w:cs="Arial"/>
                <w:b w:val="0"/>
                <w:color w:val="000000"/>
                <w:sz w:val="18"/>
                <w:szCs w:val="18"/>
                <w:lang w:val="es-CO" w:eastAsia="es-CO"/>
              </w:rPr>
            </w:pPr>
            <w:r w:rsidRPr="004D096C">
              <w:rPr>
                <w:rFonts w:eastAsia="Times New Roman" w:cs="Arial"/>
                <w:b w:val="0"/>
                <w:color w:val="000000"/>
                <w:sz w:val="18"/>
                <w:szCs w:val="18"/>
                <w:lang w:val="es-CO" w:eastAsia="es-CO"/>
              </w:rPr>
              <w:t>Licenciatura – UTP</w:t>
            </w:r>
          </w:p>
        </w:tc>
        <w:tc>
          <w:tcPr>
            <w:tcW w:w="0" w:type="auto"/>
            <w:tcBorders>
              <w:top w:val="none" w:sz="0" w:space="0" w:color="auto"/>
              <w:bottom w:val="none" w:sz="0" w:space="0" w:color="auto"/>
            </w:tcBorders>
            <w:noWrap/>
            <w:hideMark/>
          </w:tcPr>
          <w:p w:rsidR="002D2D91" w:rsidRPr="004D096C" w:rsidRDefault="002D2D91" w:rsidP="004D096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es-CO" w:eastAsia="es-CO"/>
              </w:rPr>
            </w:pPr>
            <w:r w:rsidRPr="004D096C">
              <w:rPr>
                <w:rFonts w:eastAsia="Times New Roman" w:cs="Arial"/>
                <w:color w:val="000000"/>
                <w:sz w:val="18"/>
                <w:szCs w:val="18"/>
                <w:lang w:val="es-CO" w:eastAsia="es-CO"/>
              </w:rPr>
              <w:t xml:space="preserve">                            149 </w:t>
            </w:r>
          </w:p>
        </w:tc>
      </w:tr>
      <w:tr w:rsidR="002D2D91" w:rsidRPr="004D096C" w:rsidTr="007F3B58">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D2D91" w:rsidRPr="004D096C" w:rsidRDefault="002D2D91" w:rsidP="004D096C">
            <w:pPr>
              <w:spacing w:after="0" w:line="240" w:lineRule="auto"/>
              <w:rPr>
                <w:rFonts w:eastAsia="Times New Roman" w:cs="Arial"/>
                <w:b w:val="0"/>
                <w:color w:val="000000"/>
                <w:sz w:val="18"/>
                <w:szCs w:val="18"/>
                <w:lang w:val="es-CO" w:eastAsia="es-CO"/>
              </w:rPr>
            </w:pPr>
            <w:r w:rsidRPr="004D096C">
              <w:rPr>
                <w:rFonts w:eastAsia="Times New Roman" w:cs="Arial"/>
                <w:b w:val="0"/>
                <w:color w:val="000000"/>
                <w:sz w:val="18"/>
                <w:szCs w:val="18"/>
                <w:lang w:val="es-CO" w:eastAsia="es-CO"/>
              </w:rPr>
              <w:t>Licenciatura - IBEROAMERICANA</w:t>
            </w:r>
          </w:p>
        </w:tc>
        <w:tc>
          <w:tcPr>
            <w:tcW w:w="0" w:type="auto"/>
            <w:noWrap/>
            <w:hideMark/>
          </w:tcPr>
          <w:p w:rsidR="002D2D91" w:rsidRPr="004D096C" w:rsidRDefault="002D2D91" w:rsidP="004D096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s-CO" w:eastAsia="es-CO"/>
              </w:rPr>
            </w:pPr>
            <w:r w:rsidRPr="004D096C">
              <w:rPr>
                <w:rFonts w:eastAsia="Times New Roman" w:cs="Arial"/>
                <w:color w:val="000000"/>
                <w:sz w:val="18"/>
                <w:szCs w:val="18"/>
                <w:lang w:val="es-CO" w:eastAsia="es-CO"/>
              </w:rPr>
              <w:t xml:space="preserve">                            444 </w:t>
            </w:r>
          </w:p>
        </w:tc>
      </w:tr>
      <w:tr w:rsidR="002D2D91" w:rsidRPr="004D096C" w:rsidTr="007F3B5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rsidR="002D2D91" w:rsidRPr="004D096C" w:rsidRDefault="002D2D91" w:rsidP="004D096C">
            <w:pPr>
              <w:spacing w:after="0" w:line="240" w:lineRule="auto"/>
              <w:rPr>
                <w:rFonts w:eastAsia="Times New Roman" w:cs="Arial"/>
                <w:b w:val="0"/>
                <w:color w:val="000000"/>
                <w:sz w:val="18"/>
                <w:szCs w:val="18"/>
                <w:lang w:val="es-CO" w:eastAsia="es-CO"/>
              </w:rPr>
            </w:pPr>
            <w:r w:rsidRPr="004D096C">
              <w:rPr>
                <w:rFonts w:eastAsia="Times New Roman" w:cs="Arial"/>
                <w:b w:val="0"/>
                <w:color w:val="000000"/>
                <w:sz w:val="18"/>
                <w:szCs w:val="18"/>
                <w:lang w:val="es-CO" w:eastAsia="es-CO"/>
              </w:rPr>
              <w:t>Técnico Saberes - Fundación Carvajal</w:t>
            </w:r>
          </w:p>
        </w:tc>
        <w:tc>
          <w:tcPr>
            <w:tcW w:w="0" w:type="auto"/>
            <w:tcBorders>
              <w:top w:val="none" w:sz="0" w:space="0" w:color="auto"/>
              <w:bottom w:val="none" w:sz="0" w:space="0" w:color="auto"/>
            </w:tcBorders>
            <w:noWrap/>
            <w:hideMark/>
          </w:tcPr>
          <w:p w:rsidR="002D2D91" w:rsidRPr="004D096C" w:rsidRDefault="002D2D91" w:rsidP="004D096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es-CO" w:eastAsia="es-CO"/>
              </w:rPr>
            </w:pPr>
            <w:r w:rsidRPr="004D096C">
              <w:rPr>
                <w:rFonts w:eastAsia="Times New Roman" w:cs="Arial"/>
                <w:color w:val="000000"/>
                <w:sz w:val="18"/>
                <w:szCs w:val="18"/>
                <w:lang w:val="es-CO" w:eastAsia="es-CO"/>
              </w:rPr>
              <w:t xml:space="preserve">                            700 </w:t>
            </w:r>
          </w:p>
        </w:tc>
      </w:tr>
      <w:tr w:rsidR="002D2D91" w:rsidRPr="004D096C" w:rsidTr="007F3B58">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D2D91" w:rsidRPr="004D096C" w:rsidRDefault="002D2D91" w:rsidP="004D096C">
            <w:pPr>
              <w:spacing w:after="0" w:line="240" w:lineRule="auto"/>
              <w:rPr>
                <w:rFonts w:eastAsia="Times New Roman" w:cs="Arial"/>
                <w:b w:val="0"/>
                <w:color w:val="000000"/>
                <w:sz w:val="18"/>
                <w:szCs w:val="18"/>
                <w:lang w:val="es-CO" w:eastAsia="es-CO"/>
              </w:rPr>
            </w:pPr>
            <w:r w:rsidRPr="004D096C">
              <w:rPr>
                <w:rFonts w:eastAsia="Times New Roman" w:cs="Arial"/>
                <w:b w:val="0"/>
                <w:color w:val="000000"/>
                <w:sz w:val="18"/>
                <w:szCs w:val="18"/>
                <w:lang w:val="es-CO" w:eastAsia="es-CO"/>
              </w:rPr>
              <w:t>Cruz Roja</w:t>
            </w:r>
          </w:p>
        </w:tc>
        <w:tc>
          <w:tcPr>
            <w:tcW w:w="0" w:type="auto"/>
            <w:noWrap/>
            <w:hideMark/>
          </w:tcPr>
          <w:p w:rsidR="002D2D91" w:rsidRPr="004D096C" w:rsidRDefault="002D2D91" w:rsidP="004D096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s-CO" w:eastAsia="es-CO"/>
              </w:rPr>
            </w:pPr>
            <w:r w:rsidRPr="004D096C">
              <w:rPr>
                <w:rFonts w:eastAsia="Times New Roman" w:cs="Arial"/>
                <w:color w:val="000000"/>
                <w:sz w:val="18"/>
                <w:szCs w:val="18"/>
                <w:lang w:val="es-CO" w:eastAsia="es-CO"/>
              </w:rPr>
              <w:t xml:space="preserve">                              31 </w:t>
            </w:r>
          </w:p>
        </w:tc>
      </w:tr>
      <w:tr w:rsidR="002D2D91" w:rsidRPr="004D096C" w:rsidTr="007F3B5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rsidR="002D2D91" w:rsidRPr="004D096C" w:rsidRDefault="002D2D91" w:rsidP="004D096C">
            <w:pPr>
              <w:spacing w:after="0" w:line="240" w:lineRule="auto"/>
              <w:rPr>
                <w:rFonts w:eastAsia="Times New Roman" w:cs="Arial"/>
                <w:b w:val="0"/>
                <w:color w:val="000000"/>
                <w:sz w:val="18"/>
                <w:szCs w:val="18"/>
                <w:lang w:val="es-CO" w:eastAsia="es-CO"/>
              </w:rPr>
            </w:pPr>
            <w:r w:rsidRPr="004D096C">
              <w:rPr>
                <w:rFonts w:eastAsia="Times New Roman" w:cs="Arial"/>
                <w:b w:val="0"/>
                <w:color w:val="000000"/>
                <w:sz w:val="18"/>
                <w:szCs w:val="18"/>
                <w:lang w:val="es-CO" w:eastAsia="es-CO"/>
              </w:rPr>
              <w:t>Gobernación de Antioquia</w:t>
            </w:r>
          </w:p>
        </w:tc>
        <w:tc>
          <w:tcPr>
            <w:tcW w:w="0" w:type="auto"/>
            <w:tcBorders>
              <w:top w:val="none" w:sz="0" w:space="0" w:color="auto"/>
              <w:bottom w:val="none" w:sz="0" w:space="0" w:color="auto"/>
            </w:tcBorders>
            <w:noWrap/>
            <w:hideMark/>
          </w:tcPr>
          <w:p w:rsidR="002D2D91" w:rsidRPr="004D096C" w:rsidRDefault="002D2D91" w:rsidP="004D096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es-CO" w:eastAsia="es-CO"/>
              </w:rPr>
            </w:pPr>
            <w:r w:rsidRPr="004D096C">
              <w:rPr>
                <w:rFonts w:eastAsia="Times New Roman" w:cs="Arial"/>
                <w:color w:val="000000"/>
                <w:sz w:val="18"/>
                <w:szCs w:val="18"/>
                <w:lang w:val="es-CO" w:eastAsia="es-CO"/>
              </w:rPr>
              <w:t xml:space="preserve">                        1.094 </w:t>
            </w:r>
          </w:p>
        </w:tc>
      </w:tr>
      <w:tr w:rsidR="002D2D91" w:rsidRPr="004D096C" w:rsidTr="007F3B58">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D2D91" w:rsidRPr="004D096C" w:rsidRDefault="002D2D91" w:rsidP="004D096C">
            <w:pPr>
              <w:spacing w:after="0" w:line="240" w:lineRule="auto"/>
              <w:rPr>
                <w:rFonts w:eastAsia="Times New Roman" w:cs="Arial"/>
                <w:b w:val="0"/>
                <w:color w:val="000000"/>
                <w:sz w:val="18"/>
                <w:szCs w:val="18"/>
                <w:lang w:val="es-CO" w:eastAsia="es-CO"/>
              </w:rPr>
            </w:pPr>
            <w:r w:rsidRPr="004D096C">
              <w:rPr>
                <w:rFonts w:eastAsia="Times New Roman" w:cs="Arial"/>
                <w:b w:val="0"/>
                <w:color w:val="000000"/>
                <w:sz w:val="18"/>
                <w:szCs w:val="18"/>
                <w:lang w:val="es-CO" w:eastAsia="es-CO"/>
              </w:rPr>
              <w:t>Alcaldía de Medellín</w:t>
            </w:r>
          </w:p>
        </w:tc>
        <w:tc>
          <w:tcPr>
            <w:tcW w:w="0" w:type="auto"/>
            <w:noWrap/>
            <w:hideMark/>
          </w:tcPr>
          <w:p w:rsidR="002D2D91" w:rsidRPr="004D096C" w:rsidRDefault="002D2D91" w:rsidP="004D096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s-CO" w:eastAsia="es-CO"/>
              </w:rPr>
            </w:pPr>
            <w:r w:rsidRPr="004D096C">
              <w:rPr>
                <w:rFonts w:eastAsia="Times New Roman" w:cs="Arial"/>
                <w:color w:val="000000"/>
                <w:sz w:val="18"/>
                <w:szCs w:val="18"/>
                <w:lang w:val="es-CO" w:eastAsia="es-CO"/>
              </w:rPr>
              <w:t xml:space="preserve">                            745 </w:t>
            </w:r>
          </w:p>
        </w:tc>
      </w:tr>
      <w:tr w:rsidR="002D2D91" w:rsidRPr="004D096C" w:rsidTr="007F3B5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rsidR="002D2D91" w:rsidRPr="004D096C" w:rsidRDefault="002D2D91" w:rsidP="004D096C">
            <w:pPr>
              <w:spacing w:after="0" w:line="240" w:lineRule="auto"/>
              <w:rPr>
                <w:rFonts w:eastAsia="Times New Roman" w:cs="Arial"/>
                <w:b w:val="0"/>
                <w:color w:val="000000"/>
                <w:sz w:val="18"/>
                <w:szCs w:val="18"/>
                <w:lang w:val="es-CO" w:eastAsia="es-CO"/>
              </w:rPr>
            </w:pPr>
            <w:r w:rsidRPr="004D096C">
              <w:rPr>
                <w:rFonts w:eastAsia="Times New Roman" w:cs="Arial"/>
                <w:b w:val="0"/>
                <w:color w:val="000000"/>
                <w:sz w:val="18"/>
                <w:szCs w:val="18"/>
                <w:lang w:val="es-CO" w:eastAsia="es-CO"/>
              </w:rPr>
              <w:t>Alcaldía de Barranquilla</w:t>
            </w:r>
          </w:p>
        </w:tc>
        <w:tc>
          <w:tcPr>
            <w:tcW w:w="0" w:type="auto"/>
            <w:tcBorders>
              <w:top w:val="none" w:sz="0" w:space="0" w:color="auto"/>
              <w:bottom w:val="none" w:sz="0" w:space="0" w:color="auto"/>
            </w:tcBorders>
            <w:noWrap/>
            <w:hideMark/>
          </w:tcPr>
          <w:p w:rsidR="002D2D91" w:rsidRPr="004D096C" w:rsidRDefault="002D2D91" w:rsidP="004D096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es-CO" w:eastAsia="es-CO"/>
              </w:rPr>
            </w:pPr>
            <w:r w:rsidRPr="004D096C">
              <w:rPr>
                <w:rFonts w:eastAsia="Times New Roman" w:cs="Arial"/>
                <w:color w:val="000000"/>
                <w:sz w:val="18"/>
                <w:szCs w:val="18"/>
                <w:lang w:val="es-CO" w:eastAsia="es-CO"/>
              </w:rPr>
              <w:t xml:space="preserve">                        1.519 </w:t>
            </w:r>
          </w:p>
        </w:tc>
      </w:tr>
      <w:tr w:rsidR="002D2D91" w:rsidRPr="004D096C" w:rsidTr="007F3B58">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D2D91" w:rsidRPr="004D096C" w:rsidRDefault="002D2D91" w:rsidP="004D096C">
            <w:pPr>
              <w:spacing w:after="0" w:line="240" w:lineRule="auto"/>
              <w:rPr>
                <w:rFonts w:eastAsia="Times New Roman" w:cs="Arial"/>
                <w:b w:val="0"/>
                <w:color w:val="000000"/>
                <w:sz w:val="18"/>
                <w:szCs w:val="18"/>
                <w:lang w:val="es-CO" w:eastAsia="es-CO"/>
              </w:rPr>
            </w:pPr>
            <w:r w:rsidRPr="004D096C">
              <w:rPr>
                <w:rFonts w:eastAsia="Times New Roman" w:cs="Arial"/>
                <w:b w:val="0"/>
                <w:color w:val="000000"/>
                <w:sz w:val="18"/>
                <w:szCs w:val="18"/>
                <w:lang w:val="es-CO" w:eastAsia="es-CO"/>
              </w:rPr>
              <w:t>Fundación Carvajal – Buena crianza</w:t>
            </w:r>
          </w:p>
        </w:tc>
        <w:tc>
          <w:tcPr>
            <w:tcW w:w="0" w:type="auto"/>
            <w:noWrap/>
            <w:hideMark/>
          </w:tcPr>
          <w:p w:rsidR="002D2D91" w:rsidRPr="004D096C" w:rsidRDefault="002D2D91" w:rsidP="004D096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s-CO" w:eastAsia="es-CO"/>
              </w:rPr>
            </w:pPr>
            <w:r w:rsidRPr="004D096C">
              <w:rPr>
                <w:rFonts w:eastAsia="Times New Roman" w:cs="Arial"/>
                <w:color w:val="000000"/>
                <w:sz w:val="18"/>
                <w:szCs w:val="18"/>
                <w:lang w:val="es-CO" w:eastAsia="es-CO"/>
              </w:rPr>
              <w:t xml:space="preserve">                        1.213 </w:t>
            </w:r>
          </w:p>
        </w:tc>
      </w:tr>
      <w:tr w:rsidR="002D2D91" w:rsidRPr="004D096C" w:rsidTr="007F3B5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rsidR="002D2D91" w:rsidRPr="004D096C" w:rsidRDefault="002D2D91" w:rsidP="004D096C">
            <w:pPr>
              <w:spacing w:after="0" w:line="240" w:lineRule="auto"/>
              <w:rPr>
                <w:rFonts w:eastAsia="Times New Roman" w:cs="Arial"/>
                <w:b w:val="0"/>
                <w:color w:val="000000"/>
                <w:sz w:val="18"/>
                <w:szCs w:val="18"/>
                <w:lang w:val="es-CO" w:eastAsia="es-CO"/>
              </w:rPr>
            </w:pPr>
            <w:r w:rsidRPr="004D096C">
              <w:rPr>
                <w:rFonts w:eastAsia="Times New Roman" w:cs="Arial"/>
                <w:b w:val="0"/>
                <w:color w:val="000000"/>
                <w:sz w:val="18"/>
                <w:szCs w:val="18"/>
                <w:lang w:val="es-CO" w:eastAsia="es-CO"/>
              </w:rPr>
              <w:t>Universidad del Norte - Pisotón</w:t>
            </w:r>
          </w:p>
        </w:tc>
        <w:tc>
          <w:tcPr>
            <w:tcW w:w="0" w:type="auto"/>
            <w:tcBorders>
              <w:top w:val="none" w:sz="0" w:space="0" w:color="auto"/>
              <w:bottom w:val="none" w:sz="0" w:space="0" w:color="auto"/>
            </w:tcBorders>
            <w:noWrap/>
            <w:hideMark/>
          </w:tcPr>
          <w:p w:rsidR="002D2D91" w:rsidRPr="004D096C" w:rsidRDefault="002D2D91" w:rsidP="004D096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es-CO" w:eastAsia="es-CO"/>
              </w:rPr>
            </w:pPr>
            <w:r w:rsidRPr="004D096C">
              <w:rPr>
                <w:rFonts w:eastAsia="Times New Roman" w:cs="Arial"/>
                <w:color w:val="000000"/>
                <w:sz w:val="18"/>
                <w:szCs w:val="18"/>
                <w:lang w:val="es-CO" w:eastAsia="es-CO"/>
              </w:rPr>
              <w:t xml:space="preserve">                            993 </w:t>
            </w:r>
          </w:p>
        </w:tc>
      </w:tr>
      <w:tr w:rsidR="002D2D91" w:rsidRPr="004D096C" w:rsidTr="007F3B58">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D2D91" w:rsidRPr="004D096C" w:rsidRDefault="002D2D91" w:rsidP="004D096C">
            <w:pPr>
              <w:spacing w:after="0" w:line="240" w:lineRule="auto"/>
              <w:rPr>
                <w:rFonts w:eastAsia="Times New Roman" w:cs="Arial"/>
                <w:b w:val="0"/>
                <w:color w:val="000000"/>
                <w:sz w:val="18"/>
                <w:szCs w:val="18"/>
                <w:lang w:val="es-CO" w:eastAsia="es-CO"/>
              </w:rPr>
            </w:pPr>
            <w:r w:rsidRPr="004D096C">
              <w:rPr>
                <w:rFonts w:eastAsia="Times New Roman" w:cs="Arial"/>
                <w:b w:val="0"/>
                <w:color w:val="000000"/>
                <w:sz w:val="18"/>
                <w:szCs w:val="18"/>
                <w:lang w:val="es-CO" w:eastAsia="es-CO"/>
              </w:rPr>
              <w:t>Procesos por EAS</w:t>
            </w:r>
          </w:p>
        </w:tc>
        <w:tc>
          <w:tcPr>
            <w:tcW w:w="0" w:type="auto"/>
            <w:noWrap/>
            <w:hideMark/>
          </w:tcPr>
          <w:p w:rsidR="002D2D91" w:rsidRPr="004D096C" w:rsidRDefault="002D2D91" w:rsidP="004D096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s-CO" w:eastAsia="es-CO"/>
              </w:rPr>
            </w:pPr>
            <w:r w:rsidRPr="004D096C">
              <w:rPr>
                <w:rFonts w:eastAsia="Times New Roman" w:cs="Arial"/>
                <w:color w:val="000000"/>
                <w:sz w:val="18"/>
                <w:szCs w:val="18"/>
                <w:lang w:val="es-CO" w:eastAsia="es-CO"/>
              </w:rPr>
              <w:t xml:space="preserve">                         8.275</w:t>
            </w:r>
          </w:p>
        </w:tc>
      </w:tr>
      <w:tr w:rsidR="002D2D91" w:rsidRPr="004D096C" w:rsidTr="007F3B5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shd w:val="clear" w:color="auto" w:fill="E2EFDA"/>
            <w:noWrap/>
            <w:hideMark/>
          </w:tcPr>
          <w:p w:rsidR="002D2D91" w:rsidRPr="004D096C" w:rsidRDefault="002D2D91" w:rsidP="004D096C">
            <w:pPr>
              <w:spacing w:after="0" w:line="240" w:lineRule="auto"/>
              <w:jc w:val="center"/>
              <w:rPr>
                <w:rFonts w:eastAsia="Times New Roman" w:cs="Arial"/>
                <w:color w:val="000000"/>
                <w:sz w:val="18"/>
                <w:szCs w:val="18"/>
                <w:lang w:val="es-CO" w:eastAsia="es-CO"/>
              </w:rPr>
            </w:pPr>
            <w:r w:rsidRPr="004D096C">
              <w:rPr>
                <w:rFonts w:eastAsia="Times New Roman" w:cs="Arial"/>
                <w:color w:val="000000"/>
                <w:sz w:val="18"/>
                <w:szCs w:val="18"/>
                <w:lang w:val="es-CO" w:eastAsia="es-CO"/>
              </w:rPr>
              <w:t>TOTAL</w:t>
            </w:r>
          </w:p>
        </w:tc>
        <w:tc>
          <w:tcPr>
            <w:tcW w:w="0" w:type="auto"/>
            <w:tcBorders>
              <w:top w:val="none" w:sz="0" w:space="0" w:color="auto"/>
              <w:bottom w:val="none" w:sz="0" w:space="0" w:color="auto"/>
            </w:tcBorders>
            <w:shd w:val="clear" w:color="auto" w:fill="E2EFDA"/>
            <w:noWrap/>
            <w:hideMark/>
          </w:tcPr>
          <w:p w:rsidR="002D2D91" w:rsidRPr="004D096C" w:rsidRDefault="002D2D91" w:rsidP="004D09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18"/>
                <w:szCs w:val="18"/>
                <w:lang w:val="es-CO" w:eastAsia="es-CO"/>
              </w:rPr>
            </w:pPr>
            <w:r w:rsidRPr="004D096C">
              <w:rPr>
                <w:rFonts w:eastAsia="Times New Roman" w:cs="Arial"/>
                <w:b/>
                <w:color w:val="000000"/>
                <w:sz w:val="18"/>
                <w:szCs w:val="18"/>
                <w:lang w:val="es-CO" w:eastAsia="es-CO"/>
              </w:rPr>
              <w:t>15.580</w:t>
            </w:r>
          </w:p>
        </w:tc>
      </w:tr>
    </w:tbl>
    <w:p w:rsidR="002D2D91" w:rsidRPr="00142549" w:rsidRDefault="002D2D91" w:rsidP="00142549">
      <w:pPr>
        <w:jc w:val="center"/>
        <w:rPr>
          <w:rFonts w:cs="Arial"/>
          <w:sz w:val="16"/>
          <w:szCs w:val="16"/>
        </w:rPr>
      </w:pPr>
      <w:r w:rsidRPr="00142549">
        <w:rPr>
          <w:rFonts w:cs="Arial"/>
          <w:sz w:val="16"/>
          <w:szCs w:val="16"/>
        </w:rPr>
        <w:t>Fuente: Subdirección de gestión técnica para la atención a la Primera Infancia, corte 31 de diciembre de 2017</w:t>
      </w:r>
    </w:p>
    <w:p w:rsidR="002D2D91" w:rsidRPr="007608C2" w:rsidRDefault="002D2D91" w:rsidP="00A44A2B">
      <w:pPr>
        <w:pStyle w:val="Prrafodelista"/>
        <w:numPr>
          <w:ilvl w:val="0"/>
          <w:numId w:val="72"/>
        </w:numPr>
        <w:jc w:val="both"/>
        <w:rPr>
          <w:rFonts w:cs="Arial"/>
          <w:b/>
        </w:rPr>
      </w:pPr>
      <w:r w:rsidRPr="007608C2">
        <w:rPr>
          <w:rFonts w:cs="Arial"/>
          <w:b/>
        </w:rPr>
        <w:lastRenderedPageBreak/>
        <w:t>Construir, adecuar, mejorar y dotar la infraestructura para la atención en las modalidades de Primera Infancia.</w:t>
      </w:r>
    </w:p>
    <w:p w:rsidR="002D2D91" w:rsidRPr="007608C2" w:rsidRDefault="002D2D91" w:rsidP="002D2D91">
      <w:pPr>
        <w:jc w:val="both"/>
        <w:rPr>
          <w:rFonts w:cs="Arial"/>
        </w:rPr>
      </w:pPr>
      <w:r w:rsidRPr="007608C2">
        <w:rPr>
          <w:rFonts w:cs="Arial"/>
        </w:rPr>
        <w:t>Con el fin de orientar una compra de dotación pertinente y con elementos que cumplan en calidad y cantidad se realizó la actualización de la guía de dotaciones, la cual presenta más de 200 elementos, cada uno con sus respectivas fichas técnicas que permiten a las EAS realizar compras responsables y así favorecer el desarrollo, bienestar y seguridad de niñas y niños en las diferentes modalidades de atención.</w:t>
      </w:r>
    </w:p>
    <w:p w:rsidR="002D2D91" w:rsidRPr="007608C2" w:rsidRDefault="002D2D91" w:rsidP="002D2D91">
      <w:pPr>
        <w:jc w:val="both"/>
        <w:rPr>
          <w:rFonts w:cs="Arial"/>
        </w:rPr>
      </w:pPr>
      <w:r w:rsidRPr="007608C2">
        <w:rPr>
          <w:rFonts w:cs="Arial"/>
        </w:rPr>
        <w:t xml:space="preserve">Por otro lado, con el fin de conocer a precisión y con valores actualizados el costo de estos elementos en conjunto con la Dirección de Abastecimiento y en un ejercicio con Colombia Compra Eficiente, se inició el costeo de elementos de dotación de los servicios de Primera Infancia. Este ejercicio se organizó regionalizado con el fin de que se tuviesen en cuenta los costos de desplazamiento.  </w:t>
      </w:r>
    </w:p>
    <w:p w:rsidR="002D2D91" w:rsidRPr="007608C2" w:rsidRDefault="002D2D91" w:rsidP="002D2D91">
      <w:pPr>
        <w:jc w:val="both"/>
        <w:rPr>
          <w:rFonts w:cs="Arial"/>
        </w:rPr>
      </w:pPr>
      <w:r w:rsidRPr="007608C2">
        <w:rPr>
          <w:rFonts w:cs="Arial"/>
        </w:rPr>
        <w:t xml:space="preserve">Adicionalmente, se realizó la gestión para el fortalecimiento de salas de lectura, para ello se construyó una herramienta digital para registrar las visitas y se solicitó el apoyo a las regionales para su aplicación, actualmente se cuenta con 72 visitas registradas. </w:t>
      </w:r>
    </w:p>
    <w:p w:rsidR="002D2D91" w:rsidRPr="007608C2" w:rsidRDefault="002D2D91" w:rsidP="002D2D91">
      <w:pPr>
        <w:jc w:val="both"/>
        <w:rPr>
          <w:rFonts w:cs="Arial"/>
          <w:b/>
          <w:u w:val="single"/>
        </w:rPr>
      </w:pPr>
      <w:r w:rsidRPr="007608C2">
        <w:rPr>
          <w:rFonts w:cs="Arial"/>
          <w:b/>
          <w:u w:val="single"/>
        </w:rPr>
        <w:t>Dotaciones de Primera Infancia</w:t>
      </w:r>
    </w:p>
    <w:p w:rsidR="002D2D91" w:rsidRPr="007608C2" w:rsidRDefault="002D2D91" w:rsidP="002D2D91">
      <w:pPr>
        <w:jc w:val="both"/>
        <w:rPr>
          <w:rFonts w:cs="Arial"/>
        </w:rPr>
      </w:pPr>
      <w:r w:rsidRPr="007608C2">
        <w:rPr>
          <w:rFonts w:cs="Arial"/>
        </w:rPr>
        <w:t>En los procesos de contratación realizados durante la vigencia 2017 para la atención en los servicios de Primera Infancia, se destinaron a las Direcciones Regionales asignaciones de recursos en cinco fases por concepto de Dotación, las cuales son:</w:t>
      </w:r>
    </w:p>
    <w:p w:rsidR="002D2D91" w:rsidRPr="007608C2" w:rsidRDefault="002D2D91" w:rsidP="002D2D91">
      <w:pPr>
        <w:jc w:val="both"/>
        <w:rPr>
          <w:rFonts w:cs="Arial"/>
        </w:rPr>
      </w:pPr>
      <w:r w:rsidRPr="007608C2">
        <w:rPr>
          <w:rFonts w:cs="Arial"/>
        </w:rPr>
        <w:t>Asignación de recursos para servicios Integrales:</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ook w:val="04A0" w:firstRow="1" w:lastRow="0" w:firstColumn="1" w:lastColumn="0" w:noHBand="0" w:noVBand="1"/>
      </w:tblPr>
      <w:tblGrid>
        <w:gridCol w:w="3729"/>
        <w:gridCol w:w="1568"/>
        <w:gridCol w:w="867"/>
        <w:gridCol w:w="936"/>
      </w:tblGrid>
      <w:tr w:rsidR="002D2D91" w:rsidRPr="00142549" w:rsidTr="004D096C">
        <w:trPr>
          <w:trHeight w:val="255"/>
          <w:jc w:val="center"/>
        </w:trPr>
        <w:tc>
          <w:tcPr>
            <w:tcW w:w="0" w:type="auto"/>
            <w:shd w:val="clear" w:color="auto" w:fill="76922E"/>
            <w:noWrap/>
            <w:vAlign w:val="center"/>
            <w:hideMark/>
          </w:tcPr>
          <w:p w:rsidR="002D2D91" w:rsidRPr="004D096C" w:rsidRDefault="002D2D91"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Resolución</w:t>
            </w:r>
          </w:p>
        </w:tc>
        <w:tc>
          <w:tcPr>
            <w:tcW w:w="0" w:type="auto"/>
            <w:shd w:val="clear" w:color="auto" w:fill="76922E"/>
            <w:noWrap/>
            <w:vAlign w:val="center"/>
            <w:hideMark/>
          </w:tcPr>
          <w:p w:rsidR="002D2D91" w:rsidRPr="004D096C" w:rsidRDefault="00142549"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Total del e</w:t>
            </w:r>
            <w:r w:rsidR="002D2D91" w:rsidRPr="004D096C">
              <w:rPr>
                <w:rFonts w:eastAsia="Times New Roman" w:cs="Arial"/>
                <w:b/>
                <w:color w:val="FFFFFF" w:themeColor="background1"/>
                <w:sz w:val="18"/>
                <w:szCs w:val="18"/>
                <w:lang w:val="es-CO" w:eastAsia="es-CO"/>
              </w:rPr>
              <w:t>nvío</w:t>
            </w:r>
          </w:p>
        </w:tc>
        <w:tc>
          <w:tcPr>
            <w:tcW w:w="0" w:type="auto"/>
            <w:shd w:val="clear" w:color="auto" w:fill="76922E"/>
            <w:noWrap/>
            <w:vAlign w:val="center"/>
            <w:hideMark/>
          </w:tcPr>
          <w:p w:rsidR="002D2D91" w:rsidRPr="004D096C" w:rsidRDefault="002D2D91"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Cupos</w:t>
            </w:r>
          </w:p>
        </w:tc>
        <w:tc>
          <w:tcPr>
            <w:tcW w:w="0" w:type="auto"/>
            <w:shd w:val="clear" w:color="auto" w:fill="76922E"/>
            <w:noWrap/>
            <w:vAlign w:val="center"/>
            <w:hideMark/>
          </w:tcPr>
          <w:p w:rsidR="002D2D91" w:rsidRPr="004D096C" w:rsidRDefault="002D2D91"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No</w:t>
            </w:r>
            <w:r w:rsidR="00142549" w:rsidRPr="004D096C">
              <w:rPr>
                <w:rFonts w:eastAsia="Times New Roman" w:cs="Arial"/>
                <w:b/>
                <w:color w:val="FFFFFF" w:themeColor="background1"/>
                <w:sz w:val="18"/>
                <w:szCs w:val="18"/>
                <w:lang w:val="es-CO" w:eastAsia="es-CO"/>
              </w:rPr>
              <w:t>.</w:t>
            </w:r>
            <w:r w:rsidRPr="004D096C">
              <w:rPr>
                <w:rFonts w:eastAsia="Times New Roman" w:cs="Arial"/>
                <w:b/>
                <w:color w:val="FFFFFF" w:themeColor="background1"/>
                <w:sz w:val="18"/>
                <w:szCs w:val="18"/>
                <w:lang w:val="es-CO" w:eastAsia="es-CO"/>
              </w:rPr>
              <w:t xml:space="preserve"> UDS</w:t>
            </w:r>
          </w:p>
        </w:tc>
      </w:tr>
      <w:tr w:rsidR="002D2D91" w:rsidRPr="00142549" w:rsidTr="004D096C">
        <w:trPr>
          <w:trHeight w:val="285"/>
          <w:jc w:val="center"/>
        </w:trPr>
        <w:tc>
          <w:tcPr>
            <w:tcW w:w="0" w:type="auto"/>
            <w:noWrap/>
            <w:hideMark/>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Fase 1- Res. 2645 del 21 de abril de 2017</w:t>
            </w:r>
          </w:p>
        </w:tc>
        <w:tc>
          <w:tcPr>
            <w:tcW w:w="0" w:type="auto"/>
            <w:noWrap/>
            <w:hideMark/>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$44.868.252.584</w:t>
            </w:r>
          </w:p>
        </w:tc>
        <w:tc>
          <w:tcPr>
            <w:tcW w:w="0" w:type="auto"/>
            <w:noWrap/>
            <w:hideMark/>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328.041</w:t>
            </w:r>
          </w:p>
        </w:tc>
        <w:tc>
          <w:tcPr>
            <w:tcW w:w="0" w:type="auto"/>
            <w:noWrap/>
            <w:hideMark/>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6.785</w:t>
            </w:r>
          </w:p>
        </w:tc>
      </w:tr>
      <w:tr w:rsidR="002D2D91" w:rsidRPr="00142549" w:rsidTr="004D096C">
        <w:trPr>
          <w:trHeight w:val="255"/>
          <w:jc w:val="center"/>
        </w:trPr>
        <w:tc>
          <w:tcPr>
            <w:tcW w:w="0" w:type="auto"/>
            <w:noWrap/>
            <w:hideMark/>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Fase 2- Res. 3631 del 23 de mayo de 2017</w:t>
            </w:r>
          </w:p>
        </w:tc>
        <w:tc>
          <w:tcPr>
            <w:tcW w:w="0" w:type="auto"/>
            <w:noWrap/>
            <w:hideMark/>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$20.230.958.505</w:t>
            </w:r>
          </w:p>
        </w:tc>
        <w:tc>
          <w:tcPr>
            <w:tcW w:w="0" w:type="auto"/>
            <w:noWrap/>
            <w:hideMark/>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186.053</w:t>
            </w:r>
          </w:p>
        </w:tc>
        <w:tc>
          <w:tcPr>
            <w:tcW w:w="0" w:type="auto"/>
            <w:noWrap/>
            <w:hideMark/>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4.474</w:t>
            </w:r>
          </w:p>
        </w:tc>
      </w:tr>
      <w:tr w:rsidR="002D2D91" w:rsidRPr="00142549" w:rsidTr="004D096C">
        <w:trPr>
          <w:trHeight w:val="64"/>
          <w:jc w:val="center"/>
        </w:trPr>
        <w:tc>
          <w:tcPr>
            <w:tcW w:w="0" w:type="auto"/>
            <w:noWrap/>
            <w:hideMark/>
          </w:tcPr>
          <w:p w:rsidR="002D2D91" w:rsidRPr="004D096C" w:rsidRDefault="00295869"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 xml:space="preserve">Fase 3 - </w:t>
            </w:r>
            <w:r w:rsidR="002D2D91" w:rsidRPr="004D096C">
              <w:rPr>
                <w:rFonts w:eastAsia="Times New Roman" w:cs="Arial"/>
                <w:color w:val="000000"/>
                <w:sz w:val="18"/>
                <w:szCs w:val="18"/>
                <w:lang w:val="es-CO" w:eastAsia="es-CO"/>
              </w:rPr>
              <w:t>Res. 6607 del 9 de agosto de 2017</w:t>
            </w:r>
          </w:p>
        </w:tc>
        <w:tc>
          <w:tcPr>
            <w:tcW w:w="0" w:type="auto"/>
            <w:noWrap/>
            <w:hideMark/>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$17.264.072.615</w:t>
            </w:r>
          </w:p>
        </w:tc>
        <w:tc>
          <w:tcPr>
            <w:tcW w:w="0" w:type="auto"/>
            <w:noWrap/>
            <w:hideMark/>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122.244</w:t>
            </w:r>
          </w:p>
        </w:tc>
        <w:tc>
          <w:tcPr>
            <w:tcW w:w="0" w:type="auto"/>
            <w:noWrap/>
            <w:hideMark/>
          </w:tcPr>
          <w:p w:rsidR="002D2D91" w:rsidRPr="004D096C" w:rsidRDefault="002D2D91" w:rsidP="004D096C">
            <w:pPr>
              <w:spacing w:after="0" w:line="240" w:lineRule="auto"/>
              <w:rPr>
                <w:rFonts w:eastAsia="Times New Roman" w:cs="Arial"/>
                <w:color w:val="000000"/>
                <w:sz w:val="18"/>
                <w:szCs w:val="18"/>
                <w:lang w:val="es-CO" w:eastAsia="es-CO"/>
              </w:rPr>
            </w:pPr>
            <w:r w:rsidRPr="004D096C">
              <w:rPr>
                <w:rFonts w:eastAsia="Times New Roman" w:cs="Arial"/>
                <w:color w:val="000000"/>
                <w:sz w:val="18"/>
                <w:szCs w:val="18"/>
                <w:lang w:val="es-CO" w:eastAsia="es-CO"/>
              </w:rPr>
              <w:t>2.410</w:t>
            </w:r>
          </w:p>
        </w:tc>
      </w:tr>
      <w:tr w:rsidR="002D2D91" w:rsidRPr="00142549" w:rsidTr="004D096C">
        <w:trPr>
          <w:trHeight w:val="50"/>
          <w:jc w:val="center"/>
        </w:trPr>
        <w:tc>
          <w:tcPr>
            <w:tcW w:w="0" w:type="auto"/>
            <w:shd w:val="clear" w:color="auto" w:fill="E2EFDA"/>
            <w:noWrap/>
            <w:hideMark/>
          </w:tcPr>
          <w:p w:rsidR="002D2D91" w:rsidRPr="004D096C" w:rsidRDefault="002D2D91" w:rsidP="004D096C">
            <w:pPr>
              <w:spacing w:after="0" w:line="240" w:lineRule="auto"/>
              <w:jc w:val="center"/>
              <w:rPr>
                <w:rFonts w:eastAsia="Times New Roman" w:cs="Arial"/>
                <w:b/>
                <w:color w:val="000000"/>
                <w:sz w:val="18"/>
                <w:szCs w:val="18"/>
                <w:lang w:val="es-CO" w:eastAsia="es-CO"/>
              </w:rPr>
            </w:pPr>
            <w:r w:rsidRPr="004D096C">
              <w:rPr>
                <w:rFonts w:eastAsia="Times New Roman" w:cs="Arial"/>
                <w:b/>
                <w:color w:val="000000"/>
                <w:sz w:val="18"/>
                <w:szCs w:val="18"/>
                <w:lang w:val="es-CO" w:eastAsia="es-CO"/>
              </w:rPr>
              <w:t>Total</w:t>
            </w:r>
          </w:p>
        </w:tc>
        <w:tc>
          <w:tcPr>
            <w:tcW w:w="0" w:type="auto"/>
            <w:shd w:val="clear" w:color="auto" w:fill="E2EFDA"/>
            <w:noWrap/>
            <w:hideMark/>
          </w:tcPr>
          <w:p w:rsidR="002D2D91" w:rsidRPr="004D096C" w:rsidRDefault="002D2D91" w:rsidP="004D096C">
            <w:pPr>
              <w:spacing w:after="0" w:line="240" w:lineRule="auto"/>
              <w:jc w:val="center"/>
              <w:rPr>
                <w:rFonts w:eastAsia="Times New Roman" w:cs="Arial"/>
                <w:b/>
                <w:color w:val="000000"/>
                <w:sz w:val="18"/>
                <w:szCs w:val="18"/>
                <w:lang w:val="es-CO" w:eastAsia="es-CO"/>
              </w:rPr>
            </w:pPr>
            <w:r w:rsidRPr="004D096C">
              <w:rPr>
                <w:rFonts w:eastAsia="Times New Roman" w:cs="Arial"/>
                <w:b/>
                <w:color w:val="000000"/>
                <w:sz w:val="18"/>
                <w:szCs w:val="18"/>
                <w:lang w:val="es-CO" w:eastAsia="es-CO"/>
              </w:rPr>
              <w:t>$82.363.283.704</w:t>
            </w:r>
          </w:p>
        </w:tc>
        <w:tc>
          <w:tcPr>
            <w:tcW w:w="0" w:type="auto"/>
            <w:shd w:val="clear" w:color="auto" w:fill="E2EFDA"/>
            <w:noWrap/>
            <w:hideMark/>
          </w:tcPr>
          <w:p w:rsidR="002D2D91" w:rsidRPr="004D096C" w:rsidRDefault="002D2D91" w:rsidP="004D096C">
            <w:pPr>
              <w:spacing w:after="0" w:line="240" w:lineRule="auto"/>
              <w:jc w:val="center"/>
              <w:rPr>
                <w:rFonts w:eastAsia="Times New Roman" w:cs="Arial"/>
                <w:b/>
                <w:color w:val="000000"/>
                <w:sz w:val="18"/>
                <w:szCs w:val="18"/>
                <w:lang w:val="es-CO" w:eastAsia="es-CO"/>
              </w:rPr>
            </w:pPr>
            <w:r w:rsidRPr="004D096C">
              <w:rPr>
                <w:rFonts w:eastAsia="Times New Roman" w:cs="Arial"/>
                <w:b/>
                <w:color w:val="000000"/>
                <w:sz w:val="18"/>
                <w:szCs w:val="18"/>
                <w:lang w:val="es-CO" w:eastAsia="es-CO"/>
              </w:rPr>
              <w:t>636.338</w:t>
            </w:r>
          </w:p>
        </w:tc>
        <w:tc>
          <w:tcPr>
            <w:tcW w:w="0" w:type="auto"/>
            <w:shd w:val="clear" w:color="auto" w:fill="E2EFDA"/>
            <w:noWrap/>
            <w:hideMark/>
          </w:tcPr>
          <w:p w:rsidR="002D2D91" w:rsidRPr="004D096C" w:rsidRDefault="002D2D91" w:rsidP="004D096C">
            <w:pPr>
              <w:spacing w:after="0" w:line="240" w:lineRule="auto"/>
              <w:jc w:val="center"/>
              <w:rPr>
                <w:rFonts w:eastAsia="Times New Roman" w:cs="Arial"/>
                <w:b/>
                <w:color w:val="000000"/>
                <w:sz w:val="18"/>
                <w:szCs w:val="18"/>
                <w:lang w:val="es-CO" w:eastAsia="es-CO"/>
              </w:rPr>
            </w:pPr>
            <w:r w:rsidRPr="004D096C">
              <w:rPr>
                <w:rFonts w:eastAsia="Times New Roman" w:cs="Arial"/>
                <w:b/>
                <w:color w:val="000000"/>
                <w:sz w:val="18"/>
                <w:szCs w:val="18"/>
                <w:lang w:val="es-CO" w:eastAsia="es-CO"/>
              </w:rPr>
              <w:t>13.669</w:t>
            </w:r>
          </w:p>
        </w:tc>
      </w:tr>
    </w:tbl>
    <w:p w:rsidR="002D2D91" w:rsidRPr="00142549" w:rsidRDefault="00142549" w:rsidP="00142549">
      <w:pPr>
        <w:rPr>
          <w:rFonts w:cs="Arial"/>
          <w:sz w:val="16"/>
          <w:szCs w:val="16"/>
        </w:rPr>
      </w:pPr>
      <w:r>
        <w:rPr>
          <w:rFonts w:cs="Arial"/>
          <w:sz w:val="18"/>
        </w:rPr>
        <w:t xml:space="preserve">                 </w:t>
      </w:r>
      <w:r w:rsidR="002D2D91" w:rsidRPr="00142549">
        <w:rPr>
          <w:rFonts w:cs="Arial"/>
          <w:sz w:val="16"/>
          <w:szCs w:val="16"/>
        </w:rPr>
        <w:t>Fuente: Subdirección de operación para la atención de la Primera Infancia, corte 31 de diciembre de 2017</w:t>
      </w:r>
    </w:p>
    <w:p w:rsidR="002D2D91" w:rsidRPr="007608C2" w:rsidRDefault="002D2D91" w:rsidP="002D2D91">
      <w:pPr>
        <w:jc w:val="both"/>
        <w:rPr>
          <w:rFonts w:cs="Arial"/>
        </w:rPr>
      </w:pPr>
      <w:r w:rsidRPr="007608C2">
        <w:rPr>
          <w:rFonts w:cs="Arial"/>
        </w:rPr>
        <w:t>Asignación de recursos para HCB en todas sus formas:</w:t>
      </w:r>
    </w:p>
    <w:tbl>
      <w:tblPr>
        <w:tblW w:w="0" w:type="auto"/>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ook w:val="04A0" w:firstRow="1" w:lastRow="0" w:firstColumn="1" w:lastColumn="0" w:noHBand="0" w:noVBand="1"/>
      </w:tblPr>
      <w:tblGrid>
        <w:gridCol w:w="3168"/>
        <w:gridCol w:w="1820"/>
        <w:gridCol w:w="2237"/>
        <w:gridCol w:w="2170"/>
      </w:tblGrid>
      <w:tr w:rsidR="002D2D91" w:rsidRPr="00142549" w:rsidTr="004D096C">
        <w:trPr>
          <w:trHeight w:val="395"/>
        </w:trPr>
        <w:tc>
          <w:tcPr>
            <w:tcW w:w="0" w:type="auto"/>
            <w:shd w:val="clear" w:color="auto" w:fill="76922E"/>
            <w:noWrap/>
            <w:vAlign w:val="center"/>
            <w:hideMark/>
          </w:tcPr>
          <w:p w:rsidR="002D2D91" w:rsidRPr="004D096C" w:rsidRDefault="002D2D91"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Resolución</w:t>
            </w:r>
          </w:p>
        </w:tc>
        <w:tc>
          <w:tcPr>
            <w:tcW w:w="0" w:type="auto"/>
            <w:shd w:val="clear" w:color="auto" w:fill="76922E"/>
            <w:vAlign w:val="center"/>
            <w:hideMark/>
          </w:tcPr>
          <w:p w:rsidR="002D2D91" w:rsidRPr="004D096C" w:rsidRDefault="00FE231E"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Costo Total D</w:t>
            </w:r>
            <w:r w:rsidR="002D2D91" w:rsidRPr="004D096C">
              <w:rPr>
                <w:rFonts w:eastAsia="Times New Roman" w:cs="Arial"/>
                <w:b/>
                <w:color w:val="FFFFFF" w:themeColor="background1"/>
                <w:sz w:val="18"/>
                <w:szCs w:val="18"/>
                <w:lang w:val="es-CO" w:eastAsia="es-CO"/>
              </w:rPr>
              <w:t>otación</w:t>
            </w:r>
          </w:p>
        </w:tc>
        <w:tc>
          <w:tcPr>
            <w:tcW w:w="2237" w:type="dxa"/>
            <w:shd w:val="clear" w:color="auto" w:fill="76922E"/>
            <w:vAlign w:val="center"/>
            <w:hideMark/>
          </w:tcPr>
          <w:p w:rsidR="002D2D91" w:rsidRPr="004D096C" w:rsidRDefault="002D2D91"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Unidades Servicio Programadas Vigentes</w:t>
            </w:r>
          </w:p>
        </w:tc>
        <w:tc>
          <w:tcPr>
            <w:tcW w:w="2170" w:type="dxa"/>
            <w:shd w:val="clear" w:color="auto" w:fill="76922E"/>
            <w:vAlign w:val="center"/>
            <w:hideMark/>
          </w:tcPr>
          <w:p w:rsidR="002D2D91" w:rsidRPr="004D096C" w:rsidRDefault="002D2D91"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Cupos Programados</w:t>
            </w:r>
            <w:r w:rsidRPr="004D096C">
              <w:rPr>
                <w:rFonts w:eastAsia="Times New Roman" w:cs="Arial"/>
                <w:b/>
                <w:color w:val="FFFFFF" w:themeColor="background1"/>
                <w:sz w:val="18"/>
                <w:szCs w:val="18"/>
                <w:lang w:val="es-CO" w:eastAsia="es-CO"/>
              </w:rPr>
              <w:br/>
              <w:t>Vigentes</w:t>
            </w:r>
          </w:p>
        </w:tc>
      </w:tr>
      <w:tr w:rsidR="002D2D91" w:rsidRPr="00142549" w:rsidTr="004D096C">
        <w:trPr>
          <w:trHeight w:val="14"/>
        </w:trPr>
        <w:tc>
          <w:tcPr>
            <w:tcW w:w="0" w:type="auto"/>
            <w:noWrap/>
            <w:vAlign w:val="center"/>
            <w:hideMark/>
          </w:tcPr>
          <w:p w:rsidR="002D2D91" w:rsidRPr="00142549" w:rsidRDefault="002D2D91" w:rsidP="00FE231E">
            <w:pPr>
              <w:spacing w:after="0" w:line="360" w:lineRule="auto"/>
              <w:contextualSpacing/>
              <w:jc w:val="center"/>
              <w:rPr>
                <w:rFonts w:cs="Arial"/>
                <w:sz w:val="18"/>
                <w:szCs w:val="18"/>
              </w:rPr>
            </w:pPr>
            <w:r w:rsidRPr="00142549">
              <w:rPr>
                <w:rFonts w:cs="Arial"/>
                <w:sz w:val="18"/>
                <w:szCs w:val="18"/>
              </w:rPr>
              <w:t>HCB -  Res. 7382 agosto 24 de 2017</w:t>
            </w:r>
          </w:p>
        </w:tc>
        <w:tc>
          <w:tcPr>
            <w:tcW w:w="0" w:type="auto"/>
            <w:noWrap/>
            <w:vAlign w:val="center"/>
            <w:hideMark/>
          </w:tcPr>
          <w:p w:rsidR="002D2D91" w:rsidRPr="00142549" w:rsidRDefault="002D2D91" w:rsidP="00FE231E">
            <w:pPr>
              <w:spacing w:after="0" w:line="360" w:lineRule="auto"/>
              <w:contextualSpacing/>
              <w:jc w:val="center"/>
              <w:rPr>
                <w:rFonts w:cs="Arial"/>
                <w:sz w:val="18"/>
                <w:szCs w:val="18"/>
              </w:rPr>
            </w:pPr>
            <w:r w:rsidRPr="00142549">
              <w:rPr>
                <w:rFonts w:cs="Arial"/>
                <w:sz w:val="18"/>
                <w:szCs w:val="18"/>
              </w:rPr>
              <w:t>$74.858.692.840</w:t>
            </w:r>
          </w:p>
        </w:tc>
        <w:tc>
          <w:tcPr>
            <w:tcW w:w="2237" w:type="dxa"/>
            <w:noWrap/>
            <w:vAlign w:val="center"/>
            <w:hideMark/>
          </w:tcPr>
          <w:p w:rsidR="002D2D91" w:rsidRPr="00142549" w:rsidRDefault="002D2D91" w:rsidP="00FE231E">
            <w:pPr>
              <w:spacing w:after="0" w:line="360" w:lineRule="auto"/>
              <w:contextualSpacing/>
              <w:jc w:val="center"/>
              <w:rPr>
                <w:rFonts w:cs="Arial"/>
                <w:sz w:val="18"/>
                <w:szCs w:val="18"/>
              </w:rPr>
            </w:pPr>
            <w:r w:rsidRPr="00142549">
              <w:rPr>
                <w:rFonts w:cs="Arial"/>
                <w:sz w:val="18"/>
                <w:szCs w:val="18"/>
              </w:rPr>
              <w:t>54.086</w:t>
            </w:r>
          </w:p>
        </w:tc>
        <w:tc>
          <w:tcPr>
            <w:tcW w:w="2170" w:type="dxa"/>
            <w:noWrap/>
            <w:vAlign w:val="center"/>
            <w:hideMark/>
          </w:tcPr>
          <w:p w:rsidR="002D2D91" w:rsidRPr="00142549" w:rsidRDefault="002D2D91" w:rsidP="00FE231E">
            <w:pPr>
              <w:spacing w:after="0" w:line="360" w:lineRule="auto"/>
              <w:contextualSpacing/>
              <w:jc w:val="center"/>
              <w:rPr>
                <w:rFonts w:cs="Arial"/>
                <w:sz w:val="18"/>
                <w:szCs w:val="18"/>
              </w:rPr>
            </w:pPr>
            <w:r w:rsidRPr="00142549">
              <w:rPr>
                <w:rFonts w:cs="Arial"/>
                <w:sz w:val="18"/>
                <w:szCs w:val="18"/>
              </w:rPr>
              <w:t>712.022</w:t>
            </w:r>
          </w:p>
        </w:tc>
      </w:tr>
    </w:tbl>
    <w:p w:rsidR="002D2D91" w:rsidRPr="00142549" w:rsidRDefault="002D2D91" w:rsidP="002D2D91">
      <w:pPr>
        <w:jc w:val="both"/>
        <w:rPr>
          <w:rFonts w:cs="Arial"/>
          <w:sz w:val="16"/>
          <w:szCs w:val="16"/>
        </w:rPr>
      </w:pPr>
      <w:r w:rsidRPr="00142549">
        <w:rPr>
          <w:rFonts w:cs="Arial"/>
          <w:sz w:val="16"/>
          <w:szCs w:val="16"/>
        </w:rPr>
        <w:t>Fuente: Subdirección de operación para la atención de la Primera Infancia, corte 31 de diciembre de 2017</w:t>
      </w:r>
    </w:p>
    <w:p w:rsidR="002D2D91" w:rsidRPr="007608C2" w:rsidRDefault="002D2D91" w:rsidP="002D2D91">
      <w:pPr>
        <w:jc w:val="both"/>
        <w:rPr>
          <w:rFonts w:cs="Arial"/>
        </w:rPr>
      </w:pPr>
      <w:r w:rsidRPr="007608C2">
        <w:rPr>
          <w:rFonts w:cs="Arial"/>
        </w:rPr>
        <w:t>Asignación de recursos HI:</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ook w:val="04A0" w:firstRow="1" w:lastRow="0" w:firstColumn="1" w:lastColumn="0" w:noHBand="0" w:noVBand="1"/>
      </w:tblPr>
      <w:tblGrid>
        <w:gridCol w:w="2738"/>
        <w:gridCol w:w="1746"/>
        <w:gridCol w:w="2757"/>
        <w:gridCol w:w="927"/>
      </w:tblGrid>
      <w:tr w:rsidR="002D2D91" w:rsidRPr="00142549" w:rsidTr="00FE231E">
        <w:trPr>
          <w:trHeight w:val="320"/>
          <w:jc w:val="center"/>
        </w:trPr>
        <w:tc>
          <w:tcPr>
            <w:tcW w:w="0" w:type="auto"/>
            <w:shd w:val="clear" w:color="auto" w:fill="76922E"/>
            <w:noWrap/>
            <w:hideMark/>
          </w:tcPr>
          <w:p w:rsidR="002D2D91" w:rsidRPr="004D096C" w:rsidRDefault="002D2D91"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Resolución</w:t>
            </w:r>
          </w:p>
        </w:tc>
        <w:tc>
          <w:tcPr>
            <w:tcW w:w="0" w:type="auto"/>
            <w:shd w:val="clear" w:color="auto" w:fill="76922E"/>
            <w:hideMark/>
          </w:tcPr>
          <w:p w:rsidR="002D2D91" w:rsidRPr="004D096C" w:rsidRDefault="002D2D91"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Dotación Equipos</w:t>
            </w:r>
          </w:p>
        </w:tc>
        <w:tc>
          <w:tcPr>
            <w:tcW w:w="0" w:type="auto"/>
            <w:shd w:val="clear" w:color="auto" w:fill="76922E"/>
            <w:hideMark/>
          </w:tcPr>
          <w:p w:rsidR="002D2D91" w:rsidRPr="004D096C" w:rsidRDefault="002D2D91"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Validación de Cupos por UDS</w:t>
            </w:r>
          </w:p>
        </w:tc>
        <w:tc>
          <w:tcPr>
            <w:tcW w:w="0" w:type="auto"/>
            <w:shd w:val="clear" w:color="auto" w:fill="76922E"/>
            <w:hideMark/>
          </w:tcPr>
          <w:p w:rsidR="002D2D91" w:rsidRPr="004D096C" w:rsidRDefault="002D2D91" w:rsidP="004D096C">
            <w:pPr>
              <w:spacing w:after="0" w:line="240" w:lineRule="auto"/>
              <w:jc w:val="center"/>
              <w:rPr>
                <w:rFonts w:eastAsia="Times New Roman" w:cs="Arial"/>
                <w:b/>
                <w:color w:val="FFFFFF" w:themeColor="background1"/>
                <w:sz w:val="18"/>
                <w:szCs w:val="18"/>
                <w:lang w:val="es-CO" w:eastAsia="es-CO"/>
              </w:rPr>
            </w:pPr>
            <w:r w:rsidRPr="004D096C">
              <w:rPr>
                <w:rFonts w:eastAsia="Times New Roman" w:cs="Arial"/>
                <w:b/>
                <w:color w:val="FFFFFF" w:themeColor="background1"/>
                <w:sz w:val="18"/>
                <w:szCs w:val="18"/>
                <w:lang w:val="es-CO" w:eastAsia="es-CO"/>
              </w:rPr>
              <w:t>No. EAS</w:t>
            </w:r>
          </w:p>
        </w:tc>
      </w:tr>
      <w:tr w:rsidR="002D2D91" w:rsidRPr="00142549" w:rsidTr="00FE231E">
        <w:trPr>
          <w:trHeight w:val="160"/>
          <w:jc w:val="center"/>
        </w:trPr>
        <w:tc>
          <w:tcPr>
            <w:tcW w:w="0" w:type="auto"/>
            <w:noWrap/>
            <w:hideMark/>
          </w:tcPr>
          <w:p w:rsidR="002D2D91" w:rsidRPr="00142549" w:rsidRDefault="002D2D91" w:rsidP="00FE231E">
            <w:pPr>
              <w:spacing w:after="0" w:line="360" w:lineRule="auto"/>
              <w:contextualSpacing/>
              <w:jc w:val="both"/>
              <w:rPr>
                <w:rFonts w:cs="Arial"/>
                <w:sz w:val="18"/>
                <w:szCs w:val="18"/>
              </w:rPr>
            </w:pPr>
            <w:r w:rsidRPr="00142549">
              <w:rPr>
                <w:rFonts w:cs="Arial"/>
                <w:sz w:val="18"/>
                <w:szCs w:val="18"/>
              </w:rPr>
              <w:t>Res. 10205 octubre 19 de 2017</w:t>
            </w:r>
          </w:p>
        </w:tc>
        <w:tc>
          <w:tcPr>
            <w:tcW w:w="0" w:type="auto"/>
            <w:noWrap/>
            <w:hideMark/>
          </w:tcPr>
          <w:p w:rsidR="002D2D91" w:rsidRPr="00142549" w:rsidRDefault="002D2D91" w:rsidP="00FE231E">
            <w:pPr>
              <w:spacing w:after="0" w:line="360" w:lineRule="auto"/>
              <w:contextualSpacing/>
              <w:jc w:val="center"/>
              <w:rPr>
                <w:rFonts w:cs="Arial"/>
                <w:sz w:val="18"/>
                <w:szCs w:val="18"/>
              </w:rPr>
            </w:pPr>
            <w:r w:rsidRPr="00142549">
              <w:rPr>
                <w:rFonts w:cs="Arial"/>
                <w:sz w:val="18"/>
                <w:szCs w:val="18"/>
              </w:rPr>
              <w:t>$5.621.000.000</w:t>
            </w:r>
          </w:p>
        </w:tc>
        <w:tc>
          <w:tcPr>
            <w:tcW w:w="0" w:type="auto"/>
            <w:noWrap/>
            <w:hideMark/>
          </w:tcPr>
          <w:p w:rsidR="002D2D91" w:rsidRPr="00142549" w:rsidRDefault="002D2D91" w:rsidP="00FE231E">
            <w:pPr>
              <w:spacing w:after="0" w:line="360" w:lineRule="auto"/>
              <w:contextualSpacing/>
              <w:jc w:val="center"/>
              <w:rPr>
                <w:rFonts w:cs="Arial"/>
                <w:sz w:val="18"/>
                <w:szCs w:val="18"/>
              </w:rPr>
            </w:pPr>
            <w:r w:rsidRPr="00142549">
              <w:rPr>
                <w:rFonts w:cs="Arial"/>
                <w:sz w:val="18"/>
                <w:szCs w:val="18"/>
              </w:rPr>
              <w:t>103.557</w:t>
            </w:r>
          </w:p>
        </w:tc>
        <w:tc>
          <w:tcPr>
            <w:tcW w:w="0" w:type="auto"/>
            <w:noWrap/>
            <w:hideMark/>
          </w:tcPr>
          <w:p w:rsidR="002D2D91" w:rsidRPr="00142549" w:rsidRDefault="002D2D91" w:rsidP="00FE231E">
            <w:pPr>
              <w:spacing w:after="0" w:line="360" w:lineRule="auto"/>
              <w:contextualSpacing/>
              <w:jc w:val="center"/>
              <w:rPr>
                <w:rFonts w:cs="Arial"/>
                <w:sz w:val="18"/>
                <w:szCs w:val="18"/>
              </w:rPr>
            </w:pPr>
            <w:r w:rsidRPr="00142549">
              <w:rPr>
                <w:rFonts w:cs="Arial"/>
                <w:sz w:val="18"/>
                <w:szCs w:val="18"/>
              </w:rPr>
              <w:t>805</w:t>
            </w:r>
          </w:p>
        </w:tc>
      </w:tr>
    </w:tbl>
    <w:p w:rsidR="002D2D91" w:rsidRPr="00142549" w:rsidRDefault="002D2D91" w:rsidP="00142549">
      <w:pPr>
        <w:jc w:val="center"/>
        <w:rPr>
          <w:rFonts w:cs="Arial"/>
          <w:sz w:val="16"/>
          <w:szCs w:val="16"/>
        </w:rPr>
      </w:pPr>
      <w:r w:rsidRPr="00142549">
        <w:rPr>
          <w:rFonts w:cs="Arial"/>
          <w:sz w:val="16"/>
          <w:szCs w:val="16"/>
        </w:rPr>
        <w:lastRenderedPageBreak/>
        <w:t>Fuente: Subdirección de operación para la atención de la Primera Infancia, corte 31 de diciembre de 2017</w:t>
      </w:r>
    </w:p>
    <w:p w:rsidR="002D2D91" w:rsidRPr="007608C2" w:rsidRDefault="002D2D91" w:rsidP="002D2D91">
      <w:pPr>
        <w:jc w:val="both"/>
        <w:rPr>
          <w:rFonts w:cs="Arial"/>
        </w:rPr>
      </w:pPr>
      <w:r w:rsidRPr="007608C2">
        <w:rPr>
          <w:rFonts w:cs="Arial"/>
        </w:rPr>
        <w:t>El total de la inversión en Dotación fue de $ 162.842.976.544,00 para 2017 con lo que se logró mejorar la prestación del servicio a los Usuarios de manera Integral en cada una de las 33 Regionales a nivel país (</w:t>
      </w:r>
      <w:r w:rsidRPr="007608C2">
        <w:rPr>
          <w:rFonts w:cs="Arial"/>
          <w:i/>
        </w:rPr>
        <w:t>Fuente: Subdirección de operación para la atención de la Primera Infancia, corte 31 de diciembre de 2017</w:t>
      </w:r>
      <w:r w:rsidRPr="007608C2">
        <w:rPr>
          <w:rFonts w:cs="Arial"/>
        </w:rPr>
        <w:t>).</w:t>
      </w:r>
    </w:p>
    <w:p w:rsidR="002D2D91" w:rsidRPr="007608C2" w:rsidRDefault="002D2D91" w:rsidP="002D2D91">
      <w:pPr>
        <w:jc w:val="both"/>
        <w:rPr>
          <w:rFonts w:cs="Arial"/>
          <w:u w:val="single"/>
        </w:rPr>
      </w:pPr>
      <w:r w:rsidRPr="007608C2">
        <w:rPr>
          <w:rFonts w:cs="Arial"/>
          <w:u w:val="single"/>
        </w:rPr>
        <w:t>Incremento del Aporte Nutricional del 45% al 70% del requerimiento diario en el servicio HCB - FAMI</w:t>
      </w:r>
    </w:p>
    <w:p w:rsidR="002D2D91" w:rsidRPr="007608C2" w:rsidRDefault="002D2D91" w:rsidP="002D2D91">
      <w:pPr>
        <w:jc w:val="both"/>
        <w:rPr>
          <w:rFonts w:cs="Arial"/>
        </w:rPr>
      </w:pPr>
      <w:r w:rsidRPr="007608C2">
        <w:rPr>
          <w:rFonts w:cs="Arial"/>
        </w:rPr>
        <w:t xml:space="preserve">El ICBF contempla dentro de sus objetivos institucionales “Promover la seguridad alimentaria y nutricional en el desarrollo de la primera infancia, los niños, niñas y adolescente y la familia”, éste objetivo se encuentra en concordancia con lo establecido en la ley 1804 de 2016 artículo 4, literal f  que define a la seguridad alimentaria y nutricional en el marco de la gestión de la política como el “Conjunto de acciones articuladas que busca aportar a la realización de los derechos asociados a la alimentación y la adecuada nutrición de los niños y las niñas”.  </w:t>
      </w:r>
    </w:p>
    <w:p w:rsidR="002D2D91" w:rsidRPr="007608C2" w:rsidRDefault="002D2D91" w:rsidP="002D2D91">
      <w:pPr>
        <w:jc w:val="both"/>
        <w:rPr>
          <w:rFonts w:cs="Arial"/>
        </w:rPr>
      </w:pPr>
      <w:r w:rsidRPr="007608C2">
        <w:rPr>
          <w:rFonts w:cs="Arial"/>
        </w:rPr>
        <w:t xml:space="preserve">En consonancia con lo anterior, a través de las diferentes modalidades y servicios de atención a la Primera Infancia se garantiza el acceso a los alimentos como determinante esencial para la consecución de un estado nutricional adecuado que permita a niñas y niños potenciar sus capacidades y adquirir habilidades en función de un desarrollo pleno como sujetos de derechos. </w:t>
      </w:r>
    </w:p>
    <w:p w:rsidR="002D2D91" w:rsidRPr="007608C2" w:rsidRDefault="002D2D91" w:rsidP="002D2D91">
      <w:pPr>
        <w:jc w:val="both"/>
        <w:rPr>
          <w:rFonts w:cs="Arial"/>
        </w:rPr>
      </w:pPr>
      <w:r w:rsidRPr="007608C2">
        <w:rPr>
          <w:rFonts w:cs="Arial"/>
        </w:rPr>
        <w:t xml:space="preserve">El artículo 19 de la Ley 1804 de 2016, establece como función del ICBF “organizar la implementación de los servicios de educación inicial con enfoque de atención integral de acuerdo con los referentes técnicos para tal fin y en el marco de la Política de Estado para el Desarrollo Integral de la Primera Infancia de Cero a Siempre”, por lo cual se hace necesario que los servicios prestados brinden complementación alimentaria garantizando un aporte equitativo en todos los servicios, apuntado de este manera a un enfoque de integralidad. </w:t>
      </w:r>
    </w:p>
    <w:p w:rsidR="002D2D91" w:rsidRPr="007608C2" w:rsidRDefault="002D2D91" w:rsidP="002D2D91">
      <w:pPr>
        <w:jc w:val="both"/>
        <w:rPr>
          <w:rFonts w:cs="Arial"/>
        </w:rPr>
      </w:pPr>
      <w:r w:rsidRPr="007608C2">
        <w:rPr>
          <w:rFonts w:cs="Arial"/>
        </w:rPr>
        <w:t xml:space="preserve">El impacto que tiene una alimentación y nutrición adecuada  sobre el desarrollo integral, se describe entre otros, en  los Fundamentos Políticos, Técnicos y de Gestión que señalan que “durante los primeros mil días de vida, contados desde la gestación y hasta los dos años, la alimentación cumple un papel crucial debido a que durante este periodo ocurre la formación de miles de millones de células nerviosas y se establece el 85% de la red de comunicación entre ellas, lo cual permite la transmisión y recepción de información entre el cerebro, el cuerpo y el ambiente”. </w:t>
      </w:r>
    </w:p>
    <w:p w:rsidR="002D2D91" w:rsidRPr="007608C2" w:rsidRDefault="002D2D91" w:rsidP="002D2D91">
      <w:pPr>
        <w:jc w:val="both"/>
        <w:rPr>
          <w:rFonts w:cs="Arial"/>
        </w:rPr>
      </w:pPr>
      <w:r w:rsidRPr="007608C2">
        <w:rPr>
          <w:rFonts w:cs="Arial"/>
        </w:rPr>
        <w:t xml:space="preserve">Conforme a lo anterior, la Dirección de Primera Infancia  en su compromiso con la promoción de los derechos y el bienestar de  los niños y niñas, consideró pertinente modificar el aporte de energía y nutrientes que se brinda en el servicio Hogares Comunitarios de Bienestar Familia, Mujer e Infancia  (HCB FAMI), que atiende a mujeres gestantes, y niños y niñas hasta los dos años, pasando de un aporte diario del 45% al 70% de las recomendaciones diarias según grupos </w:t>
      </w:r>
      <w:r w:rsidRPr="007608C2">
        <w:rPr>
          <w:rFonts w:cs="Arial"/>
        </w:rPr>
        <w:lastRenderedPageBreak/>
        <w:t>de edad, siendo éste último el aporte nutricional definido por el Ministerio de Educación Nacional en los Referentes técnicos para la educación  inicial en el marco de  la atención integral.</w:t>
      </w:r>
    </w:p>
    <w:p w:rsidR="002D2D91" w:rsidRPr="007608C2" w:rsidRDefault="002D2D91" w:rsidP="002D2D91">
      <w:pPr>
        <w:jc w:val="both"/>
        <w:rPr>
          <w:rFonts w:cs="Arial"/>
        </w:rPr>
      </w:pPr>
      <w:r w:rsidRPr="007608C2">
        <w:rPr>
          <w:rFonts w:cs="Arial"/>
        </w:rPr>
        <w:t>Así las cosas, se destinó $ 44.322.086.796,00 de pesos para el Incremento del Aporte Nutricional del 45% al 70% del requerimiento diario en el servicio HCB – FAMI, en busca de cumplir el objetivo Institucional de “Promover la seguridad alimentaria y nutricional en el desarrollo de la primera infancia, los niños, niñas y adolescente y la familia”. Fuente: Subdirección de operación para la atención de la Primera Infancia, corte 31 de diciembre de 2017.</w:t>
      </w:r>
    </w:p>
    <w:p w:rsidR="002D2D91" w:rsidRPr="007608C2" w:rsidRDefault="002D2D91" w:rsidP="00A44A2B">
      <w:pPr>
        <w:pStyle w:val="Prrafodelista"/>
        <w:numPr>
          <w:ilvl w:val="0"/>
          <w:numId w:val="72"/>
        </w:numPr>
        <w:jc w:val="both"/>
        <w:rPr>
          <w:rFonts w:cs="Arial"/>
          <w:b/>
        </w:rPr>
      </w:pPr>
      <w:r w:rsidRPr="007608C2">
        <w:rPr>
          <w:rFonts w:cs="Arial"/>
          <w:b/>
        </w:rPr>
        <w:t>Evaluar la calidad en la prestación de los servicios misionales del ICBF.</w:t>
      </w:r>
    </w:p>
    <w:p w:rsidR="002D2D91" w:rsidRPr="007608C2" w:rsidRDefault="002D2D91" w:rsidP="002D2D91">
      <w:pPr>
        <w:jc w:val="both"/>
        <w:rPr>
          <w:rFonts w:cs="Arial"/>
        </w:rPr>
      </w:pPr>
      <w:r w:rsidRPr="007608C2">
        <w:rPr>
          <w:rFonts w:cs="Arial"/>
        </w:rPr>
        <w:t xml:space="preserve">Con la finalidad de contribuir a la mejora de calidad de los servicios y generar gestión del conocimiento en Primera Infancia, se hizo necesario analizar y hacer seguimiento a la información de los sistemas de monitoreo y control de la política de Primera Infancia a nivel nacional. Para tal fin, se ha realizado la gestión en desarrollos de los siguientes sistemas de información: </w:t>
      </w:r>
    </w:p>
    <w:p w:rsidR="002D2D91" w:rsidRPr="007608C2" w:rsidRDefault="002D2D91" w:rsidP="00A44A2B">
      <w:pPr>
        <w:pStyle w:val="Prrafodelista"/>
        <w:numPr>
          <w:ilvl w:val="0"/>
          <w:numId w:val="148"/>
        </w:numPr>
        <w:spacing w:after="0"/>
        <w:jc w:val="both"/>
        <w:rPr>
          <w:rFonts w:cs="Arial"/>
          <w:i/>
        </w:rPr>
      </w:pPr>
      <w:r w:rsidRPr="007608C2">
        <w:rPr>
          <w:rFonts w:cs="Arial"/>
          <w:i/>
        </w:rPr>
        <w:t>Módulo de formación agentes educativos</w:t>
      </w:r>
    </w:p>
    <w:p w:rsidR="002D2D91" w:rsidRPr="007608C2" w:rsidRDefault="002D2D91" w:rsidP="00A44A2B">
      <w:pPr>
        <w:pStyle w:val="Prrafodelista"/>
        <w:numPr>
          <w:ilvl w:val="0"/>
          <w:numId w:val="148"/>
        </w:numPr>
        <w:spacing w:after="0"/>
        <w:jc w:val="both"/>
        <w:rPr>
          <w:rFonts w:cs="Arial"/>
          <w:i/>
        </w:rPr>
      </w:pPr>
      <w:r w:rsidRPr="007608C2">
        <w:rPr>
          <w:rFonts w:cs="Arial"/>
          <w:i/>
        </w:rPr>
        <w:t>Control de vinculación de talento humano por perfil y proporción</w:t>
      </w:r>
    </w:p>
    <w:p w:rsidR="002D2D91" w:rsidRPr="007608C2" w:rsidRDefault="002D2D91" w:rsidP="00A44A2B">
      <w:pPr>
        <w:pStyle w:val="Prrafodelista"/>
        <w:numPr>
          <w:ilvl w:val="0"/>
          <w:numId w:val="148"/>
        </w:numPr>
        <w:spacing w:after="0"/>
        <w:jc w:val="both"/>
        <w:rPr>
          <w:rFonts w:cs="Arial"/>
          <w:i/>
        </w:rPr>
      </w:pPr>
      <w:r w:rsidRPr="007608C2">
        <w:rPr>
          <w:rFonts w:cs="Arial"/>
          <w:i/>
        </w:rPr>
        <w:t>Información histórica de vinculación de talento humano</w:t>
      </w:r>
    </w:p>
    <w:p w:rsidR="002D2D91" w:rsidRPr="007608C2" w:rsidRDefault="002D2D91" w:rsidP="00A44A2B">
      <w:pPr>
        <w:pStyle w:val="Prrafodelista"/>
        <w:numPr>
          <w:ilvl w:val="0"/>
          <w:numId w:val="148"/>
        </w:numPr>
        <w:spacing w:after="0"/>
        <w:jc w:val="both"/>
        <w:rPr>
          <w:rFonts w:cs="Arial"/>
          <w:i/>
        </w:rPr>
      </w:pPr>
      <w:r w:rsidRPr="007608C2">
        <w:rPr>
          <w:rFonts w:cs="Arial"/>
          <w:i/>
        </w:rPr>
        <w:t>Ficha de caracterización</w:t>
      </w:r>
    </w:p>
    <w:p w:rsidR="002D2D91" w:rsidRDefault="002D2D91" w:rsidP="00A44A2B">
      <w:pPr>
        <w:pStyle w:val="Prrafodelista"/>
        <w:numPr>
          <w:ilvl w:val="0"/>
          <w:numId w:val="148"/>
        </w:numPr>
        <w:spacing w:after="0"/>
        <w:jc w:val="both"/>
        <w:rPr>
          <w:rFonts w:cs="Arial"/>
          <w:i/>
        </w:rPr>
      </w:pPr>
      <w:r w:rsidRPr="007608C2">
        <w:rPr>
          <w:rFonts w:cs="Arial"/>
          <w:i/>
        </w:rPr>
        <w:t>Escala cualitativa</w:t>
      </w:r>
    </w:p>
    <w:p w:rsidR="00142549" w:rsidRPr="007608C2" w:rsidRDefault="00142549" w:rsidP="00142549">
      <w:pPr>
        <w:pStyle w:val="Prrafodelista"/>
        <w:spacing w:after="0"/>
        <w:ind w:left="714"/>
        <w:jc w:val="both"/>
        <w:rPr>
          <w:rFonts w:cs="Arial"/>
          <w:i/>
        </w:rPr>
      </w:pPr>
    </w:p>
    <w:p w:rsidR="002D2D91" w:rsidRPr="007608C2" w:rsidRDefault="002D2D91" w:rsidP="002D2D91">
      <w:pPr>
        <w:jc w:val="both"/>
        <w:rPr>
          <w:rFonts w:cs="Arial"/>
        </w:rPr>
      </w:pPr>
      <w:r w:rsidRPr="007608C2">
        <w:rPr>
          <w:rFonts w:cs="Arial"/>
        </w:rPr>
        <w:t xml:space="preserve">Adicionalmente se ha realizado seguimiento a los resultados de la escala de valoración cualitativa del desarrollo, la ficha de caracterización y el POAI; con una evaluación y retroalimentación de los POAI de 18 Regionales, esto con el fin de entregar el modelo a seguir para su revisión en el marco de la asistencia técnica, supervisión y comités técnicos operativos. A partir de la necesidad de fortalecer el trabajo pedagógico de las madres comunitarias, se inició el diseño del material para los grupos de estudio planteados en el manual operativo del servicio. Cada grupo de estudio, contempla una temática y metodología con talleres teórico práctico.   </w:t>
      </w:r>
    </w:p>
    <w:p w:rsidR="002D2D91" w:rsidRPr="007608C2" w:rsidRDefault="002D2D91" w:rsidP="00A44A2B">
      <w:pPr>
        <w:pStyle w:val="Prrafodelista"/>
        <w:numPr>
          <w:ilvl w:val="0"/>
          <w:numId w:val="72"/>
        </w:numPr>
        <w:jc w:val="both"/>
        <w:rPr>
          <w:rFonts w:cs="Arial"/>
          <w:b/>
        </w:rPr>
      </w:pPr>
      <w:r w:rsidRPr="007608C2">
        <w:rPr>
          <w:rFonts w:cs="Arial"/>
          <w:b/>
        </w:rPr>
        <w:t>Coordinar la implementación de las estrategias y mecanismos orientados a la articulación del SNBF en los diferentes ámbitos de gobierno y sectores.</w:t>
      </w:r>
    </w:p>
    <w:p w:rsidR="009F1189" w:rsidRPr="007608C2" w:rsidRDefault="002D2D91" w:rsidP="002D2D91">
      <w:pPr>
        <w:jc w:val="both"/>
        <w:rPr>
          <w:rFonts w:cs="Arial"/>
        </w:rPr>
      </w:pPr>
      <w:r w:rsidRPr="007608C2">
        <w:rPr>
          <w:rFonts w:cs="Arial"/>
        </w:rPr>
        <w:t>En el marco del convenio 1299 de 2017, suscrito con la Fundación SAVE THE CHILDREN y UNICEF, se han realizado acciones en 300 municipios priorizados, dentro de los 32 departamentos, para la gestión intersectorial de la política en el orden territorial, en el marco del SNBF, con el fin de lograr un trabajo articulado que permita una atención integral a los niños y niñas de Primera Infancia, de acuerdo con los lineamientos definidos para la formulación, implementación y seguimiento de la Ruta Integral de Atenciones. Para lograr lo anterior, se planteó realizar las siguientes actividades:</w:t>
      </w:r>
    </w:p>
    <w:p w:rsidR="002D2D91" w:rsidRPr="009F1189" w:rsidRDefault="002D2D91" w:rsidP="009F1189">
      <w:pPr>
        <w:pStyle w:val="Prrafodelista"/>
        <w:numPr>
          <w:ilvl w:val="0"/>
          <w:numId w:val="149"/>
        </w:numPr>
        <w:spacing w:after="0"/>
        <w:jc w:val="both"/>
        <w:rPr>
          <w:rFonts w:cs="Arial"/>
        </w:rPr>
      </w:pPr>
      <w:r w:rsidRPr="007608C2">
        <w:rPr>
          <w:rFonts w:cs="Arial"/>
        </w:rPr>
        <w:t>Alistamiento de la gestión para las atenciones de los niños y niñas de la primera infancia, conforme a las Rutas Integrales de Atención - RIA en los territorios.</w:t>
      </w:r>
    </w:p>
    <w:p w:rsidR="002D2D91" w:rsidRPr="007608C2" w:rsidRDefault="002D2D91" w:rsidP="00A44A2B">
      <w:pPr>
        <w:pStyle w:val="Prrafodelista"/>
        <w:numPr>
          <w:ilvl w:val="0"/>
          <w:numId w:val="149"/>
        </w:numPr>
        <w:spacing w:after="0"/>
        <w:jc w:val="both"/>
        <w:rPr>
          <w:rFonts w:cs="Arial"/>
        </w:rPr>
      </w:pPr>
      <w:r w:rsidRPr="007608C2">
        <w:rPr>
          <w:rFonts w:cs="Arial"/>
        </w:rPr>
        <w:lastRenderedPageBreak/>
        <w:t xml:space="preserve">Acompañamiento, fortalecimiento y gestión de las atenciones. </w:t>
      </w:r>
    </w:p>
    <w:p w:rsidR="002D2D91" w:rsidRPr="007608C2" w:rsidRDefault="002D2D91" w:rsidP="00A44A2B">
      <w:pPr>
        <w:pStyle w:val="Prrafodelista"/>
        <w:numPr>
          <w:ilvl w:val="0"/>
          <w:numId w:val="149"/>
        </w:numPr>
        <w:spacing w:after="0"/>
        <w:jc w:val="both"/>
        <w:rPr>
          <w:rFonts w:cs="Arial"/>
        </w:rPr>
      </w:pPr>
      <w:r w:rsidRPr="007608C2">
        <w:rPr>
          <w:rFonts w:cs="Arial"/>
        </w:rPr>
        <w:t>Seguimiento de la Ruta Integral de Atenciones, conforme a los reportes generados por el Sistema de Seguimiento niño a niño y de la Implementación de RIA de la gestión territorial.</w:t>
      </w:r>
    </w:p>
    <w:p w:rsidR="002D2D91" w:rsidRPr="007608C2" w:rsidRDefault="002D2D91" w:rsidP="002D2D91">
      <w:pPr>
        <w:pStyle w:val="Prrafodelista"/>
        <w:spacing w:after="0"/>
        <w:ind w:left="360"/>
        <w:jc w:val="both"/>
        <w:rPr>
          <w:rFonts w:cs="Arial"/>
        </w:rPr>
      </w:pPr>
    </w:p>
    <w:p w:rsidR="002D2D91" w:rsidRPr="007608C2" w:rsidRDefault="002D2D91" w:rsidP="002D2D91">
      <w:pPr>
        <w:spacing w:after="240"/>
        <w:jc w:val="both"/>
        <w:rPr>
          <w:rFonts w:cs="Arial"/>
        </w:rPr>
      </w:pPr>
      <w:r w:rsidRPr="007608C2">
        <w:rPr>
          <w:rFonts w:cs="Arial"/>
        </w:rPr>
        <w:t>Con la realización de estas actividades se ha logrado tener los siguientes resultados:</w:t>
      </w:r>
    </w:p>
    <w:p w:rsidR="002D2D91" w:rsidRPr="00295869" w:rsidRDefault="002D2D91" w:rsidP="00A44A2B">
      <w:pPr>
        <w:pStyle w:val="Prrafodelista"/>
        <w:numPr>
          <w:ilvl w:val="0"/>
          <w:numId w:val="150"/>
        </w:numPr>
        <w:spacing w:after="120"/>
        <w:jc w:val="both"/>
        <w:rPr>
          <w:rFonts w:cs="Arial"/>
        </w:rPr>
      </w:pPr>
      <w:r w:rsidRPr="00295869">
        <w:rPr>
          <w:rFonts w:cs="Arial"/>
        </w:rPr>
        <w:t>Formulación de planes de acción para la implementación de la política, frente a los cuales se realiza un seguimiento al avance de su ejecución, encontrando que, a 31 de octubre de 2017, el 52% de los territorios han logrado un porcentaje de ejecución del plan acción superior al 70%.</w:t>
      </w:r>
    </w:p>
    <w:p w:rsidR="002D2D91" w:rsidRPr="00295869" w:rsidRDefault="002D2D91" w:rsidP="00A44A2B">
      <w:pPr>
        <w:pStyle w:val="Prrafodelista"/>
        <w:numPr>
          <w:ilvl w:val="0"/>
          <w:numId w:val="150"/>
        </w:numPr>
        <w:spacing w:after="120"/>
        <w:jc w:val="both"/>
        <w:rPr>
          <w:rFonts w:cs="Arial"/>
        </w:rPr>
      </w:pPr>
      <w:r w:rsidRPr="00295869">
        <w:rPr>
          <w:rFonts w:cs="Arial"/>
        </w:rPr>
        <w:t>Seguimiento al avance de los resultados esperados en el territorio respecto a la implementación de la política, encontrando que, a 31 de octubre de 2017, más del 50% de los territorios han logrado 4 de los 9 resultados esperados.</w:t>
      </w:r>
    </w:p>
    <w:p w:rsidR="002D2D91" w:rsidRPr="00295869" w:rsidRDefault="002D2D91" w:rsidP="00A44A2B">
      <w:pPr>
        <w:pStyle w:val="Prrafodelista"/>
        <w:numPr>
          <w:ilvl w:val="0"/>
          <w:numId w:val="150"/>
        </w:numPr>
        <w:spacing w:after="120"/>
        <w:jc w:val="both"/>
        <w:rPr>
          <w:rFonts w:cs="Arial"/>
        </w:rPr>
      </w:pPr>
      <w:r w:rsidRPr="00295869">
        <w:rPr>
          <w:rFonts w:cs="Arial"/>
        </w:rPr>
        <w:t>Mapeo de los proyectos existentes en los territorios para lograr la identificación de aquellos que involucran a la primera infancia y los recursos destinados para estos.</w:t>
      </w:r>
    </w:p>
    <w:p w:rsidR="002D2D91" w:rsidRPr="00295869" w:rsidRDefault="002D2D91" w:rsidP="00A44A2B">
      <w:pPr>
        <w:pStyle w:val="Prrafodelista"/>
        <w:numPr>
          <w:ilvl w:val="0"/>
          <w:numId w:val="150"/>
        </w:numPr>
        <w:spacing w:after="120"/>
        <w:jc w:val="both"/>
        <w:rPr>
          <w:rFonts w:cs="Arial"/>
        </w:rPr>
      </w:pPr>
      <w:r w:rsidRPr="00295869">
        <w:rPr>
          <w:rFonts w:cs="Arial"/>
        </w:rPr>
        <w:t xml:space="preserve">Ajustes al portal web, dispuesto como apoyo para la implementación territorial de la política. </w:t>
      </w:r>
    </w:p>
    <w:p w:rsidR="002D2D91" w:rsidRPr="00295869" w:rsidRDefault="002D2D91" w:rsidP="00A44A2B">
      <w:pPr>
        <w:pStyle w:val="Prrafodelista"/>
        <w:numPr>
          <w:ilvl w:val="0"/>
          <w:numId w:val="150"/>
        </w:numPr>
        <w:spacing w:after="120"/>
        <w:jc w:val="both"/>
        <w:rPr>
          <w:rFonts w:cs="Arial"/>
        </w:rPr>
      </w:pPr>
      <w:r w:rsidRPr="00295869">
        <w:rPr>
          <w:rFonts w:cs="Arial"/>
        </w:rPr>
        <w:t>Movilizar acciones entorno a la gestión de las atenciones, mediante la socialización del sistema de seguimiento niño a niño, con sus alertas y las rutas de gestión de las mismas. Esto ha permitido identificar las barreras de acceso tanto al sistema de información, como a las atenciones mismas.</w:t>
      </w:r>
    </w:p>
    <w:p w:rsidR="002D2D91" w:rsidRPr="00295869" w:rsidRDefault="002D2D91" w:rsidP="00A44A2B">
      <w:pPr>
        <w:pStyle w:val="Prrafodelista"/>
        <w:numPr>
          <w:ilvl w:val="0"/>
          <w:numId w:val="150"/>
        </w:numPr>
        <w:spacing w:after="120"/>
        <w:jc w:val="both"/>
        <w:rPr>
          <w:rFonts w:cs="Arial"/>
        </w:rPr>
      </w:pPr>
      <w:r w:rsidRPr="00295869">
        <w:rPr>
          <w:rFonts w:cs="Arial"/>
        </w:rPr>
        <w:t>Se ha logrado que los responsables en los territorios, de garantizar el cumplimiento de las atenciones, conozcan las alertas existentes, soliciten el usuario para el acceso a la información y las actividades a desarrollar para lograr el efectivo cumplimiento de la atención.</w:t>
      </w:r>
    </w:p>
    <w:p w:rsidR="002D2D91" w:rsidRPr="00295869" w:rsidRDefault="002D2D91" w:rsidP="00A44A2B">
      <w:pPr>
        <w:pStyle w:val="Prrafodelista"/>
        <w:numPr>
          <w:ilvl w:val="0"/>
          <w:numId w:val="150"/>
        </w:numPr>
        <w:spacing w:after="120"/>
        <w:jc w:val="both"/>
        <w:rPr>
          <w:rFonts w:cs="Arial"/>
        </w:rPr>
      </w:pPr>
      <w:r w:rsidRPr="00295869">
        <w:rPr>
          <w:rFonts w:cs="Arial"/>
        </w:rPr>
        <w:t>Realizar un seguimiento al estado de avance la ruta integral de atención, en los territorios.</w:t>
      </w:r>
    </w:p>
    <w:p w:rsidR="00295869" w:rsidRPr="00295869" w:rsidRDefault="002D2D91" w:rsidP="00A44A2B">
      <w:pPr>
        <w:pStyle w:val="Prrafodelista"/>
        <w:numPr>
          <w:ilvl w:val="0"/>
          <w:numId w:val="150"/>
        </w:numPr>
        <w:spacing w:after="120"/>
        <w:jc w:val="both"/>
        <w:rPr>
          <w:rFonts w:cs="Arial"/>
        </w:rPr>
      </w:pPr>
      <w:r w:rsidRPr="00295869">
        <w:rPr>
          <w:rFonts w:cs="Arial"/>
        </w:rPr>
        <w:t>Mesas Intersectoriales de Infancia Adolescencia y Familia – MIIAF, municipales y departamentales, donde se realiza el seguimiento al cumplimiento de las atenciones priorizadas para la primera infancia.</w:t>
      </w:r>
    </w:p>
    <w:p w:rsidR="002D2D91" w:rsidRPr="007608C2" w:rsidRDefault="002D2D91" w:rsidP="002D2D91">
      <w:pPr>
        <w:jc w:val="both"/>
        <w:rPr>
          <w:rFonts w:cs="Arial"/>
        </w:rPr>
      </w:pPr>
      <w:r w:rsidRPr="007608C2">
        <w:rPr>
          <w:rFonts w:cs="Arial"/>
        </w:rPr>
        <w:t>Los recursos aportados por la Dirección de Primera Infancia para el convenio 1299 de 2017 son $ 3.219.999.106, se realizó el acompañamiento técnico para la ejecución del mismo, así como su supervisión, en lo referente a la gestión territorial de la política.</w:t>
      </w:r>
    </w:p>
    <w:p w:rsidR="002D2D91" w:rsidRPr="007608C2" w:rsidRDefault="000E0283" w:rsidP="002D2D91">
      <w:pPr>
        <w:pStyle w:val="Ttulo2"/>
        <w:numPr>
          <w:ilvl w:val="2"/>
          <w:numId w:val="2"/>
        </w:numPr>
        <w:rPr>
          <w:rFonts w:cs="Arial"/>
          <w:b/>
        </w:rPr>
      </w:pPr>
      <w:hyperlink w:anchor="_Toc478635850" w:history="1">
        <w:bookmarkStart w:id="32" w:name="_Toc504459731"/>
        <w:bookmarkStart w:id="33" w:name="_Toc505183040"/>
        <w:r w:rsidR="002D2D91" w:rsidRPr="007608C2">
          <w:rPr>
            <w:rFonts w:cs="Arial"/>
            <w:b/>
          </w:rPr>
          <w:t>Atención compromisos con madres comunitarias de los sindicatos SINTRACIHOBI – COLMADRES</w:t>
        </w:r>
        <w:bookmarkEnd w:id="32"/>
        <w:bookmarkEnd w:id="33"/>
        <w:r w:rsidR="002D2D91" w:rsidRPr="007608C2">
          <w:rPr>
            <w:rFonts w:cs="Arial"/>
            <w:b/>
          </w:rPr>
          <w:t xml:space="preserve"> </w:t>
        </w:r>
      </w:hyperlink>
    </w:p>
    <w:p w:rsidR="002D2D91" w:rsidRPr="007608C2" w:rsidRDefault="002D2D91" w:rsidP="002D2D91">
      <w:pPr>
        <w:jc w:val="both"/>
        <w:rPr>
          <w:rFonts w:cs="Arial"/>
        </w:rPr>
      </w:pPr>
      <w:r w:rsidRPr="007608C2">
        <w:rPr>
          <w:rFonts w:cs="Arial"/>
        </w:rPr>
        <w:t xml:space="preserve">Fruto del acuerdo suscrito el 14 de abril de 2016 con el Sindicato de Madres Comunitarias SINTRACIHOBI y el ICBF, en el numeral 21 se estableció lo siguiente: </w:t>
      </w:r>
      <w:r w:rsidRPr="007608C2">
        <w:rPr>
          <w:rFonts w:cs="Arial"/>
          <w:i/>
        </w:rPr>
        <w:t xml:space="preserve">“(…) Se creara una comisión permanente de dialogo, integrada por las EAS, el ICBF y SINTRACIHOBI, para que a </w:t>
      </w:r>
      <w:r w:rsidRPr="007608C2">
        <w:rPr>
          <w:rFonts w:cs="Arial"/>
          <w:i/>
        </w:rPr>
        <w:lastRenderedPageBreak/>
        <w:t>través de mesas de trabajo desde el orden zonal, regional o nacional, se aborden temas laborales (…</w:t>
      </w:r>
      <w:r w:rsidRPr="007608C2">
        <w:rPr>
          <w:rFonts w:cs="Arial"/>
        </w:rPr>
        <w:t>)”, en dichas mesas laborales se resolvían los inconvenientes y/o dificultades que se presentan frente a la contratación, pago de salarios, incapacidades y todo lo relacionado con el contrato laboral que suscriben las EAS con las Madres comunitarias, estas se realizaron desde el nivel zonal, regional y Nacional, durante el año 2016 y hasta el mes de junio del año 2017.</w:t>
      </w:r>
    </w:p>
    <w:p w:rsidR="002D2D91" w:rsidRPr="007608C2" w:rsidRDefault="002D2D91" w:rsidP="002D2D91">
      <w:pPr>
        <w:jc w:val="both"/>
        <w:rPr>
          <w:rFonts w:cs="Arial"/>
        </w:rPr>
      </w:pPr>
      <w:r w:rsidRPr="007608C2">
        <w:rPr>
          <w:rFonts w:cs="Arial"/>
        </w:rPr>
        <w:t>En el 30 de junio del 2017, por parte de la Subdirección General y en asesoría con la Oficina Asesora Jurídica del ICBF, profirió respuesta a la Defensoría del Pueblo, a la Delegada para los derechos de las Mujeres y los Asuntos de Genero, por petición que se hiciera sobre solicitud de realizar reunión entre el sindicato de Madres Comunitarias SINTRACIHOBI y el ICBF, con el fin de revisar los componentes laborales del acuerdo y la aplicación del Manual Operativo, en dicha oportunidad se indicó que no podría llevarse a cabo dicha reunión pues el ICBF no funge como empleador de las Madres Comunitarias, así:</w:t>
      </w:r>
    </w:p>
    <w:p w:rsidR="002D2D91" w:rsidRPr="007608C2" w:rsidRDefault="002D2D91" w:rsidP="002D2D91">
      <w:pPr>
        <w:jc w:val="both"/>
        <w:rPr>
          <w:rFonts w:cs="Arial"/>
        </w:rPr>
      </w:pPr>
      <w:r w:rsidRPr="007608C2">
        <w:rPr>
          <w:rFonts w:cs="Arial"/>
        </w:rPr>
        <w:t xml:space="preserve">Se reactiva el seguimiento y cumplimiento de los acuerdos suscritos con el sindicado de madres Comunitarias SINTRACIHOBI del mes de abril de 2016, para ello, se han realizado tres mesas de trabajo con el Sindicato de Madres Comunitarias SINTRACIHOBI  el 31 de agosto, 15 de septiembre y 23 de octubre de 2017, además se realiza a primera mesa de trabajo con el sindicato de Madres Comunitarias COLMADRES el 30 de noviembre con el fin de continuar con el trabajo articulado entre los sindicatos de Madres Comunitarias y el ICBF.  </w:t>
      </w:r>
    </w:p>
    <w:p w:rsidR="002D2D91" w:rsidRDefault="002D2D91" w:rsidP="002D2D91">
      <w:pPr>
        <w:jc w:val="both"/>
        <w:rPr>
          <w:rFonts w:cs="Arial"/>
        </w:rPr>
      </w:pPr>
      <w:r w:rsidRPr="007608C2">
        <w:rPr>
          <w:rFonts w:cs="Arial"/>
        </w:rPr>
        <w:t>A continuación, se relacionan los derechos de petición resueltos por el equipo de la Modalidad Comunitaria:</w:t>
      </w:r>
    </w:p>
    <w:tbl>
      <w:tblPr>
        <w:tblW w:w="9578"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ook w:val="04A0" w:firstRow="1" w:lastRow="0" w:firstColumn="1" w:lastColumn="0" w:noHBand="0" w:noVBand="1"/>
      </w:tblPr>
      <w:tblGrid>
        <w:gridCol w:w="1319"/>
        <w:gridCol w:w="1622"/>
        <w:gridCol w:w="1737"/>
        <w:gridCol w:w="1701"/>
        <w:gridCol w:w="2126"/>
        <w:gridCol w:w="1073"/>
      </w:tblGrid>
      <w:tr w:rsidR="002D2D91" w:rsidRPr="00295869" w:rsidTr="00295869">
        <w:trPr>
          <w:trHeight w:val="50"/>
          <w:tblHeader/>
        </w:trPr>
        <w:tc>
          <w:tcPr>
            <w:tcW w:w="1319" w:type="dxa"/>
            <w:shd w:val="clear" w:color="auto" w:fill="76922E"/>
            <w:noWrap/>
            <w:vAlign w:val="center"/>
            <w:hideMark/>
          </w:tcPr>
          <w:p w:rsidR="002D2D91" w:rsidRPr="00295869" w:rsidRDefault="00295869" w:rsidP="00FE231E">
            <w:pPr>
              <w:spacing w:after="0" w:line="360" w:lineRule="auto"/>
              <w:contextualSpacing/>
              <w:jc w:val="center"/>
              <w:rPr>
                <w:rFonts w:cs="Arial"/>
                <w:b/>
                <w:color w:val="FFFFFF" w:themeColor="background1"/>
                <w:sz w:val="18"/>
                <w:szCs w:val="18"/>
              </w:rPr>
            </w:pPr>
            <w:r w:rsidRPr="00295869">
              <w:rPr>
                <w:rFonts w:cs="Arial"/>
                <w:b/>
                <w:color w:val="FFFFFF" w:themeColor="background1"/>
                <w:sz w:val="18"/>
                <w:szCs w:val="18"/>
              </w:rPr>
              <w:t>Medio</w:t>
            </w:r>
          </w:p>
        </w:tc>
        <w:tc>
          <w:tcPr>
            <w:tcW w:w="1622" w:type="dxa"/>
            <w:shd w:val="clear" w:color="auto" w:fill="76922E"/>
            <w:noWrap/>
            <w:vAlign w:val="center"/>
            <w:hideMark/>
          </w:tcPr>
          <w:p w:rsidR="002D2D91" w:rsidRPr="00295869" w:rsidRDefault="00295869" w:rsidP="00FE231E">
            <w:pPr>
              <w:spacing w:after="0" w:line="360" w:lineRule="auto"/>
              <w:contextualSpacing/>
              <w:jc w:val="center"/>
              <w:rPr>
                <w:rFonts w:cs="Arial"/>
                <w:b/>
                <w:color w:val="FFFFFF" w:themeColor="background1"/>
                <w:sz w:val="18"/>
                <w:szCs w:val="18"/>
              </w:rPr>
            </w:pPr>
            <w:r w:rsidRPr="00295869">
              <w:rPr>
                <w:rFonts w:cs="Arial"/>
                <w:b/>
                <w:color w:val="FFFFFF" w:themeColor="background1"/>
                <w:sz w:val="18"/>
                <w:szCs w:val="18"/>
              </w:rPr>
              <w:t>Petición</w:t>
            </w:r>
          </w:p>
        </w:tc>
        <w:tc>
          <w:tcPr>
            <w:tcW w:w="1737" w:type="dxa"/>
            <w:shd w:val="clear" w:color="auto" w:fill="76922E"/>
            <w:noWrap/>
            <w:vAlign w:val="center"/>
            <w:hideMark/>
          </w:tcPr>
          <w:p w:rsidR="002D2D91" w:rsidRPr="00295869" w:rsidRDefault="00295869" w:rsidP="00FE231E">
            <w:pPr>
              <w:spacing w:after="0" w:line="360" w:lineRule="auto"/>
              <w:contextualSpacing/>
              <w:jc w:val="center"/>
              <w:rPr>
                <w:rFonts w:cs="Arial"/>
                <w:b/>
                <w:color w:val="FFFFFF" w:themeColor="background1"/>
                <w:sz w:val="18"/>
                <w:szCs w:val="18"/>
              </w:rPr>
            </w:pPr>
            <w:r w:rsidRPr="00295869">
              <w:rPr>
                <w:rFonts w:cs="Arial"/>
                <w:b/>
                <w:color w:val="FFFFFF" w:themeColor="background1"/>
                <w:sz w:val="18"/>
                <w:szCs w:val="18"/>
              </w:rPr>
              <w:t>Respuesta</w:t>
            </w:r>
          </w:p>
        </w:tc>
        <w:tc>
          <w:tcPr>
            <w:tcW w:w="1701" w:type="dxa"/>
            <w:shd w:val="clear" w:color="auto" w:fill="76922E"/>
            <w:noWrap/>
            <w:vAlign w:val="center"/>
            <w:hideMark/>
          </w:tcPr>
          <w:p w:rsidR="002D2D91" w:rsidRPr="00295869" w:rsidRDefault="00295869" w:rsidP="00FE231E">
            <w:pPr>
              <w:spacing w:after="0" w:line="360" w:lineRule="auto"/>
              <w:contextualSpacing/>
              <w:jc w:val="center"/>
              <w:rPr>
                <w:rFonts w:cs="Arial"/>
                <w:b/>
                <w:color w:val="FFFFFF" w:themeColor="background1"/>
                <w:sz w:val="18"/>
                <w:szCs w:val="18"/>
              </w:rPr>
            </w:pPr>
            <w:r w:rsidRPr="00295869">
              <w:rPr>
                <w:rFonts w:cs="Arial"/>
                <w:b/>
                <w:color w:val="FFFFFF" w:themeColor="background1"/>
                <w:sz w:val="18"/>
                <w:szCs w:val="18"/>
              </w:rPr>
              <w:t>Regionales</w:t>
            </w:r>
          </w:p>
        </w:tc>
        <w:tc>
          <w:tcPr>
            <w:tcW w:w="2126" w:type="dxa"/>
            <w:shd w:val="clear" w:color="auto" w:fill="76922E"/>
            <w:noWrap/>
            <w:vAlign w:val="center"/>
            <w:hideMark/>
          </w:tcPr>
          <w:p w:rsidR="002D2D91" w:rsidRPr="00295869" w:rsidRDefault="00295869" w:rsidP="00FE231E">
            <w:pPr>
              <w:spacing w:after="0" w:line="360" w:lineRule="auto"/>
              <w:contextualSpacing/>
              <w:jc w:val="center"/>
              <w:rPr>
                <w:rFonts w:cs="Arial"/>
                <w:b/>
                <w:color w:val="FFFFFF" w:themeColor="background1"/>
                <w:sz w:val="18"/>
                <w:szCs w:val="18"/>
              </w:rPr>
            </w:pPr>
            <w:r w:rsidRPr="00295869">
              <w:rPr>
                <w:rFonts w:cs="Arial"/>
                <w:b/>
                <w:color w:val="FFFFFF" w:themeColor="background1"/>
                <w:sz w:val="18"/>
                <w:szCs w:val="18"/>
              </w:rPr>
              <w:t>No</w:t>
            </w:r>
            <w:r>
              <w:rPr>
                <w:rFonts w:cs="Arial"/>
                <w:b/>
                <w:color w:val="FFFFFF" w:themeColor="background1"/>
                <w:sz w:val="18"/>
                <w:szCs w:val="18"/>
              </w:rPr>
              <w:t>. d</w:t>
            </w:r>
            <w:r w:rsidRPr="00295869">
              <w:rPr>
                <w:rFonts w:cs="Arial"/>
                <w:b/>
                <w:color w:val="FFFFFF" w:themeColor="background1"/>
                <w:sz w:val="18"/>
                <w:szCs w:val="18"/>
              </w:rPr>
              <w:t>e Casos</w:t>
            </w:r>
          </w:p>
        </w:tc>
        <w:tc>
          <w:tcPr>
            <w:tcW w:w="1073" w:type="dxa"/>
            <w:shd w:val="clear" w:color="auto" w:fill="76922E"/>
            <w:noWrap/>
            <w:vAlign w:val="center"/>
            <w:hideMark/>
          </w:tcPr>
          <w:p w:rsidR="002D2D91" w:rsidRPr="00295869" w:rsidRDefault="00295869" w:rsidP="000F042D">
            <w:pPr>
              <w:jc w:val="center"/>
              <w:rPr>
                <w:rFonts w:cs="Arial"/>
                <w:b/>
                <w:color w:val="FFFFFF" w:themeColor="background1"/>
                <w:sz w:val="18"/>
                <w:szCs w:val="18"/>
              </w:rPr>
            </w:pPr>
            <w:r w:rsidRPr="00295869">
              <w:rPr>
                <w:rFonts w:cs="Arial"/>
                <w:b/>
                <w:color w:val="FFFFFF" w:themeColor="background1"/>
                <w:sz w:val="18"/>
                <w:szCs w:val="18"/>
              </w:rPr>
              <w:t>Estado</w:t>
            </w:r>
          </w:p>
        </w:tc>
      </w:tr>
      <w:tr w:rsidR="002D2D91" w:rsidRPr="00295869" w:rsidTr="00295869">
        <w:trPr>
          <w:trHeight w:val="1846"/>
        </w:trPr>
        <w:tc>
          <w:tcPr>
            <w:tcW w:w="1319" w:type="dxa"/>
            <w:vMerge w:val="restart"/>
            <w:vAlign w:val="center"/>
            <w:hideMark/>
          </w:tcPr>
          <w:p w:rsidR="002D2D91" w:rsidRPr="00295869" w:rsidRDefault="00295869" w:rsidP="000F042D">
            <w:pPr>
              <w:jc w:val="both"/>
              <w:rPr>
                <w:rFonts w:cs="Arial"/>
                <w:sz w:val="18"/>
                <w:szCs w:val="18"/>
              </w:rPr>
            </w:pPr>
            <w:r w:rsidRPr="00295869">
              <w:rPr>
                <w:rFonts w:cs="Arial"/>
                <w:sz w:val="18"/>
                <w:szCs w:val="18"/>
              </w:rPr>
              <w:t>Sindicato</w:t>
            </w:r>
          </w:p>
        </w:tc>
        <w:tc>
          <w:tcPr>
            <w:tcW w:w="1622" w:type="dxa"/>
            <w:noWrap/>
            <w:vAlign w:val="center"/>
            <w:hideMark/>
          </w:tcPr>
          <w:p w:rsidR="002D2D91" w:rsidRPr="00295869" w:rsidRDefault="00295869" w:rsidP="000F042D">
            <w:pPr>
              <w:jc w:val="both"/>
              <w:rPr>
                <w:rFonts w:cs="Arial"/>
                <w:sz w:val="18"/>
                <w:szCs w:val="18"/>
              </w:rPr>
            </w:pPr>
            <w:r w:rsidRPr="00295869">
              <w:rPr>
                <w:rFonts w:cs="Arial"/>
                <w:sz w:val="18"/>
                <w:szCs w:val="18"/>
              </w:rPr>
              <w:t>E-2016-477991-0101</w:t>
            </w:r>
          </w:p>
        </w:tc>
        <w:tc>
          <w:tcPr>
            <w:tcW w:w="1737" w:type="dxa"/>
            <w:noWrap/>
            <w:vAlign w:val="center"/>
            <w:hideMark/>
          </w:tcPr>
          <w:p w:rsidR="002D2D91" w:rsidRPr="00295869" w:rsidRDefault="00295869" w:rsidP="000F042D">
            <w:pPr>
              <w:jc w:val="both"/>
              <w:rPr>
                <w:rFonts w:cs="Arial"/>
                <w:sz w:val="18"/>
                <w:szCs w:val="18"/>
              </w:rPr>
            </w:pPr>
            <w:r w:rsidRPr="00295869">
              <w:rPr>
                <w:rFonts w:cs="Arial"/>
                <w:sz w:val="18"/>
                <w:szCs w:val="18"/>
              </w:rPr>
              <w:t>S-2017-106789-0101</w:t>
            </w:r>
          </w:p>
        </w:tc>
        <w:tc>
          <w:tcPr>
            <w:tcW w:w="1701" w:type="dxa"/>
            <w:vAlign w:val="center"/>
            <w:hideMark/>
          </w:tcPr>
          <w:p w:rsidR="002D2D91" w:rsidRPr="00295869" w:rsidRDefault="00295869" w:rsidP="000F042D">
            <w:pPr>
              <w:jc w:val="both"/>
              <w:rPr>
                <w:rFonts w:cs="Arial"/>
                <w:sz w:val="18"/>
                <w:szCs w:val="18"/>
              </w:rPr>
            </w:pPr>
            <w:r w:rsidRPr="00295869">
              <w:rPr>
                <w:rFonts w:cs="Arial"/>
                <w:sz w:val="18"/>
                <w:szCs w:val="18"/>
              </w:rPr>
              <w:t xml:space="preserve">Santander </w:t>
            </w:r>
            <w:r w:rsidRPr="00295869">
              <w:rPr>
                <w:rFonts w:cs="Arial"/>
                <w:sz w:val="18"/>
                <w:szCs w:val="18"/>
              </w:rPr>
              <w:br/>
              <w:t>Córdoba</w:t>
            </w:r>
            <w:r w:rsidRPr="00295869">
              <w:rPr>
                <w:rFonts w:cs="Arial"/>
                <w:sz w:val="18"/>
                <w:szCs w:val="18"/>
              </w:rPr>
              <w:br/>
              <w:t>Huila</w:t>
            </w:r>
            <w:r w:rsidRPr="00295869">
              <w:rPr>
                <w:rFonts w:cs="Arial"/>
                <w:sz w:val="18"/>
                <w:szCs w:val="18"/>
              </w:rPr>
              <w:br/>
              <w:t xml:space="preserve">Bogotá </w:t>
            </w:r>
            <w:r w:rsidRPr="00295869">
              <w:rPr>
                <w:rFonts w:cs="Arial"/>
                <w:sz w:val="18"/>
                <w:szCs w:val="18"/>
              </w:rPr>
              <w:br/>
              <w:t>Casanare</w:t>
            </w:r>
            <w:r w:rsidRPr="00295869">
              <w:rPr>
                <w:rFonts w:cs="Arial"/>
                <w:sz w:val="18"/>
                <w:szCs w:val="18"/>
              </w:rPr>
              <w:br/>
              <w:t>Valle</w:t>
            </w:r>
            <w:r w:rsidRPr="00295869">
              <w:rPr>
                <w:rFonts w:cs="Arial"/>
                <w:sz w:val="18"/>
                <w:szCs w:val="18"/>
              </w:rPr>
              <w:br/>
              <w:t xml:space="preserve">Atlántico </w:t>
            </w:r>
            <w:r w:rsidRPr="00295869">
              <w:rPr>
                <w:rFonts w:cs="Arial"/>
                <w:sz w:val="18"/>
                <w:szCs w:val="18"/>
              </w:rPr>
              <w:br/>
              <w:t xml:space="preserve">Meta </w:t>
            </w:r>
            <w:r w:rsidRPr="00295869">
              <w:rPr>
                <w:rFonts w:cs="Arial"/>
                <w:sz w:val="18"/>
                <w:szCs w:val="18"/>
              </w:rPr>
              <w:br/>
              <w:t xml:space="preserve">Cauca </w:t>
            </w:r>
          </w:p>
        </w:tc>
        <w:tc>
          <w:tcPr>
            <w:tcW w:w="2126" w:type="dxa"/>
            <w:vAlign w:val="center"/>
            <w:hideMark/>
          </w:tcPr>
          <w:p w:rsidR="002D2D91" w:rsidRPr="00295869" w:rsidRDefault="00295869" w:rsidP="000F042D">
            <w:pPr>
              <w:jc w:val="both"/>
              <w:rPr>
                <w:rFonts w:cs="Arial"/>
                <w:sz w:val="18"/>
                <w:szCs w:val="18"/>
              </w:rPr>
            </w:pPr>
            <w:r w:rsidRPr="00295869">
              <w:rPr>
                <w:rFonts w:cs="Arial"/>
                <w:sz w:val="18"/>
                <w:szCs w:val="18"/>
              </w:rPr>
              <w:t xml:space="preserve">22 Casos - Promedio De 400 Madres Comunitarias </w:t>
            </w:r>
          </w:p>
        </w:tc>
        <w:tc>
          <w:tcPr>
            <w:tcW w:w="1073" w:type="dxa"/>
            <w:noWrap/>
            <w:vAlign w:val="center"/>
            <w:hideMark/>
          </w:tcPr>
          <w:p w:rsidR="002D2D91" w:rsidRPr="00295869" w:rsidRDefault="00295869" w:rsidP="000F042D">
            <w:pPr>
              <w:jc w:val="both"/>
              <w:rPr>
                <w:rFonts w:cs="Arial"/>
                <w:sz w:val="18"/>
                <w:szCs w:val="18"/>
              </w:rPr>
            </w:pPr>
            <w:r w:rsidRPr="00295869">
              <w:rPr>
                <w:rFonts w:cs="Arial"/>
                <w:sz w:val="18"/>
                <w:szCs w:val="18"/>
              </w:rPr>
              <w:t>Cumplido</w:t>
            </w:r>
          </w:p>
        </w:tc>
      </w:tr>
      <w:tr w:rsidR="002D2D91" w:rsidRPr="00295869" w:rsidTr="00295869">
        <w:trPr>
          <w:trHeight w:val="19"/>
        </w:trPr>
        <w:tc>
          <w:tcPr>
            <w:tcW w:w="1319" w:type="dxa"/>
            <w:vMerge/>
            <w:vAlign w:val="center"/>
            <w:hideMark/>
          </w:tcPr>
          <w:p w:rsidR="002D2D91" w:rsidRPr="00295869" w:rsidRDefault="002D2D91" w:rsidP="000F042D">
            <w:pPr>
              <w:jc w:val="both"/>
              <w:rPr>
                <w:rFonts w:cs="Arial"/>
                <w:sz w:val="18"/>
                <w:szCs w:val="18"/>
              </w:rPr>
            </w:pPr>
          </w:p>
        </w:tc>
        <w:tc>
          <w:tcPr>
            <w:tcW w:w="1622" w:type="dxa"/>
            <w:noWrap/>
            <w:vAlign w:val="center"/>
            <w:hideMark/>
          </w:tcPr>
          <w:p w:rsidR="002D2D91" w:rsidRPr="00295869" w:rsidRDefault="00295869" w:rsidP="000F042D">
            <w:pPr>
              <w:jc w:val="both"/>
              <w:rPr>
                <w:rFonts w:cs="Arial"/>
                <w:sz w:val="18"/>
                <w:szCs w:val="18"/>
              </w:rPr>
            </w:pPr>
            <w:r w:rsidRPr="00295869">
              <w:rPr>
                <w:rFonts w:cs="Arial"/>
                <w:sz w:val="18"/>
                <w:szCs w:val="18"/>
              </w:rPr>
              <w:t>E-2016-650261-0101</w:t>
            </w:r>
          </w:p>
        </w:tc>
        <w:tc>
          <w:tcPr>
            <w:tcW w:w="1737" w:type="dxa"/>
            <w:noWrap/>
            <w:vAlign w:val="center"/>
            <w:hideMark/>
          </w:tcPr>
          <w:p w:rsidR="002D2D91" w:rsidRPr="00295869" w:rsidRDefault="00295869" w:rsidP="000F042D">
            <w:pPr>
              <w:jc w:val="both"/>
              <w:rPr>
                <w:rFonts w:cs="Arial"/>
                <w:sz w:val="18"/>
                <w:szCs w:val="18"/>
              </w:rPr>
            </w:pPr>
            <w:r w:rsidRPr="00295869">
              <w:rPr>
                <w:rFonts w:cs="Arial"/>
                <w:sz w:val="18"/>
                <w:szCs w:val="18"/>
              </w:rPr>
              <w:t>S-2017-083292-0101</w:t>
            </w:r>
          </w:p>
        </w:tc>
        <w:tc>
          <w:tcPr>
            <w:tcW w:w="1701" w:type="dxa"/>
            <w:vAlign w:val="center"/>
            <w:hideMark/>
          </w:tcPr>
          <w:p w:rsidR="002D2D91" w:rsidRPr="00295869" w:rsidRDefault="00295869" w:rsidP="000F042D">
            <w:pPr>
              <w:jc w:val="both"/>
              <w:rPr>
                <w:rFonts w:cs="Arial"/>
                <w:sz w:val="18"/>
                <w:szCs w:val="18"/>
              </w:rPr>
            </w:pPr>
            <w:r w:rsidRPr="00295869">
              <w:rPr>
                <w:rFonts w:cs="Arial"/>
                <w:sz w:val="18"/>
                <w:szCs w:val="18"/>
              </w:rPr>
              <w:t xml:space="preserve">Antioquia </w:t>
            </w:r>
            <w:r w:rsidRPr="00295869">
              <w:rPr>
                <w:rFonts w:cs="Arial"/>
                <w:sz w:val="18"/>
                <w:szCs w:val="18"/>
              </w:rPr>
              <w:br/>
              <w:t>Casanare</w:t>
            </w:r>
            <w:r w:rsidRPr="00295869">
              <w:rPr>
                <w:rFonts w:cs="Arial"/>
                <w:sz w:val="18"/>
                <w:szCs w:val="18"/>
              </w:rPr>
              <w:br/>
              <w:t xml:space="preserve">Meta </w:t>
            </w:r>
            <w:r w:rsidRPr="00295869">
              <w:rPr>
                <w:rFonts w:cs="Arial"/>
                <w:sz w:val="18"/>
                <w:szCs w:val="18"/>
              </w:rPr>
              <w:br/>
              <w:t>Cauca</w:t>
            </w:r>
            <w:r w:rsidRPr="00295869">
              <w:rPr>
                <w:rFonts w:cs="Arial"/>
                <w:sz w:val="18"/>
                <w:szCs w:val="18"/>
              </w:rPr>
              <w:br/>
              <w:t>Huila</w:t>
            </w:r>
            <w:r w:rsidRPr="00295869">
              <w:rPr>
                <w:rFonts w:cs="Arial"/>
                <w:sz w:val="18"/>
                <w:szCs w:val="18"/>
              </w:rPr>
              <w:br/>
              <w:t xml:space="preserve">Risaralda </w:t>
            </w:r>
            <w:r w:rsidRPr="00295869">
              <w:rPr>
                <w:rFonts w:cs="Arial"/>
                <w:sz w:val="18"/>
                <w:szCs w:val="18"/>
              </w:rPr>
              <w:br/>
              <w:t xml:space="preserve">Cundinamarca </w:t>
            </w:r>
          </w:p>
        </w:tc>
        <w:tc>
          <w:tcPr>
            <w:tcW w:w="2126" w:type="dxa"/>
            <w:vAlign w:val="center"/>
            <w:hideMark/>
          </w:tcPr>
          <w:p w:rsidR="002D2D91" w:rsidRPr="00295869" w:rsidRDefault="00295869" w:rsidP="000F042D">
            <w:pPr>
              <w:jc w:val="both"/>
              <w:rPr>
                <w:rFonts w:cs="Arial"/>
                <w:sz w:val="18"/>
                <w:szCs w:val="18"/>
              </w:rPr>
            </w:pPr>
            <w:r w:rsidRPr="00295869">
              <w:rPr>
                <w:rFonts w:cs="Arial"/>
                <w:sz w:val="18"/>
                <w:szCs w:val="18"/>
              </w:rPr>
              <w:t xml:space="preserve">22 Casos - Promedio De 500 Madres Comunitarias - 400 Niños Seguimiento Por No Atención. </w:t>
            </w:r>
          </w:p>
        </w:tc>
        <w:tc>
          <w:tcPr>
            <w:tcW w:w="1073" w:type="dxa"/>
            <w:noWrap/>
            <w:vAlign w:val="center"/>
            <w:hideMark/>
          </w:tcPr>
          <w:p w:rsidR="002D2D91" w:rsidRPr="00295869" w:rsidRDefault="00295869" w:rsidP="000F042D">
            <w:pPr>
              <w:jc w:val="both"/>
              <w:rPr>
                <w:rFonts w:cs="Arial"/>
                <w:sz w:val="18"/>
                <w:szCs w:val="18"/>
              </w:rPr>
            </w:pPr>
            <w:r w:rsidRPr="00295869">
              <w:rPr>
                <w:rFonts w:cs="Arial"/>
                <w:sz w:val="18"/>
                <w:szCs w:val="18"/>
              </w:rPr>
              <w:t>Cumplido</w:t>
            </w:r>
          </w:p>
        </w:tc>
      </w:tr>
      <w:tr w:rsidR="002D2D91" w:rsidRPr="00295869" w:rsidTr="00295869">
        <w:trPr>
          <w:trHeight w:val="19"/>
        </w:trPr>
        <w:tc>
          <w:tcPr>
            <w:tcW w:w="1319" w:type="dxa"/>
            <w:vMerge/>
            <w:vAlign w:val="center"/>
            <w:hideMark/>
          </w:tcPr>
          <w:p w:rsidR="002D2D91" w:rsidRPr="00295869" w:rsidRDefault="002D2D91" w:rsidP="000F042D">
            <w:pPr>
              <w:jc w:val="both"/>
              <w:rPr>
                <w:rFonts w:cs="Arial"/>
                <w:sz w:val="18"/>
                <w:szCs w:val="18"/>
              </w:rPr>
            </w:pPr>
          </w:p>
        </w:tc>
        <w:tc>
          <w:tcPr>
            <w:tcW w:w="1622" w:type="dxa"/>
            <w:noWrap/>
            <w:vAlign w:val="center"/>
            <w:hideMark/>
          </w:tcPr>
          <w:p w:rsidR="002D2D91" w:rsidRPr="00295869" w:rsidRDefault="00295869" w:rsidP="000F042D">
            <w:pPr>
              <w:jc w:val="both"/>
              <w:rPr>
                <w:rFonts w:cs="Arial"/>
                <w:sz w:val="18"/>
                <w:szCs w:val="18"/>
              </w:rPr>
            </w:pPr>
            <w:r w:rsidRPr="00295869">
              <w:rPr>
                <w:rFonts w:cs="Arial"/>
                <w:sz w:val="18"/>
                <w:szCs w:val="18"/>
              </w:rPr>
              <w:t>E-2017-454556-0101</w:t>
            </w:r>
          </w:p>
        </w:tc>
        <w:tc>
          <w:tcPr>
            <w:tcW w:w="1737" w:type="dxa"/>
            <w:noWrap/>
            <w:vAlign w:val="center"/>
            <w:hideMark/>
          </w:tcPr>
          <w:p w:rsidR="002D2D91" w:rsidRPr="00295869" w:rsidRDefault="00295869" w:rsidP="000F042D">
            <w:pPr>
              <w:jc w:val="both"/>
              <w:rPr>
                <w:rFonts w:cs="Arial"/>
                <w:sz w:val="18"/>
                <w:szCs w:val="18"/>
              </w:rPr>
            </w:pPr>
            <w:r w:rsidRPr="00295869">
              <w:rPr>
                <w:rFonts w:cs="Arial"/>
                <w:sz w:val="18"/>
                <w:szCs w:val="18"/>
              </w:rPr>
              <w:t>S-2017-589681-0101</w:t>
            </w:r>
          </w:p>
        </w:tc>
        <w:tc>
          <w:tcPr>
            <w:tcW w:w="1701" w:type="dxa"/>
            <w:noWrap/>
            <w:vAlign w:val="center"/>
            <w:hideMark/>
          </w:tcPr>
          <w:p w:rsidR="002D2D91" w:rsidRPr="00295869" w:rsidRDefault="00295869" w:rsidP="000F042D">
            <w:pPr>
              <w:jc w:val="both"/>
              <w:rPr>
                <w:rFonts w:cs="Arial"/>
                <w:sz w:val="18"/>
                <w:szCs w:val="18"/>
              </w:rPr>
            </w:pPr>
            <w:r w:rsidRPr="00295869">
              <w:rPr>
                <w:rFonts w:cs="Arial"/>
                <w:sz w:val="18"/>
                <w:szCs w:val="18"/>
              </w:rPr>
              <w:t xml:space="preserve">Magdalena Hoyos </w:t>
            </w:r>
          </w:p>
        </w:tc>
        <w:tc>
          <w:tcPr>
            <w:tcW w:w="2126" w:type="dxa"/>
            <w:noWrap/>
            <w:vAlign w:val="center"/>
            <w:hideMark/>
          </w:tcPr>
          <w:p w:rsidR="002D2D91" w:rsidRPr="00295869" w:rsidRDefault="00295869" w:rsidP="000F042D">
            <w:pPr>
              <w:jc w:val="both"/>
              <w:rPr>
                <w:rFonts w:cs="Arial"/>
                <w:sz w:val="18"/>
                <w:szCs w:val="18"/>
              </w:rPr>
            </w:pPr>
            <w:r w:rsidRPr="00295869">
              <w:rPr>
                <w:rFonts w:cs="Arial"/>
                <w:sz w:val="18"/>
                <w:szCs w:val="18"/>
              </w:rPr>
              <w:t xml:space="preserve"> 1 - Caso </w:t>
            </w:r>
          </w:p>
        </w:tc>
        <w:tc>
          <w:tcPr>
            <w:tcW w:w="1073" w:type="dxa"/>
            <w:noWrap/>
            <w:vAlign w:val="center"/>
            <w:hideMark/>
          </w:tcPr>
          <w:p w:rsidR="002D2D91" w:rsidRPr="00295869" w:rsidRDefault="00295869" w:rsidP="000F042D">
            <w:pPr>
              <w:jc w:val="both"/>
              <w:rPr>
                <w:rFonts w:cs="Arial"/>
                <w:sz w:val="18"/>
                <w:szCs w:val="18"/>
              </w:rPr>
            </w:pPr>
            <w:r w:rsidRPr="00295869">
              <w:rPr>
                <w:rFonts w:cs="Arial"/>
                <w:sz w:val="18"/>
                <w:szCs w:val="18"/>
              </w:rPr>
              <w:t>Cumplido</w:t>
            </w:r>
          </w:p>
        </w:tc>
      </w:tr>
      <w:tr w:rsidR="002D2D91" w:rsidRPr="00295869" w:rsidTr="00295869">
        <w:trPr>
          <w:trHeight w:val="19"/>
        </w:trPr>
        <w:tc>
          <w:tcPr>
            <w:tcW w:w="1319" w:type="dxa"/>
            <w:vMerge/>
            <w:vAlign w:val="center"/>
            <w:hideMark/>
          </w:tcPr>
          <w:p w:rsidR="002D2D91" w:rsidRPr="00295869" w:rsidRDefault="002D2D91" w:rsidP="000F042D">
            <w:pPr>
              <w:jc w:val="both"/>
              <w:rPr>
                <w:rFonts w:cs="Arial"/>
                <w:sz w:val="18"/>
                <w:szCs w:val="18"/>
              </w:rPr>
            </w:pPr>
          </w:p>
        </w:tc>
        <w:tc>
          <w:tcPr>
            <w:tcW w:w="1622" w:type="dxa"/>
            <w:noWrap/>
            <w:vAlign w:val="center"/>
            <w:hideMark/>
          </w:tcPr>
          <w:p w:rsidR="002D2D91" w:rsidRPr="00295869" w:rsidRDefault="00295869" w:rsidP="000F042D">
            <w:pPr>
              <w:jc w:val="both"/>
              <w:rPr>
                <w:rFonts w:cs="Arial"/>
                <w:sz w:val="18"/>
                <w:szCs w:val="18"/>
              </w:rPr>
            </w:pPr>
            <w:r w:rsidRPr="00295869">
              <w:rPr>
                <w:rFonts w:cs="Arial"/>
                <w:sz w:val="18"/>
                <w:szCs w:val="18"/>
              </w:rPr>
              <w:t>E-2017-618768-0101</w:t>
            </w:r>
          </w:p>
        </w:tc>
        <w:tc>
          <w:tcPr>
            <w:tcW w:w="1737" w:type="dxa"/>
            <w:noWrap/>
            <w:vAlign w:val="center"/>
            <w:hideMark/>
          </w:tcPr>
          <w:p w:rsidR="002D2D91" w:rsidRPr="00295869" w:rsidRDefault="00295869" w:rsidP="000F042D">
            <w:pPr>
              <w:jc w:val="both"/>
              <w:rPr>
                <w:rFonts w:cs="Arial"/>
                <w:sz w:val="18"/>
                <w:szCs w:val="18"/>
              </w:rPr>
            </w:pPr>
            <w:r w:rsidRPr="00295869">
              <w:rPr>
                <w:rFonts w:cs="Arial"/>
                <w:sz w:val="18"/>
                <w:szCs w:val="18"/>
              </w:rPr>
              <w:t>S-2017-544115-0101</w:t>
            </w:r>
          </w:p>
        </w:tc>
        <w:tc>
          <w:tcPr>
            <w:tcW w:w="1701" w:type="dxa"/>
            <w:vAlign w:val="center"/>
            <w:hideMark/>
          </w:tcPr>
          <w:p w:rsidR="002D2D91" w:rsidRPr="00295869" w:rsidRDefault="00295869" w:rsidP="000F042D">
            <w:pPr>
              <w:jc w:val="both"/>
              <w:rPr>
                <w:rFonts w:cs="Arial"/>
                <w:sz w:val="18"/>
                <w:szCs w:val="18"/>
              </w:rPr>
            </w:pPr>
            <w:r w:rsidRPr="00295869">
              <w:rPr>
                <w:rFonts w:cs="Arial"/>
                <w:sz w:val="18"/>
                <w:szCs w:val="18"/>
              </w:rPr>
              <w:t>Sindicato</w:t>
            </w:r>
            <w:r w:rsidRPr="00295869">
              <w:rPr>
                <w:rFonts w:cs="Arial"/>
                <w:sz w:val="18"/>
                <w:szCs w:val="18"/>
              </w:rPr>
              <w:br/>
              <w:t xml:space="preserve">Antioquia </w:t>
            </w:r>
            <w:r w:rsidRPr="00295869">
              <w:rPr>
                <w:rFonts w:cs="Arial"/>
                <w:sz w:val="18"/>
                <w:szCs w:val="18"/>
              </w:rPr>
              <w:br/>
              <w:t>Córdoba</w:t>
            </w:r>
            <w:r w:rsidRPr="00295869">
              <w:rPr>
                <w:rFonts w:cs="Arial"/>
                <w:sz w:val="18"/>
                <w:szCs w:val="18"/>
              </w:rPr>
              <w:br/>
              <w:t>Antioquia</w:t>
            </w:r>
            <w:r w:rsidRPr="00295869">
              <w:rPr>
                <w:rFonts w:cs="Arial"/>
                <w:sz w:val="18"/>
                <w:szCs w:val="18"/>
              </w:rPr>
              <w:br/>
              <w:t>Atlántico</w:t>
            </w:r>
            <w:r w:rsidRPr="00295869">
              <w:rPr>
                <w:rFonts w:cs="Arial"/>
                <w:sz w:val="18"/>
                <w:szCs w:val="18"/>
              </w:rPr>
              <w:br/>
              <w:t>Bogotá</w:t>
            </w:r>
            <w:r w:rsidRPr="00295869">
              <w:rPr>
                <w:rFonts w:cs="Arial"/>
                <w:sz w:val="18"/>
                <w:szCs w:val="18"/>
              </w:rPr>
              <w:br/>
              <w:t>Casanare</w:t>
            </w:r>
            <w:r w:rsidRPr="00295869">
              <w:rPr>
                <w:rFonts w:cs="Arial"/>
                <w:sz w:val="18"/>
                <w:szCs w:val="18"/>
              </w:rPr>
              <w:br/>
              <w:t xml:space="preserve">Santander  </w:t>
            </w:r>
            <w:r w:rsidRPr="00295869">
              <w:rPr>
                <w:rFonts w:cs="Arial"/>
                <w:sz w:val="18"/>
                <w:szCs w:val="18"/>
              </w:rPr>
              <w:br/>
              <w:t>Meta</w:t>
            </w:r>
            <w:r w:rsidRPr="00295869">
              <w:rPr>
                <w:rFonts w:cs="Arial"/>
                <w:sz w:val="18"/>
                <w:szCs w:val="18"/>
              </w:rPr>
              <w:br/>
              <w:t xml:space="preserve">Valle Del Cauca </w:t>
            </w:r>
          </w:p>
        </w:tc>
        <w:tc>
          <w:tcPr>
            <w:tcW w:w="2126" w:type="dxa"/>
            <w:vAlign w:val="center"/>
            <w:hideMark/>
          </w:tcPr>
          <w:p w:rsidR="002D2D91" w:rsidRPr="00295869" w:rsidRDefault="00295869" w:rsidP="000F042D">
            <w:pPr>
              <w:jc w:val="both"/>
              <w:rPr>
                <w:rFonts w:cs="Arial"/>
                <w:sz w:val="18"/>
                <w:szCs w:val="18"/>
              </w:rPr>
            </w:pPr>
            <w:r w:rsidRPr="00295869">
              <w:rPr>
                <w:rFonts w:cs="Arial"/>
                <w:sz w:val="18"/>
                <w:szCs w:val="18"/>
              </w:rPr>
              <w:t>23 Casos - Promedio De 400 Madres Comunitarias Seguimiento</w:t>
            </w:r>
          </w:p>
        </w:tc>
        <w:tc>
          <w:tcPr>
            <w:tcW w:w="1073" w:type="dxa"/>
            <w:noWrap/>
            <w:vAlign w:val="center"/>
            <w:hideMark/>
          </w:tcPr>
          <w:p w:rsidR="002D2D91" w:rsidRPr="00295869" w:rsidRDefault="00295869" w:rsidP="000F042D">
            <w:pPr>
              <w:jc w:val="both"/>
              <w:rPr>
                <w:rFonts w:cs="Arial"/>
                <w:sz w:val="18"/>
                <w:szCs w:val="18"/>
              </w:rPr>
            </w:pPr>
            <w:r w:rsidRPr="00295869">
              <w:rPr>
                <w:rFonts w:cs="Arial"/>
                <w:sz w:val="18"/>
                <w:szCs w:val="18"/>
              </w:rPr>
              <w:t xml:space="preserve">Cumplido </w:t>
            </w:r>
          </w:p>
        </w:tc>
      </w:tr>
      <w:tr w:rsidR="002D2D91" w:rsidRPr="00295869" w:rsidTr="00295869">
        <w:trPr>
          <w:trHeight w:val="19"/>
        </w:trPr>
        <w:tc>
          <w:tcPr>
            <w:tcW w:w="1319" w:type="dxa"/>
            <w:vMerge/>
            <w:vAlign w:val="center"/>
            <w:hideMark/>
          </w:tcPr>
          <w:p w:rsidR="002D2D91" w:rsidRPr="00295869" w:rsidRDefault="002D2D91" w:rsidP="000F042D">
            <w:pPr>
              <w:jc w:val="both"/>
              <w:rPr>
                <w:rFonts w:cs="Arial"/>
                <w:sz w:val="18"/>
                <w:szCs w:val="18"/>
              </w:rPr>
            </w:pPr>
          </w:p>
        </w:tc>
        <w:tc>
          <w:tcPr>
            <w:tcW w:w="1622" w:type="dxa"/>
            <w:noWrap/>
            <w:vAlign w:val="center"/>
            <w:hideMark/>
          </w:tcPr>
          <w:p w:rsidR="002D2D91" w:rsidRPr="00295869" w:rsidRDefault="00295869" w:rsidP="000F042D">
            <w:pPr>
              <w:jc w:val="both"/>
              <w:rPr>
                <w:rFonts w:cs="Arial"/>
                <w:sz w:val="18"/>
                <w:szCs w:val="18"/>
              </w:rPr>
            </w:pPr>
            <w:r w:rsidRPr="00295869">
              <w:rPr>
                <w:rFonts w:cs="Arial"/>
                <w:sz w:val="18"/>
                <w:szCs w:val="18"/>
              </w:rPr>
              <w:t>E-2017-420467-0101</w:t>
            </w:r>
          </w:p>
        </w:tc>
        <w:tc>
          <w:tcPr>
            <w:tcW w:w="1737" w:type="dxa"/>
            <w:noWrap/>
            <w:vAlign w:val="center"/>
            <w:hideMark/>
          </w:tcPr>
          <w:p w:rsidR="002D2D91" w:rsidRPr="00295869" w:rsidRDefault="00295869" w:rsidP="000F042D">
            <w:pPr>
              <w:jc w:val="both"/>
              <w:rPr>
                <w:rFonts w:cs="Arial"/>
                <w:sz w:val="18"/>
                <w:szCs w:val="18"/>
              </w:rPr>
            </w:pPr>
            <w:r w:rsidRPr="00295869">
              <w:rPr>
                <w:rFonts w:cs="Arial"/>
                <w:sz w:val="18"/>
                <w:szCs w:val="18"/>
              </w:rPr>
              <w:t>S-2017-618781-0101</w:t>
            </w:r>
          </w:p>
        </w:tc>
        <w:tc>
          <w:tcPr>
            <w:tcW w:w="1701" w:type="dxa"/>
            <w:vAlign w:val="center"/>
            <w:hideMark/>
          </w:tcPr>
          <w:p w:rsidR="002D2D91" w:rsidRPr="00295869" w:rsidRDefault="00295869" w:rsidP="000F042D">
            <w:pPr>
              <w:jc w:val="both"/>
              <w:rPr>
                <w:rFonts w:cs="Arial"/>
                <w:sz w:val="18"/>
                <w:szCs w:val="18"/>
              </w:rPr>
            </w:pPr>
            <w:r w:rsidRPr="00295869">
              <w:rPr>
                <w:rFonts w:cs="Arial"/>
                <w:sz w:val="18"/>
                <w:szCs w:val="18"/>
              </w:rPr>
              <w:t xml:space="preserve">Sindicato </w:t>
            </w:r>
            <w:r w:rsidRPr="00295869">
              <w:rPr>
                <w:rFonts w:cs="Arial"/>
                <w:sz w:val="18"/>
                <w:szCs w:val="18"/>
              </w:rPr>
              <w:br/>
              <w:t xml:space="preserve">Bogotá </w:t>
            </w:r>
            <w:r w:rsidRPr="00295869">
              <w:rPr>
                <w:rFonts w:cs="Arial"/>
                <w:sz w:val="18"/>
                <w:szCs w:val="18"/>
              </w:rPr>
              <w:br/>
              <w:t xml:space="preserve">Bolívar </w:t>
            </w:r>
            <w:r w:rsidRPr="00295869">
              <w:rPr>
                <w:rFonts w:cs="Arial"/>
                <w:sz w:val="18"/>
                <w:szCs w:val="18"/>
              </w:rPr>
              <w:br/>
              <w:t>Sucre</w:t>
            </w:r>
          </w:p>
        </w:tc>
        <w:tc>
          <w:tcPr>
            <w:tcW w:w="2126" w:type="dxa"/>
            <w:vAlign w:val="center"/>
            <w:hideMark/>
          </w:tcPr>
          <w:p w:rsidR="002D2D91" w:rsidRPr="00295869" w:rsidRDefault="00295869" w:rsidP="000F042D">
            <w:pPr>
              <w:jc w:val="both"/>
              <w:rPr>
                <w:rFonts w:cs="Arial"/>
                <w:sz w:val="18"/>
                <w:szCs w:val="18"/>
              </w:rPr>
            </w:pPr>
            <w:r w:rsidRPr="00295869">
              <w:rPr>
                <w:rFonts w:cs="Arial"/>
                <w:sz w:val="18"/>
                <w:szCs w:val="18"/>
              </w:rPr>
              <w:t xml:space="preserve">3 Casos - Promedio Cinco Madres Comunitarias Seguimiento </w:t>
            </w:r>
          </w:p>
        </w:tc>
        <w:tc>
          <w:tcPr>
            <w:tcW w:w="1073" w:type="dxa"/>
            <w:noWrap/>
            <w:vAlign w:val="center"/>
            <w:hideMark/>
          </w:tcPr>
          <w:p w:rsidR="002D2D91" w:rsidRPr="00295869" w:rsidRDefault="00295869" w:rsidP="000F042D">
            <w:pPr>
              <w:jc w:val="both"/>
              <w:rPr>
                <w:rFonts w:cs="Arial"/>
                <w:sz w:val="18"/>
                <w:szCs w:val="18"/>
              </w:rPr>
            </w:pPr>
            <w:r w:rsidRPr="00295869">
              <w:rPr>
                <w:rFonts w:cs="Arial"/>
                <w:sz w:val="18"/>
                <w:szCs w:val="18"/>
              </w:rPr>
              <w:t>Cumplido</w:t>
            </w:r>
          </w:p>
        </w:tc>
      </w:tr>
      <w:tr w:rsidR="002D2D91" w:rsidRPr="00295869" w:rsidTr="00295869">
        <w:trPr>
          <w:trHeight w:val="19"/>
        </w:trPr>
        <w:tc>
          <w:tcPr>
            <w:tcW w:w="1319" w:type="dxa"/>
            <w:vMerge/>
            <w:vAlign w:val="center"/>
            <w:hideMark/>
          </w:tcPr>
          <w:p w:rsidR="002D2D91" w:rsidRPr="00295869" w:rsidRDefault="002D2D91" w:rsidP="000F042D">
            <w:pPr>
              <w:jc w:val="both"/>
              <w:rPr>
                <w:rFonts w:cs="Arial"/>
                <w:sz w:val="18"/>
                <w:szCs w:val="18"/>
              </w:rPr>
            </w:pPr>
          </w:p>
        </w:tc>
        <w:tc>
          <w:tcPr>
            <w:tcW w:w="1622" w:type="dxa"/>
            <w:noWrap/>
            <w:vAlign w:val="center"/>
            <w:hideMark/>
          </w:tcPr>
          <w:p w:rsidR="002D2D91" w:rsidRPr="00295869" w:rsidRDefault="00295869" w:rsidP="000F042D">
            <w:pPr>
              <w:jc w:val="both"/>
              <w:rPr>
                <w:rFonts w:cs="Arial"/>
                <w:sz w:val="18"/>
                <w:szCs w:val="18"/>
              </w:rPr>
            </w:pPr>
            <w:r w:rsidRPr="00295869">
              <w:rPr>
                <w:rFonts w:cs="Arial"/>
                <w:sz w:val="18"/>
                <w:szCs w:val="18"/>
              </w:rPr>
              <w:t>E-2017-424556-0101</w:t>
            </w:r>
          </w:p>
        </w:tc>
        <w:tc>
          <w:tcPr>
            <w:tcW w:w="1737" w:type="dxa"/>
            <w:noWrap/>
            <w:vAlign w:val="center"/>
            <w:hideMark/>
          </w:tcPr>
          <w:p w:rsidR="002D2D91" w:rsidRPr="00295869" w:rsidRDefault="00295869" w:rsidP="000F042D">
            <w:pPr>
              <w:jc w:val="both"/>
              <w:rPr>
                <w:rFonts w:cs="Arial"/>
                <w:sz w:val="18"/>
                <w:szCs w:val="18"/>
              </w:rPr>
            </w:pPr>
            <w:r w:rsidRPr="00295869">
              <w:rPr>
                <w:rFonts w:cs="Arial"/>
                <w:sz w:val="18"/>
                <w:szCs w:val="18"/>
              </w:rPr>
              <w:t>S-2017-589681-0101</w:t>
            </w:r>
          </w:p>
        </w:tc>
        <w:tc>
          <w:tcPr>
            <w:tcW w:w="1701" w:type="dxa"/>
            <w:noWrap/>
            <w:vAlign w:val="center"/>
            <w:hideMark/>
          </w:tcPr>
          <w:p w:rsidR="002D2D91" w:rsidRPr="00295869" w:rsidRDefault="00295869" w:rsidP="000F042D">
            <w:pPr>
              <w:jc w:val="both"/>
              <w:rPr>
                <w:rFonts w:cs="Arial"/>
                <w:sz w:val="18"/>
                <w:szCs w:val="18"/>
              </w:rPr>
            </w:pPr>
            <w:r w:rsidRPr="00295869">
              <w:rPr>
                <w:rFonts w:cs="Arial"/>
                <w:sz w:val="18"/>
                <w:szCs w:val="18"/>
              </w:rPr>
              <w:t xml:space="preserve">Magdalena Hoyos </w:t>
            </w:r>
          </w:p>
        </w:tc>
        <w:tc>
          <w:tcPr>
            <w:tcW w:w="2126" w:type="dxa"/>
            <w:noWrap/>
            <w:vAlign w:val="center"/>
            <w:hideMark/>
          </w:tcPr>
          <w:p w:rsidR="002D2D91" w:rsidRPr="00295869" w:rsidRDefault="00295869" w:rsidP="000F042D">
            <w:pPr>
              <w:jc w:val="both"/>
              <w:rPr>
                <w:rFonts w:cs="Arial"/>
                <w:sz w:val="18"/>
                <w:szCs w:val="18"/>
              </w:rPr>
            </w:pPr>
            <w:r w:rsidRPr="00295869">
              <w:rPr>
                <w:rFonts w:cs="Arial"/>
                <w:sz w:val="18"/>
                <w:szCs w:val="18"/>
              </w:rPr>
              <w:t xml:space="preserve">1 Caso </w:t>
            </w:r>
          </w:p>
        </w:tc>
        <w:tc>
          <w:tcPr>
            <w:tcW w:w="1073" w:type="dxa"/>
            <w:noWrap/>
            <w:vAlign w:val="center"/>
            <w:hideMark/>
          </w:tcPr>
          <w:p w:rsidR="002D2D91" w:rsidRPr="00295869" w:rsidRDefault="00295869" w:rsidP="000F042D">
            <w:pPr>
              <w:jc w:val="both"/>
              <w:rPr>
                <w:rFonts w:cs="Arial"/>
                <w:sz w:val="18"/>
                <w:szCs w:val="18"/>
              </w:rPr>
            </w:pPr>
            <w:r w:rsidRPr="00295869">
              <w:rPr>
                <w:rFonts w:cs="Arial"/>
                <w:sz w:val="18"/>
                <w:szCs w:val="18"/>
              </w:rPr>
              <w:t>Cumplido</w:t>
            </w:r>
          </w:p>
        </w:tc>
      </w:tr>
      <w:tr w:rsidR="002D2D91" w:rsidRPr="00295869" w:rsidTr="00295869">
        <w:trPr>
          <w:trHeight w:val="19"/>
        </w:trPr>
        <w:tc>
          <w:tcPr>
            <w:tcW w:w="1319" w:type="dxa"/>
            <w:vMerge/>
            <w:vAlign w:val="center"/>
            <w:hideMark/>
          </w:tcPr>
          <w:p w:rsidR="002D2D91" w:rsidRPr="00295869" w:rsidRDefault="002D2D91" w:rsidP="000F042D">
            <w:pPr>
              <w:jc w:val="both"/>
              <w:rPr>
                <w:rFonts w:cs="Arial"/>
                <w:sz w:val="18"/>
                <w:szCs w:val="18"/>
              </w:rPr>
            </w:pPr>
          </w:p>
        </w:tc>
        <w:tc>
          <w:tcPr>
            <w:tcW w:w="1622" w:type="dxa"/>
            <w:noWrap/>
            <w:vAlign w:val="center"/>
            <w:hideMark/>
          </w:tcPr>
          <w:p w:rsidR="002D2D91" w:rsidRPr="00295869" w:rsidRDefault="00295869" w:rsidP="000F042D">
            <w:pPr>
              <w:jc w:val="both"/>
              <w:rPr>
                <w:rFonts w:cs="Arial"/>
                <w:sz w:val="18"/>
                <w:szCs w:val="18"/>
              </w:rPr>
            </w:pPr>
            <w:r w:rsidRPr="00295869">
              <w:rPr>
                <w:rFonts w:cs="Arial"/>
                <w:sz w:val="18"/>
                <w:szCs w:val="18"/>
              </w:rPr>
              <w:t>E-2017-610840-0101</w:t>
            </w:r>
          </w:p>
        </w:tc>
        <w:tc>
          <w:tcPr>
            <w:tcW w:w="1737" w:type="dxa"/>
            <w:noWrap/>
            <w:vAlign w:val="center"/>
            <w:hideMark/>
          </w:tcPr>
          <w:p w:rsidR="002D2D91" w:rsidRPr="00295869" w:rsidRDefault="00295869" w:rsidP="000F042D">
            <w:pPr>
              <w:jc w:val="both"/>
              <w:rPr>
                <w:rFonts w:cs="Arial"/>
                <w:sz w:val="18"/>
                <w:szCs w:val="18"/>
              </w:rPr>
            </w:pPr>
            <w:r w:rsidRPr="00295869">
              <w:rPr>
                <w:rFonts w:cs="Arial"/>
                <w:sz w:val="18"/>
                <w:szCs w:val="18"/>
              </w:rPr>
              <w:t>S-2017-692118-0101</w:t>
            </w:r>
          </w:p>
        </w:tc>
        <w:tc>
          <w:tcPr>
            <w:tcW w:w="1701" w:type="dxa"/>
            <w:vAlign w:val="center"/>
            <w:hideMark/>
          </w:tcPr>
          <w:p w:rsidR="002D2D91" w:rsidRPr="00295869" w:rsidRDefault="00295869" w:rsidP="000F042D">
            <w:pPr>
              <w:jc w:val="both"/>
              <w:rPr>
                <w:rFonts w:cs="Arial"/>
                <w:sz w:val="18"/>
                <w:szCs w:val="18"/>
              </w:rPr>
            </w:pPr>
            <w:r w:rsidRPr="00295869">
              <w:rPr>
                <w:rFonts w:cs="Arial"/>
                <w:sz w:val="18"/>
                <w:szCs w:val="18"/>
              </w:rPr>
              <w:t xml:space="preserve">Boyacá </w:t>
            </w:r>
            <w:r w:rsidRPr="00295869">
              <w:rPr>
                <w:rFonts w:cs="Arial"/>
                <w:sz w:val="18"/>
                <w:szCs w:val="18"/>
              </w:rPr>
              <w:br/>
              <w:t>Santander</w:t>
            </w:r>
            <w:r w:rsidRPr="00295869">
              <w:rPr>
                <w:rFonts w:cs="Arial"/>
                <w:sz w:val="18"/>
                <w:szCs w:val="18"/>
              </w:rPr>
              <w:br/>
              <w:t>Sucre</w:t>
            </w:r>
            <w:r w:rsidRPr="00295869">
              <w:rPr>
                <w:rFonts w:cs="Arial"/>
                <w:sz w:val="18"/>
                <w:szCs w:val="18"/>
              </w:rPr>
              <w:br/>
              <w:t>Tolima</w:t>
            </w:r>
          </w:p>
        </w:tc>
        <w:tc>
          <w:tcPr>
            <w:tcW w:w="2126" w:type="dxa"/>
            <w:vAlign w:val="center"/>
            <w:hideMark/>
          </w:tcPr>
          <w:p w:rsidR="002D2D91" w:rsidRPr="00295869" w:rsidRDefault="00295869" w:rsidP="000F042D">
            <w:pPr>
              <w:jc w:val="both"/>
              <w:rPr>
                <w:rFonts w:cs="Arial"/>
                <w:sz w:val="18"/>
                <w:szCs w:val="18"/>
              </w:rPr>
            </w:pPr>
            <w:r w:rsidRPr="00295869">
              <w:rPr>
                <w:rFonts w:cs="Arial"/>
                <w:sz w:val="18"/>
                <w:szCs w:val="18"/>
              </w:rPr>
              <w:t xml:space="preserve">8 Casos - </w:t>
            </w:r>
            <w:r>
              <w:rPr>
                <w:rFonts w:cs="Arial"/>
                <w:sz w:val="18"/>
                <w:szCs w:val="18"/>
              </w:rPr>
              <w:t>Seguimiento Supervisores d</w:t>
            </w:r>
            <w:r w:rsidRPr="00295869">
              <w:rPr>
                <w:rFonts w:cs="Arial"/>
                <w:sz w:val="18"/>
                <w:szCs w:val="18"/>
              </w:rPr>
              <w:t xml:space="preserve">e Contratos </w:t>
            </w:r>
          </w:p>
        </w:tc>
        <w:tc>
          <w:tcPr>
            <w:tcW w:w="1073" w:type="dxa"/>
            <w:noWrap/>
            <w:vAlign w:val="center"/>
            <w:hideMark/>
          </w:tcPr>
          <w:p w:rsidR="002D2D91" w:rsidRPr="00295869" w:rsidRDefault="00295869" w:rsidP="000F042D">
            <w:pPr>
              <w:jc w:val="both"/>
              <w:rPr>
                <w:rFonts w:cs="Arial"/>
                <w:sz w:val="18"/>
                <w:szCs w:val="18"/>
              </w:rPr>
            </w:pPr>
            <w:r w:rsidRPr="00295869">
              <w:rPr>
                <w:rFonts w:cs="Arial"/>
                <w:sz w:val="18"/>
                <w:szCs w:val="18"/>
              </w:rPr>
              <w:t xml:space="preserve">Cumplido </w:t>
            </w:r>
          </w:p>
        </w:tc>
      </w:tr>
      <w:tr w:rsidR="002D2D91" w:rsidRPr="00295869" w:rsidTr="00295869">
        <w:trPr>
          <w:trHeight w:val="19"/>
        </w:trPr>
        <w:tc>
          <w:tcPr>
            <w:tcW w:w="1319" w:type="dxa"/>
            <w:vMerge w:val="restart"/>
            <w:vAlign w:val="center"/>
            <w:hideMark/>
          </w:tcPr>
          <w:p w:rsidR="002D2D91" w:rsidRPr="00295869" w:rsidRDefault="00295869" w:rsidP="000F042D">
            <w:pPr>
              <w:jc w:val="both"/>
              <w:rPr>
                <w:rFonts w:cs="Arial"/>
                <w:sz w:val="18"/>
                <w:szCs w:val="18"/>
              </w:rPr>
            </w:pPr>
            <w:r w:rsidRPr="00295869">
              <w:rPr>
                <w:rFonts w:cs="Arial"/>
                <w:sz w:val="18"/>
                <w:szCs w:val="18"/>
              </w:rPr>
              <w:t xml:space="preserve">Peticiones Personas Naturales </w:t>
            </w:r>
          </w:p>
        </w:tc>
        <w:tc>
          <w:tcPr>
            <w:tcW w:w="1622" w:type="dxa"/>
            <w:vMerge w:val="restart"/>
            <w:vAlign w:val="center"/>
            <w:hideMark/>
          </w:tcPr>
          <w:p w:rsidR="002D2D91" w:rsidRPr="00295869" w:rsidRDefault="00295869" w:rsidP="000F042D">
            <w:pPr>
              <w:jc w:val="both"/>
              <w:rPr>
                <w:rFonts w:cs="Arial"/>
                <w:sz w:val="18"/>
                <w:szCs w:val="18"/>
              </w:rPr>
            </w:pPr>
            <w:r w:rsidRPr="00295869">
              <w:rPr>
                <w:rFonts w:cs="Arial"/>
                <w:sz w:val="18"/>
                <w:szCs w:val="18"/>
              </w:rPr>
              <w:t xml:space="preserve">Peticiones Correos Electrónicos Regionales </w:t>
            </w:r>
          </w:p>
        </w:tc>
        <w:tc>
          <w:tcPr>
            <w:tcW w:w="1737" w:type="dxa"/>
            <w:vAlign w:val="center"/>
            <w:hideMark/>
          </w:tcPr>
          <w:p w:rsidR="002D2D91" w:rsidRPr="00295869" w:rsidRDefault="00295869" w:rsidP="000F042D">
            <w:pPr>
              <w:jc w:val="both"/>
              <w:rPr>
                <w:rFonts w:cs="Arial"/>
                <w:sz w:val="18"/>
                <w:szCs w:val="18"/>
              </w:rPr>
            </w:pPr>
            <w:r>
              <w:rPr>
                <w:rFonts w:cs="Arial"/>
                <w:sz w:val="18"/>
                <w:szCs w:val="18"/>
              </w:rPr>
              <w:t>Revisión Resoluciones de Cierre d</w:t>
            </w:r>
            <w:r w:rsidRPr="00295869">
              <w:rPr>
                <w:rFonts w:cs="Arial"/>
                <w:sz w:val="18"/>
                <w:szCs w:val="18"/>
              </w:rPr>
              <w:t xml:space="preserve">e Hogares Comunitarios </w:t>
            </w:r>
          </w:p>
        </w:tc>
        <w:tc>
          <w:tcPr>
            <w:tcW w:w="1701" w:type="dxa"/>
            <w:vMerge w:val="restart"/>
            <w:noWrap/>
            <w:vAlign w:val="center"/>
            <w:hideMark/>
          </w:tcPr>
          <w:p w:rsidR="002D2D91" w:rsidRPr="00295869" w:rsidRDefault="00295869" w:rsidP="000F042D">
            <w:pPr>
              <w:jc w:val="both"/>
              <w:rPr>
                <w:rFonts w:cs="Arial"/>
                <w:sz w:val="18"/>
                <w:szCs w:val="18"/>
              </w:rPr>
            </w:pPr>
            <w:r w:rsidRPr="00295869">
              <w:rPr>
                <w:rFonts w:cs="Arial"/>
                <w:sz w:val="18"/>
                <w:szCs w:val="18"/>
              </w:rPr>
              <w:t xml:space="preserve">Total </w:t>
            </w:r>
          </w:p>
        </w:tc>
        <w:tc>
          <w:tcPr>
            <w:tcW w:w="2126" w:type="dxa"/>
            <w:vMerge w:val="restart"/>
            <w:vAlign w:val="center"/>
            <w:hideMark/>
          </w:tcPr>
          <w:p w:rsidR="002D2D91" w:rsidRPr="00295869" w:rsidRDefault="00295869" w:rsidP="000F042D">
            <w:pPr>
              <w:jc w:val="both"/>
              <w:rPr>
                <w:rFonts w:cs="Arial"/>
                <w:sz w:val="18"/>
                <w:szCs w:val="18"/>
              </w:rPr>
            </w:pPr>
            <w:r w:rsidRPr="00295869">
              <w:rPr>
                <w:rFonts w:cs="Arial"/>
                <w:sz w:val="18"/>
                <w:szCs w:val="18"/>
              </w:rPr>
              <w:t>150</w:t>
            </w:r>
          </w:p>
        </w:tc>
        <w:tc>
          <w:tcPr>
            <w:tcW w:w="1073" w:type="dxa"/>
            <w:vMerge w:val="restart"/>
            <w:noWrap/>
            <w:vAlign w:val="center"/>
            <w:hideMark/>
          </w:tcPr>
          <w:p w:rsidR="002D2D91" w:rsidRPr="00295869" w:rsidRDefault="00295869" w:rsidP="000F042D">
            <w:pPr>
              <w:jc w:val="both"/>
              <w:rPr>
                <w:rFonts w:cs="Arial"/>
                <w:sz w:val="18"/>
                <w:szCs w:val="18"/>
              </w:rPr>
            </w:pPr>
            <w:r w:rsidRPr="00295869">
              <w:rPr>
                <w:rFonts w:cs="Arial"/>
                <w:sz w:val="18"/>
                <w:szCs w:val="18"/>
              </w:rPr>
              <w:t>Cumplido</w:t>
            </w:r>
          </w:p>
        </w:tc>
      </w:tr>
      <w:tr w:rsidR="002D2D91" w:rsidRPr="00295869" w:rsidTr="00295869">
        <w:trPr>
          <w:trHeight w:val="19"/>
        </w:trPr>
        <w:tc>
          <w:tcPr>
            <w:tcW w:w="1319" w:type="dxa"/>
            <w:vMerge/>
            <w:vAlign w:val="center"/>
            <w:hideMark/>
          </w:tcPr>
          <w:p w:rsidR="002D2D91" w:rsidRPr="00295869" w:rsidRDefault="002D2D91" w:rsidP="000F042D">
            <w:pPr>
              <w:jc w:val="both"/>
              <w:rPr>
                <w:rFonts w:cs="Arial"/>
                <w:sz w:val="18"/>
                <w:szCs w:val="18"/>
              </w:rPr>
            </w:pPr>
          </w:p>
        </w:tc>
        <w:tc>
          <w:tcPr>
            <w:tcW w:w="1622" w:type="dxa"/>
            <w:vMerge/>
            <w:vAlign w:val="center"/>
            <w:hideMark/>
          </w:tcPr>
          <w:p w:rsidR="002D2D91" w:rsidRPr="00295869" w:rsidRDefault="002D2D91" w:rsidP="000F042D">
            <w:pPr>
              <w:jc w:val="both"/>
              <w:rPr>
                <w:rFonts w:cs="Arial"/>
                <w:sz w:val="18"/>
                <w:szCs w:val="18"/>
              </w:rPr>
            </w:pPr>
          </w:p>
        </w:tc>
        <w:tc>
          <w:tcPr>
            <w:tcW w:w="1737" w:type="dxa"/>
            <w:vAlign w:val="center"/>
            <w:hideMark/>
          </w:tcPr>
          <w:p w:rsidR="002D2D91" w:rsidRPr="00295869" w:rsidRDefault="00295869" w:rsidP="000F042D">
            <w:pPr>
              <w:jc w:val="both"/>
              <w:rPr>
                <w:rFonts w:cs="Arial"/>
                <w:sz w:val="18"/>
                <w:szCs w:val="18"/>
              </w:rPr>
            </w:pPr>
            <w:r w:rsidRPr="00295869">
              <w:rPr>
                <w:rFonts w:cs="Arial"/>
                <w:sz w:val="18"/>
                <w:szCs w:val="18"/>
              </w:rPr>
              <w:t>Asesoría Manual Operativo Modalidad Comunitaria</w:t>
            </w:r>
          </w:p>
        </w:tc>
        <w:tc>
          <w:tcPr>
            <w:tcW w:w="1701" w:type="dxa"/>
            <w:vMerge/>
            <w:vAlign w:val="center"/>
            <w:hideMark/>
          </w:tcPr>
          <w:p w:rsidR="002D2D91" w:rsidRPr="00295869" w:rsidRDefault="002D2D91" w:rsidP="000F042D">
            <w:pPr>
              <w:jc w:val="both"/>
              <w:rPr>
                <w:rFonts w:cs="Arial"/>
                <w:sz w:val="18"/>
                <w:szCs w:val="18"/>
              </w:rPr>
            </w:pPr>
          </w:p>
        </w:tc>
        <w:tc>
          <w:tcPr>
            <w:tcW w:w="2126" w:type="dxa"/>
            <w:vMerge/>
            <w:vAlign w:val="center"/>
            <w:hideMark/>
          </w:tcPr>
          <w:p w:rsidR="002D2D91" w:rsidRPr="00295869" w:rsidRDefault="002D2D91" w:rsidP="000F042D">
            <w:pPr>
              <w:jc w:val="both"/>
              <w:rPr>
                <w:rFonts w:cs="Arial"/>
                <w:sz w:val="18"/>
                <w:szCs w:val="18"/>
              </w:rPr>
            </w:pPr>
          </w:p>
        </w:tc>
        <w:tc>
          <w:tcPr>
            <w:tcW w:w="1073" w:type="dxa"/>
            <w:vMerge/>
            <w:vAlign w:val="center"/>
            <w:hideMark/>
          </w:tcPr>
          <w:p w:rsidR="002D2D91" w:rsidRPr="00295869" w:rsidRDefault="002D2D91" w:rsidP="000F042D">
            <w:pPr>
              <w:jc w:val="both"/>
              <w:rPr>
                <w:rFonts w:cs="Arial"/>
                <w:sz w:val="18"/>
                <w:szCs w:val="18"/>
              </w:rPr>
            </w:pPr>
          </w:p>
        </w:tc>
      </w:tr>
      <w:tr w:rsidR="002D2D91" w:rsidRPr="00295869" w:rsidTr="00295869">
        <w:trPr>
          <w:trHeight w:val="19"/>
        </w:trPr>
        <w:tc>
          <w:tcPr>
            <w:tcW w:w="1319" w:type="dxa"/>
            <w:vMerge/>
            <w:vAlign w:val="center"/>
            <w:hideMark/>
          </w:tcPr>
          <w:p w:rsidR="002D2D91" w:rsidRPr="00295869" w:rsidRDefault="002D2D91" w:rsidP="000F042D">
            <w:pPr>
              <w:jc w:val="both"/>
              <w:rPr>
                <w:rFonts w:cs="Arial"/>
                <w:sz w:val="18"/>
                <w:szCs w:val="18"/>
              </w:rPr>
            </w:pPr>
          </w:p>
        </w:tc>
        <w:tc>
          <w:tcPr>
            <w:tcW w:w="1622" w:type="dxa"/>
            <w:vMerge/>
            <w:vAlign w:val="center"/>
            <w:hideMark/>
          </w:tcPr>
          <w:p w:rsidR="002D2D91" w:rsidRPr="00295869" w:rsidRDefault="002D2D91" w:rsidP="000F042D">
            <w:pPr>
              <w:jc w:val="both"/>
              <w:rPr>
                <w:rFonts w:cs="Arial"/>
                <w:sz w:val="18"/>
                <w:szCs w:val="18"/>
              </w:rPr>
            </w:pPr>
          </w:p>
        </w:tc>
        <w:tc>
          <w:tcPr>
            <w:tcW w:w="1737" w:type="dxa"/>
            <w:vAlign w:val="center"/>
            <w:hideMark/>
          </w:tcPr>
          <w:p w:rsidR="002D2D91" w:rsidRPr="00295869" w:rsidRDefault="00295869" w:rsidP="000F042D">
            <w:pPr>
              <w:jc w:val="both"/>
              <w:rPr>
                <w:rFonts w:cs="Arial"/>
                <w:sz w:val="18"/>
                <w:szCs w:val="18"/>
              </w:rPr>
            </w:pPr>
            <w:r>
              <w:rPr>
                <w:rFonts w:cs="Arial"/>
                <w:sz w:val="18"/>
                <w:szCs w:val="18"/>
              </w:rPr>
              <w:t>Solicitudes de Madres Comunitarias p</w:t>
            </w:r>
            <w:r w:rsidRPr="00295869">
              <w:rPr>
                <w:rFonts w:cs="Arial"/>
                <w:sz w:val="18"/>
                <w:szCs w:val="18"/>
              </w:rPr>
              <w:t xml:space="preserve">or Correo Electrónico </w:t>
            </w:r>
          </w:p>
        </w:tc>
        <w:tc>
          <w:tcPr>
            <w:tcW w:w="1701" w:type="dxa"/>
            <w:vMerge/>
            <w:vAlign w:val="center"/>
            <w:hideMark/>
          </w:tcPr>
          <w:p w:rsidR="002D2D91" w:rsidRPr="00295869" w:rsidRDefault="002D2D91" w:rsidP="000F042D">
            <w:pPr>
              <w:jc w:val="both"/>
              <w:rPr>
                <w:rFonts w:cs="Arial"/>
                <w:sz w:val="18"/>
                <w:szCs w:val="18"/>
              </w:rPr>
            </w:pPr>
          </w:p>
        </w:tc>
        <w:tc>
          <w:tcPr>
            <w:tcW w:w="2126" w:type="dxa"/>
            <w:vMerge/>
            <w:vAlign w:val="center"/>
            <w:hideMark/>
          </w:tcPr>
          <w:p w:rsidR="002D2D91" w:rsidRPr="00295869" w:rsidRDefault="002D2D91" w:rsidP="000F042D">
            <w:pPr>
              <w:jc w:val="both"/>
              <w:rPr>
                <w:rFonts w:cs="Arial"/>
                <w:sz w:val="18"/>
                <w:szCs w:val="18"/>
              </w:rPr>
            </w:pPr>
          </w:p>
        </w:tc>
        <w:tc>
          <w:tcPr>
            <w:tcW w:w="1073" w:type="dxa"/>
            <w:vMerge/>
            <w:vAlign w:val="center"/>
            <w:hideMark/>
          </w:tcPr>
          <w:p w:rsidR="002D2D91" w:rsidRPr="00295869" w:rsidRDefault="002D2D91" w:rsidP="000F042D">
            <w:pPr>
              <w:jc w:val="both"/>
              <w:rPr>
                <w:rFonts w:cs="Arial"/>
                <w:sz w:val="18"/>
                <w:szCs w:val="18"/>
              </w:rPr>
            </w:pPr>
          </w:p>
        </w:tc>
      </w:tr>
      <w:tr w:rsidR="002D2D91" w:rsidRPr="00295869" w:rsidTr="00295869">
        <w:trPr>
          <w:trHeight w:val="19"/>
        </w:trPr>
        <w:tc>
          <w:tcPr>
            <w:tcW w:w="1319" w:type="dxa"/>
            <w:vMerge/>
            <w:vAlign w:val="center"/>
            <w:hideMark/>
          </w:tcPr>
          <w:p w:rsidR="002D2D91" w:rsidRPr="00295869" w:rsidRDefault="002D2D91" w:rsidP="000F042D">
            <w:pPr>
              <w:jc w:val="both"/>
              <w:rPr>
                <w:rFonts w:cs="Arial"/>
                <w:sz w:val="18"/>
                <w:szCs w:val="18"/>
              </w:rPr>
            </w:pPr>
          </w:p>
        </w:tc>
        <w:tc>
          <w:tcPr>
            <w:tcW w:w="1622" w:type="dxa"/>
            <w:vMerge/>
            <w:vAlign w:val="center"/>
            <w:hideMark/>
          </w:tcPr>
          <w:p w:rsidR="002D2D91" w:rsidRPr="00295869" w:rsidRDefault="002D2D91" w:rsidP="000F042D">
            <w:pPr>
              <w:jc w:val="both"/>
              <w:rPr>
                <w:rFonts w:cs="Arial"/>
                <w:sz w:val="18"/>
                <w:szCs w:val="18"/>
              </w:rPr>
            </w:pPr>
          </w:p>
        </w:tc>
        <w:tc>
          <w:tcPr>
            <w:tcW w:w="1737" w:type="dxa"/>
            <w:vAlign w:val="center"/>
            <w:hideMark/>
          </w:tcPr>
          <w:p w:rsidR="002D2D91" w:rsidRPr="00295869" w:rsidRDefault="00295869" w:rsidP="000F042D">
            <w:pPr>
              <w:jc w:val="both"/>
              <w:rPr>
                <w:rFonts w:cs="Arial"/>
                <w:sz w:val="18"/>
                <w:szCs w:val="18"/>
              </w:rPr>
            </w:pPr>
            <w:r w:rsidRPr="00295869">
              <w:rPr>
                <w:rFonts w:cs="Arial"/>
                <w:sz w:val="18"/>
                <w:szCs w:val="18"/>
              </w:rPr>
              <w:t>Insumos - Seguimient</w:t>
            </w:r>
            <w:r>
              <w:rPr>
                <w:rFonts w:cs="Arial"/>
                <w:sz w:val="18"/>
                <w:szCs w:val="18"/>
              </w:rPr>
              <w:t>o Oficios Procuraduría General de l</w:t>
            </w:r>
            <w:r w:rsidRPr="00295869">
              <w:rPr>
                <w:rFonts w:cs="Arial"/>
                <w:sz w:val="18"/>
                <w:szCs w:val="18"/>
              </w:rPr>
              <w:t xml:space="preserve">a </w:t>
            </w:r>
            <w:r w:rsidRPr="00295869">
              <w:rPr>
                <w:rFonts w:cs="Arial"/>
                <w:sz w:val="18"/>
                <w:szCs w:val="18"/>
              </w:rPr>
              <w:lastRenderedPageBreak/>
              <w:t xml:space="preserve">Nación Y Congreso </w:t>
            </w:r>
          </w:p>
        </w:tc>
        <w:tc>
          <w:tcPr>
            <w:tcW w:w="1701" w:type="dxa"/>
            <w:vMerge/>
            <w:vAlign w:val="center"/>
            <w:hideMark/>
          </w:tcPr>
          <w:p w:rsidR="002D2D91" w:rsidRPr="00295869" w:rsidRDefault="002D2D91" w:rsidP="000F042D">
            <w:pPr>
              <w:jc w:val="both"/>
              <w:rPr>
                <w:rFonts w:cs="Arial"/>
                <w:sz w:val="18"/>
                <w:szCs w:val="18"/>
              </w:rPr>
            </w:pPr>
          </w:p>
        </w:tc>
        <w:tc>
          <w:tcPr>
            <w:tcW w:w="2126" w:type="dxa"/>
            <w:vMerge/>
            <w:vAlign w:val="center"/>
            <w:hideMark/>
          </w:tcPr>
          <w:p w:rsidR="002D2D91" w:rsidRPr="00295869" w:rsidRDefault="002D2D91" w:rsidP="000F042D">
            <w:pPr>
              <w:jc w:val="both"/>
              <w:rPr>
                <w:rFonts w:cs="Arial"/>
                <w:sz w:val="18"/>
                <w:szCs w:val="18"/>
              </w:rPr>
            </w:pPr>
          </w:p>
        </w:tc>
        <w:tc>
          <w:tcPr>
            <w:tcW w:w="1073" w:type="dxa"/>
            <w:vMerge/>
            <w:vAlign w:val="center"/>
            <w:hideMark/>
          </w:tcPr>
          <w:p w:rsidR="002D2D91" w:rsidRPr="00295869" w:rsidRDefault="002D2D91" w:rsidP="000F042D">
            <w:pPr>
              <w:jc w:val="both"/>
              <w:rPr>
                <w:rFonts w:cs="Arial"/>
                <w:sz w:val="18"/>
                <w:szCs w:val="18"/>
              </w:rPr>
            </w:pPr>
          </w:p>
        </w:tc>
      </w:tr>
      <w:tr w:rsidR="002D2D91" w:rsidRPr="00295869" w:rsidTr="00295869">
        <w:trPr>
          <w:trHeight w:val="19"/>
        </w:trPr>
        <w:tc>
          <w:tcPr>
            <w:tcW w:w="2941" w:type="dxa"/>
            <w:gridSpan w:val="2"/>
            <w:vAlign w:val="center"/>
            <w:hideMark/>
          </w:tcPr>
          <w:p w:rsidR="002D2D91" w:rsidRPr="00295869" w:rsidRDefault="00295869" w:rsidP="000F042D">
            <w:pPr>
              <w:jc w:val="both"/>
              <w:rPr>
                <w:rFonts w:cs="Arial"/>
                <w:sz w:val="18"/>
                <w:szCs w:val="18"/>
              </w:rPr>
            </w:pPr>
            <w:r w:rsidRPr="00295869">
              <w:rPr>
                <w:rFonts w:cs="Arial"/>
                <w:sz w:val="18"/>
                <w:szCs w:val="18"/>
              </w:rPr>
              <w:t>Total Peticiones Sindicato</w:t>
            </w:r>
          </w:p>
        </w:tc>
        <w:tc>
          <w:tcPr>
            <w:tcW w:w="6637" w:type="dxa"/>
            <w:gridSpan w:val="4"/>
            <w:noWrap/>
            <w:vAlign w:val="center"/>
            <w:hideMark/>
          </w:tcPr>
          <w:p w:rsidR="002D2D91" w:rsidRPr="00295869" w:rsidRDefault="00295869" w:rsidP="000F042D">
            <w:pPr>
              <w:jc w:val="both"/>
              <w:rPr>
                <w:rFonts w:cs="Arial"/>
                <w:sz w:val="18"/>
                <w:szCs w:val="18"/>
              </w:rPr>
            </w:pPr>
            <w:r w:rsidRPr="00295869">
              <w:rPr>
                <w:rFonts w:cs="Arial"/>
                <w:sz w:val="18"/>
                <w:szCs w:val="18"/>
              </w:rPr>
              <w:t>57</w:t>
            </w:r>
          </w:p>
        </w:tc>
      </w:tr>
      <w:tr w:rsidR="002D2D91" w:rsidRPr="00295869" w:rsidTr="00295869">
        <w:trPr>
          <w:trHeight w:val="19"/>
        </w:trPr>
        <w:tc>
          <w:tcPr>
            <w:tcW w:w="2941" w:type="dxa"/>
            <w:gridSpan w:val="2"/>
            <w:vAlign w:val="center"/>
            <w:hideMark/>
          </w:tcPr>
          <w:p w:rsidR="002D2D91" w:rsidRPr="00295869" w:rsidRDefault="00295869" w:rsidP="000F042D">
            <w:pPr>
              <w:jc w:val="both"/>
              <w:rPr>
                <w:rFonts w:cs="Arial"/>
                <w:sz w:val="18"/>
                <w:szCs w:val="18"/>
              </w:rPr>
            </w:pPr>
            <w:r>
              <w:rPr>
                <w:rFonts w:cs="Arial"/>
                <w:sz w:val="18"/>
                <w:szCs w:val="18"/>
              </w:rPr>
              <w:t>Total de Oficios Tramitados desde l</w:t>
            </w:r>
            <w:r w:rsidRPr="00295869">
              <w:rPr>
                <w:rFonts w:cs="Arial"/>
                <w:sz w:val="18"/>
                <w:szCs w:val="18"/>
              </w:rPr>
              <w:t xml:space="preserve">a Modalidad Comunitaria Allegados Por Medio Físico - </w:t>
            </w:r>
            <w:r>
              <w:rPr>
                <w:rFonts w:cs="Arial"/>
                <w:sz w:val="18"/>
                <w:szCs w:val="18"/>
              </w:rPr>
              <w:t>c</w:t>
            </w:r>
            <w:r w:rsidRPr="00295869">
              <w:rPr>
                <w:rFonts w:cs="Arial"/>
                <w:sz w:val="18"/>
                <w:szCs w:val="18"/>
              </w:rPr>
              <w:t>on Radicado</w:t>
            </w:r>
          </w:p>
        </w:tc>
        <w:tc>
          <w:tcPr>
            <w:tcW w:w="6637" w:type="dxa"/>
            <w:gridSpan w:val="4"/>
            <w:noWrap/>
            <w:vAlign w:val="center"/>
            <w:hideMark/>
          </w:tcPr>
          <w:p w:rsidR="002D2D91" w:rsidRPr="00295869" w:rsidRDefault="00295869" w:rsidP="000F042D">
            <w:pPr>
              <w:jc w:val="both"/>
              <w:rPr>
                <w:rFonts w:cs="Arial"/>
                <w:sz w:val="18"/>
                <w:szCs w:val="18"/>
              </w:rPr>
            </w:pPr>
            <w:r w:rsidRPr="00295869">
              <w:rPr>
                <w:rFonts w:cs="Arial"/>
                <w:sz w:val="18"/>
                <w:szCs w:val="18"/>
              </w:rPr>
              <w:t>195</w:t>
            </w:r>
          </w:p>
        </w:tc>
      </w:tr>
      <w:tr w:rsidR="002D2D91" w:rsidRPr="00295869" w:rsidTr="00295869">
        <w:trPr>
          <w:trHeight w:val="19"/>
        </w:trPr>
        <w:tc>
          <w:tcPr>
            <w:tcW w:w="2941" w:type="dxa"/>
            <w:gridSpan w:val="2"/>
            <w:vAlign w:val="center"/>
            <w:hideMark/>
          </w:tcPr>
          <w:p w:rsidR="002D2D91" w:rsidRPr="00295869" w:rsidRDefault="00295869" w:rsidP="000F042D">
            <w:pPr>
              <w:jc w:val="both"/>
              <w:rPr>
                <w:rFonts w:cs="Arial"/>
                <w:sz w:val="18"/>
                <w:szCs w:val="18"/>
              </w:rPr>
            </w:pPr>
            <w:r>
              <w:rPr>
                <w:rFonts w:cs="Arial"/>
                <w:sz w:val="18"/>
                <w:szCs w:val="18"/>
              </w:rPr>
              <w:t>Total d</w:t>
            </w:r>
            <w:r w:rsidRPr="00295869">
              <w:rPr>
                <w:rFonts w:cs="Arial"/>
                <w:sz w:val="18"/>
                <w:szCs w:val="18"/>
              </w:rPr>
              <w:t>e C</w:t>
            </w:r>
            <w:r>
              <w:rPr>
                <w:rFonts w:cs="Arial"/>
                <w:sz w:val="18"/>
                <w:szCs w:val="18"/>
              </w:rPr>
              <w:t>orreos Electrónicos Tramitados por l</w:t>
            </w:r>
            <w:r w:rsidRPr="00295869">
              <w:rPr>
                <w:rFonts w:cs="Arial"/>
                <w:sz w:val="18"/>
                <w:szCs w:val="18"/>
              </w:rPr>
              <w:t>a Modalidad Comunitaria - Correo Dina Rodriguez - Juan Carlos Buitrago- Juan Felipe Valencia</w:t>
            </w:r>
          </w:p>
        </w:tc>
        <w:tc>
          <w:tcPr>
            <w:tcW w:w="6637" w:type="dxa"/>
            <w:gridSpan w:val="4"/>
            <w:noWrap/>
            <w:vAlign w:val="center"/>
            <w:hideMark/>
          </w:tcPr>
          <w:p w:rsidR="002D2D91" w:rsidRPr="00295869" w:rsidRDefault="00295869" w:rsidP="000F042D">
            <w:pPr>
              <w:jc w:val="both"/>
              <w:rPr>
                <w:rFonts w:cs="Arial"/>
                <w:sz w:val="18"/>
                <w:szCs w:val="18"/>
              </w:rPr>
            </w:pPr>
            <w:r w:rsidRPr="00295869">
              <w:rPr>
                <w:rFonts w:cs="Arial"/>
                <w:sz w:val="18"/>
                <w:szCs w:val="18"/>
              </w:rPr>
              <w:t>150</w:t>
            </w:r>
          </w:p>
        </w:tc>
      </w:tr>
      <w:tr w:rsidR="002D2D91" w:rsidRPr="00295869" w:rsidTr="00295869">
        <w:trPr>
          <w:trHeight w:val="19"/>
        </w:trPr>
        <w:tc>
          <w:tcPr>
            <w:tcW w:w="2941" w:type="dxa"/>
            <w:gridSpan w:val="2"/>
            <w:noWrap/>
            <w:vAlign w:val="center"/>
            <w:hideMark/>
          </w:tcPr>
          <w:p w:rsidR="002D2D91" w:rsidRPr="00295869" w:rsidRDefault="00295869" w:rsidP="000F042D">
            <w:pPr>
              <w:jc w:val="both"/>
              <w:rPr>
                <w:rFonts w:cs="Arial"/>
                <w:sz w:val="18"/>
                <w:szCs w:val="18"/>
              </w:rPr>
            </w:pPr>
            <w:r>
              <w:rPr>
                <w:rFonts w:cs="Arial"/>
                <w:sz w:val="18"/>
                <w:szCs w:val="18"/>
              </w:rPr>
              <w:t>Total d</w:t>
            </w:r>
            <w:r w:rsidRPr="00295869">
              <w:rPr>
                <w:rFonts w:cs="Arial"/>
                <w:sz w:val="18"/>
                <w:szCs w:val="18"/>
              </w:rPr>
              <w:t>e SIM</w:t>
            </w:r>
            <w:r>
              <w:rPr>
                <w:rFonts w:cs="Arial"/>
                <w:sz w:val="18"/>
                <w:szCs w:val="18"/>
              </w:rPr>
              <w:t xml:space="preserve"> Tramitados por l</w:t>
            </w:r>
            <w:r w:rsidRPr="00295869">
              <w:rPr>
                <w:rFonts w:cs="Arial"/>
                <w:sz w:val="18"/>
                <w:szCs w:val="18"/>
              </w:rPr>
              <w:t>a Modalidad Comunitaria</w:t>
            </w:r>
          </w:p>
        </w:tc>
        <w:tc>
          <w:tcPr>
            <w:tcW w:w="6637" w:type="dxa"/>
            <w:gridSpan w:val="4"/>
            <w:noWrap/>
            <w:vAlign w:val="center"/>
            <w:hideMark/>
          </w:tcPr>
          <w:p w:rsidR="002D2D91" w:rsidRPr="00295869" w:rsidRDefault="00295869" w:rsidP="000F042D">
            <w:pPr>
              <w:jc w:val="both"/>
              <w:rPr>
                <w:rFonts w:cs="Arial"/>
                <w:sz w:val="18"/>
                <w:szCs w:val="18"/>
              </w:rPr>
            </w:pPr>
            <w:r w:rsidRPr="00295869">
              <w:rPr>
                <w:rFonts w:cs="Arial"/>
                <w:sz w:val="18"/>
                <w:szCs w:val="18"/>
              </w:rPr>
              <w:t>11</w:t>
            </w:r>
          </w:p>
        </w:tc>
      </w:tr>
    </w:tbl>
    <w:p w:rsidR="002D2D91" w:rsidRPr="00295869" w:rsidRDefault="002D2D91" w:rsidP="002D2D91">
      <w:pPr>
        <w:jc w:val="both"/>
        <w:rPr>
          <w:rFonts w:cs="Arial"/>
          <w:sz w:val="16"/>
          <w:szCs w:val="16"/>
        </w:rPr>
      </w:pPr>
      <w:r w:rsidRPr="00295869">
        <w:rPr>
          <w:rFonts w:cs="Arial"/>
          <w:sz w:val="16"/>
          <w:szCs w:val="16"/>
        </w:rPr>
        <w:t>Fuente: Subdirección de operación para la atención a la Primera Infancia, corte 31 de diciembre de 2017</w:t>
      </w:r>
    </w:p>
    <w:p w:rsidR="002D2D91" w:rsidRPr="007608C2" w:rsidRDefault="002D2D91" w:rsidP="002D2D91">
      <w:pPr>
        <w:jc w:val="both"/>
        <w:rPr>
          <w:rFonts w:cs="Arial"/>
          <w:u w:val="single"/>
        </w:rPr>
      </w:pPr>
      <w:r w:rsidRPr="007608C2">
        <w:rPr>
          <w:rFonts w:cs="Arial"/>
          <w:u w:val="single"/>
        </w:rPr>
        <w:t>Subsidio de la Subcuenta de Subsistencia del Fondo de Solidaridad Pensional.</w:t>
      </w:r>
    </w:p>
    <w:p w:rsidR="002D2D91" w:rsidRPr="007608C2" w:rsidRDefault="002D2D91" w:rsidP="002D2D91">
      <w:pPr>
        <w:jc w:val="both"/>
        <w:rPr>
          <w:rFonts w:cs="Arial"/>
        </w:rPr>
      </w:pPr>
      <w:r w:rsidRPr="007608C2">
        <w:rPr>
          <w:rFonts w:cs="Arial"/>
        </w:rPr>
        <w:t xml:space="preserve">Para la vigencia 2017 se realizaron seis (6) pagos del Subsidio de la Subcuenta de Subsistencia del Fondo de Solidaridad Pensional desagregados de la siguiente manera: </w:t>
      </w:r>
      <w:r w:rsidRPr="007608C2">
        <w:rPr>
          <w:rFonts w:cs="Arial"/>
        </w:rPr>
        <w:fldChar w:fldCharType="begin"/>
      </w:r>
      <w:r w:rsidRPr="007608C2">
        <w:rPr>
          <w:rFonts w:cs="Arial"/>
        </w:rPr>
        <w:instrText xml:space="preserve"> LINK Excel.Sheet.12 "C:\\Users\\juan.valencia\\AppData\\Local\\Microsoft\\Windows\\INetCache\\CONGRESO\\2017\\DATOS SUBSIDIO .xlsx" "cofinanciación ICBF !F32C4:F39C5" \a \f 4 \h  \* MERGEFORMAT </w:instrText>
      </w:r>
      <w:r w:rsidRPr="007608C2">
        <w:rPr>
          <w:rFonts w:cs="Arial"/>
        </w:rPr>
        <w:fldChar w:fldCharType="separate"/>
      </w:r>
    </w:p>
    <w:tbl>
      <w:tblPr>
        <w:tblpPr w:leftFromText="141" w:rightFromText="141" w:vertAnchor="text" w:tblpXSpec="center" w:tblpY="1"/>
        <w:tblOverlap w:val="never"/>
        <w:tblW w:w="4531"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ook w:val="04A0" w:firstRow="1" w:lastRow="0" w:firstColumn="1" w:lastColumn="0" w:noHBand="0" w:noVBand="1"/>
      </w:tblPr>
      <w:tblGrid>
        <w:gridCol w:w="2547"/>
        <w:gridCol w:w="1984"/>
      </w:tblGrid>
      <w:tr w:rsidR="002D2D91" w:rsidRPr="00295869" w:rsidTr="009F1189">
        <w:trPr>
          <w:trHeight w:val="166"/>
        </w:trPr>
        <w:tc>
          <w:tcPr>
            <w:tcW w:w="4531" w:type="dxa"/>
            <w:gridSpan w:val="2"/>
            <w:shd w:val="clear" w:color="auto" w:fill="76922E"/>
            <w:noWrap/>
            <w:vAlign w:val="center"/>
            <w:hideMark/>
          </w:tcPr>
          <w:p w:rsidR="002D2D91" w:rsidRPr="00FE231E" w:rsidRDefault="002D2D91" w:rsidP="00FE231E">
            <w:pPr>
              <w:spacing w:after="0" w:line="360" w:lineRule="auto"/>
              <w:contextualSpacing/>
              <w:jc w:val="center"/>
              <w:rPr>
                <w:rFonts w:cs="Arial"/>
                <w:b/>
                <w:sz w:val="18"/>
                <w:szCs w:val="18"/>
              </w:rPr>
            </w:pPr>
            <w:r w:rsidRPr="00FE231E">
              <w:rPr>
                <w:rFonts w:cs="Arial"/>
                <w:b/>
                <w:color w:val="FFFFFF" w:themeColor="background1"/>
                <w:sz w:val="18"/>
                <w:szCs w:val="18"/>
              </w:rPr>
              <w:t>2017</w:t>
            </w:r>
          </w:p>
        </w:tc>
      </w:tr>
      <w:tr w:rsidR="002D2D91" w:rsidRPr="00295869" w:rsidTr="009F1189">
        <w:trPr>
          <w:trHeight w:val="20"/>
        </w:trPr>
        <w:tc>
          <w:tcPr>
            <w:tcW w:w="2547" w:type="dxa"/>
            <w:noWrap/>
            <w:vAlign w:val="center"/>
            <w:hideMark/>
          </w:tcPr>
          <w:p w:rsidR="002D2D91" w:rsidRPr="00295869" w:rsidRDefault="002D2D91" w:rsidP="00FE231E">
            <w:pPr>
              <w:spacing w:after="0" w:line="360" w:lineRule="auto"/>
              <w:contextualSpacing/>
              <w:jc w:val="both"/>
              <w:rPr>
                <w:rFonts w:cs="Arial"/>
                <w:sz w:val="18"/>
                <w:szCs w:val="18"/>
              </w:rPr>
            </w:pPr>
            <w:r w:rsidRPr="00295869">
              <w:rPr>
                <w:rFonts w:cs="Arial"/>
                <w:sz w:val="18"/>
                <w:szCs w:val="18"/>
              </w:rPr>
              <w:t xml:space="preserve">Primer Pago </w:t>
            </w:r>
          </w:p>
        </w:tc>
        <w:tc>
          <w:tcPr>
            <w:tcW w:w="1984" w:type="dxa"/>
            <w:noWrap/>
            <w:vAlign w:val="center"/>
            <w:hideMark/>
          </w:tcPr>
          <w:p w:rsidR="002D2D91" w:rsidRPr="00295869" w:rsidRDefault="002D2D91" w:rsidP="00FE231E">
            <w:pPr>
              <w:spacing w:after="0" w:line="360" w:lineRule="auto"/>
              <w:contextualSpacing/>
              <w:jc w:val="both"/>
              <w:rPr>
                <w:rFonts w:cs="Arial"/>
                <w:sz w:val="18"/>
                <w:szCs w:val="18"/>
              </w:rPr>
            </w:pPr>
            <w:r w:rsidRPr="00295869">
              <w:rPr>
                <w:rFonts w:cs="Arial"/>
                <w:sz w:val="18"/>
                <w:szCs w:val="18"/>
              </w:rPr>
              <w:t xml:space="preserve"> $        610.330.000 </w:t>
            </w:r>
          </w:p>
        </w:tc>
      </w:tr>
      <w:tr w:rsidR="002D2D91" w:rsidRPr="00295869" w:rsidTr="009F1189">
        <w:trPr>
          <w:trHeight w:val="20"/>
        </w:trPr>
        <w:tc>
          <w:tcPr>
            <w:tcW w:w="2547" w:type="dxa"/>
            <w:noWrap/>
            <w:vAlign w:val="center"/>
            <w:hideMark/>
          </w:tcPr>
          <w:p w:rsidR="002D2D91" w:rsidRPr="00295869" w:rsidRDefault="002D2D91" w:rsidP="00FE231E">
            <w:pPr>
              <w:spacing w:after="0" w:line="360" w:lineRule="auto"/>
              <w:contextualSpacing/>
              <w:jc w:val="both"/>
              <w:rPr>
                <w:rFonts w:cs="Arial"/>
                <w:sz w:val="18"/>
                <w:szCs w:val="18"/>
              </w:rPr>
            </w:pPr>
            <w:r w:rsidRPr="00295869">
              <w:rPr>
                <w:rFonts w:cs="Arial"/>
                <w:sz w:val="18"/>
                <w:szCs w:val="18"/>
              </w:rPr>
              <w:t>Segundo Pago</w:t>
            </w:r>
          </w:p>
        </w:tc>
        <w:tc>
          <w:tcPr>
            <w:tcW w:w="1984" w:type="dxa"/>
            <w:noWrap/>
            <w:vAlign w:val="center"/>
            <w:hideMark/>
          </w:tcPr>
          <w:p w:rsidR="002D2D91" w:rsidRPr="00295869" w:rsidRDefault="002D2D91" w:rsidP="00FE231E">
            <w:pPr>
              <w:spacing w:after="0" w:line="360" w:lineRule="auto"/>
              <w:contextualSpacing/>
              <w:jc w:val="both"/>
              <w:rPr>
                <w:rFonts w:cs="Arial"/>
                <w:sz w:val="18"/>
                <w:szCs w:val="18"/>
              </w:rPr>
            </w:pPr>
            <w:r w:rsidRPr="00295869">
              <w:rPr>
                <w:rFonts w:cs="Arial"/>
                <w:sz w:val="18"/>
                <w:szCs w:val="18"/>
              </w:rPr>
              <w:t xml:space="preserve"> $        633.930.000 </w:t>
            </w:r>
          </w:p>
        </w:tc>
      </w:tr>
      <w:tr w:rsidR="002D2D91" w:rsidRPr="00295869" w:rsidTr="009F1189">
        <w:trPr>
          <w:trHeight w:val="20"/>
        </w:trPr>
        <w:tc>
          <w:tcPr>
            <w:tcW w:w="2547" w:type="dxa"/>
            <w:noWrap/>
            <w:vAlign w:val="center"/>
            <w:hideMark/>
          </w:tcPr>
          <w:p w:rsidR="002D2D91" w:rsidRPr="00295869" w:rsidRDefault="002D2D91" w:rsidP="00FE231E">
            <w:pPr>
              <w:spacing w:after="0" w:line="360" w:lineRule="auto"/>
              <w:contextualSpacing/>
              <w:jc w:val="both"/>
              <w:rPr>
                <w:rFonts w:cs="Arial"/>
                <w:sz w:val="18"/>
                <w:szCs w:val="18"/>
              </w:rPr>
            </w:pPr>
            <w:r w:rsidRPr="00295869">
              <w:rPr>
                <w:rFonts w:cs="Arial"/>
                <w:sz w:val="18"/>
                <w:szCs w:val="18"/>
              </w:rPr>
              <w:t>Tercer Pago</w:t>
            </w:r>
          </w:p>
        </w:tc>
        <w:tc>
          <w:tcPr>
            <w:tcW w:w="1984" w:type="dxa"/>
            <w:noWrap/>
            <w:vAlign w:val="center"/>
            <w:hideMark/>
          </w:tcPr>
          <w:p w:rsidR="002D2D91" w:rsidRPr="00295869" w:rsidRDefault="002D2D91" w:rsidP="00FE231E">
            <w:pPr>
              <w:spacing w:after="0" w:line="360" w:lineRule="auto"/>
              <w:contextualSpacing/>
              <w:jc w:val="both"/>
              <w:rPr>
                <w:rFonts w:cs="Arial"/>
                <w:sz w:val="18"/>
                <w:szCs w:val="18"/>
              </w:rPr>
            </w:pPr>
            <w:r w:rsidRPr="00295869">
              <w:rPr>
                <w:rFonts w:cs="Arial"/>
                <w:sz w:val="18"/>
                <w:szCs w:val="18"/>
              </w:rPr>
              <w:t xml:space="preserve"> $        636.540.000 </w:t>
            </w:r>
          </w:p>
        </w:tc>
      </w:tr>
      <w:tr w:rsidR="002D2D91" w:rsidRPr="00295869" w:rsidTr="009F1189">
        <w:trPr>
          <w:trHeight w:val="20"/>
        </w:trPr>
        <w:tc>
          <w:tcPr>
            <w:tcW w:w="2547" w:type="dxa"/>
            <w:noWrap/>
            <w:vAlign w:val="center"/>
            <w:hideMark/>
          </w:tcPr>
          <w:p w:rsidR="002D2D91" w:rsidRPr="00295869" w:rsidRDefault="002D2D91" w:rsidP="00FE231E">
            <w:pPr>
              <w:spacing w:after="0" w:line="360" w:lineRule="auto"/>
              <w:contextualSpacing/>
              <w:jc w:val="both"/>
              <w:rPr>
                <w:rFonts w:cs="Arial"/>
                <w:sz w:val="18"/>
                <w:szCs w:val="18"/>
              </w:rPr>
            </w:pPr>
            <w:r w:rsidRPr="00295869">
              <w:rPr>
                <w:rFonts w:cs="Arial"/>
                <w:sz w:val="18"/>
                <w:szCs w:val="18"/>
              </w:rPr>
              <w:t>Cuarto Pago</w:t>
            </w:r>
          </w:p>
        </w:tc>
        <w:tc>
          <w:tcPr>
            <w:tcW w:w="1984" w:type="dxa"/>
            <w:noWrap/>
            <w:vAlign w:val="center"/>
            <w:hideMark/>
          </w:tcPr>
          <w:p w:rsidR="002D2D91" w:rsidRPr="00295869" w:rsidRDefault="002D2D91" w:rsidP="00FE231E">
            <w:pPr>
              <w:spacing w:after="0" w:line="360" w:lineRule="auto"/>
              <w:contextualSpacing/>
              <w:jc w:val="both"/>
              <w:rPr>
                <w:rFonts w:cs="Arial"/>
                <w:sz w:val="18"/>
                <w:szCs w:val="18"/>
              </w:rPr>
            </w:pPr>
            <w:r w:rsidRPr="00295869">
              <w:rPr>
                <w:rFonts w:cs="Arial"/>
                <w:sz w:val="18"/>
                <w:szCs w:val="18"/>
              </w:rPr>
              <w:t xml:space="preserve"> $        667.610.000 </w:t>
            </w:r>
          </w:p>
        </w:tc>
      </w:tr>
      <w:tr w:rsidR="002D2D91" w:rsidRPr="00295869" w:rsidTr="009F1189">
        <w:trPr>
          <w:trHeight w:val="20"/>
        </w:trPr>
        <w:tc>
          <w:tcPr>
            <w:tcW w:w="2547" w:type="dxa"/>
            <w:noWrap/>
            <w:vAlign w:val="center"/>
            <w:hideMark/>
          </w:tcPr>
          <w:p w:rsidR="002D2D91" w:rsidRPr="00295869" w:rsidRDefault="00295869" w:rsidP="00FE231E">
            <w:pPr>
              <w:spacing w:after="0" w:line="360" w:lineRule="auto"/>
              <w:contextualSpacing/>
              <w:jc w:val="both"/>
              <w:rPr>
                <w:rFonts w:cs="Arial"/>
                <w:sz w:val="18"/>
                <w:szCs w:val="18"/>
              </w:rPr>
            </w:pPr>
            <w:r>
              <w:rPr>
                <w:rFonts w:cs="Arial"/>
                <w:sz w:val="18"/>
                <w:szCs w:val="18"/>
              </w:rPr>
              <w:t>Quinto Pago</w:t>
            </w:r>
          </w:p>
        </w:tc>
        <w:tc>
          <w:tcPr>
            <w:tcW w:w="1984" w:type="dxa"/>
            <w:noWrap/>
            <w:vAlign w:val="center"/>
            <w:hideMark/>
          </w:tcPr>
          <w:p w:rsidR="002D2D91" w:rsidRPr="00295869" w:rsidRDefault="002D2D91" w:rsidP="00FE231E">
            <w:pPr>
              <w:spacing w:after="0" w:line="360" w:lineRule="auto"/>
              <w:contextualSpacing/>
              <w:jc w:val="both"/>
              <w:rPr>
                <w:rFonts w:cs="Arial"/>
                <w:sz w:val="18"/>
                <w:szCs w:val="18"/>
              </w:rPr>
            </w:pPr>
            <w:r w:rsidRPr="00295869">
              <w:rPr>
                <w:rFonts w:cs="Arial"/>
                <w:sz w:val="18"/>
                <w:szCs w:val="18"/>
              </w:rPr>
              <w:t xml:space="preserve"> $        785.095.000 </w:t>
            </w:r>
          </w:p>
        </w:tc>
      </w:tr>
      <w:tr w:rsidR="002D2D91" w:rsidRPr="00295869" w:rsidTr="009F1189">
        <w:trPr>
          <w:trHeight w:val="20"/>
        </w:trPr>
        <w:tc>
          <w:tcPr>
            <w:tcW w:w="2547" w:type="dxa"/>
            <w:noWrap/>
            <w:vAlign w:val="center"/>
            <w:hideMark/>
          </w:tcPr>
          <w:p w:rsidR="002D2D91" w:rsidRPr="00295869" w:rsidRDefault="002D2D91" w:rsidP="00FE231E">
            <w:pPr>
              <w:spacing w:after="0" w:line="360" w:lineRule="auto"/>
              <w:contextualSpacing/>
              <w:jc w:val="both"/>
              <w:rPr>
                <w:rFonts w:cs="Arial"/>
                <w:sz w:val="18"/>
                <w:szCs w:val="18"/>
              </w:rPr>
            </w:pPr>
            <w:r w:rsidRPr="00295869">
              <w:rPr>
                <w:rFonts w:cs="Arial"/>
                <w:sz w:val="18"/>
                <w:szCs w:val="18"/>
              </w:rPr>
              <w:t xml:space="preserve">Sexto Pago </w:t>
            </w:r>
          </w:p>
        </w:tc>
        <w:tc>
          <w:tcPr>
            <w:tcW w:w="1984" w:type="dxa"/>
            <w:noWrap/>
            <w:vAlign w:val="center"/>
            <w:hideMark/>
          </w:tcPr>
          <w:p w:rsidR="002D2D91" w:rsidRPr="00295869" w:rsidRDefault="002D2D91" w:rsidP="00FE231E">
            <w:pPr>
              <w:spacing w:after="0" w:line="360" w:lineRule="auto"/>
              <w:contextualSpacing/>
              <w:jc w:val="both"/>
              <w:rPr>
                <w:rFonts w:cs="Arial"/>
                <w:sz w:val="18"/>
                <w:szCs w:val="18"/>
              </w:rPr>
            </w:pPr>
            <w:r w:rsidRPr="00295869">
              <w:rPr>
                <w:rFonts w:cs="Arial"/>
                <w:sz w:val="18"/>
                <w:szCs w:val="18"/>
              </w:rPr>
              <w:t xml:space="preserve"> $        712.575.000 </w:t>
            </w:r>
          </w:p>
        </w:tc>
      </w:tr>
      <w:tr w:rsidR="002D2D91" w:rsidRPr="00295869" w:rsidTr="009F1189">
        <w:trPr>
          <w:trHeight w:val="20"/>
        </w:trPr>
        <w:tc>
          <w:tcPr>
            <w:tcW w:w="2547" w:type="dxa"/>
            <w:shd w:val="clear" w:color="auto" w:fill="E2EFDA"/>
            <w:noWrap/>
            <w:vAlign w:val="center"/>
            <w:hideMark/>
          </w:tcPr>
          <w:p w:rsidR="002D2D91" w:rsidRPr="00FE231E" w:rsidRDefault="00FE231E" w:rsidP="00FE231E">
            <w:pPr>
              <w:spacing w:after="0" w:line="360" w:lineRule="auto"/>
              <w:contextualSpacing/>
              <w:jc w:val="center"/>
              <w:rPr>
                <w:rFonts w:cs="Arial"/>
                <w:b/>
                <w:sz w:val="18"/>
                <w:szCs w:val="18"/>
              </w:rPr>
            </w:pPr>
            <w:r>
              <w:rPr>
                <w:rFonts w:cs="Arial"/>
                <w:b/>
                <w:sz w:val="18"/>
                <w:szCs w:val="18"/>
              </w:rPr>
              <w:t>Total</w:t>
            </w:r>
          </w:p>
        </w:tc>
        <w:tc>
          <w:tcPr>
            <w:tcW w:w="1984" w:type="dxa"/>
            <w:shd w:val="clear" w:color="auto" w:fill="E2EFDA"/>
            <w:noWrap/>
            <w:vAlign w:val="center"/>
            <w:hideMark/>
          </w:tcPr>
          <w:p w:rsidR="002D2D91" w:rsidRPr="00FE231E" w:rsidRDefault="002D2D91" w:rsidP="00FE231E">
            <w:pPr>
              <w:spacing w:after="0" w:line="360" w:lineRule="auto"/>
              <w:contextualSpacing/>
              <w:jc w:val="center"/>
              <w:rPr>
                <w:rFonts w:cs="Arial"/>
                <w:b/>
                <w:sz w:val="18"/>
                <w:szCs w:val="18"/>
              </w:rPr>
            </w:pPr>
            <w:r w:rsidRPr="00FE231E">
              <w:rPr>
                <w:rFonts w:cs="Arial"/>
                <w:b/>
                <w:sz w:val="18"/>
                <w:szCs w:val="18"/>
              </w:rPr>
              <w:t>$     4.046.080.000</w:t>
            </w:r>
          </w:p>
        </w:tc>
      </w:tr>
    </w:tbl>
    <w:p w:rsidR="002D2D91" w:rsidRPr="00E9291D" w:rsidRDefault="002D2D91" w:rsidP="004652A6">
      <w:pPr>
        <w:jc w:val="center"/>
        <w:rPr>
          <w:rFonts w:cs="Arial"/>
          <w:sz w:val="16"/>
          <w:szCs w:val="16"/>
        </w:rPr>
      </w:pPr>
      <w:r w:rsidRPr="007608C2">
        <w:rPr>
          <w:rFonts w:cs="Arial"/>
        </w:rPr>
        <w:fldChar w:fldCharType="end"/>
      </w:r>
      <w:r w:rsidR="004652A6" w:rsidRPr="007608C2">
        <w:rPr>
          <w:rFonts w:cs="Arial"/>
        </w:rPr>
        <w:br w:type="textWrapping" w:clear="all"/>
      </w:r>
      <w:r w:rsidRPr="007608C2">
        <w:rPr>
          <w:rFonts w:cs="Arial"/>
        </w:rPr>
        <w:t xml:space="preserve"> </w:t>
      </w:r>
      <w:r w:rsidRPr="00E9291D">
        <w:rPr>
          <w:rFonts w:cs="Arial"/>
          <w:sz w:val="16"/>
          <w:szCs w:val="16"/>
        </w:rPr>
        <w:t>Fuente: Subdirección de operación para la atención a la Primera Infancia, corte 31 de diciembre de 2017</w:t>
      </w:r>
    </w:p>
    <w:p w:rsidR="002D2D91" w:rsidRPr="007608C2" w:rsidRDefault="002D2D91" w:rsidP="002D2D91">
      <w:pPr>
        <w:jc w:val="both"/>
        <w:rPr>
          <w:rFonts w:cs="Arial"/>
        </w:rPr>
      </w:pPr>
      <w:r w:rsidRPr="007608C2">
        <w:rPr>
          <w:rFonts w:cs="Arial"/>
        </w:rPr>
        <w:t xml:space="preserve">A la fecha se ha reconocido el subsidio a 1770 ex madres comunitarias desagregadas por regionales así: </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ook w:val="04A0" w:firstRow="1" w:lastRow="0" w:firstColumn="1" w:lastColumn="0" w:noHBand="0" w:noVBand="1"/>
      </w:tblPr>
      <w:tblGrid>
        <w:gridCol w:w="1427"/>
        <w:gridCol w:w="1589"/>
        <w:gridCol w:w="1817"/>
        <w:gridCol w:w="1589"/>
      </w:tblGrid>
      <w:tr w:rsidR="002D2D91" w:rsidRPr="00295869" w:rsidTr="00FE231E">
        <w:trPr>
          <w:trHeight w:val="126"/>
          <w:tblHeader/>
          <w:jc w:val="center"/>
        </w:trPr>
        <w:tc>
          <w:tcPr>
            <w:tcW w:w="0" w:type="auto"/>
            <w:shd w:val="clear" w:color="auto" w:fill="76922E"/>
            <w:noWrap/>
            <w:vAlign w:val="center"/>
            <w:hideMark/>
          </w:tcPr>
          <w:p w:rsidR="002D2D91" w:rsidRPr="00295869" w:rsidRDefault="00295869" w:rsidP="00FE231E">
            <w:pPr>
              <w:spacing w:after="0" w:line="360" w:lineRule="auto"/>
              <w:contextualSpacing/>
              <w:jc w:val="center"/>
              <w:rPr>
                <w:rFonts w:cs="Arial"/>
                <w:b/>
                <w:color w:val="FFFFFF" w:themeColor="background1"/>
                <w:sz w:val="18"/>
                <w:szCs w:val="18"/>
              </w:rPr>
            </w:pPr>
            <w:r w:rsidRPr="00295869">
              <w:rPr>
                <w:rFonts w:cs="Arial"/>
                <w:b/>
                <w:color w:val="FFFFFF" w:themeColor="background1"/>
                <w:sz w:val="18"/>
                <w:szCs w:val="18"/>
              </w:rPr>
              <w:t>Departamento</w:t>
            </w:r>
          </w:p>
        </w:tc>
        <w:tc>
          <w:tcPr>
            <w:tcW w:w="0" w:type="auto"/>
            <w:shd w:val="clear" w:color="auto" w:fill="76922E"/>
            <w:noWrap/>
            <w:vAlign w:val="center"/>
            <w:hideMark/>
          </w:tcPr>
          <w:p w:rsidR="002D2D91" w:rsidRPr="00295869" w:rsidRDefault="00295869" w:rsidP="00FE231E">
            <w:pPr>
              <w:spacing w:after="0" w:line="360" w:lineRule="auto"/>
              <w:contextualSpacing/>
              <w:jc w:val="center"/>
              <w:rPr>
                <w:rFonts w:cs="Arial"/>
                <w:b/>
                <w:color w:val="FFFFFF" w:themeColor="background1"/>
                <w:sz w:val="18"/>
                <w:szCs w:val="18"/>
              </w:rPr>
            </w:pPr>
            <w:r w:rsidRPr="00295869">
              <w:rPr>
                <w:rFonts w:cs="Arial"/>
                <w:b/>
                <w:color w:val="FFFFFF" w:themeColor="background1"/>
                <w:sz w:val="18"/>
                <w:szCs w:val="18"/>
              </w:rPr>
              <w:t>N° Beneficiarias</w:t>
            </w:r>
          </w:p>
        </w:tc>
        <w:tc>
          <w:tcPr>
            <w:tcW w:w="0" w:type="auto"/>
            <w:shd w:val="clear" w:color="auto" w:fill="76922E"/>
            <w:vAlign w:val="center"/>
          </w:tcPr>
          <w:p w:rsidR="002D2D91" w:rsidRPr="00295869" w:rsidRDefault="00295869" w:rsidP="00FE231E">
            <w:pPr>
              <w:spacing w:after="0" w:line="360" w:lineRule="auto"/>
              <w:contextualSpacing/>
              <w:jc w:val="center"/>
              <w:rPr>
                <w:rFonts w:cs="Arial"/>
                <w:b/>
                <w:color w:val="FFFFFF" w:themeColor="background1"/>
                <w:sz w:val="18"/>
                <w:szCs w:val="18"/>
              </w:rPr>
            </w:pPr>
            <w:r w:rsidRPr="00295869">
              <w:rPr>
                <w:rFonts w:cs="Arial"/>
                <w:b/>
                <w:color w:val="FFFFFF" w:themeColor="background1"/>
                <w:sz w:val="18"/>
                <w:szCs w:val="18"/>
              </w:rPr>
              <w:t>Departamento</w:t>
            </w:r>
          </w:p>
        </w:tc>
        <w:tc>
          <w:tcPr>
            <w:tcW w:w="0" w:type="auto"/>
            <w:shd w:val="clear" w:color="auto" w:fill="76922E"/>
            <w:vAlign w:val="center"/>
          </w:tcPr>
          <w:p w:rsidR="002D2D91" w:rsidRPr="00295869" w:rsidRDefault="00295869" w:rsidP="00FE231E">
            <w:pPr>
              <w:spacing w:after="0" w:line="360" w:lineRule="auto"/>
              <w:contextualSpacing/>
              <w:jc w:val="center"/>
              <w:rPr>
                <w:rFonts w:cs="Arial"/>
                <w:b/>
                <w:color w:val="FFFFFF" w:themeColor="background1"/>
                <w:sz w:val="18"/>
                <w:szCs w:val="18"/>
              </w:rPr>
            </w:pPr>
            <w:r w:rsidRPr="00295869">
              <w:rPr>
                <w:rFonts w:cs="Arial"/>
                <w:b/>
                <w:color w:val="FFFFFF" w:themeColor="background1"/>
                <w:sz w:val="18"/>
                <w:szCs w:val="18"/>
              </w:rPr>
              <w:t>N° Beneficiarias</w:t>
            </w:r>
          </w:p>
        </w:tc>
      </w:tr>
      <w:tr w:rsidR="002D2D91" w:rsidRPr="00295869" w:rsidTr="00FE231E">
        <w:trPr>
          <w:trHeight w:val="267"/>
          <w:jc w:val="center"/>
        </w:trPr>
        <w:tc>
          <w:tcPr>
            <w:tcW w:w="0" w:type="auto"/>
            <w:noWrap/>
            <w:hideMark/>
          </w:tcPr>
          <w:p w:rsidR="002D2D91" w:rsidRPr="00295869" w:rsidRDefault="00295869" w:rsidP="00FE231E">
            <w:pPr>
              <w:spacing w:after="0" w:line="360" w:lineRule="auto"/>
              <w:contextualSpacing/>
              <w:jc w:val="both"/>
              <w:rPr>
                <w:rFonts w:cs="Arial"/>
                <w:sz w:val="18"/>
                <w:szCs w:val="18"/>
              </w:rPr>
            </w:pPr>
            <w:r w:rsidRPr="00295869">
              <w:rPr>
                <w:rFonts w:cs="Arial"/>
                <w:sz w:val="18"/>
                <w:szCs w:val="18"/>
              </w:rPr>
              <w:t xml:space="preserve">Antioquia                               </w:t>
            </w:r>
          </w:p>
        </w:tc>
        <w:tc>
          <w:tcPr>
            <w:tcW w:w="0" w:type="auto"/>
            <w:noWrap/>
            <w:hideMark/>
          </w:tcPr>
          <w:p w:rsidR="002D2D91" w:rsidRPr="00295869" w:rsidRDefault="00295869" w:rsidP="00FE231E">
            <w:pPr>
              <w:spacing w:after="0" w:line="360" w:lineRule="auto"/>
              <w:contextualSpacing/>
              <w:jc w:val="center"/>
              <w:rPr>
                <w:rFonts w:cs="Arial"/>
                <w:sz w:val="18"/>
                <w:szCs w:val="18"/>
              </w:rPr>
            </w:pPr>
            <w:r w:rsidRPr="00295869">
              <w:rPr>
                <w:rFonts w:cs="Arial"/>
                <w:sz w:val="18"/>
                <w:szCs w:val="18"/>
              </w:rPr>
              <w:t>185</w:t>
            </w:r>
          </w:p>
        </w:tc>
        <w:tc>
          <w:tcPr>
            <w:tcW w:w="0" w:type="auto"/>
          </w:tcPr>
          <w:p w:rsidR="002D2D91" w:rsidRPr="00295869" w:rsidRDefault="00295869" w:rsidP="00FE231E">
            <w:pPr>
              <w:spacing w:after="0" w:line="360" w:lineRule="auto"/>
              <w:contextualSpacing/>
              <w:rPr>
                <w:rFonts w:cs="Arial"/>
                <w:sz w:val="18"/>
                <w:szCs w:val="18"/>
              </w:rPr>
            </w:pPr>
            <w:r w:rsidRPr="00295869">
              <w:rPr>
                <w:rFonts w:cs="Arial"/>
                <w:sz w:val="18"/>
                <w:szCs w:val="18"/>
              </w:rPr>
              <w:t xml:space="preserve">Cundinamarca                            </w:t>
            </w:r>
          </w:p>
        </w:tc>
        <w:tc>
          <w:tcPr>
            <w:tcW w:w="0" w:type="auto"/>
          </w:tcPr>
          <w:p w:rsidR="002D2D91" w:rsidRPr="00295869" w:rsidRDefault="00295869" w:rsidP="00FE231E">
            <w:pPr>
              <w:spacing w:after="0" w:line="360" w:lineRule="auto"/>
              <w:contextualSpacing/>
              <w:jc w:val="center"/>
              <w:rPr>
                <w:rFonts w:cs="Arial"/>
                <w:sz w:val="18"/>
                <w:szCs w:val="18"/>
              </w:rPr>
            </w:pPr>
            <w:r w:rsidRPr="00295869">
              <w:rPr>
                <w:rFonts w:cs="Arial"/>
                <w:sz w:val="18"/>
                <w:szCs w:val="18"/>
              </w:rPr>
              <w:t>39</w:t>
            </w:r>
          </w:p>
        </w:tc>
      </w:tr>
      <w:tr w:rsidR="002D2D91" w:rsidRPr="00295869" w:rsidTr="00FE231E">
        <w:trPr>
          <w:trHeight w:val="267"/>
          <w:jc w:val="center"/>
        </w:trPr>
        <w:tc>
          <w:tcPr>
            <w:tcW w:w="0" w:type="auto"/>
            <w:noWrap/>
            <w:hideMark/>
          </w:tcPr>
          <w:p w:rsidR="002D2D91" w:rsidRPr="00295869" w:rsidRDefault="00295869" w:rsidP="00FE231E">
            <w:pPr>
              <w:spacing w:after="0" w:line="360" w:lineRule="auto"/>
              <w:contextualSpacing/>
              <w:jc w:val="both"/>
              <w:rPr>
                <w:rFonts w:cs="Arial"/>
                <w:sz w:val="18"/>
                <w:szCs w:val="18"/>
              </w:rPr>
            </w:pPr>
            <w:r w:rsidRPr="00295869">
              <w:rPr>
                <w:rFonts w:cs="Arial"/>
                <w:sz w:val="18"/>
                <w:szCs w:val="18"/>
              </w:rPr>
              <w:t xml:space="preserve">Arauca                                  </w:t>
            </w:r>
          </w:p>
        </w:tc>
        <w:tc>
          <w:tcPr>
            <w:tcW w:w="0" w:type="auto"/>
            <w:noWrap/>
            <w:hideMark/>
          </w:tcPr>
          <w:p w:rsidR="002D2D91" w:rsidRPr="00295869" w:rsidRDefault="00295869" w:rsidP="00FE231E">
            <w:pPr>
              <w:spacing w:after="0" w:line="360" w:lineRule="auto"/>
              <w:contextualSpacing/>
              <w:jc w:val="center"/>
              <w:rPr>
                <w:rFonts w:cs="Arial"/>
                <w:sz w:val="18"/>
                <w:szCs w:val="18"/>
              </w:rPr>
            </w:pPr>
            <w:r w:rsidRPr="00295869">
              <w:rPr>
                <w:rFonts w:cs="Arial"/>
                <w:sz w:val="18"/>
                <w:szCs w:val="18"/>
              </w:rPr>
              <w:t>4</w:t>
            </w:r>
          </w:p>
        </w:tc>
        <w:tc>
          <w:tcPr>
            <w:tcW w:w="0" w:type="auto"/>
          </w:tcPr>
          <w:p w:rsidR="002D2D91" w:rsidRPr="00295869" w:rsidRDefault="00295869" w:rsidP="00FE231E">
            <w:pPr>
              <w:spacing w:after="0" w:line="360" w:lineRule="auto"/>
              <w:contextualSpacing/>
              <w:rPr>
                <w:rFonts w:cs="Arial"/>
                <w:sz w:val="18"/>
                <w:szCs w:val="18"/>
              </w:rPr>
            </w:pPr>
            <w:r w:rsidRPr="00295869">
              <w:rPr>
                <w:rFonts w:cs="Arial"/>
                <w:sz w:val="18"/>
                <w:szCs w:val="18"/>
              </w:rPr>
              <w:t xml:space="preserve">Huila                                   </w:t>
            </w:r>
          </w:p>
        </w:tc>
        <w:tc>
          <w:tcPr>
            <w:tcW w:w="0" w:type="auto"/>
          </w:tcPr>
          <w:p w:rsidR="002D2D91" w:rsidRPr="00295869" w:rsidRDefault="00295869" w:rsidP="00FE231E">
            <w:pPr>
              <w:spacing w:after="0" w:line="360" w:lineRule="auto"/>
              <w:contextualSpacing/>
              <w:jc w:val="center"/>
              <w:rPr>
                <w:rFonts w:cs="Arial"/>
                <w:sz w:val="18"/>
                <w:szCs w:val="18"/>
              </w:rPr>
            </w:pPr>
            <w:r w:rsidRPr="00295869">
              <w:rPr>
                <w:rFonts w:cs="Arial"/>
                <w:sz w:val="18"/>
                <w:szCs w:val="18"/>
              </w:rPr>
              <w:t>70</w:t>
            </w:r>
          </w:p>
        </w:tc>
      </w:tr>
      <w:tr w:rsidR="002D2D91" w:rsidRPr="00295869" w:rsidTr="00FE231E">
        <w:trPr>
          <w:trHeight w:val="267"/>
          <w:jc w:val="center"/>
        </w:trPr>
        <w:tc>
          <w:tcPr>
            <w:tcW w:w="0" w:type="auto"/>
            <w:noWrap/>
            <w:hideMark/>
          </w:tcPr>
          <w:p w:rsidR="002D2D91" w:rsidRPr="00295869" w:rsidRDefault="00295869" w:rsidP="00FE231E">
            <w:pPr>
              <w:spacing w:after="0" w:line="360" w:lineRule="auto"/>
              <w:contextualSpacing/>
              <w:jc w:val="both"/>
              <w:rPr>
                <w:rFonts w:cs="Arial"/>
                <w:sz w:val="18"/>
                <w:szCs w:val="18"/>
              </w:rPr>
            </w:pPr>
            <w:r w:rsidRPr="00295869">
              <w:rPr>
                <w:rFonts w:cs="Arial"/>
                <w:sz w:val="18"/>
                <w:szCs w:val="18"/>
              </w:rPr>
              <w:t xml:space="preserve">San Andrés </w:t>
            </w:r>
          </w:p>
        </w:tc>
        <w:tc>
          <w:tcPr>
            <w:tcW w:w="0" w:type="auto"/>
            <w:noWrap/>
            <w:hideMark/>
          </w:tcPr>
          <w:p w:rsidR="002D2D91" w:rsidRPr="00295869" w:rsidRDefault="00295869" w:rsidP="00FE231E">
            <w:pPr>
              <w:spacing w:after="0" w:line="360" w:lineRule="auto"/>
              <w:contextualSpacing/>
              <w:jc w:val="center"/>
              <w:rPr>
                <w:rFonts w:cs="Arial"/>
                <w:sz w:val="18"/>
                <w:szCs w:val="18"/>
              </w:rPr>
            </w:pPr>
            <w:r w:rsidRPr="00295869">
              <w:rPr>
                <w:rFonts w:cs="Arial"/>
                <w:sz w:val="18"/>
                <w:szCs w:val="18"/>
              </w:rPr>
              <w:t>1</w:t>
            </w:r>
          </w:p>
        </w:tc>
        <w:tc>
          <w:tcPr>
            <w:tcW w:w="0" w:type="auto"/>
          </w:tcPr>
          <w:p w:rsidR="002D2D91" w:rsidRPr="00295869" w:rsidRDefault="00295869" w:rsidP="00FE231E">
            <w:pPr>
              <w:spacing w:after="0" w:line="360" w:lineRule="auto"/>
              <w:contextualSpacing/>
              <w:rPr>
                <w:rFonts w:cs="Arial"/>
                <w:sz w:val="18"/>
                <w:szCs w:val="18"/>
              </w:rPr>
            </w:pPr>
            <w:r w:rsidRPr="00295869">
              <w:rPr>
                <w:rFonts w:cs="Arial"/>
                <w:sz w:val="18"/>
                <w:szCs w:val="18"/>
              </w:rPr>
              <w:t xml:space="preserve">Magdalena                               </w:t>
            </w:r>
          </w:p>
        </w:tc>
        <w:tc>
          <w:tcPr>
            <w:tcW w:w="0" w:type="auto"/>
          </w:tcPr>
          <w:p w:rsidR="002D2D91" w:rsidRPr="00295869" w:rsidRDefault="00295869" w:rsidP="00FE231E">
            <w:pPr>
              <w:spacing w:after="0" w:line="360" w:lineRule="auto"/>
              <w:contextualSpacing/>
              <w:jc w:val="center"/>
              <w:rPr>
                <w:rFonts w:cs="Arial"/>
                <w:sz w:val="18"/>
                <w:szCs w:val="18"/>
              </w:rPr>
            </w:pPr>
            <w:r w:rsidRPr="00295869">
              <w:rPr>
                <w:rFonts w:cs="Arial"/>
                <w:sz w:val="18"/>
                <w:szCs w:val="18"/>
              </w:rPr>
              <w:t>141</w:t>
            </w:r>
          </w:p>
        </w:tc>
      </w:tr>
      <w:tr w:rsidR="002D2D91" w:rsidRPr="00295869" w:rsidTr="00FE231E">
        <w:trPr>
          <w:trHeight w:val="267"/>
          <w:jc w:val="center"/>
        </w:trPr>
        <w:tc>
          <w:tcPr>
            <w:tcW w:w="0" w:type="auto"/>
            <w:noWrap/>
            <w:hideMark/>
          </w:tcPr>
          <w:p w:rsidR="002D2D91" w:rsidRPr="00295869" w:rsidRDefault="00295869" w:rsidP="00FE231E">
            <w:pPr>
              <w:spacing w:after="0" w:line="360" w:lineRule="auto"/>
              <w:contextualSpacing/>
              <w:jc w:val="both"/>
              <w:rPr>
                <w:rFonts w:cs="Arial"/>
                <w:sz w:val="18"/>
                <w:szCs w:val="18"/>
              </w:rPr>
            </w:pPr>
            <w:r w:rsidRPr="00295869">
              <w:rPr>
                <w:rFonts w:cs="Arial"/>
                <w:sz w:val="18"/>
                <w:szCs w:val="18"/>
              </w:rPr>
              <w:lastRenderedPageBreak/>
              <w:t xml:space="preserve">Atlántico                               </w:t>
            </w:r>
          </w:p>
        </w:tc>
        <w:tc>
          <w:tcPr>
            <w:tcW w:w="0" w:type="auto"/>
            <w:noWrap/>
            <w:hideMark/>
          </w:tcPr>
          <w:p w:rsidR="002D2D91" w:rsidRPr="00295869" w:rsidRDefault="00295869" w:rsidP="00FE231E">
            <w:pPr>
              <w:spacing w:after="0" w:line="360" w:lineRule="auto"/>
              <w:contextualSpacing/>
              <w:jc w:val="center"/>
              <w:rPr>
                <w:rFonts w:cs="Arial"/>
                <w:sz w:val="18"/>
                <w:szCs w:val="18"/>
              </w:rPr>
            </w:pPr>
            <w:r w:rsidRPr="00295869">
              <w:rPr>
                <w:rFonts w:cs="Arial"/>
                <w:sz w:val="18"/>
                <w:szCs w:val="18"/>
              </w:rPr>
              <w:t>46</w:t>
            </w:r>
          </w:p>
        </w:tc>
        <w:tc>
          <w:tcPr>
            <w:tcW w:w="0" w:type="auto"/>
          </w:tcPr>
          <w:p w:rsidR="002D2D91" w:rsidRPr="00295869" w:rsidRDefault="00295869" w:rsidP="00FE231E">
            <w:pPr>
              <w:spacing w:after="0" w:line="360" w:lineRule="auto"/>
              <w:contextualSpacing/>
              <w:rPr>
                <w:rFonts w:cs="Arial"/>
                <w:sz w:val="18"/>
                <w:szCs w:val="18"/>
              </w:rPr>
            </w:pPr>
            <w:r w:rsidRPr="00295869">
              <w:rPr>
                <w:rFonts w:cs="Arial"/>
                <w:sz w:val="18"/>
                <w:szCs w:val="18"/>
              </w:rPr>
              <w:t xml:space="preserve">Meta                                    </w:t>
            </w:r>
          </w:p>
        </w:tc>
        <w:tc>
          <w:tcPr>
            <w:tcW w:w="0" w:type="auto"/>
          </w:tcPr>
          <w:p w:rsidR="002D2D91" w:rsidRPr="00295869" w:rsidRDefault="00295869" w:rsidP="00FE231E">
            <w:pPr>
              <w:spacing w:after="0" w:line="360" w:lineRule="auto"/>
              <w:contextualSpacing/>
              <w:jc w:val="center"/>
              <w:rPr>
                <w:rFonts w:cs="Arial"/>
                <w:sz w:val="18"/>
                <w:szCs w:val="18"/>
              </w:rPr>
            </w:pPr>
            <w:r w:rsidRPr="00295869">
              <w:rPr>
                <w:rFonts w:cs="Arial"/>
                <w:sz w:val="18"/>
                <w:szCs w:val="18"/>
              </w:rPr>
              <w:t>6</w:t>
            </w:r>
          </w:p>
        </w:tc>
      </w:tr>
      <w:tr w:rsidR="002D2D91" w:rsidRPr="00295869" w:rsidTr="00FE231E">
        <w:trPr>
          <w:trHeight w:val="267"/>
          <w:jc w:val="center"/>
        </w:trPr>
        <w:tc>
          <w:tcPr>
            <w:tcW w:w="0" w:type="auto"/>
            <w:noWrap/>
            <w:hideMark/>
          </w:tcPr>
          <w:p w:rsidR="002D2D91" w:rsidRPr="00295869" w:rsidRDefault="00295869" w:rsidP="00FE231E">
            <w:pPr>
              <w:spacing w:after="0" w:line="360" w:lineRule="auto"/>
              <w:contextualSpacing/>
              <w:jc w:val="both"/>
              <w:rPr>
                <w:rFonts w:cs="Arial"/>
                <w:sz w:val="18"/>
                <w:szCs w:val="18"/>
              </w:rPr>
            </w:pPr>
            <w:r w:rsidRPr="00295869">
              <w:rPr>
                <w:rFonts w:cs="Arial"/>
                <w:sz w:val="18"/>
                <w:szCs w:val="18"/>
              </w:rPr>
              <w:t xml:space="preserve">Bogotá D.C.                             </w:t>
            </w:r>
          </w:p>
        </w:tc>
        <w:tc>
          <w:tcPr>
            <w:tcW w:w="0" w:type="auto"/>
            <w:noWrap/>
            <w:hideMark/>
          </w:tcPr>
          <w:p w:rsidR="002D2D91" w:rsidRPr="00295869" w:rsidRDefault="00295869" w:rsidP="00FE231E">
            <w:pPr>
              <w:spacing w:after="0" w:line="360" w:lineRule="auto"/>
              <w:contextualSpacing/>
              <w:jc w:val="center"/>
              <w:rPr>
                <w:rFonts w:cs="Arial"/>
                <w:sz w:val="18"/>
                <w:szCs w:val="18"/>
              </w:rPr>
            </w:pPr>
            <w:r w:rsidRPr="00295869">
              <w:rPr>
                <w:rFonts w:cs="Arial"/>
                <w:sz w:val="18"/>
                <w:szCs w:val="18"/>
              </w:rPr>
              <w:t>201</w:t>
            </w:r>
          </w:p>
        </w:tc>
        <w:tc>
          <w:tcPr>
            <w:tcW w:w="0" w:type="auto"/>
          </w:tcPr>
          <w:p w:rsidR="002D2D91" w:rsidRPr="00295869" w:rsidRDefault="00295869" w:rsidP="00FE231E">
            <w:pPr>
              <w:spacing w:after="0" w:line="360" w:lineRule="auto"/>
              <w:contextualSpacing/>
              <w:rPr>
                <w:rFonts w:cs="Arial"/>
                <w:sz w:val="18"/>
                <w:szCs w:val="18"/>
              </w:rPr>
            </w:pPr>
            <w:r w:rsidRPr="00295869">
              <w:rPr>
                <w:rFonts w:cs="Arial"/>
                <w:sz w:val="18"/>
                <w:szCs w:val="18"/>
              </w:rPr>
              <w:t xml:space="preserve">Nariño                                  </w:t>
            </w:r>
          </w:p>
        </w:tc>
        <w:tc>
          <w:tcPr>
            <w:tcW w:w="0" w:type="auto"/>
          </w:tcPr>
          <w:p w:rsidR="002D2D91" w:rsidRPr="00295869" w:rsidRDefault="00295869" w:rsidP="00FE231E">
            <w:pPr>
              <w:spacing w:after="0" w:line="360" w:lineRule="auto"/>
              <w:contextualSpacing/>
              <w:jc w:val="center"/>
              <w:rPr>
                <w:rFonts w:cs="Arial"/>
                <w:sz w:val="18"/>
                <w:szCs w:val="18"/>
              </w:rPr>
            </w:pPr>
            <w:r w:rsidRPr="00295869">
              <w:rPr>
                <w:rFonts w:cs="Arial"/>
                <w:sz w:val="18"/>
                <w:szCs w:val="18"/>
              </w:rPr>
              <w:t>214</w:t>
            </w:r>
          </w:p>
        </w:tc>
      </w:tr>
      <w:tr w:rsidR="002D2D91" w:rsidRPr="00295869" w:rsidTr="00FE231E">
        <w:trPr>
          <w:trHeight w:val="267"/>
          <w:jc w:val="center"/>
        </w:trPr>
        <w:tc>
          <w:tcPr>
            <w:tcW w:w="0" w:type="auto"/>
            <w:noWrap/>
            <w:hideMark/>
          </w:tcPr>
          <w:p w:rsidR="002D2D91" w:rsidRPr="00295869" w:rsidRDefault="00295869" w:rsidP="00FE231E">
            <w:pPr>
              <w:spacing w:after="0" w:line="360" w:lineRule="auto"/>
              <w:contextualSpacing/>
              <w:jc w:val="both"/>
              <w:rPr>
                <w:rFonts w:cs="Arial"/>
                <w:sz w:val="18"/>
                <w:szCs w:val="18"/>
              </w:rPr>
            </w:pPr>
            <w:r w:rsidRPr="00295869">
              <w:rPr>
                <w:rFonts w:cs="Arial"/>
                <w:sz w:val="18"/>
                <w:szCs w:val="18"/>
              </w:rPr>
              <w:t xml:space="preserve">Bolivar                                 </w:t>
            </w:r>
          </w:p>
        </w:tc>
        <w:tc>
          <w:tcPr>
            <w:tcW w:w="0" w:type="auto"/>
            <w:noWrap/>
            <w:hideMark/>
          </w:tcPr>
          <w:p w:rsidR="002D2D91" w:rsidRPr="00295869" w:rsidRDefault="00295869" w:rsidP="00FE231E">
            <w:pPr>
              <w:spacing w:after="0" w:line="360" w:lineRule="auto"/>
              <w:contextualSpacing/>
              <w:jc w:val="center"/>
              <w:rPr>
                <w:rFonts w:cs="Arial"/>
                <w:sz w:val="18"/>
                <w:szCs w:val="18"/>
              </w:rPr>
            </w:pPr>
            <w:r w:rsidRPr="00295869">
              <w:rPr>
                <w:rFonts w:cs="Arial"/>
                <w:sz w:val="18"/>
                <w:szCs w:val="18"/>
              </w:rPr>
              <w:t>77</w:t>
            </w:r>
          </w:p>
        </w:tc>
        <w:tc>
          <w:tcPr>
            <w:tcW w:w="0" w:type="auto"/>
          </w:tcPr>
          <w:p w:rsidR="002D2D91" w:rsidRPr="00295869" w:rsidRDefault="00295869" w:rsidP="00FE231E">
            <w:pPr>
              <w:spacing w:after="0" w:line="360" w:lineRule="auto"/>
              <w:contextualSpacing/>
              <w:rPr>
                <w:rFonts w:cs="Arial"/>
                <w:sz w:val="18"/>
                <w:szCs w:val="18"/>
              </w:rPr>
            </w:pPr>
            <w:r w:rsidRPr="00295869">
              <w:rPr>
                <w:rFonts w:cs="Arial"/>
                <w:sz w:val="18"/>
                <w:szCs w:val="18"/>
              </w:rPr>
              <w:t xml:space="preserve">Norte De Santander                      </w:t>
            </w:r>
          </w:p>
        </w:tc>
        <w:tc>
          <w:tcPr>
            <w:tcW w:w="0" w:type="auto"/>
          </w:tcPr>
          <w:p w:rsidR="002D2D91" w:rsidRPr="00295869" w:rsidRDefault="00295869" w:rsidP="00FE231E">
            <w:pPr>
              <w:spacing w:after="0" w:line="360" w:lineRule="auto"/>
              <w:contextualSpacing/>
              <w:jc w:val="center"/>
              <w:rPr>
                <w:rFonts w:cs="Arial"/>
                <w:sz w:val="18"/>
                <w:szCs w:val="18"/>
              </w:rPr>
            </w:pPr>
            <w:r w:rsidRPr="00295869">
              <w:rPr>
                <w:rFonts w:cs="Arial"/>
                <w:sz w:val="18"/>
                <w:szCs w:val="18"/>
              </w:rPr>
              <w:t>16</w:t>
            </w:r>
          </w:p>
        </w:tc>
      </w:tr>
      <w:tr w:rsidR="002D2D91" w:rsidRPr="00295869" w:rsidTr="00FE231E">
        <w:trPr>
          <w:trHeight w:val="267"/>
          <w:jc w:val="center"/>
        </w:trPr>
        <w:tc>
          <w:tcPr>
            <w:tcW w:w="0" w:type="auto"/>
            <w:noWrap/>
            <w:hideMark/>
          </w:tcPr>
          <w:p w:rsidR="002D2D91" w:rsidRPr="00295869" w:rsidRDefault="00295869" w:rsidP="00FE231E">
            <w:pPr>
              <w:spacing w:after="0" w:line="360" w:lineRule="auto"/>
              <w:contextualSpacing/>
              <w:jc w:val="both"/>
              <w:rPr>
                <w:rFonts w:cs="Arial"/>
                <w:sz w:val="18"/>
                <w:szCs w:val="18"/>
              </w:rPr>
            </w:pPr>
            <w:r w:rsidRPr="00295869">
              <w:rPr>
                <w:rFonts w:cs="Arial"/>
                <w:sz w:val="18"/>
                <w:szCs w:val="18"/>
              </w:rPr>
              <w:t xml:space="preserve">Boyacá                                  </w:t>
            </w:r>
          </w:p>
        </w:tc>
        <w:tc>
          <w:tcPr>
            <w:tcW w:w="0" w:type="auto"/>
            <w:noWrap/>
            <w:hideMark/>
          </w:tcPr>
          <w:p w:rsidR="002D2D91" w:rsidRPr="00295869" w:rsidRDefault="00295869" w:rsidP="00FE231E">
            <w:pPr>
              <w:spacing w:after="0" w:line="360" w:lineRule="auto"/>
              <w:contextualSpacing/>
              <w:jc w:val="center"/>
              <w:rPr>
                <w:rFonts w:cs="Arial"/>
                <w:sz w:val="18"/>
                <w:szCs w:val="18"/>
              </w:rPr>
            </w:pPr>
            <w:r w:rsidRPr="00295869">
              <w:rPr>
                <w:rFonts w:cs="Arial"/>
                <w:sz w:val="18"/>
                <w:szCs w:val="18"/>
              </w:rPr>
              <w:t>33</w:t>
            </w:r>
          </w:p>
        </w:tc>
        <w:tc>
          <w:tcPr>
            <w:tcW w:w="0" w:type="auto"/>
          </w:tcPr>
          <w:p w:rsidR="002D2D91" w:rsidRPr="00295869" w:rsidRDefault="00295869" w:rsidP="00FE231E">
            <w:pPr>
              <w:spacing w:after="0" w:line="360" w:lineRule="auto"/>
              <w:contextualSpacing/>
              <w:rPr>
                <w:rFonts w:cs="Arial"/>
                <w:sz w:val="18"/>
                <w:szCs w:val="18"/>
              </w:rPr>
            </w:pPr>
            <w:r w:rsidRPr="00295869">
              <w:rPr>
                <w:rFonts w:cs="Arial"/>
                <w:sz w:val="18"/>
                <w:szCs w:val="18"/>
              </w:rPr>
              <w:t xml:space="preserve">Putumayo                                </w:t>
            </w:r>
          </w:p>
        </w:tc>
        <w:tc>
          <w:tcPr>
            <w:tcW w:w="0" w:type="auto"/>
          </w:tcPr>
          <w:p w:rsidR="002D2D91" w:rsidRPr="00295869" w:rsidRDefault="00295869" w:rsidP="00FE231E">
            <w:pPr>
              <w:spacing w:after="0" w:line="360" w:lineRule="auto"/>
              <w:contextualSpacing/>
              <w:jc w:val="center"/>
              <w:rPr>
                <w:rFonts w:cs="Arial"/>
                <w:sz w:val="18"/>
                <w:szCs w:val="18"/>
              </w:rPr>
            </w:pPr>
            <w:r w:rsidRPr="00295869">
              <w:rPr>
                <w:rFonts w:cs="Arial"/>
                <w:sz w:val="18"/>
                <w:szCs w:val="18"/>
              </w:rPr>
              <w:t>4</w:t>
            </w:r>
          </w:p>
        </w:tc>
      </w:tr>
      <w:tr w:rsidR="002D2D91" w:rsidRPr="00295869" w:rsidTr="00FE231E">
        <w:trPr>
          <w:trHeight w:val="267"/>
          <w:jc w:val="center"/>
        </w:trPr>
        <w:tc>
          <w:tcPr>
            <w:tcW w:w="0" w:type="auto"/>
            <w:noWrap/>
            <w:hideMark/>
          </w:tcPr>
          <w:p w:rsidR="002D2D91" w:rsidRPr="00FE231E" w:rsidRDefault="00295869"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Caldas                                  </w:t>
            </w:r>
          </w:p>
        </w:tc>
        <w:tc>
          <w:tcPr>
            <w:tcW w:w="0" w:type="auto"/>
            <w:noWrap/>
            <w:hideMark/>
          </w:tcPr>
          <w:p w:rsidR="002D2D91" w:rsidRPr="00FE231E" w:rsidRDefault="00295869"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69</w:t>
            </w:r>
          </w:p>
        </w:tc>
        <w:tc>
          <w:tcPr>
            <w:tcW w:w="0" w:type="auto"/>
          </w:tcPr>
          <w:p w:rsidR="002D2D91" w:rsidRPr="00FE231E" w:rsidRDefault="00295869"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Quindío                                 </w:t>
            </w:r>
          </w:p>
        </w:tc>
        <w:tc>
          <w:tcPr>
            <w:tcW w:w="0" w:type="auto"/>
          </w:tcPr>
          <w:p w:rsidR="002D2D91" w:rsidRPr="00FE231E" w:rsidRDefault="00295869"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10</w:t>
            </w:r>
          </w:p>
        </w:tc>
      </w:tr>
      <w:tr w:rsidR="002D2D91" w:rsidRPr="00295869" w:rsidTr="00FE231E">
        <w:trPr>
          <w:trHeight w:val="267"/>
          <w:jc w:val="center"/>
        </w:trPr>
        <w:tc>
          <w:tcPr>
            <w:tcW w:w="0" w:type="auto"/>
            <w:noWrap/>
            <w:hideMark/>
          </w:tcPr>
          <w:p w:rsidR="002D2D91" w:rsidRPr="00FE231E" w:rsidRDefault="00295869"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Caquetá                                 </w:t>
            </w:r>
          </w:p>
        </w:tc>
        <w:tc>
          <w:tcPr>
            <w:tcW w:w="0" w:type="auto"/>
            <w:noWrap/>
            <w:hideMark/>
          </w:tcPr>
          <w:p w:rsidR="002D2D91" w:rsidRPr="00FE231E" w:rsidRDefault="00295869"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2</w:t>
            </w:r>
          </w:p>
        </w:tc>
        <w:tc>
          <w:tcPr>
            <w:tcW w:w="0" w:type="auto"/>
          </w:tcPr>
          <w:p w:rsidR="002D2D91" w:rsidRPr="00FE231E" w:rsidRDefault="00295869"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Risaralda                               </w:t>
            </w:r>
          </w:p>
        </w:tc>
        <w:tc>
          <w:tcPr>
            <w:tcW w:w="0" w:type="auto"/>
          </w:tcPr>
          <w:p w:rsidR="002D2D91" w:rsidRPr="00FE231E" w:rsidRDefault="00295869"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23</w:t>
            </w:r>
          </w:p>
        </w:tc>
      </w:tr>
      <w:tr w:rsidR="002D2D91" w:rsidRPr="00295869" w:rsidTr="00FE231E">
        <w:trPr>
          <w:trHeight w:val="267"/>
          <w:jc w:val="center"/>
        </w:trPr>
        <w:tc>
          <w:tcPr>
            <w:tcW w:w="0" w:type="auto"/>
            <w:noWrap/>
            <w:hideMark/>
          </w:tcPr>
          <w:p w:rsidR="002D2D91" w:rsidRPr="00FE231E" w:rsidRDefault="00295869"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Cauca                                   </w:t>
            </w:r>
          </w:p>
        </w:tc>
        <w:tc>
          <w:tcPr>
            <w:tcW w:w="0" w:type="auto"/>
            <w:noWrap/>
            <w:hideMark/>
          </w:tcPr>
          <w:p w:rsidR="002D2D91" w:rsidRPr="00FE231E" w:rsidRDefault="00295869"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40</w:t>
            </w:r>
          </w:p>
        </w:tc>
        <w:tc>
          <w:tcPr>
            <w:tcW w:w="0" w:type="auto"/>
          </w:tcPr>
          <w:p w:rsidR="002D2D91" w:rsidRPr="00FE231E" w:rsidRDefault="00295869"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Santander                               </w:t>
            </w:r>
          </w:p>
        </w:tc>
        <w:tc>
          <w:tcPr>
            <w:tcW w:w="0" w:type="auto"/>
          </w:tcPr>
          <w:p w:rsidR="002D2D91" w:rsidRPr="00FE231E" w:rsidRDefault="00295869"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55</w:t>
            </w:r>
          </w:p>
        </w:tc>
      </w:tr>
      <w:tr w:rsidR="002D2D91" w:rsidRPr="00295869" w:rsidTr="00FE231E">
        <w:trPr>
          <w:trHeight w:val="267"/>
          <w:jc w:val="center"/>
        </w:trPr>
        <w:tc>
          <w:tcPr>
            <w:tcW w:w="0" w:type="auto"/>
            <w:noWrap/>
            <w:hideMark/>
          </w:tcPr>
          <w:p w:rsidR="002D2D91" w:rsidRPr="00FE231E" w:rsidRDefault="00295869"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Cesar                                   </w:t>
            </w:r>
          </w:p>
        </w:tc>
        <w:tc>
          <w:tcPr>
            <w:tcW w:w="0" w:type="auto"/>
            <w:noWrap/>
            <w:hideMark/>
          </w:tcPr>
          <w:p w:rsidR="002D2D91" w:rsidRPr="00FE231E" w:rsidRDefault="00295869"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32</w:t>
            </w:r>
          </w:p>
        </w:tc>
        <w:tc>
          <w:tcPr>
            <w:tcW w:w="0" w:type="auto"/>
          </w:tcPr>
          <w:p w:rsidR="002D2D91" w:rsidRPr="00FE231E" w:rsidRDefault="00295869"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Sucre                                   </w:t>
            </w:r>
          </w:p>
        </w:tc>
        <w:tc>
          <w:tcPr>
            <w:tcW w:w="0" w:type="auto"/>
          </w:tcPr>
          <w:p w:rsidR="002D2D91" w:rsidRPr="00FE231E" w:rsidRDefault="00295869"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95</w:t>
            </w:r>
          </w:p>
        </w:tc>
      </w:tr>
      <w:tr w:rsidR="002D2D91" w:rsidRPr="00295869" w:rsidTr="00FE231E">
        <w:trPr>
          <w:trHeight w:val="267"/>
          <w:jc w:val="center"/>
        </w:trPr>
        <w:tc>
          <w:tcPr>
            <w:tcW w:w="0" w:type="auto"/>
            <w:noWrap/>
            <w:hideMark/>
          </w:tcPr>
          <w:p w:rsidR="002D2D91" w:rsidRPr="00FE231E" w:rsidRDefault="00295869"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Choco                                   </w:t>
            </w:r>
          </w:p>
        </w:tc>
        <w:tc>
          <w:tcPr>
            <w:tcW w:w="0" w:type="auto"/>
            <w:noWrap/>
            <w:hideMark/>
          </w:tcPr>
          <w:p w:rsidR="002D2D91" w:rsidRPr="00FE231E" w:rsidRDefault="00295869"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59</w:t>
            </w:r>
          </w:p>
        </w:tc>
        <w:tc>
          <w:tcPr>
            <w:tcW w:w="0" w:type="auto"/>
          </w:tcPr>
          <w:p w:rsidR="002D2D91" w:rsidRPr="00FE231E" w:rsidRDefault="00295869"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Tolima                                  </w:t>
            </w:r>
          </w:p>
        </w:tc>
        <w:tc>
          <w:tcPr>
            <w:tcW w:w="0" w:type="auto"/>
          </w:tcPr>
          <w:p w:rsidR="002D2D91" w:rsidRPr="00FE231E" w:rsidRDefault="00295869"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22</w:t>
            </w:r>
          </w:p>
        </w:tc>
      </w:tr>
      <w:tr w:rsidR="002D2D91" w:rsidRPr="00295869" w:rsidTr="00FE231E">
        <w:trPr>
          <w:trHeight w:val="267"/>
          <w:jc w:val="center"/>
        </w:trPr>
        <w:tc>
          <w:tcPr>
            <w:tcW w:w="0" w:type="auto"/>
            <w:noWrap/>
            <w:hideMark/>
          </w:tcPr>
          <w:p w:rsidR="002D2D91" w:rsidRPr="00FE231E" w:rsidRDefault="00E9291D"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Córdoba</w:t>
            </w:r>
            <w:r w:rsidR="00295869" w:rsidRPr="00FE231E">
              <w:rPr>
                <w:rFonts w:eastAsia="Times New Roman" w:cs="Arial"/>
                <w:color w:val="000000"/>
                <w:sz w:val="18"/>
                <w:szCs w:val="18"/>
                <w:lang w:val="es-CO" w:eastAsia="es-CO"/>
              </w:rPr>
              <w:t xml:space="preserve">                                 </w:t>
            </w:r>
          </w:p>
        </w:tc>
        <w:tc>
          <w:tcPr>
            <w:tcW w:w="0" w:type="auto"/>
            <w:noWrap/>
            <w:hideMark/>
          </w:tcPr>
          <w:p w:rsidR="002D2D91" w:rsidRPr="00FE231E" w:rsidRDefault="00295869"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183</w:t>
            </w:r>
          </w:p>
        </w:tc>
        <w:tc>
          <w:tcPr>
            <w:tcW w:w="0" w:type="auto"/>
          </w:tcPr>
          <w:p w:rsidR="002D2D91" w:rsidRPr="00FE231E" w:rsidRDefault="00295869"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Valle Del Cauca                         </w:t>
            </w:r>
          </w:p>
        </w:tc>
        <w:tc>
          <w:tcPr>
            <w:tcW w:w="0" w:type="auto"/>
          </w:tcPr>
          <w:p w:rsidR="002D2D91" w:rsidRPr="00FE231E" w:rsidRDefault="00295869"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143</w:t>
            </w:r>
          </w:p>
        </w:tc>
      </w:tr>
      <w:tr w:rsidR="002D2D91" w:rsidRPr="00295869" w:rsidTr="009F1189">
        <w:trPr>
          <w:trHeight w:val="20"/>
          <w:jc w:val="center"/>
        </w:trPr>
        <w:tc>
          <w:tcPr>
            <w:tcW w:w="0" w:type="auto"/>
            <w:shd w:val="clear" w:color="auto" w:fill="E2EFDA"/>
            <w:noWrap/>
            <w:hideMark/>
          </w:tcPr>
          <w:p w:rsidR="002D2D91" w:rsidRPr="00295869" w:rsidRDefault="00295869" w:rsidP="00295869">
            <w:pPr>
              <w:jc w:val="center"/>
              <w:rPr>
                <w:rFonts w:cs="Arial"/>
                <w:b/>
                <w:sz w:val="18"/>
                <w:szCs w:val="18"/>
              </w:rPr>
            </w:pPr>
            <w:r w:rsidRPr="00295869">
              <w:rPr>
                <w:rFonts w:cs="Arial"/>
                <w:b/>
                <w:sz w:val="18"/>
                <w:szCs w:val="18"/>
              </w:rPr>
              <w:t>Total</w:t>
            </w:r>
          </w:p>
        </w:tc>
        <w:tc>
          <w:tcPr>
            <w:tcW w:w="0" w:type="auto"/>
            <w:gridSpan w:val="3"/>
            <w:shd w:val="clear" w:color="auto" w:fill="E2EFDA"/>
            <w:noWrap/>
            <w:hideMark/>
          </w:tcPr>
          <w:p w:rsidR="002D2D91" w:rsidRPr="00295869" w:rsidRDefault="00295869" w:rsidP="00295869">
            <w:pPr>
              <w:jc w:val="center"/>
              <w:rPr>
                <w:rFonts w:cs="Arial"/>
                <w:b/>
                <w:sz w:val="18"/>
                <w:szCs w:val="18"/>
              </w:rPr>
            </w:pPr>
            <w:r w:rsidRPr="00295869">
              <w:rPr>
                <w:rFonts w:cs="Arial"/>
                <w:b/>
                <w:sz w:val="18"/>
                <w:szCs w:val="18"/>
              </w:rPr>
              <w:t>1770</w:t>
            </w:r>
          </w:p>
        </w:tc>
      </w:tr>
    </w:tbl>
    <w:p w:rsidR="002D2D91" w:rsidRPr="00360E6B" w:rsidRDefault="002D2D91" w:rsidP="009F1189">
      <w:pPr>
        <w:jc w:val="center"/>
        <w:rPr>
          <w:rFonts w:cs="Arial"/>
          <w:sz w:val="16"/>
          <w:szCs w:val="16"/>
        </w:rPr>
      </w:pPr>
      <w:r w:rsidRPr="00360E6B">
        <w:rPr>
          <w:rFonts w:cs="Arial"/>
          <w:sz w:val="16"/>
          <w:szCs w:val="16"/>
        </w:rPr>
        <w:t>Fuente: Subdirección de operación para la atención a la Primera Infancia, corte 31 de diciembre de 2017</w:t>
      </w:r>
    </w:p>
    <w:p w:rsidR="002D2D91" w:rsidRDefault="002D2D91" w:rsidP="002D2D91">
      <w:pPr>
        <w:jc w:val="both"/>
        <w:rPr>
          <w:rFonts w:cs="Arial"/>
        </w:rPr>
      </w:pPr>
      <w:r w:rsidRPr="007608C2">
        <w:rPr>
          <w:rFonts w:cs="Arial"/>
        </w:rPr>
        <w:t>Actualmente, se encuentran bloqueadas 63 ex madres comunitarias beneficiarias del Subsidio de la subcuenta de subsistencia del Fondo de Solidaridad Pensional por las causales rela</w:t>
      </w:r>
      <w:r w:rsidR="00295869">
        <w:rPr>
          <w:rFonts w:cs="Arial"/>
        </w:rPr>
        <w:t>cionadas en la siguiente tabla:</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ook w:val="04A0" w:firstRow="1" w:lastRow="0" w:firstColumn="1" w:lastColumn="0" w:noHBand="0" w:noVBand="1"/>
      </w:tblPr>
      <w:tblGrid>
        <w:gridCol w:w="1507"/>
        <w:gridCol w:w="1589"/>
        <w:gridCol w:w="2738"/>
      </w:tblGrid>
      <w:tr w:rsidR="002D2D91" w:rsidRPr="00360E6B" w:rsidTr="00FE231E">
        <w:trPr>
          <w:trHeight w:val="20"/>
          <w:tblHeader/>
          <w:jc w:val="center"/>
        </w:trPr>
        <w:tc>
          <w:tcPr>
            <w:tcW w:w="0" w:type="auto"/>
            <w:shd w:val="clear" w:color="auto" w:fill="76922E"/>
            <w:noWrap/>
            <w:vAlign w:val="center"/>
            <w:hideMark/>
          </w:tcPr>
          <w:p w:rsidR="002D2D91" w:rsidRPr="00360E6B" w:rsidRDefault="00360E6B" w:rsidP="004005A3">
            <w:pPr>
              <w:spacing w:after="0" w:line="360" w:lineRule="auto"/>
              <w:contextualSpacing/>
              <w:jc w:val="center"/>
              <w:rPr>
                <w:rFonts w:cs="Arial"/>
                <w:b/>
                <w:color w:val="FFFFFF" w:themeColor="background1"/>
                <w:sz w:val="18"/>
                <w:szCs w:val="18"/>
              </w:rPr>
            </w:pPr>
            <w:r w:rsidRPr="00360E6B">
              <w:rPr>
                <w:rFonts w:cs="Arial"/>
                <w:b/>
                <w:color w:val="FFFFFF" w:themeColor="background1"/>
                <w:sz w:val="18"/>
                <w:szCs w:val="18"/>
              </w:rPr>
              <w:t>Departamento</w:t>
            </w:r>
          </w:p>
        </w:tc>
        <w:tc>
          <w:tcPr>
            <w:tcW w:w="0" w:type="auto"/>
            <w:shd w:val="clear" w:color="auto" w:fill="76922E"/>
            <w:noWrap/>
            <w:vAlign w:val="center"/>
            <w:hideMark/>
          </w:tcPr>
          <w:p w:rsidR="002D2D91" w:rsidRPr="00360E6B" w:rsidRDefault="00360E6B" w:rsidP="004005A3">
            <w:pPr>
              <w:spacing w:after="0" w:line="360" w:lineRule="auto"/>
              <w:contextualSpacing/>
              <w:jc w:val="center"/>
              <w:rPr>
                <w:rFonts w:cs="Arial"/>
                <w:b/>
                <w:color w:val="FFFFFF" w:themeColor="background1"/>
                <w:sz w:val="18"/>
                <w:szCs w:val="18"/>
              </w:rPr>
            </w:pPr>
            <w:r w:rsidRPr="00360E6B">
              <w:rPr>
                <w:rFonts w:cs="Arial"/>
                <w:b/>
                <w:color w:val="FFFFFF" w:themeColor="background1"/>
                <w:sz w:val="18"/>
                <w:szCs w:val="18"/>
              </w:rPr>
              <w:t>N°</w:t>
            </w:r>
            <w:r>
              <w:rPr>
                <w:rFonts w:cs="Arial"/>
                <w:b/>
                <w:color w:val="FFFFFF" w:themeColor="background1"/>
                <w:sz w:val="18"/>
                <w:szCs w:val="18"/>
              </w:rPr>
              <w:t xml:space="preserve"> </w:t>
            </w:r>
            <w:r w:rsidRPr="00360E6B">
              <w:rPr>
                <w:rFonts w:cs="Arial"/>
                <w:b/>
                <w:color w:val="FFFFFF" w:themeColor="background1"/>
                <w:sz w:val="18"/>
                <w:szCs w:val="18"/>
              </w:rPr>
              <w:t>Beneficiarias</w:t>
            </w:r>
          </w:p>
        </w:tc>
        <w:tc>
          <w:tcPr>
            <w:tcW w:w="0" w:type="auto"/>
            <w:shd w:val="clear" w:color="auto" w:fill="76922E"/>
            <w:noWrap/>
            <w:vAlign w:val="center"/>
            <w:hideMark/>
          </w:tcPr>
          <w:p w:rsidR="002D2D91" w:rsidRPr="00360E6B" w:rsidRDefault="00360E6B" w:rsidP="004005A3">
            <w:pPr>
              <w:spacing w:after="0" w:line="360" w:lineRule="auto"/>
              <w:contextualSpacing/>
              <w:jc w:val="center"/>
              <w:rPr>
                <w:rFonts w:cs="Arial"/>
                <w:b/>
                <w:color w:val="FFFFFF" w:themeColor="background1"/>
                <w:sz w:val="18"/>
                <w:szCs w:val="18"/>
              </w:rPr>
            </w:pPr>
            <w:r w:rsidRPr="00360E6B">
              <w:rPr>
                <w:rFonts w:cs="Arial"/>
                <w:b/>
                <w:color w:val="FFFFFF" w:themeColor="background1"/>
                <w:sz w:val="18"/>
                <w:szCs w:val="18"/>
              </w:rPr>
              <w:t>Estado</w:t>
            </w:r>
          </w:p>
        </w:tc>
      </w:tr>
      <w:tr w:rsidR="002D2D91" w:rsidRPr="00360E6B" w:rsidTr="00FE231E">
        <w:trPr>
          <w:trHeight w:val="20"/>
          <w:jc w:val="center"/>
        </w:trPr>
        <w:tc>
          <w:tcPr>
            <w:tcW w:w="0" w:type="auto"/>
            <w:vMerge w:val="restart"/>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Antioquia                               </w:t>
            </w: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rsidR="002D2D91" w:rsidRPr="00FE231E" w:rsidRDefault="00FE231E" w:rsidP="00FE231E">
            <w:pPr>
              <w:spacing w:after="0" w:line="240" w:lineRule="auto"/>
              <w:rPr>
                <w:rFonts w:eastAsia="Times New Roman" w:cs="Arial"/>
                <w:color w:val="000000"/>
                <w:sz w:val="18"/>
                <w:szCs w:val="18"/>
                <w:lang w:val="es-CO" w:eastAsia="es-CO"/>
              </w:rPr>
            </w:pPr>
            <w:r>
              <w:rPr>
                <w:rFonts w:eastAsia="Times New Roman" w:cs="Arial"/>
                <w:color w:val="000000"/>
                <w:sz w:val="18"/>
                <w:szCs w:val="18"/>
                <w:lang w:val="es-CO" w:eastAsia="es-CO"/>
              </w:rPr>
              <w:t>No Cumplimiento d</w:t>
            </w:r>
            <w:r w:rsidR="00360E6B" w:rsidRPr="00FE231E">
              <w:rPr>
                <w:rFonts w:eastAsia="Times New Roman" w:cs="Arial"/>
                <w:color w:val="000000"/>
                <w:sz w:val="18"/>
                <w:szCs w:val="18"/>
                <w:lang w:val="es-CO" w:eastAsia="es-CO"/>
              </w:rPr>
              <w:t>e Requisitos</w:t>
            </w:r>
          </w:p>
        </w:tc>
      </w:tr>
      <w:tr w:rsidR="002D2D91" w:rsidRPr="00360E6B" w:rsidTr="00FE231E">
        <w:trPr>
          <w:trHeight w:val="99"/>
          <w:jc w:val="center"/>
        </w:trPr>
        <w:tc>
          <w:tcPr>
            <w:tcW w:w="0" w:type="auto"/>
            <w:vMerge/>
            <w:vAlign w:val="center"/>
            <w:hideMark/>
          </w:tcPr>
          <w:p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7</w:t>
            </w:r>
          </w:p>
        </w:tc>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Renta</w:t>
            </w:r>
          </w:p>
        </w:tc>
      </w:tr>
      <w:tr w:rsidR="002D2D91" w:rsidRPr="00360E6B" w:rsidTr="00FE231E">
        <w:trPr>
          <w:trHeight w:val="20"/>
          <w:jc w:val="center"/>
        </w:trPr>
        <w:tc>
          <w:tcPr>
            <w:tcW w:w="0" w:type="auto"/>
            <w:vMerge w:val="restart"/>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Atlántico                               </w:t>
            </w: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Pensión</w:t>
            </w:r>
          </w:p>
        </w:tc>
      </w:tr>
      <w:tr w:rsidR="002D2D91" w:rsidRPr="00360E6B" w:rsidTr="00FE231E">
        <w:trPr>
          <w:trHeight w:val="20"/>
          <w:jc w:val="center"/>
        </w:trPr>
        <w:tc>
          <w:tcPr>
            <w:tcW w:w="0" w:type="auto"/>
            <w:vMerge/>
            <w:vAlign w:val="center"/>
            <w:hideMark/>
          </w:tcPr>
          <w:p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Posibles Fallecidos</w:t>
            </w:r>
          </w:p>
        </w:tc>
      </w:tr>
      <w:tr w:rsidR="002D2D91" w:rsidRPr="00360E6B" w:rsidTr="00FE231E">
        <w:trPr>
          <w:trHeight w:val="20"/>
          <w:jc w:val="center"/>
        </w:trPr>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Bogotá D.C.                             </w:t>
            </w: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10</w:t>
            </w:r>
          </w:p>
        </w:tc>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Renta</w:t>
            </w:r>
          </w:p>
        </w:tc>
      </w:tr>
      <w:tr w:rsidR="002D2D91" w:rsidRPr="00360E6B" w:rsidTr="00FE231E">
        <w:trPr>
          <w:trHeight w:val="20"/>
          <w:jc w:val="center"/>
        </w:trPr>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Bolivar                                 </w:t>
            </w: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2</w:t>
            </w:r>
          </w:p>
        </w:tc>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Renta</w:t>
            </w:r>
          </w:p>
        </w:tc>
      </w:tr>
      <w:tr w:rsidR="002D2D91" w:rsidRPr="00360E6B" w:rsidTr="00FE231E">
        <w:trPr>
          <w:trHeight w:val="20"/>
          <w:jc w:val="center"/>
        </w:trPr>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Boyacá                                  </w:t>
            </w: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rsidR="002D2D91" w:rsidRPr="00FE231E" w:rsidRDefault="00FE231E" w:rsidP="00FE231E">
            <w:pPr>
              <w:spacing w:after="0" w:line="240" w:lineRule="auto"/>
              <w:rPr>
                <w:rFonts w:eastAsia="Times New Roman" w:cs="Arial"/>
                <w:color w:val="000000"/>
                <w:sz w:val="18"/>
                <w:szCs w:val="18"/>
                <w:lang w:val="es-CO" w:eastAsia="es-CO"/>
              </w:rPr>
            </w:pPr>
            <w:r>
              <w:rPr>
                <w:rFonts w:eastAsia="Times New Roman" w:cs="Arial"/>
                <w:color w:val="000000"/>
                <w:sz w:val="18"/>
                <w:szCs w:val="18"/>
                <w:lang w:val="es-CO" w:eastAsia="es-CO"/>
              </w:rPr>
              <w:t>Bloqueo p</w:t>
            </w:r>
            <w:r w:rsidR="00360E6B" w:rsidRPr="00FE231E">
              <w:rPr>
                <w:rFonts w:eastAsia="Times New Roman" w:cs="Arial"/>
                <w:color w:val="000000"/>
                <w:sz w:val="18"/>
                <w:szCs w:val="18"/>
                <w:lang w:val="es-CO" w:eastAsia="es-CO"/>
              </w:rPr>
              <w:t>or No Cobro</w:t>
            </w:r>
          </w:p>
        </w:tc>
      </w:tr>
      <w:tr w:rsidR="002D2D91" w:rsidRPr="00360E6B" w:rsidTr="00FE231E">
        <w:trPr>
          <w:trHeight w:val="20"/>
          <w:jc w:val="center"/>
        </w:trPr>
        <w:tc>
          <w:tcPr>
            <w:tcW w:w="0" w:type="auto"/>
            <w:vMerge w:val="restart"/>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Caldas                                  </w:t>
            </w: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Pensión</w:t>
            </w:r>
          </w:p>
        </w:tc>
      </w:tr>
      <w:tr w:rsidR="002D2D91" w:rsidRPr="00360E6B" w:rsidTr="00FE231E">
        <w:trPr>
          <w:trHeight w:val="20"/>
          <w:jc w:val="center"/>
        </w:trPr>
        <w:tc>
          <w:tcPr>
            <w:tcW w:w="0" w:type="auto"/>
            <w:vMerge/>
            <w:vAlign w:val="center"/>
            <w:hideMark/>
          </w:tcPr>
          <w:p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Renta</w:t>
            </w:r>
          </w:p>
        </w:tc>
      </w:tr>
      <w:tr w:rsidR="002D2D91" w:rsidRPr="00360E6B" w:rsidTr="00FE231E">
        <w:trPr>
          <w:trHeight w:val="20"/>
          <w:jc w:val="center"/>
        </w:trPr>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Cauca                                   </w:t>
            </w: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2</w:t>
            </w:r>
          </w:p>
        </w:tc>
        <w:tc>
          <w:tcPr>
            <w:tcW w:w="0" w:type="auto"/>
            <w:noWrap/>
            <w:vAlign w:val="center"/>
            <w:hideMark/>
          </w:tcPr>
          <w:p w:rsidR="002D2D91" w:rsidRPr="00FE231E" w:rsidRDefault="00FE231E" w:rsidP="00FE231E">
            <w:pPr>
              <w:spacing w:after="0" w:line="240" w:lineRule="auto"/>
              <w:rPr>
                <w:rFonts w:eastAsia="Times New Roman" w:cs="Arial"/>
                <w:color w:val="000000"/>
                <w:sz w:val="18"/>
                <w:szCs w:val="18"/>
                <w:lang w:val="es-CO" w:eastAsia="es-CO"/>
              </w:rPr>
            </w:pPr>
            <w:r>
              <w:rPr>
                <w:rFonts w:eastAsia="Times New Roman" w:cs="Arial"/>
                <w:color w:val="000000"/>
                <w:sz w:val="18"/>
                <w:szCs w:val="18"/>
                <w:lang w:val="es-CO" w:eastAsia="es-CO"/>
              </w:rPr>
              <w:t>Bloqueo p</w:t>
            </w:r>
            <w:r w:rsidR="00360E6B" w:rsidRPr="00FE231E">
              <w:rPr>
                <w:rFonts w:eastAsia="Times New Roman" w:cs="Arial"/>
                <w:color w:val="000000"/>
                <w:sz w:val="18"/>
                <w:szCs w:val="18"/>
                <w:lang w:val="es-CO" w:eastAsia="es-CO"/>
              </w:rPr>
              <w:t>or No Cobro</w:t>
            </w:r>
          </w:p>
        </w:tc>
      </w:tr>
      <w:tr w:rsidR="002D2D91" w:rsidRPr="00360E6B" w:rsidTr="00FE231E">
        <w:trPr>
          <w:trHeight w:val="20"/>
          <w:jc w:val="center"/>
        </w:trPr>
        <w:tc>
          <w:tcPr>
            <w:tcW w:w="0" w:type="auto"/>
            <w:vMerge w:val="restart"/>
            <w:noWrap/>
            <w:vAlign w:val="center"/>
            <w:hideMark/>
          </w:tcPr>
          <w:p w:rsidR="002D2D91" w:rsidRPr="00FE231E" w:rsidRDefault="00FE231E"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Córdoba</w:t>
            </w:r>
            <w:r w:rsidR="00360E6B" w:rsidRPr="00FE231E">
              <w:rPr>
                <w:rFonts w:eastAsia="Times New Roman" w:cs="Arial"/>
                <w:color w:val="000000"/>
                <w:sz w:val="18"/>
                <w:szCs w:val="18"/>
                <w:lang w:val="es-CO" w:eastAsia="es-CO"/>
              </w:rPr>
              <w:t xml:space="preserve">                                 </w:t>
            </w: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7</w:t>
            </w:r>
          </w:p>
        </w:tc>
        <w:tc>
          <w:tcPr>
            <w:tcW w:w="0" w:type="auto"/>
            <w:noWrap/>
            <w:vAlign w:val="center"/>
            <w:hideMark/>
          </w:tcPr>
          <w:p w:rsidR="002D2D91" w:rsidRPr="00FE231E" w:rsidRDefault="00FE231E" w:rsidP="00FE231E">
            <w:pPr>
              <w:spacing w:after="0" w:line="240" w:lineRule="auto"/>
              <w:rPr>
                <w:rFonts w:eastAsia="Times New Roman" w:cs="Arial"/>
                <w:color w:val="000000"/>
                <w:sz w:val="18"/>
                <w:szCs w:val="18"/>
                <w:lang w:val="es-CO" w:eastAsia="es-CO"/>
              </w:rPr>
            </w:pPr>
            <w:r>
              <w:rPr>
                <w:rFonts w:eastAsia="Times New Roman" w:cs="Arial"/>
                <w:color w:val="000000"/>
                <w:sz w:val="18"/>
                <w:szCs w:val="18"/>
                <w:lang w:val="es-CO" w:eastAsia="es-CO"/>
              </w:rPr>
              <w:t>Bloqueo p</w:t>
            </w:r>
            <w:r w:rsidR="00360E6B" w:rsidRPr="00FE231E">
              <w:rPr>
                <w:rFonts w:eastAsia="Times New Roman" w:cs="Arial"/>
                <w:color w:val="000000"/>
                <w:sz w:val="18"/>
                <w:szCs w:val="18"/>
                <w:lang w:val="es-CO" w:eastAsia="es-CO"/>
              </w:rPr>
              <w:t>or No Cobro</w:t>
            </w:r>
          </w:p>
        </w:tc>
      </w:tr>
      <w:tr w:rsidR="002D2D91" w:rsidRPr="00360E6B" w:rsidTr="00FE231E">
        <w:trPr>
          <w:trHeight w:val="20"/>
          <w:jc w:val="center"/>
        </w:trPr>
        <w:tc>
          <w:tcPr>
            <w:tcW w:w="0" w:type="auto"/>
            <w:vMerge/>
            <w:vAlign w:val="center"/>
            <w:hideMark/>
          </w:tcPr>
          <w:p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Pensión</w:t>
            </w:r>
          </w:p>
        </w:tc>
      </w:tr>
      <w:tr w:rsidR="002D2D91" w:rsidRPr="00360E6B" w:rsidTr="00FE231E">
        <w:trPr>
          <w:trHeight w:val="20"/>
          <w:jc w:val="center"/>
        </w:trPr>
        <w:tc>
          <w:tcPr>
            <w:tcW w:w="0" w:type="auto"/>
            <w:vMerge/>
            <w:vAlign w:val="center"/>
            <w:hideMark/>
          </w:tcPr>
          <w:p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3</w:t>
            </w:r>
          </w:p>
        </w:tc>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Registraduría</w:t>
            </w:r>
          </w:p>
        </w:tc>
      </w:tr>
      <w:tr w:rsidR="002D2D91" w:rsidRPr="00360E6B" w:rsidTr="00FE231E">
        <w:trPr>
          <w:trHeight w:val="20"/>
          <w:jc w:val="center"/>
        </w:trPr>
        <w:tc>
          <w:tcPr>
            <w:tcW w:w="0" w:type="auto"/>
            <w:vMerge w:val="restart"/>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Magdalena                               </w:t>
            </w: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Registraduría</w:t>
            </w:r>
          </w:p>
        </w:tc>
      </w:tr>
      <w:tr w:rsidR="002D2D91" w:rsidRPr="00360E6B" w:rsidTr="00FE231E">
        <w:trPr>
          <w:trHeight w:val="20"/>
          <w:jc w:val="center"/>
        </w:trPr>
        <w:tc>
          <w:tcPr>
            <w:tcW w:w="0" w:type="auto"/>
            <w:vMerge/>
            <w:vAlign w:val="center"/>
            <w:hideMark/>
          </w:tcPr>
          <w:p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3</w:t>
            </w:r>
          </w:p>
        </w:tc>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Renta</w:t>
            </w:r>
          </w:p>
        </w:tc>
      </w:tr>
      <w:tr w:rsidR="002D2D91" w:rsidRPr="00360E6B" w:rsidTr="00FE231E">
        <w:trPr>
          <w:trHeight w:val="20"/>
          <w:jc w:val="center"/>
        </w:trPr>
        <w:tc>
          <w:tcPr>
            <w:tcW w:w="0" w:type="auto"/>
            <w:vMerge w:val="restart"/>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Nariño                                  </w:t>
            </w: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rsidR="002D2D91" w:rsidRPr="00FE231E" w:rsidRDefault="00FE231E" w:rsidP="00FE231E">
            <w:pPr>
              <w:spacing w:after="0" w:line="240" w:lineRule="auto"/>
              <w:rPr>
                <w:rFonts w:eastAsia="Times New Roman" w:cs="Arial"/>
                <w:color w:val="000000"/>
                <w:sz w:val="18"/>
                <w:szCs w:val="18"/>
                <w:lang w:val="es-CO" w:eastAsia="es-CO"/>
              </w:rPr>
            </w:pPr>
            <w:r>
              <w:rPr>
                <w:rFonts w:eastAsia="Times New Roman" w:cs="Arial"/>
                <w:color w:val="000000"/>
                <w:sz w:val="18"/>
                <w:szCs w:val="18"/>
                <w:lang w:val="es-CO" w:eastAsia="es-CO"/>
              </w:rPr>
              <w:t>No Cumplimiento d</w:t>
            </w:r>
            <w:r w:rsidR="00360E6B" w:rsidRPr="00FE231E">
              <w:rPr>
                <w:rFonts w:eastAsia="Times New Roman" w:cs="Arial"/>
                <w:color w:val="000000"/>
                <w:sz w:val="18"/>
                <w:szCs w:val="18"/>
                <w:lang w:val="es-CO" w:eastAsia="es-CO"/>
              </w:rPr>
              <w:t>e Requisitos</w:t>
            </w:r>
          </w:p>
        </w:tc>
      </w:tr>
      <w:tr w:rsidR="002D2D91" w:rsidRPr="00360E6B" w:rsidTr="00FE231E">
        <w:trPr>
          <w:trHeight w:val="20"/>
          <w:jc w:val="center"/>
        </w:trPr>
        <w:tc>
          <w:tcPr>
            <w:tcW w:w="0" w:type="auto"/>
            <w:vMerge/>
            <w:vAlign w:val="center"/>
            <w:hideMark/>
          </w:tcPr>
          <w:p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Pensión</w:t>
            </w:r>
          </w:p>
        </w:tc>
      </w:tr>
      <w:tr w:rsidR="002D2D91" w:rsidRPr="00360E6B" w:rsidTr="00FE231E">
        <w:trPr>
          <w:trHeight w:val="20"/>
          <w:jc w:val="center"/>
        </w:trPr>
        <w:tc>
          <w:tcPr>
            <w:tcW w:w="0" w:type="auto"/>
            <w:vMerge/>
            <w:vAlign w:val="center"/>
            <w:hideMark/>
          </w:tcPr>
          <w:p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Renta</w:t>
            </w:r>
          </w:p>
        </w:tc>
      </w:tr>
      <w:tr w:rsidR="002D2D91" w:rsidRPr="00360E6B" w:rsidTr="00FE231E">
        <w:trPr>
          <w:trHeight w:val="20"/>
          <w:jc w:val="center"/>
        </w:trPr>
        <w:tc>
          <w:tcPr>
            <w:tcW w:w="0" w:type="auto"/>
            <w:vMerge w:val="restart"/>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Quindío                                 </w:t>
            </w: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rsidR="002D2D91" w:rsidRPr="00FE231E" w:rsidRDefault="00FE231E" w:rsidP="00FE231E">
            <w:pPr>
              <w:spacing w:after="0" w:line="240" w:lineRule="auto"/>
              <w:rPr>
                <w:rFonts w:eastAsia="Times New Roman" w:cs="Arial"/>
                <w:color w:val="000000"/>
                <w:sz w:val="18"/>
                <w:szCs w:val="18"/>
                <w:lang w:val="es-CO" w:eastAsia="es-CO"/>
              </w:rPr>
            </w:pPr>
            <w:r>
              <w:rPr>
                <w:rFonts w:eastAsia="Times New Roman" w:cs="Arial"/>
                <w:color w:val="000000"/>
                <w:sz w:val="18"/>
                <w:szCs w:val="18"/>
                <w:lang w:val="es-CO" w:eastAsia="es-CO"/>
              </w:rPr>
              <w:t>No Cumplimiento d</w:t>
            </w:r>
            <w:r w:rsidR="00360E6B" w:rsidRPr="00FE231E">
              <w:rPr>
                <w:rFonts w:eastAsia="Times New Roman" w:cs="Arial"/>
                <w:color w:val="000000"/>
                <w:sz w:val="18"/>
                <w:szCs w:val="18"/>
                <w:lang w:val="es-CO" w:eastAsia="es-CO"/>
              </w:rPr>
              <w:t>e Requisitos</w:t>
            </w:r>
          </w:p>
        </w:tc>
      </w:tr>
      <w:tr w:rsidR="002D2D91" w:rsidRPr="00360E6B" w:rsidTr="00FE231E">
        <w:trPr>
          <w:trHeight w:val="20"/>
          <w:jc w:val="center"/>
        </w:trPr>
        <w:tc>
          <w:tcPr>
            <w:tcW w:w="0" w:type="auto"/>
            <w:vMerge/>
            <w:vAlign w:val="center"/>
            <w:hideMark/>
          </w:tcPr>
          <w:p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Renta</w:t>
            </w:r>
          </w:p>
        </w:tc>
      </w:tr>
      <w:tr w:rsidR="002D2D91" w:rsidRPr="00360E6B" w:rsidTr="00FE231E">
        <w:trPr>
          <w:trHeight w:val="20"/>
          <w:jc w:val="center"/>
        </w:trPr>
        <w:tc>
          <w:tcPr>
            <w:tcW w:w="0" w:type="auto"/>
            <w:vMerge w:val="restart"/>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Risaralda                               </w:t>
            </w: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Bloqueo </w:t>
            </w:r>
            <w:r w:rsidR="00FE231E">
              <w:rPr>
                <w:rFonts w:eastAsia="Times New Roman" w:cs="Arial"/>
                <w:color w:val="000000"/>
                <w:sz w:val="18"/>
                <w:szCs w:val="18"/>
                <w:lang w:val="es-CO" w:eastAsia="es-CO"/>
              </w:rPr>
              <w:t>p</w:t>
            </w:r>
            <w:r w:rsidRPr="00FE231E">
              <w:rPr>
                <w:rFonts w:eastAsia="Times New Roman" w:cs="Arial"/>
                <w:color w:val="000000"/>
                <w:sz w:val="18"/>
                <w:szCs w:val="18"/>
                <w:lang w:val="es-CO" w:eastAsia="es-CO"/>
              </w:rPr>
              <w:t>or No Cobro</w:t>
            </w:r>
          </w:p>
        </w:tc>
      </w:tr>
      <w:tr w:rsidR="002D2D91" w:rsidRPr="00360E6B" w:rsidTr="00FE231E">
        <w:trPr>
          <w:trHeight w:val="20"/>
          <w:jc w:val="center"/>
        </w:trPr>
        <w:tc>
          <w:tcPr>
            <w:tcW w:w="0" w:type="auto"/>
            <w:vMerge/>
            <w:vAlign w:val="center"/>
            <w:hideMark/>
          </w:tcPr>
          <w:p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rsidR="002D2D91" w:rsidRPr="00FE231E" w:rsidRDefault="00FE231E" w:rsidP="00FE231E">
            <w:pPr>
              <w:spacing w:after="0" w:line="240" w:lineRule="auto"/>
              <w:rPr>
                <w:rFonts w:eastAsia="Times New Roman" w:cs="Arial"/>
                <w:color w:val="000000"/>
                <w:sz w:val="18"/>
                <w:szCs w:val="18"/>
                <w:lang w:val="es-CO" w:eastAsia="es-CO"/>
              </w:rPr>
            </w:pPr>
            <w:r>
              <w:rPr>
                <w:rFonts w:eastAsia="Times New Roman" w:cs="Arial"/>
                <w:color w:val="000000"/>
                <w:sz w:val="18"/>
                <w:szCs w:val="18"/>
                <w:lang w:val="es-CO" w:eastAsia="es-CO"/>
              </w:rPr>
              <w:t>No Cumplimiento d</w:t>
            </w:r>
            <w:r w:rsidR="00360E6B" w:rsidRPr="00FE231E">
              <w:rPr>
                <w:rFonts w:eastAsia="Times New Roman" w:cs="Arial"/>
                <w:color w:val="000000"/>
                <w:sz w:val="18"/>
                <w:szCs w:val="18"/>
                <w:lang w:val="es-CO" w:eastAsia="es-CO"/>
              </w:rPr>
              <w:t>e Requisitos</w:t>
            </w:r>
          </w:p>
        </w:tc>
      </w:tr>
      <w:tr w:rsidR="002D2D91" w:rsidRPr="00360E6B" w:rsidTr="00FE231E">
        <w:trPr>
          <w:trHeight w:val="20"/>
          <w:jc w:val="center"/>
        </w:trPr>
        <w:tc>
          <w:tcPr>
            <w:tcW w:w="0" w:type="auto"/>
            <w:vMerge/>
            <w:vAlign w:val="center"/>
            <w:hideMark/>
          </w:tcPr>
          <w:p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Posibles Fallecidos</w:t>
            </w:r>
          </w:p>
        </w:tc>
      </w:tr>
      <w:tr w:rsidR="002D2D91" w:rsidRPr="00360E6B" w:rsidTr="00FE231E">
        <w:trPr>
          <w:trHeight w:val="20"/>
          <w:jc w:val="center"/>
        </w:trPr>
        <w:tc>
          <w:tcPr>
            <w:tcW w:w="0" w:type="auto"/>
            <w:vMerge w:val="restart"/>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Santander                               </w:t>
            </w: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No Cumplimi</w:t>
            </w:r>
            <w:r w:rsidR="00FE231E">
              <w:rPr>
                <w:rFonts w:eastAsia="Times New Roman" w:cs="Arial"/>
                <w:color w:val="000000"/>
                <w:sz w:val="18"/>
                <w:szCs w:val="18"/>
                <w:lang w:val="es-CO" w:eastAsia="es-CO"/>
              </w:rPr>
              <w:t>ento d</w:t>
            </w:r>
            <w:r w:rsidRPr="00FE231E">
              <w:rPr>
                <w:rFonts w:eastAsia="Times New Roman" w:cs="Arial"/>
                <w:color w:val="000000"/>
                <w:sz w:val="18"/>
                <w:szCs w:val="18"/>
                <w:lang w:val="es-CO" w:eastAsia="es-CO"/>
              </w:rPr>
              <w:t>e Requisitos</w:t>
            </w:r>
          </w:p>
        </w:tc>
      </w:tr>
      <w:tr w:rsidR="002D2D91" w:rsidRPr="00360E6B" w:rsidTr="00FE231E">
        <w:trPr>
          <w:trHeight w:val="20"/>
          <w:jc w:val="center"/>
        </w:trPr>
        <w:tc>
          <w:tcPr>
            <w:tcW w:w="0" w:type="auto"/>
            <w:vMerge/>
            <w:vAlign w:val="center"/>
            <w:hideMark/>
          </w:tcPr>
          <w:p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Renta</w:t>
            </w:r>
          </w:p>
        </w:tc>
      </w:tr>
      <w:tr w:rsidR="002D2D91" w:rsidRPr="00360E6B" w:rsidTr="00FE231E">
        <w:trPr>
          <w:trHeight w:val="20"/>
          <w:jc w:val="center"/>
        </w:trPr>
        <w:tc>
          <w:tcPr>
            <w:tcW w:w="0" w:type="auto"/>
            <w:vMerge w:val="restart"/>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Sucre                                   </w:t>
            </w: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Pensión</w:t>
            </w:r>
          </w:p>
        </w:tc>
      </w:tr>
      <w:tr w:rsidR="002D2D91" w:rsidRPr="00360E6B" w:rsidTr="00FE231E">
        <w:trPr>
          <w:trHeight w:val="20"/>
          <w:jc w:val="center"/>
        </w:trPr>
        <w:tc>
          <w:tcPr>
            <w:tcW w:w="0" w:type="auto"/>
            <w:vMerge/>
            <w:vAlign w:val="center"/>
            <w:hideMark/>
          </w:tcPr>
          <w:p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Posibles Fallecidos</w:t>
            </w:r>
          </w:p>
        </w:tc>
      </w:tr>
      <w:tr w:rsidR="002D2D91" w:rsidRPr="00360E6B" w:rsidTr="00FE231E">
        <w:trPr>
          <w:trHeight w:val="20"/>
          <w:jc w:val="center"/>
        </w:trPr>
        <w:tc>
          <w:tcPr>
            <w:tcW w:w="0" w:type="auto"/>
            <w:vMerge/>
            <w:vAlign w:val="center"/>
            <w:hideMark/>
          </w:tcPr>
          <w:p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Registraduría</w:t>
            </w:r>
          </w:p>
        </w:tc>
      </w:tr>
      <w:tr w:rsidR="002D2D91" w:rsidRPr="00360E6B" w:rsidTr="00FE231E">
        <w:trPr>
          <w:trHeight w:val="20"/>
          <w:jc w:val="center"/>
        </w:trPr>
        <w:tc>
          <w:tcPr>
            <w:tcW w:w="0" w:type="auto"/>
            <w:vMerge/>
            <w:vAlign w:val="center"/>
            <w:hideMark/>
          </w:tcPr>
          <w:p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Renta</w:t>
            </w:r>
          </w:p>
        </w:tc>
      </w:tr>
      <w:tr w:rsidR="002D2D91" w:rsidRPr="00360E6B" w:rsidTr="00FE231E">
        <w:trPr>
          <w:trHeight w:val="20"/>
          <w:jc w:val="center"/>
        </w:trPr>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lastRenderedPageBreak/>
              <w:t xml:space="preserve">Tolima                                  </w:t>
            </w: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Renta</w:t>
            </w:r>
          </w:p>
        </w:tc>
      </w:tr>
      <w:tr w:rsidR="002D2D91" w:rsidRPr="00360E6B" w:rsidTr="00FE231E">
        <w:trPr>
          <w:trHeight w:val="20"/>
          <w:jc w:val="center"/>
        </w:trPr>
        <w:tc>
          <w:tcPr>
            <w:tcW w:w="0" w:type="auto"/>
            <w:vMerge w:val="restart"/>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 xml:space="preserve">Valle Del Cauca                         </w:t>
            </w: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Bloqueo Por No Cobro</w:t>
            </w:r>
          </w:p>
        </w:tc>
      </w:tr>
      <w:tr w:rsidR="002D2D91" w:rsidRPr="00360E6B" w:rsidTr="00FE231E">
        <w:trPr>
          <w:trHeight w:val="20"/>
          <w:jc w:val="center"/>
        </w:trPr>
        <w:tc>
          <w:tcPr>
            <w:tcW w:w="0" w:type="auto"/>
            <w:vMerge/>
            <w:vAlign w:val="center"/>
            <w:hideMark/>
          </w:tcPr>
          <w:p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Pensión</w:t>
            </w:r>
          </w:p>
        </w:tc>
      </w:tr>
      <w:tr w:rsidR="002D2D91" w:rsidRPr="00360E6B" w:rsidTr="00FE231E">
        <w:trPr>
          <w:trHeight w:val="20"/>
          <w:jc w:val="center"/>
        </w:trPr>
        <w:tc>
          <w:tcPr>
            <w:tcW w:w="0" w:type="auto"/>
            <w:vMerge/>
            <w:vAlign w:val="center"/>
            <w:hideMark/>
          </w:tcPr>
          <w:p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1</w:t>
            </w:r>
          </w:p>
        </w:tc>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Registraduría</w:t>
            </w:r>
          </w:p>
        </w:tc>
      </w:tr>
      <w:tr w:rsidR="002D2D91" w:rsidRPr="00360E6B" w:rsidTr="00FE231E">
        <w:trPr>
          <w:trHeight w:val="20"/>
          <w:jc w:val="center"/>
        </w:trPr>
        <w:tc>
          <w:tcPr>
            <w:tcW w:w="0" w:type="auto"/>
            <w:vMerge/>
            <w:vAlign w:val="center"/>
            <w:hideMark/>
          </w:tcPr>
          <w:p w:rsidR="002D2D91" w:rsidRPr="00FE231E" w:rsidRDefault="002D2D91" w:rsidP="00FE231E">
            <w:pPr>
              <w:spacing w:after="0" w:line="240" w:lineRule="auto"/>
              <w:rPr>
                <w:rFonts w:eastAsia="Times New Roman" w:cs="Arial"/>
                <w:color w:val="000000"/>
                <w:sz w:val="18"/>
                <w:szCs w:val="18"/>
                <w:lang w:val="es-CO" w:eastAsia="es-CO"/>
              </w:rPr>
            </w:pPr>
          </w:p>
        </w:tc>
        <w:tc>
          <w:tcPr>
            <w:tcW w:w="0" w:type="auto"/>
            <w:noWrap/>
            <w:vAlign w:val="center"/>
            <w:hideMark/>
          </w:tcPr>
          <w:p w:rsidR="002D2D91" w:rsidRPr="00FE231E" w:rsidRDefault="00360E6B" w:rsidP="00FE231E">
            <w:pPr>
              <w:spacing w:after="0" w:line="240" w:lineRule="auto"/>
              <w:jc w:val="center"/>
              <w:rPr>
                <w:rFonts w:eastAsia="Times New Roman" w:cs="Arial"/>
                <w:color w:val="000000"/>
                <w:sz w:val="18"/>
                <w:szCs w:val="18"/>
                <w:lang w:val="es-CO" w:eastAsia="es-CO"/>
              </w:rPr>
            </w:pPr>
            <w:r w:rsidRPr="00FE231E">
              <w:rPr>
                <w:rFonts w:eastAsia="Times New Roman" w:cs="Arial"/>
                <w:color w:val="000000"/>
                <w:sz w:val="18"/>
                <w:szCs w:val="18"/>
                <w:lang w:val="es-CO" w:eastAsia="es-CO"/>
              </w:rPr>
              <w:t>3</w:t>
            </w:r>
          </w:p>
        </w:tc>
        <w:tc>
          <w:tcPr>
            <w:tcW w:w="0" w:type="auto"/>
            <w:noWrap/>
            <w:vAlign w:val="center"/>
            <w:hideMark/>
          </w:tcPr>
          <w:p w:rsidR="002D2D91" w:rsidRPr="00FE231E" w:rsidRDefault="00360E6B" w:rsidP="00FE231E">
            <w:pPr>
              <w:spacing w:after="0" w:line="240" w:lineRule="auto"/>
              <w:rPr>
                <w:rFonts w:eastAsia="Times New Roman" w:cs="Arial"/>
                <w:color w:val="000000"/>
                <w:sz w:val="18"/>
                <w:szCs w:val="18"/>
                <w:lang w:val="es-CO" w:eastAsia="es-CO"/>
              </w:rPr>
            </w:pPr>
            <w:r w:rsidRPr="00FE231E">
              <w:rPr>
                <w:rFonts w:eastAsia="Times New Roman" w:cs="Arial"/>
                <w:color w:val="000000"/>
                <w:sz w:val="18"/>
                <w:szCs w:val="18"/>
                <w:lang w:val="es-CO" w:eastAsia="es-CO"/>
              </w:rPr>
              <w:t>Renta</w:t>
            </w:r>
          </w:p>
        </w:tc>
      </w:tr>
      <w:tr w:rsidR="002D2D91" w:rsidRPr="00360E6B" w:rsidTr="00FE231E">
        <w:trPr>
          <w:trHeight w:val="20"/>
          <w:jc w:val="center"/>
        </w:trPr>
        <w:tc>
          <w:tcPr>
            <w:tcW w:w="0" w:type="auto"/>
            <w:shd w:val="clear" w:color="auto" w:fill="E2EFDA"/>
            <w:noWrap/>
            <w:vAlign w:val="center"/>
            <w:hideMark/>
          </w:tcPr>
          <w:p w:rsidR="002D2D91" w:rsidRPr="00FE231E" w:rsidRDefault="00360E6B" w:rsidP="00FE231E">
            <w:pPr>
              <w:spacing w:after="0" w:line="240" w:lineRule="auto"/>
              <w:jc w:val="center"/>
              <w:rPr>
                <w:rFonts w:eastAsia="Times New Roman" w:cs="Arial"/>
                <w:b/>
                <w:color w:val="000000"/>
                <w:sz w:val="18"/>
                <w:szCs w:val="18"/>
                <w:lang w:val="es-CO" w:eastAsia="es-CO"/>
              </w:rPr>
            </w:pPr>
            <w:r w:rsidRPr="00FE231E">
              <w:rPr>
                <w:rFonts w:eastAsia="Times New Roman" w:cs="Arial"/>
                <w:b/>
                <w:color w:val="000000"/>
                <w:sz w:val="18"/>
                <w:szCs w:val="18"/>
                <w:lang w:val="es-CO" w:eastAsia="es-CO"/>
              </w:rPr>
              <w:t>Total</w:t>
            </w:r>
          </w:p>
        </w:tc>
        <w:tc>
          <w:tcPr>
            <w:tcW w:w="0" w:type="auto"/>
            <w:shd w:val="clear" w:color="auto" w:fill="E2EFDA"/>
            <w:noWrap/>
            <w:vAlign w:val="center"/>
            <w:hideMark/>
          </w:tcPr>
          <w:p w:rsidR="002D2D91" w:rsidRPr="00FE231E" w:rsidRDefault="00360E6B" w:rsidP="00FE231E">
            <w:pPr>
              <w:spacing w:after="0" w:line="240" w:lineRule="auto"/>
              <w:jc w:val="center"/>
              <w:rPr>
                <w:rFonts w:eastAsia="Times New Roman" w:cs="Arial"/>
                <w:b/>
                <w:color w:val="000000"/>
                <w:sz w:val="18"/>
                <w:szCs w:val="18"/>
                <w:lang w:val="es-CO" w:eastAsia="es-CO"/>
              </w:rPr>
            </w:pPr>
            <w:r w:rsidRPr="00FE231E">
              <w:rPr>
                <w:rFonts w:eastAsia="Times New Roman" w:cs="Arial"/>
                <w:b/>
                <w:color w:val="000000"/>
                <w:sz w:val="18"/>
                <w:szCs w:val="18"/>
                <w:lang w:val="es-CO" w:eastAsia="es-CO"/>
              </w:rPr>
              <w:t>63</w:t>
            </w:r>
          </w:p>
        </w:tc>
        <w:tc>
          <w:tcPr>
            <w:tcW w:w="0" w:type="auto"/>
            <w:shd w:val="clear" w:color="auto" w:fill="E2EFDA"/>
            <w:noWrap/>
            <w:vAlign w:val="center"/>
            <w:hideMark/>
          </w:tcPr>
          <w:p w:rsidR="002D2D91" w:rsidRPr="00FE231E" w:rsidRDefault="002D2D91" w:rsidP="00FE231E">
            <w:pPr>
              <w:spacing w:after="0" w:line="240" w:lineRule="auto"/>
              <w:jc w:val="center"/>
              <w:rPr>
                <w:rFonts w:eastAsia="Times New Roman" w:cs="Arial"/>
                <w:b/>
                <w:color w:val="000000"/>
                <w:sz w:val="18"/>
                <w:szCs w:val="18"/>
                <w:lang w:val="es-CO" w:eastAsia="es-CO"/>
              </w:rPr>
            </w:pPr>
          </w:p>
        </w:tc>
      </w:tr>
    </w:tbl>
    <w:p w:rsidR="002D2D91" w:rsidRPr="004005A3" w:rsidRDefault="002D2D91" w:rsidP="004005A3">
      <w:pPr>
        <w:jc w:val="center"/>
        <w:rPr>
          <w:rFonts w:cs="Arial"/>
          <w:sz w:val="16"/>
          <w:szCs w:val="16"/>
        </w:rPr>
      </w:pPr>
      <w:r w:rsidRPr="004005A3">
        <w:rPr>
          <w:rFonts w:cs="Arial"/>
          <w:sz w:val="16"/>
          <w:szCs w:val="16"/>
        </w:rPr>
        <w:t>Fuente: Subdirección de operación para la atención a la Primera Infancia, corte 31 de diciembre de 2017</w:t>
      </w:r>
    </w:p>
    <w:p w:rsidR="002D2D91" w:rsidRPr="007608C2" w:rsidRDefault="002D2D91" w:rsidP="002D2D91">
      <w:pPr>
        <w:jc w:val="both"/>
        <w:rPr>
          <w:rFonts w:cs="Arial"/>
        </w:rPr>
      </w:pPr>
      <w:r w:rsidRPr="007608C2">
        <w:rPr>
          <w:rFonts w:cs="Arial"/>
          <w:u w:val="single"/>
        </w:rPr>
        <w:t>Decreto 2487 de 2014</w:t>
      </w:r>
      <w:r w:rsidRPr="004005A3">
        <w:rPr>
          <w:rFonts w:cs="Arial"/>
        </w:rPr>
        <w:t xml:space="preserve">: </w:t>
      </w:r>
      <w:r w:rsidRPr="007608C2">
        <w:rPr>
          <w:rFonts w:cs="Arial"/>
        </w:rPr>
        <w:t>Este Decreto busca el acceso directo al régimen subsidiado de salud de las ex madres comunitarias beneficiarias del subsidio anteriormente mencionado, sin embargo, a pesar de realizar mesas de trabajo con el Ministerio de Salud no ha sido posible la implementación del mismo, por eso el reto del año 2018 es lograr a través de una articulación interinstitucional, que aquellas Ex madres comunitarias que así lo deseen puedan acceder a dicho beneficio.</w:t>
      </w:r>
    </w:p>
    <w:p w:rsidR="002D2D91" w:rsidRPr="007608C2" w:rsidRDefault="002D2D91" w:rsidP="002D2D91">
      <w:pPr>
        <w:jc w:val="both"/>
        <w:rPr>
          <w:rFonts w:cs="Arial"/>
        </w:rPr>
      </w:pPr>
      <w:r w:rsidRPr="007608C2">
        <w:rPr>
          <w:rFonts w:cs="Arial"/>
          <w:u w:val="single"/>
        </w:rPr>
        <w:t>Cálculo actuaria</w:t>
      </w:r>
      <w:r w:rsidRPr="004005A3">
        <w:rPr>
          <w:rFonts w:cs="Arial"/>
          <w:u w:val="single"/>
        </w:rPr>
        <w:t>l</w:t>
      </w:r>
      <w:r w:rsidRPr="004005A3">
        <w:rPr>
          <w:rFonts w:cs="Arial"/>
        </w:rPr>
        <w:t xml:space="preserve">: </w:t>
      </w:r>
      <w:r w:rsidRPr="007608C2">
        <w:rPr>
          <w:rFonts w:cs="Arial"/>
        </w:rPr>
        <w:t xml:space="preserve">Desde el equipo la Modalidad Comunitaria se han realizado mesas de trabajo con COLPENSIONES para dar cumplimiento a lo establecido en el artículo 213 de la Ley 1753 de 2015. En ese sentido se dispuso por parte de Colpensiones una plataforma tecnológica que realiza una única certificación con código de barras para las Madres Comunitarias Potenciales Beneficiarias del Cálculo Actuarial. </w:t>
      </w:r>
    </w:p>
    <w:p w:rsidR="002D2D91" w:rsidRDefault="002D2D91" w:rsidP="002D2D91">
      <w:pPr>
        <w:jc w:val="both"/>
        <w:rPr>
          <w:rFonts w:cs="Arial"/>
        </w:rPr>
      </w:pPr>
      <w:r w:rsidRPr="007608C2">
        <w:rPr>
          <w:rFonts w:cs="Arial"/>
        </w:rPr>
        <w:t>El reto para el año 2018, es poder certificar alrededor de 400 Madres Comunitarias para que inicien el trámite de pensión por vejez ante el Fondo de Pensiones correspondiente.</w:t>
      </w:r>
    </w:p>
    <w:p w:rsidR="004005A3" w:rsidRPr="007608C2" w:rsidRDefault="004005A3" w:rsidP="004005A3">
      <w:pPr>
        <w:spacing w:after="0"/>
        <w:jc w:val="both"/>
        <w:rPr>
          <w:rFonts w:cs="Arial"/>
        </w:rPr>
      </w:pPr>
    </w:p>
    <w:p w:rsidR="002D2D91" w:rsidRDefault="000E0283" w:rsidP="00A44A2B">
      <w:pPr>
        <w:pStyle w:val="Ttulo2"/>
        <w:numPr>
          <w:ilvl w:val="2"/>
          <w:numId w:val="60"/>
        </w:numPr>
        <w:rPr>
          <w:rFonts w:cs="Arial"/>
          <w:b/>
        </w:rPr>
      </w:pPr>
      <w:hyperlink w:anchor="_Toc478635851" w:history="1">
        <w:bookmarkStart w:id="34" w:name="_Toc504459732"/>
        <w:bookmarkStart w:id="35" w:name="_Toc505183041"/>
        <w:r w:rsidR="002D2D91" w:rsidRPr="007608C2">
          <w:rPr>
            <w:rFonts w:cs="Arial"/>
            <w:b/>
          </w:rPr>
          <w:t>LOGROS 2017</w:t>
        </w:r>
        <w:bookmarkEnd w:id="34"/>
        <w:bookmarkEnd w:id="35"/>
      </w:hyperlink>
    </w:p>
    <w:p w:rsidR="004005A3" w:rsidRPr="004005A3" w:rsidRDefault="004005A3" w:rsidP="009F1189">
      <w:pPr>
        <w:spacing w:after="0"/>
      </w:pPr>
    </w:p>
    <w:p w:rsidR="002D2D91" w:rsidRPr="007608C2" w:rsidRDefault="002D2D91" w:rsidP="002D2D91">
      <w:pPr>
        <w:jc w:val="both"/>
        <w:rPr>
          <w:rFonts w:cs="Arial"/>
        </w:rPr>
      </w:pPr>
      <w:r w:rsidRPr="007608C2">
        <w:rPr>
          <w:rFonts w:cs="Arial"/>
        </w:rPr>
        <w:t>Durante la vigencia 2017, la Dirección de Primera Infancia, logró garantizar la atención integral y tradicional a un total de 1.967.294 niñas y niños mediante el marco de la política pública de cero a siempre, con estrategias de mejora en la calidad de la atención y fortalecimiento de la gestión (con corte de 31 de diciembre de 2017, Fuente: Metas Sociales y Financieras - Preliminar). A continuación, se encuentran los principales logros obtenidos:</w:t>
      </w:r>
    </w:p>
    <w:p w:rsidR="002D2D91" w:rsidRPr="007608C2" w:rsidRDefault="002D2D91" w:rsidP="00A44A2B">
      <w:pPr>
        <w:pStyle w:val="Prrafodelista"/>
        <w:numPr>
          <w:ilvl w:val="0"/>
          <w:numId w:val="72"/>
        </w:numPr>
        <w:jc w:val="both"/>
        <w:rPr>
          <w:rFonts w:cs="Arial"/>
        </w:rPr>
      </w:pPr>
      <w:r w:rsidRPr="007608C2">
        <w:rPr>
          <w:rFonts w:cs="Arial"/>
        </w:rPr>
        <w:t xml:space="preserve">Con el propósito de hacer seguimiento, promover y garantizar que los recursos de las niñas y los niños se ejecuten de manera adecuada, la Dirección de Primera Infancia diseñó en la vigencia 2017 los lineamientos para la realización de los ejercicios de participación social, logrando </w:t>
      </w:r>
      <w:r w:rsidRPr="007608C2">
        <w:rPr>
          <w:rFonts w:cs="Arial"/>
          <w:b/>
          <w:i/>
        </w:rPr>
        <w:t>ejercer control social a programas de Primera Infancia.</w:t>
      </w:r>
    </w:p>
    <w:p w:rsidR="002D2D91" w:rsidRPr="007608C2" w:rsidRDefault="002D2D91" w:rsidP="002D2D91">
      <w:pPr>
        <w:pStyle w:val="Prrafodelista"/>
        <w:ind w:left="360"/>
        <w:jc w:val="both"/>
        <w:rPr>
          <w:rFonts w:cs="Arial"/>
        </w:rPr>
      </w:pPr>
      <w:r w:rsidRPr="007608C2">
        <w:rPr>
          <w:rFonts w:cs="Arial"/>
        </w:rPr>
        <w:t xml:space="preserve">El logro se reflejó en el seguimiento y monitoreo a las regionales para la realización de 2.265 jornadas de participación ciudadana realizados por las EAS, en las cuales fue posible detectar anomalías, proponer correctivos y generar nuevos espacios para la promoción, prevención y mejoramiento del servicio público del ICBF, lo que incidirá de manera contundente en la calidad de la atención de la Primera Infancia del país. </w:t>
      </w:r>
    </w:p>
    <w:p w:rsidR="002D2D91" w:rsidRPr="007608C2" w:rsidRDefault="002D2D91" w:rsidP="00A44A2B">
      <w:pPr>
        <w:pStyle w:val="Prrafodelista"/>
        <w:numPr>
          <w:ilvl w:val="0"/>
          <w:numId w:val="72"/>
        </w:numPr>
        <w:jc w:val="both"/>
        <w:rPr>
          <w:rFonts w:cs="Arial"/>
        </w:rPr>
      </w:pPr>
      <w:r w:rsidRPr="007608C2">
        <w:rPr>
          <w:rFonts w:cs="Arial"/>
        </w:rPr>
        <w:lastRenderedPageBreak/>
        <w:t xml:space="preserve">Para la vigencia 2017 se desarrolló en el departamento de La Guajira un "Plan de Intervención" a los programas que brindan atención a niñas y niños entre cero y 6 años, </w:t>
      </w:r>
      <w:r w:rsidRPr="007608C2">
        <w:rPr>
          <w:rFonts w:cs="Arial"/>
          <w:b/>
        </w:rPr>
        <w:t>garantizando un servicio oportuno, eficiente y de calidad; mediante acciones de acompañamiento en La Guajira</w:t>
      </w:r>
      <w:r w:rsidRPr="007608C2">
        <w:rPr>
          <w:rFonts w:cs="Arial"/>
        </w:rPr>
        <w:t xml:space="preserve"> a comités operativos por el centro zonal para apoyar el proceso de supervisión y la creación de espacios de trabajo interno con el equipo de la regional, para unificar criterios frente a temas financieros, sistema de información Cuéntame y el esquema de apoyo a la supervisión para definir compromisos en cada tema para un seguimiento en conjunto. </w:t>
      </w:r>
    </w:p>
    <w:p w:rsidR="002D2D91" w:rsidRPr="007608C2" w:rsidRDefault="002D2D91" w:rsidP="002D2D91">
      <w:pPr>
        <w:pStyle w:val="Prrafodelista"/>
        <w:ind w:left="360"/>
        <w:jc w:val="both"/>
        <w:rPr>
          <w:rFonts w:cs="Arial"/>
        </w:rPr>
      </w:pPr>
      <w:r w:rsidRPr="007608C2">
        <w:rPr>
          <w:rFonts w:cs="Arial"/>
        </w:rPr>
        <w:t>Dentro de los avances obtenidos, se implementó y socializó la modalidad propia e intercultural en la alta Guajira, para favorecer la apropiación del servicio por parte de las comunidades, líderes, autoridades y usuarios favoreciendo el control social y la corresponsabilidad en la atención integral. De esta manera, y con las oportunidades de mejora identificadas en cada intervención, se acordaron actividades complementarias que permitieron continuar impulsando una gestión robustecida del ICBF en territorio que redunda en un mejor servicio para las niñas y niños Wayuu y sus familias.</w:t>
      </w:r>
    </w:p>
    <w:p w:rsidR="002D2D91" w:rsidRPr="007608C2" w:rsidRDefault="002D2D91" w:rsidP="00A44A2B">
      <w:pPr>
        <w:pStyle w:val="Prrafodelista"/>
        <w:numPr>
          <w:ilvl w:val="0"/>
          <w:numId w:val="72"/>
        </w:numPr>
        <w:jc w:val="both"/>
        <w:rPr>
          <w:rFonts w:cs="Arial"/>
        </w:rPr>
      </w:pPr>
      <w:r w:rsidRPr="007608C2">
        <w:rPr>
          <w:rFonts w:cs="Arial"/>
        </w:rPr>
        <w:t xml:space="preserve">Con el fin de generar espacios de participación, retroalimentación y de discusión para la identificación de oportunidades de mejora y fortalezas que permitan continuar con la construcción e </w:t>
      </w:r>
      <w:r w:rsidRPr="007608C2">
        <w:rPr>
          <w:rFonts w:cs="Arial"/>
          <w:b/>
        </w:rPr>
        <w:t>implementación de la Modalidad Propia e Intercultural</w:t>
      </w:r>
      <w:r w:rsidRPr="007608C2">
        <w:rPr>
          <w:rFonts w:cs="Arial"/>
        </w:rPr>
        <w:t>, la Dirección de Primera Infancia, lideró el primer taller de Cero a Siempre con enfoque de diversidad, avanzando hacia una atención integral con enfoque diferencial.</w:t>
      </w:r>
    </w:p>
    <w:p w:rsidR="002D2D91" w:rsidRPr="007608C2" w:rsidRDefault="002D2D91" w:rsidP="002D2D91">
      <w:pPr>
        <w:pStyle w:val="Prrafodelista"/>
        <w:ind w:left="360"/>
        <w:jc w:val="both"/>
        <w:rPr>
          <w:rFonts w:cs="Arial"/>
        </w:rPr>
      </w:pPr>
      <w:r w:rsidRPr="007608C2">
        <w:rPr>
          <w:rFonts w:cs="Arial"/>
        </w:rPr>
        <w:t xml:space="preserve">Una vez implementado el proyecto piloto en el 2016, en la vigencia 2017 se decidió ampliar la cobertura de la modalidad propia a 11 nuevos departamentos incluidos Bolívar, Chocó, Cauca, Meta y San Andrés. Se trabajó con más de 10 comunidades indígenas con un total de </w:t>
      </w:r>
      <w:r w:rsidR="00575D7E" w:rsidRPr="00E728ED">
        <w:rPr>
          <w:rFonts w:cs="Arial"/>
        </w:rPr>
        <w:t>74.165</w:t>
      </w:r>
      <w:r w:rsidR="00575D7E" w:rsidRPr="007608C2">
        <w:rPr>
          <w:rFonts w:cs="Arial"/>
        </w:rPr>
        <w:t xml:space="preserve"> </w:t>
      </w:r>
      <w:r w:rsidRPr="007608C2">
        <w:rPr>
          <w:rFonts w:cs="Arial"/>
        </w:rPr>
        <w:t>niñas y niños, con una inversión de más de $134 mil millones de pesos (</w:t>
      </w:r>
      <w:r w:rsidRPr="007608C2">
        <w:rPr>
          <w:rFonts w:cs="Arial"/>
          <w:i/>
        </w:rPr>
        <w:t>con corte de 31 de diciembre de 2017, fuente: Metas Sociales y Financieras - Preliminar</w:t>
      </w:r>
      <w:r w:rsidRPr="007608C2">
        <w:rPr>
          <w:rFonts w:cs="Arial"/>
        </w:rPr>
        <w:t xml:space="preserve">) en el seguimiento a la atención para garantizar la pertinencia del servicio. Adicionalmente, se han vinculado al proceso comunidades afro. </w:t>
      </w:r>
    </w:p>
    <w:p w:rsidR="002D2D91" w:rsidRPr="007608C2" w:rsidRDefault="002D2D91" w:rsidP="00A44A2B">
      <w:pPr>
        <w:pStyle w:val="Prrafodelista"/>
        <w:numPr>
          <w:ilvl w:val="0"/>
          <w:numId w:val="72"/>
        </w:numPr>
        <w:jc w:val="both"/>
        <w:rPr>
          <w:rFonts w:cs="Arial"/>
        </w:rPr>
      </w:pPr>
      <w:r w:rsidRPr="007608C2">
        <w:rPr>
          <w:rFonts w:cs="Arial"/>
        </w:rPr>
        <w:t xml:space="preserve">En el desarrollo de los programas académicos de la vigencia 2017, se fortalecieron un total de 15.273 Agentes Educativos en programas de </w:t>
      </w:r>
      <w:r w:rsidRPr="007608C2">
        <w:rPr>
          <w:rFonts w:cs="Arial"/>
          <w:b/>
        </w:rPr>
        <w:t>formación y cualificación</w:t>
      </w:r>
      <w:r w:rsidRPr="007608C2">
        <w:rPr>
          <w:rFonts w:cs="Arial"/>
        </w:rPr>
        <w:t>, así como a 396 Entidades Administradoras del Servicio (EAS) y 433 UDS.</w:t>
      </w:r>
    </w:p>
    <w:p w:rsidR="002D2D91" w:rsidRPr="007608C2" w:rsidRDefault="002D2D91" w:rsidP="002D2D91">
      <w:pPr>
        <w:pStyle w:val="Prrafodelista"/>
        <w:ind w:left="360"/>
        <w:jc w:val="both"/>
        <w:rPr>
          <w:rFonts w:cs="Arial"/>
        </w:rPr>
      </w:pPr>
      <w:r w:rsidRPr="007608C2">
        <w:rPr>
          <w:rFonts w:cs="Arial"/>
        </w:rPr>
        <w:t>47 agentes educativos del distrito de Bogotá y del departamento de Cundinamarca recibieron el título de Especialistas en Desarrollo Integral de la Infancia y la Adolescencia, como resultado del convenio suscrito entre el ICBF y la Corporación Universitaria Iberoamericana.  El ICBF continuará fortaleciendo los procesos de formación para mejorar las habilidades y conocimientos en la atención de los cientos de niñas y niños del país.</w:t>
      </w:r>
    </w:p>
    <w:p w:rsidR="002D2D91" w:rsidRPr="007608C2" w:rsidRDefault="002D2D91" w:rsidP="00A44A2B">
      <w:pPr>
        <w:pStyle w:val="Prrafodelista"/>
        <w:numPr>
          <w:ilvl w:val="0"/>
          <w:numId w:val="72"/>
        </w:numPr>
        <w:jc w:val="both"/>
        <w:rPr>
          <w:rFonts w:cs="Arial"/>
          <w:u w:val="single"/>
        </w:rPr>
      </w:pPr>
      <w:r w:rsidRPr="007608C2">
        <w:rPr>
          <w:rFonts w:cs="Arial"/>
        </w:rPr>
        <w:lastRenderedPageBreak/>
        <w:t xml:space="preserve">Durante esta vigencia se </w:t>
      </w:r>
      <w:r w:rsidRPr="007608C2">
        <w:rPr>
          <w:rFonts w:cs="Arial"/>
          <w:b/>
        </w:rPr>
        <w:t>inició la operación en 16 Centros de Desarrollo Infantil (CDI)</w:t>
      </w:r>
      <w:r w:rsidRPr="007608C2">
        <w:rPr>
          <w:rFonts w:cs="Arial"/>
        </w:rPr>
        <w:t xml:space="preserve"> para la ampliación de cobertura en educación inicial en el marco de la atención integral, a través de las EAS, garantizando la prestación del servicio a la Primera Infancia con componentes de calidad en familia, comunidad y redes; salud y nutrición; proceso pedagógico, talento humano, ambientes educativos y protectores; administración y gestión. </w:t>
      </w:r>
    </w:p>
    <w:p w:rsidR="002D2D91" w:rsidRPr="007608C2" w:rsidRDefault="002D2D91" w:rsidP="00A44A2B">
      <w:pPr>
        <w:pStyle w:val="Prrafodelista"/>
        <w:numPr>
          <w:ilvl w:val="0"/>
          <w:numId w:val="72"/>
        </w:numPr>
        <w:jc w:val="both"/>
        <w:rPr>
          <w:rFonts w:cs="Arial"/>
        </w:rPr>
      </w:pPr>
      <w:r w:rsidRPr="007608C2">
        <w:rPr>
          <w:rFonts w:cs="Arial"/>
        </w:rPr>
        <w:t xml:space="preserve">Como parte de la difusión de los procesos culturales que se llevan a cabo con las comunidades indígenas, desde la unidad de movilización social de la Dirección de Primera Infancia, se apoyó de manera estratégica la realización de eventos hitos como el </w:t>
      </w:r>
      <w:r w:rsidRPr="007608C2">
        <w:rPr>
          <w:rFonts w:cs="Arial"/>
          <w:b/>
        </w:rPr>
        <w:t>lanzamiento de la audioteca “De agua, viento y verdor”</w:t>
      </w:r>
      <w:r w:rsidRPr="007608C2">
        <w:rPr>
          <w:rFonts w:cs="Arial"/>
        </w:rPr>
        <w:t xml:space="preserve"> que rescata los saberes ancestrales y la lengua de las comunidades indígenas de los Totoroez, Nukak, Jiw y Sikiani.</w:t>
      </w:r>
      <w:r w:rsidRPr="007608C2">
        <w:rPr>
          <w:rFonts w:cs="Arial"/>
          <w:u w:val="single"/>
        </w:rPr>
        <w:t xml:space="preserve"> </w:t>
      </w:r>
    </w:p>
    <w:p w:rsidR="002D2D91" w:rsidRPr="007608C2" w:rsidRDefault="002D2D91" w:rsidP="00A44A2B">
      <w:pPr>
        <w:pStyle w:val="Prrafodelista"/>
        <w:numPr>
          <w:ilvl w:val="0"/>
          <w:numId w:val="72"/>
        </w:numPr>
        <w:jc w:val="both"/>
        <w:rPr>
          <w:rFonts w:cs="Arial"/>
        </w:rPr>
      </w:pPr>
      <w:r w:rsidRPr="007608C2">
        <w:rPr>
          <w:rFonts w:cs="Arial"/>
          <w:b/>
        </w:rPr>
        <w:t>BÚHO se creó con el fin de promover entornos protectores desde la primera infancia</w:t>
      </w:r>
      <w:r w:rsidRPr="007608C2">
        <w:rPr>
          <w:rFonts w:cs="Arial"/>
        </w:rPr>
        <w:t>, en donde se divulga contenidos de diferentes temáticas de interés para padres, madres, cuidadores y docentes que les permita obtener respuesta y adoptar herramientas para el acompañamiento y orientación de las niñas, los niños y adolescentes a lo largo de su desarrollo. Su lanzamiento se realizará durante la vigencia 2018.</w:t>
      </w:r>
      <w:r w:rsidRPr="007608C2">
        <w:rPr>
          <w:rFonts w:cs="Arial"/>
          <w:u w:val="single"/>
        </w:rPr>
        <w:t xml:space="preserve"> </w:t>
      </w:r>
    </w:p>
    <w:p w:rsidR="002D2D91" w:rsidRPr="007608C2" w:rsidRDefault="002D2D91" w:rsidP="00A44A2B">
      <w:pPr>
        <w:pStyle w:val="Prrafodelista"/>
        <w:numPr>
          <w:ilvl w:val="0"/>
          <w:numId w:val="72"/>
        </w:numPr>
        <w:jc w:val="both"/>
        <w:rPr>
          <w:rFonts w:cs="Arial"/>
        </w:rPr>
      </w:pPr>
      <w:r w:rsidRPr="007608C2">
        <w:rPr>
          <w:rFonts w:cs="Arial"/>
        </w:rPr>
        <w:t xml:space="preserve">Con el propósito de generar </w:t>
      </w:r>
      <w:r w:rsidRPr="007608C2">
        <w:rPr>
          <w:rFonts w:cs="Arial"/>
          <w:b/>
        </w:rPr>
        <w:t>acciones que mejoren la atención de la población de primera infancia en las cárceles de mujeres del país,</w:t>
      </w:r>
      <w:r w:rsidRPr="007608C2">
        <w:rPr>
          <w:rFonts w:cs="Arial"/>
        </w:rPr>
        <w:t xml:space="preserve"> se llevó a cabo el encuentro académico “Acción de la política: garantía de derechos de la primera infancia en centros de reclusión de mujeres”, en el auditorio del Instituto Nacional Penitenciario y Carcelario, INPEC.</w:t>
      </w:r>
    </w:p>
    <w:p w:rsidR="002D2D91" w:rsidRPr="007608C2" w:rsidRDefault="002D2D91" w:rsidP="002D2D91">
      <w:pPr>
        <w:pStyle w:val="Prrafodelista"/>
        <w:ind w:left="360"/>
        <w:jc w:val="both"/>
        <w:rPr>
          <w:rFonts w:cs="Arial"/>
        </w:rPr>
      </w:pPr>
      <w:r w:rsidRPr="007608C2">
        <w:rPr>
          <w:rFonts w:cs="Arial"/>
        </w:rPr>
        <w:t xml:space="preserve">La jornada fue promovida por la CIPI, INPEC y el ICBF, con el fin de mejorar las condiciones establecidas en la ley mediante la cual la Dirección General del INPEC autorizó la permanencia, en los establecimientos de reclusión, a los hijos e hijas de las internas hasta los 3 años de edad, garantizándoles la protección integral de sus derechos. </w:t>
      </w:r>
    </w:p>
    <w:p w:rsidR="002D2D91" w:rsidRPr="007608C2" w:rsidRDefault="002D2D91" w:rsidP="002D2D91">
      <w:pPr>
        <w:jc w:val="both"/>
        <w:rPr>
          <w:rFonts w:cs="Arial"/>
          <w:b/>
          <w:u w:val="single"/>
        </w:rPr>
      </w:pPr>
      <w:r w:rsidRPr="007608C2">
        <w:rPr>
          <w:rFonts w:cs="Arial"/>
          <w:b/>
          <w:u w:val="single"/>
        </w:rPr>
        <w:t>Otras Gestiones Administrativas</w:t>
      </w:r>
    </w:p>
    <w:p w:rsidR="002D2D91" w:rsidRPr="007608C2" w:rsidRDefault="002D2D91" w:rsidP="00A44A2B">
      <w:pPr>
        <w:pStyle w:val="Prrafodelista"/>
        <w:numPr>
          <w:ilvl w:val="0"/>
          <w:numId w:val="74"/>
        </w:numPr>
        <w:jc w:val="both"/>
        <w:rPr>
          <w:rFonts w:cs="Arial"/>
        </w:rPr>
      </w:pPr>
      <w:r w:rsidRPr="007608C2">
        <w:rPr>
          <w:rFonts w:cs="Arial"/>
        </w:rPr>
        <w:t>Fortalecimiento del esquema interno de gobernabilidad de la Dirección de Primera in</w:t>
      </w:r>
      <w:r w:rsidR="00575D7E" w:rsidRPr="007608C2">
        <w:rPr>
          <w:rFonts w:cs="Arial"/>
        </w:rPr>
        <w:t>fancia para el mejoramiento conti</w:t>
      </w:r>
      <w:r w:rsidRPr="007608C2">
        <w:rPr>
          <w:rFonts w:cs="Arial"/>
        </w:rPr>
        <w:t>nuo de los indicadores de resultado a nivel institucional. El esquema involucra una estrategia de seguimiento, asesoría, gestión administrativa, financiera y de Talento Humano.</w:t>
      </w:r>
    </w:p>
    <w:p w:rsidR="002D2D91" w:rsidRPr="007608C2" w:rsidRDefault="002D2D91" w:rsidP="00A44A2B">
      <w:pPr>
        <w:pStyle w:val="Prrafodelista"/>
        <w:numPr>
          <w:ilvl w:val="0"/>
          <w:numId w:val="74"/>
        </w:numPr>
        <w:jc w:val="both"/>
        <w:rPr>
          <w:rFonts w:cs="Arial"/>
        </w:rPr>
      </w:pPr>
      <w:r w:rsidRPr="007608C2">
        <w:rPr>
          <w:rFonts w:cs="Arial"/>
        </w:rPr>
        <w:t>Cooperación técnica entre el Banco Interamericano de Desarrollo (BID) y el ICBF 2016-2019; diagnóstico de las capacidades de la Dirección de Primera Infancia.</w:t>
      </w:r>
    </w:p>
    <w:p w:rsidR="004005A3" w:rsidRPr="000318C5" w:rsidRDefault="002D2D91" w:rsidP="00A44A2B">
      <w:pPr>
        <w:pStyle w:val="Prrafodelista"/>
        <w:numPr>
          <w:ilvl w:val="2"/>
          <w:numId w:val="60"/>
        </w:numPr>
        <w:jc w:val="both"/>
        <w:rPr>
          <w:rFonts w:cs="Arial"/>
          <w:b/>
        </w:rPr>
      </w:pPr>
      <w:r w:rsidRPr="004005A3">
        <w:rPr>
          <w:rFonts w:cs="Arial"/>
        </w:rPr>
        <w:t>Gestión con CINE COLOMBIA; donación de 20.499 boletas para el ingreso a cine para los niños y niñas de Primera Infancia durante 2017.</w:t>
      </w:r>
    </w:p>
    <w:p w:rsidR="000318C5" w:rsidRPr="000318C5" w:rsidRDefault="000318C5" w:rsidP="000318C5">
      <w:pPr>
        <w:jc w:val="both"/>
        <w:rPr>
          <w:rFonts w:cs="Arial"/>
          <w:b/>
        </w:rPr>
      </w:pPr>
    </w:p>
    <w:p w:rsidR="002D2D91" w:rsidRPr="004005A3" w:rsidRDefault="000E0283" w:rsidP="000318C5">
      <w:pPr>
        <w:pStyle w:val="Prrafodelista"/>
        <w:numPr>
          <w:ilvl w:val="2"/>
          <w:numId w:val="60"/>
        </w:numPr>
        <w:spacing w:before="240"/>
        <w:jc w:val="both"/>
        <w:rPr>
          <w:rFonts w:cs="Arial"/>
          <w:b/>
        </w:rPr>
      </w:pPr>
      <w:hyperlink w:anchor="_Toc478635852" w:history="1">
        <w:bookmarkStart w:id="36" w:name="_Toc504459733"/>
        <w:r w:rsidR="002D2D91" w:rsidRPr="004005A3">
          <w:rPr>
            <w:rFonts w:cs="Arial"/>
            <w:b/>
          </w:rPr>
          <w:t>RETOS 2018</w:t>
        </w:r>
        <w:bookmarkEnd w:id="36"/>
      </w:hyperlink>
    </w:p>
    <w:p w:rsidR="002D2D91" w:rsidRPr="007608C2" w:rsidRDefault="002D2D91" w:rsidP="002D2D91">
      <w:pPr>
        <w:jc w:val="both"/>
        <w:rPr>
          <w:rFonts w:cs="Arial"/>
        </w:rPr>
      </w:pPr>
      <w:r w:rsidRPr="007608C2">
        <w:rPr>
          <w:rFonts w:cs="Arial"/>
        </w:rPr>
        <w:t>Luego de más de un (1) año promoviendo la Ley 1804 y de implementar cada uno de los componentes de la atención integral a la Primera Infancia en el país, el ICBF asumirá para la vigencia 2018 los siguientes retos:</w:t>
      </w:r>
    </w:p>
    <w:p w:rsidR="002D2D91" w:rsidRPr="007608C2" w:rsidRDefault="002D2D91" w:rsidP="00A44A2B">
      <w:pPr>
        <w:pStyle w:val="Prrafodelista"/>
        <w:numPr>
          <w:ilvl w:val="0"/>
          <w:numId w:val="75"/>
        </w:numPr>
        <w:jc w:val="both"/>
        <w:rPr>
          <w:rFonts w:cs="Arial"/>
        </w:rPr>
      </w:pPr>
      <w:r w:rsidRPr="007608C2">
        <w:rPr>
          <w:rFonts w:cs="Arial"/>
        </w:rPr>
        <w:t>Lograr la atención del 100% de los cupos contratados garantizando los más altos estándares de calidad en cada territorio y teniendo en cuenta los criterios de focalización, los cuales buscan vincular a la población más vulnerable del país, haciendo seguimiento a la operación de los diferentes servicios, la ejecución de los recursos y articular acciones que permitan cumplir con calidad los manuales y lineamientos.</w:t>
      </w:r>
    </w:p>
    <w:p w:rsidR="002D2D91" w:rsidRPr="007608C2" w:rsidRDefault="002D2D91" w:rsidP="00A44A2B">
      <w:pPr>
        <w:pStyle w:val="Prrafodelista"/>
        <w:numPr>
          <w:ilvl w:val="0"/>
          <w:numId w:val="75"/>
        </w:numPr>
        <w:jc w:val="both"/>
        <w:rPr>
          <w:rFonts w:cs="Arial"/>
        </w:rPr>
      </w:pPr>
      <w:r w:rsidRPr="007608C2">
        <w:rPr>
          <w:rFonts w:cs="Arial"/>
        </w:rPr>
        <w:t xml:space="preserve">Fortalecer los equipos de asistencia técnica de las direcciones regionales y centros zonales para favorecer la calidad y oportunidad de las respuestas que contribuyan a mejorar el logro de las atenciones y de la calidad en los servicios prestados en las diferentes modalidades. </w:t>
      </w:r>
    </w:p>
    <w:p w:rsidR="002D2D91" w:rsidRPr="007608C2" w:rsidRDefault="002D2D91" w:rsidP="00A44A2B">
      <w:pPr>
        <w:pStyle w:val="Prrafodelista"/>
        <w:numPr>
          <w:ilvl w:val="0"/>
          <w:numId w:val="75"/>
        </w:numPr>
        <w:jc w:val="both"/>
        <w:rPr>
          <w:rFonts w:cs="Arial"/>
        </w:rPr>
      </w:pPr>
      <w:r w:rsidRPr="007608C2">
        <w:rPr>
          <w:rFonts w:cs="Arial"/>
        </w:rPr>
        <w:t>La herramienta virtual AVISPA (Aula Virtual de Saberes en Primera Infancia), tiene como propósito actualizar, ampliar y resignificar conocimientos de los agentes educativos en el país. Se inició el proyecto piloto en la vigencia 2017 con los cursos “Referentes Técnicos de la Educación Inicial” y “Fundamentos Políticos Técnicos y de Gestión de la Estrategia de Atención Integral a la Primera Infancia” en las regionales Cundinamarca y Bogotá. Se espera ampliar la oferta de académica a 20 cursos de entre 40 y 60 horas para certificar su participación y finalización.</w:t>
      </w:r>
    </w:p>
    <w:p w:rsidR="002D2D91" w:rsidRPr="007608C2" w:rsidRDefault="002D2D91" w:rsidP="00A44A2B">
      <w:pPr>
        <w:pStyle w:val="Prrafodelista"/>
        <w:numPr>
          <w:ilvl w:val="0"/>
          <w:numId w:val="75"/>
        </w:numPr>
        <w:jc w:val="both"/>
        <w:rPr>
          <w:rFonts w:cs="Arial"/>
        </w:rPr>
      </w:pPr>
      <w:r w:rsidRPr="007608C2">
        <w:rPr>
          <w:rFonts w:cs="Arial"/>
        </w:rPr>
        <w:t xml:space="preserve">Optimizar el seguimiento continuo de todos nuestros beneficiarios de Primera Infancia, integrando herramientas de Business Intelligence para el seguimiento de la Escala de Valoración del Desarrollo Infantil y a la atención integral, de tal manera, que la información se convierta en una herramienta para la toma de decisiones que benefician la vida de los niños y niñas. </w:t>
      </w:r>
    </w:p>
    <w:p w:rsidR="002D2D91" w:rsidRPr="007608C2" w:rsidRDefault="002D2D91" w:rsidP="00A44A2B">
      <w:pPr>
        <w:pStyle w:val="Prrafodelista"/>
        <w:numPr>
          <w:ilvl w:val="0"/>
          <w:numId w:val="75"/>
        </w:numPr>
        <w:jc w:val="both"/>
        <w:rPr>
          <w:rFonts w:cs="Arial"/>
        </w:rPr>
      </w:pPr>
      <w:r w:rsidRPr="007608C2">
        <w:rPr>
          <w:rFonts w:cs="Arial"/>
        </w:rPr>
        <w:t xml:space="preserve">Reactivar la estrategia “Fiesta de la Lectura” y fortalecer las salas de lecturas como factores determinantes de la calidad en los componentes proceso pedagógico y ambientes educativos y protectores y aumentar la gestión en la atención priorizada de acceso a colecciones de libros. </w:t>
      </w:r>
    </w:p>
    <w:p w:rsidR="002D2D91" w:rsidRPr="007608C2" w:rsidRDefault="002D2D91" w:rsidP="00A44A2B">
      <w:pPr>
        <w:pStyle w:val="Prrafodelista"/>
        <w:numPr>
          <w:ilvl w:val="0"/>
          <w:numId w:val="75"/>
        </w:numPr>
        <w:jc w:val="both"/>
        <w:rPr>
          <w:rFonts w:cs="Arial"/>
        </w:rPr>
      </w:pPr>
      <w:r w:rsidRPr="007608C2">
        <w:rPr>
          <w:rFonts w:cs="Arial"/>
        </w:rPr>
        <w:t>Fortalecer el componente familia comunidad y redes en las diferentes modalidades para mejorar en el logro de la atención de familias formadas y acompañadas.</w:t>
      </w:r>
    </w:p>
    <w:p w:rsidR="002D2D91" w:rsidRPr="007608C2" w:rsidRDefault="002D2D91" w:rsidP="00A44A2B">
      <w:pPr>
        <w:pStyle w:val="Prrafodelista"/>
        <w:numPr>
          <w:ilvl w:val="0"/>
          <w:numId w:val="75"/>
        </w:numPr>
        <w:jc w:val="both"/>
        <w:rPr>
          <w:rFonts w:cs="Arial"/>
        </w:rPr>
      </w:pPr>
      <w:r w:rsidRPr="007608C2">
        <w:rPr>
          <w:rFonts w:cs="Arial"/>
        </w:rPr>
        <w:t xml:space="preserve">Realizar acciones de comunicación, información y participación ciudadana que influyan en la corresponsabilidad que tienen las familias, las comunidades y el estado en el cuidado, protección y garantía de derechos de las niñas y niños. </w:t>
      </w:r>
    </w:p>
    <w:p w:rsidR="002D2D91" w:rsidRPr="007608C2" w:rsidRDefault="002D2D91" w:rsidP="00A44A2B">
      <w:pPr>
        <w:pStyle w:val="Prrafodelista"/>
        <w:numPr>
          <w:ilvl w:val="0"/>
          <w:numId w:val="75"/>
        </w:numPr>
        <w:jc w:val="both"/>
        <w:rPr>
          <w:rFonts w:cs="Arial"/>
        </w:rPr>
      </w:pPr>
      <w:r w:rsidRPr="007608C2">
        <w:rPr>
          <w:rFonts w:cs="Arial"/>
        </w:rPr>
        <w:lastRenderedPageBreak/>
        <w:t>Fomentar la cultura de legalidad y transparencia mediante actividades de verificación, sensibilización, co</w:t>
      </w:r>
      <w:r w:rsidRPr="004005A3">
        <w:rPr>
          <w:rFonts w:cs="Arial"/>
        </w:rPr>
        <w:t>ncientización, con el firme propósito de lograr una atención de calidad, enmarcada en el cu</w:t>
      </w:r>
      <w:r w:rsidR="00575D7E" w:rsidRPr="004005A3">
        <w:rPr>
          <w:rFonts w:cs="Arial"/>
        </w:rPr>
        <w:t>m</w:t>
      </w:r>
      <w:r w:rsidRPr="004005A3">
        <w:rPr>
          <w:rFonts w:cs="Arial"/>
        </w:rPr>
        <w:t>plimiento</w:t>
      </w:r>
      <w:r w:rsidRPr="007608C2">
        <w:rPr>
          <w:rFonts w:cs="Arial"/>
        </w:rPr>
        <w:t xml:space="preserve"> de la ley y la correcta ejecución de los recursos públicos invertidos. Además de realizar 50 mil visitas de supervisión, activar veedurías ciudadanas y promover la corresponsabilidad en la garantía de los derechos de las niñas y niños.</w:t>
      </w:r>
    </w:p>
    <w:p w:rsidR="002D2D91" w:rsidRPr="007608C2" w:rsidRDefault="002D2D91" w:rsidP="00A44A2B">
      <w:pPr>
        <w:pStyle w:val="Prrafodelista"/>
        <w:numPr>
          <w:ilvl w:val="0"/>
          <w:numId w:val="75"/>
        </w:numPr>
        <w:jc w:val="both"/>
        <w:rPr>
          <w:rFonts w:cs="Arial"/>
        </w:rPr>
      </w:pPr>
      <w:r w:rsidRPr="007608C2">
        <w:rPr>
          <w:rFonts w:cs="Arial"/>
        </w:rPr>
        <w:t xml:space="preserve">Incluir nuevamente la postulación de Madres Comunitarias Activas en las convocatorias al subsidio y seguir garantizando los pagos a quienes ya son beneficiarias. Adicionalmente, generar los retiros de las señoras que se encuentren bloqueadas en el programa para generar nuevos cupos. </w:t>
      </w:r>
    </w:p>
    <w:p w:rsidR="002D2D91" w:rsidRPr="007608C2" w:rsidRDefault="002D2D91" w:rsidP="002D2D91">
      <w:pPr>
        <w:jc w:val="both"/>
        <w:rPr>
          <w:rFonts w:cs="Arial"/>
        </w:rPr>
      </w:pPr>
    </w:p>
    <w:p w:rsidR="002D2D91" w:rsidRPr="007608C2" w:rsidRDefault="002D2D91" w:rsidP="002D2D91">
      <w:pPr>
        <w:jc w:val="both"/>
        <w:rPr>
          <w:rFonts w:cs="Arial"/>
        </w:rPr>
      </w:pPr>
    </w:p>
    <w:p w:rsidR="00A2698C" w:rsidRPr="007608C2" w:rsidRDefault="00A2698C" w:rsidP="000102A4">
      <w:pPr>
        <w:jc w:val="both"/>
        <w:rPr>
          <w:rFonts w:cs="Arial"/>
        </w:rPr>
      </w:pPr>
    </w:p>
    <w:bookmarkEnd w:id="20"/>
    <w:p w:rsidR="000102A4" w:rsidRPr="007608C2" w:rsidRDefault="000102A4" w:rsidP="000102A4">
      <w:pPr>
        <w:jc w:val="both"/>
        <w:rPr>
          <w:rFonts w:cs="Arial"/>
        </w:rPr>
      </w:pPr>
    </w:p>
    <w:p w:rsidR="000102A4" w:rsidRPr="007608C2" w:rsidRDefault="000102A4" w:rsidP="000102A4">
      <w:pPr>
        <w:jc w:val="both"/>
        <w:rPr>
          <w:rFonts w:cs="Arial"/>
        </w:rPr>
      </w:pPr>
    </w:p>
    <w:p w:rsidR="003060EC" w:rsidRDefault="008C08DE" w:rsidP="00F64EFD">
      <w:pPr>
        <w:pStyle w:val="Ttulo1"/>
        <w:pageBreakBefore/>
        <w:numPr>
          <w:ilvl w:val="1"/>
          <w:numId w:val="48"/>
        </w:numPr>
        <w:spacing w:before="100" w:beforeAutospacing="1" w:after="100" w:afterAutospacing="1" w:line="480" w:lineRule="auto"/>
        <w:jc w:val="both"/>
        <w:rPr>
          <w:rFonts w:cs="Arial"/>
          <w:szCs w:val="22"/>
        </w:rPr>
      </w:pPr>
      <w:bookmarkStart w:id="37" w:name="_Toc441847023"/>
      <w:bookmarkStart w:id="38" w:name="_Toc328055130"/>
      <w:r w:rsidRPr="007608C2">
        <w:rPr>
          <w:rFonts w:cs="Arial"/>
          <w:szCs w:val="22"/>
        </w:rPr>
        <w:lastRenderedPageBreak/>
        <w:t xml:space="preserve"> </w:t>
      </w:r>
      <w:bookmarkStart w:id="39" w:name="_Toc505183042"/>
      <w:r w:rsidRPr="007608C2">
        <w:rPr>
          <w:rFonts w:cs="Arial"/>
          <w:szCs w:val="22"/>
        </w:rPr>
        <w:t>A</w:t>
      </w:r>
      <w:r w:rsidR="00FB2352" w:rsidRPr="007608C2">
        <w:rPr>
          <w:rFonts w:cs="Arial"/>
          <w:szCs w:val="22"/>
        </w:rPr>
        <w:t>TENCIÓN A LA NIÑEZ Y LA ADOLESCENCIA</w:t>
      </w:r>
      <w:bookmarkEnd w:id="37"/>
      <w:bookmarkEnd w:id="39"/>
    </w:p>
    <w:p w:rsidR="006D6A2B" w:rsidRPr="007608C2" w:rsidRDefault="006D6A2B" w:rsidP="00A44A2B">
      <w:pPr>
        <w:pStyle w:val="Prrafodelista"/>
        <w:keepNext/>
        <w:keepLines/>
        <w:numPr>
          <w:ilvl w:val="2"/>
          <w:numId w:val="48"/>
        </w:numPr>
        <w:spacing w:before="100" w:beforeAutospacing="1" w:after="100" w:afterAutospacing="1" w:line="240" w:lineRule="auto"/>
        <w:jc w:val="both"/>
        <w:outlineLvl w:val="1"/>
        <w:rPr>
          <w:rFonts w:eastAsiaTheme="majorEastAsia" w:cs="Arial"/>
          <w:b/>
        </w:rPr>
      </w:pPr>
      <w:bookmarkStart w:id="40" w:name="_Toc503465522"/>
      <w:bookmarkStart w:id="41" w:name="_Toc505183043"/>
      <w:r w:rsidRPr="007608C2">
        <w:rPr>
          <w:rFonts w:eastAsia="Times New Roman" w:cs="Arial"/>
          <w:b/>
          <w:bCs/>
          <w:kern w:val="32"/>
        </w:rPr>
        <w:t xml:space="preserve">Marco de la Política </w:t>
      </w:r>
      <w:bookmarkEnd w:id="40"/>
      <w:r w:rsidRPr="007608C2">
        <w:rPr>
          <w:rFonts w:eastAsia="Times New Roman" w:cs="Arial"/>
          <w:b/>
          <w:bCs/>
          <w:kern w:val="32"/>
        </w:rPr>
        <w:t>Niñez y Adolescencia</w:t>
      </w:r>
      <w:bookmarkEnd w:id="41"/>
    </w:p>
    <w:p w:rsidR="00C842DD" w:rsidRPr="007608C2" w:rsidRDefault="00C842DD" w:rsidP="00C842DD">
      <w:pPr>
        <w:jc w:val="both"/>
        <w:rPr>
          <w:rFonts w:cs="Arial"/>
        </w:rPr>
      </w:pPr>
      <w:r w:rsidRPr="007608C2">
        <w:rPr>
          <w:rFonts w:cs="Arial"/>
        </w:rPr>
        <w:t>Los derechos de los niños, las niñas y adolescentes están respaldados por un marco jurídico compuesto por instrumentos internacionales y nacionales. Entre los primeros se encuentran las convenciones, declaraciones y protocolos debidamente ratificados por Colombia, que junto con la Constitución Política, jurisprudencia y demás normas legales y reglamentarias del ordenamiento jurídico conforman el bloque de constitucionalidad que reconoce a los niños, las niñas y adolescentes como sujetos prevalentes de derechos y de especial protección, en su mayoría recogidos en el artículo 20 del Código de la Infancia y la Adolescencia.</w:t>
      </w:r>
    </w:p>
    <w:p w:rsidR="00C842DD" w:rsidRPr="007608C2" w:rsidRDefault="00C842DD" w:rsidP="00C842DD">
      <w:pPr>
        <w:jc w:val="both"/>
        <w:rPr>
          <w:rFonts w:cs="Arial"/>
        </w:rPr>
      </w:pPr>
      <w:r w:rsidRPr="007608C2">
        <w:rPr>
          <w:rFonts w:cs="Arial"/>
        </w:rPr>
        <w:t>Tanto la Constitución Política como la Convención Internacional de los derechos del niño, establecen tres elementos ineludibles: la búsqueda de la efectividad de los derechos, el respeto del interés superior del Niño y la prevalencia de los derechos de los niños, las niñas y los adolescentes sobre los derechos de los demás en el marco de la protección integral.</w:t>
      </w:r>
    </w:p>
    <w:p w:rsidR="00C842DD" w:rsidRPr="007608C2" w:rsidRDefault="00C842DD" w:rsidP="00C842DD">
      <w:pPr>
        <w:jc w:val="both"/>
        <w:rPr>
          <w:rFonts w:cs="Arial"/>
        </w:rPr>
      </w:pPr>
      <w:r w:rsidRPr="007608C2">
        <w:rPr>
          <w:rFonts w:cs="Arial"/>
        </w:rPr>
        <w:t>La Constitución Política de 1991, consagró como prevalentes los derechos de los niños, niñas y adolescentes. El Estado, la familia y la sociedad son responsables directos para que todos los  niños,  las  niñas  y  adolescentes vivan de  manera íntegra, digna y  feliz,  recogiendo plenamente la filosofía y el marco doctrinario de la Convención Internacional de los derechos del Niño, asumida por Colombia desde la Ley 12 de 1991, señalando nuevos rumbos programáticos, para garantizar la protección integral de los derechos individuales y colectivos de  los niños, niñas y adolescentes, exigiendo al Estado, la sociedad y la familia que  se comprometan a generar condiciones  para el goce efectiv</w:t>
      </w:r>
      <w:r w:rsidR="004005A3">
        <w:rPr>
          <w:rFonts w:cs="Arial"/>
        </w:rPr>
        <w:t xml:space="preserve">o de sus derechos. Desde 1991, </w:t>
      </w:r>
      <w:r w:rsidRPr="007608C2">
        <w:rPr>
          <w:rFonts w:cs="Arial"/>
        </w:rPr>
        <w:t xml:space="preserve">se han sancionado 46 leyes, que se ocupan principalmente de definir responsabilidades institucionales y rutas de atención, de regular servicios públicos como la educación y de crear espacios de articulación estratégica y operativa. </w:t>
      </w:r>
    </w:p>
    <w:p w:rsidR="00C842DD" w:rsidRPr="007608C2" w:rsidRDefault="00C842DD" w:rsidP="00C842DD">
      <w:pPr>
        <w:jc w:val="both"/>
        <w:rPr>
          <w:rFonts w:cs="Arial"/>
        </w:rPr>
      </w:pPr>
      <w:r w:rsidRPr="007608C2">
        <w:rPr>
          <w:rFonts w:cs="Arial"/>
        </w:rPr>
        <w:t xml:space="preserve">Particularmente, el Código de la Infancia y la Adolescencia, Ley 1098 de 2006, y el Estatuto de Ciudadanía Juvenil, Ley 1622 de 2013, se destacan como las cartas de navegación para la acción del Estado en favor de los derechos y la calidad de vida de los niños, niñas, adolescentes. Por su parte, el Decreto 936 de 2013 reorganiza el Sistema Nacional de Bienestar Familiar, y el Decreto 1649 de 2014 que crea la Dirección del Sistema Nacional de Juventud, aporta de manera fundamental en la estructuración de la arquitectura institucional requerida para impulsar estas normas. </w:t>
      </w:r>
    </w:p>
    <w:p w:rsidR="00C842DD" w:rsidRPr="007608C2" w:rsidRDefault="00C842DD" w:rsidP="00C842DD">
      <w:pPr>
        <w:jc w:val="both"/>
        <w:rPr>
          <w:rFonts w:cs="Arial"/>
        </w:rPr>
      </w:pPr>
      <w:r w:rsidRPr="007608C2">
        <w:rPr>
          <w:rFonts w:cs="Arial"/>
        </w:rPr>
        <w:t xml:space="preserve">En consecuencia, el Código de Infancia y Adolescencia, Ley 1098, asume el mandato de los artículos 44 y 45, encarna valores y principios que influyen en la aplicación de todas las normas de justicia, la promoción de políticas y la realización de programas y acciones que propendan por la protección integral. </w:t>
      </w:r>
    </w:p>
    <w:p w:rsidR="00C842DD" w:rsidRPr="007608C2" w:rsidRDefault="00C842DD" w:rsidP="00C842DD">
      <w:pPr>
        <w:jc w:val="both"/>
        <w:rPr>
          <w:rFonts w:cs="Arial"/>
        </w:rPr>
      </w:pPr>
      <w:r w:rsidRPr="007608C2">
        <w:rPr>
          <w:rFonts w:cs="Arial"/>
        </w:rPr>
        <w:lastRenderedPageBreak/>
        <w:t>La protección integral los reconoce como titulares de derechos, participante hacedor de su propia vida, reconoce sus realidades y necesidades exige actuar sobre condiciones materiales y ambientales sobre los contextos culturales, sobre las relaciones que posibilitan el goce efectivo de derechos</w:t>
      </w:r>
    </w:p>
    <w:p w:rsidR="00C842DD" w:rsidRPr="007608C2" w:rsidRDefault="00C842DD" w:rsidP="00C842DD">
      <w:pPr>
        <w:jc w:val="both"/>
        <w:rPr>
          <w:rFonts w:eastAsia="Times New Roman" w:cs="Arial"/>
        </w:rPr>
      </w:pPr>
      <w:r w:rsidRPr="007608C2">
        <w:rPr>
          <w:rFonts w:cs="Arial"/>
        </w:rPr>
        <w:t xml:space="preserve">En este marco, el ICBF como entidad responsable de proteger los derechos de los niños, niñas y adolescentes y en su rol de coordinador del Sistema Nacional de Bienestar Familiar (SNBF), el cual articula acciones, estrategias y planes que favorecen a la niñez y a la adolescencia colombiana, desarrolla desde la Dirección de Niñez y Adolescencia </w:t>
      </w:r>
      <w:r w:rsidRPr="007608C2">
        <w:rPr>
          <w:rFonts w:eastAsia="Times New Roman" w:cs="Arial"/>
        </w:rPr>
        <w:t>1 programa y 3 estrategias para la atención de niños, niñas y adolescentes y el fortalecimiento de sus entornos protectores. En el siguiente informe se presenta la descripción del programa y de dichas estrategias y las proyecciones para el 2018.</w:t>
      </w:r>
    </w:p>
    <w:p w:rsidR="00C842DD" w:rsidRPr="007608C2" w:rsidRDefault="00C842DD" w:rsidP="00A44A2B">
      <w:pPr>
        <w:pStyle w:val="Ttulo2"/>
        <w:numPr>
          <w:ilvl w:val="2"/>
          <w:numId w:val="48"/>
        </w:numPr>
        <w:rPr>
          <w:rFonts w:cs="Arial"/>
          <w:b/>
        </w:rPr>
      </w:pPr>
      <w:bookmarkStart w:id="42" w:name="_Toc505183044"/>
      <w:r w:rsidRPr="007608C2">
        <w:rPr>
          <w:rFonts w:cs="Arial"/>
          <w:b/>
        </w:rPr>
        <w:t>Acciones realizadas en 2017</w:t>
      </w:r>
      <w:bookmarkEnd w:id="42"/>
    </w:p>
    <w:p w:rsidR="00C842DD" w:rsidRPr="007608C2" w:rsidRDefault="00C842DD" w:rsidP="00C842DD">
      <w:pPr>
        <w:spacing w:before="100" w:beforeAutospacing="1" w:after="100" w:afterAutospacing="1" w:line="240" w:lineRule="auto"/>
        <w:jc w:val="both"/>
        <w:rPr>
          <w:rFonts w:cs="Arial"/>
          <w:iCs/>
        </w:rPr>
      </w:pPr>
      <w:r w:rsidRPr="007608C2">
        <w:rPr>
          <w:rFonts w:cs="Arial"/>
          <w:iCs/>
        </w:rPr>
        <w:t xml:space="preserve">Con el fin de promover la garantía de los derechos, prevenir su vulneración y gestionar la activación de las rutas de restablecimiento, a partir del empoderamiento de los niños, niñas y adolescentes como sujetos de derechos y la promoción de la corresponsabilidad con la familia, la sociedad y el Estado en su protección integral, la Dirección de Niñez y Adolescencia (DNA) cuenta en la actualidad con 1 programa (Generaciones Con Bienestar) y 3 estrategias (Acciones Masivas de Alto Impacto Social – AMAS - ; Prevención de Embarazo en la Adolescencia –PEA- ; y Construyendo Juntos Entornos Protectores – ECJEP). </w:t>
      </w:r>
    </w:p>
    <w:p w:rsidR="00C842DD" w:rsidRPr="007608C2" w:rsidRDefault="00C842DD" w:rsidP="00C842DD">
      <w:pPr>
        <w:spacing w:before="100" w:beforeAutospacing="1" w:after="100" w:afterAutospacing="1" w:line="240" w:lineRule="auto"/>
        <w:jc w:val="both"/>
        <w:rPr>
          <w:rFonts w:cs="Arial"/>
        </w:rPr>
      </w:pPr>
      <w:r w:rsidRPr="007608C2">
        <w:rPr>
          <w:rFonts w:cs="Arial"/>
        </w:rPr>
        <w:t xml:space="preserve">En la vigencia 2017, la Dirección de Niñez y Adolescencia atendió 241.115 niños, niñas y adolescentes en los 33 Departamentos del país, llegando a 913 municipios del territorio nacional, con un presupuesto apropiado de $ 104.912.215.587 para el programa y las estrategias de la dirección. (Reporte de Ejecución de Metas Sociales y Financieras, de la Dirección de Planeación y Control de Gestión Cierre 2017, preliminar). La tabla que se relaciona a continuación, resume las cifras de atención y presupuesto de la Dirección de Niñez y Adolescencia. </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4684"/>
        <w:gridCol w:w="951"/>
        <w:gridCol w:w="791"/>
        <w:gridCol w:w="911"/>
        <w:gridCol w:w="2058"/>
      </w:tblGrid>
      <w:tr w:rsidR="00F70A70" w:rsidRPr="004005A3" w:rsidTr="004005A3">
        <w:trPr>
          <w:trHeight w:val="557"/>
          <w:jc w:val="center"/>
        </w:trPr>
        <w:tc>
          <w:tcPr>
            <w:tcW w:w="0" w:type="auto"/>
            <w:vMerge w:val="restart"/>
            <w:shd w:val="clear" w:color="auto" w:fill="76922E"/>
            <w:vAlign w:val="center"/>
            <w:hideMark/>
          </w:tcPr>
          <w:p w:rsidR="00F70A70" w:rsidRPr="004005A3" w:rsidRDefault="004005A3" w:rsidP="00F70A70">
            <w:pPr>
              <w:spacing w:before="100" w:beforeAutospacing="1" w:after="100" w:afterAutospacing="1" w:line="240" w:lineRule="auto"/>
              <w:jc w:val="both"/>
              <w:rPr>
                <w:rFonts w:cs="Arial"/>
                <w:b/>
                <w:bCs/>
                <w:color w:val="FFFFFF" w:themeColor="background1"/>
                <w:sz w:val="18"/>
                <w:szCs w:val="18"/>
              </w:rPr>
            </w:pPr>
            <w:r>
              <w:rPr>
                <w:rFonts w:cs="Arial"/>
                <w:b/>
                <w:bCs/>
                <w:color w:val="FFFFFF" w:themeColor="background1"/>
                <w:sz w:val="18"/>
                <w:szCs w:val="18"/>
              </w:rPr>
              <w:t>Prevención y</w:t>
            </w:r>
            <w:r w:rsidRPr="004005A3">
              <w:rPr>
                <w:rFonts w:cs="Arial"/>
                <w:b/>
                <w:bCs/>
                <w:color w:val="FFFFFF" w:themeColor="background1"/>
                <w:sz w:val="18"/>
                <w:szCs w:val="18"/>
              </w:rPr>
              <w:t xml:space="preserve"> Promoción</w:t>
            </w:r>
            <w:r>
              <w:rPr>
                <w:rFonts w:cs="Arial"/>
                <w:b/>
                <w:bCs/>
                <w:color w:val="FFFFFF" w:themeColor="background1"/>
                <w:sz w:val="18"/>
                <w:szCs w:val="18"/>
              </w:rPr>
              <w:t xml:space="preserve"> para l</w:t>
            </w:r>
            <w:r w:rsidRPr="004005A3">
              <w:rPr>
                <w:rFonts w:cs="Arial"/>
                <w:b/>
                <w:bCs/>
                <w:color w:val="FFFFFF" w:themeColor="background1"/>
                <w:sz w:val="18"/>
                <w:szCs w:val="18"/>
              </w:rPr>
              <w:t>a Protección</w:t>
            </w:r>
            <w:r>
              <w:rPr>
                <w:rFonts w:cs="Arial"/>
                <w:b/>
                <w:bCs/>
                <w:color w:val="FFFFFF" w:themeColor="background1"/>
                <w:sz w:val="18"/>
                <w:szCs w:val="18"/>
              </w:rPr>
              <w:t xml:space="preserve"> Integral de los Derechos de l</w:t>
            </w:r>
            <w:r w:rsidRPr="004005A3">
              <w:rPr>
                <w:rFonts w:cs="Arial"/>
                <w:b/>
                <w:bCs/>
                <w:color w:val="FFFFFF" w:themeColor="background1"/>
                <w:sz w:val="18"/>
                <w:szCs w:val="18"/>
              </w:rPr>
              <w:t>a Niñez</w:t>
            </w:r>
            <w:r>
              <w:rPr>
                <w:rFonts w:cs="Arial"/>
                <w:b/>
                <w:bCs/>
                <w:color w:val="FFFFFF" w:themeColor="background1"/>
                <w:sz w:val="18"/>
                <w:szCs w:val="18"/>
              </w:rPr>
              <w:t xml:space="preserve"> y Adolescencia a</w:t>
            </w:r>
            <w:r w:rsidRPr="004005A3">
              <w:rPr>
                <w:rFonts w:cs="Arial"/>
                <w:b/>
                <w:bCs/>
                <w:color w:val="FFFFFF" w:themeColor="background1"/>
                <w:sz w:val="18"/>
                <w:szCs w:val="18"/>
              </w:rPr>
              <w:t>l Nivel Nacional</w:t>
            </w:r>
          </w:p>
        </w:tc>
        <w:tc>
          <w:tcPr>
            <w:tcW w:w="0" w:type="auto"/>
            <w:shd w:val="clear" w:color="auto" w:fill="76922E"/>
            <w:vAlign w:val="center"/>
            <w:hideMark/>
          </w:tcPr>
          <w:p w:rsidR="00F70A70" w:rsidRPr="004005A3" w:rsidRDefault="004005A3" w:rsidP="00A04E73">
            <w:pPr>
              <w:spacing w:before="100" w:beforeAutospacing="1" w:after="100" w:afterAutospacing="1" w:line="240" w:lineRule="auto"/>
              <w:jc w:val="center"/>
              <w:rPr>
                <w:rFonts w:cs="Arial"/>
                <w:b/>
                <w:bCs/>
                <w:color w:val="FFFFFF" w:themeColor="background1"/>
                <w:sz w:val="18"/>
                <w:szCs w:val="18"/>
              </w:rPr>
            </w:pPr>
            <w:r w:rsidRPr="004005A3">
              <w:rPr>
                <w:rFonts w:cs="Arial"/>
                <w:b/>
                <w:bCs/>
                <w:color w:val="FFFFFF" w:themeColor="background1"/>
                <w:sz w:val="18"/>
                <w:szCs w:val="18"/>
              </w:rPr>
              <w:t>Unidades</w:t>
            </w:r>
          </w:p>
        </w:tc>
        <w:tc>
          <w:tcPr>
            <w:tcW w:w="0" w:type="auto"/>
            <w:shd w:val="clear" w:color="auto" w:fill="76922E"/>
            <w:vAlign w:val="center"/>
            <w:hideMark/>
          </w:tcPr>
          <w:p w:rsidR="00F70A70" w:rsidRPr="004005A3" w:rsidRDefault="004005A3" w:rsidP="00A04E73">
            <w:pPr>
              <w:spacing w:before="100" w:beforeAutospacing="1" w:after="100" w:afterAutospacing="1" w:line="240" w:lineRule="auto"/>
              <w:jc w:val="center"/>
              <w:rPr>
                <w:rFonts w:cs="Arial"/>
                <w:b/>
                <w:bCs/>
                <w:color w:val="FFFFFF" w:themeColor="background1"/>
                <w:sz w:val="18"/>
                <w:szCs w:val="18"/>
              </w:rPr>
            </w:pPr>
            <w:r w:rsidRPr="004005A3">
              <w:rPr>
                <w:rFonts w:cs="Arial"/>
                <w:b/>
                <w:bCs/>
                <w:color w:val="FFFFFF" w:themeColor="background1"/>
                <w:sz w:val="18"/>
                <w:szCs w:val="18"/>
              </w:rPr>
              <w:t>Cupos</w:t>
            </w:r>
          </w:p>
        </w:tc>
        <w:tc>
          <w:tcPr>
            <w:tcW w:w="0" w:type="auto"/>
            <w:shd w:val="clear" w:color="auto" w:fill="76922E"/>
            <w:vAlign w:val="center"/>
            <w:hideMark/>
          </w:tcPr>
          <w:p w:rsidR="00F70A70" w:rsidRPr="004005A3" w:rsidRDefault="004005A3" w:rsidP="00A04E73">
            <w:pPr>
              <w:spacing w:before="100" w:beforeAutospacing="1" w:after="100" w:afterAutospacing="1" w:line="240" w:lineRule="auto"/>
              <w:jc w:val="center"/>
              <w:rPr>
                <w:rFonts w:cs="Arial"/>
                <w:b/>
                <w:bCs/>
                <w:color w:val="FFFFFF" w:themeColor="background1"/>
                <w:sz w:val="18"/>
                <w:szCs w:val="18"/>
              </w:rPr>
            </w:pPr>
            <w:r w:rsidRPr="004005A3">
              <w:rPr>
                <w:rFonts w:cs="Arial"/>
                <w:b/>
                <w:bCs/>
                <w:color w:val="FFFFFF" w:themeColor="background1"/>
                <w:sz w:val="18"/>
                <w:szCs w:val="18"/>
              </w:rPr>
              <w:t>Usuarios</w:t>
            </w:r>
          </w:p>
        </w:tc>
        <w:tc>
          <w:tcPr>
            <w:tcW w:w="0" w:type="auto"/>
            <w:shd w:val="clear" w:color="auto" w:fill="76922E"/>
            <w:vAlign w:val="center"/>
            <w:hideMark/>
          </w:tcPr>
          <w:p w:rsidR="00F70A70" w:rsidRPr="004005A3" w:rsidRDefault="004005A3" w:rsidP="00F70A70">
            <w:pPr>
              <w:spacing w:before="100" w:beforeAutospacing="1" w:after="100" w:afterAutospacing="1" w:line="240" w:lineRule="auto"/>
              <w:jc w:val="center"/>
              <w:rPr>
                <w:rFonts w:cs="Arial"/>
                <w:b/>
                <w:bCs/>
                <w:color w:val="FFFFFF" w:themeColor="background1"/>
                <w:sz w:val="18"/>
                <w:szCs w:val="18"/>
              </w:rPr>
            </w:pPr>
            <w:r w:rsidRPr="004005A3">
              <w:rPr>
                <w:rFonts w:cs="Arial"/>
                <w:b/>
                <w:bCs/>
                <w:color w:val="FFFFFF" w:themeColor="background1"/>
                <w:sz w:val="18"/>
                <w:szCs w:val="18"/>
              </w:rPr>
              <w:t>Presupuesto Apropiado</w:t>
            </w:r>
          </w:p>
        </w:tc>
      </w:tr>
      <w:tr w:rsidR="00F70A70" w:rsidRPr="004005A3" w:rsidTr="004005A3">
        <w:trPr>
          <w:trHeight w:val="300"/>
          <w:jc w:val="center"/>
        </w:trPr>
        <w:tc>
          <w:tcPr>
            <w:tcW w:w="0" w:type="auto"/>
            <w:vMerge/>
            <w:shd w:val="clear" w:color="auto" w:fill="76922E"/>
            <w:vAlign w:val="center"/>
            <w:hideMark/>
          </w:tcPr>
          <w:p w:rsidR="00F70A70" w:rsidRPr="004005A3" w:rsidRDefault="00F70A70" w:rsidP="00F70A70">
            <w:pPr>
              <w:spacing w:before="100" w:beforeAutospacing="1" w:after="100" w:afterAutospacing="1" w:line="240" w:lineRule="auto"/>
              <w:jc w:val="both"/>
              <w:rPr>
                <w:rFonts w:cs="Arial"/>
                <w:b/>
                <w:bCs/>
                <w:color w:val="FFFFFF" w:themeColor="background1"/>
                <w:sz w:val="18"/>
                <w:szCs w:val="18"/>
              </w:rPr>
            </w:pPr>
          </w:p>
        </w:tc>
        <w:tc>
          <w:tcPr>
            <w:tcW w:w="0" w:type="auto"/>
            <w:shd w:val="clear" w:color="auto" w:fill="76922E"/>
            <w:noWrap/>
            <w:vAlign w:val="center"/>
            <w:hideMark/>
          </w:tcPr>
          <w:p w:rsidR="00F70A70" w:rsidRPr="004005A3" w:rsidRDefault="004005A3" w:rsidP="00A04E73">
            <w:pPr>
              <w:spacing w:before="100" w:beforeAutospacing="1" w:after="100" w:afterAutospacing="1" w:line="240" w:lineRule="auto"/>
              <w:jc w:val="center"/>
              <w:rPr>
                <w:rFonts w:cs="Arial"/>
                <w:b/>
                <w:bCs/>
                <w:color w:val="FFFFFF" w:themeColor="background1"/>
                <w:sz w:val="18"/>
                <w:szCs w:val="18"/>
              </w:rPr>
            </w:pPr>
            <w:r w:rsidRPr="004005A3">
              <w:rPr>
                <w:rFonts w:cs="Arial"/>
                <w:b/>
                <w:bCs/>
                <w:color w:val="FFFFFF" w:themeColor="background1"/>
                <w:sz w:val="18"/>
                <w:szCs w:val="18"/>
              </w:rPr>
              <w:t>8.121</w:t>
            </w:r>
          </w:p>
        </w:tc>
        <w:tc>
          <w:tcPr>
            <w:tcW w:w="0" w:type="auto"/>
            <w:shd w:val="clear" w:color="auto" w:fill="76922E"/>
            <w:noWrap/>
            <w:vAlign w:val="center"/>
            <w:hideMark/>
          </w:tcPr>
          <w:p w:rsidR="00F70A70" w:rsidRPr="004005A3" w:rsidRDefault="004005A3" w:rsidP="00A04E73">
            <w:pPr>
              <w:spacing w:before="100" w:beforeAutospacing="1" w:after="100" w:afterAutospacing="1" w:line="240" w:lineRule="auto"/>
              <w:jc w:val="center"/>
              <w:rPr>
                <w:rFonts w:cs="Arial"/>
                <w:b/>
                <w:bCs/>
                <w:color w:val="FFFFFF" w:themeColor="background1"/>
                <w:sz w:val="18"/>
                <w:szCs w:val="18"/>
              </w:rPr>
            </w:pPr>
            <w:r w:rsidRPr="004005A3">
              <w:rPr>
                <w:rFonts w:cs="Arial"/>
                <w:b/>
                <w:bCs/>
                <w:color w:val="FFFFFF" w:themeColor="background1"/>
                <w:sz w:val="18"/>
                <w:szCs w:val="18"/>
              </w:rPr>
              <w:t>241.115</w:t>
            </w:r>
          </w:p>
        </w:tc>
        <w:tc>
          <w:tcPr>
            <w:tcW w:w="0" w:type="auto"/>
            <w:shd w:val="clear" w:color="auto" w:fill="76922E"/>
            <w:noWrap/>
            <w:vAlign w:val="center"/>
            <w:hideMark/>
          </w:tcPr>
          <w:p w:rsidR="00F70A70" w:rsidRPr="004005A3" w:rsidRDefault="004005A3" w:rsidP="00A04E73">
            <w:pPr>
              <w:spacing w:before="100" w:beforeAutospacing="1" w:after="100" w:afterAutospacing="1" w:line="240" w:lineRule="auto"/>
              <w:jc w:val="center"/>
              <w:rPr>
                <w:rFonts w:cs="Arial"/>
                <w:b/>
                <w:bCs/>
                <w:color w:val="FFFFFF" w:themeColor="background1"/>
                <w:sz w:val="18"/>
                <w:szCs w:val="18"/>
              </w:rPr>
            </w:pPr>
            <w:r w:rsidRPr="004005A3">
              <w:rPr>
                <w:rFonts w:cs="Arial"/>
                <w:b/>
                <w:bCs/>
                <w:color w:val="FFFFFF" w:themeColor="background1"/>
                <w:sz w:val="18"/>
                <w:szCs w:val="18"/>
              </w:rPr>
              <w:t>241.115</w:t>
            </w:r>
          </w:p>
        </w:tc>
        <w:tc>
          <w:tcPr>
            <w:tcW w:w="0" w:type="auto"/>
            <w:shd w:val="clear" w:color="auto" w:fill="76922E"/>
            <w:noWrap/>
            <w:vAlign w:val="center"/>
            <w:hideMark/>
          </w:tcPr>
          <w:p w:rsidR="00F70A70" w:rsidRPr="004005A3" w:rsidRDefault="004005A3" w:rsidP="00F70A70">
            <w:pPr>
              <w:spacing w:before="100" w:beforeAutospacing="1" w:after="100" w:afterAutospacing="1" w:line="240" w:lineRule="auto"/>
              <w:jc w:val="right"/>
              <w:rPr>
                <w:rFonts w:cs="Arial"/>
                <w:b/>
                <w:bCs/>
                <w:color w:val="FFFFFF" w:themeColor="background1"/>
                <w:sz w:val="18"/>
                <w:szCs w:val="18"/>
              </w:rPr>
            </w:pPr>
            <w:r w:rsidRPr="004005A3">
              <w:rPr>
                <w:rFonts w:cs="Arial"/>
                <w:bCs/>
                <w:color w:val="FFFFFF" w:themeColor="background1"/>
                <w:sz w:val="18"/>
                <w:szCs w:val="18"/>
              </w:rPr>
              <w:t>$</w:t>
            </w:r>
            <w:r w:rsidRPr="004005A3">
              <w:rPr>
                <w:rFonts w:cs="Arial"/>
                <w:b/>
                <w:bCs/>
                <w:color w:val="FFFFFF" w:themeColor="background1"/>
                <w:sz w:val="18"/>
                <w:szCs w:val="18"/>
              </w:rPr>
              <w:t xml:space="preserve">        104.912.215.587</w:t>
            </w:r>
          </w:p>
        </w:tc>
      </w:tr>
      <w:tr w:rsidR="00F70A70" w:rsidRPr="004005A3" w:rsidTr="004005A3">
        <w:trPr>
          <w:trHeight w:val="465"/>
          <w:jc w:val="center"/>
        </w:trPr>
        <w:tc>
          <w:tcPr>
            <w:tcW w:w="0" w:type="auto"/>
            <w:shd w:val="clear" w:color="auto" w:fill="76922E"/>
            <w:vAlign w:val="center"/>
            <w:hideMark/>
          </w:tcPr>
          <w:p w:rsidR="00F70A70" w:rsidRPr="004005A3" w:rsidRDefault="004005A3" w:rsidP="00F70A70">
            <w:pPr>
              <w:spacing w:before="100" w:beforeAutospacing="1" w:after="100" w:afterAutospacing="1" w:line="240" w:lineRule="auto"/>
              <w:jc w:val="both"/>
              <w:rPr>
                <w:rFonts w:cs="Arial"/>
                <w:b/>
                <w:bCs/>
                <w:color w:val="FFFFFF" w:themeColor="background1"/>
                <w:sz w:val="18"/>
                <w:szCs w:val="18"/>
              </w:rPr>
            </w:pPr>
            <w:r w:rsidRPr="004005A3">
              <w:rPr>
                <w:rFonts w:cs="Arial"/>
                <w:b/>
                <w:bCs/>
                <w:color w:val="FFFFFF" w:themeColor="background1"/>
                <w:sz w:val="18"/>
                <w:szCs w:val="18"/>
              </w:rPr>
              <w:t>Promoción</w:t>
            </w:r>
            <w:r>
              <w:rPr>
                <w:rFonts w:cs="Arial"/>
                <w:b/>
                <w:bCs/>
                <w:color w:val="FFFFFF" w:themeColor="background1"/>
                <w:sz w:val="18"/>
                <w:szCs w:val="18"/>
              </w:rPr>
              <w:t xml:space="preserve"> y</w:t>
            </w:r>
            <w:r w:rsidRPr="004005A3">
              <w:rPr>
                <w:rFonts w:cs="Arial"/>
                <w:b/>
                <w:bCs/>
                <w:color w:val="FFFFFF" w:themeColor="background1"/>
                <w:sz w:val="18"/>
                <w:szCs w:val="18"/>
              </w:rPr>
              <w:t xml:space="preserve"> Prevención</w:t>
            </w:r>
            <w:r>
              <w:rPr>
                <w:rFonts w:cs="Arial"/>
                <w:b/>
                <w:bCs/>
                <w:color w:val="FFFFFF" w:themeColor="background1"/>
                <w:sz w:val="18"/>
                <w:szCs w:val="18"/>
              </w:rPr>
              <w:t xml:space="preserve"> para l</w:t>
            </w:r>
            <w:r w:rsidRPr="004005A3">
              <w:rPr>
                <w:rFonts w:cs="Arial"/>
                <w:b/>
                <w:bCs/>
                <w:color w:val="FFFFFF" w:themeColor="background1"/>
                <w:sz w:val="18"/>
                <w:szCs w:val="18"/>
              </w:rPr>
              <w:t>a Protección</w:t>
            </w:r>
            <w:r>
              <w:rPr>
                <w:rFonts w:cs="Arial"/>
                <w:b/>
                <w:bCs/>
                <w:color w:val="FFFFFF" w:themeColor="background1"/>
                <w:sz w:val="18"/>
                <w:szCs w:val="18"/>
              </w:rPr>
              <w:t xml:space="preserve"> Integral d</w:t>
            </w:r>
            <w:r w:rsidRPr="004005A3">
              <w:rPr>
                <w:rFonts w:cs="Arial"/>
                <w:b/>
                <w:bCs/>
                <w:color w:val="FFFFFF" w:themeColor="background1"/>
                <w:sz w:val="18"/>
                <w:szCs w:val="18"/>
              </w:rPr>
              <w:t>e NNA</w:t>
            </w:r>
          </w:p>
        </w:tc>
        <w:tc>
          <w:tcPr>
            <w:tcW w:w="0" w:type="auto"/>
            <w:shd w:val="clear" w:color="auto" w:fill="76922E"/>
            <w:noWrap/>
            <w:vAlign w:val="center"/>
            <w:hideMark/>
          </w:tcPr>
          <w:p w:rsidR="00F70A70" w:rsidRPr="004005A3" w:rsidRDefault="004005A3" w:rsidP="00A04E73">
            <w:pPr>
              <w:spacing w:before="100" w:beforeAutospacing="1" w:after="100" w:afterAutospacing="1" w:line="240" w:lineRule="auto"/>
              <w:jc w:val="center"/>
              <w:rPr>
                <w:rFonts w:cs="Arial"/>
                <w:b/>
                <w:bCs/>
                <w:color w:val="FFFFFF" w:themeColor="background1"/>
                <w:sz w:val="18"/>
                <w:szCs w:val="18"/>
              </w:rPr>
            </w:pPr>
            <w:r w:rsidRPr="004005A3">
              <w:rPr>
                <w:rFonts w:cs="Arial"/>
                <w:b/>
                <w:bCs/>
                <w:color w:val="FFFFFF" w:themeColor="background1"/>
                <w:sz w:val="18"/>
                <w:szCs w:val="18"/>
              </w:rPr>
              <w:t>6.981</w:t>
            </w:r>
          </w:p>
        </w:tc>
        <w:tc>
          <w:tcPr>
            <w:tcW w:w="0" w:type="auto"/>
            <w:shd w:val="clear" w:color="auto" w:fill="76922E"/>
            <w:noWrap/>
            <w:vAlign w:val="center"/>
            <w:hideMark/>
          </w:tcPr>
          <w:p w:rsidR="00F70A70" w:rsidRPr="004005A3" w:rsidRDefault="004005A3" w:rsidP="00A04E73">
            <w:pPr>
              <w:spacing w:before="100" w:beforeAutospacing="1" w:after="100" w:afterAutospacing="1" w:line="240" w:lineRule="auto"/>
              <w:jc w:val="center"/>
              <w:rPr>
                <w:rFonts w:cs="Arial"/>
                <w:b/>
                <w:bCs/>
                <w:color w:val="FFFFFF" w:themeColor="background1"/>
                <w:sz w:val="18"/>
                <w:szCs w:val="18"/>
              </w:rPr>
            </w:pPr>
            <w:r w:rsidRPr="004005A3">
              <w:rPr>
                <w:rFonts w:cs="Arial"/>
                <w:b/>
                <w:bCs/>
                <w:color w:val="FFFFFF" w:themeColor="background1"/>
                <w:sz w:val="18"/>
                <w:szCs w:val="18"/>
              </w:rPr>
              <w:t>174.026</w:t>
            </w:r>
          </w:p>
        </w:tc>
        <w:tc>
          <w:tcPr>
            <w:tcW w:w="0" w:type="auto"/>
            <w:shd w:val="clear" w:color="auto" w:fill="76922E"/>
            <w:noWrap/>
            <w:vAlign w:val="center"/>
            <w:hideMark/>
          </w:tcPr>
          <w:p w:rsidR="00F70A70" w:rsidRPr="004005A3" w:rsidRDefault="004005A3" w:rsidP="00A04E73">
            <w:pPr>
              <w:spacing w:before="100" w:beforeAutospacing="1" w:after="100" w:afterAutospacing="1" w:line="240" w:lineRule="auto"/>
              <w:jc w:val="center"/>
              <w:rPr>
                <w:rFonts w:cs="Arial"/>
                <w:b/>
                <w:bCs/>
                <w:color w:val="FFFFFF" w:themeColor="background1"/>
                <w:sz w:val="18"/>
                <w:szCs w:val="18"/>
              </w:rPr>
            </w:pPr>
            <w:r w:rsidRPr="004005A3">
              <w:rPr>
                <w:rFonts w:cs="Arial"/>
                <w:b/>
                <w:bCs/>
                <w:color w:val="FFFFFF" w:themeColor="background1"/>
                <w:sz w:val="18"/>
                <w:szCs w:val="18"/>
              </w:rPr>
              <w:t>174.026</w:t>
            </w:r>
          </w:p>
        </w:tc>
        <w:tc>
          <w:tcPr>
            <w:tcW w:w="0" w:type="auto"/>
            <w:shd w:val="clear" w:color="auto" w:fill="76922E"/>
            <w:noWrap/>
            <w:vAlign w:val="center"/>
            <w:hideMark/>
          </w:tcPr>
          <w:p w:rsidR="00F70A70" w:rsidRPr="004005A3" w:rsidRDefault="004005A3" w:rsidP="00F70A70">
            <w:pPr>
              <w:spacing w:before="100" w:beforeAutospacing="1" w:after="100" w:afterAutospacing="1" w:line="240" w:lineRule="auto"/>
              <w:jc w:val="right"/>
              <w:rPr>
                <w:rFonts w:cs="Arial"/>
                <w:b/>
                <w:bCs/>
                <w:color w:val="FFFFFF" w:themeColor="background1"/>
                <w:sz w:val="18"/>
                <w:szCs w:val="18"/>
              </w:rPr>
            </w:pPr>
            <w:r w:rsidRPr="004005A3">
              <w:rPr>
                <w:rFonts w:cs="Arial"/>
                <w:b/>
                <w:bCs/>
                <w:color w:val="FFFFFF" w:themeColor="background1"/>
                <w:sz w:val="18"/>
                <w:szCs w:val="18"/>
              </w:rPr>
              <w:t>$          56.449.992.435</w:t>
            </w:r>
          </w:p>
        </w:tc>
      </w:tr>
      <w:tr w:rsidR="00F70A70" w:rsidRPr="004005A3" w:rsidTr="004005A3">
        <w:trPr>
          <w:trHeight w:val="315"/>
          <w:jc w:val="center"/>
        </w:trPr>
        <w:tc>
          <w:tcPr>
            <w:tcW w:w="0" w:type="auto"/>
            <w:shd w:val="clear" w:color="auto" w:fill="auto"/>
            <w:vAlign w:val="center"/>
            <w:hideMark/>
          </w:tcPr>
          <w:p w:rsidR="00F70A70" w:rsidRPr="00A04E73" w:rsidRDefault="004005A3" w:rsidP="00A04E73">
            <w:pPr>
              <w:spacing w:after="0" w:line="240" w:lineRule="auto"/>
              <w:rPr>
                <w:rFonts w:eastAsia="Times New Roman" w:cs="Arial"/>
                <w:color w:val="000000"/>
                <w:sz w:val="18"/>
                <w:szCs w:val="18"/>
                <w:lang w:val="es-CO" w:eastAsia="es-CO"/>
              </w:rPr>
            </w:pPr>
            <w:r w:rsidRPr="00A04E73">
              <w:rPr>
                <w:rFonts w:eastAsia="Times New Roman" w:cs="Arial"/>
                <w:color w:val="000000"/>
                <w:sz w:val="18"/>
                <w:szCs w:val="18"/>
                <w:lang w:val="es-CO" w:eastAsia="es-CO"/>
              </w:rPr>
              <w:t>Generaciones con Bienestar</w:t>
            </w:r>
          </w:p>
        </w:tc>
        <w:tc>
          <w:tcPr>
            <w:tcW w:w="0" w:type="auto"/>
            <w:shd w:val="clear" w:color="auto" w:fill="auto"/>
            <w:noWrap/>
            <w:vAlign w:val="center"/>
            <w:hideMark/>
          </w:tcPr>
          <w:p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4.699</w:t>
            </w:r>
          </w:p>
        </w:tc>
        <w:tc>
          <w:tcPr>
            <w:tcW w:w="0" w:type="auto"/>
            <w:shd w:val="clear" w:color="auto" w:fill="auto"/>
            <w:noWrap/>
            <w:vAlign w:val="center"/>
            <w:hideMark/>
          </w:tcPr>
          <w:p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117.436</w:t>
            </w:r>
          </w:p>
        </w:tc>
        <w:tc>
          <w:tcPr>
            <w:tcW w:w="0" w:type="auto"/>
            <w:shd w:val="clear" w:color="auto" w:fill="auto"/>
            <w:noWrap/>
            <w:vAlign w:val="center"/>
            <w:hideMark/>
          </w:tcPr>
          <w:p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117.436</w:t>
            </w:r>
          </w:p>
        </w:tc>
        <w:tc>
          <w:tcPr>
            <w:tcW w:w="0" w:type="auto"/>
            <w:shd w:val="clear" w:color="auto" w:fill="auto"/>
            <w:noWrap/>
            <w:vAlign w:val="center"/>
            <w:hideMark/>
          </w:tcPr>
          <w:p w:rsidR="00F70A70" w:rsidRPr="00A04E73" w:rsidRDefault="004005A3" w:rsidP="00A04E73">
            <w:pPr>
              <w:spacing w:after="0" w:line="240" w:lineRule="auto"/>
              <w:rPr>
                <w:rFonts w:eastAsia="Times New Roman" w:cs="Arial"/>
                <w:color w:val="000000"/>
                <w:sz w:val="18"/>
                <w:szCs w:val="18"/>
                <w:lang w:val="es-CO" w:eastAsia="es-CO"/>
              </w:rPr>
            </w:pPr>
            <w:r w:rsidRPr="00A04E73">
              <w:rPr>
                <w:rFonts w:eastAsia="Times New Roman" w:cs="Arial"/>
                <w:color w:val="000000"/>
                <w:sz w:val="18"/>
                <w:szCs w:val="18"/>
                <w:lang w:val="es-CO" w:eastAsia="es-CO"/>
              </w:rPr>
              <w:t>$          33.073.841.201</w:t>
            </w:r>
          </w:p>
        </w:tc>
      </w:tr>
      <w:tr w:rsidR="00F70A70" w:rsidRPr="004005A3" w:rsidTr="004005A3">
        <w:trPr>
          <w:trHeight w:val="315"/>
          <w:jc w:val="center"/>
        </w:trPr>
        <w:tc>
          <w:tcPr>
            <w:tcW w:w="0" w:type="auto"/>
            <w:shd w:val="clear" w:color="auto" w:fill="auto"/>
            <w:vAlign w:val="center"/>
            <w:hideMark/>
          </w:tcPr>
          <w:p w:rsidR="00F70A70" w:rsidRPr="00A04E73" w:rsidRDefault="004005A3" w:rsidP="00A04E73">
            <w:pPr>
              <w:spacing w:after="0" w:line="240" w:lineRule="auto"/>
              <w:rPr>
                <w:rFonts w:eastAsia="Times New Roman" w:cs="Arial"/>
                <w:color w:val="000000"/>
                <w:sz w:val="18"/>
                <w:szCs w:val="18"/>
                <w:lang w:val="es-CO" w:eastAsia="es-CO"/>
              </w:rPr>
            </w:pPr>
            <w:r w:rsidRPr="00A04E73">
              <w:rPr>
                <w:rFonts w:eastAsia="Times New Roman" w:cs="Arial"/>
                <w:color w:val="000000"/>
                <w:sz w:val="18"/>
                <w:szCs w:val="18"/>
                <w:lang w:val="es-CO" w:eastAsia="es-CO"/>
              </w:rPr>
              <w:t>Generaciones Étnicas con Bienestar</w:t>
            </w:r>
          </w:p>
        </w:tc>
        <w:tc>
          <w:tcPr>
            <w:tcW w:w="0" w:type="auto"/>
            <w:shd w:val="clear" w:color="auto" w:fill="auto"/>
            <w:noWrap/>
            <w:vAlign w:val="center"/>
            <w:hideMark/>
          </w:tcPr>
          <w:p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1.402</w:t>
            </w:r>
          </w:p>
        </w:tc>
        <w:tc>
          <w:tcPr>
            <w:tcW w:w="0" w:type="auto"/>
            <w:shd w:val="clear" w:color="auto" w:fill="auto"/>
            <w:noWrap/>
            <w:vAlign w:val="center"/>
            <w:hideMark/>
          </w:tcPr>
          <w:p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34.543</w:t>
            </w:r>
          </w:p>
        </w:tc>
        <w:tc>
          <w:tcPr>
            <w:tcW w:w="0" w:type="auto"/>
            <w:shd w:val="clear" w:color="auto" w:fill="auto"/>
            <w:noWrap/>
            <w:vAlign w:val="center"/>
            <w:hideMark/>
          </w:tcPr>
          <w:p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34.543</w:t>
            </w:r>
          </w:p>
        </w:tc>
        <w:tc>
          <w:tcPr>
            <w:tcW w:w="0" w:type="auto"/>
            <w:shd w:val="clear" w:color="auto" w:fill="auto"/>
            <w:noWrap/>
            <w:vAlign w:val="center"/>
            <w:hideMark/>
          </w:tcPr>
          <w:p w:rsidR="00F70A70" w:rsidRPr="00A04E73" w:rsidRDefault="004005A3" w:rsidP="00A04E73">
            <w:pPr>
              <w:spacing w:after="0" w:line="240" w:lineRule="auto"/>
              <w:rPr>
                <w:rFonts w:eastAsia="Times New Roman" w:cs="Arial"/>
                <w:color w:val="000000"/>
                <w:sz w:val="18"/>
                <w:szCs w:val="18"/>
                <w:lang w:val="es-CO" w:eastAsia="es-CO"/>
              </w:rPr>
            </w:pPr>
            <w:r w:rsidRPr="00A04E73">
              <w:rPr>
                <w:rFonts w:eastAsia="Times New Roman" w:cs="Arial"/>
                <w:color w:val="000000"/>
                <w:sz w:val="18"/>
                <w:szCs w:val="18"/>
                <w:lang w:val="es-CO" w:eastAsia="es-CO"/>
              </w:rPr>
              <w:t>$          15.496.994.260</w:t>
            </w:r>
          </w:p>
        </w:tc>
      </w:tr>
      <w:tr w:rsidR="00F70A70" w:rsidRPr="004005A3" w:rsidTr="004005A3">
        <w:trPr>
          <w:trHeight w:val="315"/>
          <w:jc w:val="center"/>
        </w:trPr>
        <w:tc>
          <w:tcPr>
            <w:tcW w:w="0" w:type="auto"/>
            <w:shd w:val="clear" w:color="auto" w:fill="auto"/>
            <w:vAlign w:val="center"/>
            <w:hideMark/>
          </w:tcPr>
          <w:p w:rsidR="00F70A70" w:rsidRPr="00A04E73" w:rsidRDefault="004005A3" w:rsidP="00A04E73">
            <w:pPr>
              <w:spacing w:after="0" w:line="240" w:lineRule="auto"/>
              <w:rPr>
                <w:rFonts w:eastAsia="Times New Roman" w:cs="Arial"/>
                <w:color w:val="000000"/>
                <w:sz w:val="18"/>
                <w:szCs w:val="18"/>
                <w:lang w:val="es-CO" w:eastAsia="es-CO"/>
              </w:rPr>
            </w:pPr>
            <w:r w:rsidRPr="00A04E73">
              <w:rPr>
                <w:rFonts w:eastAsia="Times New Roman" w:cs="Arial"/>
                <w:color w:val="000000"/>
                <w:sz w:val="18"/>
                <w:szCs w:val="18"/>
                <w:lang w:val="es-CO" w:eastAsia="es-CO"/>
              </w:rPr>
              <w:t>Generaciones Rurales con Bienestar</w:t>
            </w:r>
          </w:p>
        </w:tc>
        <w:tc>
          <w:tcPr>
            <w:tcW w:w="0" w:type="auto"/>
            <w:shd w:val="clear" w:color="auto" w:fill="auto"/>
            <w:noWrap/>
            <w:vAlign w:val="center"/>
            <w:hideMark/>
          </w:tcPr>
          <w:p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880</w:t>
            </w:r>
          </w:p>
        </w:tc>
        <w:tc>
          <w:tcPr>
            <w:tcW w:w="0" w:type="auto"/>
            <w:shd w:val="clear" w:color="auto" w:fill="auto"/>
            <w:noWrap/>
            <w:vAlign w:val="center"/>
            <w:hideMark/>
          </w:tcPr>
          <w:p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22.047</w:t>
            </w:r>
          </w:p>
        </w:tc>
        <w:tc>
          <w:tcPr>
            <w:tcW w:w="0" w:type="auto"/>
            <w:shd w:val="clear" w:color="auto" w:fill="auto"/>
            <w:noWrap/>
            <w:vAlign w:val="center"/>
            <w:hideMark/>
          </w:tcPr>
          <w:p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22.047</w:t>
            </w:r>
          </w:p>
        </w:tc>
        <w:tc>
          <w:tcPr>
            <w:tcW w:w="0" w:type="auto"/>
            <w:shd w:val="clear" w:color="auto" w:fill="auto"/>
            <w:noWrap/>
            <w:vAlign w:val="center"/>
            <w:hideMark/>
          </w:tcPr>
          <w:p w:rsidR="00F70A70" w:rsidRPr="00A04E73" w:rsidRDefault="004005A3" w:rsidP="00A04E73">
            <w:pPr>
              <w:spacing w:after="0" w:line="240" w:lineRule="auto"/>
              <w:rPr>
                <w:rFonts w:eastAsia="Times New Roman" w:cs="Arial"/>
                <w:color w:val="000000"/>
                <w:sz w:val="18"/>
                <w:szCs w:val="18"/>
                <w:lang w:val="es-CO" w:eastAsia="es-CO"/>
              </w:rPr>
            </w:pPr>
            <w:r w:rsidRPr="00A04E73">
              <w:rPr>
                <w:rFonts w:eastAsia="Times New Roman" w:cs="Arial"/>
                <w:color w:val="000000"/>
                <w:sz w:val="18"/>
                <w:szCs w:val="18"/>
                <w:lang w:val="es-CO" w:eastAsia="es-CO"/>
              </w:rPr>
              <w:t>$            7.919.156.974</w:t>
            </w:r>
          </w:p>
        </w:tc>
      </w:tr>
      <w:tr w:rsidR="00F70A70" w:rsidRPr="004005A3" w:rsidTr="004005A3">
        <w:trPr>
          <w:trHeight w:val="465"/>
          <w:jc w:val="center"/>
        </w:trPr>
        <w:tc>
          <w:tcPr>
            <w:tcW w:w="0" w:type="auto"/>
            <w:shd w:val="clear" w:color="auto" w:fill="76922E"/>
            <w:vAlign w:val="center"/>
            <w:hideMark/>
          </w:tcPr>
          <w:p w:rsidR="00F70A70" w:rsidRPr="004005A3" w:rsidRDefault="004005A3" w:rsidP="00F70A70">
            <w:pPr>
              <w:spacing w:before="100" w:beforeAutospacing="1" w:after="100" w:afterAutospacing="1" w:line="240" w:lineRule="auto"/>
              <w:jc w:val="both"/>
              <w:rPr>
                <w:rFonts w:cs="Arial"/>
                <w:b/>
                <w:bCs/>
                <w:color w:val="FFFFFF" w:themeColor="background1"/>
                <w:sz w:val="18"/>
                <w:szCs w:val="18"/>
              </w:rPr>
            </w:pPr>
            <w:r w:rsidRPr="004005A3">
              <w:rPr>
                <w:rFonts w:cs="Arial"/>
                <w:b/>
                <w:bCs/>
                <w:color w:val="FFFFFF" w:themeColor="background1"/>
                <w:sz w:val="18"/>
                <w:szCs w:val="18"/>
              </w:rPr>
              <w:t xml:space="preserve">Promoción </w:t>
            </w:r>
            <w:r>
              <w:rPr>
                <w:rFonts w:cs="Arial"/>
                <w:b/>
                <w:bCs/>
                <w:color w:val="FFFFFF" w:themeColor="background1"/>
                <w:sz w:val="18"/>
                <w:szCs w:val="18"/>
              </w:rPr>
              <w:t xml:space="preserve">y </w:t>
            </w:r>
            <w:r w:rsidR="00E45489">
              <w:rPr>
                <w:rFonts w:cs="Arial"/>
                <w:b/>
                <w:bCs/>
                <w:color w:val="FFFFFF" w:themeColor="background1"/>
                <w:sz w:val="18"/>
                <w:szCs w:val="18"/>
              </w:rPr>
              <w:t>Prevención</w:t>
            </w:r>
            <w:r>
              <w:rPr>
                <w:rFonts w:cs="Arial"/>
                <w:b/>
                <w:bCs/>
                <w:color w:val="FFFFFF" w:themeColor="background1"/>
                <w:sz w:val="18"/>
                <w:szCs w:val="18"/>
              </w:rPr>
              <w:t xml:space="preserve"> para l</w:t>
            </w:r>
            <w:r w:rsidRPr="004005A3">
              <w:rPr>
                <w:rFonts w:cs="Arial"/>
                <w:b/>
                <w:bCs/>
                <w:color w:val="FFFFFF" w:themeColor="background1"/>
                <w:sz w:val="18"/>
                <w:szCs w:val="18"/>
              </w:rPr>
              <w:t>a Protección</w:t>
            </w:r>
            <w:r>
              <w:rPr>
                <w:rFonts w:cs="Arial"/>
                <w:b/>
                <w:bCs/>
                <w:color w:val="FFFFFF" w:themeColor="background1"/>
                <w:sz w:val="18"/>
                <w:szCs w:val="18"/>
              </w:rPr>
              <w:t xml:space="preserve"> Integral d</w:t>
            </w:r>
            <w:r w:rsidRPr="004005A3">
              <w:rPr>
                <w:rFonts w:cs="Arial"/>
                <w:b/>
                <w:bCs/>
                <w:color w:val="FFFFFF" w:themeColor="background1"/>
                <w:sz w:val="18"/>
                <w:szCs w:val="18"/>
              </w:rPr>
              <w:t>e NNA - (APD)</w:t>
            </w:r>
          </w:p>
        </w:tc>
        <w:tc>
          <w:tcPr>
            <w:tcW w:w="0" w:type="auto"/>
            <w:shd w:val="clear" w:color="auto" w:fill="76922E"/>
            <w:noWrap/>
            <w:vAlign w:val="center"/>
            <w:hideMark/>
          </w:tcPr>
          <w:p w:rsidR="00F70A70" w:rsidRPr="004005A3" w:rsidRDefault="004005A3" w:rsidP="00A04E73">
            <w:pPr>
              <w:spacing w:before="100" w:beforeAutospacing="1" w:after="100" w:afterAutospacing="1" w:line="240" w:lineRule="auto"/>
              <w:jc w:val="center"/>
              <w:rPr>
                <w:rFonts w:cs="Arial"/>
                <w:b/>
                <w:bCs/>
                <w:color w:val="FFFFFF" w:themeColor="background1"/>
                <w:sz w:val="18"/>
                <w:szCs w:val="18"/>
              </w:rPr>
            </w:pPr>
            <w:r w:rsidRPr="004005A3">
              <w:rPr>
                <w:rFonts w:cs="Arial"/>
                <w:b/>
                <w:bCs/>
                <w:color w:val="FFFFFF" w:themeColor="background1"/>
                <w:sz w:val="18"/>
                <w:szCs w:val="18"/>
              </w:rPr>
              <w:t>1.140</w:t>
            </w:r>
          </w:p>
        </w:tc>
        <w:tc>
          <w:tcPr>
            <w:tcW w:w="0" w:type="auto"/>
            <w:shd w:val="clear" w:color="auto" w:fill="76922E"/>
            <w:noWrap/>
            <w:vAlign w:val="center"/>
            <w:hideMark/>
          </w:tcPr>
          <w:p w:rsidR="00F70A70" w:rsidRPr="004005A3" w:rsidRDefault="004005A3" w:rsidP="00A04E73">
            <w:pPr>
              <w:spacing w:before="100" w:beforeAutospacing="1" w:after="100" w:afterAutospacing="1" w:line="240" w:lineRule="auto"/>
              <w:jc w:val="center"/>
              <w:rPr>
                <w:rFonts w:cs="Arial"/>
                <w:b/>
                <w:bCs/>
                <w:color w:val="FFFFFF" w:themeColor="background1"/>
                <w:sz w:val="18"/>
                <w:szCs w:val="18"/>
              </w:rPr>
            </w:pPr>
            <w:r w:rsidRPr="004005A3">
              <w:rPr>
                <w:rFonts w:cs="Arial"/>
                <w:b/>
                <w:bCs/>
                <w:color w:val="FFFFFF" w:themeColor="background1"/>
                <w:sz w:val="18"/>
                <w:szCs w:val="18"/>
              </w:rPr>
              <w:t>27.959</w:t>
            </w:r>
          </w:p>
        </w:tc>
        <w:tc>
          <w:tcPr>
            <w:tcW w:w="0" w:type="auto"/>
            <w:shd w:val="clear" w:color="auto" w:fill="76922E"/>
            <w:noWrap/>
            <w:vAlign w:val="center"/>
            <w:hideMark/>
          </w:tcPr>
          <w:p w:rsidR="00F70A70" w:rsidRPr="004005A3" w:rsidRDefault="004005A3" w:rsidP="00A04E73">
            <w:pPr>
              <w:spacing w:before="100" w:beforeAutospacing="1" w:after="100" w:afterAutospacing="1" w:line="240" w:lineRule="auto"/>
              <w:jc w:val="center"/>
              <w:rPr>
                <w:rFonts w:cs="Arial"/>
                <w:b/>
                <w:bCs/>
                <w:color w:val="FFFFFF" w:themeColor="background1"/>
                <w:sz w:val="18"/>
                <w:szCs w:val="18"/>
              </w:rPr>
            </w:pPr>
            <w:r w:rsidRPr="004005A3">
              <w:rPr>
                <w:rFonts w:cs="Arial"/>
                <w:b/>
                <w:bCs/>
                <w:color w:val="FFFFFF" w:themeColor="background1"/>
                <w:sz w:val="18"/>
                <w:szCs w:val="18"/>
              </w:rPr>
              <w:t>27.959</w:t>
            </w:r>
          </w:p>
        </w:tc>
        <w:tc>
          <w:tcPr>
            <w:tcW w:w="0" w:type="auto"/>
            <w:shd w:val="clear" w:color="auto" w:fill="76922E"/>
            <w:noWrap/>
            <w:vAlign w:val="center"/>
            <w:hideMark/>
          </w:tcPr>
          <w:p w:rsidR="00F70A70" w:rsidRPr="004005A3" w:rsidRDefault="004005A3" w:rsidP="00F70A70">
            <w:pPr>
              <w:spacing w:before="100" w:beforeAutospacing="1" w:after="100" w:afterAutospacing="1" w:line="240" w:lineRule="auto"/>
              <w:jc w:val="right"/>
              <w:rPr>
                <w:rFonts w:cs="Arial"/>
                <w:b/>
                <w:bCs/>
                <w:color w:val="FFFFFF" w:themeColor="background1"/>
                <w:sz w:val="18"/>
                <w:szCs w:val="18"/>
              </w:rPr>
            </w:pPr>
            <w:r w:rsidRPr="004005A3">
              <w:rPr>
                <w:rFonts w:cs="Arial"/>
                <w:b/>
                <w:bCs/>
                <w:color w:val="FFFFFF" w:themeColor="background1"/>
                <w:sz w:val="18"/>
                <w:szCs w:val="18"/>
              </w:rPr>
              <w:t>$          12.039.278.943</w:t>
            </w:r>
          </w:p>
        </w:tc>
      </w:tr>
      <w:tr w:rsidR="00F70A70" w:rsidRPr="004005A3" w:rsidTr="004005A3">
        <w:trPr>
          <w:trHeight w:val="690"/>
          <w:jc w:val="center"/>
        </w:trPr>
        <w:tc>
          <w:tcPr>
            <w:tcW w:w="0" w:type="auto"/>
            <w:shd w:val="clear" w:color="auto" w:fill="auto"/>
            <w:vAlign w:val="center"/>
            <w:hideMark/>
          </w:tcPr>
          <w:p w:rsidR="00F70A70" w:rsidRPr="00A04E73" w:rsidRDefault="004005A3" w:rsidP="00A04E73">
            <w:pPr>
              <w:spacing w:after="0" w:line="240" w:lineRule="auto"/>
              <w:rPr>
                <w:rFonts w:eastAsia="Times New Roman" w:cs="Arial"/>
                <w:color w:val="000000"/>
                <w:sz w:val="18"/>
                <w:szCs w:val="18"/>
                <w:lang w:val="es-CO" w:eastAsia="es-CO"/>
              </w:rPr>
            </w:pPr>
            <w:r w:rsidRPr="00A04E73">
              <w:rPr>
                <w:rFonts w:eastAsia="Times New Roman" w:cs="Arial"/>
                <w:color w:val="000000"/>
                <w:sz w:val="18"/>
                <w:szCs w:val="18"/>
                <w:lang w:val="es-CO" w:eastAsia="es-CO"/>
              </w:rPr>
              <w:t>Servicios de Política Social - Prevención de Generaciones con Bienestar para la atención y Reparación Integral a las Victimas</w:t>
            </w:r>
          </w:p>
        </w:tc>
        <w:tc>
          <w:tcPr>
            <w:tcW w:w="0" w:type="auto"/>
            <w:shd w:val="clear" w:color="auto" w:fill="auto"/>
            <w:noWrap/>
            <w:vAlign w:val="center"/>
            <w:hideMark/>
          </w:tcPr>
          <w:p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245</w:t>
            </w:r>
          </w:p>
        </w:tc>
        <w:tc>
          <w:tcPr>
            <w:tcW w:w="0" w:type="auto"/>
            <w:shd w:val="clear" w:color="auto" w:fill="auto"/>
            <w:noWrap/>
            <w:vAlign w:val="center"/>
            <w:hideMark/>
          </w:tcPr>
          <w:p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5.682</w:t>
            </w:r>
          </w:p>
        </w:tc>
        <w:tc>
          <w:tcPr>
            <w:tcW w:w="0" w:type="auto"/>
            <w:shd w:val="clear" w:color="auto" w:fill="auto"/>
            <w:noWrap/>
            <w:vAlign w:val="center"/>
            <w:hideMark/>
          </w:tcPr>
          <w:p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5.682</w:t>
            </w:r>
          </w:p>
        </w:tc>
        <w:tc>
          <w:tcPr>
            <w:tcW w:w="0" w:type="auto"/>
            <w:shd w:val="clear" w:color="auto" w:fill="auto"/>
            <w:noWrap/>
            <w:vAlign w:val="center"/>
            <w:hideMark/>
          </w:tcPr>
          <w:p w:rsidR="00F70A70" w:rsidRPr="00A04E73" w:rsidRDefault="004005A3" w:rsidP="00A04E73">
            <w:pPr>
              <w:spacing w:after="0" w:line="240" w:lineRule="auto"/>
              <w:rPr>
                <w:rFonts w:eastAsia="Times New Roman" w:cs="Arial"/>
                <w:color w:val="000000"/>
                <w:sz w:val="18"/>
                <w:szCs w:val="18"/>
                <w:lang w:val="es-CO" w:eastAsia="es-CO"/>
              </w:rPr>
            </w:pPr>
            <w:r w:rsidRPr="00A04E73">
              <w:rPr>
                <w:rFonts w:eastAsia="Times New Roman" w:cs="Arial"/>
                <w:color w:val="000000"/>
                <w:sz w:val="18"/>
                <w:szCs w:val="18"/>
                <w:lang w:val="es-CO" w:eastAsia="es-CO"/>
              </w:rPr>
              <w:t>$            1.639.937.138</w:t>
            </w:r>
          </w:p>
        </w:tc>
      </w:tr>
      <w:tr w:rsidR="00F70A70" w:rsidRPr="004005A3" w:rsidTr="004005A3">
        <w:trPr>
          <w:trHeight w:val="690"/>
          <w:jc w:val="center"/>
        </w:trPr>
        <w:tc>
          <w:tcPr>
            <w:tcW w:w="0" w:type="auto"/>
            <w:shd w:val="clear" w:color="auto" w:fill="auto"/>
            <w:vAlign w:val="center"/>
            <w:hideMark/>
          </w:tcPr>
          <w:p w:rsidR="00F70A70" w:rsidRPr="00A04E73" w:rsidRDefault="004B4BEF" w:rsidP="00A04E73">
            <w:pPr>
              <w:spacing w:after="0" w:line="240" w:lineRule="auto"/>
              <w:rPr>
                <w:rFonts w:eastAsia="Times New Roman" w:cs="Arial"/>
                <w:color w:val="000000"/>
                <w:sz w:val="18"/>
                <w:szCs w:val="18"/>
                <w:lang w:val="es-CO" w:eastAsia="es-CO"/>
              </w:rPr>
            </w:pPr>
            <w:r w:rsidRPr="00A04E73">
              <w:rPr>
                <w:rFonts w:eastAsia="Times New Roman" w:cs="Arial"/>
                <w:color w:val="000000"/>
                <w:sz w:val="18"/>
                <w:szCs w:val="18"/>
                <w:lang w:val="es-CO" w:eastAsia="es-CO"/>
              </w:rPr>
              <w:lastRenderedPageBreak/>
              <w:t>Servicios d</w:t>
            </w:r>
            <w:r w:rsidR="004005A3" w:rsidRPr="00A04E73">
              <w:rPr>
                <w:rFonts w:eastAsia="Times New Roman" w:cs="Arial"/>
                <w:color w:val="000000"/>
                <w:sz w:val="18"/>
                <w:szCs w:val="18"/>
                <w:lang w:val="es-CO" w:eastAsia="es-CO"/>
              </w:rPr>
              <w:t xml:space="preserve">e </w:t>
            </w:r>
            <w:r w:rsidRPr="00A04E73">
              <w:rPr>
                <w:rFonts w:eastAsia="Times New Roman" w:cs="Arial"/>
                <w:color w:val="000000"/>
                <w:sz w:val="18"/>
                <w:szCs w:val="18"/>
                <w:lang w:val="es-CO" w:eastAsia="es-CO"/>
              </w:rPr>
              <w:t>Política</w:t>
            </w:r>
            <w:r w:rsidR="004005A3" w:rsidRPr="00A04E73">
              <w:rPr>
                <w:rFonts w:eastAsia="Times New Roman" w:cs="Arial"/>
                <w:color w:val="000000"/>
                <w:sz w:val="18"/>
                <w:szCs w:val="18"/>
                <w:lang w:val="es-CO" w:eastAsia="es-CO"/>
              </w:rPr>
              <w:t xml:space="preserve"> Social - </w:t>
            </w:r>
            <w:r w:rsidRPr="00A04E73">
              <w:rPr>
                <w:rFonts w:eastAsia="Times New Roman" w:cs="Arial"/>
                <w:color w:val="000000"/>
                <w:sz w:val="18"/>
                <w:szCs w:val="18"/>
                <w:lang w:val="es-CO" w:eastAsia="es-CO"/>
              </w:rPr>
              <w:t>Prevención d</w:t>
            </w:r>
            <w:r w:rsidR="004005A3" w:rsidRPr="00A04E73">
              <w:rPr>
                <w:rFonts w:eastAsia="Times New Roman" w:cs="Arial"/>
                <w:color w:val="000000"/>
                <w:sz w:val="18"/>
                <w:szCs w:val="18"/>
                <w:lang w:val="es-CO" w:eastAsia="es-CO"/>
              </w:rPr>
              <w:t>e G</w:t>
            </w:r>
            <w:r w:rsidRPr="00A04E73">
              <w:rPr>
                <w:rFonts w:eastAsia="Times New Roman" w:cs="Arial"/>
                <w:color w:val="000000"/>
                <w:sz w:val="18"/>
                <w:szCs w:val="18"/>
                <w:lang w:val="es-CO" w:eastAsia="es-CO"/>
              </w:rPr>
              <w:t>eneraciones Con Bienestar Para l</w:t>
            </w:r>
            <w:r w:rsidR="004005A3" w:rsidRPr="00A04E73">
              <w:rPr>
                <w:rFonts w:eastAsia="Times New Roman" w:cs="Arial"/>
                <w:color w:val="000000"/>
                <w:sz w:val="18"/>
                <w:szCs w:val="18"/>
                <w:lang w:val="es-CO" w:eastAsia="es-CO"/>
              </w:rPr>
              <w:t xml:space="preserve">a </w:t>
            </w:r>
            <w:r w:rsidRPr="00A04E73">
              <w:rPr>
                <w:rFonts w:eastAsia="Times New Roman" w:cs="Arial"/>
                <w:color w:val="000000"/>
                <w:sz w:val="18"/>
                <w:szCs w:val="18"/>
                <w:lang w:val="es-CO" w:eastAsia="es-CO"/>
              </w:rPr>
              <w:t>Atención Y Reparación Integral a l</w:t>
            </w:r>
            <w:r w:rsidR="004005A3" w:rsidRPr="00A04E73">
              <w:rPr>
                <w:rFonts w:eastAsia="Times New Roman" w:cs="Arial"/>
                <w:color w:val="000000"/>
                <w:sz w:val="18"/>
                <w:szCs w:val="18"/>
                <w:lang w:val="es-CO" w:eastAsia="es-CO"/>
              </w:rPr>
              <w:t xml:space="preserve">as Victimas </w:t>
            </w:r>
            <w:r w:rsidRPr="00A04E73">
              <w:rPr>
                <w:rFonts w:eastAsia="Times New Roman" w:cs="Arial"/>
                <w:color w:val="000000"/>
                <w:sz w:val="18"/>
                <w:szCs w:val="18"/>
                <w:lang w:val="es-CO" w:eastAsia="es-CO"/>
              </w:rPr>
              <w:t>Étnicos</w:t>
            </w:r>
          </w:p>
        </w:tc>
        <w:tc>
          <w:tcPr>
            <w:tcW w:w="0" w:type="auto"/>
            <w:shd w:val="clear" w:color="auto" w:fill="auto"/>
            <w:noWrap/>
            <w:vAlign w:val="center"/>
            <w:hideMark/>
          </w:tcPr>
          <w:p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841</w:t>
            </w:r>
          </w:p>
        </w:tc>
        <w:tc>
          <w:tcPr>
            <w:tcW w:w="0" w:type="auto"/>
            <w:shd w:val="clear" w:color="auto" w:fill="auto"/>
            <w:noWrap/>
            <w:vAlign w:val="center"/>
            <w:hideMark/>
          </w:tcPr>
          <w:p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21.003</w:t>
            </w:r>
          </w:p>
        </w:tc>
        <w:tc>
          <w:tcPr>
            <w:tcW w:w="0" w:type="auto"/>
            <w:shd w:val="clear" w:color="auto" w:fill="auto"/>
            <w:noWrap/>
            <w:vAlign w:val="center"/>
            <w:hideMark/>
          </w:tcPr>
          <w:p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21.003</w:t>
            </w:r>
          </w:p>
        </w:tc>
        <w:tc>
          <w:tcPr>
            <w:tcW w:w="0" w:type="auto"/>
            <w:shd w:val="clear" w:color="auto" w:fill="auto"/>
            <w:noWrap/>
            <w:vAlign w:val="center"/>
            <w:hideMark/>
          </w:tcPr>
          <w:p w:rsidR="00F70A70" w:rsidRPr="00A04E73" w:rsidRDefault="004005A3" w:rsidP="00A04E73">
            <w:pPr>
              <w:spacing w:after="0" w:line="240" w:lineRule="auto"/>
              <w:rPr>
                <w:rFonts w:eastAsia="Times New Roman" w:cs="Arial"/>
                <w:color w:val="000000"/>
                <w:sz w:val="18"/>
                <w:szCs w:val="18"/>
                <w:lang w:val="es-CO" w:eastAsia="es-CO"/>
              </w:rPr>
            </w:pPr>
            <w:r w:rsidRPr="00A04E73">
              <w:rPr>
                <w:rFonts w:eastAsia="Times New Roman" w:cs="Arial"/>
                <w:color w:val="000000"/>
                <w:sz w:val="18"/>
                <w:szCs w:val="18"/>
                <w:lang w:val="es-CO" w:eastAsia="es-CO"/>
              </w:rPr>
              <w:t>$            9.934.780.635</w:t>
            </w:r>
          </w:p>
        </w:tc>
      </w:tr>
      <w:tr w:rsidR="00F70A70" w:rsidRPr="004005A3" w:rsidTr="004005A3">
        <w:trPr>
          <w:trHeight w:val="690"/>
          <w:jc w:val="center"/>
        </w:trPr>
        <w:tc>
          <w:tcPr>
            <w:tcW w:w="0" w:type="auto"/>
            <w:shd w:val="clear" w:color="auto" w:fill="auto"/>
            <w:vAlign w:val="center"/>
            <w:hideMark/>
          </w:tcPr>
          <w:p w:rsidR="00F70A70" w:rsidRPr="00A04E73" w:rsidRDefault="004B4BEF" w:rsidP="00A04E73">
            <w:pPr>
              <w:spacing w:after="0" w:line="240" w:lineRule="auto"/>
              <w:rPr>
                <w:rFonts w:eastAsia="Times New Roman" w:cs="Arial"/>
                <w:color w:val="000000"/>
                <w:sz w:val="18"/>
                <w:szCs w:val="18"/>
                <w:lang w:val="es-CO" w:eastAsia="es-CO"/>
              </w:rPr>
            </w:pPr>
            <w:r w:rsidRPr="00A04E73">
              <w:rPr>
                <w:rFonts w:eastAsia="Times New Roman" w:cs="Arial"/>
                <w:color w:val="000000"/>
                <w:sz w:val="18"/>
                <w:szCs w:val="18"/>
                <w:lang w:val="es-CO" w:eastAsia="es-CO"/>
              </w:rPr>
              <w:t>Servicios d</w:t>
            </w:r>
            <w:r w:rsidR="004005A3" w:rsidRPr="00A04E73">
              <w:rPr>
                <w:rFonts w:eastAsia="Times New Roman" w:cs="Arial"/>
                <w:color w:val="000000"/>
                <w:sz w:val="18"/>
                <w:szCs w:val="18"/>
                <w:lang w:val="es-CO" w:eastAsia="es-CO"/>
              </w:rPr>
              <w:t xml:space="preserve">e </w:t>
            </w:r>
            <w:r w:rsidRPr="00A04E73">
              <w:rPr>
                <w:rFonts w:eastAsia="Times New Roman" w:cs="Arial"/>
                <w:color w:val="000000"/>
                <w:sz w:val="18"/>
                <w:szCs w:val="18"/>
                <w:lang w:val="es-CO" w:eastAsia="es-CO"/>
              </w:rPr>
              <w:t>Política</w:t>
            </w:r>
            <w:r w:rsidR="004005A3" w:rsidRPr="00A04E73">
              <w:rPr>
                <w:rFonts w:eastAsia="Times New Roman" w:cs="Arial"/>
                <w:color w:val="000000"/>
                <w:sz w:val="18"/>
                <w:szCs w:val="18"/>
                <w:lang w:val="es-CO" w:eastAsia="es-CO"/>
              </w:rPr>
              <w:t xml:space="preserve"> Social - </w:t>
            </w:r>
            <w:r w:rsidRPr="00A04E73">
              <w:rPr>
                <w:rFonts w:eastAsia="Times New Roman" w:cs="Arial"/>
                <w:color w:val="000000"/>
                <w:sz w:val="18"/>
                <w:szCs w:val="18"/>
                <w:lang w:val="es-CO" w:eastAsia="es-CO"/>
              </w:rPr>
              <w:t>Prevención de Generaciones c</w:t>
            </w:r>
            <w:r w:rsidR="004005A3" w:rsidRPr="00A04E73">
              <w:rPr>
                <w:rFonts w:eastAsia="Times New Roman" w:cs="Arial"/>
                <w:color w:val="000000"/>
                <w:sz w:val="18"/>
                <w:szCs w:val="18"/>
                <w:lang w:val="es-CO" w:eastAsia="es-CO"/>
              </w:rPr>
              <w:t xml:space="preserve">on Bienestar Para </w:t>
            </w:r>
            <w:r w:rsidRPr="00A04E73">
              <w:rPr>
                <w:rFonts w:eastAsia="Times New Roman" w:cs="Arial"/>
                <w:color w:val="000000"/>
                <w:sz w:val="18"/>
                <w:szCs w:val="18"/>
                <w:lang w:val="es-CO" w:eastAsia="es-CO"/>
              </w:rPr>
              <w:t>l</w:t>
            </w:r>
            <w:r w:rsidR="004005A3" w:rsidRPr="00A04E73">
              <w:rPr>
                <w:rFonts w:eastAsia="Times New Roman" w:cs="Arial"/>
                <w:color w:val="000000"/>
                <w:sz w:val="18"/>
                <w:szCs w:val="18"/>
                <w:lang w:val="es-CO" w:eastAsia="es-CO"/>
              </w:rPr>
              <w:t xml:space="preserve">a </w:t>
            </w:r>
            <w:r w:rsidRPr="00A04E73">
              <w:rPr>
                <w:rFonts w:eastAsia="Times New Roman" w:cs="Arial"/>
                <w:color w:val="000000"/>
                <w:sz w:val="18"/>
                <w:szCs w:val="18"/>
                <w:lang w:val="es-CO" w:eastAsia="es-CO"/>
              </w:rPr>
              <w:t>atención y Reparación Integral a l</w:t>
            </w:r>
            <w:r w:rsidR="004005A3" w:rsidRPr="00A04E73">
              <w:rPr>
                <w:rFonts w:eastAsia="Times New Roman" w:cs="Arial"/>
                <w:color w:val="000000"/>
                <w:sz w:val="18"/>
                <w:szCs w:val="18"/>
                <w:lang w:val="es-CO" w:eastAsia="es-CO"/>
              </w:rPr>
              <w:t>as Victimas Rurales</w:t>
            </w:r>
          </w:p>
        </w:tc>
        <w:tc>
          <w:tcPr>
            <w:tcW w:w="0" w:type="auto"/>
            <w:shd w:val="clear" w:color="auto" w:fill="auto"/>
            <w:noWrap/>
            <w:vAlign w:val="center"/>
            <w:hideMark/>
          </w:tcPr>
          <w:p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54</w:t>
            </w:r>
          </w:p>
        </w:tc>
        <w:tc>
          <w:tcPr>
            <w:tcW w:w="0" w:type="auto"/>
            <w:shd w:val="clear" w:color="auto" w:fill="auto"/>
            <w:noWrap/>
            <w:vAlign w:val="center"/>
            <w:hideMark/>
          </w:tcPr>
          <w:p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1.274</w:t>
            </w:r>
          </w:p>
        </w:tc>
        <w:tc>
          <w:tcPr>
            <w:tcW w:w="0" w:type="auto"/>
            <w:shd w:val="clear" w:color="auto" w:fill="auto"/>
            <w:noWrap/>
            <w:vAlign w:val="center"/>
            <w:hideMark/>
          </w:tcPr>
          <w:p w:rsidR="00F70A70" w:rsidRPr="00A04E73" w:rsidRDefault="004005A3" w:rsidP="00A04E73">
            <w:pPr>
              <w:spacing w:after="0" w:line="240" w:lineRule="auto"/>
              <w:jc w:val="center"/>
              <w:rPr>
                <w:rFonts w:eastAsia="Times New Roman" w:cs="Arial"/>
                <w:color w:val="000000"/>
                <w:sz w:val="18"/>
                <w:szCs w:val="18"/>
                <w:lang w:val="es-CO" w:eastAsia="es-CO"/>
              </w:rPr>
            </w:pPr>
            <w:r w:rsidRPr="00A04E73">
              <w:rPr>
                <w:rFonts w:eastAsia="Times New Roman" w:cs="Arial"/>
                <w:color w:val="000000"/>
                <w:sz w:val="18"/>
                <w:szCs w:val="18"/>
                <w:lang w:val="es-CO" w:eastAsia="es-CO"/>
              </w:rPr>
              <w:t>1.274</w:t>
            </w:r>
          </w:p>
        </w:tc>
        <w:tc>
          <w:tcPr>
            <w:tcW w:w="0" w:type="auto"/>
            <w:shd w:val="clear" w:color="auto" w:fill="auto"/>
            <w:noWrap/>
            <w:vAlign w:val="center"/>
            <w:hideMark/>
          </w:tcPr>
          <w:p w:rsidR="00F70A70" w:rsidRPr="00A04E73" w:rsidRDefault="004005A3" w:rsidP="00A04E73">
            <w:pPr>
              <w:spacing w:after="0" w:line="240" w:lineRule="auto"/>
              <w:rPr>
                <w:rFonts w:eastAsia="Times New Roman" w:cs="Arial"/>
                <w:color w:val="000000"/>
                <w:sz w:val="18"/>
                <w:szCs w:val="18"/>
                <w:lang w:val="es-CO" w:eastAsia="es-CO"/>
              </w:rPr>
            </w:pPr>
            <w:r w:rsidRPr="00A04E73">
              <w:rPr>
                <w:rFonts w:eastAsia="Times New Roman" w:cs="Arial"/>
                <w:color w:val="000000"/>
                <w:sz w:val="18"/>
                <w:szCs w:val="18"/>
                <w:lang w:val="es-CO" w:eastAsia="es-CO"/>
              </w:rPr>
              <w:t>$               464.561.170</w:t>
            </w:r>
          </w:p>
        </w:tc>
      </w:tr>
      <w:tr w:rsidR="00F70A70" w:rsidRPr="004005A3" w:rsidTr="00E45489">
        <w:trPr>
          <w:trHeight w:val="465"/>
          <w:jc w:val="center"/>
        </w:trPr>
        <w:tc>
          <w:tcPr>
            <w:tcW w:w="0" w:type="auto"/>
            <w:shd w:val="clear" w:color="auto" w:fill="76922E"/>
            <w:vAlign w:val="center"/>
            <w:hideMark/>
          </w:tcPr>
          <w:p w:rsidR="00F70A70" w:rsidRPr="00FF1DE0" w:rsidRDefault="00A04E73" w:rsidP="00A04E73">
            <w:pPr>
              <w:spacing w:after="0" w:line="240" w:lineRule="auto"/>
              <w:rPr>
                <w:rFonts w:eastAsia="Times New Roman" w:cs="Arial"/>
                <w:b/>
                <w:color w:val="FFFFFF" w:themeColor="background1"/>
                <w:sz w:val="18"/>
                <w:szCs w:val="18"/>
                <w:lang w:val="es-CO" w:eastAsia="es-CO"/>
              </w:rPr>
            </w:pPr>
            <w:r w:rsidRPr="00FF1DE0">
              <w:rPr>
                <w:rFonts w:eastAsia="Times New Roman" w:cs="Arial"/>
                <w:b/>
                <w:color w:val="FFFFFF" w:themeColor="background1"/>
                <w:sz w:val="18"/>
                <w:szCs w:val="18"/>
                <w:lang w:val="es-CO" w:eastAsia="es-CO"/>
              </w:rPr>
              <w:t>Acciones para l</w:t>
            </w:r>
            <w:r w:rsidR="004005A3" w:rsidRPr="00FF1DE0">
              <w:rPr>
                <w:rFonts w:eastAsia="Times New Roman" w:cs="Arial"/>
                <w:b/>
                <w:color w:val="FFFFFF" w:themeColor="background1"/>
                <w:sz w:val="18"/>
                <w:szCs w:val="18"/>
                <w:lang w:val="es-CO" w:eastAsia="es-CO"/>
              </w:rPr>
              <w:t xml:space="preserve">a </w:t>
            </w:r>
            <w:r w:rsidR="00E45489" w:rsidRPr="00FF1DE0">
              <w:rPr>
                <w:rFonts w:eastAsia="Times New Roman" w:cs="Arial"/>
                <w:b/>
                <w:color w:val="FFFFFF" w:themeColor="background1"/>
                <w:sz w:val="18"/>
                <w:szCs w:val="18"/>
                <w:lang w:val="es-CO" w:eastAsia="es-CO"/>
              </w:rPr>
              <w:t>Prevención</w:t>
            </w:r>
            <w:r w:rsidRPr="00FF1DE0">
              <w:rPr>
                <w:rFonts w:eastAsia="Times New Roman" w:cs="Arial"/>
                <w:b/>
                <w:color w:val="FFFFFF" w:themeColor="background1"/>
                <w:sz w:val="18"/>
                <w:szCs w:val="18"/>
                <w:lang w:val="es-CO" w:eastAsia="es-CO"/>
              </w:rPr>
              <w:t xml:space="preserve"> d</w:t>
            </w:r>
            <w:r w:rsidR="004005A3" w:rsidRPr="00FF1DE0">
              <w:rPr>
                <w:rFonts w:eastAsia="Times New Roman" w:cs="Arial"/>
                <w:b/>
                <w:color w:val="FFFFFF" w:themeColor="background1"/>
                <w:sz w:val="18"/>
                <w:szCs w:val="18"/>
                <w:lang w:val="es-CO" w:eastAsia="es-CO"/>
              </w:rPr>
              <w:t>e Embarazo Adolescente</w:t>
            </w:r>
          </w:p>
          <w:p w:rsidR="00F70A70" w:rsidRPr="00FF1DE0" w:rsidRDefault="004005A3" w:rsidP="00A04E73">
            <w:pPr>
              <w:spacing w:after="0" w:line="240" w:lineRule="auto"/>
              <w:rPr>
                <w:rFonts w:eastAsia="Times New Roman" w:cs="Arial"/>
                <w:color w:val="FFFFFF" w:themeColor="background1"/>
                <w:sz w:val="18"/>
                <w:szCs w:val="18"/>
                <w:lang w:val="es-CO" w:eastAsia="es-CO"/>
              </w:rPr>
            </w:pPr>
            <w:r w:rsidRPr="00FF1DE0">
              <w:rPr>
                <w:rFonts w:eastAsia="Times New Roman" w:cs="Arial"/>
                <w:color w:val="FFFFFF" w:themeColor="background1"/>
                <w:sz w:val="18"/>
                <w:szCs w:val="18"/>
                <w:lang w:val="es-CO" w:eastAsia="es-CO"/>
              </w:rPr>
              <w:t>(C</w:t>
            </w:r>
            <w:r w:rsidR="00A04E73" w:rsidRPr="00FF1DE0">
              <w:rPr>
                <w:rFonts w:eastAsia="Times New Roman" w:cs="Arial"/>
                <w:color w:val="FFFFFF" w:themeColor="background1"/>
                <w:sz w:val="18"/>
                <w:szCs w:val="18"/>
                <w:lang w:val="es-CO" w:eastAsia="es-CO"/>
              </w:rPr>
              <w:t>onvenios Especiales - Acciones para la Prevención d</w:t>
            </w:r>
            <w:r w:rsidRPr="00FF1DE0">
              <w:rPr>
                <w:rFonts w:eastAsia="Times New Roman" w:cs="Arial"/>
                <w:color w:val="FFFFFF" w:themeColor="background1"/>
                <w:sz w:val="18"/>
                <w:szCs w:val="18"/>
                <w:lang w:val="es-CO" w:eastAsia="es-CO"/>
              </w:rPr>
              <w:t xml:space="preserve">e </w:t>
            </w:r>
            <w:r w:rsidR="00A04E73" w:rsidRPr="00FF1DE0">
              <w:rPr>
                <w:rFonts w:eastAsia="Times New Roman" w:cs="Arial"/>
                <w:color w:val="FFFFFF" w:themeColor="background1"/>
                <w:sz w:val="18"/>
                <w:szCs w:val="18"/>
                <w:lang w:val="es-CO" w:eastAsia="es-CO"/>
              </w:rPr>
              <w:t>embarazo</w:t>
            </w:r>
            <w:r w:rsidRPr="00FF1DE0">
              <w:rPr>
                <w:rFonts w:eastAsia="Times New Roman" w:cs="Arial"/>
                <w:color w:val="FFFFFF" w:themeColor="background1"/>
                <w:sz w:val="18"/>
                <w:szCs w:val="18"/>
                <w:lang w:val="es-CO" w:eastAsia="es-CO"/>
              </w:rPr>
              <w:t xml:space="preserve"> Adolescente)</w:t>
            </w:r>
          </w:p>
        </w:tc>
        <w:tc>
          <w:tcPr>
            <w:tcW w:w="0" w:type="auto"/>
            <w:shd w:val="clear" w:color="auto" w:fill="76922E"/>
            <w:noWrap/>
            <w:vAlign w:val="center"/>
            <w:hideMark/>
          </w:tcPr>
          <w:p w:rsidR="00F70A70" w:rsidRPr="00A04E73" w:rsidRDefault="004005A3" w:rsidP="00A04E73">
            <w:pPr>
              <w:spacing w:after="0" w:line="240" w:lineRule="auto"/>
              <w:jc w:val="center"/>
              <w:rPr>
                <w:rFonts w:eastAsia="Times New Roman" w:cs="Arial"/>
                <w:b/>
                <w:color w:val="FFFFFF" w:themeColor="background1"/>
                <w:sz w:val="18"/>
                <w:szCs w:val="18"/>
                <w:lang w:val="es-CO" w:eastAsia="es-CO"/>
              </w:rPr>
            </w:pPr>
            <w:r w:rsidRPr="00A04E73">
              <w:rPr>
                <w:rFonts w:eastAsia="Times New Roman" w:cs="Arial"/>
                <w:b/>
                <w:color w:val="FFFFFF" w:themeColor="background1"/>
                <w:sz w:val="18"/>
                <w:szCs w:val="18"/>
                <w:lang w:val="es-CO" w:eastAsia="es-CO"/>
              </w:rPr>
              <w:t>-</w:t>
            </w:r>
          </w:p>
        </w:tc>
        <w:tc>
          <w:tcPr>
            <w:tcW w:w="0" w:type="auto"/>
            <w:shd w:val="clear" w:color="auto" w:fill="76922E"/>
            <w:noWrap/>
            <w:vAlign w:val="center"/>
            <w:hideMark/>
          </w:tcPr>
          <w:p w:rsidR="00F70A70" w:rsidRPr="00FE17D6" w:rsidRDefault="004005A3" w:rsidP="00A04E73">
            <w:pPr>
              <w:spacing w:after="0" w:line="240" w:lineRule="auto"/>
              <w:jc w:val="center"/>
              <w:rPr>
                <w:rFonts w:eastAsia="Times New Roman" w:cs="Arial"/>
                <w:color w:val="FFFFFF" w:themeColor="background1"/>
                <w:sz w:val="18"/>
                <w:szCs w:val="18"/>
                <w:lang w:val="es-CO" w:eastAsia="es-CO"/>
              </w:rPr>
            </w:pPr>
            <w:r w:rsidRPr="00FE17D6">
              <w:rPr>
                <w:rFonts w:eastAsia="Times New Roman" w:cs="Arial"/>
                <w:color w:val="FFFFFF" w:themeColor="background1"/>
                <w:sz w:val="18"/>
                <w:szCs w:val="18"/>
                <w:lang w:val="es-CO" w:eastAsia="es-CO"/>
              </w:rPr>
              <w:t>4.448</w:t>
            </w:r>
          </w:p>
        </w:tc>
        <w:tc>
          <w:tcPr>
            <w:tcW w:w="0" w:type="auto"/>
            <w:shd w:val="clear" w:color="auto" w:fill="76922E"/>
            <w:noWrap/>
            <w:vAlign w:val="center"/>
            <w:hideMark/>
          </w:tcPr>
          <w:p w:rsidR="00F70A70" w:rsidRPr="00FE17D6" w:rsidRDefault="004005A3" w:rsidP="00A04E73">
            <w:pPr>
              <w:spacing w:after="0" w:line="240" w:lineRule="auto"/>
              <w:jc w:val="center"/>
              <w:rPr>
                <w:rFonts w:eastAsia="Times New Roman" w:cs="Arial"/>
                <w:color w:val="FFFFFF" w:themeColor="background1"/>
                <w:sz w:val="18"/>
                <w:szCs w:val="18"/>
                <w:lang w:val="es-CO" w:eastAsia="es-CO"/>
              </w:rPr>
            </w:pPr>
            <w:r w:rsidRPr="00FE17D6">
              <w:rPr>
                <w:rFonts w:eastAsia="Times New Roman" w:cs="Arial"/>
                <w:color w:val="FFFFFF" w:themeColor="background1"/>
                <w:sz w:val="18"/>
                <w:szCs w:val="18"/>
                <w:lang w:val="es-CO" w:eastAsia="es-CO"/>
              </w:rPr>
              <w:t>4.448</w:t>
            </w:r>
          </w:p>
        </w:tc>
        <w:tc>
          <w:tcPr>
            <w:tcW w:w="0" w:type="auto"/>
            <w:shd w:val="clear" w:color="auto" w:fill="76922E"/>
            <w:noWrap/>
            <w:vAlign w:val="center"/>
            <w:hideMark/>
          </w:tcPr>
          <w:p w:rsidR="00F70A70" w:rsidRPr="00FE17D6" w:rsidRDefault="004005A3" w:rsidP="00A04E73">
            <w:pPr>
              <w:spacing w:after="0" w:line="240" w:lineRule="auto"/>
              <w:rPr>
                <w:rFonts w:eastAsia="Times New Roman" w:cs="Arial"/>
                <w:color w:val="FFFFFF" w:themeColor="background1"/>
                <w:sz w:val="18"/>
                <w:szCs w:val="18"/>
                <w:lang w:val="es-CO" w:eastAsia="es-CO"/>
              </w:rPr>
            </w:pPr>
            <w:r w:rsidRPr="00FE17D6">
              <w:rPr>
                <w:rFonts w:eastAsia="Times New Roman" w:cs="Arial"/>
                <w:color w:val="FFFFFF" w:themeColor="background1"/>
                <w:sz w:val="18"/>
                <w:szCs w:val="18"/>
                <w:lang w:val="es-CO" w:eastAsia="es-CO"/>
              </w:rPr>
              <w:t>$           4.527.234.400</w:t>
            </w:r>
          </w:p>
        </w:tc>
      </w:tr>
      <w:tr w:rsidR="00F70A70" w:rsidRPr="004005A3" w:rsidTr="00E45489">
        <w:trPr>
          <w:trHeight w:val="315"/>
          <w:jc w:val="center"/>
        </w:trPr>
        <w:tc>
          <w:tcPr>
            <w:tcW w:w="0" w:type="auto"/>
            <w:shd w:val="clear" w:color="auto" w:fill="76922E"/>
            <w:vAlign w:val="center"/>
            <w:hideMark/>
          </w:tcPr>
          <w:p w:rsidR="00F70A70" w:rsidRPr="00FF1DE0" w:rsidRDefault="00A04E73" w:rsidP="00A04E73">
            <w:pPr>
              <w:spacing w:after="0" w:line="240" w:lineRule="auto"/>
              <w:rPr>
                <w:rFonts w:eastAsia="Times New Roman" w:cs="Arial"/>
                <w:b/>
                <w:color w:val="FFFFFF" w:themeColor="background1"/>
                <w:sz w:val="18"/>
                <w:szCs w:val="18"/>
                <w:lang w:val="es-CO" w:eastAsia="es-CO"/>
              </w:rPr>
            </w:pPr>
            <w:r w:rsidRPr="00FF1DE0">
              <w:rPr>
                <w:rFonts w:eastAsia="Times New Roman" w:cs="Arial"/>
                <w:b/>
                <w:color w:val="FFFFFF" w:themeColor="background1"/>
                <w:sz w:val="18"/>
                <w:szCs w:val="18"/>
                <w:lang w:val="es-CO" w:eastAsia="es-CO"/>
              </w:rPr>
              <w:t>Acciones Masivas d</w:t>
            </w:r>
            <w:r w:rsidR="004005A3" w:rsidRPr="00FF1DE0">
              <w:rPr>
                <w:rFonts w:eastAsia="Times New Roman" w:cs="Arial"/>
                <w:b/>
                <w:color w:val="FFFFFF" w:themeColor="background1"/>
                <w:sz w:val="18"/>
                <w:szCs w:val="18"/>
                <w:lang w:val="es-CO" w:eastAsia="es-CO"/>
              </w:rPr>
              <w:t>e Alto Impacto Social- Amas</w:t>
            </w:r>
          </w:p>
          <w:p w:rsidR="00F70A70" w:rsidRPr="00FF1DE0" w:rsidRDefault="004005A3" w:rsidP="00A04E73">
            <w:pPr>
              <w:spacing w:after="0" w:line="240" w:lineRule="auto"/>
              <w:rPr>
                <w:rFonts w:eastAsia="Times New Roman" w:cs="Arial"/>
                <w:color w:val="FFFFFF" w:themeColor="background1"/>
                <w:sz w:val="18"/>
                <w:szCs w:val="18"/>
                <w:lang w:val="es-CO" w:eastAsia="es-CO"/>
              </w:rPr>
            </w:pPr>
            <w:r w:rsidRPr="00FF1DE0">
              <w:rPr>
                <w:rFonts w:eastAsia="Times New Roman" w:cs="Arial"/>
                <w:color w:val="FFFFFF" w:themeColor="background1"/>
                <w:sz w:val="18"/>
                <w:szCs w:val="18"/>
                <w:lang w:val="es-CO" w:eastAsia="es-CO"/>
              </w:rPr>
              <w:t xml:space="preserve">(Convenios </w:t>
            </w:r>
            <w:r w:rsidR="00A04E73" w:rsidRPr="00FF1DE0">
              <w:rPr>
                <w:rFonts w:eastAsia="Times New Roman" w:cs="Arial"/>
                <w:color w:val="FFFFFF" w:themeColor="background1"/>
                <w:sz w:val="18"/>
                <w:szCs w:val="18"/>
                <w:lang w:val="es-CO" w:eastAsia="es-CO"/>
              </w:rPr>
              <w:t>Especiales- Acciones de Promoción d</w:t>
            </w:r>
            <w:r w:rsidRPr="00FF1DE0">
              <w:rPr>
                <w:rFonts w:eastAsia="Times New Roman" w:cs="Arial"/>
                <w:color w:val="FFFFFF" w:themeColor="background1"/>
                <w:sz w:val="18"/>
                <w:szCs w:val="18"/>
                <w:lang w:val="es-CO" w:eastAsia="es-CO"/>
              </w:rPr>
              <w:t>e Derechos)</w:t>
            </w:r>
          </w:p>
        </w:tc>
        <w:tc>
          <w:tcPr>
            <w:tcW w:w="0" w:type="auto"/>
            <w:shd w:val="clear" w:color="auto" w:fill="76922E"/>
            <w:noWrap/>
            <w:vAlign w:val="center"/>
            <w:hideMark/>
          </w:tcPr>
          <w:p w:rsidR="00F70A70" w:rsidRPr="00A04E73" w:rsidRDefault="004005A3" w:rsidP="00A04E73">
            <w:pPr>
              <w:spacing w:after="0" w:line="240" w:lineRule="auto"/>
              <w:jc w:val="center"/>
              <w:rPr>
                <w:rFonts w:eastAsia="Times New Roman" w:cs="Arial"/>
                <w:b/>
                <w:color w:val="FFFFFF" w:themeColor="background1"/>
                <w:sz w:val="18"/>
                <w:szCs w:val="18"/>
                <w:lang w:val="es-CO" w:eastAsia="es-CO"/>
              </w:rPr>
            </w:pPr>
            <w:r w:rsidRPr="00A04E73">
              <w:rPr>
                <w:rFonts w:eastAsia="Times New Roman" w:cs="Arial"/>
                <w:b/>
                <w:color w:val="FFFFFF" w:themeColor="background1"/>
                <w:sz w:val="18"/>
                <w:szCs w:val="18"/>
                <w:lang w:val="es-CO" w:eastAsia="es-CO"/>
              </w:rPr>
              <w:t>-</w:t>
            </w:r>
          </w:p>
        </w:tc>
        <w:tc>
          <w:tcPr>
            <w:tcW w:w="0" w:type="auto"/>
            <w:shd w:val="clear" w:color="auto" w:fill="76922E"/>
            <w:noWrap/>
            <w:vAlign w:val="center"/>
            <w:hideMark/>
          </w:tcPr>
          <w:p w:rsidR="00F70A70" w:rsidRPr="00FE17D6" w:rsidRDefault="004005A3" w:rsidP="00A04E73">
            <w:pPr>
              <w:spacing w:after="0" w:line="240" w:lineRule="auto"/>
              <w:jc w:val="center"/>
              <w:rPr>
                <w:rFonts w:eastAsia="Times New Roman" w:cs="Arial"/>
                <w:color w:val="FFFFFF" w:themeColor="background1"/>
                <w:sz w:val="18"/>
                <w:szCs w:val="18"/>
                <w:lang w:val="es-CO" w:eastAsia="es-CO"/>
              </w:rPr>
            </w:pPr>
            <w:r w:rsidRPr="00FE17D6">
              <w:rPr>
                <w:rFonts w:eastAsia="Times New Roman" w:cs="Arial"/>
                <w:color w:val="FFFFFF" w:themeColor="background1"/>
                <w:sz w:val="18"/>
                <w:szCs w:val="18"/>
                <w:lang w:val="es-CO" w:eastAsia="es-CO"/>
              </w:rPr>
              <w:t>19.469</w:t>
            </w:r>
          </w:p>
        </w:tc>
        <w:tc>
          <w:tcPr>
            <w:tcW w:w="0" w:type="auto"/>
            <w:shd w:val="clear" w:color="auto" w:fill="76922E"/>
            <w:noWrap/>
            <w:vAlign w:val="center"/>
            <w:hideMark/>
          </w:tcPr>
          <w:p w:rsidR="00F70A70" w:rsidRPr="00FE17D6" w:rsidRDefault="004005A3" w:rsidP="00A04E73">
            <w:pPr>
              <w:spacing w:after="0" w:line="240" w:lineRule="auto"/>
              <w:jc w:val="center"/>
              <w:rPr>
                <w:rFonts w:eastAsia="Times New Roman" w:cs="Arial"/>
                <w:color w:val="FFFFFF" w:themeColor="background1"/>
                <w:sz w:val="18"/>
                <w:szCs w:val="18"/>
                <w:lang w:val="es-CO" w:eastAsia="es-CO"/>
              </w:rPr>
            </w:pPr>
            <w:r w:rsidRPr="00FE17D6">
              <w:rPr>
                <w:rFonts w:eastAsia="Times New Roman" w:cs="Arial"/>
                <w:color w:val="FFFFFF" w:themeColor="background1"/>
                <w:sz w:val="18"/>
                <w:szCs w:val="18"/>
                <w:lang w:val="es-CO" w:eastAsia="es-CO"/>
              </w:rPr>
              <w:t>19.469</w:t>
            </w:r>
          </w:p>
        </w:tc>
        <w:tc>
          <w:tcPr>
            <w:tcW w:w="0" w:type="auto"/>
            <w:shd w:val="clear" w:color="auto" w:fill="76922E"/>
            <w:noWrap/>
            <w:vAlign w:val="center"/>
            <w:hideMark/>
          </w:tcPr>
          <w:p w:rsidR="00F70A70" w:rsidRPr="00FE17D6" w:rsidRDefault="004005A3" w:rsidP="00A04E73">
            <w:pPr>
              <w:spacing w:after="0" w:line="240" w:lineRule="auto"/>
              <w:rPr>
                <w:rFonts w:eastAsia="Times New Roman" w:cs="Arial"/>
                <w:color w:val="FFFFFF" w:themeColor="background1"/>
                <w:sz w:val="18"/>
                <w:szCs w:val="18"/>
                <w:lang w:val="es-CO" w:eastAsia="es-CO"/>
              </w:rPr>
            </w:pPr>
            <w:r w:rsidRPr="00FE17D6">
              <w:rPr>
                <w:rFonts w:eastAsia="Times New Roman" w:cs="Arial"/>
                <w:color w:val="FFFFFF" w:themeColor="background1"/>
                <w:sz w:val="18"/>
                <w:szCs w:val="18"/>
                <w:lang w:val="es-CO" w:eastAsia="es-CO"/>
              </w:rPr>
              <w:t>$         17.695.852.244</w:t>
            </w:r>
          </w:p>
        </w:tc>
      </w:tr>
      <w:tr w:rsidR="00F70A70" w:rsidRPr="004005A3" w:rsidTr="00E45489">
        <w:trPr>
          <w:trHeight w:val="740"/>
          <w:jc w:val="center"/>
        </w:trPr>
        <w:tc>
          <w:tcPr>
            <w:tcW w:w="0" w:type="auto"/>
            <w:shd w:val="clear" w:color="auto" w:fill="76922E"/>
            <w:vAlign w:val="center"/>
            <w:hideMark/>
          </w:tcPr>
          <w:p w:rsidR="00F70A70" w:rsidRPr="00FF1DE0" w:rsidRDefault="00FF1DE0" w:rsidP="00A04E73">
            <w:pPr>
              <w:spacing w:after="0" w:line="240" w:lineRule="auto"/>
              <w:rPr>
                <w:rFonts w:eastAsia="Times New Roman" w:cs="Arial"/>
                <w:b/>
                <w:color w:val="FFFFFF" w:themeColor="background1"/>
                <w:sz w:val="18"/>
                <w:szCs w:val="18"/>
                <w:lang w:val="es-CO" w:eastAsia="es-CO"/>
              </w:rPr>
            </w:pPr>
            <w:r>
              <w:rPr>
                <w:rFonts w:eastAsia="Times New Roman" w:cs="Arial"/>
                <w:b/>
                <w:color w:val="FFFFFF" w:themeColor="background1"/>
                <w:sz w:val="18"/>
                <w:szCs w:val="18"/>
                <w:lang w:val="es-CO" w:eastAsia="es-CO"/>
              </w:rPr>
              <w:t>Escuela de Padres, Madres y</w:t>
            </w:r>
            <w:r w:rsidR="004005A3" w:rsidRPr="00FF1DE0">
              <w:rPr>
                <w:rFonts w:eastAsia="Times New Roman" w:cs="Arial"/>
                <w:b/>
                <w:color w:val="FFFFFF" w:themeColor="background1"/>
                <w:sz w:val="18"/>
                <w:szCs w:val="18"/>
                <w:lang w:val="es-CO" w:eastAsia="es-CO"/>
              </w:rPr>
              <w:t xml:space="preserve"> Cuidadores</w:t>
            </w:r>
          </w:p>
          <w:p w:rsidR="00F70A70" w:rsidRPr="00FF1DE0" w:rsidRDefault="00A04E73" w:rsidP="00A04E73">
            <w:pPr>
              <w:spacing w:after="0" w:line="240" w:lineRule="auto"/>
              <w:rPr>
                <w:rFonts w:eastAsia="Times New Roman" w:cs="Arial"/>
                <w:color w:val="FFFFFF" w:themeColor="background1"/>
                <w:sz w:val="18"/>
                <w:szCs w:val="18"/>
                <w:lang w:val="es-CO" w:eastAsia="es-CO"/>
              </w:rPr>
            </w:pPr>
            <w:r w:rsidRPr="00FF1DE0">
              <w:rPr>
                <w:rFonts w:eastAsia="Times New Roman" w:cs="Arial"/>
                <w:color w:val="FFFFFF" w:themeColor="background1"/>
                <w:sz w:val="18"/>
                <w:szCs w:val="18"/>
                <w:lang w:val="es-CO" w:eastAsia="es-CO"/>
              </w:rPr>
              <w:t>(Servicio de Análisis o</w:t>
            </w:r>
            <w:r w:rsidR="004005A3" w:rsidRPr="00FF1DE0">
              <w:rPr>
                <w:rFonts w:eastAsia="Times New Roman" w:cs="Arial"/>
                <w:color w:val="FFFFFF" w:themeColor="background1"/>
                <w:sz w:val="18"/>
                <w:szCs w:val="18"/>
                <w:lang w:val="es-CO" w:eastAsia="es-CO"/>
              </w:rPr>
              <w:t xml:space="preserve"> </w:t>
            </w:r>
            <w:r w:rsidRPr="00FF1DE0">
              <w:rPr>
                <w:rFonts w:eastAsia="Times New Roman" w:cs="Arial"/>
                <w:color w:val="FFFFFF" w:themeColor="background1"/>
                <w:sz w:val="18"/>
                <w:szCs w:val="18"/>
                <w:lang w:val="es-CO" w:eastAsia="es-CO"/>
              </w:rPr>
              <w:t>Gestión d</w:t>
            </w:r>
            <w:r w:rsidR="004005A3" w:rsidRPr="00FF1DE0">
              <w:rPr>
                <w:rFonts w:eastAsia="Times New Roman" w:cs="Arial"/>
                <w:color w:val="FFFFFF" w:themeColor="background1"/>
                <w:sz w:val="18"/>
                <w:szCs w:val="18"/>
                <w:lang w:val="es-CO" w:eastAsia="es-CO"/>
              </w:rPr>
              <w:t>e Problemas Sociales (Estrategia Construyendo Juntos Entornos Protectores)</w:t>
            </w:r>
          </w:p>
        </w:tc>
        <w:tc>
          <w:tcPr>
            <w:tcW w:w="0" w:type="auto"/>
            <w:shd w:val="clear" w:color="auto" w:fill="76922E"/>
            <w:noWrap/>
            <w:vAlign w:val="center"/>
            <w:hideMark/>
          </w:tcPr>
          <w:p w:rsidR="00F70A70" w:rsidRPr="00A04E73" w:rsidRDefault="004005A3" w:rsidP="00A04E73">
            <w:pPr>
              <w:spacing w:after="0" w:line="240" w:lineRule="auto"/>
              <w:jc w:val="center"/>
              <w:rPr>
                <w:rFonts w:eastAsia="Times New Roman" w:cs="Arial"/>
                <w:b/>
                <w:color w:val="FFFFFF" w:themeColor="background1"/>
                <w:sz w:val="18"/>
                <w:szCs w:val="18"/>
                <w:lang w:val="es-CO" w:eastAsia="es-CO"/>
              </w:rPr>
            </w:pPr>
            <w:r w:rsidRPr="00A04E73">
              <w:rPr>
                <w:rFonts w:eastAsia="Times New Roman" w:cs="Arial"/>
                <w:b/>
                <w:color w:val="FFFFFF" w:themeColor="background1"/>
                <w:sz w:val="18"/>
                <w:szCs w:val="18"/>
                <w:lang w:val="es-CO" w:eastAsia="es-CO"/>
              </w:rPr>
              <w:t>-</w:t>
            </w:r>
          </w:p>
        </w:tc>
        <w:tc>
          <w:tcPr>
            <w:tcW w:w="0" w:type="auto"/>
            <w:shd w:val="clear" w:color="auto" w:fill="76922E"/>
            <w:noWrap/>
            <w:vAlign w:val="center"/>
            <w:hideMark/>
          </w:tcPr>
          <w:p w:rsidR="00F70A70" w:rsidRPr="00FE17D6" w:rsidRDefault="004005A3" w:rsidP="00A04E73">
            <w:pPr>
              <w:spacing w:after="0" w:line="240" w:lineRule="auto"/>
              <w:jc w:val="center"/>
              <w:rPr>
                <w:rFonts w:eastAsia="Times New Roman" w:cs="Arial"/>
                <w:color w:val="FFFFFF" w:themeColor="background1"/>
                <w:sz w:val="18"/>
                <w:szCs w:val="18"/>
                <w:lang w:val="es-CO" w:eastAsia="es-CO"/>
              </w:rPr>
            </w:pPr>
            <w:r w:rsidRPr="00FE17D6">
              <w:rPr>
                <w:rFonts w:eastAsia="Times New Roman" w:cs="Arial"/>
                <w:color w:val="FFFFFF" w:themeColor="background1"/>
                <w:sz w:val="18"/>
                <w:szCs w:val="18"/>
                <w:lang w:val="es-CO" w:eastAsia="es-CO"/>
              </w:rPr>
              <w:t>15.213</w:t>
            </w:r>
          </w:p>
        </w:tc>
        <w:tc>
          <w:tcPr>
            <w:tcW w:w="0" w:type="auto"/>
            <w:shd w:val="clear" w:color="auto" w:fill="76922E"/>
            <w:noWrap/>
            <w:vAlign w:val="center"/>
            <w:hideMark/>
          </w:tcPr>
          <w:p w:rsidR="00F70A70" w:rsidRPr="00FE17D6" w:rsidRDefault="004005A3" w:rsidP="00A04E73">
            <w:pPr>
              <w:spacing w:after="0" w:line="240" w:lineRule="auto"/>
              <w:jc w:val="center"/>
              <w:rPr>
                <w:rFonts w:eastAsia="Times New Roman" w:cs="Arial"/>
                <w:color w:val="FFFFFF" w:themeColor="background1"/>
                <w:sz w:val="18"/>
                <w:szCs w:val="18"/>
                <w:lang w:val="es-CO" w:eastAsia="es-CO"/>
              </w:rPr>
            </w:pPr>
            <w:r w:rsidRPr="00FE17D6">
              <w:rPr>
                <w:rFonts w:eastAsia="Times New Roman" w:cs="Arial"/>
                <w:color w:val="FFFFFF" w:themeColor="background1"/>
                <w:sz w:val="18"/>
                <w:szCs w:val="18"/>
                <w:lang w:val="es-CO" w:eastAsia="es-CO"/>
              </w:rPr>
              <w:t>15.213</w:t>
            </w:r>
          </w:p>
        </w:tc>
        <w:tc>
          <w:tcPr>
            <w:tcW w:w="0" w:type="auto"/>
            <w:shd w:val="clear" w:color="auto" w:fill="76922E"/>
            <w:noWrap/>
            <w:vAlign w:val="center"/>
            <w:hideMark/>
          </w:tcPr>
          <w:p w:rsidR="00F70A70" w:rsidRPr="00FE17D6" w:rsidRDefault="004005A3" w:rsidP="00A04E73">
            <w:pPr>
              <w:spacing w:after="0" w:line="240" w:lineRule="auto"/>
              <w:rPr>
                <w:rFonts w:eastAsia="Times New Roman" w:cs="Arial"/>
                <w:color w:val="FFFFFF" w:themeColor="background1"/>
                <w:sz w:val="18"/>
                <w:szCs w:val="18"/>
                <w:lang w:val="es-CO" w:eastAsia="es-CO"/>
              </w:rPr>
            </w:pPr>
            <w:r w:rsidRPr="00FE17D6">
              <w:rPr>
                <w:rFonts w:eastAsia="Times New Roman" w:cs="Arial"/>
                <w:color w:val="FFFFFF" w:themeColor="background1"/>
                <w:sz w:val="18"/>
                <w:szCs w:val="18"/>
                <w:lang w:val="es-CO" w:eastAsia="es-CO"/>
              </w:rPr>
              <w:t>$         14.199.857.565</w:t>
            </w:r>
          </w:p>
        </w:tc>
      </w:tr>
    </w:tbl>
    <w:p w:rsidR="00C842DD" w:rsidRPr="004005A3" w:rsidRDefault="00C842DD" w:rsidP="00376C7E">
      <w:pPr>
        <w:spacing w:after="100" w:afterAutospacing="1" w:line="240" w:lineRule="auto"/>
        <w:jc w:val="center"/>
        <w:rPr>
          <w:rFonts w:cs="Arial"/>
          <w:sz w:val="16"/>
          <w:szCs w:val="16"/>
        </w:rPr>
      </w:pPr>
      <w:r w:rsidRPr="004005A3">
        <w:rPr>
          <w:rFonts w:cs="Arial"/>
          <w:sz w:val="16"/>
          <w:szCs w:val="16"/>
        </w:rPr>
        <w:t>Fuente: Reporte de Ejecución, MSYF cierre 2017 (preliminar), Dirección de Planeación y Control de Gestión</w:t>
      </w:r>
    </w:p>
    <w:p w:rsidR="00C842DD" w:rsidRPr="007608C2" w:rsidRDefault="00C842DD" w:rsidP="00C842DD">
      <w:pPr>
        <w:rPr>
          <w:rFonts w:cs="Arial"/>
          <w:b/>
        </w:rPr>
      </w:pPr>
      <w:bookmarkStart w:id="43" w:name="_Toc503465488"/>
      <w:r w:rsidRPr="007608C2">
        <w:rPr>
          <w:rFonts w:cs="Arial"/>
          <w:b/>
        </w:rPr>
        <w:t>Programa de promoción y prevención para la protección integral de niños, niñas y adolescentes: Programa Generaciones Con Bienestar - GCB</w:t>
      </w:r>
      <w:bookmarkEnd w:id="43"/>
    </w:p>
    <w:p w:rsidR="00C842DD" w:rsidRPr="007608C2" w:rsidRDefault="00C842DD" w:rsidP="00C842DD">
      <w:pPr>
        <w:spacing w:before="100" w:beforeAutospacing="1" w:after="100" w:afterAutospacing="1" w:line="240" w:lineRule="auto"/>
        <w:jc w:val="both"/>
        <w:rPr>
          <w:rFonts w:eastAsia="Times New Roman" w:cs="Arial"/>
        </w:rPr>
      </w:pPr>
      <w:r w:rsidRPr="007608C2">
        <w:rPr>
          <w:rFonts w:eastAsia="Times New Roman" w:cs="Arial"/>
          <w:b/>
        </w:rPr>
        <w:t>Generaciones con Bienestar</w:t>
      </w:r>
      <w:r w:rsidRPr="007608C2">
        <w:rPr>
          <w:rFonts w:eastAsia="Times New Roman" w:cs="Arial"/>
        </w:rPr>
        <w:t xml:space="preserve"> es un programa que aporta a la construcción de la paz a través del arte, la cultura, la participación y el deporte, ejecutando acciones de prevención frente a problemáticas como el trabajo infantil mediante el apoyo al desarrollo de los proyectos de vida de los niños, las niñas y adolescentes participantes y la identificación y fortalecimiento de sus habilidades; el consumo de sustancias psicoactivas a partir de la promoción del buen uso del tiempo libre y del autocuidado; el embarazo adolescente mediante la promoción de derechos sexuales y reproductivos; violencias juvenil, sexual y escolar a partir de la promoción de la ciudadanía, la convivencia y la solución pacífica de conflictos, y el reclutamiento ilícito mediante la identificación de factores de riesgo presentes en el contexto en el que se encuentran los participantes y las rutas de prevención institucional que pueden amparar en momentos en que la amenaza sea más fuerte y directa. De esta manera se promueve la protección integral de los niños, las niñas y los adolescentes empoderándolos como sujetos de derechos, y promoviendo la corresponsabilidad de la familia, la sociedad y el Estado, gestionando y articulando las acciones necesarias para su protección integral.</w:t>
      </w:r>
    </w:p>
    <w:p w:rsidR="00C842DD" w:rsidRPr="007608C2" w:rsidRDefault="00C842DD" w:rsidP="00C842DD">
      <w:pPr>
        <w:spacing w:before="100" w:beforeAutospacing="1" w:after="100" w:afterAutospacing="1" w:line="240" w:lineRule="auto"/>
        <w:jc w:val="both"/>
        <w:rPr>
          <w:rFonts w:cs="Arial"/>
        </w:rPr>
      </w:pPr>
      <w:r w:rsidRPr="007608C2">
        <w:rPr>
          <w:rFonts w:cs="Arial"/>
        </w:rPr>
        <w:t>El programa estructura sus acciones en tres componentes, un componente de formación y participación, un componente de gestión y articulación interinstitucional y un componente de identificación y fortalecimiento de redes.</w:t>
      </w:r>
    </w:p>
    <w:p w:rsidR="00C842DD" w:rsidRPr="007608C2" w:rsidRDefault="00C842DD" w:rsidP="00C842DD">
      <w:pPr>
        <w:spacing w:before="100" w:beforeAutospacing="1" w:after="100" w:afterAutospacing="1" w:line="240" w:lineRule="auto"/>
        <w:jc w:val="both"/>
        <w:rPr>
          <w:rFonts w:cs="Arial"/>
        </w:rPr>
      </w:pPr>
      <w:r w:rsidRPr="007608C2">
        <w:rPr>
          <w:rFonts w:cs="Arial"/>
        </w:rPr>
        <w:t xml:space="preserve">Con el componente de formación y participación se busca la comprensión de los participantes sobre la importancia del ejercicio de sus derechos, sus potencialidades y posibilidades como sujetos de derechos y la posibilidad de asumir la vida desde esta perspectiva, se busca profundizar acerca de las causas y las características que rodean las problemáticas enunciadas y las consecuencias sobre su vida. Desde el componente de gestión y articulación interinstitucional se busca consolidar acciones de coordinación y articulación con los demás actores institucionales para la promoción y garantía de derechos de los niños, niñas y adolescentes es uno de los pilares del Programa. Con el Componente Dinamización de redes </w:t>
      </w:r>
      <w:r w:rsidRPr="007608C2">
        <w:rPr>
          <w:rFonts w:cs="Arial"/>
        </w:rPr>
        <w:lastRenderedPageBreak/>
        <w:t>sociales de niños, niñas y adolescentes y familias se busca la creación y dinamización de redes sociales tanto físicas como virtuales existentes en el territorio para la protección integral de los niños, niñas y adolescentes participantes del Programa.</w:t>
      </w:r>
    </w:p>
    <w:p w:rsidR="00C842DD" w:rsidRPr="007608C2" w:rsidRDefault="00C842DD" w:rsidP="00C842DD">
      <w:pPr>
        <w:spacing w:before="100" w:beforeAutospacing="1" w:after="100" w:afterAutospacing="1" w:line="240" w:lineRule="auto"/>
        <w:jc w:val="both"/>
        <w:rPr>
          <w:rFonts w:cs="Arial"/>
        </w:rPr>
      </w:pPr>
      <w:r w:rsidRPr="007608C2">
        <w:rPr>
          <w:rFonts w:cs="Arial"/>
        </w:rPr>
        <w:t xml:space="preserve">El Programa tiene como población titular a los niños, niñas y adolescentes entre los 6 años y menores de 18 años que se encuentren identificados en diferentes condiciones de riesgo y vulnerabilidad. </w:t>
      </w:r>
    </w:p>
    <w:p w:rsidR="00C842DD" w:rsidRPr="007608C2" w:rsidRDefault="00C842DD" w:rsidP="00C842DD">
      <w:pPr>
        <w:spacing w:before="100" w:beforeAutospacing="1" w:after="100" w:afterAutospacing="1" w:line="240" w:lineRule="auto"/>
        <w:jc w:val="both"/>
        <w:rPr>
          <w:rFonts w:cs="Arial"/>
        </w:rPr>
      </w:pPr>
      <w:r w:rsidRPr="007608C2">
        <w:rPr>
          <w:rFonts w:cs="Arial"/>
        </w:rPr>
        <w:t>Adicionalmente y teniendo en cuenta las características socioeconómicas de los niños, las niñas y los adolescentes vinculados al Programa, los participantes reciben un (1) refrigerio en cada uno de los encuentros vivenciales a los que asisten, el cual debe cubrir mínimo el 10% de las recomendaciones diarias de energía y nutrientes según grupo de edad.</w:t>
      </w:r>
    </w:p>
    <w:p w:rsidR="00C842DD" w:rsidRPr="007608C2" w:rsidRDefault="00C842DD" w:rsidP="00C842DD">
      <w:pPr>
        <w:spacing w:before="100" w:beforeAutospacing="1" w:after="100" w:afterAutospacing="1" w:line="240" w:lineRule="auto"/>
        <w:jc w:val="both"/>
        <w:rPr>
          <w:rFonts w:cs="Arial"/>
        </w:rPr>
      </w:pPr>
      <w:r w:rsidRPr="007608C2">
        <w:rPr>
          <w:rFonts w:cs="Arial"/>
        </w:rPr>
        <w:t xml:space="preserve">“Generaciones con Bienestar” se ejecuta con un enfoque territorial diferencial, mediante 3 modalidades de atención: Generaciones con Bienestar Tradicional (GCB), Generaciones Rurales con Bienestar (GRCB), y Generaciones Étnicas con Bienestar (GECB). </w:t>
      </w:r>
    </w:p>
    <w:p w:rsidR="00C842DD" w:rsidRPr="007608C2" w:rsidRDefault="00C842DD" w:rsidP="00C842DD">
      <w:pPr>
        <w:spacing w:before="100" w:beforeAutospacing="1" w:after="100" w:afterAutospacing="1" w:line="240" w:lineRule="auto"/>
        <w:jc w:val="both"/>
        <w:rPr>
          <w:rFonts w:cs="Arial"/>
        </w:rPr>
      </w:pPr>
      <w:r w:rsidRPr="007608C2">
        <w:rPr>
          <w:rFonts w:cs="Arial"/>
        </w:rPr>
        <w:t>Para la vigencia 2017, desde Generaciones con Bienestar se programó inicialmente la atención de 179.950 niños, niñas y adolescentes, con una inversión inicial de $67.330.092.750, llegando a 833 municipios de las 33 regionales del ICBF. Durante la ejecución del programa, a partir de la identificación de situaciones de riesgo para los NNA, la solicitud de las comunidades y justificación técnica de las Direcciones Regionales, se han venido realizando ajustes a la programación inicial. Al cierre del 2017 se atendió un total de 201.985 niños, niñas y adolescentes con un presupuesto de $ 68.489.271.378 (Fuente: Reporte de Ejecución, MSYF cierre 2017 (preliminar), Dirección de Planeación y Control de Gestión)</w:t>
      </w:r>
      <w:r w:rsidR="004748CC">
        <w:rPr>
          <w:rFonts w:cs="Arial"/>
        </w:rPr>
        <w:t>.</w:t>
      </w:r>
      <w:r w:rsidRPr="007608C2">
        <w:rPr>
          <w:rFonts w:cs="Arial"/>
        </w:rPr>
        <w:t xml:space="preserve"> En las siguientes tablas se encuentra resumida esta información por departamento y por modalidad del programa: </w:t>
      </w:r>
    </w:p>
    <w:p w:rsidR="00C842DD" w:rsidRPr="004748CC" w:rsidRDefault="00C842DD" w:rsidP="00C842DD">
      <w:pPr>
        <w:rPr>
          <w:rFonts w:cs="Arial"/>
          <w:b/>
          <w:u w:val="single"/>
        </w:rPr>
      </w:pPr>
      <w:bookmarkStart w:id="44" w:name="_Toc495064334"/>
      <w:r w:rsidRPr="004748CC">
        <w:rPr>
          <w:rFonts w:cs="Arial"/>
          <w:b/>
          <w:u w:val="single"/>
        </w:rPr>
        <w:t>Programa Generaciones Con Bienestar – GCB</w:t>
      </w:r>
      <w:bookmarkEnd w:id="44"/>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712"/>
        <w:gridCol w:w="791"/>
        <w:gridCol w:w="2181"/>
      </w:tblGrid>
      <w:tr w:rsidR="00C842DD" w:rsidRPr="004748CC" w:rsidTr="004748CC">
        <w:trPr>
          <w:trHeight w:val="280"/>
          <w:tblHeader/>
          <w:jc w:val="center"/>
        </w:trPr>
        <w:tc>
          <w:tcPr>
            <w:tcW w:w="0" w:type="auto"/>
            <w:shd w:val="clear" w:color="auto" w:fill="76922E"/>
            <w:noWrap/>
            <w:vAlign w:val="bottom"/>
            <w:hideMark/>
          </w:tcPr>
          <w:p w:rsidR="00C842DD" w:rsidRPr="004748CC" w:rsidRDefault="00A04E73" w:rsidP="00C842DD">
            <w:pPr>
              <w:spacing w:after="0" w:line="240" w:lineRule="auto"/>
              <w:jc w:val="center"/>
              <w:rPr>
                <w:rFonts w:eastAsia="Times New Roman" w:cs="Arial"/>
                <w:b/>
                <w:color w:val="FFFFFF" w:themeColor="background1"/>
                <w:sz w:val="18"/>
                <w:szCs w:val="18"/>
                <w:lang w:val="es-ES_tradnl" w:eastAsia="es-ES"/>
              </w:rPr>
            </w:pPr>
            <w:r w:rsidRPr="004748CC">
              <w:rPr>
                <w:rFonts w:eastAsia="Times New Roman" w:cs="Arial"/>
                <w:b/>
                <w:color w:val="FFFFFF" w:themeColor="background1"/>
                <w:sz w:val="18"/>
                <w:szCs w:val="18"/>
                <w:lang w:val="es-ES_tradnl" w:eastAsia="es-ES"/>
              </w:rPr>
              <w:t>Departamento</w:t>
            </w:r>
          </w:p>
        </w:tc>
        <w:tc>
          <w:tcPr>
            <w:tcW w:w="0" w:type="auto"/>
            <w:shd w:val="clear" w:color="auto" w:fill="76922E"/>
            <w:noWrap/>
            <w:vAlign w:val="bottom"/>
            <w:hideMark/>
          </w:tcPr>
          <w:p w:rsidR="00C842DD" w:rsidRPr="004748CC" w:rsidRDefault="00A04E73" w:rsidP="00A04E73">
            <w:pPr>
              <w:spacing w:after="0" w:line="240" w:lineRule="auto"/>
              <w:jc w:val="center"/>
              <w:rPr>
                <w:rFonts w:eastAsia="Times New Roman" w:cs="Arial"/>
                <w:b/>
                <w:color w:val="FFFFFF" w:themeColor="background1"/>
                <w:sz w:val="18"/>
                <w:szCs w:val="18"/>
                <w:lang w:val="es-ES_tradnl" w:eastAsia="es-ES"/>
              </w:rPr>
            </w:pPr>
            <w:r w:rsidRPr="004748CC">
              <w:rPr>
                <w:rFonts w:eastAsia="Times New Roman" w:cs="Arial"/>
                <w:b/>
                <w:color w:val="FFFFFF" w:themeColor="background1"/>
                <w:sz w:val="18"/>
                <w:szCs w:val="18"/>
                <w:lang w:val="es-ES_tradnl" w:eastAsia="es-ES"/>
              </w:rPr>
              <w:t>NNA</w:t>
            </w:r>
          </w:p>
        </w:tc>
        <w:tc>
          <w:tcPr>
            <w:tcW w:w="0" w:type="auto"/>
            <w:shd w:val="clear" w:color="auto" w:fill="76922E"/>
            <w:noWrap/>
            <w:vAlign w:val="bottom"/>
            <w:hideMark/>
          </w:tcPr>
          <w:p w:rsidR="00C842DD" w:rsidRPr="004748CC" w:rsidRDefault="00A04E73" w:rsidP="00A04E73">
            <w:pPr>
              <w:spacing w:after="0" w:line="240" w:lineRule="auto"/>
              <w:jc w:val="center"/>
              <w:rPr>
                <w:rFonts w:eastAsia="Times New Roman" w:cs="Arial"/>
                <w:b/>
                <w:color w:val="FFFFFF" w:themeColor="background1"/>
                <w:sz w:val="18"/>
                <w:szCs w:val="18"/>
                <w:lang w:val="es-ES_tradnl" w:eastAsia="es-ES"/>
              </w:rPr>
            </w:pPr>
            <w:r w:rsidRPr="004748CC">
              <w:rPr>
                <w:rFonts w:eastAsia="Times New Roman" w:cs="Arial"/>
                <w:b/>
                <w:color w:val="FFFFFF" w:themeColor="background1"/>
                <w:sz w:val="18"/>
                <w:szCs w:val="18"/>
                <w:lang w:val="es-ES_tradnl" w:eastAsia="es-ES"/>
              </w:rPr>
              <w:t>Presupuesto Apropiado</w:t>
            </w:r>
          </w:p>
        </w:tc>
      </w:tr>
      <w:tr w:rsidR="00C842DD" w:rsidRPr="004748CC" w:rsidTr="004748CC">
        <w:trPr>
          <w:trHeight w:val="280"/>
          <w:jc w:val="center"/>
        </w:trPr>
        <w:tc>
          <w:tcPr>
            <w:tcW w:w="0" w:type="auto"/>
            <w:shd w:val="clear" w:color="auto" w:fill="auto"/>
            <w:noWrap/>
            <w:vAlign w:val="bottom"/>
            <w:hideMark/>
          </w:tcPr>
          <w:p w:rsidR="00C842DD" w:rsidRPr="004748CC" w:rsidRDefault="00A04E73" w:rsidP="00C842DD">
            <w:pPr>
              <w:spacing w:after="0" w:line="240" w:lineRule="auto"/>
              <w:rPr>
                <w:rFonts w:eastAsia="Times New Roman" w:cs="Arial"/>
                <w:color w:val="000000"/>
                <w:sz w:val="18"/>
                <w:szCs w:val="18"/>
                <w:lang w:val="es-CO" w:eastAsia="es-CO"/>
              </w:rPr>
            </w:pPr>
            <w:r w:rsidRPr="004748CC">
              <w:rPr>
                <w:rFonts w:eastAsia="Times New Roman" w:cs="Arial"/>
                <w:color w:val="000000"/>
                <w:sz w:val="18"/>
                <w:szCs w:val="18"/>
                <w:lang w:val="es-CO" w:eastAsia="es-CO"/>
              </w:rPr>
              <w:t>Amazonas</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2.000</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$905.559.263</w:t>
            </w:r>
          </w:p>
        </w:tc>
      </w:tr>
      <w:tr w:rsidR="00C842DD" w:rsidRPr="004748CC" w:rsidTr="004748CC">
        <w:trPr>
          <w:trHeight w:val="280"/>
          <w:jc w:val="center"/>
        </w:trPr>
        <w:tc>
          <w:tcPr>
            <w:tcW w:w="0" w:type="auto"/>
            <w:shd w:val="clear" w:color="auto" w:fill="auto"/>
            <w:noWrap/>
            <w:vAlign w:val="bottom"/>
            <w:hideMark/>
          </w:tcPr>
          <w:p w:rsidR="00C842DD" w:rsidRPr="004748CC" w:rsidRDefault="00A04E73" w:rsidP="00C842DD">
            <w:pPr>
              <w:spacing w:after="0" w:line="240" w:lineRule="auto"/>
              <w:rPr>
                <w:rFonts w:eastAsia="Times New Roman" w:cs="Arial"/>
                <w:color w:val="000000"/>
                <w:sz w:val="18"/>
                <w:szCs w:val="18"/>
                <w:lang w:val="es-CO" w:eastAsia="es-CO"/>
              </w:rPr>
            </w:pPr>
            <w:r w:rsidRPr="004748CC">
              <w:rPr>
                <w:rFonts w:eastAsia="Times New Roman" w:cs="Arial"/>
                <w:color w:val="000000"/>
                <w:sz w:val="18"/>
                <w:szCs w:val="18"/>
                <w:lang w:val="es-CO" w:eastAsia="es-CO"/>
              </w:rPr>
              <w:t>Antioquia</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15.100</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$5.992.733.000</w:t>
            </w:r>
          </w:p>
        </w:tc>
      </w:tr>
      <w:tr w:rsidR="00C842DD" w:rsidRPr="004748CC" w:rsidTr="004748CC">
        <w:trPr>
          <w:trHeight w:val="280"/>
          <w:jc w:val="center"/>
        </w:trPr>
        <w:tc>
          <w:tcPr>
            <w:tcW w:w="0" w:type="auto"/>
            <w:shd w:val="clear" w:color="auto" w:fill="auto"/>
            <w:noWrap/>
            <w:vAlign w:val="bottom"/>
            <w:hideMark/>
          </w:tcPr>
          <w:p w:rsidR="00C842DD" w:rsidRPr="004748CC" w:rsidRDefault="00A04E73" w:rsidP="00C842DD">
            <w:pPr>
              <w:spacing w:after="0" w:line="240" w:lineRule="auto"/>
              <w:rPr>
                <w:rFonts w:eastAsia="Times New Roman" w:cs="Arial"/>
                <w:color w:val="000000"/>
                <w:sz w:val="18"/>
                <w:szCs w:val="18"/>
                <w:lang w:val="es-CO" w:eastAsia="es-CO"/>
              </w:rPr>
            </w:pPr>
            <w:r w:rsidRPr="004748CC">
              <w:rPr>
                <w:rFonts w:eastAsia="Times New Roman" w:cs="Arial"/>
                <w:color w:val="000000"/>
                <w:sz w:val="18"/>
                <w:szCs w:val="18"/>
                <w:lang w:val="es-CO" w:eastAsia="es-CO"/>
              </w:rPr>
              <w:t>Arauca</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4.200</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$1.700.944.800</w:t>
            </w:r>
          </w:p>
        </w:tc>
      </w:tr>
      <w:tr w:rsidR="00C842DD" w:rsidRPr="004748CC" w:rsidTr="004748CC">
        <w:trPr>
          <w:trHeight w:val="280"/>
          <w:jc w:val="center"/>
        </w:trPr>
        <w:tc>
          <w:tcPr>
            <w:tcW w:w="0" w:type="auto"/>
            <w:shd w:val="clear" w:color="auto" w:fill="auto"/>
            <w:noWrap/>
            <w:vAlign w:val="bottom"/>
            <w:hideMark/>
          </w:tcPr>
          <w:p w:rsidR="00C842DD" w:rsidRPr="004748CC" w:rsidRDefault="00A04E73" w:rsidP="00C842DD">
            <w:pPr>
              <w:spacing w:after="0" w:line="240" w:lineRule="auto"/>
              <w:rPr>
                <w:rFonts w:eastAsia="Times New Roman" w:cs="Arial"/>
                <w:color w:val="000000"/>
                <w:sz w:val="18"/>
                <w:szCs w:val="18"/>
                <w:lang w:val="es-CO" w:eastAsia="es-CO"/>
              </w:rPr>
            </w:pPr>
            <w:r w:rsidRPr="004748CC">
              <w:rPr>
                <w:rFonts w:eastAsia="Times New Roman" w:cs="Arial"/>
                <w:color w:val="000000"/>
                <w:sz w:val="18"/>
                <w:szCs w:val="18"/>
                <w:lang w:val="es-CO" w:eastAsia="es-CO"/>
              </w:rPr>
              <w:t>Atlántico</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6.000</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$1.584.841.700</w:t>
            </w:r>
          </w:p>
        </w:tc>
      </w:tr>
      <w:tr w:rsidR="00C842DD" w:rsidRPr="004748CC" w:rsidTr="004748CC">
        <w:trPr>
          <w:trHeight w:val="280"/>
          <w:jc w:val="center"/>
        </w:trPr>
        <w:tc>
          <w:tcPr>
            <w:tcW w:w="0" w:type="auto"/>
            <w:shd w:val="clear" w:color="auto" w:fill="auto"/>
            <w:noWrap/>
            <w:vAlign w:val="bottom"/>
            <w:hideMark/>
          </w:tcPr>
          <w:p w:rsidR="00C842DD" w:rsidRPr="004748CC" w:rsidRDefault="00A04E73" w:rsidP="00C842DD">
            <w:pPr>
              <w:spacing w:after="0" w:line="240" w:lineRule="auto"/>
              <w:rPr>
                <w:rFonts w:eastAsia="Times New Roman" w:cs="Arial"/>
                <w:color w:val="000000"/>
                <w:sz w:val="18"/>
                <w:szCs w:val="18"/>
                <w:lang w:val="es-CO" w:eastAsia="es-CO"/>
              </w:rPr>
            </w:pPr>
            <w:r w:rsidRPr="004748CC">
              <w:rPr>
                <w:rFonts w:eastAsia="Times New Roman" w:cs="Arial"/>
                <w:color w:val="000000"/>
                <w:sz w:val="18"/>
                <w:szCs w:val="18"/>
                <w:lang w:val="es-CO" w:eastAsia="es-CO"/>
              </w:rPr>
              <w:t>Bogotá</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5.800</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$1.489.280.400</w:t>
            </w:r>
          </w:p>
        </w:tc>
      </w:tr>
      <w:tr w:rsidR="00C842DD" w:rsidRPr="004748CC" w:rsidTr="004748CC">
        <w:trPr>
          <w:trHeight w:val="280"/>
          <w:jc w:val="center"/>
        </w:trPr>
        <w:tc>
          <w:tcPr>
            <w:tcW w:w="0" w:type="auto"/>
            <w:shd w:val="clear" w:color="auto" w:fill="auto"/>
            <w:noWrap/>
            <w:vAlign w:val="bottom"/>
            <w:hideMark/>
          </w:tcPr>
          <w:p w:rsidR="00C842DD" w:rsidRPr="004748CC" w:rsidRDefault="00A04E73" w:rsidP="00C842DD">
            <w:pPr>
              <w:spacing w:after="0" w:line="240" w:lineRule="auto"/>
              <w:rPr>
                <w:rFonts w:eastAsia="Times New Roman" w:cs="Arial"/>
                <w:color w:val="000000"/>
                <w:sz w:val="18"/>
                <w:szCs w:val="18"/>
                <w:lang w:val="es-CO" w:eastAsia="es-CO"/>
              </w:rPr>
            </w:pPr>
            <w:r w:rsidRPr="004748CC">
              <w:rPr>
                <w:rFonts w:eastAsia="Times New Roman" w:cs="Arial"/>
                <w:color w:val="000000"/>
                <w:sz w:val="18"/>
                <w:szCs w:val="18"/>
                <w:lang w:val="es-CO" w:eastAsia="es-CO"/>
              </w:rPr>
              <w:t>Bolivar</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8.430</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$2.766.131.270</w:t>
            </w:r>
          </w:p>
        </w:tc>
      </w:tr>
      <w:tr w:rsidR="00C842DD" w:rsidRPr="004748CC" w:rsidTr="004748CC">
        <w:trPr>
          <w:trHeight w:val="280"/>
          <w:jc w:val="center"/>
        </w:trPr>
        <w:tc>
          <w:tcPr>
            <w:tcW w:w="0" w:type="auto"/>
            <w:shd w:val="clear" w:color="auto" w:fill="auto"/>
            <w:noWrap/>
            <w:vAlign w:val="bottom"/>
            <w:hideMark/>
          </w:tcPr>
          <w:p w:rsidR="00C842DD" w:rsidRPr="004748CC" w:rsidRDefault="00A04E73" w:rsidP="00C842DD">
            <w:pPr>
              <w:spacing w:after="0" w:line="240" w:lineRule="auto"/>
              <w:rPr>
                <w:rFonts w:eastAsia="Times New Roman" w:cs="Arial"/>
                <w:color w:val="000000"/>
                <w:sz w:val="18"/>
                <w:szCs w:val="18"/>
                <w:lang w:val="es-CO" w:eastAsia="es-CO"/>
              </w:rPr>
            </w:pPr>
            <w:r w:rsidRPr="004748CC">
              <w:rPr>
                <w:rFonts w:eastAsia="Times New Roman" w:cs="Arial"/>
                <w:color w:val="000000"/>
                <w:sz w:val="18"/>
                <w:szCs w:val="18"/>
                <w:lang w:val="es-CO" w:eastAsia="es-CO"/>
              </w:rPr>
              <w:t>Boyacá</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5.013</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$1.523.737.085</w:t>
            </w:r>
          </w:p>
        </w:tc>
      </w:tr>
      <w:tr w:rsidR="00C842DD" w:rsidRPr="004748CC" w:rsidTr="004748CC">
        <w:trPr>
          <w:trHeight w:val="280"/>
          <w:jc w:val="center"/>
        </w:trPr>
        <w:tc>
          <w:tcPr>
            <w:tcW w:w="0" w:type="auto"/>
            <w:shd w:val="clear" w:color="auto" w:fill="auto"/>
            <w:noWrap/>
            <w:vAlign w:val="bottom"/>
            <w:hideMark/>
          </w:tcPr>
          <w:p w:rsidR="00C842DD" w:rsidRPr="004748CC" w:rsidRDefault="00A04E73" w:rsidP="00C842DD">
            <w:pPr>
              <w:spacing w:after="0" w:line="240" w:lineRule="auto"/>
              <w:rPr>
                <w:rFonts w:eastAsia="Times New Roman" w:cs="Arial"/>
                <w:color w:val="000000"/>
                <w:sz w:val="18"/>
                <w:szCs w:val="18"/>
                <w:lang w:val="es-CO" w:eastAsia="es-CO"/>
              </w:rPr>
            </w:pPr>
            <w:r w:rsidRPr="004748CC">
              <w:rPr>
                <w:rFonts w:eastAsia="Times New Roman" w:cs="Arial"/>
                <w:color w:val="000000"/>
                <w:sz w:val="18"/>
                <w:szCs w:val="18"/>
                <w:lang w:val="es-CO" w:eastAsia="es-CO"/>
              </w:rPr>
              <w:t>Caldas</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5.800</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$1.905.087.276</w:t>
            </w:r>
          </w:p>
        </w:tc>
      </w:tr>
      <w:tr w:rsidR="00C842DD" w:rsidRPr="004748CC" w:rsidTr="004748CC">
        <w:trPr>
          <w:trHeight w:val="280"/>
          <w:jc w:val="center"/>
        </w:trPr>
        <w:tc>
          <w:tcPr>
            <w:tcW w:w="0" w:type="auto"/>
            <w:shd w:val="clear" w:color="auto" w:fill="auto"/>
            <w:noWrap/>
            <w:vAlign w:val="bottom"/>
            <w:hideMark/>
          </w:tcPr>
          <w:p w:rsidR="00C842DD" w:rsidRPr="004748CC" w:rsidRDefault="00A04E73" w:rsidP="00C842DD">
            <w:pPr>
              <w:spacing w:after="0" w:line="240" w:lineRule="auto"/>
              <w:rPr>
                <w:rFonts w:eastAsia="Times New Roman" w:cs="Arial"/>
                <w:color w:val="000000"/>
                <w:sz w:val="18"/>
                <w:szCs w:val="18"/>
                <w:lang w:val="es-CO" w:eastAsia="es-CO"/>
              </w:rPr>
            </w:pPr>
            <w:r w:rsidRPr="004748CC">
              <w:rPr>
                <w:rFonts w:eastAsia="Times New Roman" w:cs="Arial"/>
                <w:color w:val="000000"/>
                <w:sz w:val="18"/>
                <w:szCs w:val="18"/>
                <w:lang w:val="es-CO" w:eastAsia="es-CO"/>
              </w:rPr>
              <w:t>Caquetá</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4.200</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color w:val="000000"/>
                <w:sz w:val="18"/>
                <w:szCs w:val="18"/>
                <w:lang w:val="es-CO" w:eastAsia="es-CO"/>
              </w:rPr>
            </w:pPr>
            <w:r w:rsidRPr="004748CC">
              <w:rPr>
                <w:rFonts w:eastAsia="Times New Roman" w:cs="Arial"/>
                <w:color w:val="000000"/>
                <w:sz w:val="18"/>
                <w:szCs w:val="18"/>
                <w:lang w:val="es-CO" w:eastAsia="es-CO"/>
              </w:rPr>
              <w:t>$1.265.062.300</w:t>
            </w:r>
          </w:p>
        </w:tc>
      </w:tr>
      <w:tr w:rsidR="00C842DD" w:rsidRPr="004748CC" w:rsidTr="004748CC">
        <w:trPr>
          <w:trHeight w:val="280"/>
          <w:jc w:val="center"/>
        </w:trPr>
        <w:tc>
          <w:tcPr>
            <w:tcW w:w="0" w:type="auto"/>
            <w:shd w:val="clear" w:color="auto" w:fill="auto"/>
            <w:noWrap/>
            <w:vAlign w:val="bottom"/>
            <w:hideMark/>
          </w:tcPr>
          <w:p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Casanare</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2.900</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$941.158.300</w:t>
            </w:r>
          </w:p>
        </w:tc>
      </w:tr>
      <w:tr w:rsidR="00C842DD" w:rsidRPr="004748CC" w:rsidTr="004748CC">
        <w:trPr>
          <w:trHeight w:val="280"/>
          <w:jc w:val="center"/>
        </w:trPr>
        <w:tc>
          <w:tcPr>
            <w:tcW w:w="0" w:type="auto"/>
            <w:shd w:val="clear" w:color="auto" w:fill="auto"/>
            <w:noWrap/>
            <w:vAlign w:val="bottom"/>
            <w:hideMark/>
          </w:tcPr>
          <w:p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Cauca</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14.700</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$4.968.025.815</w:t>
            </w:r>
          </w:p>
        </w:tc>
      </w:tr>
      <w:tr w:rsidR="00C842DD" w:rsidRPr="004748CC" w:rsidTr="004748CC">
        <w:trPr>
          <w:trHeight w:val="280"/>
          <w:jc w:val="center"/>
        </w:trPr>
        <w:tc>
          <w:tcPr>
            <w:tcW w:w="0" w:type="auto"/>
            <w:shd w:val="clear" w:color="auto" w:fill="auto"/>
            <w:noWrap/>
            <w:vAlign w:val="bottom"/>
            <w:hideMark/>
          </w:tcPr>
          <w:p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Cesar</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8.400</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$2.979.896.600</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Chocó</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14.225</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$5.769.399.950</w:t>
            </w:r>
          </w:p>
        </w:tc>
      </w:tr>
      <w:tr w:rsidR="00C842DD" w:rsidRPr="004748CC" w:rsidTr="004748CC">
        <w:trPr>
          <w:trHeight w:val="280"/>
          <w:jc w:val="center"/>
        </w:trPr>
        <w:tc>
          <w:tcPr>
            <w:tcW w:w="0" w:type="auto"/>
            <w:shd w:val="clear" w:color="auto" w:fill="auto"/>
            <w:noWrap/>
            <w:vAlign w:val="bottom"/>
            <w:hideMark/>
          </w:tcPr>
          <w:p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Córdoba</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7.750</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$2.288.867.054</w:t>
            </w:r>
          </w:p>
        </w:tc>
      </w:tr>
      <w:tr w:rsidR="00C842DD" w:rsidRPr="004748CC" w:rsidTr="004748CC">
        <w:trPr>
          <w:trHeight w:val="280"/>
          <w:jc w:val="center"/>
        </w:trPr>
        <w:tc>
          <w:tcPr>
            <w:tcW w:w="0" w:type="auto"/>
            <w:shd w:val="clear" w:color="auto" w:fill="auto"/>
            <w:noWrap/>
            <w:vAlign w:val="bottom"/>
            <w:hideMark/>
          </w:tcPr>
          <w:p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lastRenderedPageBreak/>
              <w:t>Cundinamarca</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4.161</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$1.113.487.250</w:t>
            </w:r>
          </w:p>
        </w:tc>
      </w:tr>
      <w:tr w:rsidR="00C842DD" w:rsidRPr="004748CC" w:rsidTr="004748CC">
        <w:trPr>
          <w:trHeight w:val="280"/>
          <w:jc w:val="center"/>
        </w:trPr>
        <w:tc>
          <w:tcPr>
            <w:tcW w:w="0" w:type="auto"/>
            <w:shd w:val="clear" w:color="auto" w:fill="auto"/>
            <w:noWrap/>
            <w:vAlign w:val="bottom"/>
            <w:hideMark/>
          </w:tcPr>
          <w:p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Guainía</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$14.477.200</w:t>
            </w:r>
          </w:p>
        </w:tc>
      </w:tr>
      <w:tr w:rsidR="00C842DD" w:rsidRPr="004748CC" w:rsidTr="004748CC">
        <w:trPr>
          <w:trHeight w:val="280"/>
          <w:jc w:val="center"/>
        </w:trPr>
        <w:tc>
          <w:tcPr>
            <w:tcW w:w="0" w:type="auto"/>
            <w:shd w:val="clear" w:color="auto" w:fill="auto"/>
            <w:noWrap/>
            <w:vAlign w:val="bottom"/>
            <w:hideMark/>
          </w:tcPr>
          <w:p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Guaviare</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3.450</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$1.271.751.374</w:t>
            </w:r>
          </w:p>
        </w:tc>
      </w:tr>
      <w:tr w:rsidR="00C842DD" w:rsidRPr="004748CC" w:rsidTr="004748CC">
        <w:trPr>
          <w:trHeight w:val="280"/>
          <w:jc w:val="center"/>
        </w:trPr>
        <w:tc>
          <w:tcPr>
            <w:tcW w:w="0" w:type="auto"/>
            <w:shd w:val="clear" w:color="auto" w:fill="auto"/>
            <w:noWrap/>
            <w:vAlign w:val="bottom"/>
            <w:hideMark/>
          </w:tcPr>
          <w:p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Huila</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4.200</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$1.385.949.296</w:t>
            </w:r>
          </w:p>
        </w:tc>
      </w:tr>
      <w:tr w:rsidR="00C842DD" w:rsidRPr="004748CC" w:rsidTr="004748CC">
        <w:trPr>
          <w:trHeight w:val="280"/>
          <w:jc w:val="center"/>
        </w:trPr>
        <w:tc>
          <w:tcPr>
            <w:tcW w:w="0" w:type="auto"/>
            <w:shd w:val="clear" w:color="auto" w:fill="auto"/>
            <w:noWrap/>
            <w:vAlign w:val="bottom"/>
            <w:hideMark/>
          </w:tcPr>
          <w:p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La Guajira</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6.900</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$2.472.804.400</w:t>
            </w:r>
          </w:p>
        </w:tc>
      </w:tr>
      <w:tr w:rsidR="00C842DD" w:rsidRPr="004748CC" w:rsidTr="004748CC">
        <w:trPr>
          <w:trHeight w:val="280"/>
          <w:jc w:val="center"/>
        </w:trPr>
        <w:tc>
          <w:tcPr>
            <w:tcW w:w="0" w:type="auto"/>
            <w:shd w:val="clear" w:color="auto" w:fill="auto"/>
            <w:noWrap/>
            <w:vAlign w:val="bottom"/>
            <w:hideMark/>
          </w:tcPr>
          <w:p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Magdalena</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9.600</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$3.152.170.000</w:t>
            </w:r>
          </w:p>
        </w:tc>
      </w:tr>
      <w:tr w:rsidR="00C842DD" w:rsidRPr="004748CC" w:rsidTr="004748CC">
        <w:trPr>
          <w:trHeight w:val="280"/>
          <w:jc w:val="center"/>
        </w:trPr>
        <w:tc>
          <w:tcPr>
            <w:tcW w:w="0" w:type="auto"/>
            <w:shd w:val="clear" w:color="auto" w:fill="auto"/>
            <w:noWrap/>
            <w:vAlign w:val="bottom"/>
            <w:hideMark/>
          </w:tcPr>
          <w:p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Meta</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4.350</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$1.368.099.500</w:t>
            </w:r>
          </w:p>
        </w:tc>
      </w:tr>
      <w:tr w:rsidR="00C842DD" w:rsidRPr="004748CC" w:rsidTr="004748CC">
        <w:trPr>
          <w:trHeight w:val="280"/>
          <w:jc w:val="center"/>
        </w:trPr>
        <w:tc>
          <w:tcPr>
            <w:tcW w:w="0" w:type="auto"/>
            <w:shd w:val="clear" w:color="auto" w:fill="auto"/>
            <w:noWrap/>
            <w:vAlign w:val="bottom"/>
            <w:hideMark/>
          </w:tcPr>
          <w:p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Nariño</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11.900</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$3.601.448.400</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Norte d</w:t>
            </w:r>
            <w:r w:rsidR="00A04E73" w:rsidRPr="004748CC">
              <w:rPr>
                <w:rFonts w:eastAsia="Times New Roman" w:cs="Arial"/>
                <w:sz w:val="18"/>
                <w:szCs w:val="18"/>
                <w:lang w:val="es-ES_tradnl" w:eastAsia="es-ES"/>
              </w:rPr>
              <w:t>e Santander</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8.050</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$2.334.104.700</w:t>
            </w:r>
          </w:p>
        </w:tc>
      </w:tr>
      <w:tr w:rsidR="00C842DD" w:rsidRPr="004748CC" w:rsidTr="004748CC">
        <w:trPr>
          <w:trHeight w:val="280"/>
          <w:jc w:val="center"/>
        </w:trPr>
        <w:tc>
          <w:tcPr>
            <w:tcW w:w="0" w:type="auto"/>
            <w:shd w:val="clear" w:color="auto" w:fill="auto"/>
            <w:noWrap/>
            <w:vAlign w:val="bottom"/>
            <w:hideMark/>
          </w:tcPr>
          <w:p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Putumayo</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6.100</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$2.485.244.250</w:t>
            </w:r>
          </w:p>
        </w:tc>
      </w:tr>
      <w:tr w:rsidR="00C842DD" w:rsidRPr="004748CC" w:rsidTr="004748CC">
        <w:trPr>
          <w:trHeight w:val="280"/>
          <w:jc w:val="center"/>
        </w:trPr>
        <w:tc>
          <w:tcPr>
            <w:tcW w:w="0" w:type="auto"/>
            <w:shd w:val="clear" w:color="auto" w:fill="auto"/>
            <w:noWrap/>
            <w:vAlign w:val="bottom"/>
            <w:hideMark/>
          </w:tcPr>
          <w:p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Quindío</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3.889</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$1.406.492.778</w:t>
            </w:r>
          </w:p>
        </w:tc>
      </w:tr>
      <w:tr w:rsidR="00C842DD" w:rsidRPr="004748CC" w:rsidTr="004748CC">
        <w:trPr>
          <w:trHeight w:val="280"/>
          <w:jc w:val="center"/>
        </w:trPr>
        <w:tc>
          <w:tcPr>
            <w:tcW w:w="0" w:type="auto"/>
            <w:shd w:val="clear" w:color="auto" w:fill="auto"/>
            <w:noWrap/>
            <w:vAlign w:val="bottom"/>
            <w:hideMark/>
          </w:tcPr>
          <w:p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Risaralda</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3.995</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$1.336.821.150</w:t>
            </w:r>
          </w:p>
        </w:tc>
      </w:tr>
      <w:tr w:rsidR="00C842DD" w:rsidRPr="004748CC" w:rsidTr="004748CC">
        <w:trPr>
          <w:trHeight w:val="280"/>
          <w:jc w:val="center"/>
        </w:trPr>
        <w:tc>
          <w:tcPr>
            <w:tcW w:w="0" w:type="auto"/>
            <w:shd w:val="clear" w:color="auto" w:fill="auto"/>
            <w:noWrap/>
            <w:vAlign w:val="bottom"/>
            <w:hideMark/>
          </w:tcPr>
          <w:p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San Andres</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2.400</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$798.529.050</w:t>
            </w:r>
          </w:p>
        </w:tc>
      </w:tr>
      <w:tr w:rsidR="00C842DD" w:rsidRPr="004748CC" w:rsidTr="004748CC">
        <w:trPr>
          <w:trHeight w:val="280"/>
          <w:jc w:val="center"/>
        </w:trPr>
        <w:tc>
          <w:tcPr>
            <w:tcW w:w="0" w:type="auto"/>
            <w:shd w:val="clear" w:color="auto" w:fill="auto"/>
            <w:noWrap/>
            <w:vAlign w:val="bottom"/>
            <w:hideMark/>
          </w:tcPr>
          <w:p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Santander</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4.796</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$1.326.990.209</w:t>
            </w:r>
          </w:p>
        </w:tc>
      </w:tr>
      <w:tr w:rsidR="00C842DD" w:rsidRPr="004748CC" w:rsidTr="004748CC">
        <w:trPr>
          <w:trHeight w:val="280"/>
          <w:jc w:val="center"/>
        </w:trPr>
        <w:tc>
          <w:tcPr>
            <w:tcW w:w="0" w:type="auto"/>
            <w:shd w:val="clear" w:color="auto" w:fill="auto"/>
            <w:noWrap/>
            <w:vAlign w:val="bottom"/>
            <w:hideMark/>
          </w:tcPr>
          <w:p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Sucre</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4.700</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$1.645.086.000</w:t>
            </w:r>
          </w:p>
        </w:tc>
      </w:tr>
      <w:tr w:rsidR="00C842DD" w:rsidRPr="004748CC" w:rsidTr="004748CC">
        <w:trPr>
          <w:trHeight w:val="280"/>
          <w:jc w:val="center"/>
        </w:trPr>
        <w:tc>
          <w:tcPr>
            <w:tcW w:w="0" w:type="auto"/>
            <w:shd w:val="clear" w:color="auto" w:fill="auto"/>
            <w:noWrap/>
            <w:vAlign w:val="bottom"/>
            <w:hideMark/>
          </w:tcPr>
          <w:p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Tolima</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6.376</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$2.136.416.638</w:t>
            </w:r>
          </w:p>
        </w:tc>
      </w:tr>
      <w:tr w:rsidR="00C842DD" w:rsidRPr="004748CC" w:rsidTr="004748CC">
        <w:trPr>
          <w:trHeight w:val="280"/>
          <w:jc w:val="center"/>
        </w:trPr>
        <w:tc>
          <w:tcPr>
            <w:tcW w:w="0" w:type="auto"/>
            <w:shd w:val="clear" w:color="auto" w:fill="auto"/>
            <w:noWrap/>
            <w:vAlign w:val="bottom"/>
            <w:hideMark/>
          </w:tcPr>
          <w:p w:rsidR="00C842DD" w:rsidRPr="004748CC" w:rsidRDefault="00376C7E"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Valle d</w:t>
            </w:r>
            <w:r w:rsidR="00A04E73" w:rsidRPr="004748CC">
              <w:rPr>
                <w:rFonts w:eastAsia="Times New Roman" w:cs="Arial"/>
                <w:sz w:val="18"/>
                <w:szCs w:val="18"/>
                <w:lang w:val="es-ES_tradnl" w:eastAsia="es-ES"/>
              </w:rPr>
              <w:t>el Cauca</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9.600</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$3.343.444.250</w:t>
            </w:r>
          </w:p>
        </w:tc>
      </w:tr>
      <w:tr w:rsidR="00C842DD" w:rsidRPr="004748CC" w:rsidTr="004748CC">
        <w:trPr>
          <w:trHeight w:val="280"/>
          <w:jc w:val="center"/>
        </w:trPr>
        <w:tc>
          <w:tcPr>
            <w:tcW w:w="0" w:type="auto"/>
            <w:shd w:val="clear" w:color="auto" w:fill="auto"/>
            <w:noWrap/>
            <w:vAlign w:val="bottom"/>
            <w:hideMark/>
          </w:tcPr>
          <w:p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Vaupés</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1.700</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$737.596.900</w:t>
            </w:r>
          </w:p>
        </w:tc>
      </w:tr>
      <w:tr w:rsidR="00C842DD" w:rsidRPr="004748CC" w:rsidTr="004748CC">
        <w:trPr>
          <w:trHeight w:val="280"/>
          <w:jc w:val="center"/>
        </w:trPr>
        <w:tc>
          <w:tcPr>
            <w:tcW w:w="0" w:type="auto"/>
            <w:shd w:val="clear" w:color="auto" w:fill="auto"/>
            <w:noWrap/>
            <w:vAlign w:val="bottom"/>
            <w:hideMark/>
          </w:tcPr>
          <w:p w:rsidR="00C842DD" w:rsidRPr="004748CC" w:rsidRDefault="00A04E73"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Vichada</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1.300</w:t>
            </w:r>
          </w:p>
        </w:tc>
        <w:tc>
          <w:tcPr>
            <w:tcW w:w="0" w:type="auto"/>
            <w:shd w:val="clear" w:color="auto" w:fill="auto"/>
            <w:noWrap/>
            <w:vAlign w:val="bottom"/>
            <w:hideMark/>
          </w:tcPr>
          <w:p w:rsidR="00C842DD" w:rsidRPr="004748CC" w:rsidRDefault="00A04E73" w:rsidP="00A04E73">
            <w:pPr>
              <w:spacing w:after="0" w:line="240" w:lineRule="auto"/>
              <w:jc w:val="center"/>
              <w:rPr>
                <w:rFonts w:eastAsia="Times New Roman" w:cs="Arial"/>
                <w:sz w:val="18"/>
                <w:szCs w:val="18"/>
                <w:lang w:val="es-ES_tradnl" w:eastAsia="es-ES"/>
              </w:rPr>
            </w:pPr>
            <w:r w:rsidRPr="004748CC">
              <w:rPr>
                <w:rFonts w:eastAsia="Times New Roman" w:cs="Arial"/>
                <w:sz w:val="18"/>
                <w:szCs w:val="18"/>
                <w:lang w:val="es-ES_tradnl" w:eastAsia="es-ES"/>
              </w:rPr>
              <w:t>$477.633.220</w:t>
            </w:r>
          </w:p>
        </w:tc>
      </w:tr>
      <w:tr w:rsidR="00C842DD" w:rsidRPr="004748CC" w:rsidTr="004748CC">
        <w:trPr>
          <w:trHeight w:val="280"/>
          <w:jc w:val="center"/>
        </w:trPr>
        <w:tc>
          <w:tcPr>
            <w:tcW w:w="0" w:type="auto"/>
            <w:shd w:val="clear" w:color="auto" w:fill="E2EFDA"/>
            <w:noWrap/>
            <w:vAlign w:val="bottom"/>
            <w:hideMark/>
          </w:tcPr>
          <w:p w:rsidR="00C842DD" w:rsidRPr="004748CC" w:rsidRDefault="004748CC" w:rsidP="00A04E73">
            <w:pPr>
              <w:spacing w:after="0" w:line="240" w:lineRule="auto"/>
              <w:jc w:val="center"/>
              <w:rPr>
                <w:rFonts w:eastAsia="Times New Roman" w:cs="Arial"/>
                <w:b/>
                <w:sz w:val="18"/>
                <w:szCs w:val="18"/>
                <w:lang w:val="es-ES_tradnl" w:eastAsia="es-ES"/>
              </w:rPr>
            </w:pPr>
            <w:r>
              <w:rPr>
                <w:rFonts w:eastAsia="Times New Roman" w:cs="Arial"/>
                <w:b/>
                <w:sz w:val="18"/>
                <w:szCs w:val="18"/>
                <w:lang w:val="es-ES_tradnl" w:eastAsia="es-ES"/>
              </w:rPr>
              <w:t>Total</w:t>
            </w:r>
          </w:p>
        </w:tc>
        <w:tc>
          <w:tcPr>
            <w:tcW w:w="0" w:type="auto"/>
            <w:shd w:val="clear" w:color="auto" w:fill="E2EFDA"/>
            <w:noWrap/>
            <w:vAlign w:val="bottom"/>
            <w:hideMark/>
          </w:tcPr>
          <w:p w:rsidR="00C842DD" w:rsidRPr="004748CC" w:rsidRDefault="00C842DD" w:rsidP="00A04E73">
            <w:pPr>
              <w:spacing w:after="0" w:line="240" w:lineRule="auto"/>
              <w:jc w:val="center"/>
              <w:rPr>
                <w:rFonts w:eastAsia="Times New Roman" w:cs="Arial"/>
                <w:b/>
                <w:sz w:val="18"/>
                <w:szCs w:val="18"/>
                <w:lang w:val="es-ES_tradnl" w:eastAsia="es-ES"/>
              </w:rPr>
            </w:pPr>
            <w:r w:rsidRPr="004748CC">
              <w:rPr>
                <w:rFonts w:eastAsia="Times New Roman" w:cs="Arial"/>
                <w:b/>
                <w:sz w:val="18"/>
                <w:szCs w:val="18"/>
                <w:lang w:val="es-ES_tradnl" w:eastAsia="es-ES"/>
              </w:rPr>
              <w:t>201.985</w:t>
            </w:r>
          </w:p>
        </w:tc>
        <w:tc>
          <w:tcPr>
            <w:tcW w:w="0" w:type="auto"/>
            <w:shd w:val="clear" w:color="auto" w:fill="E2EFDA"/>
            <w:noWrap/>
            <w:vAlign w:val="bottom"/>
            <w:hideMark/>
          </w:tcPr>
          <w:p w:rsidR="00C842DD" w:rsidRPr="004748CC" w:rsidRDefault="00C842DD" w:rsidP="00A04E73">
            <w:pPr>
              <w:spacing w:after="0" w:line="240" w:lineRule="auto"/>
              <w:jc w:val="center"/>
              <w:rPr>
                <w:rFonts w:eastAsia="Times New Roman" w:cs="Arial"/>
                <w:b/>
                <w:sz w:val="18"/>
                <w:szCs w:val="18"/>
                <w:lang w:val="es-ES_tradnl" w:eastAsia="es-ES"/>
              </w:rPr>
            </w:pPr>
            <w:r w:rsidRPr="004748CC">
              <w:rPr>
                <w:rFonts w:eastAsia="Times New Roman" w:cs="Arial"/>
                <w:b/>
                <w:sz w:val="18"/>
                <w:szCs w:val="18"/>
                <w:lang w:val="es-ES_tradnl" w:eastAsia="es-ES"/>
              </w:rPr>
              <w:t>$ 68.489.271.378</w:t>
            </w:r>
          </w:p>
        </w:tc>
      </w:tr>
    </w:tbl>
    <w:p w:rsidR="00C842DD" w:rsidRPr="00A04E73" w:rsidRDefault="00C842DD" w:rsidP="00C842DD">
      <w:pPr>
        <w:spacing w:before="100" w:beforeAutospacing="1" w:after="100" w:afterAutospacing="1" w:line="240" w:lineRule="auto"/>
        <w:jc w:val="center"/>
        <w:rPr>
          <w:rFonts w:cs="Arial"/>
          <w:sz w:val="16"/>
          <w:szCs w:val="16"/>
        </w:rPr>
      </w:pPr>
      <w:r w:rsidRPr="00A04E73">
        <w:rPr>
          <w:rFonts w:cs="Arial"/>
          <w:sz w:val="16"/>
          <w:szCs w:val="16"/>
        </w:rPr>
        <w:t>Fuente: Reporte de Ejecución, MSYF cierre 2017 (preliminar), Dirección de Planeación y Control de Gestión</w:t>
      </w:r>
    </w:p>
    <w:p w:rsidR="00C842DD" w:rsidRPr="004748CC" w:rsidRDefault="00C842DD" w:rsidP="00C842DD">
      <w:pPr>
        <w:rPr>
          <w:rFonts w:cs="Arial"/>
          <w:b/>
          <w:u w:val="single"/>
          <w:lang w:val="es-AR" w:eastAsia="es-ES"/>
        </w:rPr>
      </w:pPr>
      <w:bookmarkStart w:id="45" w:name="_Toc503465490"/>
      <w:r w:rsidRPr="004748CC">
        <w:rPr>
          <w:rFonts w:cs="Arial"/>
          <w:b/>
          <w:u w:val="single"/>
          <w:lang w:val="es-AR" w:eastAsia="es-ES"/>
        </w:rPr>
        <w:t>Programa Generaciones Con Bienestar – Modalidad Tradicional</w:t>
      </w:r>
      <w:bookmarkEnd w:id="45"/>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712"/>
        <w:gridCol w:w="1411"/>
        <w:gridCol w:w="2181"/>
      </w:tblGrid>
      <w:tr w:rsidR="00C842DD" w:rsidRPr="004748CC" w:rsidTr="004748CC">
        <w:trPr>
          <w:trHeight w:val="280"/>
          <w:tblHeader/>
          <w:jc w:val="center"/>
        </w:trPr>
        <w:tc>
          <w:tcPr>
            <w:tcW w:w="0" w:type="auto"/>
            <w:shd w:val="clear" w:color="auto" w:fill="76922E"/>
            <w:noWrap/>
            <w:vAlign w:val="bottom"/>
            <w:hideMark/>
          </w:tcPr>
          <w:p w:rsidR="00C842DD" w:rsidRPr="004748CC" w:rsidRDefault="00FF1DE0" w:rsidP="00C842DD">
            <w:pPr>
              <w:spacing w:after="0" w:line="240" w:lineRule="auto"/>
              <w:jc w:val="center"/>
              <w:rPr>
                <w:rFonts w:eastAsia="Times New Roman" w:cs="Arial"/>
                <w:b/>
                <w:bCs/>
                <w:color w:val="FFFFFF" w:themeColor="background1"/>
                <w:sz w:val="18"/>
                <w:szCs w:val="18"/>
                <w:lang w:val="es-ES_tradnl" w:eastAsia="es-ES"/>
              </w:rPr>
            </w:pPr>
            <w:r w:rsidRPr="004748CC">
              <w:rPr>
                <w:rFonts w:eastAsia="Times New Roman" w:cs="Arial"/>
                <w:b/>
                <w:bCs/>
                <w:color w:val="FFFFFF" w:themeColor="background1"/>
                <w:sz w:val="18"/>
                <w:szCs w:val="18"/>
                <w:lang w:val="es-ES_tradnl" w:eastAsia="es-ES"/>
              </w:rPr>
              <w:t>Departamento</w:t>
            </w:r>
          </w:p>
        </w:tc>
        <w:tc>
          <w:tcPr>
            <w:tcW w:w="0" w:type="auto"/>
            <w:shd w:val="clear" w:color="auto" w:fill="76922E"/>
            <w:noWrap/>
            <w:vAlign w:val="bottom"/>
            <w:hideMark/>
          </w:tcPr>
          <w:p w:rsidR="00C842DD" w:rsidRPr="004748CC" w:rsidRDefault="00FF1DE0" w:rsidP="00C842DD">
            <w:pPr>
              <w:spacing w:after="0" w:line="240" w:lineRule="auto"/>
              <w:jc w:val="center"/>
              <w:rPr>
                <w:rFonts w:eastAsia="Times New Roman" w:cs="Arial"/>
                <w:b/>
                <w:bCs/>
                <w:color w:val="FFFFFF" w:themeColor="background1"/>
                <w:sz w:val="18"/>
                <w:szCs w:val="18"/>
                <w:lang w:val="es-ES_tradnl" w:eastAsia="es-ES"/>
              </w:rPr>
            </w:pPr>
            <w:r w:rsidRPr="004748CC">
              <w:rPr>
                <w:rFonts w:eastAsia="Times New Roman" w:cs="Arial"/>
                <w:b/>
                <w:bCs/>
                <w:color w:val="FFFFFF" w:themeColor="background1"/>
                <w:sz w:val="18"/>
                <w:szCs w:val="18"/>
                <w:lang w:val="es-ES_tradnl" w:eastAsia="es-ES"/>
              </w:rPr>
              <w:t>Nna Atendidos</w:t>
            </w:r>
          </w:p>
        </w:tc>
        <w:tc>
          <w:tcPr>
            <w:tcW w:w="0" w:type="auto"/>
            <w:shd w:val="clear" w:color="auto" w:fill="76922E"/>
            <w:noWrap/>
            <w:vAlign w:val="bottom"/>
            <w:hideMark/>
          </w:tcPr>
          <w:p w:rsidR="00C842DD" w:rsidRPr="004748CC" w:rsidRDefault="00FF1DE0" w:rsidP="00C842DD">
            <w:pPr>
              <w:spacing w:after="0" w:line="240" w:lineRule="auto"/>
              <w:jc w:val="center"/>
              <w:rPr>
                <w:rFonts w:eastAsia="Times New Roman" w:cs="Arial"/>
                <w:b/>
                <w:bCs/>
                <w:color w:val="FFFFFF" w:themeColor="background1"/>
                <w:sz w:val="18"/>
                <w:szCs w:val="18"/>
                <w:lang w:val="es-ES_tradnl" w:eastAsia="es-ES"/>
              </w:rPr>
            </w:pPr>
            <w:r w:rsidRPr="004748CC">
              <w:rPr>
                <w:rFonts w:eastAsia="Times New Roman" w:cs="Arial"/>
                <w:b/>
                <w:bCs/>
                <w:color w:val="FFFFFF" w:themeColor="background1"/>
                <w:sz w:val="18"/>
                <w:szCs w:val="18"/>
                <w:lang w:val="es-ES_tradnl" w:eastAsia="es-ES"/>
              </w:rPr>
              <w:t>Presupuesto Apropiado</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Amazonas</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600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$169.290.000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Antioquia</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7.600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$2.584.997.800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Arauca</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2.200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$581.988.000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Atlántico</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4.650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$1.161.341.250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Bogotá</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5.200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$1.264.793.400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Bolivar</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4.605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$1.320.550.074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Boyacá</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3.642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$1.067.215.600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Caldas</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2.800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$778.996.400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Caquetá</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3.000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$839.658.600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Casanare</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2.100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$551.518.700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Cauca</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9.100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$2.213.767.765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Cesar</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5.500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$1.831.347.100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Chocó</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6.175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$1.873.613.100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Córdoba</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4.700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$1.087.031.404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lastRenderedPageBreak/>
              <w:t>Cundinamarca</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4.161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$1.113.487.250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Guainía</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$3.618.400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Guaviare</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1.200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$298.262.624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Huila</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3.100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$969.108.475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La Guajira</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3.400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$1.002.260.400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Magdalena</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7.800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$2.401.023.300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Meta</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2.400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$653.851.350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Nariño</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7.100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$1.483.026.423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Norte d</w:t>
            </w:r>
            <w:r w:rsidRPr="004748CC">
              <w:rPr>
                <w:rFonts w:eastAsia="Times New Roman" w:cs="Arial"/>
                <w:sz w:val="18"/>
                <w:szCs w:val="18"/>
                <w:lang w:val="es-ES_tradnl" w:eastAsia="es-ES"/>
              </w:rPr>
              <w:t>e Santander</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5.000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$1.234.743.100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Putumayo</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2.900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$882.447.050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Quindío</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2.900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$972.650.578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Risaralda</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2.295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$680.223.850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San André</w:t>
            </w:r>
            <w:r w:rsidRPr="004748CC">
              <w:rPr>
                <w:rFonts w:eastAsia="Times New Roman" w:cs="Arial"/>
                <w:sz w:val="18"/>
                <w:szCs w:val="18"/>
                <w:lang w:val="es-ES_tradnl" w:eastAsia="es-ES"/>
              </w:rPr>
              <w:t>s</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1.200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$313.417.650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Santander</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4.396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$1.169.582.178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Sucre</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3.300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$1.076.222.400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Tolima</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3.794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$1.217.976.118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Valle d</w:t>
            </w:r>
            <w:r w:rsidRPr="004748CC">
              <w:rPr>
                <w:rFonts w:eastAsia="Times New Roman" w:cs="Arial"/>
                <w:sz w:val="18"/>
                <w:szCs w:val="18"/>
                <w:lang w:val="es-ES_tradnl" w:eastAsia="es-ES"/>
              </w:rPr>
              <w:t>el Cauca</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5.300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$1.678.064.800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Vaupés</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$122.478.500 </w:t>
            </w:r>
          </w:p>
        </w:tc>
      </w:tr>
      <w:tr w:rsidR="00C842DD" w:rsidRPr="004748CC" w:rsidTr="004748CC">
        <w:trPr>
          <w:trHeight w:val="280"/>
          <w:jc w:val="center"/>
        </w:trPr>
        <w:tc>
          <w:tcPr>
            <w:tcW w:w="0" w:type="auto"/>
            <w:shd w:val="clear" w:color="auto" w:fill="auto"/>
            <w:noWrap/>
            <w:vAlign w:val="bottom"/>
            <w:hideMark/>
          </w:tcPr>
          <w:p w:rsidR="00C842DD" w:rsidRPr="004748CC" w:rsidRDefault="00C842DD"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VICHADA</w:t>
            </w:r>
          </w:p>
        </w:tc>
        <w:tc>
          <w:tcPr>
            <w:tcW w:w="0" w:type="auto"/>
            <w:shd w:val="clear" w:color="auto" w:fill="auto"/>
            <w:noWrap/>
            <w:vAlign w:val="bottom"/>
            <w:hideMark/>
          </w:tcPr>
          <w:p w:rsidR="00C842DD" w:rsidRPr="004748CC" w:rsidRDefault="00FF1DE0"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500 </w:t>
            </w:r>
          </w:p>
        </w:tc>
        <w:tc>
          <w:tcPr>
            <w:tcW w:w="0" w:type="auto"/>
            <w:shd w:val="clear" w:color="auto" w:fill="auto"/>
            <w:noWrap/>
            <w:vAlign w:val="bottom"/>
            <w:hideMark/>
          </w:tcPr>
          <w:p w:rsidR="00C842DD" w:rsidRPr="004748CC" w:rsidRDefault="00FF1DE0"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$115.224.700 </w:t>
            </w:r>
          </w:p>
        </w:tc>
      </w:tr>
      <w:tr w:rsidR="00C842DD" w:rsidRPr="004748CC" w:rsidTr="004748CC">
        <w:trPr>
          <w:trHeight w:val="280"/>
          <w:jc w:val="center"/>
        </w:trPr>
        <w:tc>
          <w:tcPr>
            <w:tcW w:w="0" w:type="auto"/>
            <w:shd w:val="clear" w:color="auto" w:fill="E2EFDA"/>
            <w:noWrap/>
            <w:vAlign w:val="bottom"/>
            <w:hideMark/>
          </w:tcPr>
          <w:p w:rsidR="00C842DD" w:rsidRPr="004748CC" w:rsidRDefault="00C842DD" w:rsidP="00C842DD">
            <w:pPr>
              <w:spacing w:after="0" w:line="240" w:lineRule="auto"/>
              <w:rPr>
                <w:rFonts w:eastAsia="Times New Roman" w:cs="Arial"/>
                <w:b/>
                <w:bCs/>
                <w:sz w:val="18"/>
                <w:szCs w:val="18"/>
                <w:lang w:val="es-ES_tradnl" w:eastAsia="es-ES"/>
              </w:rPr>
            </w:pPr>
            <w:r w:rsidRPr="004748CC">
              <w:rPr>
                <w:rFonts w:eastAsia="Times New Roman" w:cs="Arial"/>
                <w:b/>
                <w:bCs/>
                <w:sz w:val="18"/>
                <w:szCs w:val="18"/>
                <w:lang w:val="es-ES_tradnl" w:eastAsia="es-ES"/>
              </w:rPr>
              <w:t>TOTAL</w:t>
            </w:r>
          </w:p>
        </w:tc>
        <w:tc>
          <w:tcPr>
            <w:tcW w:w="0" w:type="auto"/>
            <w:shd w:val="clear" w:color="auto" w:fill="E2EFDA"/>
            <w:noWrap/>
            <w:vAlign w:val="bottom"/>
            <w:hideMark/>
          </w:tcPr>
          <w:p w:rsidR="00C842DD" w:rsidRPr="004748CC" w:rsidRDefault="00FF1DE0" w:rsidP="00C842DD">
            <w:pPr>
              <w:spacing w:after="0" w:line="240" w:lineRule="auto"/>
              <w:jc w:val="right"/>
              <w:rPr>
                <w:rFonts w:eastAsia="Times New Roman" w:cs="Arial"/>
                <w:b/>
                <w:bCs/>
                <w:sz w:val="18"/>
                <w:szCs w:val="18"/>
                <w:lang w:val="es-ES_tradnl" w:eastAsia="es-ES"/>
              </w:rPr>
            </w:pPr>
            <w:r w:rsidRPr="004748CC">
              <w:rPr>
                <w:rFonts w:eastAsia="Times New Roman" w:cs="Arial"/>
                <w:b/>
                <w:bCs/>
                <w:sz w:val="18"/>
                <w:szCs w:val="18"/>
                <w:lang w:val="es-ES_tradnl" w:eastAsia="es-ES"/>
              </w:rPr>
              <w:t xml:space="preserve"> 123.118 </w:t>
            </w:r>
          </w:p>
        </w:tc>
        <w:tc>
          <w:tcPr>
            <w:tcW w:w="0" w:type="auto"/>
            <w:shd w:val="clear" w:color="auto" w:fill="E2EFDA"/>
            <w:noWrap/>
            <w:vAlign w:val="bottom"/>
            <w:hideMark/>
          </w:tcPr>
          <w:p w:rsidR="00C842DD" w:rsidRPr="004748CC" w:rsidRDefault="00FF1DE0" w:rsidP="00C842DD">
            <w:pPr>
              <w:spacing w:after="0" w:line="240" w:lineRule="auto"/>
              <w:jc w:val="right"/>
              <w:rPr>
                <w:rFonts w:eastAsia="Times New Roman" w:cs="Arial"/>
                <w:b/>
                <w:bCs/>
                <w:sz w:val="18"/>
                <w:szCs w:val="18"/>
                <w:lang w:val="es-ES_tradnl" w:eastAsia="es-ES"/>
              </w:rPr>
            </w:pPr>
            <w:r w:rsidRPr="004748CC">
              <w:rPr>
                <w:rFonts w:eastAsia="Times New Roman" w:cs="Arial"/>
                <w:b/>
                <w:bCs/>
                <w:sz w:val="18"/>
                <w:szCs w:val="18"/>
                <w:lang w:val="es-ES_tradnl" w:eastAsia="es-ES"/>
              </w:rPr>
              <w:t xml:space="preserve"> $34.713.778.339 </w:t>
            </w:r>
          </w:p>
        </w:tc>
      </w:tr>
    </w:tbl>
    <w:p w:rsidR="00C842DD" w:rsidRPr="007608C2" w:rsidRDefault="00C842DD" w:rsidP="00376C7E">
      <w:pPr>
        <w:spacing w:after="100" w:afterAutospacing="1" w:line="240" w:lineRule="auto"/>
        <w:jc w:val="center"/>
        <w:rPr>
          <w:rFonts w:cs="Arial"/>
          <w:sz w:val="18"/>
        </w:rPr>
      </w:pPr>
      <w:r w:rsidRPr="007608C2">
        <w:rPr>
          <w:rFonts w:cs="Arial"/>
          <w:sz w:val="18"/>
        </w:rPr>
        <w:t>Fuente: Reporte de Ejecución, MSYF cierre 2017 (preliminar), Dirección de Planeación y Control de Gestión</w:t>
      </w:r>
    </w:p>
    <w:p w:rsidR="00C842DD" w:rsidRPr="004748CC" w:rsidRDefault="00C842DD" w:rsidP="00C842DD">
      <w:pPr>
        <w:spacing w:before="100" w:beforeAutospacing="1" w:after="100" w:afterAutospacing="1" w:line="240" w:lineRule="auto"/>
        <w:jc w:val="both"/>
        <w:rPr>
          <w:rFonts w:cs="Arial"/>
          <w:b/>
          <w:u w:val="single"/>
          <w:lang w:val="es-AR" w:eastAsia="es-ES"/>
        </w:rPr>
      </w:pPr>
      <w:r w:rsidRPr="004748CC">
        <w:rPr>
          <w:rFonts w:cs="Arial"/>
          <w:b/>
          <w:u w:val="single"/>
          <w:lang w:val="es-AR" w:eastAsia="es-ES"/>
        </w:rPr>
        <w:t>Programa Generaciones Con Bienestar - Modalidad Étnicas</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712"/>
        <w:gridCol w:w="1411"/>
        <w:gridCol w:w="2181"/>
      </w:tblGrid>
      <w:tr w:rsidR="00C842DD" w:rsidRPr="004748CC" w:rsidTr="004748CC">
        <w:trPr>
          <w:trHeight w:val="280"/>
          <w:tblHeader/>
          <w:jc w:val="center"/>
        </w:trPr>
        <w:tc>
          <w:tcPr>
            <w:tcW w:w="0" w:type="auto"/>
            <w:shd w:val="clear" w:color="auto" w:fill="76922E"/>
            <w:noWrap/>
            <w:vAlign w:val="center"/>
            <w:hideMark/>
          </w:tcPr>
          <w:p w:rsidR="00C842DD" w:rsidRPr="004748CC" w:rsidRDefault="004748CC" w:rsidP="00C842DD">
            <w:pPr>
              <w:spacing w:after="0" w:line="240" w:lineRule="auto"/>
              <w:jc w:val="center"/>
              <w:rPr>
                <w:rFonts w:eastAsia="Times New Roman" w:cs="Arial"/>
                <w:b/>
                <w:bCs/>
                <w:color w:val="FFFFFF" w:themeColor="background1"/>
                <w:sz w:val="18"/>
                <w:szCs w:val="18"/>
                <w:lang w:val="es-ES_tradnl" w:eastAsia="es-ES"/>
              </w:rPr>
            </w:pPr>
            <w:r w:rsidRPr="004748CC">
              <w:rPr>
                <w:rFonts w:eastAsia="Times New Roman" w:cs="Arial"/>
                <w:b/>
                <w:bCs/>
                <w:color w:val="FFFFFF" w:themeColor="background1"/>
                <w:sz w:val="18"/>
                <w:szCs w:val="18"/>
                <w:lang w:val="es-ES_tradnl" w:eastAsia="es-ES"/>
              </w:rPr>
              <w:t>Departamento</w:t>
            </w:r>
          </w:p>
        </w:tc>
        <w:tc>
          <w:tcPr>
            <w:tcW w:w="0" w:type="auto"/>
            <w:shd w:val="clear" w:color="auto" w:fill="76922E"/>
            <w:noWrap/>
            <w:vAlign w:val="bottom"/>
            <w:hideMark/>
          </w:tcPr>
          <w:p w:rsidR="00C842DD" w:rsidRPr="004748CC" w:rsidRDefault="004748CC" w:rsidP="00C842DD">
            <w:pPr>
              <w:spacing w:after="0" w:line="240" w:lineRule="auto"/>
              <w:jc w:val="center"/>
              <w:rPr>
                <w:rFonts w:eastAsia="Times New Roman" w:cs="Arial"/>
                <w:b/>
                <w:bCs/>
                <w:color w:val="FFFFFF" w:themeColor="background1"/>
                <w:sz w:val="18"/>
                <w:szCs w:val="18"/>
                <w:lang w:val="es-ES_tradnl" w:eastAsia="es-ES"/>
              </w:rPr>
            </w:pPr>
            <w:r w:rsidRPr="004748CC">
              <w:rPr>
                <w:rFonts w:eastAsia="Times New Roman" w:cs="Arial"/>
                <w:b/>
                <w:bCs/>
                <w:color w:val="FFFFFF" w:themeColor="background1"/>
                <w:sz w:val="18"/>
                <w:szCs w:val="18"/>
                <w:lang w:val="es-ES_tradnl" w:eastAsia="es-ES"/>
              </w:rPr>
              <w:t>Nna Atendidos</w:t>
            </w:r>
          </w:p>
        </w:tc>
        <w:tc>
          <w:tcPr>
            <w:tcW w:w="0" w:type="auto"/>
            <w:shd w:val="clear" w:color="auto" w:fill="76922E"/>
            <w:noWrap/>
            <w:vAlign w:val="bottom"/>
            <w:hideMark/>
          </w:tcPr>
          <w:p w:rsidR="00C842DD" w:rsidRPr="004748CC" w:rsidRDefault="004748CC" w:rsidP="00C842DD">
            <w:pPr>
              <w:spacing w:after="0" w:line="240" w:lineRule="auto"/>
              <w:jc w:val="center"/>
              <w:rPr>
                <w:rFonts w:eastAsia="Times New Roman" w:cs="Arial"/>
                <w:b/>
                <w:bCs/>
                <w:color w:val="FFFFFF" w:themeColor="background1"/>
                <w:sz w:val="18"/>
                <w:szCs w:val="18"/>
                <w:lang w:val="es-ES_tradnl" w:eastAsia="es-ES"/>
              </w:rPr>
            </w:pPr>
            <w:r w:rsidRPr="004748CC">
              <w:rPr>
                <w:rFonts w:eastAsia="Times New Roman" w:cs="Arial"/>
                <w:b/>
                <w:bCs/>
                <w:color w:val="FFFFFF" w:themeColor="background1"/>
                <w:sz w:val="18"/>
                <w:szCs w:val="18"/>
                <w:lang w:val="es-ES_tradnl" w:eastAsia="es-ES"/>
              </w:rPr>
              <w:t>Presupuesto Apropiado</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Amazonas</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1.400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$736.269.263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Antioquia</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5.300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$2.403.301.200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Arauca</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1.200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$810.759.600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Atlántico</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1.200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$380.951.500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Bogotá</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$193.871.000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Bolivar</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1.275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$431.202.866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Boyacá</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$45.467.600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Caldas</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2.700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$1.023.289.200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Caquetá</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$195.002.500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Casanare</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$281.536.000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Cauca</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5.400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$2.671.055.450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Cesar</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2.100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$841.768.600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Chocó</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7.050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$3.482.550.250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Córdoba</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1.500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$748.625.300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Guainía</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$8.145.000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lastRenderedPageBreak/>
              <w:t>Guaviare</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1.200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$597.221.200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Huila</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300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$132.639.600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La Guajira</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3.500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$1.470.544.000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Magdalena</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1.200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$486.664.800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Meta</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1.050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$455.958.750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Nariño</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3.800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$1.807.485.600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Norte d</w:t>
            </w:r>
            <w:r w:rsidRPr="004748CC">
              <w:rPr>
                <w:rFonts w:eastAsia="Times New Roman" w:cs="Arial"/>
                <w:sz w:val="18"/>
                <w:szCs w:val="18"/>
                <w:lang w:val="es-ES_tradnl" w:eastAsia="es-ES"/>
              </w:rPr>
              <w:t>e Santander</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1.000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$460.621.000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Putumayo</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2.400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$1.283.812.600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Quindío</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489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$226.407.000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Risaralda</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1.300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$538.547.100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San André</w:t>
            </w:r>
            <w:r w:rsidRPr="004748CC">
              <w:rPr>
                <w:rFonts w:eastAsia="Times New Roman" w:cs="Arial"/>
                <w:sz w:val="18"/>
                <w:szCs w:val="18"/>
                <w:lang w:val="es-ES_tradnl" w:eastAsia="es-ES"/>
              </w:rPr>
              <w:t>s</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1.200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$485.111.400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Santander</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$50.430.731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Sucre</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900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$366.534.000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Tolima</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1.582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$572.221.585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Valle d</w:t>
            </w:r>
            <w:r w:rsidRPr="004748CC">
              <w:rPr>
                <w:rFonts w:eastAsia="Times New Roman" w:cs="Arial"/>
                <w:sz w:val="18"/>
                <w:szCs w:val="18"/>
                <w:lang w:val="es-ES_tradnl" w:eastAsia="es-ES"/>
              </w:rPr>
              <w:t>el Cauca</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3.400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$1.427.721.200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Vaupés</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900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$523.100.000 </w:t>
            </w:r>
          </w:p>
        </w:tc>
      </w:tr>
      <w:tr w:rsidR="00C842DD" w:rsidRPr="004748CC" w:rsidTr="004748CC">
        <w:trPr>
          <w:trHeight w:val="280"/>
          <w:jc w:val="center"/>
        </w:trPr>
        <w:tc>
          <w:tcPr>
            <w:tcW w:w="0" w:type="auto"/>
            <w:shd w:val="clear" w:color="auto" w:fill="auto"/>
            <w:noWrap/>
            <w:vAlign w:val="bottom"/>
            <w:hideMark/>
          </w:tcPr>
          <w:p w:rsidR="00C842DD" w:rsidRPr="004748CC" w:rsidRDefault="004748CC" w:rsidP="00C842DD">
            <w:pPr>
              <w:spacing w:after="0" w:line="240" w:lineRule="auto"/>
              <w:rPr>
                <w:rFonts w:eastAsia="Times New Roman" w:cs="Arial"/>
                <w:sz w:val="18"/>
                <w:szCs w:val="18"/>
                <w:lang w:val="es-ES_tradnl" w:eastAsia="es-ES"/>
              </w:rPr>
            </w:pPr>
            <w:r w:rsidRPr="004748CC">
              <w:rPr>
                <w:rFonts w:eastAsia="Times New Roman" w:cs="Arial"/>
                <w:sz w:val="18"/>
                <w:szCs w:val="18"/>
                <w:lang w:val="es-ES_tradnl" w:eastAsia="es-ES"/>
              </w:rPr>
              <w:t>Vichada</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500 </w:t>
            </w:r>
          </w:p>
        </w:tc>
        <w:tc>
          <w:tcPr>
            <w:tcW w:w="0" w:type="auto"/>
            <w:shd w:val="clear" w:color="auto" w:fill="auto"/>
            <w:noWrap/>
            <w:vAlign w:val="bottom"/>
            <w:hideMark/>
          </w:tcPr>
          <w:p w:rsidR="00C842DD" w:rsidRPr="004748CC" w:rsidRDefault="004748CC" w:rsidP="00C842DD">
            <w:pPr>
              <w:spacing w:after="0" w:line="240" w:lineRule="auto"/>
              <w:jc w:val="right"/>
              <w:rPr>
                <w:rFonts w:eastAsia="Times New Roman" w:cs="Arial"/>
                <w:sz w:val="18"/>
                <w:szCs w:val="18"/>
                <w:lang w:val="es-ES_tradnl" w:eastAsia="es-ES"/>
              </w:rPr>
            </w:pPr>
            <w:r w:rsidRPr="004748CC">
              <w:rPr>
                <w:rFonts w:eastAsia="Times New Roman" w:cs="Arial"/>
                <w:sz w:val="18"/>
                <w:szCs w:val="18"/>
                <w:lang w:val="es-ES_tradnl" w:eastAsia="es-ES"/>
              </w:rPr>
              <w:t xml:space="preserve"> $252.959.000 </w:t>
            </w:r>
          </w:p>
        </w:tc>
      </w:tr>
      <w:tr w:rsidR="00C842DD" w:rsidRPr="004748CC" w:rsidTr="004748CC">
        <w:trPr>
          <w:trHeight w:val="280"/>
          <w:jc w:val="center"/>
        </w:trPr>
        <w:tc>
          <w:tcPr>
            <w:tcW w:w="0" w:type="auto"/>
            <w:shd w:val="clear" w:color="auto" w:fill="E2EFDA"/>
            <w:noWrap/>
            <w:vAlign w:val="bottom"/>
            <w:hideMark/>
          </w:tcPr>
          <w:p w:rsidR="00C842DD" w:rsidRPr="004748CC" w:rsidRDefault="004748CC" w:rsidP="006976CF">
            <w:pPr>
              <w:spacing w:after="0" w:line="240" w:lineRule="auto"/>
              <w:rPr>
                <w:rFonts w:eastAsia="Times New Roman" w:cs="Arial"/>
                <w:b/>
                <w:bCs/>
                <w:sz w:val="18"/>
                <w:szCs w:val="18"/>
                <w:lang w:val="es-ES_tradnl" w:eastAsia="es-ES"/>
              </w:rPr>
            </w:pPr>
            <w:r>
              <w:rPr>
                <w:rFonts w:eastAsia="Times New Roman" w:cs="Arial"/>
                <w:b/>
                <w:bCs/>
                <w:sz w:val="18"/>
                <w:szCs w:val="18"/>
                <w:lang w:val="es-ES_tradnl" w:eastAsia="es-ES"/>
              </w:rPr>
              <w:t>Total</w:t>
            </w:r>
          </w:p>
        </w:tc>
        <w:tc>
          <w:tcPr>
            <w:tcW w:w="0" w:type="auto"/>
            <w:shd w:val="clear" w:color="auto" w:fill="E2EFDA"/>
            <w:noWrap/>
            <w:vAlign w:val="bottom"/>
            <w:hideMark/>
          </w:tcPr>
          <w:p w:rsidR="00C842DD" w:rsidRPr="004748CC" w:rsidRDefault="004748CC" w:rsidP="006976CF">
            <w:pPr>
              <w:spacing w:after="0" w:line="240" w:lineRule="auto"/>
              <w:jc w:val="right"/>
              <w:rPr>
                <w:rFonts w:eastAsia="Times New Roman" w:cs="Arial"/>
                <w:b/>
                <w:bCs/>
                <w:sz w:val="18"/>
                <w:szCs w:val="18"/>
                <w:lang w:val="es-ES_tradnl" w:eastAsia="es-ES"/>
              </w:rPr>
            </w:pPr>
            <w:r w:rsidRPr="004748CC">
              <w:rPr>
                <w:rFonts w:eastAsia="Times New Roman" w:cs="Arial"/>
                <w:b/>
                <w:bCs/>
                <w:sz w:val="18"/>
                <w:szCs w:val="18"/>
                <w:lang w:val="es-ES_tradnl" w:eastAsia="es-ES"/>
              </w:rPr>
              <w:t>55.546</w:t>
            </w:r>
          </w:p>
        </w:tc>
        <w:tc>
          <w:tcPr>
            <w:tcW w:w="0" w:type="auto"/>
            <w:shd w:val="clear" w:color="auto" w:fill="E2EFDA"/>
            <w:noWrap/>
            <w:vAlign w:val="bottom"/>
            <w:hideMark/>
          </w:tcPr>
          <w:p w:rsidR="00C842DD" w:rsidRPr="004748CC" w:rsidRDefault="004748CC" w:rsidP="006976CF">
            <w:pPr>
              <w:spacing w:after="0" w:line="240" w:lineRule="auto"/>
              <w:jc w:val="right"/>
              <w:rPr>
                <w:rFonts w:eastAsia="Times New Roman" w:cs="Arial"/>
                <w:b/>
                <w:bCs/>
                <w:sz w:val="18"/>
                <w:szCs w:val="18"/>
                <w:lang w:val="es-ES_tradnl" w:eastAsia="es-ES"/>
              </w:rPr>
            </w:pPr>
            <w:r w:rsidRPr="004748CC">
              <w:rPr>
                <w:rFonts w:eastAsia="Times New Roman" w:cs="Arial"/>
                <w:b/>
                <w:bCs/>
                <w:sz w:val="18"/>
                <w:szCs w:val="18"/>
                <w:lang w:val="es-ES_tradnl" w:eastAsia="es-ES"/>
              </w:rPr>
              <w:t>$25.391.774.895</w:t>
            </w:r>
          </w:p>
        </w:tc>
      </w:tr>
    </w:tbl>
    <w:p w:rsidR="00C842DD" w:rsidRPr="007608C2" w:rsidRDefault="00C842DD" w:rsidP="00376C7E">
      <w:pPr>
        <w:spacing w:after="100" w:afterAutospacing="1" w:line="240" w:lineRule="auto"/>
        <w:jc w:val="center"/>
        <w:rPr>
          <w:rFonts w:cs="Arial"/>
          <w:sz w:val="18"/>
        </w:rPr>
      </w:pPr>
      <w:r w:rsidRPr="007608C2">
        <w:rPr>
          <w:rFonts w:cs="Arial"/>
          <w:sz w:val="18"/>
        </w:rPr>
        <w:t>Fuente: Reporte de Ejecución, MSYF cierre 2017 (preliminar), Dirección de Planeación y Control de Gestión</w:t>
      </w:r>
    </w:p>
    <w:p w:rsidR="00C842DD" w:rsidRPr="004748CC" w:rsidRDefault="00C842DD" w:rsidP="00C842DD">
      <w:pPr>
        <w:spacing w:before="100" w:beforeAutospacing="1" w:after="100" w:afterAutospacing="1" w:line="240" w:lineRule="auto"/>
        <w:jc w:val="both"/>
        <w:rPr>
          <w:rFonts w:cs="Arial"/>
          <w:b/>
          <w:u w:val="single"/>
          <w:lang w:val="es-AR" w:eastAsia="es-ES"/>
        </w:rPr>
      </w:pPr>
      <w:r w:rsidRPr="004748CC">
        <w:rPr>
          <w:rFonts w:cs="Arial"/>
          <w:b/>
          <w:u w:val="single"/>
          <w:lang w:val="es-AR" w:eastAsia="es-ES"/>
        </w:rPr>
        <w:t>Programa Generaciones Con Bienestar - Modalidad Rurales</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712"/>
        <w:gridCol w:w="1460"/>
        <w:gridCol w:w="2181"/>
      </w:tblGrid>
      <w:tr w:rsidR="00C842DD" w:rsidRPr="006976CF" w:rsidTr="006976CF">
        <w:trPr>
          <w:trHeight w:val="280"/>
          <w:tblHeader/>
          <w:jc w:val="center"/>
        </w:trPr>
        <w:tc>
          <w:tcPr>
            <w:tcW w:w="0" w:type="auto"/>
            <w:shd w:val="clear" w:color="auto" w:fill="76922E"/>
            <w:noWrap/>
            <w:vAlign w:val="center"/>
            <w:hideMark/>
          </w:tcPr>
          <w:p w:rsidR="00C842DD" w:rsidRPr="006976CF" w:rsidRDefault="004748CC" w:rsidP="00C842DD">
            <w:pPr>
              <w:spacing w:after="0" w:line="240" w:lineRule="auto"/>
              <w:jc w:val="center"/>
              <w:rPr>
                <w:rFonts w:eastAsia="Times New Roman" w:cs="Arial"/>
                <w:b/>
                <w:bCs/>
                <w:color w:val="FFFFFF" w:themeColor="background1"/>
                <w:sz w:val="18"/>
                <w:szCs w:val="18"/>
                <w:lang w:val="es-ES_tradnl" w:eastAsia="es-ES"/>
              </w:rPr>
            </w:pPr>
            <w:r w:rsidRPr="006976CF">
              <w:rPr>
                <w:rFonts w:eastAsia="Times New Roman" w:cs="Arial"/>
                <w:b/>
                <w:bCs/>
                <w:color w:val="FFFFFF" w:themeColor="background1"/>
                <w:sz w:val="18"/>
                <w:szCs w:val="18"/>
                <w:lang w:val="es-ES_tradnl" w:eastAsia="es-ES"/>
              </w:rPr>
              <w:t>Departamento</w:t>
            </w:r>
          </w:p>
        </w:tc>
        <w:tc>
          <w:tcPr>
            <w:tcW w:w="0" w:type="auto"/>
            <w:shd w:val="clear" w:color="auto" w:fill="76922E"/>
            <w:noWrap/>
            <w:vAlign w:val="bottom"/>
            <w:hideMark/>
          </w:tcPr>
          <w:p w:rsidR="00C842DD" w:rsidRPr="006976CF" w:rsidRDefault="004748CC" w:rsidP="00C842DD">
            <w:pPr>
              <w:spacing w:after="0" w:line="240" w:lineRule="auto"/>
              <w:jc w:val="center"/>
              <w:rPr>
                <w:rFonts w:eastAsia="Times New Roman" w:cs="Arial"/>
                <w:b/>
                <w:bCs/>
                <w:color w:val="FFFFFF" w:themeColor="background1"/>
                <w:sz w:val="18"/>
                <w:szCs w:val="18"/>
                <w:lang w:val="es-ES_tradnl" w:eastAsia="es-ES"/>
              </w:rPr>
            </w:pPr>
            <w:r w:rsidRPr="006976CF">
              <w:rPr>
                <w:rFonts w:eastAsia="Times New Roman" w:cs="Arial"/>
                <w:b/>
                <w:bCs/>
                <w:color w:val="FFFFFF" w:themeColor="background1"/>
                <w:sz w:val="18"/>
                <w:szCs w:val="18"/>
                <w:lang w:val="es-ES_tradnl" w:eastAsia="es-ES"/>
              </w:rPr>
              <w:t>NNA Atendidos</w:t>
            </w:r>
          </w:p>
        </w:tc>
        <w:tc>
          <w:tcPr>
            <w:tcW w:w="0" w:type="auto"/>
            <w:shd w:val="clear" w:color="auto" w:fill="76922E"/>
            <w:noWrap/>
            <w:vAlign w:val="bottom"/>
            <w:hideMark/>
          </w:tcPr>
          <w:p w:rsidR="00C842DD" w:rsidRPr="006976CF" w:rsidRDefault="004748CC" w:rsidP="00C842DD">
            <w:pPr>
              <w:spacing w:after="0" w:line="240" w:lineRule="auto"/>
              <w:jc w:val="center"/>
              <w:rPr>
                <w:rFonts w:eastAsia="Times New Roman" w:cs="Arial"/>
                <w:b/>
                <w:bCs/>
                <w:color w:val="FFFFFF" w:themeColor="background1"/>
                <w:sz w:val="18"/>
                <w:szCs w:val="18"/>
                <w:lang w:val="es-ES_tradnl" w:eastAsia="es-ES"/>
              </w:rPr>
            </w:pPr>
            <w:r w:rsidRPr="006976CF">
              <w:rPr>
                <w:rFonts w:eastAsia="Times New Roman" w:cs="Arial"/>
                <w:b/>
                <w:bCs/>
                <w:color w:val="FFFFFF" w:themeColor="background1"/>
                <w:sz w:val="18"/>
                <w:szCs w:val="18"/>
                <w:lang w:val="es-ES_tradnl" w:eastAsia="es-ES"/>
              </w:rPr>
              <w:t>Presupuesto Apropiado</w:t>
            </w:r>
          </w:p>
        </w:tc>
      </w:tr>
      <w:tr w:rsidR="00C842DD" w:rsidRPr="006976CF" w:rsidTr="006976CF">
        <w:trPr>
          <w:trHeight w:val="280"/>
          <w:jc w:val="center"/>
        </w:trPr>
        <w:tc>
          <w:tcPr>
            <w:tcW w:w="0" w:type="auto"/>
            <w:shd w:val="clear" w:color="auto" w:fill="auto"/>
            <w:noWrap/>
            <w:vAlign w:val="bottom"/>
            <w:hideMark/>
          </w:tcPr>
          <w:p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Antioquia</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2.200 </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$1.004.434.000 </w:t>
            </w:r>
          </w:p>
        </w:tc>
      </w:tr>
      <w:tr w:rsidR="00C842DD" w:rsidRPr="006976CF" w:rsidTr="006976CF">
        <w:trPr>
          <w:trHeight w:val="280"/>
          <w:jc w:val="center"/>
        </w:trPr>
        <w:tc>
          <w:tcPr>
            <w:tcW w:w="0" w:type="auto"/>
            <w:shd w:val="clear" w:color="auto" w:fill="auto"/>
            <w:noWrap/>
            <w:vAlign w:val="bottom"/>
            <w:hideMark/>
          </w:tcPr>
          <w:p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Arauca</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800 </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$308.197.200 </w:t>
            </w:r>
          </w:p>
        </w:tc>
      </w:tr>
      <w:tr w:rsidR="00C842DD" w:rsidRPr="006976CF" w:rsidTr="006976CF">
        <w:trPr>
          <w:trHeight w:val="280"/>
          <w:jc w:val="center"/>
        </w:trPr>
        <w:tc>
          <w:tcPr>
            <w:tcW w:w="0" w:type="auto"/>
            <w:shd w:val="clear" w:color="auto" w:fill="auto"/>
            <w:noWrap/>
            <w:vAlign w:val="bottom"/>
            <w:hideMark/>
          </w:tcPr>
          <w:p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Atlántico</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150 </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$42.548.950 </w:t>
            </w:r>
          </w:p>
        </w:tc>
      </w:tr>
      <w:tr w:rsidR="00C842DD" w:rsidRPr="006976CF" w:rsidTr="006976CF">
        <w:trPr>
          <w:trHeight w:val="280"/>
          <w:jc w:val="center"/>
        </w:trPr>
        <w:tc>
          <w:tcPr>
            <w:tcW w:w="0" w:type="auto"/>
            <w:shd w:val="clear" w:color="auto" w:fill="auto"/>
            <w:noWrap/>
            <w:vAlign w:val="bottom"/>
            <w:hideMark/>
          </w:tcPr>
          <w:p w:rsidR="00C842DD" w:rsidRPr="006976CF" w:rsidRDefault="00043D48"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Bogotá</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100 </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$30.616.000 </w:t>
            </w:r>
          </w:p>
        </w:tc>
      </w:tr>
      <w:tr w:rsidR="00C842DD" w:rsidRPr="006976CF" w:rsidTr="006976CF">
        <w:trPr>
          <w:trHeight w:val="280"/>
          <w:jc w:val="center"/>
        </w:trPr>
        <w:tc>
          <w:tcPr>
            <w:tcW w:w="0" w:type="auto"/>
            <w:shd w:val="clear" w:color="auto" w:fill="auto"/>
            <w:noWrap/>
            <w:vAlign w:val="bottom"/>
            <w:hideMark/>
          </w:tcPr>
          <w:p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Bolivar</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2.550 </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$1.014.378.330 </w:t>
            </w:r>
          </w:p>
        </w:tc>
      </w:tr>
      <w:tr w:rsidR="00C842DD" w:rsidRPr="006976CF" w:rsidTr="006976CF">
        <w:trPr>
          <w:trHeight w:val="280"/>
          <w:jc w:val="center"/>
        </w:trPr>
        <w:tc>
          <w:tcPr>
            <w:tcW w:w="0" w:type="auto"/>
            <w:shd w:val="clear" w:color="auto" w:fill="auto"/>
            <w:noWrap/>
            <w:vAlign w:val="bottom"/>
            <w:hideMark/>
          </w:tcPr>
          <w:p w:rsidR="00C842DD" w:rsidRPr="006976CF" w:rsidRDefault="00043D48"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Boyacá</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1.271 </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$411.053.885 </w:t>
            </w:r>
          </w:p>
        </w:tc>
      </w:tr>
      <w:tr w:rsidR="00C842DD" w:rsidRPr="006976CF" w:rsidTr="006976CF">
        <w:trPr>
          <w:trHeight w:val="280"/>
          <w:jc w:val="center"/>
        </w:trPr>
        <w:tc>
          <w:tcPr>
            <w:tcW w:w="0" w:type="auto"/>
            <w:shd w:val="clear" w:color="auto" w:fill="auto"/>
            <w:noWrap/>
            <w:vAlign w:val="bottom"/>
            <w:hideMark/>
          </w:tcPr>
          <w:p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Caldas</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300 </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$102.801.676 </w:t>
            </w:r>
          </w:p>
        </w:tc>
      </w:tr>
      <w:tr w:rsidR="00C842DD" w:rsidRPr="006976CF" w:rsidTr="006976CF">
        <w:trPr>
          <w:trHeight w:val="280"/>
          <w:jc w:val="center"/>
        </w:trPr>
        <w:tc>
          <w:tcPr>
            <w:tcW w:w="0" w:type="auto"/>
            <w:shd w:val="clear" w:color="auto" w:fill="auto"/>
            <w:noWrap/>
            <w:vAlign w:val="bottom"/>
            <w:hideMark/>
          </w:tcPr>
          <w:p w:rsidR="00C842DD" w:rsidRPr="006976CF" w:rsidRDefault="00043D48"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Caquetá</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700 </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$230.401.200 </w:t>
            </w:r>
          </w:p>
        </w:tc>
      </w:tr>
      <w:tr w:rsidR="00C842DD" w:rsidRPr="006976CF" w:rsidTr="006976CF">
        <w:trPr>
          <w:trHeight w:val="280"/>
          <w:jc w:val="center"/>
        </w:trPr>
        <w:tc>
          <w:tcPr>
            <w:tcW w:w="0" w:type="auto"/>
            <w:shd w:val="clear" w:color="auto" w:fill="auto"/>
            <w:noWrap/>
            <w:vAlign w:val="bottom"/>
            <w:hideMark/>
          </w:tcPr>
          <w:p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Casanare</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300 </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$108.103.600 </w:t>
            </w:r>
          </w:p>
        </w:tc>
      </w:tr>
      <w:tr w:rsidR="00C842DD" w:rsidRPr="006976CF" w:rsidTr="006976CF">
        <w:trPr>
          <w:trHeight w:val="280"/>
          <w:jc w:val="center"/>
        </w:trPr>
        <w:tc>
          <w:tcPr>
            <w:tcW w:w="0" w:type="auto"/>
            <w:shd w:val="clear" w:color="auto" w:fill="auto"/>
            <w:noWrap/>
            <w:vAlign w:val="bottom"/>
            <w:hideMark/>
          </w:tcPr>
          <w:p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Cauca</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200 </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$83.202.600 </w:t>
            </w:r>
          </w:p>
        </w:tc>
      </w:tr>
      <w:tr w:rsidR="00C842DD" w:rsidRPr="006976CF" w:rsidTr="006976CF">
        <w:trPr>
          <w:trHeight w:val="280"/>
          <w:jc w:val="center"/>
        </w:trPr>
        <w:tc>
          <w:tcPr>
            <w:tcW w:w="0" w:type="auto"/>
            <w:shd w:val="clear" w:color="auto" w:fill="auto"/>
            <w:noWrap/>
            <w:vAlign w:val="bottom"/>
            <w:hideMark/>
          </w:tcPr>
          <w:p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Cesar</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800 </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$306.780.900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Chocó</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1.000 </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$413.236.600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Córdoba</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1.550 </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$453.210.350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Guainía</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$2.713.800 </w:t>
            </w:r>
          </w:p>
        </w:tc>
      </w:tr>
      <w:tr w:rsidR="00C842DD" w:rsidRPr="006976CF" w:rsidTr="006976CF">
        <w:trPr>
          <w:trHeight w:val="280"/>
          <w:jc w:val="center"/>
        </w:trPr>
        <w:tc>
          <w:tcPr>
            <w:tcW w:w="0" w:type="auto"/>
            <w:shd w:val="clear" w:color="auto" w:fill="auto"/>
            <w:noWrap/>
            <w:vAlign w:val="bottom"/>
            <w:hideMark/>
          </w:tcPr>
          <w:p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Guaviare</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1.050 </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$376.267.550 </w:t>
            </w:r>
          </w:p>
        </w:tc>
      </w:tr>
      <w:tr w:rsidR="00C842DD" w:rsidRPr="006976CF" w:rsidTr="006976CF">
        <w:trPr>
          <w:trHeight w:val="280"/>
          <w:jc w:val="center"/>
        </w:trPr>
        <w:tc>
          <w:tcPr>
            <w:tcW w:w="0" w:type="auto"/>
            <w:shd w:val="clear" w:color="auto" w:fill="auto"/>
            <w:noWrap/>
            <w:vAlign w:val="bottom"/>
            <w:hideMark/>
          </w:tcPr>
          <w:p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Huila</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800 </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$284.201.221 </w:t>
            </w:r>
          </w:p>
        </w:tc>
      </w:tr>
      <w:tr w:rsidR="00C842DD" w:rsidRPr="006976CF" w:rsidTr="006976CF">
        <w:trPr>
          <w:trHeight w:val="280"/>
          <w:jc w:val="center"/>
        </w:trPr>
        <w:tc>
          <w:tcPr>
            <w:tcW w:w="0" w:type="auto"/>
            <w:shd w:val="clear" w:color="auto" w:fill="auto"/>
            <w:noWrap/>
            <w:vAlign w:val="bottom"/>
            <w:hideMark/>
          </w:tcPr>
          <w:p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Magdalena</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600 </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$264.481.900 </w:t>
            </w:r>
          </w:p>
        </w:tc>
      </w:tr>
      <w:tr w:rsidR="00C842DD" w:rsidRPr="006976CF" w:rsidTr="006976CF">
        <w:trPr>
          <w:trHeight w:val="280"/>
          <w:jc w:val="center"/>
        </w:trPr>
        <w:tc>
          <w:tcPr>
            <w:tcW w:w="0" w:type="auto"/>
            <w:shd w:val="clear" w:color="auto" w:fill="auto"/>
            <w:noWrap/>
            <w:vAlign w:val="bottom"/>
            <w:hideMark/>
          </w:tcPr>
          <w:p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lastRenderedPageBreak/>
              <w:t>Meta</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900 </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$258.289.400 </w:t>
            </w:r>
          </w:p>
        </w:tc>
      </w:tr>
      <w:tr w:rsidR="00C842DD" w:rsidRPr="006976CF" w:rsidTr="006976CF">
        <w:trPr>
          <w:trHeight w:val="280"/>
          <w:jc w:val="center"/>
        </w:trPr>
        <w:tc>
          <w:tcPr>
            <w:tcW w:w="0" w:type="auto"/>
            <w:shd w:val="clear" w:color="auto" w:fill="auto"/>
            <w:noWrap/>
            <w:vAlign w:val="bottom"/>
            <w:hideMark/>
          </w:tcPr>
          <w:p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Nariño</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1.000 </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$310.936.377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Norte d</w:t>
            </w:r>
            <w:r w:rsidR="004748CC" w:rsidRPr="006976CF">
              <w:rPr>
                <w:rFonts w:eastAsia="Times New Roman" w:cs="Arial"/>
                <w:sz w:val="18"/>
                <w:szCs w:val="18"/>
                <w:lang w:val="es-ES_tradnl" w:eastAsia="es-ES"/>
              </w:rPr>
              <w:t>e Santander</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2.050 </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$638.740.600 </w:t>
            </w:r>
          </w:p>
        </w:tc>
      </w:tr>
      <w:tr w:rsidR="00C842DD" w:rsidRPr="006976CF" w:rsidTr="006976CF">
        <w:trPr>
          <w:trHeight w:val="280"/>
          <w:jc w:val="center"/>
        </w:trPr>
        <w:tc>
          <w:tcPr>
            <w:tcW w:w="0" w:type="auto"/>
            <w:shd w:val="clear" w:color="auto" w:fill="auto"/>
            <w:noWrap/>
            <w:vAlign w:val="bottom"/>
            <w:hideMark/>
          </w:tcPr>
          <w:p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Putumayo</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800 </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$318.984.600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Quindío</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500 </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$207.435.200 </w:t>
            </w:r>
          </w:p>
        </w:tc>
      </w:tr>
      <w:tr w:rsidR="00C842DD" w:rsidRPr="006976CF" w:rsidTr="006976CF">
        <w:trPr>
          <w:trHeight w:val="280"/>
          <w:jc w:val="center"/>
        </w:trPr>
        <w:tc>
          <w:tcPr>
            <w:tcW w:w="0" w:type="auto"/>
            <w:shd w:val="clear" w:color="auto" w:fill="auto"/>
            <w:noWrap/>
            <w:vAlign w:val="bottom"/>
            <w:hideMark/>
          </w:tcPr>
          <w:p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Risaralda</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400 </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$118.050.200 </w:t>
            </w:r>
          </w:p>
        </w:tc>
      </w:tr>
      <w:tr w:rsidR="00C842DD" w:rsidRPr="006976CF" w:rsidTr="006976CF">
        <w:trPr>
          <w:trHeight w:val="280"/>
          <w:jc w:val="center"/>
        </w:trPr>
        <w:tc>
          <w:tcPr>
            <w:tcW w:w="0" w:type="auto"/>
            <w:shd w:val="clear" w:color="auto" w:fill="auto"/>
            <w:noWrap/>
            <w:vAlign w:val="bottom"/>
            <w:hideMark/>
          </w:tcPr>
          <w:p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Santander</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300 </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$106.977.300 </w:t>
            </w:r>
          </w:p>
        </w:tc>
      </w:tr>
      <w:tr w:rsidR="00C842DD" w:rsidRPr="006976CF" w:rsidTr="006976CF">
        <w:trPr>
          <w:trHeight w:val="280"/>
          <w:jc w:val="center"/>
        </w:trPr>
        <w:tc>
          <w:tcPr>
            <w:tcW w:w="0" w:type="auto"/>
            <w:shd w:val="clear" w:color="auto" w:fill="auto"/>
            <w:noWrap/>
            <w:vAlign w:val="bottom"/>
            <w:hideMark/>
          </w:tcPr>
          <w:p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Sucre</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500 </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$202.329.600 </w:t>
            </w:r>
          </w:p>
        </w:tc>
      </w:tr>
      <w:tr w:rsidR="00C842DD" w:rsidRPr="006976CF" w:rsidTr="006976CF">
        <w:trPr>
          <w:trHeight w:val="280"/>
          <w:jc w:val="center"/>
        </w:trPr>
        <w:tc>
          <w:tcPr>
            <w:tcW w:w="0" w:type="auto"/>
            <w:shd w:val="clear" w:color="auto" w:fill="auto"/>
            <w:noWrap/>
            <w:vAlign w:val="bottom"/>
            <w:hideMark/>
          </w:tcPr>
          <w:p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Tolima</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1.000 </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$346.218.935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Valle d</w:t>
            </w:r>
            <w:r w:rsidR="004748CC" w:rsidRPr="006976CF">
              <w:rPr>
                <w:rFonts w:eastAsia="Times New Roman" w:cs="Arial"/>
                <w:sz w:val="18"/>
                <w:szCs w:val="18"/>
                <w:lang w:val="es-ES_tradnl" w:eastAsia="es-ES"/>
              </w:rPr>
              <w:t>el Cauca</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900 </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$237.658.250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Vaupés</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300 </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$92.018.400 </w:t>
            </w:r>
          </w:p>
        </w:tc>
      </w:tr>
      <w:tr w:rsidR="00C842DD" w:rsidRPr="006976CF" w:rsidTr="006976CF">
        <w:trPr>
          <w:trHeight w:val="280"/>
          <w:jc w:val="center"/>
        </w:trPr>
        <w:tc>
          <w:tcPr>
            <w:tcW w:w="0" w:type="auto"/>
            <w:shd w:val="clear" w:color="auto" w:fill="auto"/>
            <w:noWrap/>
            <w:vAlign w:val="bottom"/>
            <w:hideMark/>
          </w:tcPr>
          <w:p w:rsidR="00C842DD" w:rsidRPr="006976CF" w:rsidRDefault="004748CC"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Vichada</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300 </w:t>
            </w:r>
          </w:p>
        </w:tc>
        <w:tc>
          <w:tcPr>
            <w:tcW w:w="0" w:type="auto"/>
            <w:shd w:val="clear" w:color="auto" w:fill="auto"/>
            <w:noWrap/>
            <w:vAlign w:val="bottom"/>
            <w:hideMark/>
          </w:tcPr>
          <w:p w:rsidR="00C842DD" w:rsidRPr="006976CF" w:rsidRDefault="004748CC"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$109.449.520 </w:t>
            </w:r>
          </w:p>
        </w:tc>
      </w:tr>
      <w:tr w:rsidR="00C842DD" w:rsidRPr="006976CF" w:rsidTr="006976CF">
        <w:trPr>
          <w:trHeight w:val="280"/>
          <w:jc w:val="center"/>
        </w:trPr>
        <w:tc>
          <w:tcPr>
            <w:tcW w:w="0" w:type="auto"/>
            <w:shd w:val="clear" w:color="auto" w:fill="E2EFDA"/>
            <w:noWrap/>
            <w:vAlign w:val="bottom"/>
            <w:hideMark/>
          </w:tcPr>
          <w:p w:rsidR="00C842DD" w:rsidRPr="006976CF" w:rsidRDefault="004748CC" w:rsidP="006976CF">
            <w:pPr>
              <w:spacing w:after="0" w:line="240" w:lineRule="auto"/>
              <w:rPr>
                <w:rFonts w:eastAsia="Times New Roman" w:cs="Arial"/>
                <w:b/>
                <w:bCs/>
                <w:sz w:val="18"/>
                <w:szCs w:val="18"/>
                <w:lang w:val="es-ES_tradnl" w:eastAsia="es-ES"/>
              </w:rPr>
            </w:pPr>
            <w:r w:rsidRPr="006976CF">
              <w:rPr>
                <w:rFonts w:eastAsia="Times New Roman" w:cs="Arial"/>
                <w:b/>
                <w:bCs/>
                <w:sz w:val="18"/>
                <w:szCs w:val="18"/>
                <w:lang w:val="es-ES_tradnl" w:eastAsia="es-ES"/>
              </w:rPr>
              <w:t>Total</w:t>
            </w:r>
          </w:p>
        </w:tc>
        <w:tc>
          <w:tcPr>
            <w:tcW w:w="0" w:type="auto"/>
            <w:shd w:val="clear" w:color="auto" w:fill="E2EFDA"/>
            <w:noWrap/>
            <w:vAlign w:val="bottom"/>
            <w:hideMark/>
          </w:tcPr>
          <w:p w:rsidR="00C842DD" w:rsidRPr="006976CF" w:rsidRDefault="004748CC" w:rsidP="006976CF">
            <w:pPr>
              <w:spacing w:after="0" w:line="240" w:lineRule="auto"/>
              <w:jc w:val="right"/>
              <w:rPr>
                <w:rFonts w:eastAsia="Times New Roman" w:cs="Arial"/>
                <w:b/>
                <w:bCs/>
                <w:sz w:val="18"/>
                <w:szCs w:val="18"/>
                <w:lang w:val="es-ES_tradnl" w:eastAsia="es-ES"/>
              </w:rPr>
            </w:pPr>
            <w:r w:rsidRPr="006976CF">
              <w:rPr>
                <w:rFonts w:eastAsia="Times New Roman" w:cs="Arial"/>
                <w:b/>
                <w:bCs/>
                <w:sz w:val="18"/>
                <w:szCs w:val="18"/>
                <w:lang w:val="es-ES_tradnl" w:eastAsia="es-ES"/>
              </w:rPr>
              <w:t>23.321</w:t>
            </w:r>
          </w:p>
        </w:tc>
        <w:tc>
          <w:tcPr>
            <w:tcW w:w="0" w:type="auto"/>
            <w:shd w:val="clear" w:color="auto" w:fill="E2EFDA"/>
            <w:noWrap/>
            <w:vAlign w:val="bottom"/>
            <w:hideMark/>
          </w:tcPr>
          <w:p w:rsidR="00C842DD" w:rsidRPr="006976CF" w:rsidRDefault="004748CC" w:rsidP="006976CF">
            <w:pPr>
              <w:spacing w:after="0" w:line="240" w:lineRule="auto"/>
              <w:jc w:val="right"/>
              <w:rPr>
                <w:rFonts w:eastAsia="Times New Roman" w:cs="Arial"/>
                <w:b/>
                <w:bCs/>
                <w:sz w:val="18"/>
                <w:szCs w:val="18"/>
                <w:lang w:val="es-ES_tradnl" w:eastAsia="es-ES"/>
              </w:rPr>
            </w:pPr>
            <w:r w:rsidRPr="006976CF">
              <w:rPr>
                <w:rFonts w:eastAsia="Times New Roman" w:cs="Arial"/>
                <w:b/>
                <w:bCs/>
                <w:sz w:val="18"/>
                <w:szCs w:val="18"/>
                <w:lang w:val="es-ES_tradnl" w:eastAsia="es-ES"/>
              </w:rPr>
              <w:t>$8.383.718.144</w:t>
            </w:r>
          </w:p>
        </w:tc>
      </w:tr>
    </w:tbl>
    <w:p w:rsidR="00C842DD" w:rsidRPr="006976CF" w:rsidRDefault="00C842DD" w:rsidP="00376C7E">
      <w:pPr>
        <w:spacing w:after="100" w:afterAutospacing="1" w:line="240" w:lineRule="auto"/>
        <w:jc w:val="center"/>
        <w:rPr>
          <w:rFonts w:cs="Arial"/>
          <w:sz w:val="16"/>
          <w:szCs w:val="16"/>
        </w:rPr>
      </w:pPr>
      <w:r w:rsidRPr="006976CF">
        <w:rPr>
          <w:rFonts w:cs="Arial"/>
          <w:sz w:val="16"/>
          <w:szCs w:val="16"/>
        </w:rPr>
        <w:t>Fuente: Reporte de Ejecución, MSYF cierre 2017 (preliminar), Dirección de Planeación y Control de Gestión</w:t>
      </w:r>
    </w:p>
    <w:p w:rsidR="00C842DD" w:rsidRPr="007608C2" w:rsidRDefault="00C842DD" w:rsidP="00C842DD">
      <w:pPr>
        <w:rPr>
          <w:rFonts w:cs="Arial"/>
          <w:b/>
        </w:rPr>
      </w:pPr>
      <w:bookmarkStart w:id="46" w:name="_Toc495064335"/>
      <w:r w:rsidRPr="007608C2">
        <w:rPr>
          <w:rFonts w:cs="Arial"/>
          <w:b/>
        </w:rPr>
        <w:t>Estrategia Acciones Masivas de Alto Impacto Social – AMAS</w:t>
      </w:r>
      <w:bookmarkEnd w:id="46"/>
    </w:p>
    <w:p w:rsidR="00C842DD" w:rsidRPr="007608C2" w:rsidRDefault="00C842DD" w:rsidP="00C842DD">
      <w:pPr>
        <w:spacing w:before="100" w:beforeAutospacing="1" w:after="100" w:afterAutospacing="1" w:line="240" w:lineRule="auto"/>
        <w:jc w:val="both"/>
        <w:rPr>
          <w:rFonts w:cs="Arial"/>
          <w:lang w:val="es-ES_tradnl"/>
        </w:rPr>
      </w:pPr>
      <w:r w:rsidRPr="007608C2">
        <w:rPr>
          <w:rFonts w:cs="Arial"/>
          <w:lang w:val="es-ES_tradnl"/>
        </w:rPr>
        <w:t xml:space="preserve">La Estrategia de </w:t>
      </w:r>
      <w:r w:rsidRPr="007608C2">
        <w:rPr>
          <w:rFonts w:cs="Arial"/>
          <w:b/>
          <w:lang w:val="es-ES_tradnl"/>
        </w:rPr>
        <w:t>Acciones Masivas de Alto Impacto Social</w:t>
      </w:r>
      <w:r w:rsidRPr="007608C2">
        <w:rPr>
          <w:rFonts w:cs="Arial"/>
          <w:lang w:val="es-ES_tradnl"/>
        </w:rPr>
        <w:t xml:space="preserve"> –AMAS– ha sido creada con el objetivo de prevenir la vulneración de los derechos de niños, niñas y adolescentes, a través de acciones de movilización social innovadoras y creativas. En esta perspectiva, las acciones de la Estrategia AMAS se diseñan a la medida de los territorios, interpretando y considerando las necesidades particulares que cada región, ciudad o municipio tiene, en relación con la niñez y la adolescencia.</w:t>
      </w:r>
    </w:p>
    <w:p w:rsidR="00C842DD" w:rsidRPr="007608C2" w:rsidRDefault="00C842DD" w:rsidP="00C842DD">
      <w:pPr>
        <w:spacing w:before="100" w:beforeAutospacing="1" w:after="100" w:afterAutospacing="1" w:line="240" w:lineRule="auto"/>
        <w:jc w:val="both"/>
        <w:rPr>
          <w:rFonts w:cs="Arial"/>
          <w:lang w:val="es-ES_tradnl"/>
        </w:rPr>
      </w:pPr>
      <w:r w:rsidRPr="007608C2">
        <w:rPr>
          <w:rFonts w:cs="Arial"/>
          <w:lang w:val="es-ES_tradnl"/>
        </w:rPr>
        <w:t xml:space="preserve">Particularmente, los proyectos AMAS incorporan las expresiones del arte, la cultura, las tradiciones, los juegos, el deporte o las comunicaciones, entre otras, como alternativas para aproximarse a los niños, niñas y adolescentes del país. Esto permite que los encuentros resulten atractivos y divertidos para los participantes, y de esta forma se fomenten procesos de entretenimiento y fortalecimiento de capacidades realmente transformadores. </w:t>
      </w:r>
    </w:p>
    <w:p w:rsidR="00C842DD" w:rsidRPr="007608C2" w:rsidRDefault="00C842DD" w:rsidP="00C842DD">
      <w:pPr>
        <w:spacing w:before="100" w:beforeAutospacing="1" w:after="100" w:afterAutospacing="1" w:line="240" w:lineRule="auto"/>
        <w:jc w:val="both"/>
        <w:rPr>
          <w:rFonts w:cs="Arial"/>
          <w:lang w:val="es-ES_tradnl"/>
        </w:rPr>
      </w:pPr>
      <w:r w:rsidRPr="007608C2">
        <w:rPr>
          <w:rFonts w:cs="Arial"/>
          <w:lang w:val="es-ES_tradnl"/>
        </w:rPr>
        <w:t>A partir de esta fórmula se fortalece en los niños, niñas y adolescentes el conocimiento de sus derechos, se favorece su empoderamiento como sujetos de especial protección en la sociedad, se previenen vulneraciones y se promueve en ellos la construcción de proyectos de vida propios, legítimos, y alejados de los riesgos que más los afectan en sus territorios y en el país.</w:t>
      </w:r>
    </w:p>
    <w:p w:rsidR="00C842DD" w:rsidRPr="007608C2" w:rsidRDefault="00C842DD" w:rsidP="00C842DD">
      <w:pPr>
        <w:spacing w:before="100" w:beforeAutospacing="1" w:after="100" w:afterAutospacing="1" w:line="240" w:lineRule="auto"/>
        <w:jc w:val="both"/>
        <w:rPr>
          <w:rFonts w:cs="Arial"/>
        </w:rPr>
      </w:pPr>
      <w:r w:rsidRPr="007608C2">
        <w:rPr>
          <w:rFonts w:cs="Arial"/>
          <w:lang w:val="es-ES_tradnl"/>
        </w:rPr>
        <w:t xml:space="preserve">Además, </w:t>
      </w:r>
      <w:r w:rsidRPr="007608C2">
        <w:rPr>
          <w:rFonts w:cs="Arial"/>
        </w:rPr>
        <w:t>al concebirse la Estrategia AMAS en la dimensión masiva, se previó a través de ella dar voz directa a los niños, niñas y adolescentes en relación con la prevención de vulneraciones, provenientes o multiplicadas por la presencia de actividades y situaciones del contexto que los amenazan. Para ello se recurre a mecanismos de divulgación pedagógica y sensibilización de audiencias que sean útiles a tal propósito, desde lo local y lo regional hasta lo nacional. Productos audiovisuales, canciones, piezas artísticas, estrategias de redes sociales e incidencia en prensa, radio y televisión, son algunos de los mecanismos que implementa la estrategia para visibilizar y multiplicar las voces de nuestros niños, niñas y adolescentes.</w:t>
      </w:r>
    </w:p>
    <w:p w:rsidR="00C842DD" w:rsidRPr="007608C2" w:rsidRDefault="00C842DD" w:rsidP="00C842DD">
      <w:pPr>
        <w:spacing w:before="100" w:beforeAutospacing="1" w:after="100" w:afterAutospacing="1" w:line="240" w:lineRule="auto"/>
        <w:jc w:val="both"/>
        <w:rPr>
          <w:rFonts w:cs="Arial"/>
        </w:rPr>
      </w:pPr>
      <w:r w:rsidRPr="007608C2">
        <w:rPr>
          <w:rFonts w:cs="Arial"/>
        </w:rPr>
        <w:lastRenderedPageBreak/>
        <w:t>La estrategia AMAS atendió 19.469 niños, niñas y adolescentes con un presupuesto apropiado de $ 17.695.852.244.</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712"/>
        <w:gridCol w:w="1460"/>
        <w:gridCol w:w="2181"/>
      </w:tblGrid>
      <w:tr w:rsidR="00C842DD" w:rsidRPr="006976CF" w:rsidTr="006976CF">
        <w:trPr>
          <w:trHeight w:val="280"/>
          <w:tblHeader/>
          <w:jc w:val="center"/>
        </w:trPr>
        <w:tc>
          <w:tcPr>
            <w:tcW w:w="0" w:type="auto"/>
            <w:shd w:val="clear" w:color="auto" w:fill="76922E"/>
            <w:noWrap/>
            <w:vAlign w:val="center"/>
            <w:hideMark/>
          </w:tcPr>
          <w:p w:rsidR="00C842DD" w:rsidRPr="006976CF" w:rsidRDefault="006976CF" w:rsidP="00C842DD">
            <w:pPr>
              <w:spacing w:after="0" w:line="240" w:lineRule="auto"/>
              <w:jc w:val="center"/>
              <w:rPr>
                <w:rFonts w:eastAsia="Times New Roman" w:cs="Arial"/>
                <w:b/>
                <w:bCs/>
                <w:color w:val="FFFFFF" w:themeColor="background1"/>
                <w:sz w:val="18"/>
                <w:szCs w:val="18"/>
                <w:lang w:val="es-ES_tradnl" w:eastAsia="es-ES"/>
              </w:rPr>
            </w:pPr>
            <w:r w:rsidRPr="006976CF">
              <w:rPr>
                <w:rFonts w:eastAsia="Times New Roman" w:cs="Arial"/>
                <w:b/>
                <w:bCs/>
                <w:color w:val="FFFFFF" w:themeColor="background1"/>
                <w:sz w:val="18"/>
                <w:szCs w:val="18"/>
                <w:lang w:val="es-ES_tradnl" w:eastAsia="es-ES"/>
              </w:rPr>
              <w:t>Departamento</w:t>
            </w:r>
          </w:p>
        </w:tc>
        <w:tc>
          <w:tcPr>
            <w:tcW w:w="0" w:type="auto"/>
            <w:shd w:val="clear" w:color="auto" w:fill="76922E"/>
            <w:noWrap/>
            <w:vAlign w:val="bottom"/>
            <w:hideMark/>
          </w:tcPr>
          <w:p w:rsidR="00C842DD" w:rsidRPr="006976CF" w:rsidRDefault="006976CF" w:rsidP="00C842DD">
            <w:pPr>
              <w:spacing w:after="0" w:line="240" w:lineRule="auto"/>
              <w:jc w:val="center"/>
              <w:rPr>
                <w:rFonts w:eastAsia="Times New Roman" w:cs="Arial"/>
                <w:b/>
                <w:bCs/>
                <w:color w:val="FFFFFF" w:themeColor="background1"/>
                <w:sz w:val="18"/>
                <w:szCs w:val="18"/>
                <w:lang w:val="es-ES_tradnl" w:eastAsia="es-ES"/>
              </w:rPr>
            </w:pPr>
            <w:r w:rsidRPr="006976CF">
              <w:rPr>
                <w:rFonts w:eastAsia="Times New Roman" w:cs="Arial"/>
                <w:b/>
                <w:bCs/>
                <w:color w:val="FFFFFF" w:themeColor="background1"/>
                <w:sz w:val="18"/>
                <w:szCs w:val="18"/>
                <w:lang w:val="es-ES_tradnl" w:eastAsia="es-ES"/>
              </w:rPr>
              <w:t>NNA Atendidos</w:t>
            </w:r>
          </w:p>
        </w:tc>
        <w:tc>
          <w:tcPr>
            <w:tcW w:w="0" w:type="auto"/>
            <w:shd w:val="clear" w:color="auto" w:fill="76922E"/>
            <w:noWrap/>
            <w:vAlign w:val="bottom"/>
            <w:hideMark/>
          </w:tcPr>
          <w:p w:rsidR="00C842DD" w:rsidRPr="006976CF" w:rsidRDefault="006976CF" w:rsidP="00C842DD">
            <w:pPr>
              <w:spacing w:after="0" w:line="240" w:lineRule="auto"/>
              <w:jc w:val="center"/>
              <w:rPr>
                <w:rFonts w:eastAsia="Times New Roman" w:cs="Arial"/>
                <w:b/>
                <w:bCs/>
                <w:color w:val="FFFFFF" w:themeColor="background1"/>
                <w:sz w:val="18"/>
                <w:szCs w:val="18"/>
                <w:lang w:val="es-ES_tradnl" w:eastAsia="es-ES"/>
              </w:rPr>
            </w:pPr>
            <w:r w:rsidRPr="006976CF">
              <w:rPr>
                <w:rFonts w:eastAsia="Times New Roman" w:cs="Arial"/>
                <w:b/>
                <w:bCs/>
                <w:color w:val="FFFFFF" w:themeColor="background1"/>
                <w:sz w:val="18"/>
                <w:szCs w:val="18"/>
                <w:lang w:val="es-ES_tradnl" w:eastAsia="es-ES"/>
              </w:rPr>
              <w:t>Presupuesto Apropiado</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Amazonas</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168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Antioquia</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3.124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$1.264.000.000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Arauca</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177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Atlántico</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670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Bogotá</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969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$13.953.490.844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Bolivar</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651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Boyacá</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216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Caldas</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Caquetá</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574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Casanare</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290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Cauca</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579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Cesar</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1.467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$817.361.400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Choco</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873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$350.000.000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Córdoba</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177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Cundinamarca</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216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Guainía</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390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Guaviare</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200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Huila</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582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La Guajira</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387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Magdalena</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518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Meta</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728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Nariño</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2.016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$296.000.000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Norte d</w:t>
            </w:r>
            <w:r w:rsidRPr="006976CF">
              <w:rPr>
                <w:rFonts w:eastAsia="Times New Roman" w:cs="Arial"/>
                <w:sz w:val="18"/>
                <w:szCs w:val="18"/>
                <w:lang w:val="es-ES_tradnl" w:eastAsia="es-ES"/>
              </w:rPr>
              <w:t>e Santander</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177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Putumayo</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393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Risaralda</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$300.000.000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San Andres</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190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Santander</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378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Sucre</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336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Tolima</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522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Valle d</w:t>
            </w:r>
            <w:r w:rsidRPr="006976CF">
              <w:rPr>
                <w:rFonts w:eastAsia="Times New Roman" w:cs="Arial"/>
                <w:sz w:val="18"/>
                <w:szCs w:val="18"/>
                <w:lang w:val="es-ES_tradnl" w:eastAsia="es-ES"/>
              </w:rPr>
              <w:t>el Cauca</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2.021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$715.000.000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Vaupés</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140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Vichada</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340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E2EFDA"/>
            <w:noWrap/>
            <w:vAlign w:val="bottom"/>
            <w:hideMark/>
          </w:tcPr>
          <w:p w:rsidR="00C842DD" w:rsidRPr="006976CF" w:rsidRDefault="006976CF" w:rsidP="006976CF">
            <w:pPr>
              <w:spacing w:after="0" w:line="240" w:lineRule="auto"/>
              <w:rPr>
                <w:rFonts w:eastAsia="Times New Roman" w:cs="Arial"/>
                <w:b/>
                <w:bCs/>
                <w:sz w:val="18"/>
                <w:szCs w:val="18"/>
                <w:lang w:val="es-ES_tradnl" w:eastAsia="es-ES"/>
              </w:rPr>
            </w:pPr>
            <w:r w:rsidRPr="006976CF">
              <w:rPr>
                <w:rFonts w:eastAsia="Times New Roman" w:cs="Arial"/>
                <w:b/>
                <w:bCs/>
                <w:sz w:val="18"/>
                <w:szCs w:val="18"/>
                <w:lang w:val="es-ES_tradnl" w:eastAsia="es-ES"/>
              </w:rPr>
              <w:t>Total</w:t>
            </w:r>
          </w:p>
        </w:tc>
        <w:tc>
          <w:tcPr>
            <w:tcW w:w="0" w:type="auto"/>
            <w:shd w:val="clear" w:color="auto" w:fill="E2EFDA"/>
            <w:noWrap/>
            <w:vAlign w:val="bottom"/>
            <w:hideMark/>
          </w:tcPr>
          <w:p w:rsidR="00C842DD" w:rsidRPr="006976CF" w:rsidRDefault="006976CF" w:rsidP="006976CF">
            <w:pPr>
              <w:spacing w:after="0" w:line="240" w:lineRule="auto"/>
              <w:jc w:val="right"/>
              <w:rPr>
                <w:rFonts w:eastAsia="Times New Roman" w:cs="Arial"/>
                <w:b/>
                <w:bCs/>
                <w:sz w:val="18"/>
                <w:szCs w:val="18"/>
                <w:lang w:val="es-ES_tradnl" w:eastAsia="es-ES"/>
              </w:rPr>
            </w:pPr>
            <w:r w:rsidRPr="006976CF">
              <w:rPr>
                <w:rFonts w:eastAsia="Times New Roman" w:cs="Arial"/>
                <w:b/>
                <w:bCs/>
                <w:sz w:val="18"/>
                <w:szCs w:val="18"/>
                <w:lang w:val="es-ES_tradnl" w:eastAsia="es-ES"/>
              </w:rPr>
              <w:t>19.469</w:t>
            </w:r>
          </w:p>
        </w:tc>
        <w:tc>
          <w:tcPr>
            <w:tcW w:w="0" w:type="auto"/>
            <w:shd w:val="clear" w:color="auto" w:fill="E2EFDA"/>
            <w:noWrap/>
            <w:vAlign w:val="bottom"/>
            <w:hideMark/>
          </w:tcPr>
          <w:p w:rsidR="00C842DD" w:rsidRPr="006976CF" w:rsidRDefault="006976CF" w:rsidP="006976CF">
            <w:pPr>
              <w:spacing w:after="0" w:line="240" w:lineRule="auto"/>
              <w:jc w:val="right"/>
              <w:rPr>
                <w:rFonts w:eastAsia="Times New Roman" w:cs="Arial"/>
                <w:b/>
                <w:bCs/>
                <w:sz w:val="18"/>
                <w:szCs w:val="18"/>
                <w:lang w:val="es-ES_tradnl" w:eastAsia="es-ES"/>
              </w:rPr>
            </w:pPr>
            <w:r w:rsidRPr="006976CF">
              <w:rPr>
                <w:rFonts w:eastAsia="Times New Roman" w:cs="Arial"/>
                <w:b/>
                <w:bCs/>
                <w:sz w:val="18"/>
                <w:szCs w:val="18"/>
                <w:lang w:val="es-ES_tradnl" w:eastAsia="es-ES"/>
              </w:rPr>
              <w:t>$17.695.852.244</w:t>
            </w:r>
          </w:p>
        </w:tc>
      </w:tr>
    </w:tbl>
    <w:p w:rsidR="00C842DD" w:rsidRPr="006976CF" w:rsidRDefault="00C842DD" w:rsidP="00376C7E">
      <w:pPr>
        <w:spacing w:after="100" w:afterAutospacing="1" w:line="240" w:lineRule="auto"/>
        <w:jc w:val="center"/>
        <w:rPr>
          <w:rFonts w:cs="Arial"/>
          <w:sz w:val="16"/>
          <w:szCs w:val="16"/>
        </w:rPr>
      </w:pPr>
      <w:r w:rsidRPr="006976CF">
        <w:rPr>
          <w:rFonts w:cs="Arial"/>
          <w:sz w:val="16"/>
          <w:szCs w:val="16"/>
        </w:rPr>
        <w:t>Fuente: Reporte de Ejecución, MSYF cierre 2017 (preliminar), Dirección de Planeación y Control de Gestión</w:t>
      </w:r>
    </w:p>
    <w:p w:rsidR="00376C7E" w:rsidRDefault="00376C7E" w:rsidP="00C842DD">
      <w:pPr>
        <w:rPr>
          <w:rFonts w:cs="Arial"/>
          <w:b/>
        </w:rPr>
      </w:pPr>
      <w:bookmarkStart w:id="47" w:name="_Toc495064336"/>
    </w:p>
    <w:p w:rsidR="00376C7E" w:rsidRDefault="00376C7E" w:rsidP="00C842DD">
      <w:pPr>
        <w:rPr>
          <w:rFonts w:cs="Arial"/>
          <w:b/>
        </w:rPr>
      </w:pPr>
    </w:p>
    <w:p w:rsidR="00C842DD" w:rsidRPr="007608C2" w:rsidRDefault="00C842DD" w:rsidP="00C842DD">
      <w:pPr>
        <w:rPr>
          <w:rFonts w:cs="Arial"/>
          <w:b/>
        </w:rPr>
      </w:pPr>
      <w:r w:rsidRPr="007608C2">
        <w:rPr>
          <w:rFonts w:cs="Arial"/>
          <w:b/>
        </w:rPr>
        <w:lastRenderedPageBreak/>
        <w:t>Estrategia Prevención de Embarazo en Adolescencia – PEA</w:t>
      </w:r>
      <w:bookmarkEnd w:id="47"/>
    </w:p>
    <w:p w:rsidR="00C842DD" w:rsidRPr="007608C2" w:rsidRDefault="00C842DD" w:rsidP="00C842DD">
      <w:pPr>
        <w:spacing w:before="100" w:beforeAutospacing="1" w:after="100" w:afterAutospacing="1" w:line="240" w:lineRule="auto"/>
        <w:jc w:val="both"/>
        <w:rPr>
          <w:rFonts w:cs="Arial"/>
        </w:rPr>
      </w:pPr>
      <w:r w:rsidRPr="007608C2">
        <w:rPr>
          <w:rFonts w:cs="Arial"/>
        </w:rPr>
        <w:t xml:space="preserve">Esta estrategia de </w:t>
      </w:r>
      <w:r w:rsidRPr="007608C2">
        <w:rPr>
          <w:rFonts w:cs="Arial"/>
          <w:b/>
        </w:rPr>
        <w:t>Prevención de Embarazo en Adolescencia</w:t>
      </w:r>
      <w:r w:rsidRPr="007608C2">
        <w:rPr>
          <w:rFonts w:cs="Arial"/>
        </w:rPr>
        <w:t xml:space="preserve"> – PEA -  es una respuesta programática que se estructura a partir del enfoque de derechos humanos, derechos sexuales y reproductivos, determinantes sociales, género y curso de vida. Se define como el conjunto de decisiones políticas y acciones planificadas de carácter nacional y territorial, dirigidas a promover y garantizar el desarrollo integral de niñas, niños y adolescentes con énfasis en la prevención y reducción del embarazo.</w:t>
      </w:r>
    </w:p>
    <w:p w:rsidR="00C842DD" w:rsidRPr="007608C2" w:rsidRDefault="00C842DD" w:rsidP="00C842DD">
      <w:pPr>
        <w:spacing w:before="100" w:beforeAutospacing="1" w:after="100" w:afterAutospacing="1" w:line="240" w:lineRule="auto"/>
        <w:jc w:val="both"/>
        <w:rPr>
          <w:rFonts w:cs="Arial"/>
        </w:rPr>
      </w:pPr>
      <w:r w:rsidRPr="007608C2">
        <w:rPr>
          <w:rFonts w:cs="Arial"/>
        </w:rPr>
        <w:t>Está dirigida a niños y niñas de 6 a 9 años, niños y niñas de 10 a 14 años, adolescentes y jóvenes de 15 a 19 años, gestantes o que ya son madres/padres, padres, madres; cuidadores primarios y, agentes educadores.</w:t>
      </w:r>
    </w:p>
    <w:p w:rsidR="00C842DD" w:rsidRPr="007608C2" w:rsidRDefault="00C842DD" w:rsidP="00C842DD">
      <w:pPr>
        <w:spacing w:before="100" w:beforeAutospacing="1" w:after="100" w:afterAutospacing="1" w:line="240" w:lineRule="auto"/>
        <w:jc w:val="both"/>
        <w:rPr>
          <w:rFonts w:cs="Arial"/>
          <w:lang w:eastAsia="es-ES"/>
        </w:rPr>
      </w:pPr>
      <w:r w:rsidRPr="007608C2">
        <w:rPr>
          <w:rFonts w:cs="Arial"/>
          <w:lang w:eastAsia="es-ES"/>
        </w:rPr>
        <w:t>Integra seis (6) componentes para pasar del discurso a la acción intersectorial:</w:t>
      </w:r>
    </w:p>
    <w:p w:rsidR="00C842DD" w:rsidRPr="007608C2" w:rsidRDefault="00C842DD" w:rsidP="00A44A2B">
      <w:pPr>
        <w:numPr>
          <w:ilvl w:val="0"/>
          <w:numId w:val="61"/>
        </w:numPr>
        <w:spacing w:before="100" w:beforeAutospacing="1" w:after="100" w:afterAutospacing="1" w:line="240" w:lineRule="auto"/>
        <w:contextualSpacing/>
        <w:jc w:val="both"/>
        <w:rPr>
          <w:rFonts w:cs="Arial"/>
          <w:lang w:eastAsia="es-ES"/>
        </w:rPr>
      </w:pPr>
      <w:r w:rsidRPr="007608C2">
        <w:rPr>
          <w:rFonts w:cs="Arial"/>
          <w:lang w:eastAsia="es-ES"/>
        </w:rPr>
        <w:t>Cuerpo y Sexualidad</w:t>
      </w:r>
    </w:p>
    <w:p w:rsidR="00C842DD" w:rsidRPr="007608C2" w:rsidRDefault="00C842DD" w:rsidP="00A44A2B">
      <w:pPr>
        <w:numPr>
          <w:ilvl w:val="0"/>
          <w:numId w:val="61"/>
        </w:numPr>
        <w:spacing w:before="100" w:beforeAutospacing="1" w:after="100" w:afterAutospacing="1" w:line="240" w:lineRule="auto"/>
        <w:contextualSpacing/>
        <w:jc w:val="both"/>
        <w:rPr>
          <w:rFonts w:cs="Arial"/>
          <w:lang w:eastAsia="es-ES"/>
        </w:rPr>
      </w:pPr>
      <w:r w:rsidRPr="007608C2">
        <w:rPr>
          <w:rFonts w:cs="Arial"/>
          <w:lang w:eastAsia="es-ES"/>
        </w:rPr>
        <w:t>Educación y formación</w:t>
      </w:r>
    </w:p>
    <w:p w:rsidR="00C842DD" w:rsidRPr="007608C2" w:rsidRDefault="00C842DD" w:rsidP="00A44A2B">
      <w:pPr>
        <w:numPr>
          <w:ilvl w:val="0"/>
          <w:numId w:val="61"/>
        </w:numPr>
        <w:spacing w:before="100" w:beforeAutospacing="1" w:after="100" w:afterAutospacing="1" w:line="240" w:lineRule="auto"/>
        <w:contextualSpacing/>
        <w:jc w:val="both"/>
        <w:rPr>
          <w:rFonts w:cs="Arial"/>
          <w:lang w:eastAsia="es-ES"/>
        </w:rPr>
      </w:pPr>
      <w:r w:rsidRPr="007608C2">
        <w:rPr>
          <w:rFonts w:cs="Arial"/>
          <w:lang w:eastAsia="es-ES"/>
        </w:rPr>
        <w:t>Participación ciudadana</w:t>
      </w:r>
    </w:p>
    <w:p w:rsidR="00C842DD" w:rsidRPr="007608C2" w:rsidRDefault="00C842DD" w:rsidP="00A44A2B">
      <w:pPr>
        <w:numPr>
          <w:ilvl w:val="0"/>
          <w:numId w:val="61"/>
        </w:numPr>
        <w:spacing w:before="100" w:beforeAutospacing="1" w:after="100" w:afterAutospacing="1" w:line="240" w:lineRule="auto"/>
        <w:contextualSpacing/>
        <w:jc w:val="both"/>
        <w:rPr>
          <w:rFonts w:cs="Arial"/>
          <w:lang w:eastAsia="es-ES"/>
        </w:rPr>
      </w:pPr>
      <w:r w:rsidRPr="007608C2">
        <w:rPr>
          <w:rFonts w:cs="Arial"/>
          <w:lang w:eastAsia="es-ES"/>
        </w:rPr>
        <w:t>Cultura, Recreación y Deporte</w:t>
      </w:r>
    </w:p>
    <w:p w:rsidR="00C842DD" w:rsidRPr="007608C2" w:rsidRDefault="00C842DD" w:rsidP="00A44A2B">
      <w:pPr>
        <w:numPr>
          <w:ilvl w:val="0"/>
          <w:numId w:val="61"/>
        </w:numPr>
        <w:spacing w:before="100" w:beforeAutospacing="1" w:after="100" w:afterAutospacing="1" w:line="240" w:lineRule="auto"/>
        <w:contextualSpacing/>
        <w:jc w:val="both"/>
        <w:rPr>
          <w:rFonts w:cs="Arial"/>
          <w:lang w:eastAsia="es-ES"/>
        </w:rPr>
      </w:pPr>
      <w:r w:rsidRPr="007608C2">
        <w:rPr>
          <w:rFonts w:cs="Arial"/>
          <w:lang w:eastAsia="es-ES"/>
        </w:rPr>
        <w:t>Salud y Bienestar</w:t>
      </w:r>
    </w:p>
    <w:p w:rsidR="00C842DD" w:rsidRDefault="00C842DD" w:rsidP="00A44A2B">
      <w:pPr>
        <w:numPr>
          <w:ilvl w:val="0"/>
          <w:numId w:val="61"/>
        </w:numPr>
        <w:spacing w:before="100" w:beforeAutospacing="1" w:after="100" w:afterAutospacing="1" w:line="240" w:lineRule="auto"/>
        <w:contextualSpacing/>
        <w:jc w:val="both"/>
        <w:rPr>
          <w:rFonts w:cs="Arial"/>
          <w:lang w:eastAsia="es-ES"/>
        </w:rPr>
      </w:pPr>
      <w:r w:rsidRPr="007608C2">
        <w:rPr>
          <w:rFonts w:cs="Arial"/>
          <w:lang w:eastAsia="es-ES"/>
        </w:rPr>
        <w:t>Oportunidades e Iniciativas</w:t>
      </w:r>
    </w:p>
    <w:p w:rsidR="006976CF" w:rsidRPr="007608C2" w:rsidRDefault="006976CF" w:rsidP="006976CF">
      <w:pPr>
        <w:spacing w:before="100" w:beforeAutospacing="1" w:after="100" w:afterAutospacing="1" w:line="240" w:lineRule="auto"/>
        <w:ind w:left="720"/>
        <w:contextualSpacing/>
        <w:jc w:val="both"/>
        <w:rPr>
          <w:rFonts w:cs="Arial"/>
          <w:lang w:eastAsia="es-ES"/>
        </w:rPr>
      </w:pPr>
    </w:p>
    <w:p w:rsidR="00C842DD" w:rsidRPr="007608C2" w:rsidRDefault="00C842DD" w:rsidP="00C842DD">
      <w:pPr>
        <w:spacing w:before="100" w:beforeAutospacing="1" w:after="100" w:afterAutospacing="1" w:line="240" w:lineRule="auto"/>
        <w:jc w:val="both"/>
        <w:rPr>
          <w:rFonts w:cs="Arial"/>
        </w:rPr>
      </w:pPr>
      <w:r w:rsidRPr="007608C2">
        <w:rPr>
          <w:rFonts w:cs="Arial"/>
        </w:rPr>
        <w:t>La estrategia PEA atendió, al cierre de 2017, 4.448 niños, niñas y adolescentes con un presupuesto apropiado de $ 4.527.234.400.</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741"/>
        <w:gridCol w:w="1460"/>
        <w:gridCol w:w="2181"/>
      </w:tblGrid>
      <w:tr w:rsidR="00C842DD" w:rsidRPr="006976CF" w:rsidTr="006976CF">
        <w:trPr>
          <w:trHeight w:val="280"/>
          <w:tblHeader/>
          <w:jc w:val="center"/>
        </w:trPr>
        <w:tc>
          <w:tcPr>
            <w:tcW w:w="0" w:type="auto"/>
            <w:shd w:val="clear" w:color="auto" w:fill="76922E"/>
            <w:noWrap/>
            <w:vAlign w:val="center"/>
            <w:hideMark/>
          </w:tcPr>
          <w:p w:rsidR="00C842DD" w:rsidRPr="006976CF" w:rsidRDefault="006976CF" w:rsidP="00C842DD">
            <w:pPr>
              <w:spacing w:after="0" w:line="240" w:lineRule="auto"/>
              <w:jc w:val="center"/>
              <w:rPr>
                <w:rFonts w:eastAsia="Times New Roman" w:cs="Arial"/>
                <w:b/>
                <w:bCs/>
                <w:color w:val="FFFFFF" w:themeColor="background1"/>
                <w:sz w:val="18"/>
                <w:szCs w:val="18"/>
                <w:lang w:val="es-ES_tradnl" w:eastAsia="es-ES"/>
              </w:rPr>
            </w:pPr>
            <w:r w:rsidRPr="006976CF">
              <w:rPr>
                <w:rFonts w:eastAsia="Times New Roman" w:cs="Arial"/>
                <w:b/>
                <w:bCs/>
                <w:color w:val="FFFFFF" w:themeColor="background1"/>
                <w:sz w:val="18"/>
                <w:szCs w:val="18"/>
                <w:lang w:val="es-ES_tradnl" w:eastAsia="es-ES"/>
              </w:rPr>
              <w:t>Departamento</w:t>
            </w:r>
          </w:p>
        </w:tc>
        <w:tc>
          <w:tcPr>
            <w:tcW w:w="0" w:type="auto"/>
            <w:shd w:val="clear" w:color="auto" w:fill="76922E"/>
            <w:noWrap/>
            <w:vAlign w:val="bottom"/>
            <w:hideMark/>
          </w:tcPr>
          <w:p w:rsidR="00C842DD" w:rsidRPr="006976CF" w:rsidRDefault="006976CF" w:rsidP="00C842DD">
            <w:pPr>
              <w:spacing w:after="0" w:line="240" w:lineRule="auto"/>
              <w:jc w:val="center"/>
              <w:rPr>
                <w:rFonts w:eastAsia="Times New Roman" w:cs="Arial"/>
                <w:b/>
                <w:bCs/>
                <w:color w:val="FFFFFF" w:themeColor="background1"/>
                <w:sz w:val="18"/>
                <w:szCs w:val="18"/>
                <w:lang w:val="es-ES_tradnl" w:eastAsia="es-ES"/>
              </w:rPr>
            </w:pPr>
            <w:r w:rsidRPr="006976CF">
              <w:rPr>
                <w:rFonts w:eastAsia="Times New Roman" w:cs="Arial"/>
                <w:b/>
                <w:bCs/>
                <w:color w:val="FFFFFF" w:themeColor="background1"/>
                <w:sz w:val="18"/>
                <w:szCs w:val="18"/>
                <w:lang w:val="es-ES_tradnl" w:eastAsia="es-ES"/>
              </w:rPr>
              <w:t>NNA Atendidos</w:t>
            </w:r>
          </w:p>
        </w:tc>
        <w:tc>
          <w:tcPr>
            <w:tcW w:w="0" w:type="auto"/>
            <w:shd w:val="clear" w:color="auto" w:fill="76922E"/>
            <w:noWrap/>
            <w:vAlign w:val="bottom"/>
            <w:hideMark/>
          </w:tcPr>
          <w:p w:rsidR="00C842DD" w:rsidRPr="006976CF" w:rsidRDefault="006976CF" w:rsidP="00C842DD">
            <w:pPr>
              <w:spacing w:after="0" w:line="240" w:lineRule="auto"/>
              <w:jc w:val="center"/>
              <w:rPr>
                <w:rFonts w:eastAsia="Times New Roman" w:cs="Arial"/>
                <w:b/>
                <w:bCs/>
                <w:color w:val="FFFFFF" w:themeColor="background1"/>
                <w:sz w:val="18"/>
                <w:szCs w:val="18"/>
                <w:lang w:val="es-ES_tradnl" w:eastAsia="es-ES"/>
              </w:rPr>
            </w:pPr>
            <w:r w:rsidRPr="006976CF">
              <w:rPr>
                <w:rFonts w:eastAsia="Times New Roman" w:cs="Arial"/>
                <w:b/>
                <w:bCs/>
                <w:color w:val="FFFFFF" w:themeColor="background1"/>
                <w:sz w:val="18"/>
                <w:szCs w:val="18"/>
                <w:lang w:val="es-ES_tradnl" w:eastAsia="es-ES"/>
              </w:rPr>
              <w:t>Presupuesto Apropiado</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Arauca</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70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Atlántico</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198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Bogotá</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$4.527.234.400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Bolivar</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90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Boyacá</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510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Caldas</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166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Caquetá</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176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Casanare</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150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Cesar</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162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Choco</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357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Córdoba</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331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Cundinamarca</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696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La Guajira</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210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Magdalena</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120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Nariño</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232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Norte De Santander</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270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Putumayo</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91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lastRenderedPageBreak/>
              <w:t>Quindío</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81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Risaralda</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164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Sucre</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199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Valle Del Cauca</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145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Vichada</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30 </w:t>
            </w:r>
          </w:p>
        </w:tc>
        <w:tc>
          <w:tcPr>
            <w:tcW w:w="0" w:type="auto"/>
            <w:shd w:val="clear" w:color="auto" w:fill="auto"/>
            <w:noWrap/>
            <w:vAlign w:val="bottom"/>
            <w:hideMark/>
          </w:tcPr>
          <w:p w:rsidR="00C842DD" w:rsidRPr="006976CF" w:rsidRDefault="006976CF"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 </w:t>
            </w:r>
          </w:p>
        </w:tc>
      </w:tr>
      <w:tr w:rsidR="00C842DD" w:rsidRPr="006976CF" w:rsidTr="006976CF">
        <w:trPr>
          <w:trHeight w:val="280"/>
          <w:jc w:val="center"/>
        </w:trPr>
        <w:tc>
          <w:tcPr>
            <w:tcW w:w="0" w:type="auto"/>
            <w:shd w:val="clear" w:color="auto" w:fill="E2EFDA"/>
            <w:noWrap/>
            <w:vAlign w:val="bottom"/>
            <w:hideMark/>
          </w:tcPr>
          <w:p w:rsidR="00C842DD" w:rsidRPr="006976CF" w:rsidRDefault="006976CF" w:rsidP="00C842DD">
            <w:pPr>
              <w:spacing w:after="0" w:line="240" w:lineRule="auto"/>
              <w:rPr>
                <w:rFonts w:eastAsia="Times New Roman" w:cs="Arial"/>
                <w:b/>
                <w:bCs/>
                <w:sz w:val="18"/>
                <w:szCs w:val="18"/>
                <w:lang w:val="es-ES_tradnl" w:eastAsia="es-ES"/>
              </w:rPr>
            </w:pPr>
            <w:r w:rsidRPr="006976CF">
              <w:rPr>
                <w:rFonts w:eastAsia="Times New Roman" w:cs="Arial"/>
                <w:b/>
                <w:bCs/>
                <w:sz w:val="18"/>
                <w:szCs w:val="18"/>
                <w:lang w:val="es-ES_tradnl" w:eastAsia="es-ES"/>
              </w:rPr>
              <w:t>Total</w:t>
            </w:r>
          </w:p>
        </w:tc>
        <w:tc>
          <w:tcPr>
            <w:tcW w:w="0" w:type="auto"/>
            <w:shd w:val="clear" w:color="auto" w:fill="E2EFDA"/>
            <w:noWrap/>
            <w:vAlign w:val="bottom"/>
            <w:hideMark/>
          </w:tcPr>
          <w:p w:rsidR="00C842DD" w:rsidRPr="006976CF" w:rsidRDefault="006976CF" w:rsidP="00C842DD">
            <w:pPr>
              <w:spacing w:after="0" w:line="240" w:lineRule="auto"/>
              <w:jc w:val="right"/>
              <w:rPr>
                <w:rFonts w:eastAsia="Times New Roman" w:cs="Arial"/>
                <w:b/>
                <w:bCs/>
                <w:sz w:val="18"/>
                <w:szCs w:val="18"/>
                <w:lang w:val="es-ES_tradnl" w:eastAsia="es-ES"/>
              </w:rPr>
            </w:pPr>
            <w:r w:rsidRPr="006976CF">
              <w:rPr>
                <w:rFonts w:eastAsia="Times New Roman" w:cs="Arial"/>
                <w:b/>
                <w:bCs/>
                <w:sz w:val="18"/>
                <w:szCs w:val="18"/>
                <w:lang w:val="es-ES_tradnl" w:eastAsia="es-ES"/>
              </w:rPr>
              <w:t xml:space="preserve"> 4.448 </w:t>
            </w:r>
          </w:p>
        </w:tc>
        <w:tc>
          <w:tcPr>
            <w:tcW w:w="0" w:type="auto"/>
            <w:shd w:val="clear" w:color="auto" w:fill="E2EFDA"/>
            <w:noWrap/>
            <w:vAlign w:val="bottom"/>
            <w:hideMark/>
          </w:tcPr>
          <w:p w:rsidR="00C842DD" w:rsidRPr="006976CF" w:rsidRDefault="006976CF" w:rsidP="00C842DD">
            <w:pPr>
              <w:spacing w:after="0" w:line="240" w:lineRule="auto"/>
              <w:jc w:val="right"/>
              <w:rPr>
                <w:rFonts w:eastAsia="Times New Roman" w:cs="Arial"/>
                <w:b/>
                <w:bCs/>
                <w:sz w:val="18"/>
                <w:szCs w:val="18"/>
                <w:lang w:val="es-ES_tradnl" w:eastAsia="es-ES"/>
              </w:rPr>
            </w:pPr>
            <w:r w:rsidRPr="006976CF">
              <w:rPr>
                <w:rFonts w:eastAsia="Times New Roman" w:cs="Arial"/>
                <w:b/>
                <w:bCs/>
                <w:sz w:val="18"/>
                <w:szCs w:val="18"/>
                <w:lang w:val="es-ES_tradnl" w:eastAsia="es-ES"/>
              </w:rPr>
              <w:t xml:space="preserve"> $4.527.234.400 </w:t>
            </w:r>
          </w:p>
        </w:tc>
      </w:tr>
    </w:tbl>
    <w:p w:rsidR="00C842DD" w:rsidRPr="006976CF" w:rsidRDefault="00C842DD" w:rsidP="00376C7E">
      <w:pPr>
        <w:spacing w:after="100" w:afterAutospacing="1" w:line="240" w:lineRule="auto"/>
        <w:jc w:val="center"/>
        <w:rPr>
          <w:rFonts w:cs="Arial"/>
          <w:sz w:val="16"/>
          <w:szCs w:val="16"/>
        </w:rPr>
      </w:pPr>
      <w:r w:rsidRPr="006976CF">
        <w:rPr>
          <w:rFonts w:cs="Arial"/>
          <w:sz w:val="16"/>
          <w:szCs w:val="16"/>
        </w:rPr>
        <w:t>Fuente: Reporte de Ejecución, MSYF cierre 2017 (preliminar), Dirección de Planeación y Control de Gestión</w:t>
      </w:r>
    </w:p>
    <w:p w:rsidR="00C842DD" w:rsidRPr="007608C2" w:rsidRDefault="00C842DD" w:rsidP="00C842DD">
      <w:pPr>
        <w:rPr>
          <w:rFonts w:cs="Arial"/>
          <w:b/>
        </w:rPr>
      </w:pPr>
      <w:bookmarkStart w:id="48" w:name="_Toc495064337"/>
      <w:r w:rsidRPr="007608C2">
        <w:rPr>
          <w:rFonts w:cs="Arial"/>
          <w:b/>
        </w:rPr>
        <w:t>Estrategia Construyendo Juntos Entornos Protectores - ECJEP</w:t>
      </w:r>
    </w:p>
    <w:p w:rsidR="00C842DD" w:rsidRPr="007608C2" w:rsidRDefault="00C842DD" w:rsidP="00C842DD">
      <w:pPr>
        <w:spacing w:before="100" w:beforeAutospacing="1" w:after="100" w:afterAutospacing="1" w:line="240" w:lineRule="auto"/>
        <w:jc w:val="both"/>
        <w:rPr>
          <w:rFonts w:cs="Arial"/>
          <w:lang w:eastAsia="es-ES"/>
        </w:rPr>
      </w:pPr>
      <w:r w:rsidRPr="007608C2">
        <w:rPr>
          <w:rFonts w:cs="Arial"/>
          <w:lang w:eastAsia="es-ES"/>
        </w:rPr>
        <w:t xml:space="preserve">La estrategia </w:t>
      </w:r>
      <w:r w:rsidRPr="007608C2">
        <w:rPr>
          <w:rFonts w:cs="Arial"/>
          <w:b/>
          <w:lang w:eastAsia="es-ES"/>
        </w:rPr>
        <w:t>Construyendo Juntos Entornos Protectores</w:t>
      </w:r>
      <w:r w:rsidRPr="007608C2">
        <w:rPr>
          <w:rFonts w:cs="Arial"/>
          <w:lang w:eastAsia="es-ES"/>
        </w:rPr>
        <w:t xml:space="preserve"> de la Dirección de Niñez y Adolescencia y de la Dirección de Familias y Comunidades del ICBF, busca generar espacios de información, formación y reflexión sobre aspectos relacionados con las funciones parentales y las directrices u orientaciones educativas, como recurso de apoyo a las familias, a los docentes y a los agentes educativos, para lograr importantes niveles de asertividad en sus funciones educativas y socializadoras, y a su vez como recurso que permite identificar y superar situaciones de riesgo psicosocial a las que se ven enfrentados los niños, las niñas y los adolescentes.</w:t>
      </w:r>
    </w:p>
    <w:p w:rsidR="00C842DD" w:rsidRPr="007608C2" w:rsidRDefault="00C842DD" w:rsidP="00C842DD">
      <w:pPr>
        <w:spacing w:before="100" w:beforeAutospacing="1" w:after="100" w:afterAutospacing="1" w:line="240" w:lineRule="auto"/>
        <w:jc w:val="both"/>
        <w:rPr>
          <w:rFonts w:cs="Arial"/>
          <w:lang w:eastAsia="es-ES"/>
        </w:rPr>
      </w:pPr>
      <w:r w:rsidRPr="007608C2">
        <w:rPr>
          <w:rFonts w:cs="Arial"/>
          <w:lang w:eastAsia="es-ES"/>
        </w:rPr>
        <w:t xml:space="preserve">La Estrategia tiene como </w:t>
      </w:r>
      <w:r w:rsidRPr="007608C2">
        <w:rPr>
          <w:rFonts w:cs="Arial"/>
          <w:i/>
          <w:lang w:eastAsia="es-ES"/>
        </w:rPr>
        <w:t>objetivo general</w:t>
      </w:r>
      <w:r w:rsidRPr="007608C2">
        <w:rPr>
          <w:rFonts w:cs="Arial"/>
          <w:lang w:eastAsia="es-ES"/>
        </w:rPr>
        <w:t xml:space="preserve"> contribuir a la promoción de los derechos de la infancia y la adolescencia, a la prevención de sus vulneraciones, al fortalecimiento de los vínculos de cuidado mutuo y la promoción de la convivencia armónica entre padres, madres, cuidadores, docentes, agentes educativos, niños, niñas y adolescentes, buscando que, como agentes de transformación y desarrollo social, sean capaces de actuar en red para proteger, promover, exigir y defender los derechos de niños, niñas y adolescentes; esto incluye la capacidad para detectar, prevenir y denunciar cualquier tipo de vulneración. Todo lo anterior por medio de espacios de reflexión e intercambio de saberes que les permitan orientar las dinámicas familiares y escolares propias en el marco de la protección integral de la infancia y la adolescencia y el fortalecimiento de las familias y las comunidades.</w:t>
      </w:r>
    </w:p>
    <w:p w:rsidR="00C842DD" w:rsidRPr="007608C2" w:rsidRDefault="00C842DD" w:rsidP="00C842DD">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 xml:space="preserve">Para el año 2017, la Estrategia atendió 15.213 niños, niñas y adolescentes en los 32 departamentos del país y en la ciudad de Bogotá, exactamente en 433 municipios y en 1.000 instituciones educativas. </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712"/>
        <w:gridCol w:w="1460"/>
        <w:gridCol w:w="2181"/>
      </w:tblGrid>
      <w:tr w:rsidR="00C842DD" w:rsidRPr="006976CF" w:rsidTr="006976CF">
        <w:trPr>
          <w:trHeight w:val="280"/>
          <w:tblHeader/>
          <w:jc w:val="center"/>
        </w:trPr>
        <w:tc>
          <w:tcPr>
            <w:tcW w:w="0" w:type="auto"/>
            <w:shd w:val="clear" w:color="auto" w:fill="76922E"/>
            <w:noWrap/>
            <w:vAlign w:val="center"/>
            <w:hideMark/>
          </w:tcPr>
          <w:p w:rsidR="00C842DD" w:rsidRPr="006976CF" w:rsidRDefault="006976CF" w:rsidP="00C842DD">
            <w:pPr>
              <w:spacing w:after="0" w:line="240" w:lineRule="auto"/>
              <w:jc w:val="center"/>
              <w:rPr>
                <w:rFonts w:eastAsia="Times New Roman" w:cs="Arial"/>
                <w:b/>
                <w:bCs/>
                <w:color w:val="FFFFFF" w:themeColor="background1"/>
                <w:sz w:val="18"/>
                <w:szCs w:val="18"/>
                <w:lang w:val="es-ES_tradnl" w:eastAsia="es-ES"/>
              </w:rPr>
            </w:pPr>
            <w:r w:rsidRPr="006976CF">
              <w:rPr>
                <w:rFonts w:eastAsia="Times New Roman" w:cs="Arial"/>
                <w:b/>
                <w:bCs/>
                <w:color w:val="FFFFFF" w:themeColor="background1"/>
                <w:sz w:val="18"/>
                <w:szCs w:val="18"/>
                <w:lang w:val="es-ES_tradnl" w:eastAsia="es-ES"/>
              </w:rPr>
              <w:t>Departamento</w:t>
            </w:r>
          </w:p>
        </w:tc>
        <w:tc>
          <w:tcPr>
            <w:tcW w:w="0" w:type="auto"/>
            <w:shd w:val="clear" w:color="auto" w:fill="76922E"/>
            <w:noWrap/>
            <w:vAlign w:val="bottom"/>
            <w:hideMark/>
          </w:tcPr>
          <w:p w:rsidR="00C842DD" w:rsidRPr="006976CF" w:rsidRDefault="00C842DD" w:rsidP="00C842DD">
            <w:pPr>
              <w:spacing w:after="0" w:line="240" w:lineRule="auto"/>
              <w:jc w:val="center"/>
              <w:rPr>
                <w:rFonts w:eastAsia="Times New Roman" w:cs="Arial"/>
                <w:b/>
                <w:bCs/>
                <w:color w:val="FFFFFF" w:themeColor="background1"/>
                <w:sz w:val="18"/>
                <w:szCs w:val="18"/>
                <w:lang w:val="es-ES_tradnl" w:eastAsia="es-ES"/>
              </w:rPr>
            </w:pPr>
            <w:r w:rsidRPr="006976CF">
              <w:rPr>
                <w:rFonts w:eastAsia="Times New Roman" w:cs="Arial"/>
                <w:b/>
                <w:bCs/>
                <w:color w:val="FFFFFF" w:themeColor="background1"/>
                <w:sz w:val="18"/>
                <w:szCs w:val="18"/>
                <w:lang w:val="es-ES_tradnl" w:eastAsia="es-ES"/>
              </w:rPr>
              <w:t xml:space="preserve">NNA </w:t>
            </w:r>
            <w:r w:rsidR="006976CF" w:rsidRPr="006976CF">
              <w:rPr>
                <w:rFonts w:eastAsia="Times New Roman" w:cs="Arial"/>
                <w:b/>
                <w:bCs/>
                <w:color w:val="FFFFFF" w:themeColor="background1"/>
                <w:sz w:val="18"/>
                <w:szCs w:val="18"/>
                <w:lang w:val="es-ES_tradnl" w:eastAsia="es-ES"/>
              </w:rPr>
              <w:t>Atendidos</w:t>
            </w:r>
          </w:p>
        </w:tc>
        <w:tc>
          <w:tcPr>
            <w:tcW w:w="0" w:type="auto"/>
            <w:shd w:val="clear" w:color="auto" w:fill="76922E"/>
            <w:noWrap/>
            <w:vAlign w:val="bottom"/>
            <w:hideMark/>
          </w:tcPr>
          <w:p w:rsidR="00C842DD" w:rsidRPr="006976CF" w:rsidRDefault="006976CF" w:rsidP="00C842DD">
            <w:pPr>
              <w:spacing w:after="0" w:line="240" w:lineRule="auto"/>
              <w:jc w:val="center"/>
              <w:rPr>
                <w:rFonts w:eastAsia="Times New Roman" w:cs="Arial"/>
                <w:b/>
                <w:bCs/>
                <w:color w:val="FFFFFF" w:themeColor="background1"/>
                <w:sz w:val="18"/>
                <w:szCs w:val="18"/>
                <w:lang w:val="es-ES_tradnl" w:eastAsia="es-ES"/>
              </w:rPr>
            </w:pPr>
            <w:r w:rsidRPr="006976CF">
              <w:rPr>
                <w:rFonts w:eastAsia="Times New Roman" w:cs="Arial"/>
                <w:b/>
                <w:bCs/>
                <w:color w:val="FFFFFF" w:themeColor="background1"/>
                <w:sz w:val="18"/>
                <w:szCs w:val="18"/>
                <w:lang w:val="es-ES_tradnl" w:eastAsia="es-ES"/>
              </w:rPr>
              <w:t>Presupuesto Apropiado</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Amazonas</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96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$136.896.777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Antioquia</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1.581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$1.443.936.947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Arauca</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240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$266.643.281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Atlántico</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1.176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$974.198.313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Bogotá</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1.546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$1.184.406.578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Bolivar</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264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$284.446.301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Boyacá</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239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$247.956.677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Caldas</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144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$177.932.398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lastRenderedPageBreak/>
              <w:t>Caquetá</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552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$476.285.233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Casanare</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192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$205.692.145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Cauca</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1.104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$1.027.128.875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Cesar</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432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$390.135.671 </w:t>
            </w:r>
          </w:p>
        </w:tc>
      </w:tr>
      <w:tr w:rsidR="00C842DD" w:rsidRPr="006976CF" w:rsidTr="006976CF">
        <w:trPr>
          <w:trHeight w:val="280"/>
          <w:jc w:val="center"/>
        </w:trPr>
        <w:tc>
          <w:tcPr>
            <w:tcW w:w="0" w:type="auto"/>
            <w:shd w:val="clear" w:color="auto" w:fill="auto"/>
            <w:noWrap/>
            <w:vAlign w:val="bottom"/>
            <w:hideMark/>
          </w:tcPr>
          <w:p w:rsidR="00C842DD" w:rsidRPr="006976CF" w:rsidRDefault="006C2CE8"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Chocó</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720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$640.281.482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Córdoba</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648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$631.011.249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Cundinamarca</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360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$372.046.406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Guainía</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72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$121.218.335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Guaviare</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144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$159.280.423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Huila</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96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$143.313.383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La Guajira</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528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$455.877.816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Magdalena</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528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$464.345.185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Meta</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312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$309.794.346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Nariño</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1.488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$1.298.133.333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Norte d</w:t>
            </w:r>
            <w:r w:rsidRPr="006976CF">
              <w:rPr>
                <w:rFonts w:eastAsia="Times New Roman" w:cs="Arial"/>
                <w:sz w:val="18"/>
                <w:szCs w:val="18"/>
                <w:lang w:val="es-ES_tradnl" w:eastAsia="es-ES"/>
              </w:rPr>
              <w:t>e Santander</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432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$419.293.405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Putumayo</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456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$439.492.329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Quindío</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120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$154.339.251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Risaralda</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336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$305.191.806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San Andres</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120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$148.674.931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Santander</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216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$244.183.583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Sucre</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180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$191.152.849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Tolima</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192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$209.389.048 </w:t>
            </w:r>
          </w:p>
        </w:tc>
      </w:tr>
      <w:tr w:rsidR="00C842DD" w:rsidRPr="006976CF" w:rsidTr="006976CF">
        <w:trPr>
          <w:trHeight w:val="280"/>
          <w:jc w:val="center"/>
        </w:trPr>
        <w:tc>
          <w:tcPr>
            <w:tcW w:w="0" w:type="auto"/>
            <w:shd w:val="clear" w:color="auto" w:fill="auto"/>
            <w:noWrap/>
            <w:vAlign w:val="bottom"/>
            <w:hideMark/>
          </w:tcPr>
          <w:p w:rsidR="00C842DD" w:rsidRPr="006976CF" w:rsidRDefault="006C2CE8" w:rsidP="00C842DD">
            <w:pPr>
              <w:spacing w:after="0" w:line="240" w:lineRule="auto"/>
              <w:rPr>
                <w:rFonts w:eastAsia="Times New Roman" w:cs="Arial"/>
                <w:sz w:val="18"/>
                <w:szCs w:val="18"/>
                <w:lang w:val="es-ES_tradnl" w:eastAsia="es-ES"/>
              </w:rPr>
            </w:pPr>
            <w:r>
              <w:rPr>
                <w:rFonts w:eastAsia="Times New Roman" w:cs="Arial"/>
                <w:sz w:val="18"/>
                <w:szCs w:val="18"/>
                <w:lang w:val="es-ES_tradnl" w:eastAsia="es-ES"/>
              </w:rPr>
              <w:t>Valle d</w:t>
            </w:r>
            <w:r w:rsidR="006976CF" w:rsidRPr="006976CF">
              <w:rPr>
                <w:rFonts w:eastAsia="Times New Roman" w:cs="Arial"/>
                <w:sz w:val="18"/>
                <w:szCs w:val="18"/>
                <w:lang w:val="es-ES_tradnl" w:eastAsia="es-ES"/>
              </w:rPr>
              <w:t>el Cauca</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504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$447.727.998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Vaupés</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99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$95.266.915 </w:t>
            </w:r>
          </w:p>
        </w:tc>
      </w:tr>
      <w:tr w:rsidR="00C842DD" w:rsidRPr="006976CF" w:rsidTr="006976CF">
        <w:trPr>
          <w:trHeight w:val="280"/>
          <w:jc w:val="center"/>
        </w:trPr>
        <w:tc>
          <w:tcPr>
            <w:tcW w:w="0" w:type="auto"/>
            <w:shd w:val="clear" w:color="auto" w:fill="auto"/>
            <w:noWrap/>
            <w:vAlign w:val="bottom"/>
            <w:hideMark/>
          </w:tcPr>
          <w:p w:rsidR="00C842DD" w:rsidRPr="006976CF" w:rsidRDefault="006976CF" w:rsidP="00C842DD">
            <w:pPr>
              <w:spacing w:after="0" w:line="240" w:lineRule="auto"/>
              <w:rPr>
                <w:rFonts w:eastAsia="Times New Roman" w:cs="Arial"/>
                <w:sz w:val="18"/>
                <w:szCs w:val="18"/>
                <w:lang w:val="es-ES_tradnl" w:eastAsia="es-ES"/>
              </w:rPr>
            </w:pPr>
            <w:r w:rsidRPr="006976CF">
              <w:rPr>
                <w:rFonts w:eastAsia="Times New Roman" w:cs="Arial"/>
                <w:sz w:val="18"/>
                <w:szCs w:val="18"/>
                <w:lang w:val="es-ES_tradnl" w:eastAsia="es-ES"/>
              </w:rPr>
              <w:t>Vichada</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96 </w:t>
            </w:r>
          </w:p>
        </w:tc>
        <w:tc>
          <w:tcPr>
            <w:tcW w:w="0" w:type="auto"/>
            <w:shd w:val="clear" w:color="auto" w:fill="auto"/>
            <w:noWrap/>
            <w:vAlign w:val="bottom"/>
            <w:hideMark/>
          </w:tcPr>
          <w:p w:rsidR="00C842DD" w:rsidRPr="006976CF" w:rsidRDefault="00C842DD" w:rsidP="00C842DD">
            <w:pPr>
              <w:spacing w:after="0" w:line="240" w:lineRule="auto"/>
              <w:jc w:val="right"/>
              <w:rPr>
                <w:rFonts w:eastAsia="Times New Roman" w:cs="Arial"/>
                <w:sz w:val="18"/>
                <w:szCs w:val="18"/>
                <w:lang w:val="es-ES_tradnl" w:eastAsia="es-ES"/>
              </w:rPr>
            </w:pPr>
            <w:r w:rsidRPr="006976CF">
              <w:rPr>
                <w:rFonts w:eastAsia="Times New Roman" w:cs="Arial"/>
                <w:sz w:val="18"/>
                <w:szCs w:val="18"/>
                <w:lang w:val="es-ES_tradnl" w:eastAsia="es-ES"/>
              </w:rPr>
              <w:t xml:space="preserve"> $134.184.296 </w:t>
            </w:r>
          </w:p>
        </w:tc>
      </w:tr>
      <w:tr w:rsidR="00C842DD" w:rsidRPr="006976CF" w:rsidTr="006976CF">
        <w:trPr>
          <w:trHeight w:val="280"/>
          <w:jc w:val="center"/>
        </w:trPr>
        <w:tc>
          <w:tcPr>
            <w:tcW w:w="0" w:type="auto"/>
            <w:shd w:val="clear" w:color="auto" w:fill="E2EFDA"/>
            <w:noWrap/>
            <w:vAlign w:val="bottom"/>
            <w:hideMark/>
          </w:tcPr>
          <w:p w:rsidR="00C842DD" w:rsidRPr="006976CF" w:rsidRDefault="006976CF" w:rsidP="00C842DD">
            <w:pPr>
              <w:spacing w:after="0" w:line="240" w:lineRule="auto"/>
              <w:rPr>
                <w:rFonts w:eastAsia="Times New Roman" w:cs="Arial"/>
                <w:b/>
                <w:bCs/>
                <w:sz w:val="18"/>
                <w:szCs w:val="18"/>
                <w:lang w:val="es-ES_tradnl" w:eastAsia="es-ES"/>
              </w:rPr>
            </w:pPr>
            <w:r w:rsidRPr="006976CF">
              <w:rPr>
                <w:rFonts w:eastAsia="Times New Roman" w:cs="Arial"/>
                <w:b/>
                <w:bCs/>
                <w:sz w:val="18"/>
                <w:szCs w:val="18"/>
                <w:lang w:val="es-ES_tradnl" w:eastAsia="es-ES"/>
              </w:rPr>
              <w:t>Total</w:t>
            </w:r>
          </w:p>
        </w:tc>
        <w:tc>
          <w:tcPr>
            <w:tcW w:w="0" w:type="auto"/>
            <w:shd w:val="clear" w:color="auto" w:fill="E2EFDA"/>
            <w:noWrap/>
            <w:vAlign w:val="bottom"/>
            <w:hideMark/>
          </w:tcPr>
          <w:p w:rsidR="00C842DD" w:rsidRPr="006976CF" w:rsidRDefault="00C842DD" w:rsidP="00C842DD">
            <w:pPr>
              <w:spacing w:after="0" w:line="240" w:lineRule="auto"/>
              <w:jc w:val="right"/>
              <w:rPr>
                <w:rFonts w:eastAsia="Times New Roman" w:cs="Arial"/>
                <w:b/>
                <w:bCs/>
                <w:sz w:val="18"/>
                <w:szCs w:val="18"/>
                <w:lang w:val="es-ES_tradnl" w:eastAsia="es-ES"/>
              </w:rPr>
            </w:pPr>
            <w:r w:rsidRPr="006976CF">
              <w:rPr>
                <w:rFonts w:eastAsia="Times New Roman" w:cs="Arial"/>
                <w:b/>
                <w:bCs/>
                <w:sz w:val="18"/>
                <w:szCs w:val="18"/>
                <w:lang w:val="es-ES_tradnl" w:eastAsia="es-ES"/>
              </w:rPr>
              <w:t xml:space="preserve"> 15.213 </w:t>
            </w:r>
          </w:p>
        </w:tc>
        <w:tc>
          <w:tcPr>
            <w:tcW w:w="0" w:type="auto"/>
            <w:shd w:val="clear" w:color="auto" w:fill="E2EFDA"/>
            <w:noWrap/>
            <w:vAlign w:val="bottom"/>
            <w:hideMark/>
          </w:tcPr>
          <w:p w:rsidR="00C842DD" w:rsidRPr="006976CF" w:rsidRDefault="00C842DD" w:rsidP="00C842DD">
            <w:pPr>
              <w:spacing w:after="0" w:line="240" w:lineRule="auto"/>
              <w:jc w:val="right"/>
              <w:rPr>
                <w:rFonts w:eastAsia="Times New Roman" w:cs="Arial"/>
                <w:b/>
                <w:bCs/>
                <w:sz w:val="18"/>
                <w:szCs w:val="18"/>
                <w:lang w:val="es-ES_tradnl" w:eastAsia="es-ES"/>
              </w:rPr>
            </w:pPr>
            <w:r w:rsidRPr="006976CF">
              <w:rPr>
                <w:rFonts w:eastAsia="Times New Roman" w:cs="Arial"/>
                <w:b/>
                <w:bCs/>
                <w:sz w:val="18"/>
                <w:szCs w:val="18"/>
                <w:lang w:val="es-ES_tradnl" w:eastAsia="es-ES"/>
              </w:rPr>
              <w:t xml:space="preserve"> $14.199.857.565 </w:t>
            </w:r>
          </w:p>
        </w:tc>
      </w:tr>
    </w:tbl>
    <w:p w:rsidR="00C842DD" w:rsidRPr="006976CF" w:rsidRDefault="00C842DD" w:rsidP="00376C7E">
      <w:pPr>
        <w:spacing w:after="100" w:afterAutospacing="1" w:line="240" w:lineRule="auto"/>
        <w:jc w:val="center"/>
        <w:rPr>
          <w:rFonts w:cs="Arial"/>
          <w:sz w:val="16"/>
          <w:szCs w:val="16"/>
        </w:rPr>
      </w:pPr>
      <w:r w:rsidRPr="006976CF">
        <w:rPr>
          <w:rFonts w:cs="Arial"/>
          <w:sz w:val="16"/>
          <w:szCs w:val="16"/>
        </w:rPr>
        <w:t>Fuente: Reporte de Ejecución, MSYF cierre 2017 (preliminar), Dirección de Planeación y Control de Gestión</w:t>
      </w:r>
      <w:bookmarkStart w:id="49" w:name="_Toc503953617"/>
    </w:p>
    <w:p w:rsidR="00C842DD" w:rsidRPr="007608C2" w:rsidRDefault="00C842DD" w:rsidP="00C842DD">
      <w:pPr>
        <w:spacing w:before="100" w:beforeAutospacing="1" w:after="100" w:afterAutospacing="1" w:line="240" w:lineRule="auto"/>
        <w:rPr>
          <w:rFonts w:cs="Arial"/>
          <w:sz w:val="18"/>
        </w:rPr>
      </w:pPr>
      <w:r w:rsidRPr="007608C2">
        <w:rPr>
          <w:rFonts w:cs="Arial"/>
          <w:b/>
        </w:rPr>
        <w:t>Gestión Técnica para la Atención a la Niñez y a la Adolescencia</w:t>
      </w:r>
      <w:bookmarkEnd w:id="49"/>
      <w:r w:rsidRPr="007608C2">
        <w:rPr>
          <w:rFonts w:cs="Arial"/>
          <w:b/>
        </w:rPr>
        <w:t xml:space="preserve"> </w:t>
      </w:r>
    </w:p>
    <w:p w:rsidR="00C842DD" w:rsidRPr="007608C2" w:rsidRDefault="00C842DD" w:rsidP="00C842DD">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 xml:space="preserve">La Subdirección de Gestión Técnica para la Atención a la Niñez y a la Adolescencia, a través de sus referentes técnicos ha venido adelantando desde sus distintas temáticas, procesos de conformación y fortalecimiento de mesas técnicas y de participación, además de contribuir en las líneas de política pública para garantizar los derechos de niños, niñas y adolescentes. </w:t>
      </w:r>
    </w:p>
    <w:p w:rsidR="00C842DD" w:rsidRPr="007608C2" w:rsidRDefault="00C842DD" w:rsidP="00C842DD">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 xml:space="preserve">De otro lado, y cumpliendo una de las funciones de la Subdirección de Gestión Técnica en cuanto asistir y acompañar técnicamente a las regionales del ICBF y apoyar escenarios de construcción colectiva en instancias inter institucionales para el desarrollo de acciones orientadas a fortalecer políticas públicas, se cuenta con los siguientes referentes nacionales en las siguientes temáticas: </w:t>
      </w:r>
    </w:p>
    <w:p w:rsidR="00C842DD" w:rsidRPr="007608C2" w:rsidRDefault="00C842DD" w:rsidP="00C842DD">
      <w:pPr>
        <w:spacing w:after="0" w:line="240" w:lineRule="auto"/>
        <w:jc w:val="both"/>
        <w:rPr>
          <w:rFonts w:eastAsia="Times New Roman" w:cs="Arial"/>
          <w:lang w:eastAsia="es-CO"/>
        </w:rPr>
      </w:pPr>
      <w:r w:rsidRPr="007608C2">
        <w:rPr>
          <w:rFonts w:eastAsia="Times New Roman" w:cs="Arial"/>
          <w:lang w:eastAsia="es-CO"/>
        </w:rPr>
        <w:t>1.</w:t>
      </w:r>
      <w:r w:rsidRPr="007608C2">
        <w:rPr>
          <w:rFonts w:eastAsia="Times New Roman" w:cs="Arial"/>
          <w:lang w:eastAsia="es-CO"/>
        </w:rPr>
        <w:tab/>
        <w:t>Violencias en la escuela</w:t>
      </w:r>
    </w:p>
    <w:p w:rsidR="00C842DD" w:rsidRPr="007608C2" w:rsidRDefault="00C842DD" w:rsidP="00C842DD">
      <w:pPr>
        <w:spacing w:after="0" w:line="240" w:lineRule="auto"/>
        <w:jc w:val="both"/>
        <w:rPr>
          <w:rFonts w:eastAsia="Times New Roman" w:cs="Arial"/>
          <w:lang w:eastAsia="es-CO"/>
        </w:rPr>
      </w:pPr>
      <w:r w:rsidRPr="007608C2">
        <w:rPr>
          <w:rFonts w:eastAsia="Times New Roman" w:cs="Arial"/>
          <w:lang w:eastAsia="es-CO"/>
        </w:rPr>
        <w:lastRenderedPageBreak/>
        <w:t>2.</w:t>
      </w:r>
      <w:r w:rsidRPr="007608C2">
        <w:rPr>
          <w:rFonts w:eastAsia="Times New Roman" w:cs="Arial"/>
          <w:lang w:eastAsia="es-CO"/>
        </w:rPr>
        <w:tab/>
        <w:t>Prevención de delitos cometidos por adolescentes</w:t>
      </w:r>
    </w:p>
    <w:p w:rsidR="00C842DD" w:rsidRPr="007608C2" w:rsidRDefault="00C842DD" w:rsidP="00C842DD">
      <w:pPr>
        <w:spacing w:after="0" w:line="240" w:lineRule="auto"/>
        <w:jc w:val="both"/>
        <w:rPr>
          <w:rFonts w:eastAsia="Times New Roman" w:cs="Arial"/>
          <w:lang w:eastAsia="es-CO"/>
        </w:rPr>
      </w:pPr>
      <w:r w:rsidRPr="007608C2">
        <w:rPr>
          <w:rFonts w:eastAsia="Times New Roman" w:cs="Arial"/>
          <w:lang w:eastAsia="es-CO"/>
        </w:rPr>
        <w:t>3.</w:t>
      </w:r>
      <w:r w:rsidRPr="007608C2">
        <w:rPr>
          <w:rFonts w:eastAsia="Times New Roman" w:cs="Arial"/>
          <w:lang w:eastAsia="es-CO"/>
        </w:rPr>
        <w:tab/>
        <w:t>Prevención de reclutamiento y utilización de niños, niñas y adolescentes.</w:t>
      </w:r>
    </w:p>
    <w:p w:rsidR="00C842DD" w:rsidRPr="007608C2" w:rsidRDefault="00C842DD" w:rsidP="00C842DD">
      <w:pPr>
        <w:spacing w:after="0" w:line="240" w:lineRule="auto"/>
        <w:jc w:val="both"/>
        <w:rPr>
          <w:rFonts w:eastAsia="Times New Roman" w:cs="Arial"/>
          <w:lang w:eastAsia="es-CO"/>
        </w:rPr>
      </w:pPr>
      <w:r w:rsidRPr="007608C2">
        <w:rPr>
          <w:rFonts w:eastAsia="Times New Roman" w:cs="Arial"/>
          <w:lang w:eastAsia="es-CO"/>
        </w:rPr>
        <w:t>4.</w:t>
      </w:r>
      <w:r w:rsidRPr="007608C2">
        <w:rPr>
          <w:rFonts w:eastAsia="Times New Roman" w:cs="Arial"/>
          <w:lang w:eastAsia="es-CO"/>
        </w:rPr>
        <w:tab/>
        <w:t>Prevención de consumo de sustancias psicoactivas</w:t>
      </w:r>
    </w:p>
    <w:p w:rsidR="00C842DD" w:rsidRPr="007608C2" w:rsidRDefault="00C842DD" w:rsidP="00C842DD">
      <w:pPr>
        <w:spacing w:after="0" w:line="240" w:lineRule="auto"/>
        <w:jc w:val="both"/>
        <w:rPr>
          <w:rFonts w:eastAsia="Times New Roman" w:cs="Arial"/>
          <w:lang w:eastAsia="es-CO"/>
        </w:rPr>
      </w:pPr>
      <w:r w:rsidRPr="007608C2">
        <w:rPr>
          <w:rFonts w:eastAsia="Times New Roman" w:cs="Arial"/>
          <w:lang w:eastAsia="es-CO"/>
        </w:rPr>
        <w:t>5.</w:t>
      </w:r>
      <w:r w:rsidRPr="007608C2">
        <w:rPr>
          <w:rFonts w:eastAsia="Times New Roman" w:cs="Arial"/>
          <w:lang w:eastAsia="es-CO"/>
        </w:rPr>
        <w:tab/>
        <w:t>Diversidad sexual y de género LGBTI</w:t>
      </w:r>
    </w:p>
    <w:p w:rsidR="00C842DD" w:rsidRPr="007608C2" w:rsidRDefault="00C842DD" w:rsidP="00C842DD">
      <w:pPr>
        <w:spacing w:after="0" w:line="240" w:lineRule="auto"/>
        <w:jc w:val="both"/>
        <w:rPr>
          <w:rFonts w:eastAsia="Times New Roman" w:cs="Arial"/>
          <w:lang w:eastAsia="es-CO"/>
        </w:rPr>
      </w:pPr>
      <w:r w:rsidRPr="007608C2">
        <w:rPr>
          <w:rFonts w:eastAsia="Times New Roman" w:cs="Arial"/>
          <w:lang w:eastAsia="es-CO"/>
        </w:rPr>
        <w:t>6.</w:t>
      </w:r>
      <w:r w:rsidRPr="007608C2">
        <w:rPr>
          <w:rFonts w:eastAsia="Times New Roman" w:cs="Arial"/>
          <w:lang w:eastAsia="es-CO"/>
        </w:rPr>
        <w:tab/>
        <w:t>Prevención de violencia intrafamiliar y maltrato infantil</w:t>
      </w:r>
    </w:p>
    <w:p w:rsidR="00C842DD" w:rsidRPr="007608C2" w:rsidRDefault="00C842DD" w:rsidP="00C842DD">
      <w:pPr>
        <w:spacing w:after="0" w:line="240" w:lineRule="auto"/>
        <w:jc w:val="both"/>
        <w:rPr>
          <w:rFonts w:eastAsia="Times New Roman" w:cs="Arial"/>
          <w:lang w:eastAsia="es-CO"/>
        </w:rPr>
      </w:pPr>
      <w:r w:rsidRPr="007608C2">
        <w:rPr>
          <w:rFonts w:eastAsia="Times New Roman" w:cs="Arial"/>
          <w:lang w:eastAsia="es-CO"/>
        </w:rPr>
        <w:t>7.</w:t>
      </w:r>
      <w:r w:rsidRPr="007608C2">
        <w:rPr>
          <w:rFonts w:eastAsia="Times New Roman" w:cs="Arial"/>
          <w:lang w:eastAsia="es-CO"/>
        </w:rPr>
        <w:tab/>
        <w:t>Enfoque diferencial étnico</w:t>
      </w:r>
    </w:p>
    <w:p w:rsidR="00C842DD" w:rsidRPr="007608C2" w:rsidRDefault="00C842DD" w:rsidP="00C842DD">
      <w:pPr>
        <w:spacing w:after="0" w:line="240" w:lineRule="auto"/>
        <w:jc w:val="both"/>
        <w:rPr>
          <w:rFonts w:eastAsia="Times New Roman" w:cs="Arial"/>
          <w:lang w:eastAsia="es-CO"/>
        </w:rPr>
      </w:pPr>
      <w:r w:rsidRPr="007608C2">
        <w:rPr>
          <w:rFonts w:eastAsia="Times New Roman" w:cs="Arial"/>
          <w:lang w:eastAsia="es-CO"/>
        </w:rPr>
        <w:t>8.</w:t>
      </w:r>
      <w:r w:rsidRPr="007608C2">
        <w:rPr>
          <w:rFonts w:eastAsia="Times New Roman" w:cs="Arial"/>
          <w:lang w:eastAsia="es-CO"/>
        </w:rPr>
        <w:tab/>
        <w:t>Prevención de trabajo infantil / niñez rural</w:t>
      </w:r>
    </w:p>
    <w:p w:rsidR="00C842DD" w:rsidRPr="007608C2" w:rsidRDefault="00C842DD" w:rsidP="00C842DD">
      <w:pPr>
        <w:spacing w:after="0" w:line="240" w:lineRule="auto"/>
        <w:jc w:val="both"/>
        <w:rPr>
          <w:rFonts w:eastAsia="Times New Roman" w:cs="Arial"/>
          <w:lang w:eastAsia="es-CO"/>
        </w:rPr>
      </w:pPr>
      <w:r w:rsidRPr="007608C2">
        <w:rPr>
          <w:rFonts w:eastAsia="Times New Roman" w:cs="Arial"/>
          <w:lang w:eastAsia="es-CO"/>
        </w:rPr>
        <w:t>9.</w:t>
      </w:r>
      <w:r w:rsidRPr="007608C2">
        <w:rPr>
          <w:rFonts w:eastAsia="Times New Roman" w:cs="Arial"/>
          <w:lang w:eastAsia="es-CO"/>
        </w:rPr>
        <w:tab/>
        <w:t>Situación de vida en calle</w:t>
      </w:r>
    </w:p>
    <w:p w:rsidR="00C842DD" w:rsidRPr="007608C2" w:rsidRDefault="00C842DD" w:rsidP="00C842DD">
      <w:pPr>
        <w:spacing w:after="0" w:line="240" w:lineRule="auto"/>
        <w:jc w:val="both"/>
        <w:rPr>
          <w:rFonts w:eastAsia="Times New Roman" w:cs="Arial"/>
          <w:lang w:eastAsia="es-CO"/>
        </w:rPr>
      </w:pPr>
      <w:r w:rsidRPr="007608C2">
        <w:rPr>
          <w:rFonts w:eastAsia="Times New Roman" w:cs="Arial"/>
          <w:lang w:eastAsia="es-CO"/>
        </w:rPr>
        <w:t>10.</w:t>
      </w:r>
      <w:r w:rsidRPr="007608C2">
        <w:rPr>
          <w:rFonts w:eastAsia="Times New Roman" w:cs="Arial"/>
          <w:lang w:eastAsia="es-CO"/>
        </w:rPr>
        <w:tab/>
        <w:t>Enfoque diferencial Discapacidad</w:t>
      </w:r>
    </w:p>
    <w:p w:rsidR="00C842DD" w:rsidRPr="007608C2" w:rsidRDefault="00C842DD" w:rsidP="00C842DD">
      <w:pPr>
        <w:spacing w:after="0" w:line="240" w:lineRule="auto"/>
        <w:jc w:val="both"/>
        <w:rPr>
          <w:rFonts w:eastAsia="Times New Roman" w:cs="Arial"/>
          <w:lang w:eastAsia="es-CO"/>
        </w:rPr>
      </w:pPr>
      <w:r w:rsidRPr="007608C2">
        <w:rPr>
          <w:rFonts w:eastAsia="Times New Roman" w:cs="Arial"/>
          <w:lang w:eastAsia="es-CO"/>
        </w:rPr>
        <w:t>11.</w:t>
      </w:r>
      <w:r w:rsidRPr="007608C2">
        <w:rPr>
          <w:rFonts w:eastAsia="Times New Roman" w:cs="Arial"/>
          <w:lang w:eastAsia="es-CO"/>
        </w:rPr>
        <w:tab/>
        <w:t xml:space="preserve">Prevención de violencia sexual </w:t>
      </w:r>
      <w:bookmarkStart w:id="50" w:name="_Toc503953618"/>
    </w:p>
    <w:p w:rsidR="00C842DD" w:rsidRPr="007608C2" w:rsidRDefault="00C842DD" w:rsidP="00C842DD">
      <w:pPr>
        <w:spacing w:after="0" w:line="240" w:lineRule="auto"/>
        <w:jc w:val="both"/>
        <w:rPr>
          <w:rFonts w:eastAsia="Times New Roman" w:cs="Arial"/>
          <w:lang w:eastAsia="es-CO"/>
        </w:rPr>
      </w:pPr>
    </w:p>
    <w:p w:rsidR="00C842DD" w:rsidRPr="007608C2" w:rsidRDefault="00C842DD" w:rsidP="00C842DD">
      <w:pPr>
        <w:spacing w:after="0" w:line="240" w:lineRule="auto"/>
        <w:jc w:val="both"/>
        <w:rPr>
          <w:rFonts w:eastAsia="Times New Roman" w:cs="Arial"/>
          <w:lang w:eastAsia="es-CO"/>
        </w:rPr>
      </w:pPr>
      <w:r w:rsidRPr="007608C2">
        <w:rPr>
          <w:rFonts w:cs="Arial"/>
          <w:b/>
          <w:lang w:eastAsia="es-ES"/>
        </w:rPr>
        <w:t>Política Nacional para la Infancia y la Adolescencia PNIA</w:t>
      </w:r>
      <w:bookmarkEnd w:id="50"/>
    </w:p>
    <w:bookmarkEnd w:id="48"/>
    <w:p w:rsidR="00C842DD" w:rsidRPr="007608C2" w:rsidRDefault="00C842DD" w:rsidP="00C842DD">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El artículo 82 de la Ley 1753 de 2015, que aprueba el Plan Nacional de Desarrollo 2014-2018, establece que “El Gobierno Nacional consolidará la implementación de la política de primera infancia y desarrollará una política nacional para la infancia y la adolescencia, en armonía con los avances técnicos y de gestión de la estrategia De Cero a Siempre, con énfasis en la población con amenaza o vulneración de derechos”,  en consecuencia el Instituto viene liderado el proceso de formulación no solo teniendo en cuenta lo dispuesto en el Plan Nacional de Desarrollo sino también el mandato de la Ley 1098 de 2006,  Código de Infancia y Adolescencia que en el libro 3  define  las políticas de infancia y adolescencia, establece los objetivos, los principios rectores y los responsables de su diseño, ejecución y la evaluación de las políticas públicas en el ámbito nacional, departamental, distrital y municipal.</w:t>
      </w:r>
    </w:p>
    <w:p w:rsidR="00C842DD" w:rsidRPr="007608C2" w:rsidRDefault="00C842DD" w:rsidP="00C842DD">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 xml:space="preserve">El proceso de formulación de la PNIA ha contado con la participación de todos los corresponsables de la protección integral de los niños, niñas y adolescentes, especialmente con los agentes del Sistema Nacional de Bienestar Familiar a nivel nacional y local.  Es así como durante el proceso de formulación de la PNIA se han realizado 20 mesas sectoriales, 4 mesas de expertos y 30 encuentros con la participación de 962 funcionarios de los agentes y las instancias del SNBF a nivel local en los 32 departamentos del país, convocados directamente por el SNBF a nivel nacional.   La metodología de estos encuentros fue construida con los miembros Comité Ejecutivo inspirado en los diálogos nacionales que se realizaron en el marco de la discusión de las bases del Plan de Desarrollo.  A nivel nacional también vale la pena resaltar que se realizaron 9 encuentros con instancias y agentes del SNBF (4 encuentros para instancias nacionales del SNBF, 2 encuentros para agentes del SNBF, 3 encuentros con instancias nacionales del SNBF con enfoque diferencial) para la participación y deliberación pública que aporten a la formulación de la Política Nacional para la Infancia y la adolescencia con agentes e instancias del Sistema Nacional Bienestar Familiar. </w:t>
      </w:r>
    </w:p>
    <w:p w:rsidR="00C842DD" w:rsidRPr="007608C2" w:rsidRDefault="00C842DD" w:rsidP="00C842DD">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 xml:space="preserve">De acuerdo con lo anterior, cada una de las fases del proceso de formulación de la Política, que se mencionan a continuación, siempre han contado con la participación del Comité Ejecutivo del SNBF, teniendo en cuenta que como instancia operativa de planificación, coordinación y evaluación de la operación del SNBF, debe discutir y validar las propuestas que en materia de políticas públicas requieran ser llevadas al Consejo Nacional de Política Social. </w:t>
      </w:r>
    </w:p>
    <w:p w:rsidR="00C842DD" w:rsidRPr="007608C2" w:rsidRDefault="00C842DD" w:rsidP="00A44A2B">
      <w:pPr>
        <w:numPr>
          <w:ilvl w:val="0"/>
          <w:numId w:val="27"/>
        </w:numPr>
        <w:spacing w:before="100" w:beforeAutospacing="1" w:after="100" w:afterAutospacing="1" w:line="240" w:lineRule="auto"/>
        <w:ind w:left="645"/>
        <w:jc w:val="both"/>
        <w:rPr>
          <w:rFonts w:eastAsia="Times New Roman" w:cs="Arial"/>
          <w:lang w:eastAsia="es-CO"/>
        </w:rPr>
      </w:pPr>
      <w:r w:rsidRPr="005B078C">
        <w:rPr>
          <w:rFonts w:eastAsia="Times New Roman" w:cs="Arial"/>
          <w:b/>
          <w:lang w:eastAsia="es-CO"/>
        </w:rPr>
        <w:lastRenderedPageBreak/>
        <w:t>Primera Fase:</w:t>
      </w:r>
      <w:r w:rsidRPr="007608C2">
        <w:rPr>
          <w:rFonts w:eastAsia="Times New Roman" w:cs="Arial"/>
          <w:lang w:eastAsia="es-CO"/>
        </w:rPr>
        <w:t xml:space="preserve"> Preparación de documentos técnicos y revisión del estado del arte de la situación de los niños, niñas y adolescentes en los programas sectoriales, de cómo se reconocen en los planes de desarrollo. </w:t>
      </w:r>
    </w:p>
    <w:p w:rsidR="00C842DD" w:rsidRPr="007608C2" w:rsidRDefault="00C842DD" w:rsidP="00A44A2B">
      <w:pPr>
        <w:numPr>
          <w:ilvl w:val="0"/>
          <w:numId w:val="27"/>
        </w:numPr>
        <w:spacing w:before="100" w:beforeAutospacing="1" w:after="100" w:afterAutospacing="1" w:line="240" w:lineRule="auto"/>
        <w:ind w:left="645"/>
        <w:jc w:val="both"/>
        <w:rPr>
          <w:rFonts w:eastAsia="Times New Roman" w:cs="Arial"/>
          <w:lang w:eastAsia="es-CO"/>
        </w:rPr>
      </w:pPr>
      <w:r w:rsidRPr="005B078C">
        <w:rPr>
          <w:rFonts w:eastAsia="Times New Roman" w:cs="Arial"/>
          <w:b/>
          <w:lang w:eastAsia="es-CO"/>
        </w:rPr>
        <w:t>Segunda Fase:</w:t>
      </w:r>
      <w:r w:rsidRPr="007608C2">
        <w:rPr>
          <w:rFonts w:eastAsia="Times New Roman" w:cs="Arial"/>
          <w:lang w:eastAsia="es-CO"/>
        </w:rPr>
        <w:t xml:space="preserve"> Conversaciones nacionales y departamentales con agentes del sistema, niños, niñas y adolescentes, familias para validar las realizaciones y entornos como el marco de acciones que propondrá la política pública.</w:t>
      </w:r>
    </w:p>
    <w:p w:rsidR="00C842DD" w:rsidRPr="007608C2" w:rsidRDefault="00C842DD" w:rsidP="00A44A2B">
      <w:pPr>
        <w:numPr>
          <w:ilvl w:val="0"/>
          <w:numId w:val="27"/>
        </w:numPr>
        <w:spacing w:before="100" w:beforeAutospacing="1" w:after="100" w:afterAutospacing="1" w:line="240" w:lineRule="auto"/>
        <w:ind w:left="645"/>
        <w:jc w:val="both"/>
        <w:rPr>
          <w:rFonts w:eastAsia="Times New Roman" w:cs="Arial"/>
          <w:lang w:eastAsia="es-CO"/>
        </w:rPr>
      </w:pPr>
      <w:r w:rsidRPr="005B078C">
        <w:rPr>
          <w:rFonts w:eastAsia="Times New Roman" w:cs="Arial"/>
          <w:b/>
          <w:lang w:eastAsia="es-CO"/>
        </w:rPr>
        <w:t>Tercera Fase:</w:t>
      </w:r>
      <w:r w:rsidRPr="007608C2">
        <w:rPr>
          <w:rFonts w:eastAsia="Times New Roman" w:cs="Arial"/>
          <w:lang w:eastAsia="es-CO"/>
        </w:rPr>
        <w:t xml:space="preserve"> Presentación de insumos al Comité Ejecutivo del SNBF, construcción del documento de política y aprobación por las instancias correspondientes.</w:t>
      </w:r>
    </w:p>
    <w:p w:rsidR="00C842DD" w:rsidRPr="007608C2" w:rsidRDefault="00C842DD" w:rsidP="00C842DD">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Adicional a lo anterior, se ha convocado a las mesas técnicas del SNBF que según las funciones otorgadas por el decreto 936 de 2013 deberán diseñar, articular, concertar y asesorar en la formulación de políticas, planes, programas y proyectos, relacionadas con la población del SNBF.</w:t>
      </w:r>
    </w:p>
    <w:p w:rsidR="00C842DD" w:rsidRPr="007608C2" w:rsidRDefault="00C842DD" w:rsidP="00C842DD">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Es importante anotar que el Consejo Nacional de Política Social es el ente responsable de aprobar la política pública, movilizar y apropiar los recursos presupuestales y dictar las líneas de acción para garantizar los derechos de los niños, las niñas y los adolescentes y asegurar su protección y restablecimiento en todo el territorio nacional.</w:t>
      </w:r>
    </w:p>
    <w:p w:rsidR="00C842DD" w:rsidRPr="007608C2" w:rsidRDefault="00C842DD" w:rsidP="00C842DD">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 xml:space="preserve">En este proceso de formulación de la Política se ha contado con la participación de todos los corresponsables de la protección integral de los niños, las niñas y los adolescentes, especialmente con los agentes del Sistema Nacional de Bienestar Familiar a nivel nacional y local. </w:t>
      </w:r>
    </w:p>
    <w:p w:rsidR="00C842DD" w:rsidRPr="007608C2" w:rsidRDefault="00C842DD" w:rsidP="00C842DD">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Adicionalmente, en el 2017 se instaló una mesa nacional de discusión de la Política Nacional para la Infancia y la Adolescencia, con distintos agentes e instancias nacionales del Sistema Nacional de Bienestar Familiar con dos objetivos:</w:t>
      </w:r>
    </w:p>
    <w:p w:rsidR="00C842DD" w:rsidRPr="007608C2" w:rsidRDefault="00C842DD" w:rsidP="00A44A2B">
      <w:pPr>
        <w:numPr>
          <w:ilvl w:val="0"/>
          <w:numId w:val="29"/>
        </w:numPr>
        <w:spacing w:before="100" w:beforeAutospacing="1" w:after="100" w:afterAutospacing="1" w:line="240" w:lineRule="auto"/>
        <w:jc w:val="both"/>
        <w:rPr>
          <w:rFonts w:eastAsia="Times New Roman" w:cs="Arial"/>
          <w:lang w:eastAsia="es-CO"/>
        </w:rPr>
      </w:pPr>
      <w:r w:rsidRPr="007608C2">
        <w:rPr>
          <w:rFonts w:eastAsia="Times New Roman" w:cs="Arial"/>
          <w:lang w:eastAsia="es-CO"/>
        </w:rPr>
        <w:t xml:space="preserve">En el marco del SNBF, adelantar la formulación participativa de la Política Nacional y el Mapa Integral de Atenciones para la Infancia y la Adolescencia. </w:t>
      </w:r>
    </w:p>
    <w:p w:rsidR="00C842DD" w:rsidRPr="007608C2" w:rsidRDefault="00C842DD" w:rsidP="00A44A2B">
      <w:pPr>
        <w:numPr>
          <w:ilvl w:val="0"/>
          <w:numId w:val="29"/>
        </w:numPr>
        <w:spacing w:before="100" w:beforeAutospacing="1" w:after="100" w:afterAutospacing="1" w:line="240" w:lineRule="auto"/>
        <w:jc w:val="both"/>
        <w:rPr>
          <w:rFonts w:eastAsia="Times New Roman" w:cs="Arial"/>
          <w:lang w:eastAsia="es-CO"/>
        </w:rPr>
      </w:pPr>
      <w:r w:rsidRPr="007608C2">
        <w:rPr>
          <w:rFonts w:eastAsia="Times New Roman" w:cs="Arial"/>
          <w:lang w:eastAsia="es-CO"/>
        </w:rPr>
        <w:t>Generar las condiciones políticas, técnicas, operativas, financieras para la implementación de la Política Nacional y el Mapa Integral de Atenciones para la Infancia y la Adolescencia.</w:t>
      </w:r>
    </w:p>
    <w:p w:rsidR="00C842DD" w:rsidRPr="007608C2" w:rsidRDefault="00C842DD" w:rsidP="00C842DD">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En junio de 2017 el trabajo proyectado para mesa nacional fue asumido desde el Comité Ejecutivo del Sistema Nacional de Bienestar Familiar. A la fecha, se han realizado 5 reuniones específicas del Comité Ejecutivo para discutir el proceso, y hacer recomendaciones y observaciones frente al documento. Adicionalmente, durante 2017 se ha estado indagando en este espacio sobre el avance del proceso.</w:t>
      </w:r>
    </w:p>
    <w:p w:rsidR="00C842DD" w:rsidRPr="007608C2" w:rsidRDefault="00C842DD" w:rsidP="00C842DD">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En la última fase de construcción de la Política, el Gobierno Nacional lidera la recolección de los insumos de los diferentes procesos que se vienen desarrollando en el territorio nacional, con el fin de lograr un consenso social sobre los desafíos que se tienen en el país para la Protección Integral de la niñez y la adolescencia y sobre los mecanismos para avanzar y superarlos de conformidad con la Ley 1098 de 2006.</w:t>
      </w:r>
    </w:p>
    <w:p w:rsidR="00C842DD" w:rsidRPr="007608C2" w:rsidRDefault="00C842DD" w:rsidP="00C842DD">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 xml:space="preserve">De esta manera, a la fecha se cuenta con un documento final que está siendo discutido con los agentes del Comité Ejecutivo para su posterior presentación al Consejo de Política Social. En </w:t>
      </w:r>
      <w:r w:rsidRPr="007608C2">
        <w:rPr>
          <w:rFonts w:eastAsia="Times New Roman" w:cs="Arial"/>
          <w:lang w:eastAsia="es-CO"/>
        </w:rPr>
        <w:lastRenderedPageBreak/>
        <w:t>dicha reunión se reconoció la incorporación de varios de los comentarios hechos por las entidades, y se señalaron los desafíos y temas pendientes para poder finalizar de manera efectiva este importante proceso y se acordó una ruta de trabajo a seguir.</w:t>
      </w:r>
    </w:p>
    <w:p w:rsidR="00C842DD" w:rsidRPr="007608C2" w:rsidRDefault="00C842DD" w:rsidP="00C842DD">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 xml:space="preserve">Compromisos de la última reunión señalada, se resaltan los siguientes: </w:t>
      </w:r>
    </w:p>
    <w:p w:rsidR="003D41DE" w:rsidRPr="003D41DE" w:rsidRDefault="003D41DE" w:rsidP="00A44A2B">
      <w:pPr>
        <w:numPr>
          <w:ilvl w:val="0"/>
          <w:numId w:val="28"/>
        </w:numPr>
        <w:spacing w:before="100" w:beforeAutospacing="1" w:after="100" w:afterAutospacing="1" w:line="240" w:lineRule="auto"/>
        <w:jc w:val="both"/>
        <w:rPr>
          <w:rFonts w:eastAsia="Times New Roman" w:cs="Arial"/>
          <w:lang w:eastAsia="es-CO"/>
        </w:rPr>
      </w:pPr>
      <w:r>
        <w:rPr>
          <w:rFonts w:eastAsia="Times New Roman" w:cs="Arial"/>
          <w:lang w:eastAsia="es-CO"/>
        </w:rPr>
        <w:t>Noviembre – D</w:t>
      </w:r>
      <w:r w:rsidR="00C842DD" w:rsidRPr="007608C2">
        <w:rPr>
          <w:rFonts w:eastAsia="Times New Roman" w:cs="Arial"/>
          <w:lang w:eastAsia="es-CO"/>
        </w:rPr>
        <w:t>iciembre. Incorporación de comentarios y presentación y presentaci</w:t>
      </w:r>
      <w:r>
        <w:rPr>
          <w:rFonts w:eastAsia="Times New Roman" w:cs="Arial"/>
          <w:lang w:eastAsia="es-CO"/>
        </w:rPr>
        <w:t>ón al Comité Ejecutivo del SNBF.</w:t>
      </w:r>
    </w:p>
    <w:p w:rsidR="00C842DD" w:rsidRDefault="00C842DD" w:rsidP="00A44A2B">
      <w:pPr>
        <w:numPr>
          <w:ilvl w:val="0"/>
          <w:numId w:val="28"/>
        </w:numPr>
        <w:spacing w:before="100" w:beforeAutospacing="1" w:after="100" w:afterAutospacing="1" w:line="240" w:lineRule="auto"/>
        <w:jc w:val="both"/>
        <w:rPr>
          <w:rFonts w:eastAsia="Times New Roman" w:cs="Arial"/>
          <w:lang w:eastAsia="es-CO"/>
        </w:rPr>
      </w:pPr>
      <w:r w:rsidRPr="007608C2">
        <w:rPr>
          <w:rFonts w:eastAsia="Times New Roman" w:cs="Arial"/>
          <w:lang w:eastAsia="es-CO"/>
        </w:rPr>
        <w:t>Primer semestre de 2018.  Presentación al a Consejo Nacional de Política Social.</w:t>
      </w:r>
    </w:p>
    <w:p w:rsidR="005B078C" w:rsidRPr="007608C2" w:rsidRDefault="005B078C" w:rsidP="005B078C">
      <w:pPr>
        <w:spacing w:before="100" w:beforeAutospacing="1" w:after="0" w:line="240" w:lineRule="auto"/>
        <w:ind w:left="1005"/>
        <w:jc w:val="both"/>
        <w:rPr>
          <w:rFonts w:eastAsia="Times New Roman" w:cs="Arial"/>
          <w:lang w:eastAsia="es-CO"/>
        </w:rPr>
      </w:pPr>
    </w:p>
    <w:p w:rsidR="00C842DD" w:rsidRDefault="00C842DD" w:rsidP="00A44A2B">
      <w:pPr>
        <w:pStyle w:val="Ttulo2"/>
        <w:numPr>
          <w:ilvl w:val="2"/>
          <w:numId w:val="48"/>
        </w:numPr>
        <w:rPr>
          <w:rFonts w:cs="Arial"/>
          <w:b/>
        </w:rPr>
      </w:pPr>
      <w:bookmarkStart w:id="51" w:name="_Toc503953619"/>
      <w:bookmarkStart w:id="52" w:name="_Toc505183045"/>
      <w:r w:rsidRPr="007608C2">
        <w:rPr>
          <w:rFonts w:cs="Arial"/>
          <w:b/>
        </w:rPr>
        <w:t>LOGROS 2017</w:t>
      </w:r>
      <w:bookmarkEnd w:id="51"/>
      <w:bookmarkEnd w:id="52"/>
    </w:p>
    <w:p w:rsidR="005B078C" w:rsidRPr="005B078C" w:rsidRDefault="005B078C" w:rsidP="00E3292C">
      <w:pPr>
        <w:spacing w:after="0"/>
      </w:pPr>
    </w:p>
    <w:p w:rsidR="005B078C" w:rsidRDefault="00C842DD" w:rsidP="00A44A2B">
      <w:pPr>
        <w:numPr>
          <w:ilvl w:val="0"/>
          <w:numId w:val="140"/>
        </w:numPr>
        <w:tabs>
          <w:tab w:val="num" w:pos="709"/>
        </w:tabs>
        <w:spacing w:after="0" w:line="240" w:lineRule="auto"/>
        <w:ind w:left="709" w:hanging="283"/>
        <w:jc w:val="both"/>
        <w:rPr>
          <w:rFonts w:cs="Arial"/>
        </w:rPr>
      </w:pPr>
      <w:r w:rsidRPr="007608C2">
        <w:rPr>
          <w:rFonts w:cs="Arial"/>
        </w:rPr>
        <w:t>En desarrollo del programa Generaciones con Bienestar, con corte a diciembre, se tiene un reporte de 44.835 casos de vulneración, amenaza o inobservancia de derechos identificados mediante el diagnóstico de derechos. Se realizaron 44.830 gestiones frente a la autoridad correspondiente, obteniendo 44.660 respuestas efectivas, correspondiente al 99.6% de respue</w:t>
      </w:r>
      <w:r w:rsidR="005B078C">
        <w:rPr>
          <w:rFonts w:cs="Arial"/>
        </w:rPr>
        <w:t>stas efectivas.</w:t>
      </w:r>
    </w:p>
    <w:p w:rsidR="005B078C" w:rsidRPr="005B078C" w:rsidRDefault="005B078C" w:rsidP="005B078C">
      <w:pPr>
        <w:spacing w:after="0" w:line="240" w:lineRule="auto"/>
        <w:ind w:left="709"/>
        <w:jc w:val="both"/>
        <w:rPr>
          <w:rFonts w:cs="Arial"/>
        </w:rPr>
      </w:pP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Se reportaron por parte de las diferentes regionales del país 2.052 ejercicios de participación y control social en el marco del programa Generaciones con Bienestar.</w:t>
      </w:r>
    </w:p>
    <w:p w:rsidR="005B078C" w:rsidRPr="007608C2" w:rsidRDefault="005B078C" w:rsidP="005B078C">
      <w:pPr>
        <w:spacing w:after="0" w:line="240" w:lineRule="auto"/>
        <w:jc w:val="both"/>
        <w:rPr>
          <w:rFonts w:cs="Arial"/>
        </w:rPr>
      </w:pP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Los padres, madres o cuidadores de los participantes de Generaciones con Bienestar, consideran que en general los NNA han mejorado el comportamiento en sus hogares. En la cotidianidad de la familia y en el entorno comunitario más cercano, se establecen efectos positivos a través de los cuales se puede evidenciar el empoderamiento de niños, niñas y adolescentes como sujetos de derechos. El impacto se puede observar en los niños, niñas y adolescentes propositivos asumiendo un rol activo como conocedores de sus derechos, las familias participativas en las pautas de crianza, disminución de comportamientos agresivos tanto de los niños, niñas y ado</w:t>
      </w:r>
      <w:r w:rsidR="005B078C">
        <w:rPr>
          <w:rFonts w:cs="Arial"/>
        </w:rPr>
        <w:t>lescentes como de sus familias.</w:t>
      </w:r>
    </w:p>
    <w:p w:rsidR="005B078C" w:rsidRPr="007608C2" w:rsidRDefault="005B078C" w:rsidP="005B078C">
      <w:pPr>
        <w:spacing w:after="0" w:line="240" w:lineRule="auto"/>
        <w:jc w:val="both"/>
        <w:rPr>
          <w:rFonts w:cs="Arial"/>
        </w:rPr>
      </w:pP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Desde la modalidad étnica de  Generaciones con Bienestar,  el fortalecimiento cultural, promovió el desarrollo de actividades dirigidas a fortalecer la cultura propia,  previniendo los riesgos de pérdida de las tradiciones y, por ende, su extinción física y cultural, contemplando acciones para el rescate de las lenguas de los pueblos indígenas, Comunidades Negras o Afro-colombianas y Palenqueros por medio del dialogo intergeneracional y la recuperación de historias, juegos tradicionales y el lenguaje.</w:t>
      </w:r>
    </w:p>
    <w:p w:rsidR="00E3292C" w:rsidRPr="007608C2" w:rsidRDefault="00E3292C" w:rsidP="00E3292C">
      <w:pPr>
        <w:spacing w:after="0" w:line="240" w:lineRule="auto"/>
        <w:ind w:left="709"/>
        <w:jc w:val="both"/>
        <w:rPr>
          <w:rFonts w:cs="Arial"/>
        </w:rPr>
      </w:pPr>
    </w:p>
    <w:p w:rsidR="00E1469E" w:rsidRDefault="00C842DD" w:rsidP="00A44A2B">
      <w:pPr>
        <w:numPr>
          <w:ilvl w:val="0"/>
          <w:numId w:val="140"/>
        </w:numPr>
        <w:tabs>
          <w:tab w:val="num" w:pos="709"/>
        </w:tabs>
        <w:spacing w:after="0" w:line="240" w:lineRule="auto"/>
        <w:ind w:left="709" w:hanging="283"/>
        <w:jc w:val="both"/>
        <w:rPr>
          <w:rFonts w:cs="Arial"/>
        </w:rPr>
      </w:pPr>
      <w:r w:rsidRPr="007608C2">
        <w:rPr>
          <w:rFonts w:cs="Arial"/>
        </w:rPr>
        <w:t xml:space="preserve">Cualificación de acciones específicas de prevención desde Generaciones con Bienestar, desarrollando 10 proyectos piloto, con los que se buscó responder de manera especializada a diferentes situaciones de riesgo presentes en territorios específicos relacionados con las siguientes temáticas: </w:t>
      </w:r>
    </w:p>
    <w:p w:rsidR="00E3292C" w:rsidRDefault="00E3292C" w:rsidP="00E3292C">
      <w:pPr>
        <w:spacing w:after="0" w:line="240" w:lineRule="auto"/>
        <w:jc w:val="both"/>
        <w:rPr>
          <w:rFonts w:cs="Arial"/>
        </w:rPr>
      </w:pPr>
    </w:p>
    <w:p w:rsidR="006B2D87" w:rsidRDefault="006B2D87" w:rsidP="00E3292C">
      <w:pPr>
        <w:spacing w:after="0" w:line="240" w:lineRule="auto"/>
        <w:jc w:val="both"/>
        <w:rPr>
          <w:rFonts w:cs="Arial"/>
        </w:rPr>
      </w:pPr>
    </w:p>
    <w:p w:rsidR="006B2D87" w:rsidRPr="00E3292C" w:rsidRDefault="006B2D87" w:rsidP="00E3292C">
      <w:pPr>
        <w:spacing w:after="0" w:line="240" w:lineRule="auto"/>
        <w:jc w:val="both"/>
        <w:rPr>
          <w:rFonts w:cs="Arial"/>
        </w:rPr>
      </w:pPr>
    </w:p>
    <w:tbl>
      <w:tblPr>
        <w:tblStyle w:val="Tabladecuadrcula22"/>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ook w:val="04A0" w:firstRow="1" w:lastRow="0" w:firstColumn="1" w:lastColumn="0" w:noHBand="0" w:noVBand="1"/>
      </w:tblPr>
      <w:tblGrid>
        <w:gridCol w:w="4815"/>
        <w:gridCol w:w="3969"/>
      </w:tblGrid>
      <w:tr w:rsidR="00C842DD" w:rsidRPr="003D41DE" w:rsidTr="003D41DE">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784" w:type="dxa"/>
            <w:gridSpan w:val="2"/>
            <w:tcBorders>
              <w:top w:val="none" w:sz="0" w:space="0" w:color="auto"/>
              <w:bottom w:val="none" w:sz="0" w:space="0" w:color="auto"/>
            </w:tcBorders>
            <w:shd w:val="clear" w:color="auto" w:fill="76922E"/>
            <w:noWrap/>
            <w:vAlign w:val="center"/>
            <w:hideMark/>
          </w:tcPr>
          <w:p w:rsidR="00C842DD" w:rsidRPr="003D41DE" w:rsidRDefault="00C842DD" w:rsidP="003D41DE">
            <w:pPr>
              <w:spacing w:before="100" w:beforeAutospacing="1" w:after="100" w:afterAutospacing="1" w:line="240" w:lineRule="auto"/>
              <w:jc w:val="center"/>
              <w:rPr>
                <w:rFonts w:cs="Arial"/>
                <w:sz w:val="18"/>
                <w:szCs w:val="18"/>
              </w:rPr>
            </w:pPr>
            <w:r w:rsidRPr="003D41DE">
              <w:rPr>
                <w:rFonts w:cs="Arial"/>
                <w:bCs w:val="0"/>
                <w:color w:val="FFFFFF" w:themeColor="background1"/>
                <w:sz w:val="18"/>
                <w:szCs w:val="18"/>
              </w:rPr>
              <w:lastRenderedPageBreak/>
              <w:t>Proyectos Piloto Especializados - Programa GCB 2017</w:t>
            </w:r>
          </w:p>
        </w:tc>
      </w:tr>
      <w:tr w:rsidR="00C842DD" w:rsidRPr="003D41DE" w:rsidTr="003D41D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noWrap/>
            <w:vAlign w:val="center"/>
            <w:hideMark/>
          </w:tcPr>
          <w:p w:rsidR="00C842DD" w:rsidRPr="003D41DE" w:rsidRDefault="00C842DD" w:rsidP="00C842DD">
            <w:pPr>
              <w:spacing w:before="100" w:beforeAutospacing="1" w:after="100" w:afterAutospacing="1" w:line="240" w:lineRule="auto"/>
              <w:jc w:val="both"/>
              <w:rPr>
                <w:rFonts w:cs="Arial"/>
                <w:b w:val="0"/>
                <w:sz w:val="18"/>
                <w:szCs w:val="18"/>
              </w:rPr>
            </w:pPr>
            <w:r w:rsidRPr="003D41DE">
              <w:rPr>
                <w:rFonts w:cs="Arial"/>
                <w:b w:val="0"/>
                <w:sz w:val="18"/>
                <w:szCs w:val="18"/>
              </w:rPr>
              <w:t>Temática</w:t>
            </w:r>
          </w:p>
        </w:tc>
        <w:tc>
          <w:tcPr>
            <w:tcW w:w="3969" w:type="dxa"/>
            <w:shd w:val="clear" w:color="auto" w:fill="auto"/>
            <w:noWrap/>
            <w:vAlign w:val="center"/>
            <w:hideMark/>
          </w:tcPr>
          <w:p w:rsidR="00C842DD" w:rsidRPr="003D41DE" w:rsidRDefault="00C842DD" w:rsidP="00C842DD">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3D41DE">
              <w:rPr>
                <w:rFonts w:cs="Arial"/>
                <w:bCs/>
                <w:sz w:val="18"/>
                <w:szCs w:val="18"/>
              </w:rPr>
              <w:t>Municipio (s) seleccionado</w:t>
            </w:r>
          </w:p>
        </w:tc>
      </w:tr>
      <w:tr w:rsidR="00C842DD" w:rsidRPr="003D41DE" w:rsidTr="003D41DE">
        <w:trPr>
          <w:trHeight w:val="330"/>
          <w:jc w:val="center"/>
        </w:trPr>
        <w:tc>
          <w:tcPr>
            <w:cnfStyle w:val="001000000000" w:firstRow="0" w:lastRow="0" w:firstColumn="1" w:lastColumn="0" w:oddVBand="0" w:evenVBand="0" w:oddHBand="0" w:evenHBand="0" w:firstRowFirstColumn="0" w:firstRowLastColumn="0" w:lastRowFirstColumn="0" w:lastRowLastColumn="0"/>
            <w:tcW w:w="4815" w:type="dxa"/>
            <w:vMerge w:val="restart"/>
            <w:shd w:val="clear" w:color="auto" w:fill="auto"/>
            <w:vAlign w:val="center"/>
            <w:hideMark/>
          </w:tcPr>
          <w:p w:rsidR="00C842DD" w:rsidRPr="003D41DE" w:rsidRDefault="00C842DD" w:rsidP="00C842DD">
            <w:pPr>
              <w:spacing w:before="100" w:beforeAutospacing="1" w:after="100" w:afterAutospacing="1" w:line="240" w:lineRule="auto"/>
              <w:jc w:val="both"/>
              <w:rPr>
                <w:rFonts w:cs="Arial"/>
                <w:b w:val="0"/>
                <w:sz w:val="18"/>
                <w:szCs w:val="18"/>
              </w:rPr>
            </w:pPr>
            <w:r w:rsidRPr="003D41DE">
              <w:rPr>
                <w:rFonts w:cs="Arial"/>
                <w:b w:val="0"/>
                <w:sz w:val="18"/>
                <w:szCs w:val="18"/>
              </w:rPr>
              <w:t>Prevención de delitos cometidos por adolescentes</w:t>
            </w:r>
          </w:p>
        </w:tc>
        <w:tc>
          <w:tcPr>
            <w:tcW w:w="3969" w:type="dxa"/>
            <w:shd w:val="clear" w:color="auto" w:fill="auto"/>
            <w:vAlign w:val="center"/>
            <w:hideMark/>
          </w:tcPr>
          <w:p w:rsidR="00C842DD" w:rsidRPr="003D41DE" w:rsidRDefault="00C842DD" w:rsidP="00C842DD">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3D41DE">
              <w:rPr>
                <w:rFonts w:cs="Arial"/>
                <w:sz w:val="18"/>
                <w:szCs w:val="18"/>
              </w:rPr>
              <w:t xml:space="preserve">Barranquilla </w:t>
            </w:r>
            <w:r w:rsidRPr="003D41DE">
              <w:rPr>
                <w:rFonts w:cs="Arial"/>
                <w:bCs/>
                <w:sz w:val="18"/>
                <w:szCs w:val="18"/>
              </w:rPr>
              <w:t>(Atlántico)</w:t>
            </w:r>
          </w:p>
        </w:tc>
      </w:tr>
      <w:tr w:rsidR="00C842DD" w:rsidRPr="003D41DE" w:rsidTr="003D41D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815" w:type="dxa"/>
            <w:vMerge/>
            <w:shd w:val="clear" w:color="auto" w:fill="auto"/>
            <w:vAlign w:val="center"/>
            <w:hideMark/>
          </w:tcPr>
          <w:p w:rsidR="00C842DD" w:rsidRPr="003D41DE" w:rsidRDefault="00C842DD" w:rsidP="00C842DD">
            <w:pPr>
              <w:spacing w:before="100" w:beforeAutospacing="1" w:after="100" w:afterAutospacing="1" w:line="240" w:lineRule="auto"/>
              <w:jc w:val="both"/>
              <w:rPr>
                <w:rFonts w:cs="Arial"/>
                <w:b w:val="0"/>
                <w:sz w:val="18"/>
                <w:szCs w:val="18"/>
              </w:rPr>
            </w:pPr>
          </w:p>
        </w:tc>
        <w:tc>
          <w:tcPr>
            <w:tcW w:w="3969" w:type="dxa"/>
            <w:shd w:val="clear" w:color="auto" w:fill="auto"/>
            <w:vAlign w:val="center"/>
            <w:hideMark/>
          </w:tcPr>
          <w:p w:rsidR="00C842DD" w:rsidRPr="003D41DE" w:rsidRDefault="00C842DD" w:rsidP="00C842DD">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3D41DE">
              <w:rPr>
                <w:rFonts w:cs="Arial"/>
                <w:sz w:val="18"/>
                <w:szCs w:val="18"/>
              </w:rPr>
              <w:t>Bogotá D.C.</w:t>
            </w:r>
          </w:p>
        </w:tc>
      </w:tr>
      <w:tr w:rsidR="00C842DD" w:rsidRPr="003D41DE" w:rsidTr="003D41DE">
        <w:trPr>
          <w:trHeight w:val="315"/>
          <w:jc w:val="center"/>
        </w:trPr>
        <w:tc>
          <w:tcPr>
            <w:cnfStyle w:val="001000000000" w:firstRow="0" w:lastRow="0" w:firstColumn="1" w:lastColumn="0" w:oddVBand="0" w:evenVBand="0" w:oddHBand="0" w:evenHBand="0" w:firstRowFirstColumn="0" w:firstRowLastColumn="0" w:lastRowFirstColumn="0" w:lastRowLastColumn="0"/>
            <w:tcW w:w="4815" w:type="dxa"/>
            <w:vMerge/>
            <w:shd w:val="clear" w:color="auto" w:fill="auto"/>
            <w:vAlign w:val="center"/>
            <w:hideMark/>
          </w:tcPr>
          <w:p w:rsidR="00C842DD" w:rsidRPr="003D41DE" w:rsidRDefault="00C842DD" w:rsidP="00C842DD">
            <w:pPr>
              <w:spacing w:before="100" w:beforeAutospacing="1" w:after="100" w:afterAutospacing="1" w:line="240" w:lineRule="auto"/>
              <w:jc w:val="both"/>
              <w:rPr>
                <w:rFonts w:cs="Arial"/>
                <w:b w:val="0"/>
                <w:sz w:val="18"/>
                <w:szCs w:val="18"/>
              </w:rPr>
            </w:pPr>
          </w:p>
        </w:tc>
        <w:tc>
          <w:tcPr>
            <w:tcW w:w="3969" w:type="dxa"/>
            <w:shd w:val="clear" w:color="auto" w:fill="auto"/>
            <w:vAlign w:val="center"/>
            <w:hideMark/>
          </w:tcPr>
          <w:p w:rsidR="00C842DD" w:rsidRPr="003D41DE" w:rsidRDefault="00C842DD" w:rsidP="00C842DD">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3D41DE">
              <w:rPr>
                <w:rFonts w:cs="Arial"/>
                <w:sz w:val="18"/>
                <w:szCs w:val="18"/>
              </w:rPr>
              <w:t>Cartagena</w:t>
            </w:r>
          </w:p>
        </w:tc>
      </w:tr>
      <w:tr w:rsidR="00C842DD" w:rsidRPr="003D41DE" w:rsidTr="003D41D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815" w:type="dxa"/>
            <w:vMerge/>
            <w:shd w:val="clear" w:color="auto" w:fill="auto"/>
            <w:vAlign w:val="center"/>
            <w:hideMark/>
          </w:tcPr>
          <w:p w:rsidR="00C842DD" w:rsidRPr="003D41DE" w:rsidRDefault="00C842DD" w:rsidP="00C842DD">
            <w:pPr>
              <w:spacing w:before="100" w:beforeAutospacing="1" w:after="100" w:afterAutospacing="1" w:line="240" w:lineRule="auto"/>
              <w:jc w:val="both"/>
              <w:rPr>
                <w:rFonts w:cs="Arial"/>
                <w:b w:val="0"/>
                <w:sz w:val="18"/>
                <w:szCs w:val="18"/>
              </w:rPr>
            </w:pPr>
          </w:p>
        </w:tc>
        <w:tc>
          <w:tcPr>
            <w:tcW w:w="3969" w:type="dxa"/>
            <w:shd w:val="clear" w:color="auto" w:fill="auto"/>
            <w:vAlign w:val="center"/>
            <w:hideMark/>
          </w:tcPr>
          <w:p w:rsidR="00C842DD" w:rsidRPr="003D41DE" w:rsidRDefault="00C842DD" w:rsidP="00C842DD">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3D41DE">
              <w:rPr>
                <w:rFonts w:cs="Arial"/>
                <w:sz w:val="18"/>
                <w:szCs w:val="18"/>
              </w:rPr>
              <w:t xml:space="preserve">Quibdó (Chocó) </w:t>
            </w:r>
          </w:p>
        </w:tc>
      </w:tr>
      <w:tr w:rsidR="00C842DD" w:rsidRPr="003D41DE" w:rsidTr="003D41DE">
        <w:trPr>
          <w:trHeight w:val="268"/>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vAlign w:val="center"/>
            <w:hideMark/>
          </w:tcPr>
          <w:p w:rsidR="00C842DD" w:rsidRPr="003D41DE" w:rsidRDefault="00C842DD" w:rsidP="00C842DD">
            <w:pPr>
              <w:spacing w:before="100" w:beforeAutospacing="1" w:after="100" w:afterAutospacing="1" w:line="240" w:lineRule="auto"/>
              <w:jc w:val="both"/>
              <w:rPr>
                <w:rFonts w:cs="Arial"/>
                <w:b w:val="0"/>
                <w:sz w:val="18"/>
                <w:szCs w:val="18"/>
              </w:rPr>
            </w:pPr>
            <w:r w:rsidRPr="003D41DE">
              <w:rPr>
                <w:rFonts w:cs="Arial"/>
                <w:b w:val="0"/>
                <w:sz w:val="18"/>
                <w:szCs w:val="18"/>
              </w:rPr>
              <w:t>Prevención del maltrato infantil y violencia intrafamiliar</w:t>
            </w:r>
          </w:p>
        </w:tc>
        <w:tc>
          <w:tcPr>
            <w:tcW w:w="3969" w:type="dxa"/>
            <w:shd w:val="clear" w:color="auto" w:fill="auto"/>
            <w:noWrap/>
            <w:vAlign w:val="center"/>
            <w:hideMark/>
          </w:tcPr>
          <w:p w:rsidR="00C842DD" w:rsidRPr="003D41DE" w:rsidRDefault="00C842DD" w:rsidP="00C842DD">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3D41DE">
              <w:rPr>
                <w:rFonts w:cs="Arial"/>
                <w:sz w:val="18"/>
                <w:szCs w:val="18"/>
              </w:rPr>
              <w:t xml:space="preserve">Mitú </w:t>
            </w:r>
            <w:r w:rsidRPr="003D41DE">
              <w:rPr>
                <w:rFonts w:cs="Arial"/>
                <w:bCs/>
                <w:sz w:val="18"/>
                <w:szCs w:val="18"/>
              </w:rPr>
              <w:t>(Vaupés)</w:t>
            </w:r>
            <w:r w:rsidRPr="003D41DE">
              <w:rPr>
                <w:rFonts w:cs="Arial"/>
                <w:sz w:val="18"/>
                <w:szCs w:val="18"/>
              </w:rPr>
              <w:t xml:space="preserve"> </w:t>
            </w:r>
          </w:p>
        </w:tc>
      </w:tr>
      <w:tr w:rsidR="00C842DD" w:rsidRPr="003D41DE" w:rsidTr="003D41DE">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vAlign w:val="center"/>
            <w:hideMark/>
          </w:tcPr>
          <w:p w:rsidR="00C842DD" w:rsidRPr="003D41DE" w:rsidRDefault="00C842DD" w:rsidP="00C842DD">
            <w:pPr>
              <w:spacing w:before="100" w:beforeAutospacing="1" w:after="100" w:afterAutospacing="1" w:line="240" w:lineRule="auto"/>
              <w:jc w:val="both"/>
              <w:rPr>
                <w:rFonts w:cs="Arial"/>
                <w:b w:val="0"/>
                <w:sz w:val="18"/>
                <w:szCs w:val="18"/>
              </w:rPr>
            </w:pPr>
            <w:r w:rsidRPr="003D41DE">
              <w:rPr>
                <w:rFonts w:cs="Arial"/>
                <w:b w:val="0"/>
                <w:sz w:val="18"/>
                <w:szCs w:val="18"/>
              </w:rPr>
              <w:t xml:space="preserve">Prevención de reclutamiento, uso y utilización de niños, niñas y adolescentes </w:t>
            </w:r>
          </w:p>
        </w:tc>
        <w:tc>
          <w:tcPr>
            <w:tcW w:w="3969" w:type="dxa"/>
            <w:shd w:val="clear" w:color="auto" w:fill="auto"/>
            <w:vAlign w:val="center"/>
            <w:hideMark/>
          </w:tcPr>
          <w:p w:rsidR="00C842DD" w:rsidRPr="003D41DE" w:rsidRDefault="00C842DD" w:rsidP="00C842DD">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3D41DE">
              <w:rPr>
                <w:rFonts w:cs="Arial"/>
                <w:sz w:val="18"/>
                <w:szCs w:val="18"/>
              </w:rPr>
              <w:t xml:space="preserve">Bajo, Medio y Alto Baudó </w:t>
            </w:r>
            <w:r w:rsidRPr="003D41DE">
              <w:rPr>
                <w:rFonts w:cs="Arial"/>
                <w:bCs/>
                <w:sz w:val="18"/>
                <w:szCs w:val="18"/>
              </w:rPr>
              <w:t xml:space="preserve">(Chocó) </w:t>
            </w:r>
          </w:p>
        </w:tc>
      </w:tr>
      <w:tr w:rsidR="00C842DD" w:rsidRPr="003D41DE" w:rsidTr="003D41DE">
        <w:trPr>
          <w:trHeight w:val="396"/>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vAlign w:val="center"/>
            <w:hideMark/>
          </w:tcPr>
          <w:p w:rsidR="00C842DD" w:rsidRPr="003D41DE" w:rsidRDefault="00C842DD" w:rsidP="00C842DD">
            <w:pPr>
              <w:spacing w:before="100" w:beforeAutospacing="1" w:after="100" w:afterAutospacing="1" w:line="240" w:lineRule="auto"/>
              <w:jc w:val="both"/>
              <w:rPr>
                <w:rFonts w:cs="Arial"/>
                <w:b w:val="0"/>
                <w:sz w:val="18"/>
                <w:szCs w:val="18"/>
              </w:rPr>
            </w:pPr>
            <w:r w:rsidRPr="003D41DE">
              <w:rPr>
                <w:rFonts w:cs="Arial"/>
                <w:b w:val="0"/>
                <w:sz w:val="18"/>
                <w:szCs w:val="18"/>
              </w:rPr>
              <w:t>Situación de vida en calle</w:t>
            </w:r>
          </w:p>
        </w:tc>
        <w:tc>
          <w:tcPr>
            <w:tcW w:w="3969" w:type="dxa"/>
            <w:shd w:val="clear" w:color="auto" w:fill="auto"/>
            <w:vAlign w:val="center"/>
            <w:hideMark/>
          </w:tcPr>
          <w:p w:rsidR="00C842DD" w:rsidRPr="003D41DE" w:rsidRDefault="00C842DD" w:rsidP="00C842DD">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3D41DE">
              <w:rPr>
                <w:rFonts w:cs="Arial"/>
                <w:sz w:val="18"/>
                <w:szCs w:val="18"/>
              </w:rPr>
              <w:t xml:space="preserve">Facatativá, Madrid, Mosquera </w:t>
            </w:r>
            <w:r w:rsidRPr="003D41DE">
              <w:rPr>
                <w:rFonts w:cs="Arial"/>
                <w:bCs/>
                <w:sz w:val="18"/>
                <w:szCs w:val="18"/>
              </w:rPr>
              <w:t>(Cundinamarca)</w:t>
            </w:r>
          </w:p>
        </w:tc>
      </w:tr>
      <w:tr w:rsidR="00C842DD" w:rsidRPr="003D41DE" w:rsidTr="003D41D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vAlign w:val="center"/>
            <w:hideMark/>
          </w:tcPr>
          <w:p w:rsidR="00C842DD" w:rsidRPr="003D41DE" w:rsidRDefault="00C842DD" w:rsidP="00C842DD">
            <w:pPr>
              <w:spacing w:before="100" w:beforeAutospacing="1" w:after="100" w:afterAutospacing="1" w:line="240" w:lineRule="auto"/>
              <w:jc w:val="both"/>
              <w:rPr>
                <w:rFonts w:cs="Arial"/>
                <w:b w:val="0"/>
                <w:sz w:val="18"/>
                <w:szCs w:val="18"/>
              </w:rPr>
            </w:pPr>
            <w:r w:rsidRPr="003D41DE">
              <w:rPr>
                <w:rFonts w:cs="Arial"/>
                <w:b w:val="0"/>
                <w:sz w:val="18"/>
                <w:szCs w:val="18"/>
              </w:rPr>
              <w:t>Prevención de consumo de SPA</w:t>
            </w:r>
          </w:p>
        </w:tc>
        <w:tc>
          <w:tcPr>
            <w:tcW w:w="3969" w:type="dxa"/>
            <w:shd w:val="clear" w:color="auto" w:fill="auto"/>
            <w:noWrap/>
            <w:vAlign w:val="center"/>
            <w:hideMark/>
          </w:tcPr>
          <w:p w:rsidR="00C842DD" w:rsidRPr="003D41DE" w:rsidRDefault="00C842DD" w:rsidP="00C842DD">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3D41DE">
              <w:rPr>
                <w:rFonts w:cs="Arial"/>
                <w:sz w:val="18"/>
                <w:szCs w:val="18"/>
              </w:rPr>
              <w:t>Arauca</w:t>
            </w:r>
            <w:r w:rsidRPr="003D41DE">
              <w:rPr>
                <w:rFonts w:cs="Arial"/>
                <w:bCs/>
                <w:sz w:val="18"/>
                <w:szCs w:val="18"/>
              </w:rPr>
              <w:t>(Arauca)</w:t>
            </w:r>
            <w:r w:rsidRPr="003D41DE">
              <w:rPr>
                <w:rFonts w:cs="Arial"/>
                <w:sz w:val="18"/>
                <w:szCs w:val="18"/>
              </w:rPr>
              <w:t xml:space="preserve"> </w:t>
            </w:r>
          </w:p>
        </w:tc>
      </w:tr>
      <w:tr w:rsidR="00C842DD" w:rsidRPr="003D41DE" w:rsidTr="003D41DE">
        <w:trPr>
          <w:trHeight w:val="315"/>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vAlign w:val="center"/>
            <w:hideMark/>
          </w:tcPr>
          <w:p w:rsidR="00C842DD" w:rsidRPr="003D41DE" w:rsidRDefault="00C842DD" w:rsidP="00C842DD">
            <w:pPr>
              <w:spacing w:before="100" w:beforeAutospacing="1" w:after="100" w:afterAutospacing="1" w:line="240" w:lineRule="auto"/>
              <w:jc w:val="both"/>
              <w:rPr>
                <w:rFonts w:cs="Arial"/>
                <w:b w:val="0"/>
                <w:sz w:val="18"/>
                <w:szCs w:val="18"/>
              </w:rPr>
            </w:pPr>
            <w:r w:rsidRPr="003D41DE">
              <w:rPr>
                <w:rFonts w:cs="Arial"/>
                <w:b w:val="0"/>
                <w:sz w:val="18"/>
                <w:szCs w:val="18"/>
              </w:rPr>
              <w:t>Prevención de Trabajo Infantil</w:t>
            </w:r>
          </w:p>
        </w:tc>
        <w:tc>
          <w:tcPr>
            <w:tcW w:w="3969" w:type="dxa"/>
            <w:shd w:val="clear" w:color="auto" w:fill="auto"/>
            <w:noWrap/>
            <w:vAlign w:val="center"/>
            <w:hideMark/>
          </w:tcPr>
          <w:p w:rsidR="00C842DD" w:rsidRPr="003D41DE" w:rsidRDefault="00C842DD" w:rsidP="00C842DD">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3D41DE">
              <w:rPr>
                <w:rFonts w:cs="Arial"/>
                <w:sz w:val="18"/>
                <w:szCs w:val="18"/>
              </w:rPr>
              <w:t>Indicador trabajo infantil</w:t>
            </w:r>
          </w:p>
        </w:tc>
      </w:tr>
      <w:tr w:rsidR="00C842DD" w:rsidRPr="003D41DE" w:rsidTr="003D41D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vAlign w:val="center"/>
            <w:hideMark/>
          </w:tcPr>
          <w:p w:rsidR="00C842DD" w:rsidRPr="003D41DE" w:rsidRDefault="00C842DD" w:rsidP="00C842DD">
            <w:pPr>
              <w:spacing w:before="100" w:beforeAutospacing="1" w:after="100" w:afterAutospacing="1" w:line="240" w:lineRule="auto"/>
              <w:jc w:val="both"/>
              <w:rPr>
                <w:rFonts w:cs="Arial"/>
                <w:b w:val="0"/>
                <w:sz w:val="18"/>
                <w:szCs w:val="18"/>
              </w:rPr>
            </w:pPr>
            <w:r w:rsidRPr="003D41DE">
              <w:rPr>
                <w:rFonts w:cs="Arial"/>
                <w:b w:val="0"/>
                <w:sz w:val="18"/>
                <w:szCs w:val="18"/>
              </w:rPr>
              <w:t>Prevención de violencia sexual</w:t>
            </w:r>
          </w:p>
        </w:tc>
        <w:tc>
          <w:tcPr>
            <w:tcW w:w="3969" w:type="dxa"/>
            <w:shd w:val="clear" w:color="auto" w:fill="auto"/>
            <w:noWrap/>
            <w:vAlign w:val="center"/>
            <w:hideMark/>
          </w:tcPr>
          <w:p w:rsidR="00C842DD" w:rsidRPr="003D41DE" w:rsidRDefault="00C842DD" w:rsidP="00C842DD">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3D41DE">
              <w:rPr>
                <w:rFonts w:cs="Arial"/>
                <w:sz w:val="18"/>
                <w:szCs w:val="18"/>
              </w:rPr>
              <w:t xml:space="preserve">Simití </w:t>
            </w:r>
            <w:r w:rsidRPr="003D41DE">
              <w:rPr>
                <w:rFonts w:cs="Arial"/>
                <w:bCs/>
                <w:sz w:val="18"/>
                <w:szCs w:val="18"/>
              </w:rPr>
              <w:t xml:space="preserve">(Bolívar) </w:t>
            </w:r>
          </w:p>
        </w:tc>
      </w:tr>
      <w:tr w:rsidR="00C842DD" w:rsidRPr="003D41DE" w:rsidTr="003D41DE">
        <w:trPr>
          <w:trHeight w:val="260"/>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vAlign w:val="center"/>
            <w:hideMark/>
          </w:tcPr>
          <w:p w:rsidR="00C842DD" w:rsidRPr="003D41DE" w:rsidRDefault="00C842DD" w:rsidP="00C842DD">
            <w:pPr>
              <w:spacing w:before="100" w:beforeAutospacing="1" w:after="100" w:afterAutospacing="1" w:line="240" w:lineRule="auto"/>
              <w:jc w:val="both"/>
              <w:rPr>
                <w:rFonts w:cs="Arial"/>
                <w:b w:val="0"/>
                <w:sz w:val="18"/>
                <w:szCs w:val="18"/>
              </w:rPr>
            </w:pPr>
            <w:r w:rsidRPr="003D41DE">
              <w:rPr>
                <w:rFonts w:cs="Arial"/>
                <w:b w:val="0"/>
                <w:sz w:val="18"/>
                <w:szCs w:val="18"/>
              </w:rPr>
              <w:t>Prevención de violencias en la Escuela</w:t>
            </w:r>
          </w:p>
        </w:tc>
        <w:tc>
          <w:tcPr>
            <w:tcW w:w="3969" w:type="dxa"/>
            <w:shd w:val="clear" w:color="auto" w:fill="auto"/>
            <w:noWrap/>
            <w:vAlign w:val="center"/>
            <w:hideMark/>
          </w:tcPr>
          <w:p w:rsidR="00C842DD" w:rsidRPr="003D41DE" w:rsidRDefault="00C842DD" w:rsidP="00C842DD">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3D41DE">
              <w:rPr>
                <w:rFonts w:cs="Arial"/>
                <w:sz w:val="18"/>
                <w:szCs w:val="18"/>
              </w:rPr>
              <w:t>Popayán</w:t>
            </w:r>
            <w:r w:rsidRPr="003D41DE">
              <w:rPr>
                <w:rFonts w:cs="Arial"/>
                <w:bCs/>
                <w:sz w:val="18"/>
                <w:szCs w:val="18"/>
              </w:rPr>
              <w:t xml:space="preserve">(Cauca) </w:t>
            </w:r>
          </w:p>
        </w:tc>
      </w:tr>
      <w:tr w:rsidR="00C842DD" w:rsidRPr="003D41DE" w:rsidTr="003D41DE">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vAlign w:val="center"/>
            <w:hideMark/>
          </w:tcPr>
          <w:p w:rsidR="00C842DD" w:rsidRPr="003D41DE" w:rsidRDefault="00C842DD" w:rsidP="00C842DD">
            <w:pPr>
              <w:spacing w:before="100" w:beforeAutospacing="1" w:after="100" w:afterAutospacing="1" w:line="240" w:lineRule="auto"/>
              <w:jc w:val="both"/>
              <w:rPr>
                <w:rFonts w:cs="Arial"/>
                <w:b w:val="0"/>
                <w:sz w:val="18"/>
                <w:szCs w:val="18"/>
              </w:rPr>
            </w:pPr>
            <w:r w:rsidRPr="003D41DE">
              <w:rPr>
                <w:rFonts w:cs="Arial"/>
                <w:b w:val="0"/>
                <w:sz w:val="18"/>
                <w:szCs w:val="18"/>
              </w:rPr>
              <w:t>Enfoque diferencial discapacidad</w:t>
            </w:r>
          </w:p>
        </w:tc>
        <w:tc>
          <w:tcPr>
            <w:tcW w:w="3969" w:type="dxa"/>
            <w:shd w:val="clear" w:color="auto" w:fill="auto"/>
            <w:noWrap/>
            <w:vAlign w:val="center"/>
            <w:hideMark/>
          </w:tcPr>
          <w:p w:rsidR="00C842DD" w:rsidRPr="003D41DE" w:rsidRDefault="00C842DD" w:rsidP="00C842DD">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3D41DE">
              <w:rPr>
                <w:rFonts w:cs="Arial"/>
                <w:sz w:val="18"/>
                <w:szCs w:val="18"/>
              </w:rPr>
              <w:t>Barbosa</w:t>
            </w:r>
            <w:r w:rsidRPr="003D41DE">
              <w:rPr>
                <w:rFonts w:cs="Arial"/>
                <w:bCs/>
                <w:sz w:val="18"/>
                <w:szCs w:val="18"/>
              </w:rPr>
              <w:t xml:space="preserve"> (Antioquia) </w:t>
            </w:r>
          </w:p>
        </w:tc>
      </w:tr>
      <w:tr w:rsidR="00C842DD" w:rsidRPr="003D41DE" w:rsidTr="003D41DE">
        <w:trPr>
          <w:trHeight w:val="538"/>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vAlign w:val="center"/>
            <w:hideMark/>
          </w:tcPr>
          <w:p w:rsidR="00C842DD" w:rsidRPr="003D41DE" w:rsidRDefault="00C842DD" w:rsidP="00C842DD">
            <w:pPr>
              <w:spacing w:before="100" w:beforeAutospacing="1" w:after="100" w:afterAutospacing="1" w:line="240" w:lineRule="auto"/>
              <w:jc w:val="both"/>
              <w:rPr>
                <w:rFonts w:cs="Arial"/>
                <w:b w:val="0"/>
                <w:sz w:val="18"/>
                <w:szCs w:val="18"/>
              </w:rPr>
            </w:pPr>
            <w:r w:rsidRPr="003D41DE">
              <w:rPr>
                <w:rFonts w:cs="Arial"/>
                <w:b w:val="0"/>
                <w:sz w:val="18"/>
                <w:szCs w:val="18"/>
              </w:rPr>
              <w:t>Prevención de embarazo en la adolescencia</w:t>
            </w:r>
          </w:p>
        </w:tc>
        <w:tc>
          <w:tcPr>
            <w:tcW w:w="3969" w:type="dxa"/>
            <w:shd w:val="clear" w:color="auto" w:fill="auto"/>
            <w:vAlign w:val="center"/>
            <w:hideMark/>
          </w:tcPr>
          <w:p w:rsidR="00C842DD" w:rsidRPr="003D41DE" w:rsidRDefault="00C842DD" w:rsidP="00C842DD">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3D41DE">
              <w:rPr>
                <w:rFonts w:cs="Arial"/>
                <w:sz w:val="18"/>
                <w:szCs w:val="18"/>
              </w:rPr>
              <w:t xml:space="preserve">Copey, Pueblo Bello, Bosconia </w:t>
            </w:r>
            <w:r w:rsidRPr="003D41DE">
              <w:rPr>
                <w:rFonts w:cs="Arial"/>
                <w:bCs/>
                <w:sz w:val="18"/>
                <w:szCs w:val="18"/>
              </w:rPr>
              <w:t>(Cesar)</w:t>
            </w:r>
            <w:r w:rsidRPr="003D41DE">
              <w:rPr>
                <w:rFonts w:cs="Arial"/>
                <w:sz w:val="18"/>
                <w:szCs w:val="18"/>
              </w:rPr>
              <w:t xml:space="preserve"> </w:t>
            </w:r>
          </w:p>
        </w:tc>
      </w:tr>
    </w:tbl>
    <w:p w:rsidR="00C842DD" w:rsidRPr="007608C2" w:rsidRDefault="00C842DD" w:rsidP="006339A3">
      <w:pPr>
        <w:spacing w:after="0"/>
        <w:rPr>
          <w:rFonts w:cs="Arial"/>
          <w:b/>
        </w:rPr>
      </w:pPr>
    </w:p>
    <w:p w:rsidR="00C842DD" w:rsidRDefault="00C842DD" w:rsidP="00A44A2B">
      <w:pPr>
        <w:numPr>
          <w:ilvl w:val="0"/>
          <w:numId w:val="140"/>
        </w:numPr>
        <w:tabs>
          <w:tab w:val="num" w:pos="709"/>
        </w:tabs>
        <w:spacing w:after="0" w:line="240" w:lineRule="auto"/>
        <w:ind w:left="709" w:hanging="283"/>
        <w:jc w:val="both"/>
        <w:rPr>
          <w:rFonts w:cs="Arial"/>
        </w:rPr>
      </w:pPr>
      <w:r w:rsidRPr="003D41DE">
        <w:rPr>
          <w:rFonts w:cs="Arial"/>
        </w:rPr>
        <w:t>Se ajustó la estructura de los proyectos AMAS a partir de la definición de los componentes base de todas las acciones masivas de alto impacto social. En ese orden, desde 2017 todos los proyectos tienen tres componentes eje: formación; movilización social; divulgación pedagógica; y un componente transversal de sistematización de la experiencia.</w:t>
      </w:r>
    </w:p>
    <w:p w:rsidR="003D41DE" w:rsidRPr="003D41DE" w:rsidRDefault="003D41DE" w:rsidP="003D41DE">
      <w:pPr>
        <w:spacing w:after="0" w:line="240" w:lineRule="auto"/>
        <w:ind w:left="709"/>
        <w:jc w:val="both"/>
        <w:rPr>
          <w:rFonts w:cs="Arial"/>
        </w:rPr>
      </w:pPr>
    </w:p>
    <w:p w:rsidR="003D41DE" w:rsidRPr="003D41DE" w:rsidRDefault="00C842DD" w:rsidP="00A44A2B">
      <w:pPr>
        <w:numPr>
          <w:ilvl w:val="0"/>
          <w:numId w:val="140"/>
        </w:numPr>
        <w:tabs>
          <w:tab w:val="num" w:pos="709"/>
        </w:tabs>
        <w:spacing w:after="0" w:line="240" w:lineRule="auto"/>
        <w:ind w:left="709" w:hanging="283"/>
        <w:jc w:val="both"/>
        <w:rPr>
          <w:rFonts w:cs="Arial"/>
        </w:rPr>
      </w:pPr>
      <w:r w:rsidRPr="003D41DE">
        <w:rPr>
          <w:rFonts w:cs="Arial"/>
        </w:rPr>
        <w:t>Desde la estrategia AMAS, se logró atender alrededor de 5.000 niños, niñas y adolescentes de los 26 municipios en los que se establecieron las Zonas Veredales de Transición y Normalización con el propósito de adelantar acciones masivas de alto impacto social para prevenir el riesgo de reclutamiento, uso y utilización.</w:t>
      </w:r>
    </w:p>
    <w:p w:rsidR="003D41DE" w:rsidRPr="003D41DE" w:rsidRDefault="003D41DE" w:rsidP="003D41DE">
      <w:pPr>
        <w:spacing w:after="0" w:line="240" w:lineRule="auto"/>
        <w:jc w:val="both"/>
        <w:rPr>
          <w:rFonts w:cs="Arial"/>
        </w:rPr>
      </w:pPr>
    </w:p>
    <w:p w:rsidR="00C842DD" w:rsidRDefault="00C842DD" w:rsidP="00A44A2B">
      <w:pPr>
        <w:numPr>
          <w:ilvl w:val="0"/>
          <w:numId w:val="140"/>
        </w:numPr>
        <w:tabs>
          <w:tab w:val="num" w:pos="709"/>
        </w:tabs>
        <w:spacing w:after="0" w:line="240" w:lineRule="auto"/>
        <w:ind w:left="709" w:hanging="283"/>
        <w:jc w:val="both"/>
        <w:rPr>
          <w:rFonts w:cs="Arial"/>
        </w:rPr>
      </w:pPr>
      <w:r w:rsidRPr="003D41DE">
        <w:rPr>
          <w:rFonts w:cs="Arial"/>
        </w:rPr>
        <w:t>Se generó una importante batería de productos de divulgación pedagógica, para plataformas digitales y redes sociales, que pueden alimentar los contenidos de la plataforma BUHO del ICBF.</w:t>
      </w:r>
    </w:p>
    <w:p w:rsidR="003D41DE" w:rsidRPr="003D41DE" w:rsidRDefault="003D41DE" w:rsidP="003D41DE">
      <w:pPr>
        <w:spacing w:after="0" w:line="240" w:lineRule="auto"/>
        <w:ind w:left="709"/>
        <w:jc w:val="both"/>
        <w:rPr>
          <w:rFonts w:cs="Arial"/>
        </w:rPr>
      </w:pPr>
    </w:p>
    <w:p w:rsidR="003D41DE" w:rsidRDefault="00C842DD" w:rsidP="00A44A2B">
      <w:pPr>
        <w:numPr>
          <w:ilvl w:val="0"/>
          <w:numId w:val="140"/>
        </w:numPr>
        <w:tabs>
          <w:tab w:val="num" w:pos="709"/>
        </w:tabs>
        <w:spacing w:after="0" w:line="240" w:lineRule="auto"/>
        <w:ind w:left="709" w:hanging="283"/>
        <w:jc w:val="both"/>
        <w:rPr>
          <w:rFonts w:cs="Arial"/>
        </w:rPr>
      </w:pPr>
      <w:r w:rsidRPr="003D41DE">
        <w:rPr>
          <w:rFonts w:cs="Arial"/>
        </w:rPr>
        <w:t>Se llegó a 313 municipios con las mayores proporciones de nacimientos en niñas y adolescentes, a través de: alianzas estratégicas con entidades de reconocida idoneidad y experiencia en la promoción de derechos sexuales y reproductivos de niños, niñas y adolescentes, cualificación de agentes educativos y actividades de movilización social y por medio de enlaces de Niñez y adolescencia en las Regionales del ICBF que se encargan de acompañar y dinamizar las acciones propuestas en el marco de la estrategia.</w:t>
      </w:r>
    </w:p>
    <w:p w:rsidR="00C842DD" w:rsidRPr="003D41DE" w:rsidRDefault="00C842DD" w:rsidP="003D41DE">
      <w:pPr>
        <w:spacing w:after="0" w:line="240" w:lineRule="auto"/>
        <w:ind w:left="709"/>
        <w:jc w:val="both"/>
        <w:rPr>
          <w:rFonts w:cs="Arial"/>
        </w:rPr>
      </w:pPr>
      <w:r w:rsidRPr="003D41DE">
        <w:rPr>
          <w:rFonts w:cs="Arial"/>
        </w:rPr>
        <w:t xml:space="preserve"> </w:t>
      </w:r>
    </w:p>
    <w:p w:rsidR="00C842DD" w:rsidRDefault="00C842DD" w:rsidP="00A44A2B">
      <w:pPr>
        <w:numPr>
          <w:ilvl w:val="0"/>
          <w:numId w:val="140"/>
        </w:numPr>
        <w:tabs>
          <w:tab w:val="num" w:pos="709"/>
        </w:tabs>
        <w:spacing w:after="0" w:line="240" w:lineRule="auto"/>
        <w:ind w:left="709" w:hanging="283"/>
        <w:jc w:val="both"/>
        <w:rPr>
          <w:rFonts w:cs="Arial"/>
        </w:rPr>
      </w:pPr>
      <w:r w:rsidRPr="003D41DE">
        <w:rPr>
          <w:rFonts w:cs="Arial"/>
        </w:rPr>
        <w:lastRenderedPageBreak/>
        <w:t>A diciembre de 2017 se logró la inclusión de acciones de prevención del embarazo en la adolescencia y de promoción de derechos sexuales y reproductivos en 308 de los 353 municipios que se focalizaron en el marco de esta estrategia para el presente cuatrienio.</w:t>
      </w:r>
    </w:p>
    <w:p w:rsidR="003D41DE" w:rsidRPr="003D41DE" w:rsidRDefault="003D41DE" w:rsidP="003D41DE">
      <w:pPr>
        <w:spacing w:after="0" w:line="240" w:lineRule="auto"/>
        <w:jc w:val="both"/>
        <w:rPr>
          <w:rFonts w:cs="Arial"/>
        </w:rPr>
      </w:pPr>
    </w:p>
    <w:p w:rsidR="00C842DD" w:rsidRDefault="00C842DD" w:rsidP="00A44A2B">
      <w:pPr>
        <w:numPr>
          <w:ilvl w:val="0"/>
          <w:numId w:val="140"/>
        </w:numPr>
        <w:tabs>
          <w:tab w:val="num" w:pos="709"/>
        </w:tabs>
        <w:spacing w:after="0" w:line="240" w:lineRule="auto"/>
        <w:ind w:left="709" w:hanging="283"/>
        <w:jc w:val="both"/>
        <w:rPr>
          <w:rFonts w:cs="Arial"/>
        </w:rPr>
      </w:pPr>
      <w:r w:rsidRPr="003D41DE">
        <w:rPr>
          <w:rFonts w:cs="Arial"/>
        </w:rPr>
        <w:t xml:space="preserve">En lo corrido del cuatrienio y con corte a 31 de diciembre de 2017, se alcanzó un total de 12.546 agentes educativos, institucionales y comunitarios, formados en derechos sexuales y reproductivos y prevención del embarazo en la adolescencia, en </w:t>
      </w:r>
      <w:r w:rsidR="003D41DE">
        <w:rPr>
          <w:rFonts w:cs="Arial"/>
        </w:rPr>
        <w:t>todas las regionales del ICBF.</w:t>
      </w:r>
    </w:p>
    <w:p w:rsidR="003D41DE" w:rsidRPr="003D41DE" w:rsidRDefault="003D41DE" w:rsidP="003D41DE">
      <w:pPr>
        <w:spacing w:after="0" w:line="240" w:lineRule="auto"/>
        <w:ind w:left="709"/>
        <w:jc w:val="both"/>
        <w:rPr>
          <w:rFonts w:cs="Arial"/>
        </w:rPr>
      </w:pP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 xml:space="preserve">Se celebró el convenio marco interadministrativo 1643 de 2017 entre el Instituto Colombiano de Bienestar Familiar ICBF y el Ministerio de Educación Nacional MEN en donde la Estrategia aporta a las diferentes líneas de acción del convenio. </w:t>
      </w:r>
    </w:p>
    <w:p w:rsidR="00376C7E" w:rsidRPr="007608C2" w:rsidRDefault="00376C7E" w:rsidP="00376C7E">
      <w:pPr>
        <w:spacing w:after="0" w:line="240" w:lineRule="auto"/>
        <w:jc w:val="both"/>
        <w:rPr>
          <w:rFonts w:cs="Arial"/>
        </w:rPr>
      </w:pP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Desde la Estrategia Construyendo Juntos Entornos Protectores, se logró ampliar la cobertura de participantes en más del 100% respecto al 2016, y se amplió la focalización de los municipios donde se implementa la Estrategia cubriendo en su totalidad las 33 Regionales del ICBF.</w:t>
      </w:r>
    </w:p>
    <w:p w:rsidR="003D41DE" w:rsidRPr="007608C2" w:rsidRDefault="003D41DE" w:rsidP="003D41DE">
      <w:pPr>
        <w:spacing w:after="0" w:line="240" w:lineRule="auto"/>
        <w:ind w:left="709"/>
        <w:jc w:val="both"/>
        <w:rPr>
          <w:rFonts w:cs="Arial"/>
        </w:rPr>
      </w:pP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Articulación permanente de acciones interinstitucionales para prevenir la Explotación Sexual Comercial de niños, niñas y adolescentes.  Con el Ministerio de Industria, Comercio y turismo se desarrolló la Estrategia Nacional de Prevención de ESCNNA en el contexto de viajes y turismo dirigido a prest</w:t>
      </w:r>
      <w:r w:rsidR="003D41DE">
        <w:rPr>
          <w:rFonts w:cs="Arial"/>
        </w:rPr>
        <w:t>adores de servicios turísticos.</w:t>
      </w:r>
    </w:p>
    <w:p w:rsidR="003D41DE" w:rsidRPr="007608C2" w:rsidRDefault="003D41DE" w:rsidP="003D41DE">
      <w:pPr>
        <w:spacing w:after="0" w:line="240" w:lineRule="auto"/>
        <w:jc w:val="both"/>
        <w:rPr>
          <w:rFonts w:cs="Arial"/>
        </w:rPr>
      </w:pP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Implementación del Proyecto de Cooperación SUR – SUR/TRIANGULAR con la Agencia Uruguaya de Cooperación Internacional “Fortalecimiento institucional para la construcción de políticas de abordaje de la Explotación Sexual Comercial” entre Colombia y Uruguay.</w:t>
      </w:r>
    </w:p>
    <w:p w:rsidR="003D41DE" w:rsidRPr="007608C2" w:rsidRDefault="003D41DE" w:rsidP="003D41DE">
      <w:pPr>
        <w:spacing w:after="0" w:line="240" w:lineRule="auto"/>
        <w:jc w:val="both"/>
        <w:rPr>
          <w:rFonts w:cs="Arial"/>
        </w:rPr>
      </w:pP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 xml:space="preserve">En el marco del Programa Interamericano de Capacitación (PIC) del Instituto Interamericano del Niño, la Niña y Adolescentes (IIN) de la Organización de Estados Americanos (OEA) se coordinó en articulación con el Ministerio de Relaciones Exteriores, el Curso </w:t>
      </w:r>
      <w:r w:rsidR="003D41DE">
        <w:rPr>
          <w:rFonts w:cs="Arial"/>
        </w:rPr>
        <w:t>semi-presencial sobre ESCNNA (e</w:t>
      </w:r>
      <w:r w:rsidRPr="007608C2">
        <w:rPr>
          <w:rFonts w:cs="Arial"/>
        </w:rPr>
        <w:t xml:space="preserve">ste curso tiene el objetivo general de colaborar con los Estados Miembros de la OEA en la formación de recursos humanos para la prevención y combate de la ESCNNA y la restitución de derechos de las personas afectadas. </w:t>
      </w:r>
      <w:r w:rsidR="00F70A70" w:rsidRPr="007608C2">
        <w:rPr>
          <w:rFonts w:cs="Arial"/>
        </w:rPr>
        <w:t>Por parte de Colombia, se logró</w:t>
      </w:r>
      <w:r w:rsidRPr="007608C2">
        <w:rPr>
          <w:rFonts w:cs="Arial"/>
        </w:rPr>
        <w:t xml:space="preserve"> la participación de 32 servidores públicos pertenecientes a las entidades que conforman el Comité Nacional Interinstitucional para la prevención y erradicación de la explotación sexual comercial </w:t>
      </w:r>
      <w:r w:rsidR="003D41DE">
        <w:rPr>
          <w:rFonts w:cs="Arial"/>
        </w:rPr>
        <w:t>de niños, niñas y adolescentes).</w:t>
      </w:r>
    </w:p>
    <w:p w:rsidR="003D41DE" w:rsidRPr="007608C2" w:rsidRDefault="003D41DE" w:rsidP="003D41DE">
      <w:pPr>
        <w:spacing w:after="0" w:line="240" w:lineRule="auto"/>
        <w:ind w:left="709"/>
        <w:jc w:val="both"/>
        <w:rPr>
          <w:rFonts w:cs="Arial"/>
        </w:rPr>
      </w:pP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El Instituto Colombiano de Bienestar Familiar -ICBF- en calidad de secretaría técnica del Comité Nacional Interinstitucional para la Ejecución de la Política Pública de prevención y erradicación de la ESCNNA, construyó el documento preliminar de Línea de Política Pública Nacional de Prevención y erradicación de la ESCNNA, con la validación de las Instituciones que conforman dicho comité, y bajo el liderazgo del Ministerio del Trabajo, que es la entidad que lo Preside.</w:t>
      </w:r>
    </w:p>
    <w:p w:rsidR="003D41DE" w:rsidRPr="007608C2" w:rsidRDefault="003D41DE" w:rsidP="003D41DE">
      <w:pPr>
        <w:spacing w:after="0" w:line="240" w:lineRule="auto"/>
        <w:ind w:left="709"/>
        <w:jc w:val="both"/>
        <w:rPr>
          <w:rFonts w:cs="Arial"/>
        </w:rPr>
      </w:pP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lastRenderedPageBreak/>
        <w:t>Conformación de la mesa técnica Nacional y construcción de la propuesta de articulación denominada “Enrutémonos en la prevención de las violencias y promoción de los derechos de Niños, Niñas, Adolescentes y familias", con Fiscalía e ICBF. 2016-2017.</w:t>
      </w:r>
    </w:p>
    <w:p w:rsidR="003D41DE" w:rsidRPr="007608C2" w:rsidRDefault="003D41DE" w:rsidP="003D41DE">
      <w:pPr>
        <w:spacing w:after="0" w:line="240" w:lineRule="auto"/>
        <w:jc w:val="both"/>
        <w:rPr>
          <w:rFonts w:cs="Arial"/>
        </w:rPr>
      </w:pP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A nivel de incidencia y articulación interinstitucional durante el año 2017 el ICBF de manera articulada con el Ministerio de Justicia y el Derecho y la Policía Nacional conformó la Mesa Nacional para la Atención de Adolescentes en alto grado de emergencia social y vinculados a dinámicas de pandillas, construyendo el concepto de pandillas, sus características generales, identificación de factores de riesgo y consolidando la cadena de valor para las orientaciones de política pública de atención a esta población. En esta mesa se contó con la participación de entidades como IDIPRON, Ministerio de Trabajo, Ministerio de Educación, Defensoría del P</w:t>
      </w:r>
      <w:r w:rsidR="003D41DE">
        <w:rPr>
          <w:rFonts w:cs="Arial"/>
        </w:rPr>
        <w:t>ueblo, Procuraduría y Fiscalía.</w:t>
      </w:r>
    </w:p>
    <w:p w:rsidR="003D41DE" w:rsidRPr="007608C2" w:rsidRDefault="003D41DE" w:rsidP="003D41DE">
      <w:pPr>
        <w:spacing w:after="0" w:line="240" w:lineRule="auto"/>
        <w:jc w:val="both"/>
        <w:rPr>
          <w:rFonts w:cs="Arial"/>
        </w:rPr>
      </w:pPr>
    </w:p>
    <w:p w:rsidR="003D41DE" w:rsidRDefault="00C842DD" w:rsidP="00A44A2B">
      <w:pPr>
        <w:numPr>
          <w:ilvl w:val="0"/>
          <w:numId w:val="140"/>
        </w:numPr>
        <w:tabs>
          <w:tab w:val="num" w:pos="709"/>
        </w:tabs>
        <w:spacing w:after="0" w:line="240" w:lineRule="auto"/>
        <w:ind w:left="709" w:hanging="283"/>
        <w:jc w:val="both"/>
        <w:rPr>
          <w:rFonts w:cs="Arial"/>
        </w:rPr>
      </w:pPr>
      <w:r w:rsidRPr="007608C2">
        <w:rPr>
          <w:rFonts w:cs="Arial"/>
        </w:rPr>
        <w:t>Se consolidó la participación en el comité técnico del Sistema Nacional de Coordinación del Sistema de Responsabilidad Penal para Adolescentes, en el cual se toman las decisiones técnicas en temas de prevención de la vinculación de adolescentes en acciones contrarias a la ley y la atención para aquellos que ya ingresaron al SRPA. Ésta participación, permitirá que durante el año 2018 los enlaces de Niñez y Adolescencia del ICBF participen a su vez de los subcomités departamentales de Prevención del delito, alineando las acciones y fortaleciendo la articulación interinstitucional en el territorio.</w:t>
      </w:r>
    </w:p>
    <w:p w:rsidR="00C842DD" w:rsidRPr="007608C2" w:rsidRDefault="00C842DD" w:rsidP="003D41DE">
      <w:pPr>
        <w:spacing w:after="0" w:line="240" w:lineRule="auto"/>
        <w:jc w:val="both"/>
        <w:rPr>
          <w:rFonts w:cs="Arial"/>
        </w:rPr>
      </w:pPr>
      <w:r w:rsidRPr="007608C2">
        <w:rPr>
          <w:rFonts w:cs="Arial"/>
        </w:rPr>
        <w:t xml:space="preserve"> </w:t>
      </w: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Desde el año 2016 y durante 2017 la Dirección de Niñez y Adolescencia del ICBF aportó de manera activa en la construcción del CONPES de prevención del delito, cuya formulación se encuentra en cabeza del D</w:t>
      </w:r>
      <w:r w:rsidR="003D41DE">
        <w:rPr>
          <w:rFonts w:cs="Arial"/>
        </w:rPr>
        <w:t>NP y el Ministerio de Justicia.</w:t>
      </w:r>
    </w:p>
    <w:p w:rsidR="003D41DE" w:rsidRPr="007608C2" w:rsidRDefault="003D41DE" w:rsidP="003D41DE">
      <w:pPr>
        <w:spacing w:after="0" w:line="240" w:lineRule="auto"/>
        <w:jc w:val="both"/>
        <w:rPr>
          <w:rFonts w:cs="Arial"/>
        </w:rPr>
      </w:pP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En la vigencia 2017 se implementaron experiencias piloto en el Atlántico atendiendo a 200 adolescentes de pandillas y 400 adolescentes en contexto de riesgo para la vinculación al delito, así mismo la experiencia se replicó  en el departamento de Bolívar con la atención de 600 adolescentes organizados en pandillas de los sectores de Boston, Nelson Mandela, San Francisco, Pablo Sexto y Loma Fresca en Cartagena, así mismo en los departamentos de Chocó con 200 adolescentes atendidos y Bogotá con la atención de 150 adolescentes privados de la libertad en el Centro de Atención Especializado El Redentor, este último con el fin de prevenir la reiteración en el delito. Partiendo del deporte como vocación, y con el objetivo de promover nuevas formas de organización en torno a habilidades e intereses de los adolescentes, se mitigan los factores de riesgo presentes en los contextos y se fortalecen entornos y factores protectores que prevengan la vinculación a acciones contrarias a la ley.</w:t>
      </w:r>
    </w:p>
    <w:p w:rsidR="006339A3" w:rsidRPr="007608C2" w:rsidRDefault="006339A3" w:rsidP="006339A3">
      <w:pPr>
        <w:spacing w:after="0" w:line="240" w:lineRule="auto"/>
        <w:jc w:val="both"/>
        <w:rPr>
          <w:rFonts w:cs="Arial"/>
        </w:rPr>
      </w:pP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En el departamento del Atlántico se firmaron dos acuerdos de convivencia y no violencia entre más de 800 adolescentes pertenecientes y en contexto de pandillas, acuerdos que han permitido la disminución de episodios de violencia por enfrentamientos entre los adolescentes. Así mismo, los adolescentes han accedido a ofertas institucionales de prevención del embarazo, tratamientos para el abordaje del consumo problemático de SPA, atención psicosocial y vinculación a oferta educativa en los ciclos se primaria, secundaria y técnica vocacional.</w:t>
      </w:r>
    </w:p>
    <w:p w:rsidR="003D41DE" w:rsidRPr="007608C2" w:rsidRDefault="003D41DE" w:rsidP="003D41DE">
      <w:pPr>
        <w:spacing w:after="0" w:line="240" w:lineRule="auto"/>
        <w:ind w:left="709"/>
        <w:jc w:val="both"/>
        <w:rPr>
          <w:rFonts w:cs="Arial"/>
        </w:rPr>
      </w:pP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lastRenderedPageBreak/>
        <w:t>En el departamento de Bolívar se lograron romper cuatro líneas imaginarias que impedían la movilización de los adolescentes entre territorios, la cual les impedía asistir a la escuela, hospitales o asistencia social en sus zonas de vivienda. Esto permitió el retorno de los adolescentes al sistema educativo en el nivel de bachillerato y a su vez la vinculación la vinculación a ofertas técnico laborales del SENA o la UNAD. A nivel comunitario se fortalecieron los entornos, de tal manera que estos adolescentes pertenecientes a pandillas ahora interactúan de manera propositiva en su comunidad, bajando el índice de violencia en sus barrios, disminuyendo su participación en riñas o actos delincuenciales.</w:t>
      </w:r>
    </w:p>
    <w:p w:rsidR="003D41DE" w:rsidRPr="007608C2" w:rsidRDefault="003D41DE" w:rsidP="003D41DE">
      <w:pPr>
        <w:spacing w:after="0" w:line="240" w:lineRule="auto"/>
        <w:jc w:val="both"/>
        <w:rPr>
          <w:rFonts w:cs="Arial"/>
        </w:rPr>
      </w:pP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 xml:space="preserve">Para el caso de Bogotá al interior del CAE Redentor, los adolescentes participantes en la experiencia avanzaron en la exploración de sus habilidades vocacionales y encontrando una posibilidad en su proyecto de vida luego </w:t>
      </w:r>
      <w:r w:rsidR="003D41DE">
        <w:rPr>
          <w:rFonts w:cs="Arial"/>
        </w:rPr>
        <w:t>de la privación de la libertad.</w:t>
      </w:r>
    </w:p>
    <w:p w:rsidR="003D41DE" w:rsidRPr="007608C2" w:rsidRDefault="003D41DE" w:rsidP="003D41DE">
      <w:pPr>
        <w:spacing w:after="0" w:line="240" w:lineRule="auto"/>
        <w:jc w:val="both"/>
        <w:rPr>
          <w:rFonts w:cs="Arial"/>
        </w:rPr>
      </w:pP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En el 2017 se beneficiaron 11.655 niños, niñas y adolescentes participantes del programa Generaciones con Bienestar en sus diferentes modalidades con acciones desarrolladas en 76 municipios en alto riesgo de trabajo infantil de 15 departamentos, esto a través de 543 ejercicios de prevención y erradicación progresiva del trabajo infantil y protección al adolescente trabajador dirigidos a niños, niñas, adolescentes y sus familias.</w:t>
      </w:r>
    </w:p>
    <w:p w:rsidR="003D41DE" w:rsidRPr="007608C2" w:rsidRDefault="003D41DE" w:rsidP="003D41DE">
      <w:pPr>
        <w:spacing w:after="0" w:line="240" w:lineRule="auto"/>
        <w:jc w:val="both"/>
        <w:rPr>
          <w:rFonts w:cs="Arial"/>
        </w:rPr>
      </w:pP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Aprobación por parte del CIETI Nacional, del proceso de formulación de la línea de Política Pública de Prevención y erradicación del trabajo infantil y protección al adolescente trabajador, encontrándose hoy en proceso para su validación y oficialización en el Conse</w:t>
      </w:r>
      <w:r w:rsidR="003D41DE">
        <w:rPr>
          <w:rFonts w:cs="Arial"/>
        </w:rPr>
        <w:t>jo Nacional de Política Social.</w:t>
      </w:r>
    </w:p>
    <w:p w:rsidR="003D41DE" w:rsidRPr="007608C2" w:rsidRDefault="003D41DE" w:rsidP="003D41DE">
      <w:pPr>
        <w:spacing w:after="0" w:line="240" w:lineRule="auto"/>
        <w:jc w:val="both"/>
        <w:rPr>
          <w:rFonts w:cs="Arial"/>
        </w:rPr>
      </w:pP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Desarrollo del proyecto denominado “Fortalecimiento de los procesos que se adelantan con los niños, niñas y adolescentes trabajadores en la frontera (Ama</w:t>
      </w:r>
      <w:r w:rsidR="00F70A70" w:rsidRPr="007608C2">
        <w:rPr>
          <w:rFonts w:cs="Arial"/>
        </w:rPr>
        <w:t>zonas y Putumayo</w:t>
      </w:r>
      <w:r w:rsidR="003D41DE" w:rsidRPr="007608C2">
        <w:rPr>
          <w:rFonts w:cs="Arial"/>
        </w:rPr>
        <w:t>)</w:t>
      </w:r>
      <w:r w:rsidR="003D41DE">
        <w:rPr>
          <w:rFonts w:cs="Arial"/>
        </w:rPr>
        <w:t>” aprobado</w:t>
      </w:r>
      <w:r w:rsidR="00F70A70" w:rsidRPr="007608C2">
        <w:rPr>
          <w:rFonts w:cs="Arial"/>
        </w:rPr>
        <w:t xml:space="preserve"> en </w:t>
      </w:r>
      <w:r w:rsidR="00F70A70" w:rsidRPr="003D41DE">
        <w:rPr>
          <w:rFonts w:cs="Arial"/>
        </w:rPr>
        <w:t>el</w:t>
      </w:r>
      <w:r w:rsidRPr="007608C2">
        <w:rPr>
          <w:rFonts w:cs="Arial"/>
        </w:rPr>
        <w:t xml:space="preserve"> marco del programa de Cooperación Bilateral 2016 -. 2017, bajo la VII Reunión de la Comisión Mixta de Cooperación Técnica</w:t>
      </w:r>
      <w:r w:rsidR="003D41DE">
        <w:rPr>
          <w:rFonts w:cs="Arial"/>
        </w:rPr>
        <w:t xml:space="preserve"> y Científica Colombia – Perú.</w:t>
      </w:r>
    </w:p>
    <w:p w:rsidR="003D41DE" w:rsidRPr="007608C2" w:rsidRDefault="003D41DE" w:rsidP="003D41DE">
      <w:pPr>
        <w:spacing w:after="0" w:line="240" w:lineRule="auto"/>
        <w:jc w:val="both"/>
        <w:rPr>
          <w:rFonts w:cs="Arial"/>
        </w:rPr>
      </w:pP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Elaboración de las orientaciones generales para la protección integral de los niños, Niñas y Adolescentes en Riesgo o en Situación de Vida en Calle y Alta Permanencia en Calle y el Fortalecimiento Familiar en el marco de la ley 1641 de 2013 del Ministeri</w:t>
      </w:r>
      <w:r w:rsidR="003D41DE">
        <w:rPr>
          <w:rFonts w:cs="Arial"/>
        </w:rPr>
        <w:t>o de Salud y Protección Social.</w:t>
      </w:r>
    </w:p>
    <w:p w:rsidR="003D41DE" w:rsidRPr="007608C2" w:rsidRDefault="003D41DE" w:rsidP="003D41DE">
      <w:pPr>
        <w:spacing w:after="0" w:line="240" w:lineRule="auto"/>
        <w:jc w:val="both"/>
        <w:rPr>
          <w:rFonts w:cs="Arial"/>
        </w:rPr>
      </w:pP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Expedición de la Resolución 1264 de 2017 por la cual se adopta el Modelo de Enfoque Diferencial de Derechos del Instituto Co</w:t>
      </w:r>
      <w:r w:rsidR="00503BB4">
        <w:rPr>
          <w:rFonts w:cs="Arial"/>
        </w:rPr>
        <w:t>lombiano de Bienestar Familiar.</w:t>
      </w:r>
    </w:p>
    <w:p w:rsidR="00503BB4" w:rsidRPr="007608C2" w:rsidRDefault="00503BB4" w:rsidP="00503BB4">
      <w:pPr>
        <w:spacing w:after="0" w:line="240" w:lineRule="auto"/>
        <w:jc w:val="both"/>
        <w:rPr>
          <w:rFonts w:cs="Arial"/>
        </w:rPr>
      </w:pP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Formulación, publicación y socialización de la “G1.MD1.DE Guía para el Registro de Variables de Discapacidad en los Sistemas de Información del ICBF v1, con el fin de brindar apoyo el diligenciamiento de las var</w:t>
      </w:r>
      <w:r w:rsidR="003D41DE">
        <w:rPr>
          <w:rFonts w:cs="Arial"/>
        </w:rPr>
        <w:t>iables en el SIM y él Cuéntame.</w:t>
      </w:r>
    </w:p>
    <w:p w:rsidR="003D41DE" w:rsidRPr="007608C2" w:rsidRDefault="003D41DE" w:rsidP="003D41DE">
      <w:pPr>
        <w:spacing w:after="0" w:line="240" w:lineRule="auto"/>
        <w:ind w:left="709"/>
        <w:jc w:val="both"/>
        <w:rPr>
          <w:rFonts w:cs="Arial"/>
        </w:rPr>
      </w:pP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 xml:space="preserve">Realización del “Encuentro Internacional de Planeación y Presupuestos Participativos con niños, niñas y adolescentes celebrado en la ciudad de Pereira – Risaralda, con el apoyo de la Gobernación de Risaralda y la Universidad Tecnológica de Pereira.  logro fundamental siendo la primera vez que en el país se realiza un evento internacional en el tema, permitiendo apuntar a los principios de transparencia y buen Gobierno que </w:t>
      </w:r>
      <w:r w:rsidRPr="007608C2">
        <w:rPr>
          <w:rFonts w:cs="Arial"/>
        </w:rPr>
        <w:lastRenderedPageBreak/>
        <w:t>promueven el control social, el acceso a la información, la participación ciudadana en todo el ciclo de la gestión pública, el diálogo de saberes y la rendición pública de cuentas.</w:t>
      </w:r>
    </w:p>
    <w:p w:rsidR="003D41DE" w:rsidRPr="007608C2" w:rsidRDefault="003D41DE" w:rsidP="003D41DE">
      <w:pPr>
        <w:spacing w:after="0" w:line="240" w:lineRule="auto"/>
        <w:jc w:val="both"/>
        <w:rPr>
          <w:rFonts w:cs="Arial"/>
        </w:rPr>
      </w:pP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Celebración del Convenio Interadministrativo No 66-08-2017-179 suscrito entre El Instituto Colombiano de Bienestar Familiar – Regional Risaralda, El Departamento de Risaralda y La Universidad Tecnológica de Pereira, primer convenio que suscribe el ICBF y un Departamento, para fortalecer la movilización social de 5.010 niños, niñas y adolescentes en participación con énfasi</w:t>
      </w:r>
      <w:r w:rsidR="003D41DE">
        <w:rPr>
          <w:rFonts w:cs="Arial"/>
        </w:rPr>
        <w:t>s en presupuesto participativo.</w:t>
      </w:r>
    </w:p>
    <w:p w:rsidR="003D41DE" w:rsidRPr="007608C2" w:rsidRDefault="003D41DE" w:rsidP="003D41DE">
      <w:pPr>
        <w:spacing w:after="0" w:line="240" w:lineRule="auto"/>
        <w:jc w:val="both"/>
        <w:rPr>
          <w:rFonts w:cs="Arial"/>
        </w:rPr>
      </w:pPr>
    </w:p>
    <w:p w:rsidR="00C842DD" w:rsidRPr="007608C2" w:rsidRDefault="00C842DD" w:rsidP="00A44A2B">
      <w:pPr>
        <w:numPr>
          <w:ilvl w:val="0"/>
          <w:numId w:val="140"/>
        </w:numPr>
        <w:tabs>
          <w:tab w:val="num" w:pos="709"/>
        </w:tabs>
        <w:spacing w:after="0" w:line="240" w:lineRule="auto"/>
        <w:ind w:left="709" w:hanging="283"/>
        <w:jc w:val="both"/>
        <w:rPr>
          <w:rFonts w:cs="Arial"/>
        </w:rPr>
      </w:pPr>
      <w:r w:rsidRPr="007608C2">
        <w:rPr>
          <w:rFonts w:cs="Arial"/>
        </w:rPr>
        <w:t xml:space="preserve">Formalización del Consejo Asesor y Consultivo Nacional de Niños, Niñas y Adolescentes del ICBF mediante Resolución No. 1260 del 2 de marzo de 2017. </w:t>
      </w:r>
    </w:p>
    <w:p w:rsidR="00C842DD" w:rsidRPr="007608C2" w:rsidRDefault="00C842DD" w:rsidP="00C842DD">
      <w:pPr>
        <w:rPr>
          <w:rFonts w:cs="Arial"/>
        </w:rPr>
      </w:pPr>
    </w:p>
    <w:p w:rsidR="00C842DD" w:rsidRDefault="00C842DD" w:rsidP="00A44A2B">
      <w:pPr>
        <w:pStyle w:val="Ttulo2"/>
        <w:numPr>
          <w:ilvl w:val="2"/>
          <w:numId w:val="48"/>
        </w:numPr>
        <w:rPr>
          <w:rFonts w:cs="Arial"/>
          <w:b/>
        </w:rPr>
      </w:pPr>
      <w:bookmarkStart w:id="53" w:name="_Toc505183046"/>
      <w:r w:rsidRPr="007608C2">
        <w:rPr>
          <w:rFonts w:cs="Arial"/>
          <w:b/>
        </w:rPr>
        <w:t>RETOS 2018</w:t>
      </w:r>
      <w:bookmarkEnd w:id="53"/>
    </w:p>
    <w:p w:rsidR="00A60C5C" w:rsidRPr="00A60C5C" w:rsidRDefault="00A60C5C" w:rsidP="00A60C5C">
      <w:pPr>
        <w:spacing w:after="0"/>
      </w:pP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Avanzar en la implementación de Política Pública para la Infancia y la Adolescencia: No solo como una respuesta al mandato legal contemplado en la Ley 1098 del 2006, sino una respuesta que entiende la importancia que tienen los niños, niñas y adolescentes para el futuro del país, y el rol fundamental del Estado como garante de sus derechos para lograr su pleno y armonioso desarrollo, de modo que crezcan con sus familias y la comunidad en un ambiente de paz, amor y comprensión.</w:t>
      </w:r>
    </w:p>
    <w:p w:rsidR="00A60C5C" w:rsidRPr="007608C2" w:rsidRDefault="00A60C5C" w:rsidP="00A60C5C">
      <w:pPr>
        <w:spacing w:after="0" w:line="240" w:lineRule="auto"/>
        <w:ind w:left="709"/>
        <w:jc w:val="both"/>
        <w:rPr>
          <w:rFonts w:cs="Arial"/>
        </w:rPr>
      </w:pPr>
    </w:p>
    <w:p w:rsidR="00A60C5C" w:rsidRDefault="00C842DD" w:rsidP="00A44A2B">
      <w:pPr>
        <w:numPr>
          <w:ilvl w:val="0"/>
          <w:numId w:val="140"/>
        </w:numPr>
        <w:tabs>
          <w:tab w:val="num" w:pos="709"/>
        </w:tabs>
        <w:spacing w:after="0" w:line="240" w:lineRule="auto"/>
        <w:ind w:left="709" w:hanging="283"/>
        <w:jc w:val="both"/>
        <w:rPr>
          <w:rFonts w:cs="Arial"/>
        </w:rPr>
      </w:pPr>
      <w:r w:rsidRPr="007608C2">
        <w:rPr>
          <w:rFonts w:cs="Arial"/>
        </w:rPr>
        <w:t>Implementación de la Ruta Integral de Atenciones: La operación y gestión de la de Política Pública para la Infancia y la Adolescencia constituye un reto de carácter intersectorial tanto a nivel nacional como a nivel territorial, que exige articulación y conexiones entre sistemas niveles y sectores en el diseño e implementación de la Ruta Integral de Atenciones que le den cabida al reconocimiento de los sujetos, a las prioridades locales, a lograr la coherencia y consistencia de las acciones y a la búsqueda del logro del objetivo, como una experiencia permanente de gobernabilidad.</w:t>
      </w:r>
    </w:p>
    <w:p w:rsidR="00C842DD" w:rsidRPr="007608C2" w:rsidRDefault="00C842DD" w:rsidP="00A60C5C">
      <w:pPr>
        <w:spacing w:after="0" w:line="240" w:lineRule="auto"/>
        <w:jc w:val="both"/>
        <w:rPr>
          <w:rFonts w:cs="Arial"/>
        </w:rPr>
      </w:pPr>
      <w:r w:rsidRPr="007608C2">
        <w:rPr>
          <w:rFonts w:cs="Arial"/>
        </w:rPr>
        <w:t xml:space="preserve">   </w:t>
      </w: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Recursos para la atención de la NNA: Se requiere garantizar los recursos necesarios para la atención de los NNA en el segundo semestre (30</w:t>
      </w:r>
      <w:r w:rsidR="00A60C5C">
        <w:rPr>
          <w:rFonts w:cs="Arial"/>
        </w:rPr>
        <w:t>.000 millones aproximadamente).</w:t>
      </w:r>
    </w:p>
    <w:p w:rsidR="00A60C5C" w:rsidRPr="007608C2" w:rsidRDefault="00A60C5C" w:rsidP="00A60C5C">
      <w:pPr>
        <w:spacing w:after="0" w:line="240" w:lineRule="auto"/>
        <w:jc w:val="both"/>
        <w:rPr>
          <w:rFonts w:cs="Arial"/>
        </w:rPr>
      </w:pP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Documentos técnicos de Prevención: Para la Dirección de Niñez y Adolescencia es fundamental contar con un documento técnico de prevención, y los documentos técnicos de cada temática, que articulados a la Política para la Infancia y la Adolescencia oriente los lineamientos y manuales operativos para el programa, estrategias y acciones que lidera esta Dirección, así como la línea de asistencia técnica a los entes territoriales para el  desarrollo de  acciones que promuevan la  protección integral de  la  Infancia  y  la  Adolescencia.</w:t>
      </w:r>
    </w:p>
    <w:p w:rsidR="00A60C5C" w:rsidRPr="007608C2" w:rsidRDefault="00A60C5C" w:rsidP="00A60C5C">
      <w:pPr>
        <w:spacing w:after="0" w:line="240" w:lineRule="auto"/>
        <w:jc w:val="both"/>
        <w:rPr>
          <w:rFonts w:cs="Arial"/>
        </w:rPr>
      </w:pP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 xml:space="preserve">Prevención del Embarazo en la Adolescencia: La Estrategia de Prevención del Embarazo en la Adolescencia cuenta con indicadores incluidos en el Sistema de Seguimiento a Metas de Gobierno SINERGIA, es decir, indicadores estratégicos del Plan Nacional de Desarrollo (y del tablero de control del presidente). Entre estos, el más importante es: Municipios con la estrategia de prevención de embarazo en la adolescencia implementada </w:t>
      </w:r>
      <w:r w:rsidRPr="007608C2">
        <w:rPr>
          <w:rFonts w:cs="Arial"/>
        </w:rPr>
        <w:lastRenderedPageBreak/>
        <w:t>(ICBF), la meta cuatrienio de este indicador es 353, la vigencia 2017 cerró con 313 municipios con la estrategia implementada, es relevante para el ICBF (y para el Gobierno) lograr atender en la presente vigencia a por lo menos 40 nuevos municipios para logr</w:t>
      </w:r>
      <w:r w:rsidR="00A60C5C">
        <w:rPr>
          <w:rFonts w:cs="Arial"/>
        </w:rPr>
        <w:t>ar cumplir con la meta del PND.</w:t>
      </w:r>
    </w:p>
    <w:p w:rsidR="00A60C5C" w:rsidRPr="007608C2" w:rsidRDefault="00A60C5C" w:rsidP="00A60C5C">
      <w:pPr>
        <w:spacing w:after="0" w:line="240" w:lineRule="auto"/>
        <w:jc w:val="both"/>
        <w:rPr>
          <w:rFonts w:cs="Arial"/>
        </w:rPr>
      </w:pP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Trabajo infantil: Fortalecer las acciones orientadas a la prevención de trabajo infantil y el indicador relacionado con la inclusión de acciones de prevención específica en los territorios. Diseñar, validar e implementar la hoja de vida de dicho indicador.</w:t>
      </w:r>
    </w:p>
    <w:p w:rsidR="00A60C5C" w:rsidRPr="007608C2" w:rsidRDefault="00A60C5C" w:rsidP="00A60C5C">
      <w:pPr>
        <w:spacing w:after="0" w:line="240" w:lineRule="auto"/>
        <w:jc w:val="both"/>
        <w:rPr>
          <w:rFonts w:cs="Arial"/>
        </w:rPr>
      </w:pP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Gestión del conocimiento para la acción: Un gran reto para la Dirección de Niñez y Adolescencia es consolidar la información de la operación en territorio, a través de un documento de sistematización de las experiencias tanto del programa GCB como de las estrategias (PEA, Entornos, AMAS), de manera que se puedan visibilizar los resultados de las intervenciones en términos de aprendizajes, transformaciones logradas, tensiones/conflictos y retos en p</w:t>
      </w:r>
      <w:r w:rsidR="00A60C5C">
        <w:rPr>
          <w:rFonts w:cs="Arial"/>
        </w:rPr>
        <w:t>rospectiva.</w:t>
      </w:r>
    </w:p>
    <w:p w:rsidR="00A60C5C" w:rsidRPr="007608C2" w:rsidRDefault="00A60C5C" w:rsidP="00A60C5C">
      <w:pPr>
        <w:spacing w:after="0" w:line="240" w:lineRule="auto"/>
        <w:jc w:val="both"/>
        <w:rPr>
          <w:rFonts w:cs="Arial"/>
        </w:rPr>
      </w:pPr>
    </w:p>
    <w:p w:rsidR="00C842DD" w:rsidRDefault="00C842DD" w:rsidP="00A44A2B">
      <w:pPr>
        <w:numPr>
          <w:ilvl w:val="0"/>
          <w:numId w:val="140"/>
        </w:numPr>
        <w:tabs>
          <w:tab w:val="num" w:pos="709"/>
        </w:tabs>
        <w:spacing w:after="0" w:line="240" w:lineRule="auto"/>
        <w:ind w:left="709" w:hanging="283"/>
        <w:jc w:val="both"/>
        <w:rPr>
          <w:rFonts w:cs="Arial"/>
        </w:rPr>
      </w:pPr>
      <w:r w:rsidRPr="007608C2">
        <w:rPr>
          <w:rFonts w:cs="Arial"/>
        </w:rPr>
        <w:t>Articulación intersectorial en el abordaje de las líneas de prevención y promoción: Las acciones que se lideran desde la Dirección de Niñez y Adolescencia en términos de promoción de derechos de los niños, niñas y adolescentes y prevención de vulneraciones demandan, en buena medida, una perspectiva de abordaje intersectorial de las temáticas dada su complejidad. Es necesario en ese sentido, fortalecer las acciones de articulación que garanticen un abordaje interinstitucional, continuando y cualificando la participación estratégica en las diferentes mesas, comités, instancias y espacios de interlocución intersectorial, por medio de la participación activa de los enlaces regionales de la DNA a nivel nacional, departamental y municipal.</w:t>
      </w:r>
    </w:p>
    <w:p w:rsidR="00A60C5C" w:rsidRPr="007608C2" w:rsidRDefault="00A60C5C" w:rsidP="00A60C5C">
      <w:pPr>
        <w:spacing w:after="0" w:line="240" w:lineRule="auto"/>
        <w:jc w:val="both"/>
        <w:rPr>
          <w:rFonts w:cs="Arial"/>
        </w:rPr>
      </w:pPr>
    </w:p>
    <w:p w:rsidR="00C842DD" w:rsidRPr="007608C2" w:rsidRDefault="00C842DD" w:rsidP="00A44A2B">
      <w:pPr>
        <w:numPr>
          <w:ilvl w:val="0"/>
          <w:numId w:val="140"/>
        </w:numPr>
        <w:tabs>
          <w:tab w:val="num" w:pos="709"/>
        </w:tabs>
        <w:spacing w:after="0" w:line="240" w:lineRule="auto"/>
        <w:ind w:left="709" w:hanging="283"/>
        <w:jc w:val="both"/>
        <w:rPr>
          <w:rFonts w:cs="Arial"/>
        </w:rPr>
      </w:pPr>
      <w:r w:rsidRPr="007608C2">
        <w:rPr>
          <w:rFonts w:cs="Arial"/>
        </w:rPr>
        <w:t xml:space="preserve">Avanzar en el diálogo interinstitucional e intercultural para promover el ejercicio de los derechos sexuales y reproductivos con enfoque diferencial (étnico, discapacidad, género y diversidad sexual). Es los departamentos con mayor proporción de población étnica donde ha sido difícil avanzar en la reducción de los embarazos a temprana edad. En Vaupés, por mencionar un caso, la prevalencia de embarazo en la adolescencia es del 47%, esto significa que una de cada dos adolescentes en este departamento es madre o está embarazada, esto nos muestra que debemos tener estrategias adaptadas a la complejidad territorial y cultural del país. </w:t>
      </w:r>
    </w:p>
    <w:p w:rsidR="000648D9" w:rsidRPr="007608C2" w:rsidRDefault="00464AA6" w:rsidP="00A44A2B">
      <w:pPr>
        <w:pStyle w:val="Ttulo1"/>
        <w:pageBreakBefore/>
        <w:numPr>
          <w:ilvl w:val="1"/>
          <w:numId w:val="48"/>
        </w:numPr>
        <w:spacing w:before="100" w:beforeAutospacing="1" w:after="100" w:afterAutospacing="1"/>
        <w:jc w:val="both"/>
        <w:rPr>
          <w:rFonts w:cs="Arial"/>
          <w:szCs w:val="22"/>
        </w:rPr>
      </w:pPr>
      <w:bookmarkStart w:id="54" w:name="_Toc505183047"/>
      <w:r w:rsidRPr="007608C2">
        <w:rPr>
          <w:rFonts w:cs="Arial"/>
          <w:szCs w:val="22"/>
        </w:rPr>
        <w:lastRenderedPageBreak/>
        <w:t>ATENCION A FAMILIAS Y COMUNIDADES</w:t>
      </w:r>
      <w:bookmarkEnd w:id="54"/>
    </w:p>
    <w:tbl>
      <w:tblPr>
        <w:tblW w:w="0" w:type="auto"/>
        <w:tblInd w:w="-10"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5991"/>
        <w:gridCol w:w="861"/>
        <w:gridCol w:w="911"/>
        <w:gridCol w:w="1642"/>
      </w:tblGrid>
      <w:tr w:rsidR="00BD2A48" w:rsidRPr="00A60C5C" w:rsidTr="00A60C5C">
        <w:trPr>
          <w:trHeight w:val="847"/>
        </w:trPr>
        <w:tc>
          <w:tcPr>
            <w:tcW w:w="0" w:type="auto"/>
            <w:vMerge w:val="restart"/>
            <w:shd w:val="clear" w:color="auto" w:fill="76922E"/>
            <w:vAlign w:val="center"/>
            <w:hideMark/>
          </w:tcPr>
          <w:p w:rsidR="00BD2A48" w:rsidRPr="00A60C5C" w:rsidRDefault="00393E5D" w:rsidP="00BD2A48">
            <w:pPr>
              <w:spacing w:after="0" w:line="240" w:lineRule="auto"/>
              <w:jc w:val="both"/>
              <w:rPr>
                <w:rFonts w:eastAsia="Times New Roman" w:cs="Arial"/>
                <w:b/>
                <w:bCs/>
                <w:color w:val="FFFFFF" w:themeColor="background1"/>
                <w:sz w:val="18"/>
                <w:szCs w:val="18"/>
                <w:lang w:val="es-CO" w:eastAsia="es-CO"/>
              </w:rPr>
            </w:pPr>
            <w:r w:rsidRPr="00A60C5C">
              <w:rPr>
                <w:rFonts w:eastAsia="Times New Roman" w:cs="Arial"/>
                <w:b/>
                <w:bCs/>
                <w:color w:val="FFFFFF" w:themeColor="background1"/>
                <w:sz w:val="18"/>
                <w:szCs w:val="18"/>
                <w:lang w:val="es-CO" w:eastAsia="es-CO"/>
              </w:rPr>
              <w:t xml:space="preserve">Apoyo Formativo </w:t>
            </w:r>
            <w:r>
              <w:rPr>
                <w:rFonts w:eastAsia="Times New Roman" w:cs="Arial"/>
                <w:b/>
                <w:bCs/>
                <w:color w:val="FFFFFF" w:themeColor="background1"/>
                <w:sz w:val="18"/>
                <w:szCs w:val="18"/>
                <w:lang w:val="es-CO" w:eastAsia="es-CO"/>
              </w:rPr>
              <w:t>a la Familia para Ser Garante de Derechos a</w:t>
            </w:r>
            <w:r w:rsidRPr="00A60C5C">
              <w:rPr>
                <w:rFonts w:eastAsia="Times New Roman" w:cs="Arial"/>
                <w:b/>
                <w:bCs/>
                <w:color w:val="FFFFFF" w:themeColor="background1"/>
                <w:sz w:val="18"/>
                <w:szCs w:val="18"/>
                <w:lang w:val="es-CO" w:eastAsia="es-CO"/>
              </w:rPr>
              <w:t xml:space="preserve"> Nivel Nacional</w:t>
            </w:r>
          </w:p>
        </w:tc>
        <w:tc>
          <w:tcPr>
            <w:tcW w:w="0" w:type="auto"/>
            <w:shd w:val="clear" w:color="auto" w:fill="76922E"/>
            <w:vAlign w:val="center"/>
            <w:hideMark/>
          </w:tcPr>
          <w:p w:rsidR="00BD2A48" w:rsidRPr="00A60C5C" w:rsidRDefault="00A60C5C" w:rsidP="00BD2A48">
            <w:pPr>
              <w:spacing w:after="0" w:line="240" w:lineRule="auto"/>
              <w:jc w:val="center"/>
              <w:rPr>
                <w:rFonts w:eastAsia="Times New Roman" w:cs="Arial"/>
                <w:b/>
                <w:bCs/>
                <w:color w:val="FFFFFF" w:themeColor="background1"/>
                <w:sz w:val="18"/>
                <w:szCs w:val="18"/>
                <w:lang w:val="es-CO" w:eastAsia="es-CO"/>
              </w:rPr>
            </w:pPr>
            <w:r w:rsidRPr="00A60C5C">
              <w:rPr>
                <w:rFonts w:eastAsia="Times New Roman" w:cs="Arial"/>
                <w:b/>
                <w:bCs/>
                <w:color w:val="FFFFFF" w:themeColor="background1"/>
                <w:sz w:val="18"/>
                <w:szCs w:val="18"/>
                <w:lang w:val="es-CO" w:eastAsia="es-CO"/>
              </w:rPr>
              <w:t>Familias</w:t>
            </w:r>
          </w:p>
        </w:tc>
        <w:tc>
          <w:tcPr>
            <w:tcW w:w="0" w:type="auto"/>
            <w:shd w:val="clear" w:color="auto" w:fill="76922E"/>
            <w:vAlign w:val="center"/>
            <w:hideMark/>
          </w:tcPr>
          <w:p w:rsidR="00BD2A48" w:rsidRPr="00A60C5C" w:rsidRDefault="00A60C5C" w:rsidP="00BD2A48">
            <w:pPr>
              <w:spacing w:after="0" w:line="240" w:lineRule="auto"/>
              <w:jc w:val="center"/>
              <w:rPr>
                <w:rFonts w:eastAsia="Times New Roman" w:cs="Arial"/>
                <w:b/>
                <w:bCs/>
                <w:color w:val="FFFFFF" w:themeColor="background1"/>
                <w:sz w:val="18"/>
                <w:szCs w:val="18"/>
                <w:lang w:val="es-CO" w:eastAsia="es-CO"/>
              </w:rPr>
            </w:pPr>
            <w:r w:rsidRPr="00A60C5C">
              <w:rPr>
                <w:rFonts w:eastAsia="Times New Roman" w:cs="Arial"/>
                <w:b/>
                <w:bCs/>
                <w:color w:val="FFFFFF" w:themeColor="background1"/>
                <w:sz w:val="18"/>
                <w:szCs w:val="18"/>
                <w:lang w:val="es-CO" w:eastAsia="es-CO"/>
              </w:rPr>
              <w:t>Usuarios</w:t>
            </w:r>
          </w:p>
        </w:tc>
        <w:tc>
          <w:tcPr>
            <w:tcW w:w="0" w:type="auto"/>
            <w:shd w:val="clear" w:color="auto" w:fill="76922E"/>
            <w:vAlign w:val="center"/>
            <w:hideMark/>
          </w:tcPr>
          <w:p w:rsidR="00BD2A48" w:rsidRPr="00A60C5C" w:rsidRDefault="00A60C5C" w:rsidP="00BD2A48">
            <w:pPr>
              <w:spacing w:after="0" w:line="240" w:lineRule="auto"/>
              <w:jc w:val="center"/>
              <w:rPr>
                <w:rFonts w:eastAsia="Times New Roman" w:cs="Arial"/>
                <w:b/>
                <w:bCs/>
                <w:color w:val="FFFFFF" w:themeColor="background1"/>
                <w:sz w:val="18"/>
                <w:szCs w:val="18"/>
                <w:lang w:val="es-CO" w:eastAsia="es-CO"/>
              </w:rPr>
            </w:pPr>
            <w:r w:rsidRPr="00A60C5C">
              <w:rPr>
                <w:rFonts w:eastAsia="Times New Roman" w:cs="Arial"/>
                <w:b/>
                <w:bCs/>
                <w:color w:val="FFFFFF" w:themeColor="background1"/>
                <w:sz w:val="18"/>
                <w:szCs w:val="18"/>
                <w:lang w:val="es-CO" w:eastAsia="es-CO"/>
              </w:rPr>
              <w:t>Inversión</w:t>
            </w:r>
            <w:r w:rsidRPr="00A60C5C">
              <w:rPr>
                <w:rFonts w:eastAsia="Times New Roman" w:cs="Arial"/>
                <w:b/>
                <w:bCs/>
                <w:color w:val="FFFFFF" w:themeColor="background1"/>
                <w:sz w:val="18"/>
                <w:szCs w:val="18"/>
                <w:lang w:val="es-CO" w:eastAsia="es-CO"/>
              </w:rPr>
              <w:br/>
              <w:t>SIIF Nación</w:t>
            </w:r>
          </w:p>
        </w:tc>
      </w:tr>
      <w:tr w:rsidR="00BD2A48" w:rsidRPr="00A60C5C" w:rsidTr="00393E5D">
        <w:trPr>
          <w:trHeight w:val="50"/>
        </w:trPr>
        <w:tc>
          <w:tcPr>
            <w:tcW w:w="0" w:type="auto"/>
            <w:vMerge/>
            <w:vAlign w:val="center"/>
            <w:hideMark/>
          </w:tcPr>
          <w:p w:rsidR="00BD2A48" w:rsidRPr="00A60C5C" w:rsidRDefault="00BD2A48" w:rsidP="00BD2A48">
            <w:pPr>
              <w:spacing w:after="0" w:line="240" w:lineRule="auto"/>
              <w:rPr>
                <w:rFonts w:eastAsia="Times New Roman" w:cs="Arial"/>
                <w:b/>
                <w:bCs/>
                <w:sz w:val="18"/>
                <w:szCs w:val="18"/>
                <w:lang w:val="es-CO" w:eastAsia="es-CO"/>
              </w:rPr>
            </w:pPr>
          </w:p>
        </w:tc>
        <w:tc>
          <w:tcPr>
            <w:tcW w:w="0" w:type="auto"/>
            <w:shd w:val="clear" w:color="000000" w:fill="E2EFDA"/>
            <w:noWrap/>
            <w:vAlign w:val="center"/>
            <w:hideMark/>
          </w:tcPr>
          <w:p w:rsidR="00BD2A48" w:rsidRPr="00A60C5C" w:rsidRDefault="00BD2A48" w:rsidP="00BD2A48">
            <w:pPr>
              <w:spacing w:after="0" w:line="240" w:lineRule="auto"/>
              <w:jc w:val="right"/>
              <w:rPr>
                <w:rFonts w:eastAsia="Times New Roman" w:cs="Arial"/>
                <w:b/>
                <w:bCs/>
                <w:sz w:val="18"/>
                <w:szCs w:val="18"/>
                <w:lang w:val="es-CO" w:eastAsia="es-CO"/>
              </w:rPr>
            </w:pPr>
            <w:r w:rsidRPr="00A60C5C">
              <w:rPr>
                <w:rFonts w:eastAsia="Times New Roman" w:cs="Arial"/>
                <w:b/>
                <w:bCs/>
                <w:sz w:val="18"/>
                <w:szCs w:val="18"/>
                <w:lang w:val="es-CO" w:eastAsia="es-CO"/>
              </w:rPr>
              <w:t>123.396</w:t>
            </w:r>
          </w:p>
        </w:tc>
        <w:tc>
          <w:tcPr>
            <w:tcW w:w="0" w:type="auto"/>
            <w:shd w:val="clear" w:color="000000" w:fill="E2EFDA"/>
            <w:noWrap/>
            <w:vAlign w:val="center"/>
            <w:hideMark/>
          </w:tcPr>
          <w:p w:rsidR="00BD2A48" w:rsidRPr="00A60C5C" w:rsidRDefault="00BD2A48" w:rsidP="00BD2A48">
            <w:pPr>
              <w:spacing w:after="0" w:line="240" w:lineRule="auto"/>
              <w:jc w:val="right"/>
              <w:rPr>
                <w:rFonts w:eastAsia="Times New Roman" w:cs="Arial"/>
                <w:b/>
                <w:bCs/>
                <w:sz w:val="18"/>
                <w:szCs w:val="18"/>
                <w:lang w:val="es-CO" w:eastAsia="es-CO"/>
              </w:rPr>
            </w:pPr>
            <w:r w:rsidRPr="00A60C5C">
              <w:rPr>
                <w:rFonts w:eastAsia="Times New Roman" w:cs="Arial"/>
                <w:b/>
                <w:bCs/>
                <w:sz w:val="18"/>
                <w:szCs w:val="18"/>
                <w:lang w:val="es-CO" w:eastAsia="es-CO"/>
              </w:rPr>
              <w:t>397.973</w:t>
            </w:r>
          </w:p>
        </w:tc>
        <w:tc>
          <w:tcPr>
            <w:tcW w:w="0" w:type="auto"/>
            <w:shd w:val="clear" w:color="000000" w:fill="E2EFDA"/>
            <w:noWrap/>
            <w:vAlign w:val="center"/>
            <w:hideMark/>
          </w:tcPr>
          <w:p w:rsidR="00BD2A48" w:rsidRPr="00A60C5C" w:rsidRDefault="00BD2A48" w:rsidP="00BD2A48">
            <w:pPr>
              <w:spacing w:after="0" w:line="240" w:lineRule="auto"/>
              <w:jc w:val="right"/>
              <w:rPr>
                <w:rFonts w:eastAsia="Times New Roman" w:cs="Arial"/>
                <w:b/>
                <w:bCs/>
                <w:sz w:val="18"/>
                <w:szCs w:val="18"/>
                <w:lang w:val="es-CO" w:eastAsia="es-CO"/>
              </w:rPr>
            </w:pPr>
            <w:r w:rsidRPr="00A60C5C">
              <w:rPr>
                <w:rFonts w:eastAsia="Times New Roman" w:cs="Arial"/>
                <w:b/>
                <w:bCs/>
                <w:sz w:val="18"/>
                <w:szCs w:val="18"/>
                <w:lang w:val="es-CO" w:eastAsia="es-CO"/>
              </w:rPr>
              <w:t>$ 104.032.845.391</w:t>
            </w:r>
          </w:p>
        </w:tc>
      </w:tr>
      <w:tr w:rsidR="00BD2A48" w:rsidRPr="00A60C5C" w:rsidTr="00A60C5C">
        <w:trPr>
          <w:trHeight w:val="300"/>
        </w:trPr>
        <w:tc>
          <w:tcPr>
            <w:tcW w:w="0" w:type="auto"/>
            <w:shd w:val="clear" w:color="000000" w:fill="E7E6E6"/>
            <w:vAlign w:val="center"/>
            <w:hideMark/>
          </w:tcPr>
          <w:p w:rsidR="00BD2A48" w:rsidRPr="00A60C5C" w:rsidRDefault="00A60C5C" w:rsidP="00BD2A48">
            <w:pPr>
              <w:spacing w:after="0" w:line="240" w:lineRule="auto"/>
              <w:jc w:val="both"/>
              <w:rPr>
                <w:rFonts w:eastAsia="Times New Roman" w:cs="Arial"/>
                <w:b/>
                <w:bCs/>
                <w:sz w:val="18"/>
                <w:szCs w:val="18"/>
                <w:lang w:val="es-CO" w:eastAsia="es-CO"/>
              </w:rPr>
            </w:pPr>
            <w:r w:rsidRPr="00A60C5C">
              <w:rPr>
                <w:rFonts w:eastAsia="Times New Roman" w:cs="Arial"/>
                <w:b/>
                <w:bCs/>
                <w:sz w:val="18"/>
                <w:szCs w:val="18"/>
                <w:lang w:val="es-CO" w:eastAsia="es-CO"/>
              </w:rPr>
              <w:t>Familias Para La Paz</w:t>
            </w:r>
          </w:p>
        </w:tc>
        <w:tc>
          <w:tcPr>
            <w:tcW w:w="0" w:type="auto"/>
            <w:shd w:val="clear" w:color="000000" w:fill="E7E6E6"/>
            <w:noWrap/>
            <w:vAlign w:val="center"/>
            <w:hideMark/>
          </w:tcPr>
          <w:p w:rsidR="00BD2A48" w:rsidRPr="00A60C5C" w:rsidRDefault="00BD2A48" w:rsidP="00BD2A48">
            <w:pPr>
              <w:spacing w:after="0" w:line="240" w:lineRule="auto"/>
              <w:jc w:val="right"/>
              <w:rPr>
                <w:rFonts w:eastAsia="Times New Roman" w:cs="Arial"/>
                <w:b/>
                <w:bCs/>
                <w:sz w:val="18"/>
                <w:szCs w:val="18"/>
                <w:lang w:val="es-CO" w:eastAsia="es-CO"/>
              </w:rPr>
            </w:pPr>
            <w:r w:rsidRPr="00A60C5C">
              <w:rPr>
                <w:rFonts w:eastAsia="Times New Roman" w:cs="Arial"/>
                <w:b/>
                <w:bCs/>
                <w:sz w:val="18"/>
                <w:szCs w:val="18"/>
                <w:lang w:eastAsia="es-CO"/>
              </w:rPr>
              <w:t>84.549</w:t>
            </w:r>
          </w:p>
        </w:tc>
        <w:tc>
          <w:tcPr>
            <w:tcW w:w="0" w:type="auto"/>
            <w:shd w:val="clear" w:color="000000" w:fill="E7E6E6"/>
            <w:noWrap/>
            <w:vAlign w:val="center"/>
            <w:hideMark/>
          </w:tcPr>
          <w:p w:rsidR="00BD2A48" w:rsidRPr="00A60C5C" w:rsidRDefault="00BD2A48" w:rsidP="00BD2A48">
            <w:pPr>
              <w:spacing w:after="0" w:line="240" w:lineRule="auto"/>
              <w:jc w:val="right"/>
              <w:rPr>
                <w:rFonts w:eastAsia="Times New Roman" w:cs="Arial"/>
                <w:b/>
                <w:bCs/>
                <w:sz w:val="18"/>
                <w:szCs w:val="18"/>
                <w:lang w:val="es-CO" w:eastAsia="es-CO"/>
              </w:rPr>
            </w:pPr>
            <w:r w:rsidRPr="00A60C5C">
              <w:rPr>
                <w:rFonts w:eastAsia="Times New Roman" w:cs="Arial"/>
                <w:b/>
                <w:bCs/>
                <w:sz w:val="18"/>
                <w:szCs w:val="18"/>
                <w:lang w:eastAsia="es-CO"/>
              </w:rPr>
              <w:t>269.178</w:t>
            </w:r>
          </w:p>
        </w:tc>
        <w:tc>
          <w:tcPr>
            <w:tcW w:w="0" w:type="auto"/>
            <w:shd w:val="clear" w:color="000000" w:fill="E7E6E6"/>
            <w:noWrap/>
            <w:vAlign w:val="center"/>
            <w:hideMark/>
          </w:tcPr>
          <w:p w:rsidR="00BD2A48" w:rsidRPr="00A60C5C" w:rsidRDefault="00BD2A48" w:rsidP="00BD2A48">
            <w:pPr>
              <w:spacing w:after="0" w:line="240" w:lineRule="auto"/>
              <w:jc w:val="right"/>
              <w:rPr>
                <w:rFonts w:eastAsia="Times New Roman" w:cs="Arial"/>
                <w:b/>
                <w:bCs/>
                <w:sz w:val="18"/>
                <w:szCs w:val="18"/>
                <w:lang w:val="es-CO" w:eastAsia="es-CO"/>
              </w:rPr>
            </w:pPr>
            <w:r w:rsidRPr="00A60C5C">
              <w:rPr>
                <w:rFonts w:eastAsia="Times New Roman" w:cs="Arial"/>
                <w:b/>
                <w:bCs/>
                <w:sz w:val="18"/>
                <w:szCs w:val="18"/>
                <w:lang w:val="es-CO" w:eastAsia="es-CO"/>
              </w:rPr>
              <w:t>$ 71.849.327.656</w:t>
            </w:r>
          </w:p>
        </w:tc>
      </w:tr>
      <w:tr w:rsidR="00BD2A48" w:rsidRPr="00A60C5C" w:rsidTr="00A60C5C">
        <w:trPr>
          <w:trHeight w:val="283"/>
        </w:trPr>
        <w:tc>
          <w:tcPr>
            <w:tcW w:w="0" w:type="auto"/>
            <w:shd w:val="clear" w:color="auto" w:fill="auto"/>
            <w:vAlign w:val="center"/>
            <w:hideMark/>
          </w:tcPr>
          <w:p w:rsidR="00BD2A48" w:rsidRPr="00A60C5C" w:rsidRDefault="00A60C5C" w:rsidP="00BD2A48">
            <w:pPr>
              <w:spacing w:after="0" w:line="240" w:lineRule="auto"/>
              <w:jc w:val="both"/>
              <w:rPr>
                <w:rFonts w:eastAsia="Times New Roman" w:cs="Arial"/>
                <w:sz w:val="18"/>
                <w:szCs w:val="18"/>
                <w:lang w:val="es-CO" w:eastAsia="es-CO"/>
              </w:rPr>
            </w:pPr>
            <w:r>
              <w:rPr>
                <w:rFonts w:eastAsia="Times New Roman" w:cs="Arial"/>
                <w:sz w:val="18"/>
                <w:szCs w:val="18"/>
                <w:lang w:val="es-CO" w:eastAsia="es-CO"/>
              </w:rPr>
              <w:t>Familias con Bienestar para l</w:t>
            </w:r>
            <w:r w:rsidRPr="00A60C5C">
              <w:rPr>
                <w:rFonts w:eastAsia="Times New Roman" w:cs="Arial"/>
                <w:sz w:val="18"/>
                <w:szCs w:val="18"/>
                <w:lang w:val="es-CO" w:eastAsia="es-CO"/>
              </w:rPr>
              <w:t>a Paz</w:t>
            </w:r>
          </w:p>
        </w:tc>
        <w:tc>
          <w:tcPr>
            <w:tcW w:w="0" w:type="auto"/>
            <w:shd w:val="clear" w:color="auto" w:fill="auto"/>
            <w:noWrap/>
            <w:vAlign w:val="center"/>
            <w:hideMark/>
          </w:tcPr>
          <w:p w:rsidR="00BD2A48" w:rsidRPr="00A60C5C" w:rsidRDefault="00BD2A48" w:rsidP="00BD2A48">
            <w:pPr>
              <w:spacing w:after="0" w:line="240" w:lineRule="auto"/>
              <w:jc w:val="right"/>
              <w:rPr>
                <w:rFonts w:eastAsia="Times New Roman" w:cs="Arial"/>
                <w:sz w:val="18"/>
                <w:szCs w:val="18"/>
                <w:lang w:val="es-CO" w:eastAsia="es-CO"/>
              </w:rPr>
            </w:pPr>
            <w:r w:rsidRPr="00A60C5C">
              <w:rPr>
                <w:rFonts w:eastAsia="Times New Roman" w:cs="Arial"/>
                <w:sz w:val="18"/>
                <w:szCs w:val="18"/>
                <w:lang w:val="es-CO" w:eastAsia="es-CO"/>
              </w:rPr>
              <w:t>65.128</w:t>
            </w:r>
          </w:p>
        </w:tc>
        <w:tc>
          <w:tcPr>
            <w:tcW w:w="0" w:type="auto"/>
            <w:shd w:val="clear" w:color="auto" w:fill="auto"/>
            <w:noWrap/>
            <w:vAlign w:val="center"/>
            <w:hideMark/>
          </w:tcPr>
          <w:p w:rsidR="00BD2A48" w:rsidRPr="00A60C5C" w:rsidRDefault="00BD2A48" w:rsidP="00BD2A48">
            <w:pPr>
              <w:spacing w:after="0" w:line="240" w:lineRule="auto"/>
              <w:jc w:val="right"/>
              <w:rPr>
                <w:rFonts w:eastAsia="Times New Roman" w:cs="Arial"/>
                <w:sz w:val="18"/>
                <w:szCs w:val="18"/>
                <w:lang w:val="es-CO" w:eastAsia="es-CO"/>
              </w:rPr>
            </w:pPr>
            <w:r w:rsidRPr="00A60C5C">
              <w:rPr>
                <w:rFonts w:eastAsia="Times New Roman" w:cs="Arial"/>
                <w:sz w:val="18"/>
                <w:szCs w:val="18"/>
                <w:lang w:val="es-CO" w:eastAsia="es-CO"/>
              </w:rPr>
              <w:t>239.581</w:t>
            </w:r>
          </w:p>
        </w:tc>
        <w:tc>
          <w:tcPr>
            <w:tcW w:w="0" w:type="auto"/>
            <w:shd w:val="clear" w:color="auto" w:fill="auto"/>
            <w:noWrap/>
            <w:vAlign w:val="center"/>
            <w:hideMark/>
          </w:tcPr>
          <w:p w:rsidR="00BD2A48" w:rsidRPr="00A60C5C" w:rsidRDefault="00BD2A48" w:rsidP="00BD2A48">
            <w:pPr>
              <w:spacing w:after="0" w:line="240" w:lineRule="auto"/>
              <w:jc w:val="right"/>
              <w:rPr>
                <w:rFonts w:eastAsia="Times New Roman" w:cs="Arial"/>
                <w:sz w:val="18"/>
                <w:szCs w:val="18"/>
                <w:lang w:val="es-CO" w:eastAsia="es-CO"/>
              </w:rPr>
            </w:pPr>
            <w:r w:rsidRPr="00A60C5C">
              <w:rPr>
                <w:rFonts w:eastAsia="Times New Roman" w:cs="Arial"/>
                <w:sz w:val="18"/>
                <w:szCs w:val="18"/>
                <w:lang w:val="es-CO" w:eastAsia="es-CO"/>
              </w:rPr>
              <w:t>$ 54.749.523.714</w:t>
            </w:r>
          </w:p>
        </w:tc>
      </w:tr>
      <w:tr w:rsidR="00BD2A48" w:rsidRPr="00A60C5C" w:rsidTr="00A60C5C">
        <w:trPr>
          <w:trHeight w:val="118"/>
        </w:trPr>
        <w:tc>
          <w:tcPr>
            <w:tcW w:w="0" w:type="auto"/>
            <w:shd w:val="clear" w:color="auto" w:fill="auto"/>
            <w:vAlign w:val="center"/>
            <w:hideMark/>
          </w:tcPr>
          <w:p w:rsidR="00BD2A48" w:rsidRPr="00A60C5C" w:rsidRDefault="00A60C5C" w:rsidP="00BD2A48">
            <w:pPr>
              <w:spacing w:after="0" w:line="240" w:lineRule="auto"/>
              <w:jc w:val="both"/>
              <w:rPr>
                <w:rFonts w:eastAsia="Times New Roman" w:cs="Arial"/>
                <w:sz w:val="18"/>
                <w:szCs w:val="18"/>
                <w:lang w:val="es-CO" w:eastAsia="es-CO"/>
              </w:rPr>
            </w:pPr>
            <w:r>
              <w:rPr>
                <w:rFonts w:eastAsia="Times New Roman" w:cs="Arial"/>
                <w:sz w:val="18"/>
                <w:szCs w:val="18"/>
                <w:lang w:val="es-CO" w:eastAsia="es-CO"/>
              </w:rPr>
              <w:t>Otras Formas d</w:t>
            </w:r>
            <w:r w:rsidRPr="00A60C5C">
              <w:rPr>
                <w:rFonts w:eastAsia="Times New Roman" w:cs="Arial"/>
                <w:sz w:val="18"/>
                <w:szCs w:val="18"/>
                <w:lang w:val="es-CO" w:eastAsia="es-CO"/>
              </w:rPr>
              <w:t>e Atención</w:t>
            </w:r>
          </w:p>
        </w:tc>
        <w:tc>
          <w:tcPr>
            <w:tcW w:w="0" w:type="auto"/>
            <w:shd w:val="clear" w:color="auto" w:fill="auto"/>
            <w:noWrap/>
            <w:vAlign w:val="center"/>
            <w:hideMark/>
          </w:tcPr>
          <w:p w:rsidR="00BD2A48" w:rsidRPr="00A60C5C" w:rsidRDefault="00BD2A48" w:rsidP="00BD2A48">
            <w:pPr>
              <w:spacing w:after="0" w:line="240" w:lineRule="auto"/>
              <w:jc w:val="right"/>
              <w:rPr>
                <w:rFonts w:eastAsia="Times New Roman" w:cs="Arial"/>
                <w:sz w:val="18"/>
                <w:szCs w:val="18"/>
                <w:lang w:val="es-CO" w:eastAsia="es-CO"/>
              </w:rPr>
            </w:pPr>
            <w:r w:rsidRPr="00A60C5C">
              <w:rPr>
                <w:rFonts w:eastAsia="Times New Roman" w:cs="Arial"/>
                <w:sz w:val="18"/>
                <w:szCs w:val="18"/>
                <w:lang w:val="es-CO" w:eastAsia="es-CO"/>
              </w:rPr>
              <w:t>16.369</w:t>
            </w:r>
          </w:p>
        </w:tc>
        <w:tc>
          <w:tcPr>
            <w:tcW w:w="0" w:type="auto"/>
            <w:shd w:val="clear" w:color="auto" w:fill="auto"/>
            <w:noWrap/>
            <w:vAlign w:val="center"/>
            <w:hideMark/>
          </w:tcPr>
          <w:p w:rsidR="00BD2A48" w:rsidRPr="00A60C5C" w:rsidRDefault="00BD2A48" w:rsidP="00BD2A48">
            <w:pPr>
              <w:spacing w:after="0" w:line="240" w:lineRule="auto"/>
              <w:jc w:val="right"/>
              <w:rPr>
                <w:rFonts w:eastAsia="Times New Roman" w:cs="Arial"/>
                <w:sz w:val="18"/>
                <w:szCs w:val="18"/>
                <w:lang w:val="es-CO" w:eastAsia="es-CO"/>
              </w:rPr>
            </w:pPr>
            <w:r w:rsidRPr="00A60C5C">
              <w:rPr>
                <w:rFonts w:eastAsia="Times New Roman" w:cs="Arial"/>
                <w:sz w:val="18"/>
                <w:szCs w:val="18"/>
                <w:lang w:val="es-CO" w:eastAsia="es-CO"/>
              </w:rPr>
              <w:t>16.893</w:t>
            </w:r>
          </w:p>
        </w:tc>
        <w:tc>
          <w:tcPr>
            <w:tcW w:w="0" w:type="auto"/>
            <w:shd w:val="clear" w:color="auto" w:fill="auto"/>
            <w:noWrap/>
            <w:vAlign w:val="center"/>
            <w:hideMark/>
          </w:tcPr>
          <w:p w:rsidR="00BD2A48" w:rsidRPr="00A60C5C" w:rsidRDefault="00BD2A48" w:rsidP="00BD2A48">
            <w:pPr>
              <w:spacing w:after="0" w:line="240" w:lineRule="auto"/>
              <w:jc w:val="right"/>
              <w:rPr>
                <w:rFonts w:eastAsia="Times New Roman" w:cs="Arial"/>
                <w:sz w:val="18"/>
                <w:szCs w:val="18"/>
                <w:lang w:val="es-CO" w:eastAsia="es-CO"/>
              </w:rPr>
            </w:pPr>
            <w:r w:rsidRPr="00A60C5C">
              <w:rPr>
                <w:rFonts w:eastAsia="Times New Roman" w:cs="Arial"/>
                <w:sz w:val="18"/>
                <w:szCs w:val="18"/>
                <w:lang w:val="es-CO" w:eastAsia="es-CO"/>
              </w:rPr>
              <w:t>$ 12.024.417.362</w:t>
            </w:r>
          </w:p>
        </w:tc>
      </w:tr>
      <w:tr w:rsidR="00BD2A48" w:rsidRPr="00A60C5C" w:rsidTr="00A60C5C">
        <w:trPr>
          <w:trHeight w:val="135"/>
        </w:trPr>
        <w:tc>
          <w:tcPr>
            <w:tcW w:w="0" w:type="auto"/>
            <w:shd w:val="clear" w:color="auto" w:fill="auto"/>
            <w:vAlign w:val="center"/>
            <w:hideMark/>
          </w:tcPr>
          <w:p w:rsidR="00BD2A48" w:rsidRPr="00A60C5C" w:rsidRDefault="00A60C5C" w:rsidP="00BD2A48">
            <w:pPr>
              <w:spacing w:after="0" w:line="240" w:lineRule="auto"/>
              <w:jc w:val="both"/>
              <w:rPr>
                <w:rFonts w:eastAsia="Times New Roman" w:cs="Arial"/>
                <w:sz w:val="18"/>
                <w:szCs w:val="18"/>
                <w:lang w:val="es-CO" w:eastAsia="es-CO"/>
              </w:rPr>
            </w:pPr>
            <w:r>
              <w:rPr>
                <w:rFonts w:eastAsia="Times New Roman" w:cs="Arial"/>
                <w:sz w:val="18"/>
                <w:szCs w:val="18"/>
                <w:lang w:val="es-CO" w:eastAsia="es-CO"/>
              </w:rPr>
              <w:t>Unidades de Apoyo y Fortalecimiento a</w:t>
            </w:r>
            <w:r w:rsidRPr="00A60C5C">
              <w:rPr>
                <w:rFonts w:eastAsia="Times New Roman" w:cs="Arial"/>
                <w:sz w:val="18"/>
                <w:szCs w:val="18"/>
                <w:lang w:val="es-CO" w:eastAsia="es-CO"/>
              </w:rPr>
              <w:t xml:space="preserve"> Familias - UNAFA</w:t>
            </w:r>
          </w:p>
        </w:tc>
        <w:tc>
          <w:tcPr>
            <w:tcW w:w="0" w:type="auto"/>
            <w:shd w:val="clear" w:color="auto" w:fill="auto"/>
            <w:noWrap/>
            <w:vAlign w:val="center"/>
            <w:hideMark/>
          </w:tcPr>
          <w:p w:rsidR="00BD2A48" w:rsidRPr="00A60C5C" w:rsidRDefault="00BD2A48" w:rsidP="00BD2A48">
            <w:pPr>
              <w:spacing w:after="0" w:line="240" w:lineRule="auto"/>
              <w:jc w:val="right"/>
              <w:rPr>
                <w:rFonts w:eastAsia="Times New Roman" w:cs="Arial"/>
                <w:sz w:val="18"/>
                <w:szCs w:val="18"/>
                <w:lang w:val="es-CO" w:eastAsia="es-CO"/>
              </w:rPr>
            </w:pPr>
            <w:r w:rsidRPr="00A60C5C">
              <w:rPr>
                <w:rFonts w:eastAsia="Times New Roman" w:cs="Arial"/>
                <w:sz w:val="18"/>
                <w:szCs w:val="18"/>
                <w:lang w:val="es-CO" w:eastAsia="es-CO"/>
              </w:rPr>
              <w:t>3.052</w:t>
            </w:r>
          </w:p>
        </w:tc>
        <w:tc>
          <w:tcPr>
            <w:tcW w:w="0" w:type="auto"/>
            <w:shd w:val="clear" w:color="auto" w:fill="auto"/>
            <w:noWrap/>
            <w:vAlign w:val="center"/>
            <w:hideMark/>
          </w:tcPr>
          <w:p w:rsidR="00BD2A48" w:rsidRPr="00A60C5C" w:rsidRDefault="00BD2A48" w:rsidP="00BD2A48">
            <w:pPr>
              <w:spacing w:after="0" w:line="240" w:lineRule="auto"/>
              <w:jc w:val="right"/>
              <w:rPr>
                <w:rFonts w:eastAsia="Times New Roman" w:cs="Arial"/>
                <w:sz w:val="18"/>
                <w:szCs w:val="18"/>
                <w:lang w:val="es-CO" w:eastAsia="es-CO"/>
              </w:rPr>
            </w:pPr>
            <w:r w:rsidRPr="00A60C5C">
              <w:rPr>
                <w:rFonts w:eastAsia="Times New Roman" w:cs="Arial"/>
                <w:sz w:val="18"/>
                <w:szCs w:val="18"/>
                <w:lang w:val="es-CO" w:eastAsia="es-CO"/>
              </w:rPr>
              <w:t>12.704</w:t>
            </w:r>
          </w:p>
        </w:tc>
        <w:tc>
          <w:tcPr>
            <w:tcW w:w="0" w:type="auto"/>
            <w:shd w:val="clear" w:color="auto" w:fill="auto"/>
            <w:noWrap/>
            <w:vAlign w:val="center"/>
            <w:hideMark/>
          </w:tcPr>
          <w:p w:rsidR="00BD2A48" w:rsidRPr="00A60C5C" w:rsidRDefault="00BD2A48" w:rsidP="00BD2A48">
            <w:pPr>
              <w:spacing w:after="0" w:line="240" w:lineRule="auto"/>
              <w:jc w:val="right"/>
              <w:rPr>
                <w:rFonts w:eastAsia="Times New Roman" w:cs="Arial"/>
                <w:sz w:val="18"/>
                <w:szCs w:val="18"/>
                <w:lang w:val="es-CO" w:eastAsia="es-CO"/>
              </w:rPr>
            </w:pPr>
            <w:r w:rsidRPr="00A60C5C">
              <w:rPr>
                <w:rFonts w:eastAsia="Times New Roman" w:cs="Arial"/>
                <w:sz w:val="18"/>
                <w:szCs w:val="18"/>
                <w:lang w:val="es-CO" w:eastAsia="es-CO"/>
              </w:rPr>
              <w:t>$ 5.075.386.580</w:t>
            </w:r>
          </w:p>
        </w:tc>
      </w:tr>
      <w:tr w:rsidR="00BD2A48" w:rsidRPr="00A60C5C" w:rsidTr="00A60C5C">
        <w:trPr>
          <w:trHeight w:val="296"/>
        </w:trPr>
        <w:tc>
          <w:tcPr>
            <w:tcW w:w="0" w:type="auto"/>
            <w:shd w:val="clear" w:color="000000" w:fill="E7E6E6"/>
            <w:vAlign w:val="center"/>
            <w:hideMark/>
          </w:tcPr>
          <w:p w:rsidR="00BD2A48" w:rsidRPr="00A60C5C" w:rsidRDefault="00A60C5C" w:rsidP="00BD2A48">
            <w:pPr>
              <w:spacing w:after="0" w:line="240" w:lineRule="auto"/>
              <w:jc w:val="both"/>
              <w:rPr>
                <w:rFonts w:eastAsia="Times New Roman" w:cs="Arial"/>
                <w:b/>
                <w:bCs/>
                <w:sz w:val="18"/>
                <w:szCs w:val="18"/>
                <w:lang w:val="es-CO" w:eastAsia="es-CO"/>
              </w:rPr>
            </w:pPr>
            <w:r w:rsidRPr="00A60C5C">
              <w:rPr>
                <w:rFonts w:eastAsia="Times New Roman" w:cs="Arial"/>
                <w:b/>
                <w:bCs/>
                <w:sz w:val="18"/>
                <w:szCs w:val="18"/>
                <w:lang w:val="es-CO" w:eastAsia="es-CO"/>
              </w:rPr>
              <w:t>Comunidades Étnicas</w:t>
            </w:r>
            <w:r>
              <w:rPr>
                <w:rFonts w:eastAsia="Times New Roman" w:cs="Arial"/>
                <w:b/>
                <w:bCs/>
                <w:sz w:val="18"/>
                <w:szCs w:val="18"/>
                <w:lang w:val="es-CO" w:eastAsia="es-CO"/>
              </w:rPr>
              <w:t xml:space="preserve"> y</w:t>
            </w:r>
            <w:r w:rsidRPr="00A60C5C">
              <w:rPr>
                <w:rFonts w:eastAsia="Times New Roman" w:cs="Arial"/>
                <w:b/>
                <w:bCs/>
                <w:sz w:val="18"/>
                <w:szCs w:val="18"/>
                <w:lang w:val="es-CO" w:eastAsia="es-CO"/>
              </w:rPr>
              <w:t xml:space="preserve"> Rurales</w:t>
            </w:r>
          </w:p>
        </w:tc>
        <w:tc>
          <w:tcPr>
            <w:tcW w:w="0" w:type="auto"/>
            <w:shd w:val="clear" w:color="000000" w:fill="E7E6E6"/>
            <w:noWrap/>
            <w:vAlign w:val="center"/>
            <w:hideMark/>
          </w:tcPr>
          <w:p w:rsidR="00BD2A48" w:rsidRPr="00A60C5C" w:rsidRDefault="00BD2A48" w:rsidP="00BD2A48">
            <w:pPr>
              <w:spacing w:after="0" w:line="240" w:lineRule="auto"/>
              <w:jc w:val="right"/>
              <w:rPr>
                <w:rFonts w:eastAsia="Times New Roman" w:cs="Arial"/>
                <w:b/>
                <w:bCs/>
                <w:sz w:val="18"/>
                <w:szCs w:val="18"/>
                <w:lang w:val="es-CO" w:eastAsia="es-CO"/>
              </w:rPr>
            </w:pPr>
            <w:r w:rsidRPr="00A60C5C">
              <w:rPr>
                <w:rFonts w:eastAsia="Times New Roman" w:cs="Arial"/>
                <w:b/>
                <w:bCs/>
                <w:sz w:val="18"/>
                <w:szCs w:val="18"/>
                <w:lang w:eastAsia="es-CO"/>
              </w:rPr>
              <w:t>38.847</w:t>
            </w:r>
          </w:p>
        </w:tc>
        <w:tc>
          <w:tcPr>
            <w:tcW w:w="0" w:type="auto"/>
            <w:shd w:val="clear" w:color="000000" w:fill="E7E6E6"/>
            <w:noWrap/>
            <w:vAlign w:val="center"/>
            <w:hideMark/>
          </w:tcPr>
          <w:p w:rsidR="00BD2A48" w:rsidRPr="00A60C5C" w:rsidRDefault="00BD2A48" w:rsidP="00BD2A48">
            <w:pPr>
              <w:spacing w:after="0" w:line="240" w:lineRule="auto"/>
              <w:jc w:val="right"/>
              <w:rPr>
                <w:rFonts w:eastAsia="Times New Roman" w:cs="Arial"/>
                <w:b/>
                <w:bCs/>
                <w:sz w:val="18"/>
                <w:szCs w:val="18"/>
                <w:lang w:val="es-CO" w:eastAsia="es-CO"/>
              </w:rPr>
            </w:pPr>
            <w:r w:rsidRPr="00A60C5C">
              <w:rPr>
                <w:rFonts w:eastAsia="Times New Roman" w:cs="Arial"/>
                <w:b/>
                <w:bCs/>
                <w:sz w:val="18"/>
                <w:szCs w:val="18"/>
                <w:lang w:eastAsia="es-CO"/>
              </w:rPr>
              <w:t>128.795</w:t>
            </w:r>
          </w:p>
        </w:tc>
        <w:tc>
          <w:tcPr>
            <w:tcW w:w="0" w:type="auto"/>
            <w:shd w:val="clear" w:color="000000" w:fill="E7E6E6"/>
            <w:noWrap/>
            <w:vAlign w:val="center"/>
            <w:hideMark/>
          </w:tcPr>
          <w:p w:rsidR="00BD2A48" w:rsidRPr="00A60C5C" w:rsidRDefault="00BD2A48" w:rsidP="00BD2A48">
            <w:pPr>
              <w:spacing w:after="0" w:line="240" w:lineRule="auto"/>
              <w:jc w:val="right"/>
              <w:rPr>
                <w:rFonts w:eastAsia="Times New Roman" w:cs="Arial"/>
                <w:b/>
                <w:bCs/>
                <w:sz w:val="18"/>
                <w:szCs w:val="18"/>
                <w:lang w:val="es-CO" w:eastAsia="es-CO"/>
              </w:rPr>
            </w:pPr>
            <w:r w:rsidRPr="00A60C5C">
              <w:rPr>
                <w:rFonts w:eastAsia="Times New Roman" w:cs="Arial"/>
                <w:b/>
                <w:bCs/>
                <w:sz w:val="18"/>
                <w:szCs w:val="18"/>
                <w:lang w:val="es-CO" w:eastAsia="es-CO"/>
              </w:rPr>
              <w:t>$ 32.183.517.735</w:t>
            </w:r>
          </w:p>
        </w:tc>
      </w:tr>
      <w:tr w:rsidR="00BD2A48" w:rsidRPr="00A60C5C" w:rsidTr="00A60C5C">
        <w:trPr>
          <w:trHeight w:val="257"/>
        </w:trPr>
        <w:tc>
          <w:tcPr>
            <w:tcW w:w="0" w:type="auto"/>
            <w:shd w:val="clear" w:color="auto" w:fill="auto"/>
            <w:vAlign w:val="center"/>
            <w:hideMark/>
          </w:tcPr>
          <w:p w:rsidR="00BD2A48" w:rsidRPr="00A60C5C" w:rsidRDefault="00A60C5C" w:rsidP="00BD2A48">
            <w:pPr>
              <w:spacing w:after="0" w:line="240" w:lineRule="auto"/>
              <w:jc w:val="both"/>
              <w:rPr>
                <w:rFonts w:eastAsia="Times New Roman" w:cs="Arial"/>
                <w:sz w:val="18"/>
                <w:szCs w:val="18"/>
                <w:lang w:val="es-CO" w:eastAsia="es-CO"/>
              </w:rPr>
            </w:pPr>
            <w:r>
              <w:rPr>
                <w:rFonts w:eastAsia="Times New Roman" w:cs="Arial"/>
                <w:sz w:val="18"/>
                <w:szCs w:val="18"/>
                <w:lang w:val="es-CO" w:eastAsia="es-CO"/>
              </w:rPr>
              <w:t>Territorios Étnicos c</w:t>
            </w:r>
            <w:r w:rsidRPr="00A60C5C">
              <w:rPr>
                <w:rFonts w:eastAsia="Times New Roman" w:cs="Arial"/>
                <w:sz w:val="18"/>
                <w:szCs w:val="18"/>
                <w:lang w:val="es-CO" w:eastAsia="es-CO"/>
              </w:rPr>
              <w:t>on Bienestar</w:t>
            </w:r>
          </w:p>
        </w:tc>
        <w:tc>
          <w:tcPr>
            <w:tcW w:w="0" w:type="auto"/>
            <w:shd w:val="clear" w:color="auto" w:fill="auto"/>
            <w:noWrap/>
            <w:vAlign w:val="center"/>
            <w:hideMark/>
          </w:tcPr>
          <w:p w:rsidR="00BD2A48" w:rsidRPr="00A60C5C" w:rsidRDefault="00BD2A48" w:rsidP="00BD2A48">
            <w:pPr>
              <w:spacing w:after="0" w:line="240" w:lineRule="auto"/>
              <w:jc w:val="right"/>
              <w:rPr>
                <w:rFonts w:eastAsia="Times New Roman" w:cs="Arial"/>
                <w:sz w:val="18"/>
                <w:szCs w:val="18"/>
                <w:lang w:val="es-CO" w:eastAsia="es-CO"/>
              </w:rPr>
            </w:pPr>
            <w:r w:rsidRPr="00A60C5C">
              <w:rPr>
                <w:rFonts w:eastAsia="Times New Roman" w:cs="Arial"/>
                <w:sz w:val="18"/>
                <w:szCs w:val="18"/>
                <w:lang w:val="es-CO" w:eastAsia="es-CO"/>
              </w:rPr>
              <w:t>29.687</w:t>
            </w:r>
          </w:p>
        </w:tc>
        <w:tc>
          <w:tcPr>
            <w:tcW w:w="0" w:type="auto"/>
            <w:shd w:val="clear" w:color="auto" w:fill="auto"/>
            <w:noWrap/>
            <w:vAlign w:val="center"/>
            <w:hideMark/>
          </w:tcPr>
          <w:p w:rsidR="00BD2A48" w:rsidRPr="00A60C5C" w:rsidRDefault="00BD2A48" w:rsidP="00BD2A48">
            <w:pPr>
              <w:spacing w:after="0" w:line="240" w:lineRule="auto"/>
              <w:jc w:val="right"/>
              <w:rPr>
                <w:rFonts w:eastAsia="Times New Roman" w:cs="Arial"/>
                <w:sz w:val="18"/>
                <w:szCs w:val="18"/>
                <w:lang w:val="es-CO" w:eastAsia="es-CO"/>
              </w:rPr>
            </w:pPr>
            <w:r w:rsidRPr="00A60C5C">
              <w:rPr>
                <w:rFonts w:eastAsia="Times New Roman" w:cs="Arial"/>
                <w:sz w:val="18"/>
                <w:szCs w:val="18"/>
                <w:lang w:val="es-CO" w:eastAsia="es-CO"/>
              </w:rPr>
              <w:t>99.072</w:t>
            </w:r>
          </w:p>
        </w:tc>
        <w:tc>
          <w:tcPr>
            <w:tcW w:w="0" w:type="auto"/>
            <w:shd w:val="clear" w:color="auto" w:fill="auto"/>
            <w:noWrap/>
            <w:vAlign w:val="center"/>
            <w:hideMark/>
          </w:tcPr>
          <w:p w:rsidR="00BD2A48" w:rsidRPr="00A60C5C" w:rsidRDefault="00BD2A48" w:rsidP="00BD2A48">
            <w:pPr>
              <w:spacing w:after="0" w:line="240" w:lineRule="auto"/>
              <w:jc w:val="right"/>
              <w:rPr>
                <w:rFonts w:eastAsia="Times New Roman" w:cs="Arial"/>
                <w:sz w:val="18"/>
                <w:szCs w:val="18"/>
                <w:lang w:val="es-CO" w:eastAsia="es-CO"/>
              </w:rPr>
            </w:pPr>
            <w:r w:rsidRPr="00A60C5C">
              <w:rPr>
                <w:rFonts w:eastAsia="Times New Roman" w:cs="Arial"/>
                <w:sz w:val="18"/>
                <w:szCs w:val="18"/>
                <w:lang w:val="es-CO" w:eastAsia="es-CO"/>
              </w:rPr>
              <w:t>$ 21.142.424.474</w:t>
            </w:r>
          </w:p>
        </w:tc>
      </w:tr>
      <w:tr w:rsidR="00BD2A48" w:rsidRPr="00A60C5C" w:rsidTr="00A60C5C">
        <w:trPr>
          <w:trHeight w:val="120"/>
        </w:trPr>
        <w:tc>
          <w:tcPr>
            <w:tcW w:w="0" w:type="auto"/>
            <w:shd w:val="clear" w:color="auto" w:fill="auto"/>
            <w:vAlign w:val="center"/>
            <w:hideMark/>
          </w:tcPr>
          <w:p w:rsidR="00BD2A48" w:rsidRPr="00A60C5C" w:rsidRDefault="00A60C5C" w:rsidP="00BD2A48">
            <w:pPr>
              <w:spacing w:after="0" w:line="240" w:lineRule="auto"/>
              <w:jc w:val="both"/>
              <w:rPr>
                <w:rFonts w:eastAsia="Times New Roman" w:cs="Arial"/>
                <w:sz w:val="18"/>
                <w:szCs w:val="18"/>
                <w:lang w:val="es-CO" w:eastAsia="es-CO"/>
              </w:rPr>
            </w:pPr>
            <w:r w:rsidRPr="00A60C5C">
              <w:rPr>
                <w:rFonts w:eastAsia="Times New Roman" w:cs="Arial"/>
                <w:sz w:val="18"/>
                <w:szCs w:val="18"/>
                <w:lang w:val="es-CO" w:eastAsia="es-CO"/>
              </w:rPr>
              <w:t>Comunidades Rurales</w:t>
            </w:r>
          </w:p>
        </w:tc>
        <w:tc>
          <w:tcPr>
            <w:tcW w:w="0" w:type="auto"/>
            <w:shd w:val="clear" w:color="auto" w:fill="auto"/>
            <w:noWrap/>
            <w:vAlign w:val="center"/>
            <w:hideMark/>
          </w:tcPr>
          <w:p w:rsidR="00BD2A48" w:rsidRPr="00A60C5C" w:rsidRDefault="00BD2A48" w:rsidP="00BD2A48">
            <w:pPr>
              <w:spacing w:after="0" w:line="240" w:lineRule="auto"/>
              <w:jc w:val="right"/>
              <w:rPr>
                <w:rFonts w:eastAsia="Times New Roman" w:cs="Arial"/>
                <w:sz w:val="18"/>
                <w:szCs w:val="18"/>
                <w:lang w:val="es-CO" w:eastAsia="es-CO"/>
              </w:rPr>
            </w:pPr>
            <w:r w:rsidRPr="00A60C5C">
              <w:rPr>
                <w:rFonts w:eastAsia="Times New Roman" w:cs="Arial"/>
                <w:sz w:val="18"/>
                <w:szCs w:val="18"/>
                <w:lang w:val="es-CO" w:eastAsia="es-CO"/>
              </w:rPr>
              <w:t>9.160</w:t>
            </w:r>
          </w:p>
        </w:tc>
        <w:tc>
          <w:tcPr>
            <w:tcW w:w="0" w:type="auto"/>
            <w:shd w:val="clear" w:color="auto" w:fill="auto"/>
            <w:noWrap/>
            <w:vAlign w:val="center"/>
            <w:hideMark/>
          </w:tcPr>
          <w:p w:rsidR="00BD2A48" w:rsidRPr="00A60C5C" w:rsidRDefault="00BD2A48" w:rsidP="00BD2A48">
            <w:pPr>
              <w:spacing w:after="0" w:line="240" w:lineRule="auto"/>
              <w:jc w:val="right"/>
              <w:rPr>
                <w:rFonts w:eastAsia="Times New Roman" w:cs="Arial"/>
                <w:sz w:val="18"/>
                <w:szCs w:val="18"/>
                <w:lang w:val="es-CO" w:eastAsia="es-CO"/>
              </w:rPr>
            </w:pPr>
            <w:r w:rsidRPr="00A60C5C">
              <w:rPr>
                <w:rFonts w:eastAsia="Times New Roman" w:cs="Arial"/>
                <w:sz w:val="18"/>
                <w:szCs w:val="18"/>
                <w:lang w:val="es-CO" w:eastAsia="es-CO"/>
              </w:rPr>
              <w:t>29.723</w:t>
            </w:r>
          </w:p>
        </w:tc>
        <w:tc>
          <w:tcPr>
            <w:tcW w:w="0" w:type="auto"/>
            <w:shd w:val="clear" w:color="auto" w:fill="auto"/>
            <w:noWrap/>
            <w:vAlign w:val="center"/>
            <w:hideMark/>
          </w:tcPr>
          <w:p w:rsidR="00BD2A48" w:rsidRPr="00A60C5C" w:rsidRDefault="00BD2A48" w:rsidP="00BD2A48">
            <w:pPr>
              <w:spacing w:after="0" w:line="240" w:lineRule="auto"/>
              <w:jc w:val="right"/>
              <w:rPr>
                <w:rFonts w:eastAsia="Times New Roman" w:cs="Arial"/>
                <w:sz w:val="18"/>
                <w:szCs w:val="18"/>
                <w:lang w:val="es-CO" w:eastAsia="es-CO"/>
              </w:rPr>
            </w:pPr>
            <w:r w:rsidRPr="00A60C5C">
              <w:rPr>
                <w:rFonts w:eastAsia="Times New Roman" w:cs="Arial"/>
                <w:sz w:val="18"/>
                <w:szCs w:val="18"/>
                <w:lang w:val="es-CO" w:eastAsia="es-CO"/>
              </w:rPr>
              <w:t>$ 11.041.093.261</w:t>
            </w:r>
          </w:p>
        </w:tc>
      </w:tr>
    </w:tbl>
    <w:p w:rsidR="0098752B" w:rsidRPr="00393E5D" w:rsidRDefault="0098752B" w:rsidP="00376C7E">
      <w:pPr>
        <w:spacing w:after="100" w:afterAutospacing="1" w:line="240" w:lineRule="auto"/>
        <w:jc w:val="center"/>
        <w:rPr>
          <w:rFonts w:cs="Arial"/>
          <w:sz w:val="16"/>
          <w:szCs w:val="16"/>
        </w:rPr>
      </w:pPr>
      <w:r w:rsidRPr="00393E5D">
        <w:rPr>
          <w:rFonts w:cs="Arial"/>
          <w:sz w:val="16"/>
          <w:szCs w:val="16"/>
        </w:rPr>
        <w:t>Fuente: Metas Sociales y Financieras SIM - SIIF Nación corte 31 de diciembre vigencia 2017</w:t>
      </w:r>
    </w:p>
    <w:p w:rsidR="0098752B" w:rsidRPr="007608C2" w:rsidRDefault="0098752B" w:rsidP="00A44A2B">
      <w:pPr>
        <w:pStyle w:val="Ttulo2"/>
        <w:numPr>
          <w:ilvl w:val="2"/>
          <w:numId w:val="48"/>
        </w:numPr>
        <w:rPr>
          <w:rFonts w:cs="Arial"/>
          <w:b/>
        </w:rPr>
      </w:pPr>
      <w:bookmarkStart w:id="55" w:name="_Toc503465499"/>
      <w:bookmarkStart w:id="56" w:name="_Toc505183048"/>
      <w:r w:rsidRPr="007608C2">
        <w:rPr>
          <w:rFonts w:cs="Arial"/>
          <w:b/>
        </w:rPr>
        <w:t>Marco de Política Pública de Familia y Comunidades</w:t>
      </w:r>
      <w:bookmarkEnd w:id="55"/>
      <w:bookmarkEnd w:id="56"/>
    </w:p>
    <w:p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 xml:space="preserve">La convención de los derechos del niño de Naciones Unidas afirma que la familia es el ámbito de desarrollo de niños, niñas y adolescentes (1989), por su parte, el país entiende que la familia es el núcleo fundamental de la sociedad y así lo consigna en el artículo 42 de la constitución política nacional y la ley de infancia y adolescencia (1098 de 2006) subraya la corresponsabilidad de la familia en la atención, cuidado y protección de los derechos de la niñez. En concordancia, se promulga la Ley 1361 de 2009, de protección integral de la familia cuyo objeto es fortalecer y garantizar el desarrollo integral de la familia, como núcleo fundamental de la sociedad. Así mismo, en la Política Pública Nacional de Apoyo y Fortalecimiento a la Familia se concibe esta como “… </w:t>
      </w:r>
      <w:r w:rsidRPr="007608C2">
        <w:rPr>
          <w:rFonts w:cs="Arial"/>
          <w:i/>
          <w:lang w:eastAsia="es-ES"/>
        </w:rPr>
        <w:t>una estructura social que se constituye a partir de un proceso que genera vínculos de consanguinidad o afinidad entre sus miembros. Por lo tanto, si bien la familia puede surgir como un fenómeno natural producto de la decisión libre de dos personas, lo cierto es que son las manifestaciones de solidaridad, fraternidad, apoyo, cariño y amor, lo que la estructuran y le brindan cohesión a la institución</w:t>
      </w:r>
      <w:r w:rsidRPr="007608C2">
        <w:rPr>
          <w:rFonts w:cs="Arial"/>
          <w:lang w:eastAsia="es-ES"/>
        </w:rPr>
        <w:t xml:space="preserve">”. Sentencia del 11 de julio de 2013 del Consejo de Estado. </w:t>
      </w:r>
    </w:p>
    <w:p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De acuerdo con lo planteado en los Lineamientos Técnicos para la Inclusión y Atención a familias (2007), “El verdadero alcance y acierto de una política pública hacia las familias está en apoyarlas y acompañarlas en el desempeño de sus funciones vitales.  La política tiene un doble propósito: el específico de los asuntos familiares y el de asegurar que toda la política social contribuya con la supervivencia de las familias. En la medida en que se cumpla con los anteriores propósitos se estarán no solo fortaleciendo las capacidades internas de las familias para un adecuado cumplimiento de sus funciones sino además, previniendo la aparición y el incremento de los problemas sociales”.</w:t>
      </w:r>
    </w:p>
    <w:p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 xml:space="preserve">De cara a esta situación, se devela la necesidad de identificar de acuerdo con las competencias de </w:t>
      </w:r>
      <w:r w:rsidR="00393E5D" w:rsidRPr="007608C2">
        <w:rPr>
          <w:rFonts w:cs="Arial"/>
          <w:lang w:eastAsia="es-ES"/>
        </w:rPr>
        <w:t>cada institución</w:t>
      </w:r>
      <w:r w:rsidRPr="007608C2">
        <w:rPr>
          <w:rFonts w:cs="Arial"/>
          <w:lang w:eastAsia="es-ES"/>
        </w:rPr>
        <w:t xml:space="preserve"> su papel frente al fortalecimiento familiar, de modo que a través de los diferentes programas y proyectos dirigidos a las familias y a sus integrantes, se incidan en el bienestar, en la calidad de relaciones que se tejen en su interior, en la convivencia armónica y a su vez en propiciar las condiciones que amplíen las oportunidades y mejoren la calidad de vida de las familias.</w:t>
      </w:r>
    </w:p>
    <w:p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lastRenderedPageBreak/>
        <w:t>La principal recomendación que hace la CEPAL para hacer efectivas las políticas de familias es contar con un diagnóstico que responda a los cambios, y a las nuevas prácticas familiares en América Latina. Así mismo, plantea que las políticas de familia deben orientarse a superar las paradojas de la familia relacionadas con la conciliación de los tiempos del cuidado con los tiempos del mercado laboral. Estas políticas deben tender al establecimiento de las relaciones democráticas, conciliando derechos y obligaciones entre sus miembros, independientemente de las formas de constitución y de organización de la familia.</w:t>
      </w:r>
    </w:p>
    <w:p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En ese contexto, la Dirección de Familias y Comunidades estudia la información sobre la situación de las familias en el país, participa en la formulación, aplicación y seguimiento de estrategias, planes y programas para su fortalecimiento y apoyo con el concurso de la población sujeto de atención, coordinando las acciones con el Sistema Nacional de Bienestar Familiar.</w:t>
      </w:r>
    </w:p>
    <w:p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En ese marco, se presentan a continuación, las acciones adelantadas por la Dirección de Familias y Comunidades, primero frente al desarrollo de las políticas priorizadas y luego en relación con las modalidades que implementa.</w:t>
      </w:r>
    </w:p>
    <w:p w:rsidR="00567B11" w:rsidRPr="007608C2" w:rsidRDefault="00567B11" w:rsidP="00A44A2B">
      <w:pPr>
        <w:pStyle w:val="Prrafodelista"/>
        <w:keepNext/>
        <w:keepLines/>
        <w:numPr>
          <w:ilvl w:val="2"/>
          <w:numId w:val="48"/>
        </w:numPr>
        <w:spacing w:before="40" w:after="0"/>
        <w:outlineLvl w:val="1"/>
        <w:rPr>
          <w:rFonts w:eastAsiaTheme="majorEastAsia" w:cs="Arial"/>
          <w:b/>
          <w:szCs w:val="26"/>
        </w:rPr>
      </w:pPr>
      <w:bookmarkStart w:id="57" w:name="_Toc503465500"/>
      <w:bookmarkStart w:id="58" w:name="_Toc505183049"/>
      <w:r w:rsidRPr="007608C2">
        <w:rPr>
          <w:rFonts w:eastAsiaTheme="majorEastAsia" w:cs="Arial"/>
          <w:b/>
          <w:szCs w:val="26"/>
        </w:rPr>
        <w:t>Acciones adelantadas frente a políticas priorizadas</w:t>
      </w:r>
      <w:bookmarkEnd w:id="57"/>
      <w:bookmarkEnd w:id="58"/>
    </w:p>
    <w:p w:rsidR="00567B11" w:rsidRPr="007608C2" w:rsidRDefault="00567B11" w:rsidP="00A44A2B">
      <w:pPr>
        <w:numPr>
          <w:ilvl w:val="0"/>
          <w:numId w:val="59"/>
        </w:numPr>
        <w:spacing w:before="100" w:beforeAutospacing="1" w:after="100" w:afterAutospacing="1" w:line="240" w:lineRule="auto"/>
        <w:ind w:left="360"/>
        <w:jc w:val="both"/>
        <w:rPr>
          <w:rFonts w:cs="Arial"/>
          <w:b/>
        </w:rPr>
      </w:pPr>
      <w:r w:rsidRPr="007608C2">
        <w:rPr>
          <w:rFonts w:cs="Arial"/>
          <w:b/>
        </w:rPr>
        <w:t>Política Pública Nacional de Apoyo y Fortalecimiento a las Familias</w:t>
      </w:r>
    </w:p>
    <w:p w:rsidR="00567B11" w:rsidRPr="007608C2" w:rsidRDefault="00567B11" w:rsidP="00567B11">
      <w:pPr>
        <w:spacing w:before="100" w:beforeAutospacing="1" w:after="100" w:afterAutospacing="1" w:line="240" w:lineRule="auto"/>
        <w:jc w:val="both"/>
        <w:rPr>
          <w:rFonts w:cs="Arial"/>
        </w:rPr>
      </w:pPr>
      <w:r w:rsidRPr="007608C2">
        <w:rPr>
          <w:rFonts w:cs="Arial"/>
        </w:rPr>
        <w:t>La coordinación de esta política se realiza a través de la Mesa Técnica Nacional de Familia; escenario que permitió, en la vigencia 2017, concertar las acciones de apoyo y fortalecimiento a las familias mediante la organización de grupos de trabajo en tres líneas:  i) elaboración de lineamientos para la creación de programas de fortalecimiento familiar, ii) definición de estrategias de socialización y asistencia técnica territorial y iii) gestión del conocimiento; de igual manera se establecieron  orientaciones y acuerdos para la conmemoración del Día Internacional de las Familias, así como estrategias de socialización de la Política Pública.</w:t>
      </w:r>
    </w:p>
    <w:p w:rsidR="00567B11" w:rsidRPr="007608C2" w:rsidRDefault="00567B11" w:rsidP="00567B11">
      <w:pPr>
        <w:spacing w:before="100" w:beforeAutospacing="1" w:after="100" w:afterAutospacing="1" w:line="240" w:lineRule="auto"/>
        <w:jc w:val="both"/>
        <w:rPr>
          <w:rFonts w:cs="Arial"/>
        </w:rPr>
      </w:pPr>
      <w:r w:rsidRPr="007608C2">
        <w:rPr>
          <w:rFonts w:cs="Arial"/>
        </w:rPr>
        <w:t>La conmemoración del Día Internacional de las Familias tuvo como lema: “Familias, Educación y Bienestar” que fue promovido por el Departamento de Economía y Relaciones Sociales de Naciones Unidas y la División de Política Social y Desarrollo. En este sentido, el ICBF en desarrollo de su misión se unió a esta celebración, durante el mes de mayo, invitando a las 33 regionales a promover alianzas Departamentales, Distritales, Municipales y con los demás agentes del SNBF presentes en las regiones en torno al desarrollo de acciones que propiciaran la reflexión alrededor del lema propuesto.</w:t>
      </w:r>
    </w:p>
    <w:p w:rsidR="00567B11" w:rsidRPr="007608C2" w:rsidRDefault="00567B11" w:rsidP="00567B11">
      <w:pPr>
        <w:spacing w:before="100" w:beforeAutospacing="1" w:after="100" w:afterAutospacing="1" w:line="240" w:lineRule="auto"/>
        <w:jc w:val="both"/>
        <w:rPr>
          <w:rFonts w:cs="Arial"/>
        </w:rPr>
      </w:pPr>
      <w:r w:rsidRPr="007608C2">
        <w:rPr>
          <w:rFonts w:cs="Arial"/>
        </w:rPr>
        <w:t>Desde la Dirección de Familias y Comunidades se participó en el segundo Congreso Regional sobre Familias organizado por la Fundación Universitaria Juan de Castellanos en la ciudad de Tunja. Así mismo, se intervino en espacios radiales tales como en Familia de caracol radio y Mañanas con Bienestar de RCN radio y se circuló el hashtag #DiadelasFamilias con mensajes que hicieron énfasis en la importancia de la comunicación, cercana y afectuosa, así como en la promoción de prácticas que fortalecen los vínculos de cuidado mutuo al interior del sistema familiar.</w:t>
      </w:r>
    </w:p>
    <w:p w:rsidR="00567B11" w:rsidRPr="007608C2" w:rsidRDefault="00567B11" w:rsidP="00567B11">
      <w:pPr>
        <w:spacing w:before="100" w:beforeAutospacing="1" w:after="100" w:afterAutospacing="1" w:line="240" w:lineRule="auto"/>
        <w:jc w:val="both"/>
        <w:rPr>
          <w:rFonts w:cs="Arial"/>
        </w:rPr>
      </w:pPr>
      <w:r w:rsidRPr="007608C2">
        <w:rPr>
          <w:rFonts w:cs="Arial"/>
        </w:rPr>
        <w:lastRenderedPageBreak/>
        <w:t xml:space="preserve">Por otra parte, en desarrollo del proceso de asistencia técnica se adelantaron video-conferencias en las sedes de las Secretarías Departamentales de Salud, y se participó en el Taller nacional para el fortalecimiento y atención integral de las familias, los colectivos y las poblaciones en vulnerabilidad organizado por el Ministerio de Salud y Protección Social. Los temas trabajados en las video-conferencias fueron: </w:t>
      </w:r>
    </w:p>
    <w:tbl>
      <w:tblPr>
        <w:tblW w:w="0" w:type="auto"/>
        <w:tblInd w:w="250"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shd w:val="clear" w:color="auto" w:fill="FFFFFF"/>
        <w:tblLook w:val="04A0" w:firstRow="1" w:lastRow="0" w:firstColumn="1" w:lastColumn="0" w:noHBand="0" w:noVBand="1"/>
      </w:tblPr>
      <w:tblGrid>
        <w:gridCol w:w="1872"/>
        <w:gridCol w:w="7273"/>
      </w:tblGrid>
      <w:tr w:rsidR="00567B11" w:rsidRPr="00393E5D" w:rsidTr="00393E5D">
        <w:trPr>
          <w:trHeight w:val="236"/>
        </w:trPr>
        <w:tc>
          <w:tcPr>
            <w:tcW w:w="1872" w:type="dxa"/>
            <w:shd w:val="clear" w:color="auto" w:fill="76922E"/>
            <w:vAlign w:val="center"/>
          </w:tcPr>
          <w:p w:rsidR="00567B11" w:rsidRPr="00393E5D" w:rsidRDefault="00567B11" w:rsidP="00393E5D">
            <w:pPr>
              <w:spacing w:before="100" w:beforeAutospacing="1" w:after="100" w:afterAutospacing="1" w:line="240" w:lineRule="auto"/>
              <w:jc w:val="center"/>
              <w:rPr>
                <w:rFonts w:cs="Arial"/>
                <w:b/>
                <w:color w:val="FFFFFF" w:themeColor="background1"/>
                <w:sz w:val="18"/>
                <w:szCs w:val="18"/>
              </w:rPr>
            </w:pPr>
            <w:r w:rsidRPr="00393E5D">
              <w:rPr>
                <w:rFonts w:cs="Arial"/>
                <w:b/>
                <w:color w:val="FFFFFF" w:themeColor="background1"/>
                <w:sz w:val="18"/>
                <w:szCs w:val="18"/>
              </w:rPr>
              <w:t>Fechas</w:t>
            </w:r>
          </w:p>
        </w:tc>
        <w:tc>
          <w:tcPr>
            <w:tcW w:w="7273" w:type="dxa"/>
            <w:shd w:val="clear" w:color="auto" w:fill="76922E"/>
            <w:vAlign w:val="center"/>
          </w:tcPr>
          <w:p w:rsidR="00567B11" w:rsidRPr="00393E5D" w:rsidRDefault="00567B11" w:rsidP="00393E5D">
            <w:pPr>
              <w:spacing w:before="100" w:beforeAutospacing="1" w:after="100" w:afterAutospacing="1" w:line="240" w:lineRule="auto"/>
              <w:jc w:val="center"/>
              <w:rPr>
                <w:rFonts w:cs="Arial"/>
                <w:b/>
                <w:color w:val="FFFFFF" w:themeColor="background1"/>
                <w:sz w:val="18"/>
                <w:szCs w:val="18"/>
              </w:rPr>
            </w:pPr>
            <w:r w:rsidRPr="00393E5D">
              <w:rPr>
                <w:rFonts w:cs="Arial"/>
                <w:b/>
                <w:color w:val="FFFFFF" w:themeColor="background1"/>
                <w:sz w:val="18"/>
                <w:szCs w:val="18"/>
              </w:rPr>
              <w:t>Objetivo</w:t>
            </w:r>
          </w:p>
        </w:tc>
      </w:tr>
      <w:tr w:rsidR="00567B11" w:rsidRPr="00393E5D" w:rsidTr="00393E5D">
        <w:trPr>
          <w:trHeight w:val="549"/>
        </w:trPr>
        <w:tc>
          <w:tcPr>
            <w:tcW w:w="1872" w:type="dxa"/>
            <w:shd w:val="clear" w:color="auto" w:fill="FFFFFF"/>
            <w:vAlign w:val="center"/>
          </w:tcPr>
          <w:p w:rsidR="00567B11" w:rsidRPr="00393E5D" w:rsidRDefault="00567B11" w:rsidP="00567B11">
            <w:pPr>
              <w:spacing w:before="100" w:beforeAutospacing="1" w:after="100" w:afterAutospacing="1" w:line="240" w:lineRule="auto"/>
              <w:jc w:val="both"/>
              <w:rPr>
                <w:rFonts w:cs="Arial"/>
                <w:sz w:val="18"/>
                <w:szCs w:val="18"/>
              </w:rPr>
            </w:pPr>
            <w:r w:rsidRPr="00393E5D">
              <w:rPr>
                <w:rFonts w:cs="Arial"/>
                <w:sz w:val="18"/>
                <w:szCs w:val="18"/>
              </w:rPr>
              <w:t>16 y 17 de mayo</w:t>
            </w:r>
          </w:p>
        </w:tc>
        <w:tc>
          <w:tcPr>
            <w:tcW w:w="7273" w:type="dxa"/>
            <w:shd w:val="clear" w:color="auto" w:fill="FFFFFF"/>
            <w:vAlign w:val="center"/>
          </w:tcPr>
          <w:p w:rsidR="00567B11" w:rsidRPr="00393E5D" w:rsidRDefault="00567B11" w:rsidP="00567B11">
            <w:pPr>
              <w:spacing w:before="100" w:beforeAutospacing="1" w:after="100" w:afterAutospacing="1" w:line="240" w:lineRule="auto"/>
              <w:jc w:val="both"/>
              <w:rPr>
                <w:rFonts w:cs="Arial"/>
                <w:sz w:val="18"/>
                <w:szCs w:val="18"/>
              </w:rPr>
            </w:pPr>
            <w:r w:rsidRPr="00393E5D">
              <w:rPr>
                <w:rFonts w:cs="Arial"/>
                <w:sz w:val="18"/>
                <w:szCs w:val="18"/>
              </w:rPr>
              <w:t>Socialización a los territorios de los puntos centrales de la Política, así como brindar claridad frente a los conceptos y metodologías relacionadas con su implementación</w:t>
            </w:r>
          </w:p>
        </w:tc>
      </w:tr>
      <w:tr w:rsidR="00567B11" w:rsidRPr="00393E5D" w:rsidTr="00393E5D">
        <w:trPr>
          <w:trHeight w:val="549"/>
        </w:trPr>
        <w:tc>
          <w:tcPr>
            <w:tcW w:w="1872" w:type="dxa"/>
            <w:shd w:val="clear" w:color="auto" w:fill="FFFFFF"/>
            <w:vAlign w:val="center"/>
          </w:tcPr>
          <w:p w:rsidR="00567B11" w:rsidRPr="00393E5D" w:rsidRDefault="00567B11" w:rsidP="00567B11">
            <w:pPr>
              <w:spacing w:before="100" w:beforeAutospacing="1" w:after="100" w:afterAutospacing="1" w:line="240" w:lineRule="auto"/>
              <w:jc w:val="both"/>
              <w:rPr>
                <w:rFonts w:cs="Arial"/>
                <w:sz w:val="18"/>
                <w:szCs w:val="18"/>
              </w:rPr>
            </w:pPr>
            <w:r w:rsidRPr="00393E5D">
              <w:rPr>
                <w:rFonts w:cs="Arial"/>
                <w:sz w:val="18"/>
                <w:szCs w:val="18"/>
              </w:rPr>
              <w:t>11 de julio de 2017</w:t>
            </w:r>
          </w:p>
        </w:tc>
        <w:tc>
          <w:tcPr>
            <w:tcW w:w="7273" w:type="dxa"/>
            <w:shd w:val="clear" w:color="auto" w:fill="FFFFFF"/>
            <w:vAlign w:val="center"/>
          </w:tcPr>
          <w:p w:rsidR="00567B11" w:rsidRPr="00393E5D" w:rsidRDefault="00567B11" w:rsidP="00376C7E">
            <w:pPr>
              <w:spacing w:after="0" w:line="240" w:lineRule="auto"/>
              <w:jc w:val="both"/>
              <w:rPr>
                <w:rFonts w:cs="Arial"/>
                <w:sz w:val="18"/>
                <w:szCs w:val="18"/>
              </w:rPr>
            </w:pPr>
            <w:r w:rsidRPr="00393E5D">
              <w:rPr>
                <w:rFonts w:cs="Arial"/>
                <w:sz w:val="18"/>
                <w:szCs w:val="18"/>
              </w:rPr>
              <w:t>Presentación Subsistema Nacional de cuidado para persona con dependencia funcional permanente y persona cuidadora.</w:t>
            </w:r>
          </w:p>
          <w:p w:rsidR="00567B11" w:rsidRPr="00393E5D" w:rsidRDefault="00567B11" w:rsidP="00376C7E">
            <w:pPr>
              <w:spacing w:after="0" w:line="240" w:lineRule="auto"/>
              <w:jc w:val="both"/>
              <w:rPr>
                <w:rFonts w:cs="Arial"/>
                <w:sz w:val="18"/>
                <w:szCs w:val="18"/>
                <w:lang w:val="es-CO"/>
              </w:rPr>
            </w:pPr>
            <w:r w:rsidRPr="00393E5D">
              <w:rPr>
                <w:rFonts w:cs="Arial"/>
                <w:sz w:val="18"/>
                <w:szCs w:val="18"/>
              </w:rPr>
              <w:t>Presentación Experiencia Territorial en Familia: “Salas de aprendizaje Familiar”- Secretaria Departamental de Antioquia.</w:t>
            </w:r>
          </w:p>
        </w:tc>
      </w:tr>
      <w:tr w:rsidR="00567B11" w:rsidRPr="00393E5D" w:rsidTr="00393E5D">
        <w:trPr>
          <w:trHeight w:val="549"/>
        </w:trPr>
        <w:tc>
          <w:tcPr>
            <w:tcW w:w="1872" w:type="dxa"/>
            <w:shd w:val="clear" w:color="auto" w:fill="FFFFFF"/>
            <w:vAlign w:val="center"/>
          </w:tcPr>
          <w:p w:rsidR="00567B11" w:rsidRPr="00393E5D" w:rsidRDefault="00567B11" w:rsidP="00567B11">
            <w:pPr>
              <w:spacing w:before="100" w:beforeAutospacing="1" w:after="100" w:afterAutospacing="1" w:line="240" w:lineRule="auto"/>
              <w:jc w:val="both"/>
              <w:rPr>
                <w:rFonts w:cs="Arial"/>
                <w:sz w:val="18"/>
                <w:szCs w:val="18"/>
              </w:rPr>
            </w:pPr>
            <w:r w:rsidRPr="00393E5D">
              <w:rPr>
                <w:rFonts w:cs="Arial"/>
                <w:sz w:val="18"/>
                <w:szCs w:val="18"/>
              </w:rPr>
              <w:t>20 de septiembre</w:t>
            </w:r>
          </w:p>
        </w:tc>
        <w:tc>
          <w:tcPr>
            <w:tcW w:w="7273" w:type="dxa"/>
            <w:shd w:val="clear" w:color="auto" w:fill="FFFFFF"/>
            <w:vAlign w:val="center"/>
          </w:tcPr>
          <w:p w:rsidR="00567B11" w:rsidRPr="00393E5D" w:rsidRDefault="00567B11" w:rsidP="00567B11">
            <w:pPr>
              <w:spacing w:before="100" w:beforeAutospacing="1" w:after="100" w:afterAutospacing="1" w:line="240" w:lineRule="auto"/>
              <w:jc w:val="both"/>
              <w:rPr>
                <w:rFonts w:cs="Arial"/>
                <w:sz w:val="18"/>
                <w:szCs w:val="18"/>
              </w:rPr>
            </w:pPr>
            <w:r w:rsidRPr="00393E5D">
              <w:rPr>
                <w:rFonts w:cs="Arial"/>
                <w:sz w:val="18"/>
                <w:szCs w:val="18"/>
              </w:rPr>
              <w:t>Observatorio nacional y observatorios regionales. Recomendaciones Departamento Nacional de Planeación -DNP</w:t>
            </w:r>
          </w:p>
        </w:tc>
      </w:tr>
    </w:tbl>
    <w:p w:rsidR="00567B11" w:rsidRPr="007608C2" w:rsidRDefault="00567B11" w:rsidP="00A44A2B">
      <w:pPr>
        <w:numPr>
          <w:ilvl w:val="0"/>
          <w:numId w:val="59"/>
        </w:numPr>
        <w:spacing w:before="100" w:beforeAutospacing="1" w:after="100" w:afterAutospacing="1" w:line="240" w:lineRule="auto"/>
        <w:ind w:left="360"/>
        <w:jc w:val="both"/>
        <w:rPr>
          <w:rFonts w:cs="Arial"/>
          <w:b/>
        </w:rPr>
      </w:pPr>
      <w:r w:rsidRPr="007608C2">
        <w:rPr>
          <w:rFonts w:cs="Arial"/>
          <w:b/>
        </w:rPr>
        <w:t>Política de Envejecimiento Humano y Vejez</w:t>
      </w:r>
    </w:p>
    <w:p w:rsidR="00567B11" w:rsidRPr="007608C2" w:rsidRDefault="00567B11" w:rsidP="00567B11">
      <w:pPr>
        <w:spacing w:before="100" w:beforeAutospacing="1" w:after="100" w:afterAutospacing="1" w:line="240" w:lineRule="auto"/>
        <w:jc w:val="both"/>
        <w:rPr>
          <w:rFonts w:cs="Arial"/>
        </w:rPr>
      </w:pPr>
      <w:r w:rsidRPr="007608C2">
        <w:rPr>
          <w:rFonts w:cs="Arial"/>
        </w:rPr>
        <w:t>Durante la presente vigencia el ICBF participó en los Encuentros Nación Territorio, “estrategia de participación diseñada para difundir y compartir información relacionada con la política pública y los procesos de envejecimiento humano y vejez”. Estas sesiones fueron convocadas por el Ministerio de Salud y Protección Social de manera bimestral desde el mes de marzo del 2017.</w:t>
      </w:r>
    </w:p>
    <w:p w:rsidR="00567B11" w:rsidRPr="007608C2" w:rsidRDefault="00567B11" w:rsidP="00567B11">
      <w:pPr>
        <w:spacing w:before="100" w:beforeAutospacing="1" w:after="100" w:afterAutospacing="1" w:line="240" w:lineRule="auto"/>
        <w:jc w:val="both"/>
        <w:rPr>
          <w:rFonts w:cs="Arial"/>
        </w:rPr>
      </w:pPr>
      <w:r w:rsidRPr="007608C2">
        <w:rPr>
          <w:rFonts w:cs="Arial"/>
        </w:rPr>
        <w:t>Dentro de los avances en materia de protección a las personas adultas mayores se encuentran:</w:t>
      </w:r>
    </w:p>
    <w:p w:rsidR="00393E5D" w:rsidRDefault="00567B11" w:rsidP="00A44A2B">
      <w:pPr>
        <w:numPr>
          <w:ilvl w:val="0"/>
          <w:numId w:val="91"/>
        </w:numPr>
        <w:tabs>
          <w:tab w:val="num" w:pos="709"/>
        </w:tabs>
        <w:spacing w:after="0" w:line="240" w:lineRule="auto"/>
        <w:ind w:left="709" w:hanging="283"/>
        <w:jc w:val="both"/>
        <w:rPr>
          <w:rFonts w:cs="Arial"/>
        </w:rPr>
      </w:pPr>
      <w:r w:rsidRPr="007608C2">
        <w:rPr>
          <w:rFonts w:cs="Arial"/>
        </w:rPr>
        <w:t xml:space="preserve">La sanción de la Ley 1850 del 19 de julio de 2017, “Por medio de la cual se establecen medidas de protección al adulto mayor en Colombia, se modifican las leyes 1251 de 2008, 1351 de 2009, 599 de 2000 y 1276 de 2009, se penaliza el maltrato intrafamiliar por abandono y </w:t>
      </w:r>
      <w:r w:rsidR="00393E5D">
        <w:rPr>
          <w:rFonts w:cs="Arial"/>
        </w:rPr>
        <w:t>se dictan otras disposiciones”.</w:t>
      </w:r>
    </w:p>
    <w:p w:rsidR="00393E5D" w:rsidRPr="00393E5D" w:rsidRDefault="00393E5D" w:rsidP="00393E5D">
      <w:pPr>
        <w:spacing w:after="0" w:line="240" w:lineRule="auto"/>
        <w:ind w:left="709"/>
        <w:jc w:val="both"/>
        <w:rPr>
          <w:rFonts w:cs="Arial"/>
        </w:rPr>
      </w:pPr>
    </w:p>
    <w:p w:rsidR="00393E5D" w:rsidRPr="00393E5D" w:rsidRDefault="00567B11" w:rsidP="00A44A2B">
      <w:pPr>
        <w:numPr>
          <w:ilvl w:val="0"/>
          <w:numId w:val="91"/>
        </w:numPr>
        <w:tabs>
          <w:tab w:val="num" w:pos="709"/>
        </w:tabs>
        <w:spacing w:after="0" w:line="240" w:lineRule="auto"/>
        <w:ind w:left="709" w:hanging="283"/>
        <w:jc w:val="both"/>
        <w:rPr>
          <w:rFonts w:cs="Arial"/>
        </w:rPr>
      </w:pPr>
      <w:r w:rsidRPr="00393E5D">
        <w:rPr>
          <w:rFonts w:cs="Arial"/>
        </w:rPr>
        <w:t>La inclusión dentro de la población titular de atención de la modalidad “Familias con Bienestar para la Paz” a las Familias que tienen entre sus integrantes a adultos mayores con deterioro funcional y/o cognitivo, atendiendo prioritariamente a aquellas con amenaza o vulneración respecto de su derecho de alimentos y/o afectadas por situaciones de violencia intrafamiliar.</w:t>
      </w:r>
    </w:p>
    <w:p w:rsidR="00567B11" w:rsidRPr="007608C2" w:rsidRDefault="00567B11" w:rsidP="00A44A2B">
      <w:pPr>
        <w:numPr>
          <w:ilvl w:val="0"/>
          <w:numId w:val="58"/>
        </w:numPr>
        <w:spacing w:before="100" w:beforeAutospacing="1" w:after="100" w:afterAutospacing="1" w:line="240" w:lineRule="auto"/>
        <w:ind w:left="360"/>
        <w:jc w:val="both"/>
        <w:rPr>
          <w:rFonts w:cs="Arial"/>
          <w:b/>
        </w:rPr>
      </w:pPr>
      <w:r w:rsidRPr="007608C2">
        <w:rPr>
          <w:rFonts w:cs="Arial"/>
          <w:b/>
        </w:rPr>
        <w:t>Política Institucional de Familia</w:t>
      </w:r>
    </w:p>
    <w:p w:rsidR="00567B11" w:rsidRPr="007608C2" w:rsidRDefault="00567B11" w:rsidP="00567B11">
      <w:pPr>
        <w:spacing w:before="100" w:beforeAutospacing="1" w:after="100" w:afterAutospacing="1" w:line="240" w:lineRule="auto"/>
        <w:jc w:val="both"/>
        <w:rPr>
          <w:rFonts w:cs="Arial"/>
        </w:rPr>
      </w:pPr>
      <w:r w:rsidRPr="007608C2">
        <w:rPr>
          <w:rFonts w:cs="Arial"/>
        </w:rPr>
        <w:t xml:space="preserve">Atendiendo a las funciones de la Dirección de Familias y Comunidades se conformó la Mesa Institucional de Familia, con el objeto de guiar, armonizar e impulsar el diseño, implementación, seguimiento y evaluación de la política institucional de fortalecimiento familiar y promover la garantía de sus derechos a nivel nacional. </w:t>
      </w:r>
    </w:p>
    <w:p w:rsidR="00567B11" w:rsidRPr="007608C2" w:rsidRDefault="00567B11" w:rsidP="00567B11">
      <w:pPr>
        <w:spacing w:before="100" w:beforeAutospacing="1" w:after="100" w:afterAutospacing="1" w:line="240" w:lineRule="auto"/>
        <w:jc w:val="both"/>
        <w:rPr>
          <w:rFonts w:cs="Arial"/>
        </w:rPr>
      </w:pPr>
      <w:r w:rsidRPr="007608C2">
        <w:rPr>
          <w:rFonts w:cs="Arial"/>
        </w:rPr>
        <w:t>Los delegados designados para conformar la MIF han participado en seis sesiones en las cuales se establecieron los ejes de actuación (9). Se priorizó 5 ejes de actuación en 2017 y se dio inicio al proceso de formalización de la mesa como instancia asesora en el ICBF.</w:t>
      </w:r>
    </w:p>
    <w:p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lastRenderedPageBreak/>
        <w:t>Dentro de los principales resultados en la vigencia 2017, se señalan:</w:t>
      </w:r>
    </w:p>
    <w:p w:rsidR="00567B11" w:rsidRDefault="00567B11" w:rsidP="00A44A2B">
      <w:pPr>
        <w:numPr>
          <w:ilvl w:val="0"/>
          <w:numId w:val="91"/>
        </w:numPr>
        <w:tabs>
          <w:tab w:val="num" w:pos="709"/>
        </w:tabs>
        <w:spacing w:after="0" w:line="240" w:lineRule="auto"/>
        <w:ind w:left="709" w:hanging="283"/>
        <w:jc w:val="both"/>
        <w:rPr>
          <w:rFonts w:cs="Arial"/>
        </w:rPr>
      </w:pPr>
      <w:r w:rsidRPr="00393E5D">
        <w:rPr>
          <w:rFonts w:cs="Arial"/>
          <w:b/>
        </w:rPr>
        <w:t>Difusión y comunicación:</w:t>
      </w:r>
      <w:r w:rsidRPr="007608C2">
        <w:rPr>
          <w:rFonts w:cs="Arial"/>
        </w:rPr>
        <w:t xml:space="preserve"> creación de una carpeta compartida donde se socializan los documentos construidos en las sesiones de la Mesa, y la información complementaria.</w:t>
      </w:r>
    </w:p>
    <w:p w:rsidR="00393E5D" w:rsidRPr="007608C2" w:rsidRDefault="00393E5D" w:rsidP="00393E5D">
      <w:pPr>
        <w:spacing w:after="0" w:line="240" w:lineRule="auto"/>
        <w:ind w:left="709"/>
        <w:jc w:val="both"/>
        <w:rPr>
          <w:rFonts w:cs="Arial"/>
        </w:rPr>
      </w:pPr>
    </w:p>
    <w:p w:rsidR="00567B11" w:rsidRDefault="00567B11" w:rsidP="00A44A2B">
      <w:pPr>
        <w:numPr>
          <w:ilvl w:val="0"/>
          <w:numId w:val="91"/>
        </w:numPr>
        <w:tabs>
          <w:tab w:val="num" w:pos="709"/>
        </w:tabs>
        <w:spacing w:after="0" w:line="240" w:lineRule="auto"/>
        <w:ind w:left="709" w:hanging="283"/>
        <w:jc w:val="both"/>
        <w:rPr>
          <w:rFonts w:cs="Arial"/>
        </w:rPr>
      </w:pPr>
      <w:r w:rsidRPr="00393E5D">
        <w:rPr>
          <w:rFonts w:cs="Arial"/>
          <w:b/>
        </w:rPr>
        <w:t>Información disponible:</w:t>
      </w:r>
      <w:r w:rsidRPr="007608C2">
        <w:rPr>
          <w:rFonts w:cs="Arial"/>
        </w:rPr>
        <w:t xml:space="preserve"> socialización de la percepción del trabajo con las familias desde 333 voces de colaboradores ICBF, intercambio de conocimientos en torno a las acciones con familias y las formas de abordaje desde las diferentes áreas.</w:t>
      </w:r>
    </w:p>
    <w:p w:rsidR="00393E5D" w:rsidRPr="00393E5D" w:rsidRDefault="00393E5D" w:rsidP="00393E5D">
      <w:pPr>
        <w:spacing w:after="0" w:line="240" w:lineRule="auto"/>
        <w:jc w:val="both"/>
        <w:rPr>
          <w:rFonts w:cs="Arial"/>
          <w:b/>
        </w:rPr>
      </w:pPr>
    </w:p>
    <w:p w:rsidR="00567B11" w:rsidRDefault="00567B11" w:rsidP="00A44A2B">
      <w:pPr>
        <w:numPr>
          <w:ilvl w:val="0"/>
          <w:numId w:val="91"/>
        </w:numPr>
        <w:tabs>
          <w:tab w:val="num" w:pos="709"/>
        </w:tabs>
        <w:spacing w:after="0" w:line="240" w:lineRule="auto"/>
        <w:ind w:left="709" w:hanging="283"/>
        <w:jc w:val="both"/>
        <w:rPr>
          <w:rFonts w:cs="Arial"/>
        </w:rPr>
      </w:pPr>
      <w:r w:rsidRPr="00393E5D">
        <w:rPr>
          <w:rFonts w:cs="Arial"/>
          <w:b/>
        </w:rPr>
        <w:t>Institucionalización:</w:t>
      </w:r>
      <w:r w:rsidRPr="007608C2">
        <w:rPr>
          <w:rFonts w:cs="Arial"/>
        </w:rPr>
        <w:t xml:space="preserve"> proyección del acto administrativo de formalización de la Mesa Interna de Familia; el cual se encuentra en control de legalidad.</w:t>
      </w:r>
    </w:p>
    <w:p w:rsidR="00393E5D" w:rsidRPr="007608C2" w:rsidRDefault="00393E5D" w:rsidP="00393E5D">
      <w:pPr>
        <w:spacing w:after="0" w:line="240" w:lineRule="auto"/>
        <w:jc w:val="both"/>
        <w:rPr>
          <w:rFonts w:cs="Arial"/>
        </w:rPr>
      </w:pPr>
    </w:p>
    <w:p w:rsidR="00567B11" w:rsidRDefault="00393E5D" w:rsidP="00A44A2B">
      <w:pPr>
        <w:numPr>
          <w:ilvl w:val="0"/>
          <w:numId w:val="91"/>
        </w:numPr>
        <w:tabs>
          <w:tab w:val="num" w:pos="709"/>
        </w:tabs>
        <w:spacing w:after="0" w:line="240" w:lineRule="auto"/>
        <w:ind w:left="709" w:hanging="283"/>
        <w:jc w:val="both"/>
        <w:rPr>
          <w:rFonts w:cs="Arial"/>
        </w:rPr>
      </w:pPr>
      <w:r>
        <w:rPr>
          <w:rFonts w:cs="Arial"/>
          <w:b/>
        </w:rPr>
        <w:t>Formación - l</w:t>
      </w:r>
      <w:r w:rsidR="00567B11" w:rsidRPr="00393E5D">
        <w:rPr>
          <w:rFonts w:cs="Arial"/>
          <w:b/>
        </w:rPr>
        <w:t>enguaje común:</w:t>
      </w:r>
      <w:r w:rsidR="00567B11" w:rsidRPr="007608C2">
        <w:rPr>
          <w:rFonts w:cs="Arial"/>
        </w:rPr>
        <w:t xml:space="preserve"> Se realizaron capacitaciones en vínculos de cuidado mutuo y en el concepto de familia desde los desarrollos jurisprudenciales y los lineamientos técnicos para la inclusión y atención de familias.</w:t>
      </w:r>
    </w:p>
    <w:p w:rsidR="00393E5D" w:rsidRPr="007608C2" w:rsidRDefault="00393E5D" w:rsidP="00393E5D">
      <w:pPr>
        <w:spacing w:after="0" w:line="240" w:lineRule="auto"/>
        <w:jc w:val="both"/>
        <w:rPr>
          <w:rFonts w:cs="Arial"/>
        </w:rPr>
      </w:pPr>
    </w:p>
    <w:p w:rsidR="00393E5D" w:rsidRPr="00393E5D" w:rsidRDefault="00567B11" w:rsidP="00A44A2B">
      <w:pPr>
        <w:numPr>
          <w:ilvl w:val="0"/>
          <w:numId w:val="91"/>
        </w:numPr>
        <w:tabs>
          <w:tab w:val="num" w:pos="709"/>
        </w:tabs>
        <w:spacing w:after="0" w:line="240" w:lineRule="auto"/>
        <w:ind w:left="709" w:hanging="283"/>
        <w:jc w:val="both"/>
        <w:rPr>
          <w:rFonts w:cs="Arial"/>
        </w:rPr>
      </w:pPr>
      <w:r w:rsidRPr="00393E5D">
        <w:rPr>
          <w:rFonts w:cs="Arial"/>
          <w:b/>
        </w:rPr>
        <w:t>Planificación:</w:t>
      </w:r>
      <w:r w:rsidRPr="00393E5D">
        <w:rPr>
          <w:rFonts w:cs="Arial"/>
        </w:rPr>
        <w:t xml:space="preserve"> desarrollo de la priorización de los ejes de actuación 2017, de igual manera, se adelantó la construcción colectiva para el desarrollo de reuniones al interior de cada dependencia y la proyección 2018.</w:t>
      </w:r>
    </w:p>
    <w:p w:rsidR="00567B11" w:rsidRPr="007608C2" w:rsidRDefault="00567B11" w:rsidP="00A44A2B">
      <w:pPr>
        <w:numPr>
          <w:ilvl w:val="0"/>
          <w:numId w:val="58"/>
        </w:numPr>
        <w:spacing w:before="100" w:beforeAutospacing="1" w:after="100" w:afterAutospacing="1" w:line="240" w:lineRule="auto"/>
        <w:ind w:left="360"/>
        <w:jc w:val="both"/>
        <w:rPr>
          <w:rFonts w:cs="Arial"/>
          <w:b/>
        </w:rPr>
      </w:pPr>
      <w:r w:rsidRPr="007608C2">
        <w:rPr>
          <w:rFonts w:cs="Arial"/>
          <w:b/>
        </w:rPr>
        <w:t>Atención a las Familias y las Comunidades de Pueblos Étnicos</w:t>
      </w:r>
    </w:p>
    <w:p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 xml:space="preserve">Durante la vigencia 2017, esta Dirección ha atendido los compromisos específicos asignados, dando respuesta en primera instancia al cumplimiento de acuerdos de Plan Nacional de Desarrollo 2014 – 2018, Ley 1753 de 2015 “Todos por un Nuevo País” </w:t>
      </w:r>
      <w:r w:rsidR="008616DD">
        <w:rPr>
          <w:rFonts w:cs="Arial"/>
          <w:lang w:eastAsia="es-ES"/>
        </w:rPr>
        <w:t xml:space="preserve">y a la demanda de atención del </w:t>
      </w:r>
      <w:r w:rsidRPr="007608C2">
        <w:rPr>
          <w:rFonts w:cs="Arial"/>
          <w:lang w:eastAsia="es-ES"/>
        </w:rPr>
        <w:t xml:space="preserve">servicio del ICBF en los múltiples espacios que se tienen para </w:t>
      </w:r>
      <w:r w:rsidR="00376C7E" w:rsidRPr="007608C2">
        <w:rPr>
          <w:rFonts w:cs="Arial"/>
          <w:lang w:eastAsia="es-ES"/>
        </w:rPr>
        <w:t>la concertación</w:t>
      </w:r>
      <w:r w:rsidRPr="007608C2">
        <w:rPr>
          <w:rFonts w:cs="Arial"/>
          <w:lang w:eastAsia="es-ES"/>
        </w:rPr>
        <w:t xml:space="preserve"> y el seguimiento a los compromisos con los  Pueblos Étnicos. Algunos de estos espacios son: Mesa Nacional de Diálogo y Concertación con Autoridades indígenas, Mesa nacional sobre la situación de la  niñez indígena, Mesa nacional de niñez afrocolombiana, Mesa amazónica, Comisión Nacional de Diálogo con el Pueblo Gitano, Mesas técnicas con la UARIV (Plan integral de atención y reparación a las víctimas), Mesas técnicas convocadas por el Ministerio del Interior sobre diferentes temas a tratar inter e intra institucionalmente para los diferentes Pueblos Étnicos, Espacios técnicos con la academia, o entidades interesadas en conocer del portafolio de servicios ICBF para pueblos Étnicos, entre otras.</w:t>
      </w:r>
    </w:p>
    <w:p w:rsidR="00567B11" w:rsidRPr="007608C2" w:rsidRDefault="00567B11" w:rsidP="00A44A2B">
      <w:pPr>
        <w:numPr>
          <w:ilvl w:val="0"/>
          <w:numId w:val="58"/>
        </w:numPr>
        <w:spacing w:before="100" w:beforeAutospacing="1" w:after="100" w:afterAutospacing="1" w:line="240" w:lineRule="auto"/>
        <w:ind w:left="360"/>
        <w:jc w:val="both"/>
        <w:rPr>
          <w:rFonts w:cs="Arial"/>
          <w:b/>
        </w:rPr>
      </w:pPr>
      <w:r w:rsidRPr="007608C2">
        <w:rPr>
          <w:rFonts w:cs="Arial"/>
          <w:b/>
        </w:rPr>
        <w:t>Núcleo Familia y Discapacidad</w:t>
      </w:r>
    </w:p>
    <w:p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 xml:space="preserve">Durante esta vigencia, se ha participado activamente en la Mesa Técnica de Enfoque Diferencial desde la Discapacidad del ICBF (Resolución No. 9313 de septiembre de 2016) en la que se ha dado cumplimiento al Plan de Acción, siendo una de las actividades centrales construir insumos técnicos, promover y gestionar los ajustes y unificación de las variables de registro de discapacidad en los sistemas de información del ICBF (SIM y Cuéntame), esto en la perspectiva de cualificar la información sobre las características de las personas con discapacidad vinculadas a las diferentes modalidades de atención del ICBF, sus necesidades de apoyo, sensibilizar y promover la identificación de ajustes razonables requeridos, para garantizar su inclusión efectiva. </w:t>
      </w:r>
    </w:p>
    <w:p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lastRenderedPageBreak/>
        <w:t>Dentro de los principales resultados durante la vigencia 2017, es importante resaltar:</w:t>
      </w:r>
    </w:p>
    <w:p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Creación de espacios de reunión para la coordinación y articulación entre las Direcciones de Protección y Familias y Comunidades y para brindar asistencia técnica a las regionales y los oper</w:t>
      </w:r>
      <w:r w:rsidR="008616DD">
        <w:rPr>
          <w:rFonts w:cs="Arial"/>
        </w:rPr>
        <w:t>adores.</w:t>
      </w:r>
    </w:p>
    <w:p w:rsidR="008616DD" w:rsidRPr="007608C2" w:rsidRDefault="008616DD" w:rsidP="008616DD">
      <w:pPr>
        <w:spacing w:after="0" w:line="240" w:lineRule="auto"/>
        <w:ind w:left="709"/>
        <w:jc w:val="both"/>
        <w:rPr>
          <w:rFonts w:cs="Arial"/>
        </w:rPr>
      </w:pPr>
    </w:p>
    <w:p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Funcionamiento sistemáti</w:t>
      </w:r>
      <w:r w:rsidR="008616DD">
        <w:rPr>
          <w:rFonts w:cs="Arial"/>
        </w:rPr>
        <w:t>co de la Mesa Técnica del ICBF.</w:t>
      </w:r>
    </w:p>
    <w:p w:rsidR="008616DD" w:rsidRPr="007608C2" w:rsidRDefault="008616DD" w:rsidP="008616DD">
      <w:pPr>
        <w:spacing w:after="0" w:line="240" w:lineRule="auto"/>
        <w:jc w:val="both"/>
        <w:rPr>
          <w:rFonts w:cs="Arial"/>
        </w:rPr>
      </w:pPr>
    </w:p>
    <w:p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Concertación del Plan de Acción y socialización a las regionales.</w:t>
      </w:r>
    </w:p>
    <w:p w:rsidR="008616DD" w:rsidRPr="007608C2" w:rsidRDefault="008616DD" w:rsidP="008616DD">
      <w:pPr>
        <w:spacing w:after="0" w:line="240" w:lineRule="auto"/>
        <w:jc w:val="both"/>
        <w:rPr>
          <w:rFonts w:cs="Arial"/>
        </w:rPr>
      </w:pPr>
    </w:p>
    <w:p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Participación en la Mesa de Cuidado y Cuidado Independiente, en la cual se ha venido abordando el tema de las bases del Sistema Nacional de Cuidado y se ha presentado la modalidad UNAFA como parte de la oferta institucional específica en el marco del cumplimiento de la política pública Nacional de discapacidad e inclusión social.</w:t>
      </w:r>
    </w:p>
    <w:p w:rsidR="00567B11" w:rsidRPr="007608C2" w:rsidRDefault="00567B11" w:rsidP="00A44A2B">
      <w:pPr>
        <w:numPr>
          <w:ilvl w:val="0"/>
          <w:numId w:val="58"/>
        </w:numPr>
        <w:spacing w:before="100" w:beforeAutospacing="1" w:after="100" w:afterAutospacing="1" w:line="240" w:lineRule="auto"/>
        <w:ind w:left="360"/>
        <w:jc w:val="both"/>
        <w:rPr>
          <w:rFonts w:cs="Arial"/>
          <w:b/>
        </w:rPr>
      </w:pPr>
      <w:r w:rsidRPr="007608C2">
        <w:rPr>
          <w:rFonts w:cs="Arial"/>
          <w:b/>
        </w:rPr>
        <w:t>Núcleo Familia, Ruralidad y Reconciliación</w:t>
      </w:r>
    </w:p>
    <w:p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Las acciones de la Dirección de Familias y Comunidades en este eje de política se han desarrollado en torno a las siguientes cuatro líneas:</w:t>
      </w:r>
    </w:p>
    <w:p w:rsidR="00567B11" w:rsidRDefault="00567B11" w:rsidP="00A44A2B">
      <w:pPr>
        <w:numPr>
          <w:ilvl w:val="0"/>
          <w:numId w:val="25"/>
        </w:numPr>
        <w:spacing w:before="100" w:beforeAutospacing="1" w:after="100" w:afterAutospacing="1" w:line="240" w:lineRule="auto"/>
        <w:jc w:val="both"/>
        <w:rPr>
          <w:rFonts w:cs="Arial"/>
          <w:lang w:eastAsia="es-ES"/>
        </w:rPr>
      </w:pPr>
      <w:r w:rsidRPr="007608C2">
        <w:rPr>
          <w:rFonts w:cs="Arial"/>
          <w:lang w:eastAsia="es-ES"/>
        </w:rPr>
        <w:t xml:space="preserve">Acompañamiento técnico a proyectos de cooperación y convenios a través de la Subdirección de Gestión Técnica: en esta línea se ha realizado el acompañamiento técnico de tres proyectos que fueron presentados a ICBF como proyectos de cooperación y que han sido canalizados por la Oficina de Cooperación y Convenios del ICBF: </w:t>
      </w:r>
    </w:p>
    <w:p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Protección de los Derechos de los Niños, Niñas y Adolescentes Afectados por el Reclutamiento y otros Hechos Victimizantes de la Violencia Armada en Colombia"/ Comunidades para la Paz de Plan Internacional y Pastoral Social.</w:t>
      </w:r>
    </w:p>
    <w:p w:rsidR="007D7A8C" w:rsidRPr="007608C2" w:rsidRDefault="007D7A8C" w:rsidP="007D7A8C">
      <w:pPr>
        <w:spacing w:after="0" w:line="240" w:lineRule="auto"/>
        <w:ind w:left="709"/>
        <w:jc w:val="both"/>
        <w:rPr>
          <w:rFonts w:cs="Arial"/>
        </w:rPr>
      </w:pPr>
    </w:p>
    <w:p w:rsidR="007D7A8C" w:rsidRDefault="00567B11" w:rsidP="00A44A2B">
      <w:pPr>
        <w:numPr>
          <w:ilvl w:val="0"/>
          <w:numId w:val="91"/>
        </w:numPr>
        <w:tabs>
          <w:tab w:val="num" w:pos="709"/>
        </w:tabs>
        <w:spacing w:after="0" w:line="240" w:lineRule="auto"/>
        <w:ind w:left="709" w:hanging="283"/>
        <w:jc w:val="both"/>
        <w:rPr>
          <w:rFonts w:cs="Arial"/>
        </w:rPr>
      </w:pPr>
      <w:r w:rsidRPr="007608C2">
        <w:rPr>
          <w:rFonts w:cs="Arial"/>
        </w:rPr>
        <w:t>Construcción de Paz en la Familia y la Vida Cotidiana de la Dirección de Familias y Comunidades en el marco de la Comixta entre el Instituto Colombiano de Bienestar Familiar de Colombia y el Instituto Salvadoreño para el Desarrollo Integral de la Niñez y la Adolescencia (ISNA) de El Salvador, el 4 de abril. Ajuste al Plan de Acción y envío de versión definitiva a APC y a la Ofic</w:t>
      </w:r>
      <w:r w:rsidR="007D7A8C">
        <w:rPr>
          <w:rFonts w:cs="Arial"/>
        </w:rPr>
        <w:t>ina de Cooperación y Convenios.</w:t>
      </w:r>
    </w:p>
    <w:p w:rsidR="00567B11" w:rsidRPr="007608C2" w:rsidRDefault="00567B11" w:rsidP="007D7A8C">
      <w:pPr>
        <w:spacing w:after="0" w:line="240" w:lineRule="auto"/>
        <w:jc w:val="both"/>
        <w:rPr>
          <w:rFonts w:cs="Arial"/>
        </w:rPr>
      </w:pPr>
    </w:p>
    <w:p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Con Paz Aprendemos Más” de War Child y Mercy Corps.</w:t>
      </w:r>
    </w:p>
    <w:p w:rsidR="00567B11" w:rsidRPr="007608C2" w:rsidRDefault="00567B11" w:rsidP="00A44A2B">
      <w:pPr>
        <w:numPr>
          <w:ilvl w:val="0"/>
          <w:numId w:val="25"/>
        </w:numPr>
        <w:spacing w:before="100" w:beforeAutospacing="1" w:after="100" w:afterAutospacing="1" w:line="240" w:lineRule="auto"/>
        <w:jc w:val="both"/>
        <w:rPr>
          <w:rFonts w:cs="Arial"/>
          <w:lang w:eastAsia="es-ES"/>
        </w:rPr>
      </w:pPr>
      <w:r w:rsidRPr="007608C2">
        <w:rPr>
          <w:rFonts w:cs="Arial"/>
          <w:lang w:eastAsia="es-ES"/>
        </w:rPr>
        <w:t xml:space="preserve">Aportes técnicos a documentos y programas. </w:t>
      </w:r>
    </w:p>
    <w:p w:rsidR="00567B11" w:rsidRPr="007608C2" w:rsidRDefault="00567B11" w:rsidP="00A44A2B">
      <w:pPr>
        <w:numPr>
          <w:ilvl w:val="0"/>
          <w:numId w:val="25"/>
        </w:numPr>
        <w:spacing w:before="100" w:beforeAutospacing="1" w:after="100" w:afterAutospacing="1" w:line="240" w:lineRule="auto"/>
        <w:jc w:val="both"/>
        <w:rPr>
          <w:rFonts w:cs="Arial"/>
          <w:lang w:eastAsia="es-ES"/>
        </w:rPr>
      </w:pPr>
      <w:r w:rsidRPr="007608C2">
        <w:rPr>
          <w:rFonts w:cs="Arial"/>
          <w:lang w:eastAsia="es-ES"/>
        </w:rPr>
        <w:t>Participación espacios institucionales: de manera periódica se ha participado de la mesa interna de postconflicto convocada por la Subdirección General, la II Mesa Nacional de Educación en el Riesgo de Minas (ERM) y en videoconferencia de la Dirección de Protección para fortalecer aspectos técnicos.</w:t>
      </w:r>
    </w:p>
    <w:p w:rsidR="00567B11" w:rsidRPr="007608C2" w:rsidRDefault="00567B11" w:rsidP="00A44A2B">
      <w:pPr>
        <w:numPr>
          <w:ilvl w:val="0"/>
          <w:numId w:val="25"/>
        </w:numPr>
        <w:spacing w:before="100" w:beforeAutospacing="1" w:after="100" w:afterAutospacing="1" w:line="240" w:lineRule="auto"/>
        <w:jc w:val="both"/>
        <w:rPr>
          <w:rFonts w:cs="Arial"/>
          <w:lang w:eastAsia="es-ES"/>
        </w:rPr>
      </w:pPr>
      <w:r w:rsidRPr="007608C2">
        <w:rPr>
          <w:rFonts w:cs="Arial"/>
          <w:lang w:eastAsia="es-ES"/>
        </w:rPr>
        <w:t xml:space="preserve">Fortalecimiento técnico del equipo: mediante la participación del equipo en espacios de discusión académica en torno al eje de familia, ruralidad y reconciliación.  Taller de "Fortalecimiento de capacidades institucionales para la construcción de paz", Foro Derechos </w:t>
      </w:r>
      <w:r w:rsidRPr="007608C2">
        <w:rPr>
          <w:rFonts w:cs="Arial"/>
          <w:lang w:eastAsia="es-ES"/>
        </w:rPr>
        <w:lastRenderedPageBreak/>
        <w:t xml:space="preserve">de los campesinos en Perspectiva de Construcción de Paz y  Seminario Internacional Procesos de reconciliación y construcción de paz territorial de la Universidad Santo Tomás. </w:t>
      </w:r>
    </w:p>
    <w:p w:rsidR="00567B11" w:rsidRPr="007608C2" w:rsidRDefault="00567B11" w:rsidP="00A44A2B">
      <w:pPr>
        <w:numPr>
          <w:ilvl w:val="0"/>
          <w:numId w:val="58"/>
        </w:numPr>
        <w:spacing w:before="100" w:beforeAutospacing="1" w:after="100" w:afterAutospacing="1" w:line="240" w:lineRule="auto"/>
        <w:ind w:left="360"/>
        <w:jc w:val="both"/>
        <w:rPr>
          <w:rFonts w:cs="Arial"/>
          <w:b/>
          <w:lang w:eastAsia="es-ES"/>
        </w:rPr>
      </w:pPr>
      <w:r w:rsidRPr="007608C2">
        <w:rPr>
          <w:rFonts w:cs="Arial"/>
          <w:b/>
          <w:lang w:eastAsia="es-ES"/>
        </w:rPr>
        <w:t>Núcleo Familia y Género</w:t>
      </w:r>
    </w:p>
    <w:p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En el citado núcleo de política, se han suministrado insumos para la rendición de cuentas país frente a CEDAW; así mismo se han aportado insumos técnicos para la integración del enfoque de género en la Comisión Intersectorial de Seguridad Alimentaria Nacional – CISAN.</w:t>
      </w:r>
    </w:p>
    <w:p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La Dirección, igualmente ha participado de encuentros en asocio con ONU Mujeres y Secretarías locales de la mujer (Medellín y Bogotá), escenarios de concertación de variables con las demás instancias del ICBF en torno a la recolección de información referente a género, con la asistencia de DANE.</w:t>
      </w:r>
    </w:p>
    <w:p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 xml:space="preserve">Igualmente, contribuye desde aportes técnicos en el desarrollo de la estrategia intersectorial para el abordaje integral de la violencia sexual y de género contra niños, niñas, adolescentes y mujeres en comunidades indígenas. </w:t>
      </w:r>
    </w:p>
    <w:p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Cabe señalar que en reconocimiento a los desarrollos de la entidad respecto al enfoque de género, esta Dirección fue invitada a presentar ponencia en el primer coloquio nacional de estudios de género en Manizales.</w:t>
      </w:r>
    </w:p>
    <w:p w:rsidR="00567B11" w:rsidRPr="007608C2" w:rsidRDefault="00567B11" w:rsidP="00A44A2B">
      <w:pPr>
        <w:numPr>
          <w:ilvl w:val="0"/>
          <w:numId w:val="58"/>
        </w:numPr>
        <w:spacing w:before="100" w:beforeAutospacing="1" w:after="100" w:afterAutospacing="1" w:line="240" w:lineRule="auto"/>
        <w:ind w:left="360"/>
        <w:jc w:val="both"/>
        <w:rPr>
          <w:rFonts w:cs="Arial"/>
          <w:b/>
          <w:lang w:eastAsia="es-ES"/>
        </w:rPr>
      </w:pPr>
      <w:r w:rsidRPr="007608C2">
        <w:rPr>
          <w:rFonts w:cs="Arial"/>
          <w:b/>
          <w:lang w:eastAsia="es-ES"/>
        </w:rPr>
        <w:t>Núcleo de Política Familia y Primera Infancia</w:t>
      </w:r>
    </w:p>
    <w:p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En la vigencia 2017 se adelantó el rediseño de las rutas de interoperabilidad y se participó en la revisión y formulación de estándares de calidad del componente familiar, comunidad y redes de la Modalidad Propia Intercultural en el Ministerio de Educación.</w:t>
      </w:r>
    </w:p>
    <w:p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Se adelantó la revisión y aportes a los documentos técnicos de la Modalidad Comunitaria y Modalidad Propia Intercultural y Modalidad Familiar, con el propósito de visibilizar a la familia como la red vincular primaria de las niñas y niños, identificándose la necesidad de fortalecer el componente “Familia, comunidad y Redes” y de este modo potencializar las capacidad y habilidades de las familias de las niñas y los niños atendidos.</w:t>
      </w:r>
    </w:p>
    <w:p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 xml:space="preserve">Por otra parte, se participó en la mesa técnica para el ajuste de la Modalidad Desarrollo Infantil en Medio Familiar (DIMF); el escenario propició la participación de diferentes entidades gubernamentales y privadas, las cuales a través de experiencias innovadoras en la atención a la primera infancia, han logrado incidir de forma positiva en el desarrollo y goce de derechos de las niñas y los niños; dichas experiencias fueron retomadas como insumo para el rediseño de la modalidad. </w:t>
      </w:r>
    </w:p>
    <w:p w:rsidR="00567B11" w:rsidRPr="007608C2" w:rsidRDefault="00567B11" w:rsidP="00A44A2B">
      <w:pPr>
        <w:numPr>
          <w:ilvl w:val="0"/>
          <w:numId w:val="58"/>
        </w:numPr>
        <w:spacing w:before="100" w:beforeAutospacing="1" w:after="100" w:afterAutospacing="1" w:line="240" w:lineRule="auto"/>
        <w:ind w:left="360"/>
        <w:jc w:val="both"/>
        <w:rPr>
          <w:rFonts w:cs="Arial"/>
          <w:b/>
        </w:rPr>
      </w:pPr>
      <w:r w:rsidRPr="007608C2">
        <w:rPr>
          <w:rFonts w:cs="Arial"/>
          <w:b/>
        </w:rPr>
        <w:t>Núcleo de Política Familia y Niñez y Adolescencia</w:t>
      </w:r>
    </w:p>
    <w:p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 xml:space="preserve">En el marco de la política de niñez se participó de forma activa en diferentes escenarios para la presentación y evaluación de programas  de atención a niños, niñas y adolescentes en condición </w:t>
      </w:r>
      <w:r w:rsidRPr="007608C2">
        <w:rPr>
          <w:rFonts w:cs="Arial"/>
          <w:lang w:eastAsia="es-ES"/>
        </w:rPr>
        <w:lastRenderedPageBreak/>
        <w:t>de vulneración, amenaza e inobservancia de derechos; adicionalmente se realizaron recomendaciones a los  documentos borradores de proyecto ley de abolición del castigo corporal, al de la política de habitante de calle y a la Guía para la formulación, ajuste, implementación y seguimiento de las Políticas Públicas de Primera Infancia, Infancia, Adolescencia y Fortalecimiento Familiar. Estos procesos se adelantaron con el fin de fortalecer estrategias que promuevan el desarrollo de capacidades humanas y sociales que faciliten, no sólo la evolución y la consolidación de redes familiares y sociales, sino el aprendizaje de nuevas formas para enfrentar los problemas y dilemas humanos de forma que les permita afrontar situaciones de vulnerabilidad y transformarlas en oportunidades.</w:t>
      </w:r>
    </w:p>
    <w:p w:rsidR="00567B11" w:rsidRPr="007608C2" w:rsidRDefault="00567B11" w:rsidP="00567B11">
      <w:pPr>
        <w:keepNext/>
        <w:keepLines/>
        <w:spacing w:before="40" w:after="0"/>
        <w:ind w:left="576" w:hanging="576"/>
        <w:outlineLvl w:val="1"/>
        <w:rPr>
          <w:rFonts w:eastAsiaTheme="majorEastAsia" w:cs="Arial"/>
          <w:b/>
          <w:szCs w:val="26"/>
        </w:rPr>
      </w:pPr>
      <w:bookmarkStart w:id="59" w:name="_Toc505183050"/>
      <w:bookmarkStart w:id="60" w:name="_Toc503465501"/>
      <w:r w:rsidRPr="007608C2">
        <w:rPr>
          <w:rFonts w:eastAsiaTheme="majorEastAsia" w:cs="Arial"/>
          <w:b/>
          <w:szCs w:val="26"/>
        </w:rPr>
        <w:t>3.3.3</w:t>
      </w:r>
      <w:r w:rsidRPr="007608C2">
        <w:rPr>
          <w:rFonts w:eastAsiaTheme="majorEastAsia" w:cs="Arial"/>
          <w:b/>
          <w:szCs w:val="26"/>
        </w:rPr>
        <w:tab/>
        <w:t>Atención a Familias y Comunidades</w:t>
      </w:r>
      <w:bookmarkEnd w:id="59"/>
      <w:r w:rsidRPr="007608C2">
        <w:rPr>
          <w:rFonts w:eastAsiaTheme="majorEastAsia" w:cs="Arial"/>
          <w:b/>
          <w:szCs w:val="26"/>
        </w:rPr>
        <w:t xml:space="preserve"> </w:t>
      </w:r>
      <w:bookmarkEnd w:id="60"/>
    </w:p>
    <w:p w:rsidR="00567B11" w:rsidRPr="007608C2" w:rsidRDefault="00567B11" w:rsidP="00A44A2B">
      <w:pPr>
        <w:numPr>
          <w:ilvl w:val="0"/>
          <w:numId w:val="57"/>
        </w:numPr>
        <w:spacing w:before="100" w:beforeAutospacing="1" w:after="100" w:afterAutospacing="1" w:line="240" w:lineRule="auto"/>
        <w:ind w:left="360"/>
        <w:jc w:val="both"/>
        <w:rPr>
          <w:rFonts w:cs="Arial"/>
          <w:b/>
        </w:rPr>
      </w:pPr>
      <w:r w:rsidRPr="007608C2">
        <w:rPr>
          <w:rFonts w:cs="Arial"/>
          <w:b/>
        </w:rPr>
        <w:t>Modalidad Familias con Bienestar para la Paz</w:t>
      </w:r>
    </w:p>
    <w:p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El propósito de esta modalidad es potenciar capacidades individuales y colectivas con familias en situación de vulnerabilidad, a través de una intervención psicosocial para fomentar el desarrollo familiar y la convivencia armónica.</w:t>
      </w:r>
    </w:p>
    <w:p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Principales acciones:</w:t>
      </w:r>
    </w:p>
    <w:p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Activación de rutas interinstitucionales ante las siguientes situaciones: violencia intrafamiliar, solicitud de custodia provisional, actualización de documentos de identificación, remisión a oferta educativa municipal (SENA).</w:t>
      </w:r>
    </w:p>
    <w:p w:rsidR="007D7A8C" w:rsidRPr="007608C2" w:rsidRDefault="007D7A8C" w:rsidP="007D7A8C">
      <w:pPr>
        <w:spacing w:after="0" w:line="240" w:lineRule="auto"/>
        <w:ind w:left="709"/>
        <w:jc w:val="both"/>
        <w:rPr>
          <w:rFonts w:cs="Arial"/>
        </w:rPr>
      </w:pPr>
    </w:p>
    <w:p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Participación activa de las familias que incluye niños, niñas y adolescentes en los encuentros grupales; logrando, a través de la aplicación de metodologías de aprendizaje colaborativo, validar las voces de todos los actores sociales presentes y facilitar los procesos de transformación de las interacciones familiares y comunitarias a partir de situaciones cotidianas.</w:t>
      </w:r>
    </w:p>
    <w:p w:rsidR="007D7A8C" w:rsidRPr="007608C2" w:rsidRDefault="007D7A8C" w:rsidP="007D7A8C">
      <w:pPr>
        <w:spacing w:after="0" w:line="240" w:lineRule="auto"/>
        <w:jc w:val="both"/>
        <w:rPr>
          <w:rFonts w:cs="Arial"/>
        </w:rPr>
      </w:pPr>
    </w:p>
    <w:p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Participación activa en el proceso de aprendizaje de madres cabeza de hogar y aumento en la participación de hombres.</w:t>
      </w:r>
    </w:p>
    <w:p w:rsidR="007D7A8C" w:rsidRPr="007608C2" w:rsidRDefault="007D7A8C" w:rsidP="007D7A8C">
      <w:pPr>
        <w:spacing w:after="0" w:line="240" w:lineRule="auto"/>
        <w:jc w:val="both"/>
        <w:rPr>
          <w:rFonts w:cs="Arial"/>
        </w:rPr>
      </w:pPr>
    </w:p>
    <w:p w:rsidR="007D7A8C" w:rsidRDefault="00567B11" w:rsidP="00A44A2B">
      <w:pPr>
        <w:numPr>
          <w:ilvl w:val="0"/>
          <w:numId w:val="91"/>
        </w:numPr>
        <w:tabs>
          <w:tab w:val="num" w:pos="709"/>
        </w:tabs>
        <w:spacing w:after="0" w:line="240" w:lineRule="auto"/>
        <w:ind w:left="709" w:hanging="283"/>
        <w:jc w:val="both"/>
        <w:rPr>
          <w:rFonts w:cs="Arial"/>
        </w:rPr>
      </w:pPr>
      <w:r w:rsidRPr="007608C2">
        <w:rPr>
          <w:rFonts w:cs="Arial"/>
        </w:rPr>
        <w:t>Abordaje de las situaciones familiares desde unidades de tejido familiar conformadas por equipos interdisciplinarios de tre</w:t>
      </w:r>
      <w:r w:rsidR="007D7A8C">
        <w:rPr>
          <w:rFonts w:cs="Arial"/>
        </w:rPr>
        <w:t>s profesionales.</w:t>
      </w:r>
    </w:p>
    <w:p w:rsidR="00567B11" w:rsidRPr="007608C2" w:rsidRDefault="00567B11" w:rsidP="007D7A8C">
      <w:pPr>
        <w:spacing w:after="0" w:line="240" w:lineRule="auto"/>
        <w:ind w:left="709"/>
        <w:jc w:val="both"/>
        <w:rPr>
          <w:rFonts w:cs="Arial"/>
        </w:rPr>
      </w:pPr>
      <w:r w:rsidRPr="007608C2">
        <w:rPr>
          <w:rFonts w:cs="Arial"/>
        </w:rPr>
        <w:t xml:space="preserve"> </w:t>
      </w:r>
    </w:p>
    <w:p w:rsidR="00567B11" w:rsidRPr="007608C2" w:rsidRDefault="00567B11" w:rsidP="00A44A2B">
      <w:pPr>
        <w:numPr>
          <w:ilvl w:val="0"/>
          <w:numId w:val="57"/>
        </w:numPr>
        <w:spacing w:before="100" w:beforeAutospacing="1" w:after="100" w:afterAutospacing="1" w:line="240" w:lineRule="auto"/>
        <w:ind w:left="360"/>
        <w:jc w:val="both"/>
        <w:rPr>
          <w:rFonts w:cs="Arial"/>
          <w:b/>
          <w:lang w:eastAsia="es-ES"/>
        </w:rPr>
      </w:pPr>
      <w:r w:rsidRPr="007608C2">
        <w:rPr>
          <w:rFonts w:cs="Arial"/>
          <w:b/>
          <w:lang w:eastAsia="es-ES"/>
        </w:rPr>
        <w:t>Modalidad Otras Formas de Atención- Estrategia Construyendo Juntos Entornos Protectores</w:t>
      </w:r>
    </w:p>
    <w:p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La modalidad tiene como objetivo fomentar el desarrollo familiar y la promoción de ambientes protectores, a través de acciones complementarias de aprendizaje-educación tendientes a fortalecer el tejido social y la construcción de formas de relacionamiento solidarias y equitativas. Con esta modalidad y en articulación con la Dirección de Niñez y Adolescencia, se implementó la estrategia Construyendo Juntos Entornos Protectores en las 33 Regionales ICBF.</w:t>
      </w:r>
    </w:p>
    <w:p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lastRenderedPageBreak/>
        <w:t>Principales acciones:</w:t>
      </w:r>
    </w:p>
    <w:p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Articulación intersectorial con el sector educativo para la focalización de las instituciones educativas y las familias beneficiarias de la estrategia.</w:t>
      </w:r>
    </w:p>
    <w:p w:rsidR="007B01E0" w:rsidRPr="007608C2" w:rsidRDefault="007B01E0" w:rsidP="007B01E0">
      <w:pPr>
        <w:spacing w:after="0" w:line="240" w:lineRule="auto"/>
        <w:ind w:left="709"/>
        <w:jc w:val="both"/>
        <w:rPr>
          <w:rFonts w:cs="Arial"/>
        </w:rPr>
      </w:pPr>
    </w:p>
    <w:p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Acompañamiento técnico permanente a las regionales durante el proceso contractual, la fase de alistamiento y la de implementación de la estrategia.</w:t>
      </w:r>
    </w:p>
    <w:p w:rsidR="007B01E0" w:rsidRPr="007608C2" w:rsidRDefault="007B01E0" w:rsidP="007B01E0">
      <w:pPr>
        <w:spacing w:after="0" w:line="240" w:lineRule="auto"/>
        <w:jc w:val="both"/>
        <w:rPr>
          <w:rFonts w:cs="Arial"/>
        </w:rPr>
      </w:pPr>
    </w:p>
    <w:p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Participación activa de las familias en las sesiones de formación, propiciando el reconocimiento de los espacios escolares como escenarios de construcción de ciudadanía y la identificación de la corresponsabilidad en el proceso de acompañamiento y educación de los niños, niñas y adolescentes.</w:t>
      </w:r>
    </w:p>
    <w:p w:rsidR="007B01E0" w:rsidRPr="007608C2" w:rsidRDefault="007B01E0" w:rsidP="007B01E0">
      <w:pPr>
        <w:spacing w:after="0" w:line="240" w:lineRule="auto"/>
        <w:jc w:val="both"/>
        <w:rPr>
          <w:rFonts w:cs="Arial"/>
        </w:rPr>
      </w:pPr>
    </w:p>
    <w:p w:rsidR="00567B11" w:rsidRPr="007608C2" w:rsidRDefault="00567B11" w:rsidP="00A44A2B">
      <w:pPr>
        <w:numPr>
          <w:ilvl w:val="0"/>
          <w:numId w:val="91"/>
        </w:numPr>
        <w:tabs>
          <w:tab w:val="num" w:pos="709"/>
        </w:tabs>
        <w:spacing w:after="0" w:line="240" w:lineRule="auto"/>
        <w:ind w:left="709" w:hanging="283"/>
        <w:jc w:val="both"/>
        <w:rPr>
          <w:rFonts w:cs="Arial"/>
        </w:rPr>
      </w:pPr>
      <w:r w:rsidRPr="007608C2">
        <w:rPr>
          <w:rFonts w:cs="Arial"/>
        </w:rPr>
        <w:t>Lanzamiento de la Estrategia en la ciudad de Medellín los días 15 y 16 de septiembre a través de un conversatorio-taller académico y de un encuentro lúdico masivo, con el fin de extender la invitación a contribuir a la promoción de los derechos de la infancia y la adolescencia, el fortalecimiento de los vínculos de cuidado mutuo y la promoción de la convivencia armónica entre padres, madres, cuidadores, docentes y agentes educativos.</w:t>
      </w:r>
    </w:p>
    <w:p w:rsidR="00567B11" w:rsidRPr="007608C2" w:rsidRDefault="00567B11" w:rsidP="00A44A2B">
      <w:pPr>
        <w:numPr>
          <w:ilvl w:val="0"/>
          <w:numId w:val="57"/>
        </w:numPr>
        <w:spacing w:before="100" w:beforeAutospacing="1" w:after="100" w:afterAutospacing="1" w:line="240" w:lineRule="auto"/>
        <w:ind w:left="360"/>
        <w:jc w:val="both"/>
        <w:rPr>
          <w:rFonts w:cs="Arial"/>
          <w:b/>
          <w:lang w:eastAsia="es-ES"/>
        </w:rPr>
      </w:pPr>
      <w:r w:rsidRPr="007608C2">
        <w:rPr>
          <w:rFonts w:cs="Arial"/>
          <w:b/>
          <w:lang w:eastAsia="es-ES"/>
        </w:rPr>
        <w:t>Modalidad Unidades de Apoyo y Fortalecimiento a Familias – UNAFA</w:t>
      </w:r>
    </w:p>
    <w:p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Tiene como objetivo brindar atención a familias con niños, niñas y adolescentes con discapacidad promoviendo procesos de desarrollo familiar y de inclusión social. La modalidad brinda atención a familias con niños, niñas y adolescentes con discapacidad que estén o hayan estado en la modalidad Hogar Gestor de la Dirección de Protección, hace presencia en las 33 Regionales, en zonas de casco urbano, rurales y rurales dispersas.</w:t>
      </w:r>
    </w:p>
    <w:p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Principales acciones:</w:t>
      </w:r>
    </w:p>
    <w:p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Elaboración de los Planes de Intervención ajustados a los contextos y dinámicas familiares, los cuales se construyen y ejecutan mediante visitas domiciliarias a las familias; estas intervenciones contribuyen con el fortalecimiento de los vínculos de cuidado mutuo y la construcción de relaciones de respeto, confianza y cooperación entre sus integrantes.</w:t>
      </w:r>
    </w:p>
    <w:p w:rsidR="00C265AA" w:rsidRPr="007608C2" w:rsidRDefault="00C265AA" w:rsidP="00C265AA">
      <w:pPr>
        <w:spacing w:after="0" w:line="240" w:lineRule="auto"/>
        <w:ind w:left="709"/>
        <w:jc w:val="both"/>
        <w:rPr>
          <w:rFonts w:cs="Arial"/>
        </w:rPr>
      </w:pPr>
    </w:p>
    <w:p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Realización de encuentros y reuniones de gestión interinstitucional, que amplían las redes de apoyo familiar y mejoran sus interacciones, facilitando aprendizajes significativos que estimulen la adopción de cambios en las familias.</w:t>
      </w:r>
    </w:p>
    <w:p w:rsidR="00C265AA" w:rsidRPr="007608C2" w:rsidRDefault="00C265AA" w:rsidP="00C265AA">
      <w:pPr>
        <w:spacing w:after="0" w:line="240" w:lineRule="auto"/>
        <w:jc w:val="both"/>
        <w:rPr>
          <w:rFonts w:cs="Arial"/>
        </w:rPr>
      </w:pPr>
    </w:p>
    <w:p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Realización de video conferencias mensuales de asistencia técnica en las cuales participan centros zonales, regionales, defensorías de familia, enlaces de hogar gestor, enlaces de familia y comunidades, así como entidades públicas y privadas, familias beneficiarias y facilitadores de la modalidad;  estos espacios permiten aumentar los conocimientos, debatir y ofrecer alternativas propias de  las dinámicas territoriales y las necesidades de las familias, facilitando el reconocimiento y la coordinación de las acciones de los diferentes sectores para favorecer la generatividad de las familias.</w:t>
      </w:r>
    </w:p>
    <w:p w:rsidR="00E00C5B" w:rsidRPr="00E00C5B" w:rsidRDefault="00567B11" w:rsidP="00A44A2B">
      <w:pPr>
        <w:numPr>
          <w:ilvl w:val="0"/>
          <w:numId w:val="91"/>
        </w:numPr>
        <w:tabs>
          <w:tab w:val="num" w:pos="709"/>
        </w:tabs>
        <w:spacing w:after="0" w:line="240" w:lineRule="auto"/>
        <w:ind w:left="709" w:hanging="283"/>
        <w:jc w:val="both"/>
        <w:rPr>
          <w:rFonts w:cs="Arial"/>
        </w:rPr>
      </w:pPr>
      <w:r w:rsidRPr="007608C2">
        <w:rPr>
          <w:rFonts w:cs="Arial"/>
        </w:rPr>
        <w:lastRenderedPageBreak/>
        <w:t>Implementación del componente de autogestión para la productividad, orientado al desarrollo de habilidades y competencias personales e interpersonales para la empleabilidad, el emprendimiento o la asociatividad, logrando que las familias identifiquen opciones productivas que les permitan mejorar su calidad de vida.</w:t>
      </w:r>
    </w:p>
    <w:p w:rsidR="00567B11" w:rsidRPr="007608C2" w:rsidRDefault="00567B11" w:rsidP="00A44A2B">
      <w:pPr>
        <w:numPr>
          <w:ilvl w:val="0"/>
          <w:numId w:val="57"/>
        </w:numPr>
        <w:spacing w:before="100" w:beforeAutospacing="1" w:after="100" w:afterAutospacing="1" w:line="240" w:lineRule="auto"/>
        <w:ind w:left="360"/>
        <w:jc w:val="both"/>
        <w:rPr>
          <w:rFonts w:cs="Arial"/>
          <w:b/>
          <w:lang w:eastAsia="es-ES"/>
        </w:rPr>
      </w:pPr>
      <w:r w:rsidRPr="007608C2">
        <w:rPr>
          <w:rFonts w:cs="Arial"/>
          <w:b/>
          <w:lang w:eastAsia="es-ES"/>
        </w:rPr>
        <w:t>Modalidad Territorios Étnicos con Bienestar</w:t>
      </w:r>
    </w:p>
    <w:p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Se orienta al fortalecimiento familiar y comunitario de los grupos étnicos, a través de acciones que recuperan y afianzan sus valores culturales, mejoran sus capacidades socio-organizativas y apoyan la producción de alimentos para el auto-consumo con el fin de contribuir a la pervivencia, el desarrollo autónomo y la inclusión social de los pueblos y comunidades indígenas, afros, pa</w:t>
      </w:r>
      <w:r w:rsidR="00E27B5D">
        <w:rPr>
          <w:rFonts w:cs="Arial"/>
          <w:lang w:eastAsia="es-ES"/>
        </w:rPr>
        <w:t>lenqueros, negros, raízales y R</w:t>
      </w:r>
      <w:r w:rsidRPr="007608C2">
        <w:rPr>
          <w:rFonts w:cs="Arial"/>
          <w:lang w:eastAsia="es-ES"/>
        </w:rPr>
        <w:t>om.  En la vigencia 2017 se aprobaron y se llevaron a cabo 184 proyectos; del trabajo que se adelantó en las 33 regionales en coordinación con los centros zonales, operadores y familias es importante destacar que:</w:t>
      </w:r>
    </w:p>
    <w:p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Se interiorizó el trabajo en torno al fortalecimiento de las dinámicas familiares; los objetivos asociados a esta estrategia han recobrado valor, están visibilizados y se articulan con los tres componentes de apoyo (fortalecimiento cultural, fortalecimiento socio-organizativo y producción de alimentos para el auto consumo).</w:t>
      </w:r>
    </w:p>
    <w:p w:rsidR="00626CD7" w:rsidRPr="007608C2" w:rsidRDefault="00626CD7" w:rsidP="00626CD7">
      <w:pPr>
        <w:spacing w:after="0" w:line="240" w:lineRule="auto"/>
        <w:ind w:left="709"/>
        <w:jc w:val="both"/>
        <w:rPr>
          <w:rFonts w:cs="Arial"/>
        </w:rPr>
      </w:pPr>
    </w:p>
    <w:p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La pertinencia del proyecto frente a las necesidades de las comunidades y el proceso de concertación sobre el cual se sustenta la modalidad.</w:t>
      </w:r>
    </w:p>
    <w:p w:rsidR="00626CD7" w:rsidRPr="007608C2" w:rsidRDefault="00626CD7" w:rsidP="00626CD7">
      <w:pPr>
        <w:spacing w:after="0" w:line="240" w:lineRule="auto"/>
        <w:jc w:val="both"/>
        <w:rPr>
          <w:rFonts w:cs="Arial"/>
        </w:rPr>
      </w:pPr>
    </w:p>
    <w:p w:rsidR="00626CD7" w:rsidRPr="00626CD7" w:rsidRDefault="00567B11" w:rsidP="00A44A2B">
      <w:pPr>
        <w:numPr>
          <w:ilvl w:val="0"/>
          <w:numId w:val="91"/>
        </w:numPr>
        <w:tabs>
          <w:tab w:val="num" w:pos="709"/>
        </w:tabs>
        <w:spacing w:after="0" w:line="240" w:lineRule="auto"/>
        <w:ind w:left="709" w:hanging="283"/>
        <w:jc w:val="both"/>
        <w:rPr>
          <w:rFonts w:cs="Arial"/>
        </w:rPr>
      </w:pPr>
      <w:r w:rsidRPr="00626CD7">
        <w:rPr>
          <w:rFonts w:cs="Arial"/>
        </w:rPr>
        <w:t xml:space="preserve">La participación de los jóvenes, mujeres y mayores en los proyectos, lo cual generó un intercambio permanente de saberes y una construcción de conocimiento intergeneracional que contribuye a la pervivencia de </w:t>
      </w:r>
      <w:r w:rsidR="00626CD7" w:rsidRPr="00626CD7">
        <w:rPr>
          <w:rFonts w:cs="Arial"/>
        </w:rPr>
        <w:t>las comunidades y sus culturas.</w:t>
      </w:r>
    </w:p>
    <w:p w:rsidR="00626CD7" w:rsidRDefault="00626CD7" w:rsidP="00626CD7">
      <w:pPr>
        <w:spacing w:after="0" w:line="240" w:lineRule="auto"/>
        <w:jc w:val="both"/>
        <w:rPr>
          <w:rFonts w:cs="Arial"/>
        </w:rPr>
      </w:pPr>
    </w:p>
    <w:p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La contribución a la protección y promoción del patrimonio material e inmaterial de las etnias presentes en el territorio nacional.</w:t>
      </w:r>
    </w:p>
    <w:p w:rsidR="00626CD7" w:rsidRPr="007608C2" w:rsidRDefault="00626CD7" w:rsidP="00626CD7">
      <w:pPr>
        <w:spacing w:after="0" w:line="240" w:lineRule="auto"/>
        <w:jc w:val="both"/>
        <w:rPr>
          <w:rFonts w:cs="Arial"/>
        </w:rPr>
      </w:pPr>
    </w:p>
    <w:p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Los cambios positivos en las interacciones familiares y comunitarias, un retorno a prácticas positivas de cuidado y crianza.</w:t>
      </w:r>
    </w:p>
    <w:p w:rsidR="00626CD7" w:rsidRPr="007608C2" w:rsidRDefault="00626CD7" w:rsidP="00626CD7">
      <w:pPr>
        <w:spacing w:after="0" w:line="240" w:lineRule="auto"/>
        <w:jc w:val="both"/>
        <w:rPr>
          <w:rFonts w:cs="Arial"/>
        </w:rPr>
      </w:pPr>
    </w:p>
    <w:p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Se evidenciaron acciones de fortalecimiento que hacen visible y dan valor al rol de las mujeres y a las actividades y estrategias orientadas a la construcción de paz.</w:t>
      </w:r>
    </w:p>
    <w:p w:rsidR="00626CD7" w:rsidRPr="007608C2" w:rsidRDefault="00626CD7" w:rsidP="00626CD7">
      <w:pPr>
        <w:spacing w:after="0" w:line="240" w:lineRule="auto"/>
        <w:jc w:val="both"/>
        <w:rPr>
          <w:rFonts w:cs="Arial"/>
        </w:rPr>
      </w:pPr>
    </w:p>
    <w:p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Los componentes de apoyo proveen insumos que impactan positivamente a las comunidades y generan procesos de reflexión, análisis y mejora en las condiciones de vida.</w:t>
      </w:r>
    </w:p>
    <w:p w:rsidR="00ED7FD2" w:rsidRDefault="00ED7FD2" w:rsidP="00ED7FD2">
      <w:pPr>
        <w:spacing w:after="0" w:line="240" w:lineRule="auto"/>
        <w:jc w:val="both"/>
        <w:rPr>
          <w:rFonts w:cs="Arial"/>
        </w:rPr>
      </w:pPr>
    </w:p>
    <w:p w:rsidR="00567B11" w:rsidRPr="007608C2" w:rsidRDefault="00567B11" w:rsidP="00A44A2B">
      <w:pPr>
        <w:numPr>
          <w:ilvl w:val="0"/>
          <w:numId w:val="57"/>
        </w:numPr>
        <w:spacing w:before="100" w:beforeAutospacing="1" w:after="100" w:afterAutospacing="1" w:line="240" w:lineRule="auto"/>
        <w:ind w:left="360"/>
        <w:jc w:val="both"/>
        <w:rPr>
          <w:rFonts w:cs="Arial"/>
          <w:b/>
          <w:lang w:eastAsia="es-ES"/>
        </w:rPr>
      </w:pPr>
      <w:r w:rsidRPr="007608C2">
        <w:rPr>
          <w:rFonts w:cs="Arial"/>
          <w:b/>
          <w:lang w:eastAsia="es-ES"/>
        </w:rPr>
        <w:t>Modalidad Comunidades Rurales</w:t>
      </w:r>
    </w:p>
    <w:p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Esta modalidad tiene como objetivo fomentar con las comunidades rurales formas de relacionamiento respetuosas, solidarias y de confianza mediante acciones de aprendizaje-</w:t>
      </w:r>
      <w:r w:rsidRPr="007608C2">
        <w:rPr>
          <w:rFonts w:cs="Arial"/>
          <w:lang w:eastAsia="es-ES"/>
        </w:rPr>
        <w:lastRenderedPageBreak/>
        <w:t>educación y de gestión de redes que contribuyen a construir culturas de paz y a generar desarrollo local con los campesinos.</w:t>
      </w:r>
    </w:p>
    <w:p w:rsidR="00567B11" w:rsidRPr="007608C2" w:rsidRDefault="00567B11" w:rsidP="00567B11">
      <w:pPr>
        <w:spacing w:before="100" w:beforeAutospacing="1" w:after="100" w:afterAutospacing="1" w:line="240" w:lineRule="auto"/>
        <w:jc w:val="both"/>
        <w:rPr>
          <w:rFonts w:cs="Arial"/>
          <w:lang w:eastAsia="es-ES"/>
        </w:rPr>
      </w:pPr>
      <w:r w:rsidRPr="007608C2">
        <w:rPr>
          <w:rFonts w:cs="Arial"/>
          <w:lang w:eastAsia="es-ES"/>
        </w:rPr>
        <w:t xml:space="preserve">A </w:t>
      </w:r>
      <w:r w:rsidR="005E44A8" w:rsidRPr="007608C2">
        <w:rPr>
          <w:rFonts w:cs="Arial"/>
          <w:lang w:eastAsia="es-ES"/>
        </w:rPr>
        <w:t>continuación,</w:t>
      </w:r>
      <w:r w:rsidRPr="007608C2">
        <w:rPr>
          <w:rFonts w:cs="Arial"/>
          <w:lang w:eastAsia="es-ES"/>
        </w:rPr>
        <w:t xml:space="preserve"> se relacionan las principales acciones en la vigencia 2017:</w:t>
      </w:r>
    </w:p>
    <w:p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Mesas de articulación institucional con Regionales, Centros Zonales, Alcaldías, entidades descentralizadas del orden nacional y organizaciones comunitarias para identificar zonas rurales, con situaciones de vulnerabilidad social que demandan de acciones de fortalecimiento familiar y comunitario.</w:t>
      </w:r>
    </w:p>
    <w:p w:rsidR="005E44A8" w:rsidRPr="007608C2" w:rsidRDefault="005E44A8" w:rsidP="005E44A8">
      <w:pPr>
        <w:spacing w:after="0" w:line="240" w:lineRule="auto"/>
        <w:ind w:left="709"/>
        <w:jc w:val="both"/>
        <w:rPr>
          <w:rFonts w:cs="Arial"/>
        </w:rPr>
      </w:pPr>
    </w:p>
    <w:p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Atención a 32 municipios priorizados como zonas de postconflicto promoviendo el fortalecimiento de los vínculos de cuidado mutuo, la solidaridad, la confianza y la comunicación entre las familias campesinas.</w:t>
      </w:r>
    </w:p>
    <w:p w:rsidR="005E44A8" w:rsidRPr="007608C2" w:rsidRDefault="005E44A8" w:rsidP="005E44A8">
      <w:pPr>
        <w:spacing w:after="0" w:line="240" w:lineRule="auto"/>
        <w:jc w:val="both"/>
        <w:rPr>
          <w:rFonts w:cs="Arial"/>
        </w:rPr>
      </w:pPr>
    </w:p>
    <w:p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Construcción de la estrategia Escuela para Familias y Comunidades rurales en 11 departamentos en sus zonas rurales, promoviendo el desarrollo de comunidades de aprendizaje.</w:t>
      </w:r>
    </w:p>
    <w:p w:rsidR="005E44A8" w:rsidRPr="007608C2" w:rsidRDefault="005E44A8" w:rsidP="005E44A8">
      <w:pPr>
        <w:spacing w:after="0" w:line="240" w:lineRule="auto"/>
        <w:ind w:left="709"/>
        <w:jc w:val="both"/>
        <w:rPr>
          <w:rFonts w:cs="Arial"/>
        </w:rPr>
      </w:pPr>
    </w:p>
    <w:p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Desarrollo de intervenciones socio-educativas orientadas a promover y facilitar con las familias y las comunidades procesos de aprendizaje y transformación a través de sus propias experiencias y de la con</w:t>
      </w:r>
      <w:r w:rsidR="005E44A8">
        <w:rPr>
          <w:rFonts w:cs="Arial"/>
        </w:rPr>
        <w:t>formación de redes.</w:t>
      </w:r>
    </w:p>
    <w:p w:rsidR="005E44A8" w:rsidRPr="007608C2" w:rsidRDefault="005E44A8" w:rsidP="005E44A8">
      <w:pPr>
        <w:spacing w:after="0" w:line="240" w:lineRule="auto"/>
        <w:jc w:val="both"/>
        <w:rPr>
          <w:rFonts w:cs="Arial"/>
        </w:rPr>
      </w:pPr>
    </w:p>
    <w:p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Fortalecimiento de capacidades y habilidades con las familias campesinas en relación con el cuidado y crianza, la convivencia armónica y solidaria, la equidad de género que facilitan la reconstrucción de tejido social y culturas de paz en zonas afectadas por el conflicto armado.</w:t>
      </w:r>
    </w:p>
    <w:p w:rsidR="005E44A8" w:rsidRDefault="005E44A8" w:rsidP="005E44A8">
      <w:pPr>
        <w:spacing w:after="0" w:line="240" w:lineRule="auto"/>
        <w:jc w:val="both"/>
        <w:rPr>
          <w:rFonts w:cs="Arial"/>
        </w:rPr>
      </w:pPr>
    </w:p>
    <w:p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Identificación de prácticas positivas familiares mediante estrategias de innovación social, las cuales contribuyen al mejoramiento de la calidad de vida y el relacionamiento de las familias rurales.</w:t>
      </w:r>
    </w:p>
    <w:p w:rsidR="005E44A8" w:rsidRPr="007608C2" w:rsidRDefault="005E44A8" w:rsidP="005E44A8">
      <w:pPr>
        <w:spacing w:after="0" w:line="240" w:lineRule="auto"/>
        <w:ind w:left="709"/>
        <w:jc w:val="both"/>
        <w:rPr>
          <w:rFonts w:cs="Arial"/>
        </w:rPr>
      </w:pPr>
    </w:p>
    <w:p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Formación de líderes y lideresas como agentes de cambio con el propósito de propiciar la sostenibilidad de las transformaciones alcanzadas a nivel comunitario y familiar, movilizando acciones para el desarrollo local de sus territorios.</w:t>
      </w:r>
    </w:p>
    <w:p w:rsidR="005E44A8" w:rsidRPr="007608C2" w:rsidRDefault="005E44A8" w:rsidP="005E44A8">
      <w:pPr>
        <w:spacing w:after="0" w:line="240" w:lineRule="auto"/>
        <w:ind w:left="709"/>
        <w:jc w:val="both"/>
        <w:rPr>
          <w:rFonts w:cs="Arial"/>
        </w:rPr>
      </w:pPr>
    </w:p>
    <w:p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t>Coordinación de acciones con la Unidad Administrativa de Organizaciones Solidarias, para promover procesos formativos en desarrollo organizativo, cultura asociativa y mejoramiento de vida para las familias campesinas de los departamentos de Caquetá, Meta, Cauca y Sucre.</w:t>
      </w:r>
    </w:p>
    <w:p w:rsidR="005E44A8" w:rsidRPr="007608C2" w:rsidRDefault="005E44A8" w:rsidP="005E44A8">
      <w:pPr>
        <w:spacing w:after="0" w:line="240" w:lineRule="auto"/>
        <w:jc w:val="both"/>
        <w:rPr>
          <w:rFonts w:cs="Arial"/>
        </w:rPr>
      </w:pPr>
    </w:p>
    <w:p w:rsidR="00A420C2" w:rsidRDefault="00567B11" w:rsidP="00A44A2B">
      <w:pPr>
        <w:numPr>
          <w:ilvl w:val="0"/>
          <w:numId w:val="91"/>
        </w:numPr>
        <w:tabs>
          <w:tab w:val="num" w:pos="709"/>
        </w:tabs>
        <w:spacing w:after="0" w:line="240" w:lineRule="auto"/>
        <w:ind w:left="709" w:hanging="283"/>
        <w:jc w:val="both"/>
        <w:rPr>
          <w:rFonts w:cs="Arial"/>
        </w:rPr>
      </w:pPr>
      <w:r w:rsidRPr="007608C2">
        <w:rPr>
          <w:rFonts w:cs="Arial"/>
        </w:rPr>
        <w:t>Desarrollo de una Escuela de Liderazgo Juvenil orientada a promover la participación ciudadana de los jóvenes en espacios de toma de decisiones a nivel veredal y municipal para generar agenciamientos sociales en sus territorios.</w:t>
      </w:r>
    </w:p>
    <w:p w:rsidR="005E44A8" w:rsidRPr="007608C2" w:rsidRDefault="005E44A8" w:rsidP="005E44A8">
      <w:pPr>
        <w:spacing w:after="0" w:line="240" w:lineRule="auto"/>
        <w:jc w:val="both"/>
        <w:rPr>
          <w:rFonts w:cs="Arial"/>
        </w:rPr>
      </w:pPr>
    </w:p>
    <w:p w:rsidR="00567B11" w:rsidRDefault="00567B11" w:rsidP="00A44A2B">
      <w:pPr>
        <w:numPr>
          <w:ilvl w:val="0"/>
          <w:numId w:val="91"/>
        </w:numPr>
        <w:tabs>
          <w:tab w:val="num" w:pos="709"/>
        </w:tabs>
        <w:spacing w:after="0" w:line="240" w:lineRule="auto"/>
        <w:ind w:left="709" w:hanging="283"/>
        <w:jc w:val="both"/>
        <w:rPr>
          <w:rFonts w:cs="Arial"/>
        </w:rPr>
      </w:pPr>
      <w:r w:rsidRPr="007608C2">
        <w:rPr>
          <w:rFonts w:cs="Arial"/>
        </w:rPr>
        <w:lastRenderedPageBreak/>
        <w:t>Construcción de iniciativas comunitarias orientadas a promover el desarrollo de entornos protectores para los integrantes de las familias, fomentando escenarios de planificación y participación social comunitaria.</w:t>
      </w:r>
    </w:p>
    <w:p w:rsidR="005E44A8" w:rsidRPr="007608C2" w:rsidRDefault="005E44A8" w:rsidP="005E44A8">
      <w:pPr>
        <w:spacing w:after="0" w:line="240" w:lineRule="auto"/>
        <w:jc w:val="both"/>
        <w:rPr>
          <w:rFonts w:cs="Arial"/>
        </w:rPr>
      </w:pPr>
    </w:p>
    <w:p w:rsidR="00567B11" w:rsidRDefault="00567B11" w:rsidP="00A44A2B">
      <w:pPr>
        <w:pStyle w:val="Prrafodelista"/>
        <w:keepNext/>
        <w:keepLines/>
        <w:numPr>
          <w:ilvl w:val="2"/>
          <w:numId w:val="142"/>
        </w:numPr>
        <w:spacing w:before="40" w:after="0"/>
        <w:outlineLvl w:val="1"/>
        <w:rPr>
          <w:rFonts w:eastAsiaTheme="majorEastAsia" w:cs="Arial"/>
          <w:b/>
          <w:szCs w:val="26"/>
        </w:rPr>
      </w:pPr>
      <w:bookmarkStart w:id="61" w:name="_Toc503465502"/>
      <w:bookmarkStart w:id="62" w:name="_Toc505183051"/>
      <w:r w:rsidRPr="007608C2">
        <w:rPr>
          <w:rFonts w:eastAsiaTheme="majorEastAsia" w:cs="Arial"/>
          <w:b/>
          <w:szCs w:val="26"/>
        </w:rPr>
        <w:t>LOGROS 2017</w:t>
      </w:r>
      <w:bookmarkEnd w:id="61"/>
      <w:bookmarkEnd w:id="62"/>
    </w:p>
    <w:p w:rsidR="005E44A8" w:rsidRPr="007608C2" w:rsidRDefault="005E44A8" w:rsidP="005E44A8">
      <w:pPr>
        <w:pStyle w:val="Prrafodelista"/>
        <w:keepNext/>
        <w:keepLines/>
        <w:spacing w:before="40" w:after="0"/>
        <w:ind w:left="1080"/>
        <w:outlineLvl w:val="1"/>
        <w:rPr>
          <w:rFonts w:eastAsiaTheme="majorEastAsia" w:cs="Arial"/>
          <w:b/>
          <w:szCs w:val="26"/>
        </w:rPr>
      </w:pPr>
    </w:p>
    <w:p w:rsidR="00567B11" w:rsidRPr="005E44A8" w:rsidRDefault="00567B11" w:rsidP="00A44A2B">
      <w:pPr>
        <w:numPr>
          <w:ilvl w:val="0"/>
          <w:numId w:val="24"/>
        </w:numPr>
        <w:spacing w:after="0" w:line="240" w:lineRule="auto"/>
        <w:ind w:left="426" w:hanging="426"/>
        <w:jc w:val="both"/>
        <w:rPr>
          <w:rFonts w:cs="Arial"/>
          <w:lang w:val="es-CO" w:eastAsia="es-ES"/>
        </w:rPr>
      </w:pPr>
      <w:r w:rsidRPr="005E44A8">
        <w:rPr>
          <w:rFonts w:cs="Arial"/>
          <w:lang w:val="es-CO" w:eastAsia="es-ES"/>
        </w:rPr>
        <w:t xml:space="preserve">Implementación de acciones de mejora que han fortalecido el diálogo y la respuesta del ICBF frente a las necesidades y expectativas de las comunidades étnicas, abanderando el trabajo diferencial.  </w:t>
      </w:r>
    </w:p>
    <w:p w:rsidR="005E44A8" w:rsidRPr="005E44A8" w:rsidRDefault="005E44A8" w:rsidP="005E44A8">
      <w:pPr>
        <w:spacing w:after="0" w:line="240" w:lineRule="auto"/>
        <w:ind w:left="426"/>
        <w:jc w:val="both"/>
        <w:rPr>
          <w:rFonts w:cs="Arial"/>
          <w:lang w:val="es-CO" w:eastAsia="es-ES"/>
        </w:rPr>
      </w:pPr>
    </w:p>
    <w:p w:rsidR="0018657C" w:rsidRDefault="00567B11" w:rsidP="00A44A2B">
      <w:pPr>
        <w:numPr>
          <w:ilvl w:val="0"/>
          <w:numId w:val="24"/>
        </w:numPr>
        <w:spacing w:after="0" w:line="240" w:lineRule="auto"/>
        <w:ind w:left="426" w:hanging="426"/>
        <w:jc w:val="both"/>
        <w:rPr>
          <w:rFonts w:cs="Arial"/>
          <w:lang w:val="es-CO" w:eastAsia="es-ES"/>
        </w:rPr>
      </w:pPr>
      <w:r w:rsidRPr="005E44A8">
        <w:rPr>
          <w:rFonts w:cs="Arial"/>
          <w:lang w:val="es-CO" w:eastAsia="es-ES"/>
        </w:rPr>
        <w:t>Concertación e implementación de 109 proyectos con más del 50% de los pueblos indígenas que benefician 21.500 familias en 400 comunidades; 67 proyectos para la atención de 8.230 familias afro descendientes y 8 proyectos que cubren más del 75% de la familias Rom (387).</w:t>
      </w:r>
    </w:p>
    <w:p w:rsidR="00567B11" w:rsidRPr="005E44A8" w:rsidRDefault="00567B11" w:rsidP="0018657C">
      <w:pPr>
        <w:spacing w:after="0" w:line="240" w:lineRule="auto"/>
        <w:jc w:val="both"/>
        <w:rPr>
          <w:rFonts w:cs="Arial"/>
          <w:lang w:val="es-CO" w:eastAsia="es-ES"/>
        </w:rPr>
      </w:pPr>
      <w:r w:rsidRPr="005E44A8">
        <w:rPr>
          <w:rFonts w:cs="Arial"/>
          <w:lang w:val="es-CO" w:eastAsia="es-ES"/>
        </w:rPr>
        <w:t xml:space="preserve"> </w:t>
      </w:r>
    </w:p>
    <w:p w:rsidR="00567B11" w:rsidRDefault="00567B11" w:rsidP="00A44A2B">
      <w:pPr>
        <w:numPr>
          <w:ilvl w:val="0"/>
          <w:numId w:val="24"/>
        </w:numPr>
        <w:spacing w:after="0" w:line="240" w:lineRule="auto"/>
        <w:ind w:left="426" w:hanging="426"/>
        <w:jc w:val="both"/>
        <w:rPr>
          <w:rFonts w:cs="Arial"/>
          <w:lang w:val="es-CO" w:eastAsia="es-ES"/>
        </w:rPr>
      </w:pPr>
      <w:r w:rsidRPr="005E44A8">
        <w:rPr>
          <w:rFonts w:cs="Arial"/>
          <w:lang w:val="es-CO" w:eastAsia="es-ES"/>
        </w:rPr>
        <w:t>Implementación de una modalidad de atención específica, adecuada a las necesidades y vulnerabilidades de la población rural del país que ha permitido fortalecer procesos de desarrollo local, e identificar prácticas positivas familiares para generar capacidades para el desarrollo y relacionamiento de las familias rurales.</w:t>
      </w:r>
    </w:p>
    <w:p w:rsidR="0018657C" w:rsidRPr="005E44A8" w:rsidRDefault="0018657C" w:rsidP="0018657C">
      <w:pPr>
        <w:spacing w:after="0" w:line="240" w:lineRule="auto"/>
        <w:ind w:left="426"/>
        <w:jc w:val="both"/>
        <w:rPr>
          <w:rFonts w:cs="Arial"/>
          <w:lang w:val="es-CO" w:eastAsia="es-ES"/>
        </w:rPr>
      </w:pPr>
    </w:p>
    <w:p w:rsidR="00567B11" w:rsidRDefault="00567B11" w:rsidP="00A44A2B">
      <w:pPr>
        <w:numPr>
          <w:ilvl w:val="0"/>
          <w:numId w:val="24"/>
        </w:numPr>
        <w:spacing w:after="0" w:line="240" w:lineRule="auto"/>
        <w:ind w:left="426" w:hanging="426"/>
        <w:jc w:val="both"/>
        <w:rPr>
          <w:rFonts w:cs="Arial"/>
          <w:lang w:val="es-CO" w:eastAsia="es-ES"/>
        </w:rPr>
      </w:pPr>
      <w:r w:rsidRPr="005E44A8">
        <w:rPr>
          <w:rFonts w:cs="Arial"/>
          <w:lang w:val="es-CO" w:eastAsia="es-ES"/>
        </w:rPr>
        <w:t>Ampliación de la atención de familias ubicadas en zonas de post-conflicto con presencia en 55 municipios.</w:t>
      </w:r>
    </w:p>
    <w:p w:rsidR="0018657C" w:rsidRPr="005E44A8" w:rsidRDefault="0018657C" w:rsidP="0018657C">
      <w:pPr>
        <w:spacing w:after="0" w:line="240" w:lineRule="auto"/>
        <w:ind w:left="426"/>
        <w:jc w:val="both"/>
        <w:rPr>
          <w:rFonts w:cs="Arial"/>
          <w:lang w:val="es-CO" w:eastAsia="es-ES"/>
        </w:rPr>
      </w:pPr>
    </w:p>
    <w:p w:rsidR="00567B11" w:rsidRDefault="00567B11" w:rsidP="00A44A2B">
      <w:pPr>
        <w:numPr>
          <w:ilvl w:val="0"/>
          <w:numId w:val="24"/>
        </w:numPr>
        <w:spacing w:after="0" w:line="240" w:lineRule="auto"/>
        <w:ind w:left="426" w:hanging="426"/>
        <w:jc w:val="both"/>
        <w:rPr>
          <w:rFonts w:cs="Arial"/>
          <w:lang w:val="es-CO" w:eastAsia="es-ES"/>
        </w:rPr>
      </w:pPr>
      <w:r w:rsidRPr="005E44A8">
        <w:rPr>
          <w:rFonts w:cs="Arial"/>
          <w:lang w:val="es-CO" w:eastAsia="es-ES"/>
        </w:rPr>
        <w:t>Posicionamiento del enfoque de género mediante la perspectiva de “Nuevas Masculinidades” y “Nuevas Identidades de Género”, que buscan transformar las relaciones de poder que perpetúan la violencia bas</w:t>
      </w:r>
      <w:r w:rsidR="0018657C">
        <w:rPr>
          <w:rFonts w:cs="Arial"/>
          <w:lang w:val="es-CO" w:eastAsia="es-ES"/>
        </w:rPr>
        <w:t>ada en géneros.</w:t>
      </w:r>
    </w:p>
    <w:p w:rsidR="0018657C" w:rsidRPr="005E44A8" w:rsidRDefault="0018657C" w:rsidP="0018657C">
      <w:pPr>
        <w:spacing w:after="0" w:line="240" w:lineRule="auto"/>
        <w:jc w:val="both"/>
        <w:rPr>
          <w:rFonts w:cs="Arial"/>
          <w:lang w:val="es-CO" w:eastAsia="es-ES"/>
        </w:rPr>
      </w:pPr>
    </w:p>
    <w:p w:rsidR="00567B11" w:rsidRDefault="00567B11" w:rsidP="00A44A2B">
      <w:pPr>
        <w:numPr>
          <w:ilvl w:val="0"/>
          <w:numId w:val="24"/>
        </w:numPr>
        <w:spacing w:after="0" w:line="240" w:lineRule="auto"/>
        <w:ind w:left="426" w:hanging="426"/>
        <w:jc w:val="both"/>
        <w:rPr>
          <w:rFonts w:cs="Arial"/>
          <w:lang w:val="es-CO" w:eastAsia="es-ES"/>
        </w:rPr>
      </w:pPr>
      <w:r w:rsidRPr="005E44A8">
        <w:rPr>
          <w:rFonts w:cs="Arial"/>
          <w:lang w:val="es-CO" w:eastAsia="es-ES"/>
        </w:rPr>
        <w:t xml:space="preserve">Desarrollo y consolidación de una estructura de monitoreo, seguimiento y asistencia técnica que genera información de calidad en torno a la atención de </w:t>
      </w:r>
      <w:r w:rsidR="0018657C">
        <w:rPr>
          <w:rFonts w:cs="Arial"/>
          <w:lang w:val="es-CO" w:eastAsia="es-ES"/>
        </w:rPr>
        <w:t>las familias y las comunidades.</w:t>
      </w:r>
    </w:p>
    <w:p w:rsidR="0018657C" w:rsidRPr="005E44A8" w:rsidRDefault="0018657C" w:rsidP="0018657C">
      <w:pPr>
        <w:spacing w:after="0" w:line="240" w:lineRule="auto"/>
        <w:jc w:val="both"/>
        <w:rPr>
          <w:rFonts w:cs="Arial"/>
          <w:lang w:val="es-CO" w:eastAsia="es-ES"/>
        </w:rPr>
      </w:pPr>
    </w:p>
    <w:p w:rsidR="00567B11" w:rsidRDefault="00567B11" w:rsidP="00A44A2B">
      <w:pPr>
        <w:numPr>
          <w:ilvl w:val="0"/>
          <w:numId w:val="24"/>
        </w:numPr>
        <w:spacing w:after="0" w:line="240" w:lineRule="auto"/>
        <w:ind w:left="426" w:hanging="426"/>
        <w:jc w:val="both"/>
        <w:rPr>
          <w:rFonts w:cs="Arial"/>
          <w:lang w:val="es-CO" w:eastAsia="es-ES"/>
        </w:rPr>
      </w:pPr>
      <w:r w:rsidRPr="005E44A8">
        <w:rPr>
          <w:rFonts w:cs="Arial"/>
          <w:lang w:val="es-CO" w:eastAsia="es-ES"/>
        </w:rPr>
        <w:t>Atención a más de 9.500 familias cuyos NNA se encuentran en PARD para mejoramiento de vínculos de cuidado.</w:t>
      </w:r>
    </w:p>
    <w:p w:rsidR="00E27B5D" w:rsidRPr="005E44A8" w:rsidRDefault="00E27B5D" w:rsidP="00E27B5D">
      <w:pPr>
        <w:spacing w:after="0" w:line="240" w:lineRule="auto"/>
        <w:jc w:val="both"/>
        <w:rPr>
          <w:rFonts w:cs="Arial"/>
          <w:lang w:val="es-CO" w:eastAsia="es-ES"/>
        </w:rPr>
      </w:pPr>
    </w:p>
    <w:p w:rsidR="0018657C" w:rsidRDefault="00567B11" w:rsidP="00E27B5D">
      <w:pPr>
        <w:pStyle w:val="Prrafodelista"/>
        <w:keepNext/>
        <w:keepLines/>
        <w:numPr>
          <w:ilvl w:val="2"/>
          <w:numId w:val="142"/>
        </w:numPr>
        <w:spacing w:before="40" w:after="0"/>
        <w:outlineLvl w:val="1"/>
        <w:rPr>
          <w:rFonts w:eastAsiaTheme="majorEastAsia" w:cs="Arial"/>
          <w:b/>
          <w:szCs w:val="26"/>
        </w:rPr>
      </w:pPr>
      <w:bookmarkStart w:id="63" w:name="_Toc503465503"/>
      <w:bookmarkStart w:id="64" w:name="_Toc505183052"/>
      <w:r w:rsidRPr="007608C2">
        <w:rPr>
          <w:rFonts w:eastAsiaTheme="majorEastAsia" w:cs="Arial"/>
          <w:b/>
          <w:szCs w:val="26"/>
        </w:rPr>
        <w:t>RETOS 2018</w:t>
      </w:r>
      <w:bookmarkEnd w:id="63"/>
      <w:bookmarkEnd w:id="64"/>
    </w:p>
    <w:p w:rsidR="00E27B5D" w:rsidRPr="00E27B5D" w:rsidRDefault="00E27B5D" w:rsidP="00EA2C44">
      <w:pPr>
        <w:spacing w:after="0" w:line="240" w:lineRule="auto"/>
        <w:ind w:left="426"/>
        <w:jc w:val="both"/>
        <w:rPr>
          <w:rFonts w:eastAsiaTheme="majorEastAsia" w:cs="Arial"/>
          <w:b/>
          <w:szCs w:val="26"/>
        </w:rPr>
      </w:pPr>
    </w:p>
    <w:p w:rsidR="00567B11" w:rsidRDefault="00567B11" w:rsidP="00A44A2B">
      <w:pPr>
        <w:numPr>
          <w:ilvl w:val="0"/>
          <w:numId w:val="24"/>
        </w:numPr>
        <w:spacing w:after="0" w:line="240" w:lineRule="auto"/>
        <w:ind w:left="426" w:hanging="426"/>
        <w:jc w:val="both"/>
        <w:rPr>
          <w:rFonts w:cs="Arial"/>
          <w:lang w:val="es-CO" w:eastAsia="es-ES"/>
        </w:rPr>
      </w:pPr>
      <w:r w:rsidRPr="0018657C">
        <w:rPr>
          <w:rFonts w:cs="Arial"/>
          <w:lang w:val="es-CO" w:eastAsia="es-ES"/>
        </w:rPr>
        <w:t>Consolidar unidad de criterio y conceptualización en torno al enfoque de familia que sustente los procesos en las diferentes áreas misionales del ICBF.</w:t>
      </w:r>
    </w:p>
    <w:p w:rsidR="0018657C" w:rsidRPr="0018657C" w:rsidRDefault="0018657C" w:rsidP="0018657C">
      <w:pPr>
        <w:spacing w:after="0" w:line="240" w:lineRule="auto"/>
        <w:ind w:left="426"/>
        <w:jc w:val="both"/>
        <w:rPr>
          <w:rFonts w:cs="Arial"/>
          <w:lang w:val="es-CO" w:eastAsia="es-ES"/>
        </w:rPr>
      </w:pPr>
    </w:p>
    <w:p w:rsidR="00567B11" w:rsidRDefault="00567B11" w:rsidP="00A44A2B">
      <w:pPr>
        <w:numPr>
          <w:ilvl w:val="0"/>
          <w:numId w:val="24"/>
        </w:numPr>
        <w:spacing w:after="0" w:line="240" w:lineRule="auto"/>
        <w:ind w:left="426" w:hanging="426"/>
        <w:jc w:val="both"/>
        <w:rPr>
          <w:rFonts w:cs="Arial"/>
          <w:lang w:val="es-CO" w:eastAsia="es-ES"/>
        </w:rPr>
      </w:pPr>
      <w:r w:rsidRPr="0018657C">
        <w:rPr>
          <w:rFonts w:cs="Arial"/>
          <w:lang w:val="es-CO" w:eastAsia="es-ES"/>
        </w:rPr>
        <w:t>Fortalecer la articulación con las áreas misionales para el aprovechamiento de la complementariedad del trabajo con las familias de los niños, niñas y adolescentes beneficiarios de los servicios del ICBF.</w:t>
      </w:r>
    </w:p>
    <w:p w:rsidR="0018657C" w:rsidRPr="0018657C" w:rsidRDefault="0018657C" w:rsidP="0018657C">
      <w:pPr>
        <w:spacing w:after="0" w:line="240" w:lineRule="auto"/>
        <w:jc w:val="both"/>
        <w:rPr>
          <w:rFonts w:cs="Arial"/>
          <w:lang w:val="es-CO" w:eastAsia="es-ES"/>
        </w:rPr>
      </w:pPr>
    </w:p>
    <w:p w:rsidR="00567B11" w:rsidRPr="0018657C" w:rsidRDefault="00567B11" w:rsidP="00A44A2B">
      <w:pPr>
        <w:numPr>
          <w:ilvl w:val="0"/>
          <w:numId w:val="24"/>
        </w:numPr>
        <w:spacing w:after="0" w:line="240" w:lineRule="auto"/>
        <w:ind w:left="426" w:hanging="426"/>
        <w:jc w:val="both"/>
        <w:rPr>
          <w:rFonts w:cs="Arial"/>
          <w:lang w:val="es-CO" w:eastAsia="es-ES"/>
        </w:rPr>
      </w:pPr>
      <w:r w:rsidRPr="0018657C">
        <w:rPr>
          <w:rFonts w:cs="Arial"/>
          <w:lang w:val="es-CO" w:eastAsia="es-ES"/>
        </w:rPr>
        <w:t>Promover el uso de herramientas tecnológicas para padres, madres y cuidadores con el fin de contribuir en la generación de espacios de reflexión y acciones de promoción de entornos protectores para los niños, niñas y adolescentes.</w:t>
      </w:r>
    </w:p>
    <w:p w:rsidR="00567B11" w:rsidRPr="007608C2" w:rsidRDefault="00567B11" w:rsidP="00567B11">
      <w:pPr>
        <w:rPr>
          <w:rFonts w:cs="Arial"/>
        </w:rPr>
      </w:pPr>
    </w:p>
    <w:p w:rsidR="002F09E7" w:rsidRPr="007608C2" w:rsidRDefault="00086073" w:rsidP="00A44A2B">
      <w:pPr>
        <w:pStyle w:val="Ttulo1"/>
        <w:pageBreakBefore/>
        <w:numPr>
          <w:ilvl w:val="1"/>
          <w:numId w:val="142"/>
        </w:numPr>
        <w:spacing w:before="100" w:beforeAutospacing="1" w:after="100" w:afterAutospacing="1"/>
        <w:jc w:val="both"/>
        <w:rPr>
          <w:rFonts w:cs="Arial"/>
          <w:szCs w:val="22"/>
        </w:rPr>
      </w:pPr>
      <w:bookmarkStart w:id="65" w:name="_Toc505183053"/>
      <w:bookmarkEnd w:id="38"/>
      <w:r w:rsidRPr="007608C2">
        <w:rPr>
          <w:rFonts w:cs="Arial"/>
          <w:szCs w:val="22"/>
        </w:rPr>
        <w:lastRenderedPageBreak/>
        <w:t>ATENCIÓN EN NUTRICIÓN</w:t>
      </w:r>
      <w:bookmarkEnd w:id="65"/>
      <w:r w:rsidR="002F09E7" w:rsidRPr="007608C2">
        <w:rPr>
          <w:rFonts w:cs="Arial"/>
          <w:szCs w:val="22"/>
        </w:rPr>
        <w:t xml:space="preserve"> </w:t>
      </w:r>
    </w:p>
    <w:tbl>
      <w:tblPr>
        <w:tblW w:w="0" w:type="auto"/>
        <w:tblInd w:w="-5"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5255"/>
        <w:gridCol w:w="951"/>
        <w:gridCol w:w="791"/>
        <w:gridCol w:w="911"/>
        <w:gridCol w:w="1492"/>
      </w:tblGrid>
      <w:tr w:rsidR="003D54A9" w:rsidRPr="004B1BA7" w:rsidTr="004B1BA7">
        <w:trPr>
          <w:trHeight w:val="575"/>
        </w:trPr>
        <w:tc>
          <w:tcPr>
            <w:tcW w:w="0" w:type="auto"/>
            <w:vMerge w:val="restart"/>
            <w:shd w:val="clear" w:color="auto" w:fill="76922E"/>
            <w:vAlign w:val="center"/>
            <w:hideMark/>
          </w:tcPr>
          <w:p w:rsidR="003D54A9" w:rsidRPr="004B1BA7" w:rsidRDefault="004B1BA7" w:rsidP="004B1BA7">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4B1BA7">
              <w:rPr>
                <w:rFonts w:eastAsia="Times New Roman" w:cs="Arial"/>
                <w:b/>
                <w:bCs/>
                <w:color w:val="FFFFFF" w:themeColor="background1"/>
                <w:sz w:val="18"/>
                <w:szCs w:val="18"/>
                <w:lang w:val="es-CO" w:eastAsia="es-CO"/>
              </w:rPr>
              <w:t>Desarrollar Acciones de Promoción y Prevención en el Marco de la Política de Seguridad Alimentaria y Nutricional en el Territorio Nacional</w:t>
            </w:r>
          </w:p>
        </w:tc>
        <w:tc>
          <w:tcPr>
            <w:tcW w:w="0" w:type="auto"/>
            <w:shd w:val="clear" w:color="auto" w:fill="76922E"/>
            <w:vAlign w:val="center"/>
            <w:hideMark/>
          </w:tcPr>
          <w:p w:rsidR="003D54A9" w:rsidRPr="004B1BA7" w:rsidRDefault="004B1BA7" w:rsidP="004B1BA7">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4B1BA7">
              <w:rPr>
                <w:rFonts w:eastAsia="Times New Roman" w:cs="Arial"/>
                <w:b/>
                <w:bCs/>
                <w:color w:val="FFFFFF" w:themeColor="background1"/>
                <w:sz w:val="18"/>
                <w:szCs w:val="18"/>
                <w:lang w:val="es-CO" w:eastAsia="es-CO"/>
              </w:rPr>
              <w:t>Unidades</w:t>
            </w:r>
          </w:p>
        </w:tc>
        <w:tc>
          <w:tcPr>
            <w:tcW w:w="0" w:type="auto"/>
            <w:shd w:val="clear" w:color="auto" w:fill="76922E"/>
            <w:vAlign w:val="center"/>
            <w:hideMark/>
          </w:tcPr>
          <w:p w:rsidR="003D54A9" w:rsidRPr="004B1BA7" w:rsidRDefault="004B1BA7" w:rsidP="004B1BA7">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4B1BA7">
              <w:rPr>
                <w:rFonts w:eastAsia="Times New Roman" w:cs="Arial"/>
                <w:b/>
                <w:bCs/>
                <w:color w:val="FFFFFF" w:themeColor="background1"/>
                <w:sz w:val="18"/>
                <w:szCs w:val="18"/>
                <w:lang w:val="es-CO" w:eastAsia="es-CO"/>
              </w:rPr>
              <w:t>Cupos</w:t>
            </w:r>
          </w:p>
        </w:tc>
        <w:tc>
          <w:tcPr>
            <w:tcW w:w="0" w:type="auto"/>
            <w:shd w:val="clear" w:color="auto" w:fill="76922E"/>
            <w:vAlign w:val="center"/>
            <w:hideMark/>
          </w:tcPr>
          <w:p w:rsidR="003D54A9" w:rsidRPr="004B1BA7" w:rsidRDefault="004B1BA7" w:rsidP="004B1BA7">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4B1BA7">
              <w:rPr>
                <w:rFonts w:eastAsia="Times New Roman" w:cs="Arial"/>
                <w:b/>
                <w:bCs/>
                <w:color w:val="FFFFFF" w:themeColor="background1"/>
                <w:sz w:val="18"/>
                <w:szCs w:val="18"/>
                <w:lang w:val="es-CO" w:eastAsia="es-CO"/>
              </w:rPr>
              <w:t>Usuarios</w:t>
            </w:r>
          </w:p>
        </w:tc>
        <w:tc>
          <w:tcPr>
            <w:tcW w:w="0" w:type="auto"/>
            <w:shd w:val="clear" w:color="auto" w:fill="76922E"/>
            <w:vAlign w:val="center"/>
            <w:hideMark/>
          </w:tcPr>
          <w:p w:rsidR="003D54A9" w:rsidRPr="004B1BA7" w:rsidRDefault="004B1BA7" w:rsidP="004B1BA7">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4B1BA7">
              <w:rPr>
                <w:rFonts w:eastAsia="Times New Roman" w:cs="Arial"/>
                <w:b/>
                <w:bCs/>
                <w:color w:val="FFFFFF" w:themeColor="background1"/>
                <w:sz w:val="18"/>
                <w:szCs w:val="18"/>
                <w:lang w:val="es-CO" w:eastAsia="es-CO"/>
              </w:rPr>
              <w:t>Inversión</w:t>
            </w:r>
            <w:r w:rsidRPr="004B1BA7">
              <w:rPr>
                <w:rFonts w:eastAsia="Times New Roman" w:cs="Arial"/>
                <w:b/>
                <w:bCs/>
                <w:color w:val="FFFFFF" w:themeColor="background1"/>
                <w:sz w:val="18"/>
                <w:szCs w:val="18"/>
                <w:lang w:val="es-CO" w:eastAsia="es-CO"/>
              </w:rPr>
              <w:br/>
              <w:t>SIIF</w:t>
            </w:r>
          </w:p>
        </w:tc>
      </w:tr>
      <w:tr w:rsidR="003D54A9" w:rsidRPr="004B1BA7" w:rsidTr="004B1BA7">
        <w:trPr>
          <w:trHeight w:val="287"/>
        </w:trPr>
        <w:tc>
          <w:tcPr>
            <w:tcW w:w="0" w:type="auto"/>
            <w:vMerge/>
            <w:vAlign w:val="center"/>
            <w:hideMark/>
          </w:tcPr>
          <w:p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000000" w:fill="E2EFDA"/>
            <w:noWrap/>
            <w:vAlign w:val="center"/>
            <w:hideMark/>
          </w:tcPr>
          <w:p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4.403</w:t>
            </w:r>
          </w:p>
        </w:tc>
        <w:tc>
          <w:tcPr>
            <w:tcW w:w="0" w:type="auto"/>
            <w:shd w:val="clear" w:color="000000" w:fill="E2EFDA"/>
            <w:noWrap/>
            <w:vAlign w:val="center"/>
            <w:hideMark/>
          </w:tcPr>
          <w:p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822.744</w:t>
            </w:r>
          </w:p>
        </w:tc>
        <w:tc>
          <w:tcPr>
            <w:tcW w:w="0" w:type="auto"/>
            <w:shd w:val="clear" w:color="000000" w:fill="E2EFDA"/>
            <w:noWrap/>
            <w:vAlign w:val="center"/>
            <w:hideMark/>
          </w:tcPr>
          <w:p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826.479</w:t>
            </w:r>
          </w:p>
        </w:tc>
        <w:tc>
          <w:tcPr>
            <w:tcW w:w="0" w:type="auto"/>
            <w:shd w:val="clear" w:color="000000" w:fill="E2EFDA"/>
            <w:noWrap/>
            <w:vAlign w:val="center"/>
            <w:hideMark/>
          </w:tcPr>
          <w:p w:rsidR="003D54A9" w:rsidRPr="004B1BA7" w:rsidRDefault="004B1BA7" w:rsidP="003D54A9">
            <w:pPr>
              <w:spacing w:before="100" w:beforeAutospacing="1" w:after="100" w:afterAutospacing="1" w:line="240" w:lineRule="auto"/>
              <w:jc w:val="right"/>
              <w:rPr>
                <w:rFonts w:eastAsia="Times New Roman" w:cs="Arial"/>
                <w:b/>
                <w:bCs/>
                <w:sz w:val="18"/>
                <w:szCs w:val="18"/>
                <w:lang w:val="es-CO" w:eastAsia="es-CO"/>
              </w:rPr>
            </w:pPr>
            <w:r w:rsidRPr="004B1BA7">
              <w:rPr>
                <w:rFonts w:eastAsia="Times New Roman" w:cs="Arial"/>
                <w:b/>
                <w:bCs/>
                <w:sz w:val="18"/>
                <w:szCs w:val="18"/>
                <w:lang w:val="es-CO" w:eastAsia="es-CO"/>
              </w:rPr>
              <w:t>185.452.171.578</w:t>
            </w:r>
          </w:p>
        </w:tc>
      </w:tr>
      <w:tr w:rsidR="003D54A9" w:rsidRPr="004B1BA7" w:rsidTr="004B1BA7">
        <w:trPr>
          <w:trHeight w:val="287"/>
        </w:trPr>
        <w:tc>
          <w:tcPr>
            <w:tcW w:w="0" w:type="auto"/>
            <w:shd w:val="clear" w:color="000000" w:fill="E7E6E6"/>
            <w:vAlign w:val="center"/>
            <w:hideMark/>
          </w:tcPr>
          <w:p w:rsidR="003D54A9" w:rsidRPr="004B1BA7" w:rsidRDefault="006339A3" w:rsidP="003D54A9">
            <w:pPr>
              <w:spacing w:before="100" w:beforeAutospacing="1" w:after="100" w:afterAutospacing="1" w:line="240" w:lineRule="auto"/>
              <w:jc w:val="both"/>
              <w:rPr>
                <w:rFonts w:eastAsia="Times New Roman" w:cs="Arial"/>
                <w:b/>
                <w:bCs/>
                <w:sz w:val="18"/>
                <w:szCs w:val="18"/>
                <w:lang w:val="es-CO" w:eastAsia="es-CO"/>
              </w:rPr>
            </w:pPr>
            <w:r>
              <w:rPr>
                <w:rFonts w:eastAsia="Times New Roman" w:cs="Arial"/>
                <w:b/>
                <w:bCs/>
                <w:sz w:val="18"/>
                <w:szCs w:val="18"/>
                <w:lang w:val="es-CO" w:eastAsia="es-CO"/>
              </w:rPr>
              <w:t>Atención y</w:t>
            </w:r>
            <w:r w:rsidR="004B1BA7" w:rsidRPr="004B1BA7">
              <w:rPr>
                <w:rFonts w:eastAsia="Times New Roman" w:cs="Arial"/>
                <w:b/>
                <w:bCs/>
                <w:sz w:val="18"/>
                <w:szCs w:val="18"/>
                <w:lang w:val="es-CO" w:eastAsia="es-CO"/>
              </w:rPr>
              <w:t xml:space="preserve"> Prevención A La Desnutrición</w:t>
            </w:r>
          </w:p>
        </w:tc>
        <w:tc>
          <w:tcPr>
            <w:tcW w:w="0" w:type="auto"/>
            <w:shd w:val="clear" w:color="000000" w:fill="E7E6E6"/>
            <w:noWrap/>
            <w:vAlign w:val="center"/>
            <w:hideMark/>
          </w:tcPr>
          <w:p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16</w:t>
            </w:r>
          </w:p>
        </w:tc>
        <w:tc>
          <w:tcPr>
            <w:tcW w:w="0" w:type="auto"/>
            <w:shd w:val="clear" w:color="000000" w:fill="E7E6E6"/>
            <w:noWrap/>
            <w:vAlign w:val="center"/>
            <w:hideMark/>
          </w:tcPr>
          <w:p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18.448</w:t>
            </w:r>
          </w:p>
        </w:tc>
        <w:tc>
          <w:tcPr>
            <w:tcW w:w="0" w:type="auto"/>
            <w:shd w:val="clear" w:color="000000" w:fill="E7E6E6"/>
            <w:noWrap/>
            <w:vAlign w:val="center"/>
            <w:hideMark/>
          </w:tcPr>
          <w:p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20.752</w:t>
            </w:r>
          </w:p>
        </w:tc>
        <w:tc>
          <w:tcPr>
            <w:tcW w:w="0" w:type="auto"/>
            <w:shd w:val="clear" w:color="000000" w:fill="E7E6E6"/>
            <w:noWrap/>
            <w:vAlign w:val="center"/>
            <w:hideMark/>
          </w:tcPr>
          <w:p w:rsidR="003D54A9" w:rsidRPr="004B1BA7" w:rsidRDefault="004B1BA7" w:rsidP="003D54A9">
            <w:pPr>
              <w:spacing w:before="100" w:beforeAutospacing="1" w:after="100" w:afterAutospacing="1" w:line="240" w:lineRule="auto"/>
              <w:jc w:val="right"/>
              <w:rPr>
                <w:rFonts w:eastAsia="Times New Roman" w:cs="Arial"/>
                <w:b/>
                <w:bCs/>
                <w:sz w:val="18"/>
                <w:szCs w:val="18"/>
                <w:lang w:val="es-CO" w:eastAsia="es-CO"/>
              </w:rPr>
            </w:pPr>
            <w:r w:rsidRPr="004B1BA7">
              <w:rPr>
                <w:rFonts w:eastAsia="Times New Roman" w:cs="Arial"/>
                <w:b/>
                <w:bCs/>
                <w:sz w:val="18"/>
                <w:szCs w:val="18"/>
                <w:lang w:val="es-CO" w:eastAsia="es-CO"/>
              </w:rPr>
              <w:t xml:space="preserve">60.892.380.729  </w:t>
            </w:r>
          </w:p>
        </w:tc>
      </w:tr>
      <w:tr w:rsidR="003D54A9" w:rsidRPr="004B1BA7" w:rsidTr="004B1BA7">
        <w:trPr>
          <w:trHeight w:val="287"/>
        </w:trPr>
        <w:tc>
          <w:tcPr>
            <w:tcW w:w="0" w:type="auto"/>
            <w:shd w:val="clear" w:color="auto" w:fill="auto"/>
            <w:vAlign w:val="center"/>
            <w:hideMark/>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eastAsia="Times New Roman" w:cs="Arial"/>
                <w:sz w:val="18"/>
                <w:szCs w:val="18"/>
                <w:lang w:val="es-CO" w:eastAsia="es-CO"/>
              </w:rPr>
              <w:t>Centros de Recuperación Nutricional para la Primera Infancia </w:t>
            </w:r>
          </w:p>
        </w:tc>
        <w:tc>
          <w:tcPr>
            <w:tcW w:w="0" w:type="auto"/>
            <w:shd w:val="clear" w:color="auto" w:fill="auto"/>
            <w:noWrap/>
            <w:vAlign w:val="center"/>
            <w:hideMark/>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eastAsia="Times New Roman" w:cs="Arial"/>
                <w:sz w:val="18"/>
                <w:szCs w:val="18"/>
                <w:lang w:val="es-CO" w:eastAsia="es-CO"/>
              </w:rPr>
              <w:t xml:space="preserve"> 16</w:t>
            </w:r>
          </w:p>
        </w:tc>
        <w:tc>
          <w:tcPr>
            <w:tcW w:w="0" w:type="auto"/>
            <w:shd w:val="clear" w:color="auto" w:fill="auto"/>
            <w:noWrap/>
            <w:vAlign w:val="center"/>
            <w:hideMark/>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eastAsia="Times New Roman" w:cs="Arial"/>
                <w:sz w:val="18"/>
                <w:szCs w:val="18"/>
                <w:lang w:val="es-CO" w:eastAsia="es-CO"/>
              </w:rPr>
              <w:t xml:space="preserve"> 253</w:t>
            </w:r>
          </w:p>
        </w:tc>
        <w:tc>
          <w:tcPr>
            <w:tcW w:w="0" w:type="auto"/>
            <w:shd w:val="clear" w:color="auto" w:fill="auto"/>
            <w:noWrap/>
            <w:vAlign w:val="center"/>
            <w:hideMark/>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eastAsia="Times New Roman" w:cs="Arial"/>
                <w:sz w:val="18"/>
                <w:szCs w:val="18"/>
                <w:lang w:val="es-CO" w:eastAsia="es-CO"/>
              </w:rPr>
              <w:t xml:space="preserve"> 2.557</w:t>
            </w:r>
          </w:p>
        </w:tc>
        <w:tc>
          <w:tcPr>
            <w:tcW w:w="0" w:type="auto"/>
            <w:shd w:val="clear" w:color="auto" w:fill="auto"/>
            <w:noWrap/>
            <w:vAlign w:val="center"/>
            <w:hideMark/>
          </w:tcPr>
          <w:p w:rsidR="003D54A9" w:rsidRPr="004B1BA7" w:rsidRDefault="004B1BA7" w:rsidP="003D54A9">
            <w:pPr>
              <w:spacing w:before="100" w:beforeAutospacing="1" w:after="100" w:afterAutospacing="1" w:line="240" w:lineRule="auto"/>
              <w:jc w:val="right"/>
              <w:rPr>
                <w:rFonts w:eastAsia="Times New Roman" w:cs="Arial"/>
                <w:b/>
                <w:sz w:val="18"/>
                <w:szCs w:val="18"/>
                <w:lang w:val="es-CO" w:eastAsia="es-CO"/>
              </w:rPr>
            </w:pPr>
            <w:r w:rsidRPr="004B1BA7">
              <w:rPr>
                <w:rFonts w:eastAsia="Times New Roman" w:cs="Arial"/>
                <w:b/>
                <w:sz w:val="18"/>
                <w:szCs w:val="18"/>
                <w:lang w:val="es-CO" w:eastAsia="es-CO"/>
              </w:rPr>
              <w:t>6.293.489.474 </w:t>
            </w:r>
          </w:p>
        </w:tc>
      </w:tr>
      <w:tr w:rsidR="003D54A9" w:rsidRPr="004B1BA7" w:rsidTr="004B1BA7">
        <w:trPr>
          <w:trHeight w:val="372"/>
        </w:trPr>
        <w:tc>
          <w:tcPr>
            <w:tcW w:w="0" w:type="auto"/>
            <w:shd w:val="clear" w:color="auto" w:fill="auto"/>
            <w:vAlign w:val="center"/>
            <w:hideMark/>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eastAsia="Times New Roman" w:cs="Arial"/>
                <w:sz w:val="18"/>
                <w:szCs w:val="18"/>
                <w:lang w:val="es-CO" w:eastAsia="es-CO"/>
              </w:rPr>
              <w:t>1.000 Días Para Cambiar El Mundo</w:t>
            </w:r>
          </w:p>
        </w:tc>
        <w:tc>
          <w:tcPr>
            <w:tcW w:w="0" w:type="auto"/>
            <w:shd w:val="clear" w:color="auto" w:fill="auto"/>
            <w:noWrap/>
            <w:vAlign w:val="center"/>
            <w:hideMark/>
          </w:tcPr>
          <w:p w:rsidR="003D54A9" w:rsidRPr="004B1BA7" w:rsidRDefault="003D54A9" w:rsidP="003D54A9">
            <w:pPr>
              <w:spacing w:before="100" w:beforeAutospacing="1" w:after="100" w:afterAutospacing="1" w:line="240" w:lineRule="auto"/>
              <w:jc w:val="both"/>
              <w:rPr>
                <w:rFonts w:eastAsia="Times New Roman" w:cs="Arial"/>
                <w:sz w:val="18"/>
                <w:szCs w:val="18"/>
                <w:lang w:val="es-CO" w:eastAsia="es-CO"/>
              </w:rPr>
            </w:pPr>
          </w:p>
        </w:tc>
        <w:tc>
          <w:tcPr>
            <w:tcW w:w="0" w:type="auto"/>
            <w:shd w:val="clear" w:color="auto" w:fill="auto"/>
            <w:noWrap/>
            <w:vAlign w:val="center"/>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eastAsia="Times New Roman" w:cs="Arial"/>
                <w:sz w:val="18"/>
                <w:szCs w:val="18"/>
                <w:lang w:val="es-CO" w:eastAsia="es-CO"/>
              </w:rPr>
              <w:t xml:space="preserve"> 18.195</w:t>
            </w:r>
          </w:p>
        </w:tc>
        <w:tc>
          <w:tcPr>
            <w:tcW w:w="0" w:type="auto"/>
            <w:shd w:val="clear" w:color="auto" w:fill="auto"/>
            <w:noWrap/>
            <w:vAlign w:val="center"/>
            <w:hideMark/>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eastAsia="Times New Roman" w:cs="Arial"/>
                <w:sz w:val="18"/>
                <w:szCs w:val="18"/>
                <w:lang w:val="es-CO" w:eastAsia="es-CO"/>
              </w:rPr>
              <w:t xml:space="preserve"> 18.195</w:t>
            </w:r>
          </w:p>
        </w:tc>
        <w:tc>
          <w:tcPr>
            <w:tcW w:w="0" w:type="auto"/>
            <w:shd w:val="clear" w:color="auto" w:fill="auto"/>
            <w:noWrap/>
            <w:vAlign w:val="center"/>
            <w:hideMark/>
          </w:tcPr>
          <w:p w:rsidR="003D54A9" w:rsidRPr="004B1BA7" w:rsidRDefault="004B1BA7" w:rsidP="003D54A9">
            <w:pPr>
              <w:spacing w:before="100" w:beforeAutospacing="1" w:after="100" w:afterAutospacing="1" w:line="240" w:lineRule="auto"/>
              <w:jc w:val="right"/>
              <w:rPr>
                <w:rFonts w:eastAsia="Times New Roman" w:cs="Arial"/>
                <w:b/>
                <w:sz w:val="18"/>
                <w:szCs w:val="18"/>
                <w:lang w:val="es-CO" w:eastAsia="es-CO"/>
              </w:rPr>
            </w:pPr>
            <w:r w:rsidRPr="004B1BA7">
              <w:rPr>
                <w:rFonts w:eastAsia="Times New Roman" w:cs="Arial"/>
                <w:b/>
                <w:sz w:val="18"/>
                <w:szCs w:val="18"/>
                <w:lang w:val="es-CO" w:eastAsia="es-CO"/>
              </w:rPr>
              <w:t xml:space="preserve">54.598.891.255 </w:t>
            </w:r>
            <w:r w:rsidRPr="004B1BA7">
              <w:rPr>
                <w:rFonts w:eastAsia="Times New Roman" w:cs="Arial"/>
                <w:sz w:val="18"/>
                <w:szCs w:val="18"/>
                <w:lang w:val="es-CO" w:eastAsia="es-CO"/>
              </w:rPr>
              <w:t> </w:t>
            </w:r>
          </w:p>
        </w:tc>
      </w:tr>
      <w:tr w:rsidR="003D54A9" w:rsidRPr="004B1BA7" w:rsidTr="004B1BA7">
        <w:trPr>
          <w:trHeight w:val="287"/>
        </w:trPr>
        <w:tc>
          <w:tcPr>
            <w:tcW w:w="0" w:type="auto"/>
            <w:shd w:val="clear" w:color="000000" w:fill="E7E6E6"/>
            <w:vAlign w:val="center"/>
            <w:hideMark/>
          </w:tcPr>
          <w:p w:rsidR="003D54A9" w:rsidRPr="004B1BA7" w:rsidRDefault="006339A3" w:rsidP="003D54A9">
            <w:pPr>
              <w:spacing w:before="100" w:beforeAutospacing="1" w:after="100" w:afterAutospacing="1" w:line="240" w:lineRule="auto"/>
              <w:jc w:val="both"/>
              <w:rPr>
                <w:rFonts w:eastAsia="Times New Roman" w:cs="Arial"/>
                <w:b/>
                <w:bCs/>
                <w:sz w:val="18"/>
                <w:szCs w:val="18"/>
                <w:lang w:val="es-CO" w:eastAsia="es-CO"/>
              </w:rPr>
            </w:pPr>
            <w:r>
              <w:rPr>
                <w:rFonts w:eastAsia="Times New Roman" w:cs="Arial"/>
                <w:b/>
                <w:bCs/>
                <w:sz w:val="18"/>
                <w:szCs w:val="18"/>
                <w:lang w:val="es-CO" w:eastAsia="es-CO"/>
              </w:rPr>
              <w:t>Otras Acciones d</w:t>
            </w:r>
            <w:r w:rsidR="004B1BA7" w:rsidRPr="004B1BA7">
              <w:rPr>
                <w:rFonts w:eastAsia="Times New Roman" w:cs="Arial"/>
                <w:b/>
                <w:bCs/>
                <w:sz w:val="18"/>
                <w:szCs w:val="18"/>
                <w:lang w:val="es-CO" w:eastAsia="es-CO"/>
              </w:rPr>
              <w:t>e Apoyo Alimentario   </w:t>
            </w:r>
          </w:p>
        </w:tc>
        <w:tc>
          <w:tcPr>
            <w:tcW w:w="0" w:type="auto"/>
            <w:shd w:val="clear" w:color="000000" w:fill="E7E6E6"/>
            <w:noWrap/>
            <w:vAlign w:val="center"/>
            <w:hideMark/>
          </w:tcPr>
          <w:p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1.624</w:t>
            </w:r>
          </w:p>
        </w:tc>
        <w:tc>
          <w:tcPr>
            <w:tcW w:w="0" w:type="auto"/>
            <w:shd w:val="clear" w:color="000000" w:fill="E7E6E6"/>
            <w:noWrap/>
            <w:vAlign w:val="center"/>
            <w:hideMark/>
          </w:tcPr>
          <w:p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232.326</w:t>
            </w:r>
          </w:p>
        </w:tc>
        <w:tc>
          <w:tcPr>
            <w:tcW w:w="0" w:type="auto"/>
            <w:shd w:val="clear" w:color="000000" w:fill="E7E6E6"/>
            <w:noWrap/>
            <w:vAlign w:val="center"/>
            <w:hideMark/>
          </w:tcPr>
          <w:p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232.326</w:t>
            </w:r>
          </w:p>
        </w:tc>
        <w:tc>
          <w:tcPr>
            <w:tcW w:w="0" w:type="auto"/>
            <w:shd w:val="clear" w:color="000000" w:fill="E7E6E6"/>
            <w:noWrap/>
            <w:vAlign w:val="center"/>
            <w:hideMark/>
          </w:tcPr>
          <w:p w:rsidR="003D54A9" w:rsidRPr="004B1BA7" w:rsidRDefault="003D54A9" w:rsidP="003D54A9">
            <w:pPr>
              <w:spacing w:before="100" w:beforeAutospacing="1" w:after="100" w:afterAutospacing="1" w:line="240" w:lineRule="auto"/>
              <w:jc w:val="right"/>
              <w:rPr>
                <w:rFonts w:eastAsia="Times New Roman" w:cs="Arial"/>
                <w:b/>
                <w:bCs/>
                <w:sz w:val="18"/>
                <w:szCs w:val="18"/>
                <w:lang w:val="es-CO" w:eastAsia="es-CO"/>
              </w:rPr>
            </w:pPr>
          </w:p>
        </w:tc>
      </w:tr>
      <w:tr w:rsidR="003D54A9" w:rsidRPr="004B1BA7" w:rsidTr="004B1BA7">
        <w:trPr>
          <w:trHeight w:val="287"/>
        </w:trPr>
        <w:tc>
          <w:tcPr>
            <w:tcW w:w="0" w:type="auto"/>
            <w:shd w:val="clear" w:color="auto" w:fill="auto"/>
            <w:vAlign w:val="center"/>
            <w:hideMark/>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eastAsia="Times New Roman" w:cs="Arial"/>
                <w:sz w:val="18"/>
                <w:szCs w:val="18"/>
                <w:lang w:val="es-CO" w:eastAsia="es-CO"/>
              </w:rPr>
              <w:t>Materno Infantil</w:t>
            </w:r>
          </w:p>
        </w:tc>
        <w:tc>
          <w:tcPr>
            <w:tcW w:w="0" w:type="auto"/>
            <w:shd w:val="clear" w:color="auto" w:fill="auto"/>
            <w:noWrap/>
            <w:vAlign w:val="center"/>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eastAsia="Times New Roman" w:cs="Arial"/>
                <w:sz w:val="18"/>
                <w:szCs w:val="18"/>
                <w:lang w:val="es-CO" w:eastAsia="es-CO"/>
              </w:rPr>
              <w:t>100</w:t>
            </w:r>
          </w:p>
        </w:tc>
        <w:tc>
          <w:tcPr>
            <w:tcW w:w="0" w:type="auto"/>
            <w:shd w:val="clear" w:color="auto" w:fill="auto"/>
            <w:noWrap/>
            <w:vAlign w:val="center"/>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eastAsia="Times New Roman" w:cs="Arial"/>
                <w:sz w:val="18"/>
                <w:szCs w:val="18"/>
                <w:lang w:val="es-CO" w:eastAsia="es-CO"/>
              </w:rPr>
              <w:t>100</w:t>
            </w:r>
          </w:p>
        </w:tc>
        <w:tc>
          <w:tcPr>
            <w:tcW w:w="0" w:type="auto"/>
            <w:shd w:val="clear" w:color="auto" w:fill="auto"/>
            <w:noWrap/>
            <w:vAlign w:val="center"/>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eastAsia="Times New Roman" w:cs="Arial"/>
                <w:sz w:val="18"/>
                <w:szCs w:val="18"/>
                <w:lang w:val="es-CO" w:eastAsia="es-CO"/>
              </w:rPr>
              <w:t>100</w:t>
            </w:r>
          </w:p>
        </w:tc>
        <w:tc>
          <w:tcPr>
            <w:tcW w:w="0" w:type="auto"/>
            <w:shd w:val="clear" w:color="auto" w:fill="auto"/>
            <w:noWrap/>
            <w:vAlign w:val="center"/>
            <w:hideMark/>
          </w:tcPr>
          <w:p w:rsidR="003D54A9" w:rsidRPr="004B1BA7" w:rsidRDefault="004B1BA7" w:rsidP="003D54A9">
            <w:pPr>
              <w:spacing w:before="100" w:beforeAutospacing="1" w:after="100" w:afterAutospacing="1" w:line="240" w:lineRule="auto"/>
              <w:jc w:val="right"/>
              <w:rPr>
                <w:rFonts w:eastAsia="Times New Roman" w:cs="Arial"/>
                <w:sz w:val="18"/>
                <w:szCs w:val="18"/>
                <w:lang w:val="es-CO" w:eastAsia="es-CO"/>
              </w:rPr>
            </w:pPr>
            <w:r w:rsidRPr="004B1BA7">
              <w:rPr>
                <w:rFonts w:eastAsia="Times New Roman" w:cs="Arial"/>
                <w:sz w:val="18"/>
                <w:szCs w:val="18"/>
                <w:lang w:val="es-CO" w:eastAsia="es-CO"/>
              </w:rPr>
              <w:t> </w:t>
            </w:r>
          </w:p>
        </w:tc>
      </w:tr>
      <w:tr w:rsidR="003D54A9" w:rsidRPr="004B1BA7" w:rsidTr="004B1BA7">
        <w:trPr>
          <w:trHeight w:val="287"/>
        </w:trPr>
        <w:tc>
          <w:tcPr>
            <w:tcW w:w="0" w:type="auto"/>
            <w:shd w:val="clear" w:color="auto" w:fill="auto"/>
            <w:vAlign w:val="center"/>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eastAsia="Times New Roman" w:cs="Arial"/>
                <w:sz w:val="18"/>
                <w:szCs w:val="18"/>
                <w:lang w:val="es-CO" w:eastAsia="es-CO"/>
              </w:rPr>
              <w:t>Alimentos de Alto Valor Nutricional por Convenios o Contratos de Aporte</w:t>
            </w:r>
          </w:p>
        </w:tc>
        <w:tc>
          <w:tcPr>
            <w:tcW w:w="0" w:type="auto"/>
            <w:shd w:val="clear" w:color="auto" w:fill="auto"/>
            <w:noWrap/>
            <w:vAlign w:val="center"/>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eastAsia="Times New Roman" w:cs="Arial"/>
                <w:sz w:val="18"/>
                <w:szCs w:val="18"/>
                <w:lang w:val="es-CO" w:eastAsia="es-CO"/>
              </w:rPr>
              <w:t>1.524</w:t>
            </w:r>
          </w:p>
        </w:tc>
        <w:tc>
          <w:tcPr>
            <w:tcW w:w="0" w:type="auto"/>
            <w:shd w:val="clear" w:color="auto" w:fill="auto"/>
            <w:noWrap/>
            <w:vAlign w:val="center"/>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eastAsia="Times New Roman" w:cs="Arial"/>
                <w:sz w:val="18"/>
                <w:szCs w:val="18"/>
                <w:lang w:val="es-CO" w:eastAsia="es-CO"/>
              </w:rPr>
              <w:t>232.226</w:t>
            </w:r>
          </w:p>
        </w:tc>
        <w:tc>
          <w:tcPr>
            <w:tcW w:w="0" w:type="auto"/>
            <w:shd w:val="clear" w:color="auto" w:fill="auto"/>
            <w:noWrap/>
            <w:vAlign w:val="center"/>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eastAsia="Times New Roman" w:cs="Arial"/>
                <w:sz w:val="18"/>
                <w:szCs w:val="18"/>
                <w:lang w:val="es-CO" w:eastAsia="es-CO"/>
              </w:rPr>
              <w:t xml:space="preserve"> 232.226</w:t>
            </w:r>
          </w:p>
        </w:tc>
        <w:tc>
          <w:tcPr>
            <w:tcW w:w="0" w:type="auto"/>
            <w:shd w:val="clear" w:color="auto" w:fill="auto"/>
            <w:noWrap/>
            <w:vAlign w:val="center"/>
          </w:tcPr>
          <w:p w:rsidR="003D54A9" w:rsidRPr="004B1BA7" w:rsidRDefault="003D54A9" w:rsidP="003D54A9">
            <w:pPr>
              <w:spacing w:before="100" w:beforeAutospacing="1" w:after="100" w:afterAutospacing="1" w:line="240" w:lineRule="auto"/>
              <w:jc w:val="right"/>
              <w:rPr>
                <w:rFonts w:eastAsia="Times New Roman" w:cs="Arial"/>
                <w:sz w:val="18"/>
                <w:szCs w:val="18"/>
                <w:lang w:val="es-CO" w:eastAsia="es-CO"/>
              </w:rPr>
            </w:pPr>
          </w:p>
        </w:tc>
      </w:tr>
      <w:tr w:rsidR="003D54A9" w:rsidRPr="004B1BA7" w:rsidTr="004B1BA7">
        <w:trPr>
          <w:trHeight w:val="287"/>
        </w:trPr>
        <w:tc>
          <w:tcPr>
            <w:tcW w:w="0" w:type="auto"/>
            <w:shd w:val="clear" w:color="auto" w:fill="D9D9D9" w:themeFill="background1" w:themeFillShade="D9"/>
            <w:vAlign w:val="center"/>
          </w:tcPr>
          <w:p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Política De Seguridad Alimentaria Nutricional   </w:t>
            </w:r>
          </w:p>
        </w:tc>
        <w:tc>
          <w:tcPr>
            <w:tcW w:w="0" w:type="auto"/>
            <w:shd w:val="clear" w:color="auto" w:fill="D9D9D9" w:themeFill="background1" w:themeFillShade="D9"/>
            <w:noWrap/>
            <w:vAlign w:val="center"/>
          </w:tcPr>
          <w:p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3.656</w:t>
            </w:r>
          </w:p>
        </w:tc>
        <w:tc>
          <w:tcPr>
            <w:tcW w:w="0" w:type="auto"/>
            <w:shd w:val="clear" w:color="auto" w:fill="D9D9D9" w:themeFill="background1" w:themeFillShade="D9"/>
            <w:noWrap/>
            <w:vAlign w:val="center"/>
          </w:tcPr>
          <w:p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777.914</w:t>
            </w:r>
          </w:p>
        </w:tc>
        <w:tc>
          <w:tcPr>
            <w:tcW w:w="0" w:type="auto"/>
            <w:shd w:val="clear" w:color="auto" w:fill="D9D9D9" w:themeFill="background1" w:themeFillShade="D9"/>
            <w:noWrap/>
            <w:vAlign w:val="center"/>
          </w:tcPr>
          <w:p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777.914</w:t>
            </w:r>
          </w:p>
        </w:tc>
        <w:tc>
          <w:tcPr>
            <w:tcW w:w="0" w:type="auto"/>
            <w:shd w:val="clear" w:color="auto" w:fill="D9D9D9" w:themeFill="background1" w:themeFillShade="D9"/>
            <w:noWrap/>
            <w:vAlign w:val="center"/>
          </w:tcPr>
          <w:p w:rsidR="003D54A9" w:rsidRPr="004B1BA7" w:rsidRDefault="004B1BA7" w:rsidP="003D54A9">
            <w:pPr>
              <w:spacing w:before="100" w:beforeAutospacing="1" w:after="100" w:afterAutospacing="1" w:line="240" w:lineRule="auto"/>
              <w:jc w:val="right"/>
              <w:rPr>
                <w:rFonts w:eastAsia="Times New Roman" w:cs="Arial"/>
                <w:b/>
                <w:bCs/>
                <w:sz w:val="18"/>
                <w:szCs w:val="18"/>
                <w:lang w:val="es-CO" w:eastAsia="es-CO"/>
              </w:rPr>
            </w:pPr>
            <w:r w:rsidRPr="004B1BA7">
              <w:rPr>
                <w:rFonts w:eastAsia="Times New Roman" w:cs="Arial"/>
                <w:b/>
                <w:bCs/>
                <w:sz w:val="18"/>
                <w:szCs w:val="18"/>
                <w:lang w:val="es-CO" w:eastAsia="es-CO"/>
              </w:rPr>
              <w:t>1.426.221.646</w:t>
            </w:r>
          </w:p>
        </w:tc>
      </w:tr>
      <w:tr w:rsidR="003D54A9" w:rsidRPr="004B1BA7" w:rsidTr="004B1BA7">
        <w:trPr>
          <w:trHeight w:val="287"/>
        </w:trPr>
        <w:tc>
          <w:tcPr>
            <w:tcW w:w="0" w:type="auto"/>
            <w:shd w:val="clear" w:color="auto" w:fill="auto"/>
            <w:vAlign w:val="center"/>
          </w:tcPr>
          <w:p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FAO</w:t>
            </w:r>
          </w:p>
        </w:tc>
        <w:tc>
          <w:tcPr>
            <w:tcW w:w="0" w:type="auto"/>
            <w:shd w:val="clear" w:color="auto" w:fill="auto"/>
            <w:noWrap/>
            <w:vAlign w:val="center"/>
          </w:tcPr>
          <w:p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auto"/>
            <w:noWrap/>
            <w:vAlign w:val="center"/>
          </w:tcPr>
          <w:p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auto"/>
            <w:noWrap/>
            <w:vAlign w:val="center"/>
          </w:tcPr>
          <w:p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auto"/>
            <w:noWrap/>
            <w:vAlign w:val="center"/>
          </w:tcPr>
          <w:p w:rsidR="003D54A9" w:rsidRPr="004B1BA7" w:rsidRDefault="004B1BA7" w:rsidP="003D54A9">
            <w:pPr>
              <w:spacing w:before="100" w:beforeAutospacing="1" w:after="100" w:afterAutospacing="1" w:line="240" w:lineRule="auto"/>
              <w:jc w:val="right"/>
              <w:rPr>
                <w:rFonts w:eastAsia="Times New Roman" w:cs="Arial"/>
                <w:b/>
                <w:bCs/>
                <w:sz w:val="18"/>
                <w:szCs w:val="18"/>
                <w:lang w:val="es-CO" w:eastAsia="es-CO"/>
              </w:rPr>
            </w:pPr>
            <w:r w:rsidRPr="004B1BA7">
              <w:rPr>
                <w:rFonts w:eastAsia="Times New Roman" w:cs="Arial"/>
                <w:b/>
                <w:bCs/>
                <w:sz w:val="18"/>
                <w:szCs w:val="18"/>
                <w:lang w:val="es-CO" w:eastAsia="es-CO"/>
              </w:rPr>
              <w:t>850.000.000</w:t>
            </w:r>
          </w:p>
        </w:tc>
      </w:tr>
      <w:tr w:rsidR="003D54A9" w:rsidRPr="004B1BA7" w:rsidTr="004B1BA7">
        <w:trPr>
          <w:trHeight w:val="287"/>
        </w:trPr>
        <w:tc>
          <w:tcPr>
            <w:tcW w:w="0" w:type="auto"/>
            <w:shd w:val="clear" w:color="auto" w:fill="auto"/>
            <w:vAlign w:val="center"/>
          </w:tcPr>
          <w:p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Metrología</w:t>
            </w:r>
          </w:p>
        </w:tc>
        <w:tc>
          <w:tcPr>
            <w:tcW w:w="0" w:type="auto"/>
            <w:shd w:val="clear" w:color="auto" w:fill="auto"/>
            <w:noWrap/>
            <w:vAlign w:val="center"/>
          </w:tcPr>
          <w:p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auto"/>
            <w:noWrap/>
            <w:vAlign w:val="center"/>
          </w:tcPr>
          <w:p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auto"/>
            <w:noWrap/>
            <w:vAlign w:val="center"/>
          </w:tcPr>
          <w:p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auto"/>
            <w:noWrap/>
            <w:vAlign w:val="center"/>
          </w:tcPr>
          <w:p w:rsidR="003D54A9" w:rsidRPr="004B1BA7" w:rsidRDefault="004B1BA7" w:rsidP="003D54A9">
            <w:pPr>
              <w:spacing w:before="100" w:beforeAutospacing="1" w:after="100" w:afterAutospacing="1" w:line="240" w:lineRule="auto"/>
              <w:jc w:val="right"/>
              <w:rPr>
                <w:rFonts w:eastAsia="Times New Roman" w:cs="Arial"/>
                <w:b/>
                <w:bCs/>
                <w:sz w:val="18"/>
                <w:szCs w:val="18"/>
                <w:lang w:val="es-CO" w:eastAsia="es-CO"/>
              </w:rPr>
            </w:pPr>
            <w:r w:rsidRPr="004B1BA7">
              <w:rPr>
                <w:rFonts w:eastAsia="Times New Roman" w:cs="Arial"/>
                <w:b/>
                <w:bCs/>
                <w:sz w:val="18"/>
                <w:szCs w:val="18"/>
                <w:lang w:val="es-CO" w:eastAsia="es-CO"/>
              </w:rPr>
              <w:t>715.615.000</w:t>
            </w:r>
          </w:p>
        </w:tc>
      </w:tr>
      <w:tr w:rsidR="003D54A9" w:rsidRPr="004B1BA7" w:rsidTr="004B1BA7">
        <w:trPr>
          <w:trHeight w:val="287"/>
        </w:trPr>
        <w:tc>
          <w:tcPr>
            <w:tcW w:w="0" w:type="auto"/>
            <w:shd w:val="clear" w:color="auto" w:fill="auto"/>
            <w:vAlign w:val="center"/>
          </w:tcPr>
          <w:p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Centro de Excelencia</w:t>
            </w:r>
          </w:p>
        </w:tc>
        <w:tc>
          <w:tcPr>
            <w:tcW w:w="0" w:type="auto"/>
            <w:shd w:val="clear" w:color="auto" w:fill="auto"/>
            <w:noWrap/>
            <w:vAlign w:val="center"/>
          </w:tcPr>
          <w:p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auto"/>
            <w:noWrap/>
            <w:vAlign w:val="center"/>
          </w:tcPr>
          <w:p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auto"/>
            <w:noWrap/>
            <w:vAlign w:val="center"/>
          </w:tcPr>
          <w:p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auto"/>
            <w:noWrap/>
            <w:vAlign w:val="center"/>
          </w:tcPr>
          <w:p w:rsidR="003D54A9" w:rsidRPr="004B1BA7" w:rsidRDefault="004B1BA7" w:rsidP="003D54A9">
            <w:pPr>
              <w:spacing w:before="100" w:beforeAutospacing="1" w:after="100" w:afterAutospacing="1" w:line="240" w:lineRule="auto"/>
              <w:jc w:val="right"/>
              <w:rPr>
                <w:rFonts w:eastAsia="Times New Roman" w:cs="Arial"/>
                <w:sz w:val="18"/>
                <w:szCs w:val="18"/>
                <w:lang w:val="es-CO"/>
              </w:rPr>
            </w:pPr>
            <w:r w:rsidRPr="004B1BA7">
              <w:rPr>
                <w:rFonts w:eastAsia="Times New Roman" w:cs="Arial"/>
                <w:b/>
                <w:bCs/>
                <w:sz w:val="18"/>
                <w:szCs w:val="18"/>
                <w:lang w:val="es-CO" w:eastAsia="es-CO"/>
              </w:rPr>
              <w:t xml:space="preserve"> 34.919.675,00</w:t>
            </w:r>
          </w:p>
        </w:tc>
      </w:tr>
      <w:tr w:rsidR="003D54A9" w:rsidRPr="004B1BA7" w:rsidTr="004B1BA7">
        <w:trPr>
          <w:trHeight w:val="287"/>
        </w:trPr>
        <w:tc>
          <w:tcPr>
            <w:tcW w:w="0" w:type="auto"/>
            <w:shd w:val="clear" w:color="auto" w:fill="D9D9D9" w:themeFill="background1" w:themeFillShade="D9"/>
            <w:vAlign w:val="center"/>
          </w:tcPr>
          <w:p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Administración para la Producción, Compra y Distribución De Alimentos De Alto Valor Nutricional</w:t>
            </w:r>
          </w:p>
        </w:tc>
        <w:tc>
          <w:tcPr>
            <w:tcW w:w="0" w:type="auto"/>
            <w:shd w:val="clear" w:color="auto" w:fill="D9D9D9" w:themeFill="background1" w:themeFillShade="D9"/>
            <w:noWrap/>
            <w:vAlign w:val="center"/>
          </w:tcPr>
          <w:p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D9D9D9" w:themeFill="background1" w:themeFillShade="D9"/>
            <w:noWrap/>
            <w:vAlign w:val="center"/>
          </w:tcPr>
          <w:p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D9D9D9" w:themeFill="background1" w:themeFillShade="D9"/>
            <w:noWrap/>
            <w:vAlign w:val="center"/>
          </w:tcPr>
          <w:p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D9D9D9" w:themeFill="background1" w:themeFillShade="D9"/>
            <w:noWrap/>
            <w:vAlign w:val="center"/>
          </w:tcPr>
          <w:p w:rsidR="003D54A9" w:rsidRPr="004B1BA7" w:rsidRDefault="004B1BA7" w:rsidP="003D54A9">
            <w:pPr>
              <w:spacing w:before="100" w:beforeAutospacing="1" w:after="100" w:afterAutospacing="1" w:line="240" w:lineRule="auto"/>
              <w:jc w:val="right"/>
              <w:rPr>
                <w:rFonts w:eastAsia="Times New Roman" w:cs="Arial"/>
                <w:b/>
                <w:bCs/>
                <w:sz w:val="18"/>
                <w:szCs w:val="18"/>
                <w:lang w:val="es-CO" w:eastAsia="es-CO"/>
              </w:rPr>
            </w:pPr>
            <w:r w:rsidRPr="004B1BA7">
              <w:rPr>
                <w:rFonts w:eastAsia="Times New Roman" w:cs="Arial"/>
                <w:b/>
                <w:bCs/>
                <w:sz w:val="18"/>
                <w:szCs w:val="18"/>
                <w:lang w:val="es-CO" w:eastAsia="es-CO"/>
              </w:rPr>
              <w:t>123.133.569.203</w:t>
            </w:r>
          </w:p>
        </w:tc>
      </w:tr>
      <w:tr w:rsidR="003D54A9" w:rsidRPr="004B1BA7" w:rsidTr="004B1BA7">
        <w:trPr>
          <w:trHeight w:val="287"/>
        </w:trPr>
        <w:tc>
          <w:tcPr>
            <w:tcW w:w="0" w:type="auto"/>
            <w:shd w:val="clear" w:color="auto" w:fill="auto"/>
            <w:vAlign w:val="center"/>
          </w:tcPr>
          <w:p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AAVN</w:t>
            </w:r>
          </w:p>
        </w:tc>
        <w:tc>
          <w:tcPr>
            <w:tcW w:w="0" w:type="auto"/>
            <w:shd w:val="clear" w:color="auto" w:fill="auto"/>
            <w:noWrap/>
            <w:vAlign w:val="center"/>
          </w:tcPr>
          <w:p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auto"/>
            <w:noWrap/>
            <w:vAlign w:val="center"/>
          </w:tcPr>
          <w:p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auto"/>
            <w:noWrap/>
            <w:vAlign w:val="center"/>
          </w:tcPr>
          <w:p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auto"/>
            <w:noWrap/>
            <w:vAlign w:val="center"/>
          </w:tcPr>
          <w:p w:rsidR="003D54A9" w:rsidRPr="004B1BA7" w:rsidRDefault="004B1BA7" w:rsidP="003D54A9">
            <w:pPr>
              <w:spacing w:before="100" w:beforeAutospacing="1" w:after="100" w:afterAutospacing="1" w:line="240" w:lineRule="auto"/>
              <w:jc w:val="right"/>
              <w:rPr>
                <w:rFonts w:eastAsia="Times New Roman" w:cs="Arial"/>
                <w:b/>
                <w:bCs/>
                <w:sz w:val="18"/>
                <w:szCs w:val="18"/>
                <w:lang w:val="es-CO" w:eastAsia="es-CO"/>
              </w:rPr>
            </w:pPr>
            <w:r w:rsidRPr="004B1BA7">
              <w:rPr>
                <w:rFonts w:eastAsia="Times New Roman" w:cs="Arial"/>
                <w:b/>
                <w:bCs/>
                <w:sz w:val="18"/>
                <w:szCs w:val="18"/>
                <w:lang w:val="es-CO" w:eastAsia="es-CO"/>
              </w:rPr>
              <w:t>117.489.806.938</w:t>
            </w:r>
          </w:p>
        </w:tc>
      </w:tr>
      <w:tr w:rsidR="003D54A9" w:rsidRPr="004B1BA7" w:rsidTr="004B1BA7">
        <w:trPr>
          <w:trHeight w:val="287"/>
        </w:trPr>
        <w:tc>
          <w:tcPr>
            <w:tcW w:w="0" w:type="auto"/>
            <w:shd w:val="clear" w:color="auto" w:fill="auto"/>
            <w:vAlign w:val="center"/>
          </w:tcPr>
          <w:p w:rsidR="003D54A9" w:rsidRPr="004B1BA7" w:rsidRDefault="004B1BA7" w:rsidP="003D54A9">
            <w:pPr>
              <w:spacing w:before="100" w:beforeAutospacing="1" w:after="100" w:afterAutospacing="1" w:line="240" w:lineRule="auto"/>
              <w:jc w:val="both"/>
              <w:rPr>
                <w:rFonts w:eastAsia="Times New Roman" w:cs="Arial"/>
                <w:b/>
                <w:bCs/>
                <w:sz w:val="18"/>
                <w:szCs w:val="18"/>
                <w:lang w:val="es-CO" w:eastAsia="es-CO"/>
              </w:rPr>
            </w:pPr>
            <w:r w:rsidRPr="004B1BA7">
              <w:rPr>
                <w:rFonts w:eastAsia="Times New Roman" w:cs="Arial"/>
                <w:b/>
                <w:bCs/>
                <w:sz w:val="18"/>
                <w:szCs w:val="18"/>
                <w:lang w:val="es-CO" w:eastAsia="es-CO"/>
              </w:rPr>
              <w:t>Interventoría</w:t>
            </w:r>
          </w:p>
        </w:tc>
        <w:tc>
          <w:tcPr>
            <w:tcW w:w="0" w:type="auto"/>
            <w:shd w:val="clear" w:color="auto" w:fill="auto"/>
            <w:noWrap/>
            <w:vAlign w:val="center"/>
          </w:tcPr>
          <w:p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auto"/>
            <w:noWrap/>
            <w:vAlign w:val="center"/>
          </w:tcPr>
          <w:p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auto"/>
            <w:noWrap/>
            <w:vAlign w:val="center"/>
          </w:tcPr>
          <w:p w:rsidR="003D54A9" w:rsidRPr="004B1BA7" w:rsidRDefault="003D54A9" w:rsidP="003D54A9">
            <w:pPr>
              <w:spacing w:before="100" w:beforeAutospacing="1" w:after="100" w:afterAutospacing="1" w:line="240" w:lineRule="auto"/>
              <w:jc w:val="both"/>
              <w:rPr>
                <w:rFonts w:eastAsia="Times New Roman" w:cs="Arial"/>
                <w:b/>
                <w:bCs/>
                <w:sz w:val="18"/>
                <w:szCs w:val="18"/>
                <w:lang w:val="es-CO" w:eastAsia="es-CO"/>
              </w:rPr>
            </w:pPr>
          </w:p>
        </w:tc>
        <w:tc>
          <w:tcPr>
            <w:tcW w:w="0" w:type="auto"/>
            <w:shd w:val="clear" w:color="auto" w:fill="auto"/>
            <w:noWrap/>
            <w:vAlign w:val="center"/>
          </w:tcPr>
          <w:p w:rsidR="003D54A9" w:rsidRPr="004B1BA7" w:rsidRDefault="004B1BA7" w:rsidP="003D54A9">
            <w:pPr>
              <w:spacing w:before="100" w:beforeAutospacing="1" w:after="100" w:afterAutospacing="1" w:line="240" w:lineRule="auto"/>
              <w:jc w:val="right"/>
              <w:rPr>
                <w:rFonts w:eastAsia="Times New Roman" w:cs="Arial"/>
                <w:b/>
                <w:bCs/>
                <w:sz w:val="18"/>
                <w:szCs w:val="18"/>
                <w:lang w:val="es-CO" w:eastAsia="es-CO"/>
              </w:rPr>
            </w:pPr>
            <w:r w:rsidRPr="004B1BA7">
              <w:rPr>
                <w:rFonts w:eastAsia="Times New Roman" w:cs="Arial"/>
                <w:b/>
                <w:bCs/>
                <w:sz w:val="18"/>
                <w:szCs w:val="18"/>
                <w:lang w:val="es-CO" w:eastAsia="es-CO"/>
              </w:rPr>
              <w:t>5.643.762.265</w:t>
            </w:r>
          </w:p>
        </w:tc>
      </w:tr>
    </w:tbl>
    <w:p w:rsidR="002F09E7" w:rsidRPr="004B1BA7" w:rsidRDefault="002F09E7" w:rsidP="006339A3">
      <w:pPr>
        <w:spacing w:after="100" w:afterAutospacing="1" w:line="240" w:lineRule="auto"/>
        <w:jc w:val="center"/>
        <w:rPr>
          <w:rFonts w:cs="Arial"/>
          <w:sz w:val="16"/>
          <w:szCs w:val="16"/>
        </w:rPr>
      </w:pPr>
      <w:r w:rsidRPr="004B1BA7">
        <w:rPr>
          <w:rFonts w:cs="Arial"/>
          <w:sz w:val="16"/>
          <w:szCs w:val="16"/>
        </w:rPr>
        <w:t xml:space="preserve">Fuente: Metas Sociales y Financieras – SIIF NACION </w:t>
      </w:r>
      <w:r w:rsidR="003D54A9" w:rsidRPr="007A313B">
        <w:rPr>
          <w:rFonts w:cs="Arial"/>
          <w:sz w:val="16"/>
          <w:szCs w:val="16"/>
        </w:rPr>
        <w:t>c</w:t>
      </w:r>
      <w:r w:rsidR="004B1BA7" w:rsidRPr="004B1BA7">
        <w:rPr>
          <w:rFonts w:cs="Arial"/>
          <w:sz w:val="16"/>
          <w:szCs w:val="16"/>
        </w:rPr>
        <w:t>ierre 31 de d</w:t>
      </w:r>
      <w:r w:rsidR="003D54A9" w:rsidRPr="004B1BA7">
        <w:rPr>
          <w:rFonts w:cs="Arial"/>
          <w:sz w:val="16"/>
          <w:szCs w:val="16"/>
        </w:rPr>
        <w:t xml:space="preserve">iciembre de </w:t>
      </w:r>
      <w:r w:rsidRPr="004B1BA7">
        <w:rPr>
          <w:rFonts w:cs="Arial"/>
          <w:sz w:val="16"/>
          <w:szCs w:val="16"/>
        </w:rPr>
        <w:t>2017</w:t>
      </w:r>
    </w:p>
    <w:p w:rsidR="002F09E7" w:rsidRPr="007608C2" w:rsidRDefault="002F09E7" w:rsidP="000D0DF1">
      <w:pPr>
        <w:pStyle w:val="Prrafodelista"/>
        <w:keepNext/>
        <w:keepLines/>
        <w:numPr>
          <w:ilvl w:val="2"/>
          <w:numId w:val="160"/>
        </w:numPr>
        <w:spacing w:before="100" w:beforeAutospacing="1" w:after="100" w:afterAutospacing="1" w:line="240" w:lineRule="auto"/>
        <w:jc w:val="both"/>
        <w:outlineLvl w:val="1"/>
        <w:rPr>
          <w:rFonts w:eastAsiaTheme="majorEastAsia" w:cs="Arial"/>
          <w:b/>
        </w:rPr>
      </w:pPr>
      <w:bookmarkStart w:id="66" w:name="_Toc505183054"/>
      <w:r w:rsidRPr="007608C2">
        <w:rPr>
          <w:rFonts w:eastAsia="Times New Roman" w:cs="Arial"/>
          <w:b/>
          <w:bCs/>
          <w:kern w:val="32"/>
        </w:rPr>
        <w:t>Marco de Política Pública de Nutrición</w:t>
      </w:r>
      <w:bookmarkEnd w:id="66"/>
    </w:p>
    <w:p w:rsidR="000D29F3" w:rsidRPr="007608C2" w:rsidRDefault="000D29F3" w:rsidP="000D29F3">
      <w:pPr>
        <w:spacing w:before="100" w:beforeAutospacing="1" w:after="100" w:afterAutospacing="1" w:line="240" w:lineRule="auto"/>
        <w:jc w:val="both"/>
        <w:rPr>
          <w:rFonts w:cs="Arial"/>
        </w:rPr>
      </w:pPr>
      <w:r w:rsidRPr="007608C2">
        <w:rPr>
          <w:rFonts w:cs="Arial"/>
        </w:rPr>
        <w:t>En el marco de la Declaración Universal de los Derechos Humanos, que en su artículo 25 establece que “Toda persona tiene derecho a un nivel de vida adecuado que le asegure, así como a su familia, la salud y el bienestar, y en especial la alimentación, el vestido, la vivienda, la asistencia médica y los servicios sociales necesarios; tiene así mismo derecho a los seguros en caso de desempleo, enfermedad, invalidez, viudez, vejez u otros casos de pérdida de sus medios de subsistencia por circunstancias independientes de su voluntad”, se reconoce la alimentación como un derecho fundamental que debe garantizar el Estado para lograr que sus ciudadanos tengan una vida digna.</w:t>
      </w:r>
    </w:p>
    <w:p w:rsidR="000D29F3" w:rsidRPr="007608C2" w:rsidRDefault="000D29F3" w:rsidP="000D29F3">
      <w:pPr>
        <w:spacing w:before="100" w:beforeAutospacing="1" w:after="100" w:afterAutospacing="1" w:line="240" w:lineRule="auto"/>
        <w:jc w:val="both"/>
        <w:rPr>
          <w:rFonts w:cs="Arial"/>
        </w:rPr>
      </w:pPr>
      <w:r w:rsidRPr="007608C2">
        <w:rPr>
          <w:rFonts w:cs="Arial"/>
        </w:rPr>
        <w:t>En este sentido la Constitución Política de Colombia en su artículo 44, contempla el derecho a la alimentación equilibrada como uno de los derechos fundamentales de los niños, y para dar cumplimiento a la Constitución y a los compromisos adquiridos por el País en los tratados internacionales, se diseñó la Política Nacional de Seguridad Alimentaria y Nutricional – CONPES 113 de 2008 que contiene entre sus principios orientadores el derecho a la alimentación e igualmente contempla los principios de equidad social, la perspectiva de género, sostenibilidad, corresponsabilidad y respeto a la identidad y diversidad cultural.</w:t>
      </w:r>
    </w:p>
    <w:p w:rsidR="000D29F3" w:rsidRPr="007608C2" w:rsidRDefault="000D29F3" w:rsidP="000D29F3">
      <w:pPr>
        <w:spacing w:before="100" w:beforeAutospacing="1" w:after="100" w:afterAutospacing="1" w:line="240" w:lineRule="auto"/>
        <w:jc w:val="both"/>
        <w:rPr>
          <w:rFonts w:cs="Arial"/>
        </w:rPr>
      </w:pPr>
      <w:r w:rsidRPr="007608C2">
        <w:rPr>
          <w:rFonts w:cs="Arial"/>
        </w:rPr>
        <w:t>En concordancia con lo anterior el Plan Nacional de Desarrollo 2014 – 2018 “Todos por un nuevo país”, establece los compromisos del Estado para dar respuesta al mejoramiento de las condiciones de alimentación y nutrición de la población, especialmente la más vulnerable.</w:t>
      </w:r>
    </w:p>
    <w:p w:rsidR="000D29F3" w:rsidRPr="007608C2" w:rsidRDefault="000D29F3" w:rsidP="000D0DF1">
      <w:pPr>
        <w:pStyle w:val="Prrafodelista"/>
        <w:keepNext/>
        <w:keepLines/>
        <w:numPr>
          <w:ilvl w:val="2"/>
          <w:numId w:val="160"/>
        </w:numPr>
        <w:spacing w:before="100" w:beforeAutospacing="1" w:after="100" w:afterAutospacing="1" w:line="240" w:lineRule="auto"/>
        <w:jc w:val="both"/>
        <w:outlineLvl w:val="1"/>
        <w:rPr>
          <w:rFonts w:eastAsia="Times New Roman" w:cs="Arial"/>
          <w:b/>
          <w:bCs/>
          <w:kern w:val="32"/>
        </w:rPr>
      </w:pPr>
      <w:bookmarkStart w:id="67" w:name="_Toc505183055"/>
      <w:r w:rsidRPr="007608C2">
        <w:rPr>
          <w:rFonts w:eastAsia="Times New Roman" w:cs="Arial"/>
          <w:b/>
          <w:bCs/>
          <w:kern w:val="32"/>
        </w:rPr>
        <w:lastRenderedPageBreak/>
        <w:t>Estrategia de información, educación y comunicación</w:t>
      </w:r>
      <w:bookmarkEnd w:id="67"/>
    </w:p>
    <w:p w:rsidR="000D29F3" w:rsidRPr="007608C2" w:rsidRDefault="000D29F3" w:rsidP="000D29F3">
      <w:pPr>
        <w:autoSpaceDE w:val="0"/>
        <w:autoSpaceDN w:val="0"/>
        <w:adjustRightInd w:val="0"/>
        <w:spacing w:before="100" w:beforeAutospacing="1" w:after="100" w:afterAutospacing="1" w:line="240" w:lineRule="auto"/>
        <w:contextualSpacing/>
        <w:jc w:val="both"/>
        <w:rPr>
          <w:rFonts w:eastAsia="Times New Roman" w:cs="Arial"/>
          <w:lang w:eastAsia="es-MX"/>
        </w:rPr>
      </w:pPr>
      <w:r w:rsidRPr="007608C2">
        <w:rPr>
          <w:rFonts w:eastAsia="Times New Roman" w:cs="Arial"/>
          <w:lang w:eastAsia="es-MX"/>
        </w:rPr>
        <w:t xml:space="preserve">En el marco del objetivo institucional N° 4 </w:t>
      </w:r>
      <w:r w:rsidRPr="007608C2">
        <w:rPr>
          <w:rFonts w:eastAsia="Times New Roman" w:cs="Arial"/>
          <w:i/>
          <w:lang w:eastAsia="es-MX"/>
        </w:rPr>
        <w:t>“Promover la seguridad alimentaria y nutricional de niños, niñas, adolescentes y sus familias”,</w:t>
      </w:r>
      <w:r w:rsidRPr="007608C2">
        <w:rPr>
          <w:rFonts w:eastAsia="Times New Roman" w:cs="Arial"/>
          <w:lang w:eastAsia="es-MX"/>
        </w:rPr>
        <w:t xml:space="preserve"> y de las metas establecidas por el gobierno nacional se adelantaron las siguientes acciones:</w:t>
      </w:r>
    </w:p>
    <w:p w:rsidR="000D29F3" w:rsidRPr="007608C2" w:rsidRDefault="000D29F3" w:rsidP="000D29F3">
      <w:pPr>
        <w:autoSpaceDE w:val="0"/>
        <w:autoSpaceDN w:val="0"/>
        <w:adjustRightInd w:val="0"/>
        <w:spacing w:before="100" w:beforeAutospacing="1" w:after="100" w:afterAutospacing="1" w:line="240" w:lineRule="auto"/>
        <w:contextualSpacing/>
        <w:jc w:val="both"/>
        <w:rPr>
          <w:rFonts w:eastAsia="Times New Roman" w:cs="Arial"/>
          <w:lang w:eastAsia="es-MX"/>
        </w:rPr>
      </w:pPr>
    </w:p>
    <w:p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7608C2">
        <w:rPr>
          <w:rFonts w:eastAsia="Times New Roman" w:cs="Arial"/>
          <w:lang w:eastAsia="es-MX"/>
        </w:rPr>
        <w:t xml:space="preserve">Fortalecimiento de la capacidad técnica de los profesionales de Regionales, Centros Zonales y Sede de la Dirección General ICBF sobre las Recomendaciones de Ingesta de Energía y Nutrientes – RIEN, </w:t>
      </w:r>
      <w:r w:rsidRPr="007608C2">
        <w:rPr>
          <w:rFonts w:eastAsia="Times New Roman" w:cs="Arial"/>
          <w:i/>
          <w:lang w:eastAsia="es-MX"/>
        </w:rPr>
        <w:t>Guías Alimentarias Basadas en Alimentos y Lactancia Materna</w:t>
      </w:r>
      <w:r w:rsidRPr="007608C2">
        <w:rPr>
          <w:rFonts w:eastAsia="Times New Roman" w:cs="Arial"/>
          <w:lang w:eastAsia="es-MX"/>
        </w:rPr>
        <w:t>, logrando la certificación de 375 profesionales del ICBF.</w:t>
      </w:r>
    </w:p>
    <w:p w:rsidR="004B1BA7" w:rsidRPr="007608C2" w:rsidRDefault="004B1BA7" w:rsidP="004B1BA7">
      <w:pPr>
        <w:autoSpaceDE w:val="0"/>
        <w:autoSpaceDN w:val="0"/>
        <w:adjustRightInd w:val="0"/>
        <w:spacing w:before="100" w:beforeAutospacing="1" w:after="100" w:afterAutospacing="1" w:line="240" w:lineRule="auto"/>
        <w:ind w:left="360"/>
        <w:contextualSpacing/>
        <w:jc w:val="both"/>
        <w:rPr>
          <w:rFonts w:eastAsia="Times New Roman" w:cs="Arial"/>
          <w:lang w:eastAsia="es-MX"/>
        </w:rPr>
      </w:pPr>
    </w:p>
    <w:p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7608C2">
        <w:rPr>
          <w:rFonts w:eastAsia="Times New Roman" w:cs="Arial"/>
          <w:lang w:eastAsia="es-MX"/>
        </w:rPr>
        <w:t>Socialización y distribución de 90 mil ejemplares de la cartilla “Empezando una nueva vida”, a las IPS a nivel nacional con el fin promover y apoyar la lactancia materna.</w:t>
      </w:r>
    </w:p>
    <w:p w:rsidR="004B1BA7" w:rsidRPr="007608C2" w:rsidRDefault="004B1BA7" w:rsidP="004B1BA7">
      <w:pPr>
        <w:autoSpaceDE w:val="0"/>
        <w:autoSpaceDN w:val="0"/>
        <w:adjustRightInd w:val="0"/>
        <w:spacing w:before="100" w:beforeAutospacing="1" w:after="100" w:afterAutospacing="1" w:line="240" w:lineRule="auto"/>
        <w:contextualSpacing/>
        <w:jc w:val="both"/>
        <w:rPr>
          <w:rFonts w:eastAsia="Times New Roman" w:cs="Arial"/>
          <w:lang w:eastAsia="es-MX"/>
        </w:rPr>
      </w:pPr>
    </w:p>
    <w:p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7608C2">
        <w:rPr>
          <w:rFonts w:eastAsia="Times New Roman" w:cs="Arial"/>
          <w:lang w:eastAsia="es-MX"/>
        </w:rPr>
        <w:t>Socialización en la mesa técnica de la Comisión Intersectorial de Seguridad Alimentaria y Nutricional-CISAN - del Lineamiento Nacional de Educación Alimentaria y Nutricional, para presentar en CISAN Directiva.</w:t>
      </w:r>
    </w:p>
    <w:p w:rsidR="004B1BA7" w:rsidRPr="007608C2" w:rsidRDefault="004B1BA7" w:rsidP="004B1BA7">
      <w:pPr>
        <w:autoSpaceDE w:val="0"/>
        <w:autoSpaceDN w:val="0"/>
        <w:adjustRightInd w:val="0"/>
        <w:spacing w:before="100" w:beforeAutospacing="1" w:after="100" w:afterAutospacing="1" w:line="240" w:lineRule="auto"/>
        <w:ind w:left="360"/>
        <w:contextualSpacing/>
        <w:jc w:val="both"/>
        <w:rPr>
          <w:rFonts w:eastAsia="Times New Roman" w:cs="Arial"/>
          <w:lang w:eastAsia="es-MX"/>
        </w:rPr>
      </w:pPr>
    </w:p>
    <w:p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7608C2">
        <w:rPr>
          <w:rFonts w:eastAsia="Times New Roman" w:cs="Arial"/>
          <w:lang w:eastAsia="es-MX"/>
        </w:rPr>
        <w:t>Actualización de las Guías Alimentarias para mujeres gestantes y madres en periodo de lactancia y niños y niñas menores de 2 años, al igual que el cálculo de la hoja de balance de alimentos y el indicador de subalimentación, mediante la suscripción del convenio N°1264 de 2017, con la Organización de las Naciones Unidas para la Alimentación y la Agricultura, FAO, con una inversión de $ 850 millones.</w:t>
      </w:r>
    </w:p>
    <w:p w:rsidR="004B1BA7" w:rsidRPr="007608C2" w:rsidRDefault="004B1BA7" w:rsidP="004B1BA7">
      <w:pPr>
        <w:autoSpaceDE w:val="0"/>
        <w:autoSpaceDN w:val="0"/>
        <w:adjustRightInd w:val="0"/>
        <w:spacing w:before="100" w:beforeAutospacing="1" w:after="100" w:afterAutospacing="1" w:line="240" w:lineRule="auto"/>
        <w:ind w:left="360"/>
        <w:contextualSpacing/>
        <w:jc w:val="both"/>
        <w:rPr>
          <w:rFonts w:eastAsia="Times New Roman" w:cs="Arial"/>
          <w:lang w:eastAsia="es-MX"/>
        </w:rPr>
      </w:pPr>
    </w:p>
    <w:p w:rsidR="004B1BA7"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4B1BA7">
        <w:rPr>
          <w:rFonts w:eastAsia="Times New Roman" w:cs="Arial"/>
          <w:lang w:eastAsia="es-MX"/>
        </w:rPr>
        <w:t>Realización del Curso Virtual de Consejería en Lactancia Materna, basado en el curso Consejería para la Alimentación del Lactante y del Niño Pequeño: “Curso Integrado de la OMS”, el cual tiene como objetivo establecer las bases para la consejería en lactancia materna. Herramientas que buscan la cualificación de profesionales en Nutrición y Dietética del ICBF, y a su vez, por medio de la metodología de formación a formadores, capacitar a los agentes educativos que atienden directamente a la población beneficiaria de los programas de ICBF. Participaron las 33 regionales y se certificaron 174 colaboradores.</w:t>
      </w:r>
    </w:p>
    <w:p w:rsidR="004B1BA7" w:rsidRPr="004B1BA7" w:rsidRDefault="004B1BA7" w:rsidP="004B1BA7">
      <w:pPr>
        <w:autoSpaceDE w:val="0"/>
        <w:autoSpaceDN w:val="0"/>
        <w:adjustRightInd w:val="0"/>
        <w:spacing w:before="100" w:beforeAutospacing="1" w:after="100" w:afterAutospacing="1" w:line="240" w:lineRule="auto"/>
        <w:contextualSpacing/>
        <w:jc w:val="both"/>
        <w:rPr>
          <w:rFonts w:eastAsia="Times New Roman" w:cs="Arial"/>
          <w:lang w:eastAsia="es-MX"/>
        </w:rPr>
      </w:pPr>
    </w:p>
    <w:p w:rsidR="000D29F3" w:rsidRPr="007608C2"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7608C2">
        <w:rPr>
          <w:rFonts w:eastAsia="Times New Roman" w:cs="Arial"/>
          <w:lang w:eastAsia="es-MX"/>
        </w:rPr>
        <w:t>Fortalecimiento la Sala Amiga de la Familia Lactante en el entorno laboral, ubicada en la Sede de la Dirección General, a través de la búsqueda activa de las mujeres en gestación y periodo de lactancia en todas las dependencias. Adicionalmente, se realizaron acciones de promoción, protección, y apoyo de la lactancia materna, mediante la realización de 3 conversatorios y 1 encuentro con la participación de 1000 madres gestantes y lactantes.</w:t>
      </w:r>
    </w:p>
    <w:p w:rsidR="000D29F3" w:rsidRPr="007608C2" w:rsidRDefault="000D29F3" w:rsidP="000D0DF1">
      <w:pPr>
        <w:pStyle w:val="Prrafodelista"/>
        <w:keepNext/>
        <w:keepLines/>
        <w:numPr>
          <w:ilvl w:val="2"/>
          <w:numId w:val="160"/>
        </w:numPr>
        <w:spacing w:before="100" w:beforeAutospacing="1" w:after="100" w:afterAutospacing="1" w:line="240" w:lineRule="auto"/>
        <w:jc w:val="both"/>
        <w:outlineLvl w:val="1"/>
        <w:rPr>
          <w:rFonts w:eastAsia="Times New Roman" w:cs="Arial"/>
          <w:b/>
          <w:bCs/>
          <w:kern w:val="32"/>
        </w:rPr>
      </w:pPr>
      <w:bookmarkStart w:id="68" w:name="_Toc505183056"/>
      <w:r w:rsidRPr="007608C2">
        <w:rPr>
          <w:rFonts w:eastAsia="Times New Roman" w:cs="Arial"/>
          <w:b/>
          <w:bCs/>
          <w:kern w:val="32"/>
        </w:rPr>
        <w:t>Planes de Seguridad Alimentaria</w:t>
      </w:r>
      <w:bookmarkEnd w:id="68"/>
    </w:p>
    <w:p w:rsidR="000D29F3" w:rsidRPr="007608C2" w:rsidRDefault="000D29F3" w:rsidP="000D29F3">
      <w:pPr>
        <w:spacing w:before="100" w:beforeAutospacing="1" w:after="100" w:afterAutospacing="1" w:line="240" w:lineRule="auto"/>
        <w:jc w:val="both"/>
        <w:rPr>
          <w:rFonts w:cs="Arial"/>
        </w:rPr>
      </w:pPr>
      <w:r w:rsidRPr="007608C2">
        <w:rPr>
          <w:rFonts w:cs="Arial"/>
        </w:rPr>
        <w:t>El objetivo de la política de seguridad alimentaria y nutricional es “garantizar que toda la población colombiana disponga, acceda y consuma alimentos de manera permanente y oportuna, en suficiente cantidad, variedad, calidad e inocuidad”. Esta política se hace efectiva y se opera mediante estrategias y acciones formuladas en el Plan Nacional de Seguridad Alimentaria y Nutricional y en los Planes Territoriales de Seguridad Alimentaria y Nutricional.</w:t>
      </w:r>
    </w:p>
    <w:p w:rsidR="000D29F3" w:rsidRPr="007608C2" w:rsidRDefault="000D29F3" w:rsidP="000D29F3">
      <w:pPr>
        <w:spacing w:before="100" w:beforeAutospacing="1" w:after="100" w:afterAutospacing="1" w:line="240" w:lineRule="auto"/>
        <w:jc w:val="both"/>
        <w:rPr>
          <w:rFonts w:cs="Arial"/>
        </w:rPr>
      </w:pPr>
      <w:r w:rsidRPr="007608C2">
        <w:rPr>
          <w:rFonts w:cs="Arial"/>
        </w:rPr>
        <w:lastRenderedPageBreak/>
        <w:t>En este marco durante la vigencia 2017 la Dirección de Nutrición desarrolló las siguientes acciones:</w:t>
      </w:r>
    </w:p>
    <w:p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4B1BA7">
        <w:rPr>
          <w:rFonts w:eastAsia="Times New Roman" w:cs="Arial"/>
          <w:lang w:eastAsia="es-MX"/>
        </w:rPr>
        <w:t>Apoyo a las regionales para adelantar el abordaje integral de la Seguridad Alimentaria y Nutricional a nivel Territorial, desde las competencias del ICBF en los ejes de acceso, consumo y aprovechamiento biológico de los alimentos; teniendo en cuenta como principios orientadores el enfoque de derechos, el enfoque diferencial, el desarrollo sostenible, la participación social, la articulación y las alianzas público privadas.</w:t>
      </w:r>
    </w:p>
    <w:p w:rsidR="004B1BA7" w:rsidRPr="004B1BA7" w:rsidRDefault="004B1BA7" w:rsidP="004B1BA7">
      <w:pPr>
        <w:autoSpaceDE w:val="0"/>
        <w:autoSpaceDN w:val="0"/>
        <w:adjustRightInd w:val="0"/>
        <w:spacing w:before="100" w:beforeAutospacing="1" w:after="100" w:afterAutospacing="1" w:line="240" w:lineRule="auto"/>
        <w:contextualSpacing/>
        <w:jc w:val="both"/>
        <w:rPr>
          <w:rFonts w:eastAsia="Times New Roman" w:cs="Arial"/>
          <w:lang w:eastAsia="es-MX"/>
        </w:rPr>
      </w:pPr>
    </w:p>
    <w:p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4B1BA7">
        <w:rPr>
          <w:rFonts w:eastAsia="Times New Roman" w:cs="Arial"/>
          <w:lang w:eastAsia="es-MX"/>
        </w:rPr>
        <w:t xml:space="preserve"> Articulación con la regional Bogotá para la participación en la mesa de trabajo realizada en el marco del convenio 348 de 2017, cuyo objeto es “Aunar esfuerzos técnicos, administrativos y financieros, para la Reformulación de la Política Pública de Seguridad Alimentaria y Nutricional para Bogotá 2018-2031”</w:t>
      </w:r>
      <w:r w:rsidR="004B1BA7">
        <w:rPr>
          <w:rFonts w:eastAsia="Times New Roman" w:cs="Arial"/>
          <w:lang w:eastAsia="es-MX"/>
        </w:rPr>
        <w:t>.</w:t>
      </w:r>
    </w:p>
    <w:p w:rsidR="004B1BA7" w:rsidRPr="004B1BA7" w:rsidRDefault="004B1BA7" w:rsidP="004B1BA7">
      <w:pPr>
        <w:autoSpaceDE w:val="0"/>
        <w:autoSpaceDN w:val="0"/>
        <w:adjustRightInd w:val="0"/>
        <w:spacing w:before="100" w:beforeAutospacing="1" w:after="100" w:afterAutospacing="1" w:line="240" w:lineRule="auto"/>
        <w:contextualSpacing/>
        <w:jc w:val="both"/>
        <w:rPr>
          <w:rFonts w:eastAsia="Times New Roman" w:cs="Arial"/>
          <w:lang w:eastAsia="es-MX"/>
        </w:rPr>
      </w:pPr>
    </w:p>
    <w:p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4B1BA7">
        <w:rPr>
          <w:rFonts w:eastAsia="Times New Roman" w:cs="Arial"/>
          <w:lang w:eastAsia="es-MX"/>
        </w:rPr>
        <w:t>Participación de la Dirección de Nutrición, en el comité Asesor de Seguridad Alimentaria y Nutricional CASAN de la Regional Valle del Cauca, donde se retroalimentó la propuesta ordenanza, Por medio de la cual se constituye el Plan de Seguridad Alimentaria y Nutricional “Mi Valle del Cauca, Paraíso Alimentario”</w:t>
      </w:r>
      <w:r w:rsidR="004B1BA7">
        <w:rPr>
          <w:rFonts w:eastAsia="Times New Roman" w:cs="Arial"/>
          <w:lang w:eastAsia="es-MX"/>
        </w:rPr>
        <w:t>.</w:t>
      </w:r>
    </w:p>
    <w:p w:rsidR="004B1BA7" w:rsidRPr="004B1BA7" w:rsidRDefault="004B1BA7" w:rsidP="004B1BA7">
      <w:pPr>
        <w:autoSpaceDE w:val="0"/>
        <w:autoSpaceDN w:val="0"/>
        <w:adjustRightInd w:val="0"/>
        <w:spacing w:before="100" w:beforeAutospacing="1" w:after="100" w:afterAutospacing="1" w:line="240" w:lineRule="auto"/>
        <w:contextualSpacing/>
        <w:jc w:val="both"/>
        <w:rPr>
          <w:rFonts w:eastAsia="Times New Roman" w:cs="Arial"/>
          <w:lang w:eastAsia="es-MX"/>
        </w:rPr>
      </w:pPr>
    </w:p>
    <w:p w:rsidR="004B1BA7"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4B1BA7">
        <w:rPr>
          <w:rFonts w:eastAsia="Times New Roman" w:cs="Arial"/>
          <w:lang w:eastAsia="es-MX"/>
        </w:rPr>
        <w:t>Articulación con la Regional San Andres para la participación en el primer taller de “Gestión Territorial de Seguridad Alimentaria y Nutricional Bases para la acción”.</w:t>
      </w:r>
    </w:p>
    <w:p w:rsidR="004B1BA7" w:rsidRPr="004B1BA7" w:rsidRDefault="004B1BA7" w:rsidP="004B1BA7">
      <w:pPr>
        <w:autoSpaceDE w:val="0"/>
        <w:autoSpaceDN w:val="0"/>
        <w:adjustRightInd w:val="0"/>
        <w:spacing w:before="100" w:beforeAutospacing="1" w:after="100" w:afterAutospacing="1" w:line="240" w:lineRule="auto"/>
        <w:contextualSpacing/>
        <w:jc w:val="both"/>
        <w:rPr>
          <w:rFonts w:eastAsia="Times New Roman" w:cs="Arial"/>
          <w:lang w:eastAsia="es-MX"/>
        </w:rPr>
      </w:pPr>
    </w:p>
    <w:p w:rsidR="000D29F3" w:rsidRPr="004B1BA7"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4B1BA7">
        <w:rPr>
          <w:rFonts w:eastAsia="Times New Roman" w:cs="Arial"/>
          <w:lang w:eastAsia="es-MX"/>
        </w:rPr>
        <w:t>Articulación con la regional Norte de Santander, Magdalena y Chocó para la participación en el primer taller “Encuentros Territoriales Políticas Públicas para la Agricultura Familiar y Campesina.</w:t>
      </w:r>
    </w:p>
    <w:p w:rsidR="004B1BA7" w:rsidRPr="004B1BA7" w:rsidRDefault="004B1BA7" w:rsidP="004B1BA7">
      <w:pPr>
        <w:autoSpaceDE w:val="0"/>
        <w:autoSpaceDN w:val="0"/>
        <w:adjustRightInd w:val="0"/>
        <w:spacing w:before="100" w:beforeAutospacing="1" w:after="100" w:afterAutospacing="1" w:line="240" w:lineRule="auto"/>
        <w:ind w:left="360"/>
        <w:contextualSpacing/>
        <w:jc w:val="both"/>
        <w:rPr>
          <w:rFonts w:eastAsia="Times New Roman" w:cs="Arial"/>
          <w:lang w:eastAsia="es-MX"/>
        </w:rPr>
      </w:pPr>
    </w:p>
    <w:p w:rsidR="000D29F3" w:rsidRPr="004B1BA7"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7608C2">
        <w:rPr>
          <w:rFonts w:eastAsia="Times New Roman" w:cs="Arial"/>
          <w:lang w:eastAsia="es-MX"/>
        </w:rPr>
        <w:t>En el desarrollo de las sesiones de la Mesa Técnica de la Comisión Intersectorial de Seguridad Alimentaria y Nutricional - CISAN, se logró la aprobación del Lineamiento Nacional de Educación Alimentaria y Nutricional.</w:t>
      </w:r>
    </w:p>
    <w:p w:rsidR="000D29F3" w:rsidRPr="007608C2" w:rsidRDefault="000D29F3" w:rsidP="000D0DF1">
      <w:pPr>
        <w:pStyle w:val="Prrafodelista"/>
        <w:keepNext/>
        <w:keepLines/>
        <w:numPr>
          <w:ilvl w:val="2"/>
          <w:numId w:val="160"/>
        </w:numPr>
        <w:spacing w:before="100" w:beforeAutospacing="1" w:after="100" w:afterAutospacing="1" w:line="240" w:lineRule="auto"/>
        <w:jc w:val="both"/>
        <w:outlineLvl w:val="1"/>
        <w:rPr>
          <w:rFonts w:eastAsia="Times New Roman" w:cs="Arial"/>
          <w:b/>
          <w:lang w:val="es-CO" w:eastAsia="es-ES"/>
        </w:rPr>
      </w:pPr>
      <w:bookmarkStart w:id="69" w:name="_Toc505183057"/>
      <w:r w:rsidRPr="007608C2">
        <w:rPr>
          <w:rFonts w:eastAsia="Times New Roman" w:cs="Arial"/>
          <w:b/>
          <w:bCs/>
          <w:kern w:val="32"/>
        </w:rPr>
        <w:t>Metrología</w:t>
      </w:r>
      <w:bookmarkEnd w:id="69"/>
      <w:r w:rsidRPr="007608C2">
        <w:rPr>
          <w:rFonts w:eastAsia="Times New Roman" w:cs="Arial"/>
          <w:b/>
          <w:lang w:val="es-CO" w:eastAsia="es-ES"/>
        </w:rPr>
        <w:t xml:space="preserve"> </w:t>
      </w:r>
    </w:p>
    <w:p w:rsidR="000D29F3" w:rsidRPr="007608C2" w:rsidRDefault="000D29F3" w:rsidP="000D29F3">
      <w:pPr>
        <w:spacing w:before="100" w:beforeAutospacing="1" w:after="100" w:afterAutospacing="1" w:line="240" w:lineRule="auto"/>
        <w:jc w:val="both"/>
        <w:rPr>
          <w:rFonts w:cs="Arial"/>
        </w:rPr>
      </w:pPr>
      <w:r w:rsidRPr="007608C2">
        <w:rPr>
          <w:rFonts w:cs="Arial"/>
        </w:rPr>
        <w:t>La Dirección de Nutrición aporta al sistema de gestión de calidad del ICBF, las orientaciones técnicas para lograr que los equipos de medición que se emplean en los servicios, se encuentren debidamente calibrados y de esta forma se realicen las acciones de seguimiento nutricional y reporte confiable que garantice evidenciar la eficacia de las intervenciones encaminadas a mejorar las condiciones nutricionales de la población objetivo y el fortalecimiento en la formación de hábitos y estilos de vida saludables en los programas del ICBF. Para esto la Dirección de Nutrición adelantó las siguientes acciones:</w:t>
      </w:r>
    </w:p>
    <w:p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4B1BA7">
        <w:rPr>
          <w:rFonts w:eastAsia="Times New Roman" w:cs="Arial"/>
          <w:lang w:eastAsia="es-MX"/>
        </w:rPr>
        <w:t xml:space="preserve">Contrato 1721 de 2017 suscrito con la UNIÓN TEMPORAL AUTOMATIZACIÓN Y PESO S.A.S.- METROLOGIA GLOBAL S.A.S a 31 de diciembre de 2017 , cuyo objeto estableció la “prestación del servicio de calibración de los equipos de medición adquiridos con recursos del ICBF en la regionales y centros zonales para la Macro 1 (Atlántico, Bolivar, Córdoba, Magdalena y Sucre) y Macro 2 (Cauca, Nariño, Putumayo y Valle),con un inversión de $715 millones, con el fin de  mantener la certificación de calidad del ICBF y dar respuesta a las </w:t>
      </w:r>
      <w:r w:rsidRPr="004B1BA7">
        <w:rPr>
          <w:rFonts w:eastAsia="Times New Roman" w:cs="Arial"/>
          <w:lang w:eastAsia="es-MX"/>
        </w:rPr>
        <w:lastRenderedPageBreak/>
        <w:t>solicitudes de las regionales de contar con equipos debidamente calibrados y en óptimas condiciones”.</w:t>
      </w:r>
    </w:p>
    <w:p w:rsidR="004B1BA7" w:rsidRPr="004B1BA7" w:rsidRDefault="004B1BA7" w:rsidP="004B1BA7">
      <w:pPr>
        <w:autoSpaceDE w:val="0"/>
        <w:autoSpaceDN w:val="0"/>
        <w:adjustRightInd w:val="0"/>
        <w:spacing w:before="100" w:beforeAutospacing="1" w:after="100" w:afterAutospacing="1" w:line="240" w:lineRule="auto"/>
        <w:ind w:left="360"/>
        <w:contextualSpacing/>
        <w:jc w:val="both"/>
        <w:rPr>
          <w:rFonts w:eastAsia="Times New Roman" w:cs="Arial"/>
          <w:lang w:eastAsia="es-MX"/>
        </w:rPr>
      </w:pPr>
    </w:p>
    <w:p w:rsidR="000D29F3" w:rsidRPr="004B1BA7"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4B1BA7">
        <w:rPr>
          <w:rFonts w:eastAsia="Times New Roman" w:cs="Arial"/>
          <w:lang w:eastAsia="es-MX"/>
        </w:rPr>
        <w:t>Fortalecimiento Técnico a los referentes regionales de calidad, de la Subdirección de Mejoramiento Organizacional, sobre metrología y equipos de medición.</w:t>
      </w:r>
    </w:p>
    <w:p w:rsidR="000D29F3" w:rsidRPr="007608C2" w:rsidRDefault="000D29F3" w:rsidP="000D0DF1">
      <w:pPr>
        <w:pStyle w:val="Prrafodelista"/>
        <w:keepNext/>
        <w:keepLines/>
        <w:numPr>
          <w:ilvl w:val="2"/>
          <w:numId w:val="160"/>
        </w:numPr>
        <w:spacing w:before="100" w:beforeAutospacing="1" w:after="100" w:afterAutospacing="1" w:line="240" w:lineRule="auto"/>
        <w:jc w:val="both"/>
        <w:outlineLvl w:val="1"/>
        <w:rPr>
          <w:rFonts w:eastAsia="Times New Roman" w:cs="Arial"/>
          <w:b/>
          <w:bCs/>
          <w:kern w:val="32"/>
        </w:rPr>
      </w:pPr>
      <w:bookmarkStart w:id="70" w:name="_Toc505183058"/>
      <w:r w:rsidRPr="007608C2">
        <w:rPr>
          <w:rFonts w:eastAsia="Times New Roman" w:cs="Arial"/>
          <w:b/>
          <w:bCs/>
          <w:kern w:val="32"/>
        </w:rPr>
        <w:t>Enfoque Diferencial</w:t>
      </w:r>
      <w:bookmarkEnd w:id="70"/>
    </w:p>
    <w:p w:rsidR="000D29F3" w:rsidRPr="007608C2" w:rsidRDefault="000D29F3" w:rsidP="000D29F3">
      <w:pPr>
        <w:autoSpaceDE w:val="0"/>
        <w:autoSpaceDN w:val="0"/>
        <w:adjustRightInd w:val="0"/>
        <w:spacing w:before="100" w:beforeAutospacing="1" w:after="100" w:afterAutospacing="1" w:line="240" w:lineRule="auto"/>
        <w:contextualSpacing/>
        <w:jc w:val="both"/>
        <w:rPr>
          <w:rFonts w:cs="Arial"/>
        </w:rPr>
      </w:pPr>
      <w:r w:rsidRPr="007608C2">
        <w:rPr>
          <w:rFonts w:cs="Arial"/>
        </w:rPr>
        <w:t>El enfoque diferencial de derechos propende por mejorar la capacidad de respuesta institucional, para abordar la complejidad que resulta de las intersecciones entre distintas situaciones, condiciones o vulnerabilidades de la población sujeto de atención. Requiere de un marco de actuación amplio que permita analizar y diseñar estrategias pertinentes para la población sujeto del ICBF en su conjunto, pero sin perder de vista las particularidades de esos sujetos. La doctrina de protección integral en el modelo de enfoque diferencial de derechos está representada en la articulación efectiva que dé respuesta oportuna e integral para niñas, niños, adolescentes y las familias. De acuerdo con estas consideraciones, desde la Dirección de Nutrición se han adelantado las siguientes actividades:</w:t>
      </w:r>
    </w:p>
    <w:p w:rsidR="000D29F3" w:rsidRPr="007608C2" w:rsidRDefault="000D29F3" w:rsidP="000D29F3">
      <w:pPr>
        <w:autoSpaceDE w:val="0"/>
        <w:autoSpaceDN w:val="0"/>
        <w:adjustRightInd w:val="0"/>
        <w:spacing w:before="100" w:beforeAutospacing="1" w:after="100" w:afterAutospacing="1" w:line="240" w:lineRule="auto"/>
        <w:contextualSpacing/>
        <w:jc w:val="both"/>
        <w:rPr>
          <w:rFonts w:cs="Arial"/>
        </w:rPr>
      </w:pPr>
    </w:p>
    <w:p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7608C2">
        <w:rPr>
          <w:rFonts w:eastAsia="Times New Roman" w:cs="Arial"/>
          <w:lang w:eastAsia="es-MX"/>
        </w:rPr>
        <w:t xml:space="preserve">Socialización y capacitación presencial de la </w:t>
      </w:r>
      <w:r w:rsidRPr="004B1BA7">
        <w:rPr>
          <w:rFonts w:eastAsia="Times New Roman" w:cs="Arial"/>
          <w:lang w:eastAsia="es-MX"/>
        </w:rPr>
        <w:t>Guía técnica</w:t>
      </w:r>
      <w:r w:rsidRPr="007608C2">
        <w:rPr>
          <w:rFonts w:eastAsia="Times New Roman" w:cs="Arial"/>
          <w:lang w:eastAsia="es-MX"/>
        </w:rPr>
        <w:t xml:space="preserve"> aprobada y validada del componente de alimentación y nutrición para la población con discapacidad, a las Regionales Arauca, Boyacá, Chocó, Vichada, Tolima, Risaralda, Quindío, Caldas, Sucre, Vaupés, Bolívar y desarrollo virtual a la Regional Antioquia.</w:t>
      </w:r>
    </w:p>
    <w:p w:rsidR="004B1BA7" w:rsidRPr="007608C2" w:rsidRDefault="004B1BA7" w:rsidP="004B1BA7">
      <w:pPr>
        <w:autoSpaceDE w:val="0"/>
        <w:autoSpaceDN w:val="0"/>
        <w:adjustRightInd w:val="0"/>
        <w:spacing w:before="100" w:beforeAutospacing="1" w:after="100" w:afterAutospacing="1" w:line="240" w:lineRule="auto"/>
        <w:ind w:left="360"/>
        <w:contextualSpacing/>
        <w:jc w:val="both"/>
        <w:rPr>
          <w:rFonts w:eastAsia="Times New Roman" w:cs="Arial"/>
          <w:lang w:eastAsia="es-MX"/>
        </w:rPr>
      </w:pPr>
    </w:p>
    <w:p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7608C2">
        <w:rPr>
          <w:rFonts w:eastAsia="Times New Roman" w:cs="Arial"/>
          <w:lang w:eastAsia="es-MX"/>
        </w:rPr>
        <w:t>Capacitación a la Dirección de Nutrición – Sede Nacional de la Resolución 1264 de 2017, por medio de la cual se adopta el Modelo de Enfoque Diferencial de derechos del Instituto Colombiano de Bienestar Familiar.</w:t>
      </w:r>
    </w:p>
    <w:p w:rsidR="004B1BA7" w:rsidRPr="007608C2" w:rsidRDefault="004B1BA7" w:rsidP="004B1BA7">
      <w:pPr>
        <w:autoSpaceDE w:val="0"/>
        <w:autoSpaceDN w:val="0"/>
        <w:adjustRightInd w:val="0"/>
        <w:spacing w:before="100" w:beforeAutospacing="1" w:after="100" w:afterAutospacing="1" w:line="240" w:lineRule="auto"/>
        <w:contextualSpacing/>
        <w:jc w:val="both"/>
        <w:rPr>
          <w:rFonts w:eastAsia="Times New Roman" w:cs="Arial"/>
          <w:lang w:eastAsia="es-MX"/>
        </w:rPr>
      </w:pPr>
    </w:p>
    <w:p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7608C2">
        <w:rPr>
          <w:rFonts w:eastAsia="Times New Roman" w:cs="Arial"/>
          <w:lang w:eastAsia="es-MX"/>
        </w:rPr>
        <w:t>Avance en la modificación de los sistemas CUENTAME y SIM</w:t>
      </w:r>
      <w:r w:rsidRPr="004B1BA7">
        <w:footnoteReference w:id="2"/>
      </w:r>
      <w:r w:rsidRPr="007608C2">
        <w:rPr>
          <w:rFonts w:eastAsia="Times New Roman" w:cs="Arial"/>
          <w:lang w:eastAsia="es-MX"/>
        </w:rPr>
        <w:t xml:space="preserve">, para la inclusión de variables de discapacidad relacionadas con alimentación y nutrición teniendo en cuenta la </w:t>
      </w:r>
      <w:r w:rsidRPr="004B1BA7">
        <w:rPr>
          <w:rFonts w:eastAsia="Times New Roman" w:cs="Arial"/>
          <w:lang w:eastAsia="es-MX"/>
        </w:rPr>
        <w:t>Guía técnica del componente de alimentación y nutrición para la población con discapacidad</w:t>
      </w:r>
      <w:r w:rsidRPr="007608C2">
        <w:rPr>
          <w:rFonts w:eastAsia="Times New Roman" w:cs="Arial"/>
          <w:lang w:eastAsia="es-MX"/>
        </w:rPr>
        <w:t>.</w:t>
      </w:r>
    </w:p>
    <w:p w:rsidR="004B1BA7" w:rsidRPr="007608C2" w:rsidRDefault="004B1BA7" w:rsidP="004B1BA7">
      <w:pPr>
        <w:autoSpaceDE w:val="0"/>
        <w:autoSpaceDN w:val="0"/>
        <w:adjustRightInd w:val="0"/>
        <w:spacing w:before="100" w:beforeAutospacing="1" w:after="100" w:afterAutospacing="1" w:line="240" w:lineRule="auto"/>
        <w:contextualSpacing/>
        <w:jc w:val="both"/>
        <w:rPr>
          <w:rFonts w:eastAsia="Times New Roman" w:cs="Arial"/>
          <w:lang w:eastAsia="es-MX"/>
        </w:rPr>
      </w:pPr>
    </w:p>
    <w:p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7608C2">
        <w:rPr>
          <w:rFonts w:eastAsia="Times New Roman" w:cs="Arial"/>
          <w:lang w:eastAsia="es-MX"/>
        </w:rPr>
        <w:t>Revisión de los Sistemas de Información CUENTAME y SIM, de variables actuales de caracterización para autorreconocimiento grupo étnicos, con el fin de mejorar la caracterización de los beneficiarios pertenecientes a Grupos Étnicos.</w:t>
      </w:r>
    </w:p>
    <w:p w:rsidR="004B1BA7" w:rsidRPr="007608C2" w:rsidRDefault="004B1BA7" w:rsidP="004B1BA7">
      <w:pPr>
        <w:autoSpaceDE w:val="0"/>
        <w:autoSpaceDN w:val="0"/>
        <w:adjustRightInd w:val="0"/>
        <w:spacing w:before="100" w:beforeAutospacing="1" w:after="100" w:afterAutospacing="1" w:line="240" w:lineRule="auto"/>
        <w:contextualSpacing/>
        <w:jc w:val="both"/>
        <w:rPr>
          <w:rFonts w:eastAsia="Times New Roman" w:cs="Arial"/>
          <w:lang w:eastAsia="es-MX"/>
        </w:rPr>
      </w:pPr>
    </w:p>
    <w:p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4B1BA7">
        <w:rPr>
          <w:rFonts w:eastAsia="Times New Roman" w:cs="Arial"/>
          <w:lang w:eastAsia="es-MX"/>
        </w:rPr>
        <w:t>Sistematización de la implementación de minutas con enfoque diferencial que aportaron las regionales Antioquia, Boyacá, Quindío y Tolima.</w:t>
      </w:r>
    </w:p>
    <w:p w:rsidR="006339A3" w:rsidRPr="004B1BA7" w:rsidRDefault="006339A3" w:rsidP="006339A3">
      <w:pPr>
        <w:autoSpaceDE w:val="0"/>
        <w:autoSpaceDN w:val="0"/>
        <w:adjustRightInd w:val="0"/>
        <w:spacing w:before="100" w:beforeAutospacing="1" w:after="100" w:afterAutospacing="1" w:line="240" w:lineRule="auto"/>
        <w:contextualSpacing/>
        <w:jc w:val="both"/>
        <w:rPr>
          <w:rFonts w:eastAsia="Times New Roman" w:cs="Arial"/>
          <w:lang w:eastAsia="es-MX"/>
        </w:rPr>
      </w:pPr>
    </w:p>
    <w:p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4B1BA7">
        <w:rPr>
          <w:rFonts w:eastAsia="Times New Roman" w:cs="Arial"/>
          <w:lang w:eastAsia="es-MX"/>
        </w:rPr>
        <w:t>Implementación del modelo de enfoque diferencial en el marco del Manual Operativo de la Modalidad “1.000 Días Para Cambiar El Mundo” buscando intervenciones desde una perspectiva diferencial, de modo que se puedan caracterizar adecuadamente niños, niñas y madres gestantes siendo respetuosos de su condición y pertenencia étnica.</w:t>
      </w:r>
    </w:p>
    <w:p w:rsidR="004B1BA7" w:rsidRPr="004B1BA7" w:rsidRDefault="004B1BA7" w:rsidP="004B1BA7">
      <w:pPr>
        <w:autoSpaceDE w:val="0"/>
        <w:autoSpaceDN w:val="0"/>
        <w:adjustRightInd w:val="0"/>
        <w:spacing w:before="100" w:beforeAutospacing="1" w:after="100" w:afterAutospacing="1" w:line="240" w:lineRule="auto"/>
        <w:ind w:left="360"/>
        <w:contextualSpacing/>
        <w:jc w:val="both"/>
        <w:rPr>
          <w:rFonts w:eastAsia="Times New Roman" w:cs="Arial"/>
          <w:lang w:eastAsia="es-MX"/>
        </w:rPr>
      </w:pPr>
    </w:p>
    <w:p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4B1BA7">
        <w:rPr>
          <w:rFonts w:eastAsia="Times New Roman" w:cs="Arial"/>
          <w:lang w:eastAsia="es-MX"/>
        </w:rPr>
        <w:lastRenderedPageBreak/>
        <w:t>Participación de operadores de comunidades indígenas en la implementación y desarrollo de la Estrategia de Atención y Prevención de la Desnutrición, en la modalidad de Centros de Recuperación Nutricional se: WINTUKWA IPSI y DUSAKAWI IPSI, en el Departamento del Cesar en los Centros Zonales CZ Agustín Codazzi y CZ Valledupar.</w:t>
      </w:r>
    </w:p>
    <w:p w:rsidR="004B1BA7" w:rsidRPr="004B1BA7" w:rsidRDefault="004B1BA7" w:rsidP="004B1BA7">
      <w:pPr>
        <w:autoSpaceDE w:val="0"/>
        <w:autoSpaceDN w:val="0"/>
        <w:adjustRightInd w:val="0"/>
        <w:spacing w:before="100" w:beforeAutospacing="1" w:after="100" w:afterAutospacing="1" w:line="240" w:lineRule="auto"/>
        <w:contextualSpacing/>
        <w:jc w:val="both"/>
        <w:rPr>
          <w:rFonts w:eastAsia="Times New Roman" w:cs="Arial"/>
          <w:lang w:eastAsia="es-MX"/>
        </w:rPr>
      </w:pPr>
    </w:p>
    <w:p w:rsidR="004B1BA7"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4B1BA7">
        <w:rPr>
          <w:rFonts w:eastAsia="Times New Roman" w:cs="Arial"/>
          <w:lang w:eastAsia="es-MX"/>
        </w:rPr>
        <w:t>Participación de operadores indígenas en la implementación y desarrollo de la modalidad “1.000 días para cambiar el mundo” como la ASOCIACIÓN DE AUTORIDADES TRADICIONALES INDIGENAS CONCEJO REGIONAL INDIGENA DE ORTEGUAZA MEDIO CAQUETA CRIOMC, en el departamento del Caquetá, que trabaja en los municipios Milán y Solano; y la ASOCIACION DE CABILDOS INDIGENAS DE LA ZONA NORTE DEL CAUCA -ACIN y ASOCIACION DE CABILDOS NASA CXHA CXHA en el departamento del Cauca, en los municipios de Caloto, Miranda,</w:t>
      </w:r>
      <w:r w:rsidR="004B1BA7">
        <w:rPr>
          <w:rFonts w:eastAsia="Times New Roman" w:cs="Arial"/>
          <w:lang w:eastAsia="es-MX"/>
        </w:rPr>
        <w:t xml:space="preserve"> Santander de Quilichao y Paez.</w:t>
      </w:r>
    </w:p>
    <w:p w:rsidR="004B1BA7" w:rsidRPr="004B1BA7" w:rsidRDefault="004B1BA7" w:rsidP="004B1BA7">
      <w:pPr>
        <w:autoSpaceDE w:val="0"/>
        <w:autoSpaceDN w:val="0"/>
        <w:adjustRightInd w:val="0"/>
        <w:spacing w:before="100" w:beforeAutospacing="1" w:after="100" w:afterAutospacing="1" w:line="240" w:lineRule="auto"/>
        <w:contextualSpacing/>
        <w:jc w:val="both"/>
        <w:rPr>
          <w:rFonts w:eastAsia="Times New Roman" w:cs="Arial"/>
          <w:lang w:eastAsia="es-MX"/>
        </w:rPr>
      </w:pPr>
    </w:p>
    <w:p w:rsidR="000D29F3"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4B1BA7">
        <w:rPr>
          <w:rFonts w:eastAsia="Times New Roman" w:cs="Arial"/>
          <w:lang w:eastAsia="es-MX"/>
        </w:rPr>
        <w:t>En el marco de la Estrategia de Atención y Prevención de la desnutrición y según datos del sistema de información Cuéntame, la Dirección de Nutrición ha logrado brindar atención y recuperar el estado nutricional de 548 niñas y niños hasta los 5 años y 11 meses de pueblos indígenas a nivel nacional en los Centro</w:t>
      </w:r>
      <w:r w:rsidR="004B1BA7">
        <w:rPr>
          <w:rFonts w:eastAsia="Times New Roman" w:cs="Arial"/>
          <w:lang w:eastAsia="es-MX"/>
        </w:rPr>
        <w:t>s de Recuperación Nutricional.</w:t>
      </w:r>
    </w:p>
    <w:p w:rsidR="004B1BA7" w:rsidRPr="004B1BA7" w:rsidRDefault="004B1BA7" w:rsidP="004B1BA7">
      <w:pPr>
        <w:autoSpaceDE w:val="0"/>
        <w:autoSpaceDN w:val="0"/>
        <w:adjustRightInd w:val="0"/>
        <w:spacing w:before="100" w:beforeAutospacing="1" w:after="100" w:afterAutospacing="1" w:line="240" w:lineRule="auto"/>
        <w:contextualSpacing/>
        <w:jc w:val="both"/>
        <w:rPr>
          <w:rFonts w:eastAsia="Times New Roman" w:cs="Arial"/>
          <w:lang w:eastAsia="es-MX"/>
        </w:rPr>
      </w:pPr>
    </w:p>
    <w:p w:rsidR="000D29F3" w:rsidRPr="004B1BA7" w:rsidRDefault="000D29F3" w:rsidP="00A44A2B">
      <w:pPr>
        <w:numPr>
          <w:ilvl w:val="0"/>
          <w:numId w:val="6"/>
        </w:numPr>
        <w:autoSpaceDE w:val="0"/>
        <w:autoSpaceDN w:val="0"/>
        <w:adjustRightInd w:val="0"/>
        <w:spacing w:before="100" w:beforeAutospacing="1" w:after="100" w:afterAutospacing="1" w:line="240" w:lineRule="auto"/>
        <w:contextualSpacing/>
        <w:jc w:val="both"/>
        <w:rPr>
          <w:rFonts w:eastAsia="Times New Roman" w:cs="Arial"/>
          <w:lang w:eastAsia="es-MX"/>
        </w:rPr>
      </w:pPr>
      <w:r w:rsidRPr="004B1BA7">
        <w:rPr>
          <w:rFonts w:eastAsia="Times New Roman" w:cs="Arial"/>
          <w:lang w:eastAsia="es-MX"/>
        </w:rPr>
        <w:t>310 niños y niñas menores de seis meses, 1282 mujeres gestantes y 1707 niños y niñas entre 6 meses y 5 años y 11 meses pertenecientes a comunidades indígenas fueron atendidos en la modalidad 1000 días para cambiar el mundo.</w:t>
      </w:r>
    </w:p>
    <w:p w:rsidR="000D29F3" w:rsidRPr="007608C2" w:rsidRDefault="000D29F3" w:rsidP="000D29F3">
      <w:pPr>
        <w:pStyle w:val="Prrafodelista"/>
        <w:shd w:val="clear" w:color="auto" w:fill="FFFFFF"/>
        <w:spacing w:before="100" w:beforeAutospacing="1" w:after="100" w:afterAutospacing="1" w:line="240" w:lineRule="auto"/>
        <w:ind w:left="720"/>
        <w:contextualSpacing/>
        <w:jc w:val="both"/>
        <w:rPr>
          <w:rFonts w:cs="Arial"/>
        </w:rPr>
      </w:pPr>
    </w:p>
    <w:p w:rsidR="000D29F3" w:rsidRPr="007608C2" w:rsidRDefault="000D29F3" w:rsidP="000D0DF1">
      <w:pPr>
        <w:pStyle w:val="Prrafodelista"/>
        <w:keepNext/>
        <w:keepLines/>
        <w:numPr>
          <w:ilvl w:val="2"/>
          <w:numId w:val="160"/>
        </w:numPr>
        <w:spacing w:before="100" w:beforeAutospacing="1" w:after="100" w:afterAutospacing="1" w:line="240" w:lineRule="auto"/>
        <w:jc w:val="both"/>
        <w:outlineLvl w:val="1"/>
        <w:rPr>
          <w:rFonts w:eastAsiaTheme="majorEastAsia" w:cs="Arial"/>
          <w:b/>
        </w:rPr>
      </w:pPr>
      <w:bookmarkStart w:id="71" w:name="_Toc505183059"/>
      <w:r w:rsidRPr="007608C2">
        <w:rPr>
          <w:rFonts w:eastAsia="Times New Roman" w:cs="Arial"/>
          <w:b/>
          <w:bCs/>
          <w:kern w:val="32"/>
        </w:rPr>
        <w:t>Estrategia de Atención y Prevención de la Desnutrición</w:t>
      </w:r>
      <w:bookmarkEnd w:id="71"/>
    </w:p>
    <w:p w:rsidR="000D29F3" w:rsidRPr="007608C2" w:rsidRDefault="000D29F3" w:rsidP="000D29F3">
      <w:pPr>
        <w:autoSpaceDE w:val="0"/>
        <w:autoSpaceDN w:val="0"/>
        <w:adjustRightInd w:val="0"/>
        <w:spacing w:before="100" w:beforeAutospacing="1" w:after="100" w:afterAutospacing="1" w:line="240" w:lineRule="auto"/>
        <w:ind w:left="360"/>
        <w:jc w:val="both"/>
        <w:rPr>
          <w:rFonts w:cs="Arial"/>
          <w:lang w:val="es-CO" w:eastAsia="es-ES"/>
        </w:rPr>
      </w:pPr>
      <w:r w:rsidRPr="007608C2">
        <w:rPr>
          <w:rFonts w:cs="Arial"/>
          <w:lang w:val="es-CO" w:eastAsia="es-ES"/>
        </w:rPr>
        <w:t>En el marco de la Política de Seguridad Alimentaria y Nutricional, en la vigencia 2017 se implementa la Estrategia de Atención y Prevención de la Desnutrición Infantil como un conjunto de acciones en alimentación y nutrición, familiares, pedagógicas, sociales y comunitarias, encaminadas a la atención y prevención de la desnutrición. Esta estrategia se desarrolla a través de dos modalidades: “</w:t>
      </w:r>
      <w:r w:rsidRPr="007608C2">
        <w:rPr>
          <w:rFonts w:cs="Arial"/>
          <w:i/>
          <w:lang w:val="es-CO" w:eastAsia="es-ES"/>
        </w:rPr>
        <w:t>Centros de Recuperación Nutricional</w:t>
      </w:r>
      <w:r w:rsidRPr="007608C2">
        <w:rPr>
          <w:rFonts w:cs="Arial"/>
          <w:lang w:val="es-CO" w:eastAsia="es-ES"/>
        </w:rPr>
        <w:t xml:space="preserve">” y </w:t>
      </w:r>
      <w:r w:rsidRPr="007608C2">
        <w:rPr>
          <w:rFonts w:cs="Arial"/>
          <w:i/>
          <w:lang w:val="es-CO" w:eastAsia="es-ES"/>
        </w:rPr>
        <w:t>“1.000 días para cambiar el Mundo”.</w:t>
      </w:r>
      <w:r w:rsidRPr="007608C2">
        <w:rPr>
          <w:rFonts w:cs="Arial"/>
          <w:lang w:val="es-CO" w:eastAsia="es-ES"/>
        </w:rPr>
        <w:t xml:space="preserve"> </w:t>
      </w:r>
    </w:p>
    <w:p w:rsidR="000D29F3" w:rsidRPr="007608C2" w:rsidRDefault="000D29F3" w:rsidP="000D29F3">
      <w:pPr>
        <w:spacing w:before="100" w:beforeAutospacing="1" w:after="100" w:afterAutospacing="1" w:line="240" w:lineRule="auto"/>
        <w:ind w:left="360"/>
        <w:contextualSpacing/>
        <w:jc w:val="both"/>
        <w:rPr>
          <w:rFonts w:cs="Arial"/>
          <w:lang w:val="es-CO" w:eastAsia="es-ES"/>
        </w:rPr>
      </w:pPr>
      <w:r w:rsidRPr="007608C2">
        <w:rPr>
          <w:rFonts w:eastAsia="Times New Roman" w:cs="Arial"/>
          <w:lang w:val="es-CO"/>
        </w:rPr>
        <w:t xml:space="preserve">Con corte a 31 de diciembre de 2017, en la ejecución de la Estrategia de Atención y Prevención de la Desnutrición Infantil, se atendieron </w:t>
      </w:r>
      <w:r w:rsidR="003D54A9" w:rsidRPr="004B1BA7">
        <w:rPr>
          <w:rFonts w:eastAsia="Times New Roman" w:cs="Arial"/>
          <w:lang w:val="es-CO"/>
        </w:rPr>
        <w:t>18.195</w:t>
      </w:r>
      <w:r w:rsidR="003D54A9" w:rsidRPr="007608C2">
        <w:rPr>
          <w:rFonts w:eastAsia="Times New Roman" w:cs="Arial"/>
          <w:lang w:val="es-CO"/>
        </w:rPr>
        <w:t xml:space="preserve"> </w:t>
      </w:r>
      <w:r w:rsidRPr="007608C2">
        <w:rPr>
          <w:rFonts w:eastAsia="Times New Roman" w:cs="Arial"/>
          <w:lang w:val="es-CO"/>
        </w:rPr>
        <w:t>beneficiarios, entre niños, niñas en situación de desnutrición aguda o riesgo de desnutrición y mujeres gestantes con bajo peso para la edad gestacional</w:t>
      </w:r>
      <w:r w:rsidRPr="007608C2">
        <w:rPr>
          <w:rFonts w:cs="Arial"/>
          <w:vertAlign w:val="superscript"/>
          <w:lang w:val="es-CO"/>
        </w:rPr>
        <w:footnoteReference w:id="3"/>
      </w:r>
      <w:r w:rsidRPr="007608C2">
        <w:rPr>
          <w:rFonts w:eastAsia="Times New Roman" w:cs="Arial"/>
          <w:lang w:val="es-CO"/>
        </w:rPr>
        <w:t xml:space="preserve">. Así mismo, </w:t>
      </w:r>
      <w:r w:rsidRPr="007608C2">
        <w:rPr>
          <w:rFonts w:cs="Arial"/>
          <w:lang w:val="es-CO" w:eastAsia="es-ES"/>
        </w:rPr>
        <w:t>las modalidades de Recuperación Nutricional Ambulatoria, Recuperación Nutricional con Enfoque Comunitario y Recuperación Nutricional con Énfasis en los Primeros 1.000 Días, se transformaron en la modalidad “1.000 días para cambiar el mundo”.</w:t>
      </w:r>
    </w:p>
    <w:p w:rsidR="000D29F3" w:rsidRPr="007608C2" w:rsidRDefault="000D29F3" w:rsidP="000D29F3">
      <w:pPr>
        <w:spacing w:before="100" w:beforeAutospacing="1" w:after="100" w:afterAutospacing="1" w:line="240" w:lineRule="auto"/>
        <w:contextualSpacing/>
        <w:jc w:val="both"/>
        <w:rPr>
          <w:rFonts w:cs="Arial"/>
          <w:lang w:val="es-CO" w:eastAsia="es-ES"/>
        </w:rPr>
      </w:pPr>
    </w:p>
    <w:p w:rsidR="000D29F3" w:rsidRPr="007608C2" w:rsidRDefault="000D29F3" w:rsidP="00A44A2B">
      <w:pPr>
        <w:numPr>
          <w:ilvl w:val="0"/>
          <w:numId w:val="65"/>
        </w:numPr>
        <w:autoSpaceDE w:val="0"/>
        <w:autoSpaceDN w:val="0"/>
        <w:adjustRightInd w:val="0"/>
        <w:spacing w:before="100" w:beforeAutospacing="1" w:after="100" w:afterAutospacing="1" w:line="240" w:lineRule="auto"/>
        <w:jc w:val="both"/>
        <w:rPr>
          <w:rFonts w:cs="Arial"/>
          <w:b/>
          <w:lang w:val="es-CO"/>
        </w:rPr>
      </w:pPr>
      <w:r w:rsidRPr="007608C2">
        <w:rPr>
          <w:rFonts w:cs="Arial"/>
          <w:b/>
          <w:lang w:val="es-CO"/>
        </w:rPr>
        <w:t>Centros de Recuperación Nutricional</w:t>
      </w:r>
    </w:p>
    <w:p w:rsidR="000D29F3" w:rsidRPr="007608C2" w:rsidRDefault="000D29F3" w:rsidP="000D29F3">
      <w:pPr>
        <w:autoSpaceDE w:val="0"/>
        <w:autoSpaceDN w:val="0"/>
        <w:adjustRightInd w:val="0"/>
        <w:spacing w:before="100" w:beforeAutospacing="1" w:after="100" w:afterAutospacing="1" w:line="240" w:lineRule="auto"/>
        <w:ind w:left="360"/>
        <w:jc w:val="both"/>
        <w:rPr>
          <w:rFonts w:cs="Arial"/>
          <w:lang w:val="es-CO"/>
        </w:rPr>
      </w:pPr>
      <w:r w:rsidRPr="007608C2">
        <w:rPr>
          <w:rFonts w:cs="Arial"/>
          <w:lang w:val="es-CO"/>
        </w:rPr>
        <w:t xml:space="preserve">Modalidad de atención intramural que atiende durante aproximadamente un mes a niños y niñas menores de cinco años con desnutrición aguda moderada y severa. La atención se </w:t>
      </w:r>
      <w:r w:rsidRPr="007608C2">
        <w:rPr>
          <w:rFonts w:cs="Arial"/>
          <w:lang w:val="es-CO"/>
        </w:rPr>
        <w:lastRenderedPageBreak/>
        <w:t>realiza a través de un equipo interdisciplinario integrado por un médico, un nutricionista, un profesional del área social, cuatro auxiliares de enfermería, adicional al personal de apoyo; durante el tiempo de atención se debe lograr la recuperación nutricional de los 15 niños y niñas ingresados mensualmente.</w:t>
      </w:r>
    </w:p>
    <w:p w:rsidR="000D29F3" w:rsidRPr="007608C2" w:rsidRDefault="000D29F3" w:rsidP="000D29F3">
      <w:pPr>
        <w:autoSpaceDE w:val="0"/>
        <w:autoSpaceDN w:val="0"/>
        <w:adjustRightInd w:val="0"/>
        <w:spacing w:before="100" w:beforeAutospacing="1" w:after="100" w:afterAutospacing="1" w:line="240" w:lineRule="auto"/>
        <w:ind w:left="360"/>
        <w:jc w:val="both"/>
        <w:rPr>
          <w:rFonts w:cs="Arial"/>
          <w:lang w:val="es-CO" w:eastAsia="es-ES"/>
        </w:rPr>
      </w:pPr>
      <w:r w:rsidRPr="007608C2">
        <w:rPr>
          <w:rFonts w:cs="Arial"/>
          <w:lang w:val="es-CO" w:eastAsia="es-ES"/>
        </w:rPr>
        <w:t>Para la transformación y tránsito de la modalidad de Centros de Recuperación Nutricional -CRN al sector salud, se desarrollan mesas de trabajo con el Ministerio de Salud y Protección Social, que fortalecen la atención complementaria y articulada que se brinda a los niños y niñas en situación de desnutrición aguda, con las acciones de los sectores salud y e inclusión social en los territorios en donde se encuentra funcionando la modalidad.</w:t>
      </w:r>
    </w:p>
    <w:p w:rsidR="000D29F3" w:rsidRPr="007608C2" w:rsidRDefault="000D29F3" w:rsidP="000D29F3">
      <w:pPr>
        <w:spacing w:before="100" w:beforeAutospacing="1" w:after="100" w:afterAutospacing="1" w:line="240" w:lineRule="auto"/>
        <w:ind w:left="360"/>
        <w:contextualSpacing/>
        <w:jc w:val="both"/>
        <w:rPr>
          <w:rFonts w:cs="Arial"/>
          <w:lang w:val="es-CO"/>
        </w:rPr>
      </w:pPr>
      <w:r w:rsidRPr="007608C2">
        <w:rPr>
          <w:rFonts w:eastAsia="Times New Roman" w:cs="Arial"/>
          <w:lang w:val="es-CO"/>
        </w:rPr>
        <w:t>Durante el año 2017 funcionaron 16 Centros de Recuperación Nutricional, ubicados en 10 departamentos y 16 municipios del país. Estas unidades de CRN estuvieron amparadas bajo la suscripción de 13 contratos, ejecutando un presupuesto de $ 6.246.809.604 y logrando la atención de 2.557 niños y niñas</w:t>
      </w:r>
      <w:r w:rsidRPr="007608C2">
        <w:rPr>
          <w:rFonts w:cs="Arial"/>
          <w:lang w:val="es-CO"/>
        </w:rPr>
        <w:t>, como se detalla a continuación:</w:t>
      </w:r>
    </w:p>
    <w:p w:rsidR="000D29F3" w:rsidRPr="007608C2" w:rsidRDefault="000D29F3" w:rsidP="000D29F3">
      <w:pPr>
        <w:spacing w:before="100" w:beforeAutospacing="1" w:after="100" w:afterAutospacing="1" w:line="240" w:lineRule="auto"/>
        <w:contextualSpacing/>
        <w:jc w:val="both"/>
        <w:rPr>
          <w:rFonts w:cs="Arial"/>
          <w:color w:val="FF0000"/>
          <w:lang w:val="es-CO" w:eastAsia="es-ES"/>
        </w:rPr>
      </w:pPr>
    </w:p>
    <w:p w:rsidR="003D54A9" w:rsidRPr="007608C2" w:rsidRDefault="003D54A9" w:rsidP="000D29F3">
      <w:pPr>
        <w:spacing w:after="0" w:line="240" w:lineRule="auto"/>
        <w:jc w:val="both"/>
        <w:rPr>
          <w:rFonts w:cs="Arial"/>
          <w:sz w:val="18"/>
        </w:rPr>
      </w:pP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031"/>
        <w:gridCol w:w="782"/>
        <w:gridCol w:w="911"/>
        <w:gridCol w:w="1950"/>
      </w:tblGrid>
      <w:tr w:rsidR="003D54A9" w:rsidRPr="004B1BA7" w:rsidTr="004B1BA7">
        <w:trPr>
          <w:trHeight w:hRule="exact" w:val="305"/>
          <w:jc w:val="center"/>
        </w:trPr>
        <w:tc>
          <w:tcPr>
            <w:tcW w:w="0" w:type="auto"/>
            <w:shd w:val="clear" w:color="auto" w:fill="76922E"/>
            <w:vAlign w:val="center"/>
            <w:hideMark/>
          </w:tcPr>
          <w:p w:rsidR="003D54A9" w:rsidRPr="004B1BA7" w:rsidRDefault="004B1BA7" w:rsidP="004B1BA7">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4B1BA7">
              <w:rPr>
                <w:rFonts w:cs="Arial"/>
                <w:b/>
                <w:bCs/>
                <w:color w:val="FFFFFF" w:themeColor="background1"/>
                <w:sz w:val="18"/>
                <w:szCs w:val="18"/>
              </w:rPr>
              <w:t>Regional</w:t>
            </w:r>
          </w:p>
        </w:tc>
        <w:tc>
          <w:tcPr>
            <w:tcW w:w="0" w:type="auto"/>
            <w:shd w:val="clear" w:color="auto" w:fill="76922E"/>
            <w:vAlign w:val="center"/>
            <w:hideMark/>
          </w:tcPr>
          <w:p w:rsidR="003D54A9" w:rsidRPr="004B1BA7" w:rsidRDefault="004B1BA7" w:rsidP="004B1BA7">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4B1BA7">
              <w:rPr>
                <w:rFonts w:cs="Arial"/>
                <w:b/>
                <w:bCs/>
                <w:color w:val="FFFFFF" w:themeColor="background1"/>
                <w:sz w:val="18"/>
                <w:szCs w:val="18"/>
              </w:rPr>
              <w:t>N° CRN</w:t>
            </w:r>
          </w:p>
        </w:tc>
        <w:tc>
          <w:tcPr>
            <w:tcW w:w="0" w:type="auto"/>
            <w:shd w:val="clear" w:color="auto" w:fill="76922E"/>
            <w:vAlign w:val="center"/>
            <w:hideMark/>
          </w:tcPr>
          <w:p w:rsidR="003D54A9" w:rsidRPr="004B1BA7" w:rsidRDefault="004B1BA7" w:rsidP="004B1BA7">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4B1BA7">
              <w:rPr>
                <w:rFonts w:cs="Arial"/>
                <w:b/>
                <w:bCs/>
                <w:color w:val="FFFFFF" w:themeColor="background1"/>
                <w:sz w:val="18"/>
                <w:szCs w:val="18"/>
              </w:rPr>
              <w:t>Atención</w:t>
            </w:r>
          </w:p>
        </w:tc>
        <w:tc>
          <w:tcPr>
            <w:tcW w:w="1950" w:type="dxa"/>
            <w:shd w:val="clear" w:color="auto" w:fill="76922E"/>
            <w:vAlign w:val="center"/>
            <w:hideMark/>
          </w:tcPr>
          <w:p w:rsidR="003D54A9" w:rsidRPr="004B1BA7" w:rsidRDefault="004B1BA7" w:rsidP="004B1BA7">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4B1BA7">
              <w:rPr>
                <w:rFonts w:eastAsia="Times New Roman" w:cs="Arial"/>
                <w:b/>
                <w:bCs/>
                <w:color w:val="FFFFFF" w:themeColor="background1"/>
                <w:sz w:val="18"/>
                <w:szCs w:val="18"/>
                <w:lang w:val="es-CO" w:eastAsia="es-CO"/>
              </w:rPr>
              <w:t>Valor</w:t>
            </w:r>
          </w:p>
        </w:tc>
      </w:tr>
      <w:tr w:rsidR="003D54A9" w:rsidRPr="004B1BA7" w:rsidTr="004B1BA7">
        <w:trPr>
          <w:trHeight w:hRule="exact" w:val="305"/>
          <w:jc w:val="center"/>
        </w:trPr>
        <w:tc>
          <w:tcPr>
            <w:tcW w:w="0" w:type="auto"/>
            <w:shd w:val="clear" w:color="auto" w:fill="auto"/>
            <w:noWrap/>
            <w:vAlign w:val="center"/>
            <w:hideMark/>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Bolívar</w:t>
            </w:r>
          </w:p>
        </w:tc>
        <w:tc>
          <w:tcPr>
            <w:tcW w:w="0" w:type="auto"/>
            <w:shd w:val="clear" w:color="auto" w:fill="auto"/>
            <w:noWrap/>
            <w:vAlign w:val="center"/>
            <w:hideMark/>
          </w:tcPr>
          <w:p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1</w:t>
            </w:r>
          </w:p>
        </w:tc>
        <w:tc>
          <w:tcPr>
            <w:tcW w:w="0" w:type="auto"/>
            <w:shd w:val="clear" w:color="auto" w:fill="auto"/>
            <w:noWrap/>
            <w:vAlign w:val="center"/>
            <w:hideMark/>
          </w:tcPr>
          <w:p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138</w:t>
            </w:r>
          </w:p>
        </w:tc>
        <w:tc>
          <w:tcPr>
            <w:tcW w:w="1950" w:type="dxa"/>
            <w:shd w:val="clear" w:color="auto" w:fill="auto"/>
            <w:noWrap/>
            <w:vAlign w:val="center"/>
            <w:hideMark/>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 xml:space="preserve"> $ 369.596.316 </w:t>
            </w:r>
          </w:p>
        </w:tc>
      </w:tr>
      <w:tr w:rsidR="003D54A9" w:rsidRPr="004B1BA7" w:rsidTr="004B1BA7">
        <w:trPr>
          <w:trHeight w:hRule="exact" w:val="305"/>
          <w:jc w:val="center"/>
        </w:trPr>
        <w:tc>
          <w:tcPr>
            <w:tcW w:w="0" w:type="auto"/>
            <w:shd w:val="clear" w:color="auto" w:fill="auto"/>
            <w:noWrap/>
            <w:vAlign w:val="center"/>
            <w:hideMark/>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Cesar</w:t>
            </w:r>
          </w:p>
        </w:tc>
        <w:tc>
          <w:tcPr>
            <w:tcW w:w="0" w:type="auto"/>
            <w:shd w:val="clear" w:color="auto" w:fill="auto"/>
            <w:noWrap/>
            <w:vAlign w:val="center"/>
            <w:hideMark/>
          </w:tcPr>
          <w:p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2</w:t>
            </w:r>
          </w:p>
        </w:tc>
        <w:tc>
          <w:tcPr>
            <w:tcW w:w="0" w:type="auto"/>
            <w:shd w:val="clear" w:color="auto" w:fill="auto"/>
            <w:noWrap/>
            <w:vAlign w:val="center"/>
            <w:hideMark/>
          </w:tcPr>
          <w:p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323</w:t>
            </w:r>
          </w:p>
        </w:tc>
        <w:tc>
          <w:tcPr>
            <w:tcW w:w="1950" w:type="dxa"/>
            <w:shd w:val="clear" w:color="auto" w:fill="auto"/>
            <w:noWrap/>
            <w:vAlign w:val="center"/>
            <w:hideMark/>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 xml:space="preserve"> $ 765.904.399 </w:t>
            </w:r>
          </w:p>
        </w:tc>
      </w:tr>
      <w:tr w:rsidR="003D54A9" w:rsidRPr="004B1BA7" w:rsidTr="004B1BA7">
        <w:trPr>
          <w:trHeight w:hRule="exact" w:val="305"/>
          <w:jc w:val="center"/>
        </w:trPr>
        <w:tc>
          <w:tcPr>
            <w:tcW w:w="0" w:type="auto"/>
            <w:shd w:val="clear" w:color="auto" w:fill="auto"/>
            <w:noWrap/>
            <w:vAlign w:val="center"/>
            <w:hideMark/>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Chocó</w:t>
            </w:r>
          </w:p>
        </w:tc>
        <w:tc>
          <w:tcPr>
            <w:tcW w:w="0" w:type="auto"/>
            <w:shd w:val="clear" w:color="auto" w:fill="auto"/>
            <w:noWrap/>
            <w:vAlign w:val="center"/>
            <w:hideMark/>
          </w:tcPr>
          <w:p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4</w:t>
            </w:r>
          </w:p>
        </w:tc>
        <w:tc>
          <w:tcPr>
            <w:tcW w:w="0" w:type="auto"/>
            <w:shd w:val="clear" w:color="auto" w:fill="auto"/>
            <w:noWrap/>
            <w:vAlign w:val="center"/>
            <w:hideMark/>
          </w:tcPr>
          <w:p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611</w:t>
            </w:r>
          </w:p>
        </w:tc>
        <w:tc>
          <w:tcPr>
            <w:tcW w:w="1950" w:type="dxa"/>
            <w:shd w:val="clear" w:color="auto" w:fill="auto"/>
            <w:noWrap/>
            <w:vAlign w:val="center"/>
            <w:hideMark/>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 xml:space="preserve"> $ 1.404.260.002 </w:t>
            </w:r>
          </w:p>
        </w:tc>
      </w:tr>
      <w:tr w:rsidR="003D54A9" w:rsidRPr="004B1BA7" w:rsidTr="004B1BA7">
        <w:trPr>
          <w:trHeight w:hRule="exact" w:val="305"/>
          <w:jc w:val="center"/>
        </w:trPr>
        <w:tc>
          <w:tcPr>
            <w:tcW w:w="0" w:type="auto"/>
            <w:shd w:val="clear" w:color="auto" w:fill="auto"/>
            <w:noWrap/>
            <w:vAlign w:val="center"/>
            <w:hideMark/>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Córdoba</w:t>
            </w:r>
          </w:p>
        </w:tc>
        <w:tc>
          <w:tcPr>
            <w:tcW w:w="0" w:type="auto"/>
            <w:shd w:val="clear" w:color="auto" w:fill="auto"/>
            <w:noWrap/>
            <w:vAlign w:val="center"/>
            <w:hideMark/>
          </w:tcPr>
          <w:p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1</w:t>
            </w:r>
          </w:p>
        </w:tc>
        <w:tc>
          <w:tcPr>
            <w:tcW w:w="0" w:type="auto"/>
            <w:shd w:val="clear" w:color="auto" w:fill="auto"/>
            <w:noWrap/>
            <w:vAlign w:val="center"/>
            <w:hideMark/>
          </w:tcPr>
          <w:p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134</w:t>
            </w:r>
          </w:p>
        </w:tc>
        <w:tc>
          <w:tcPr>
            <w:tcW w:w="1950" w:type="dxa"/>
            <w:shd w:val="clear" w:color="auto" w:fill="auto"/>
            <w:noWrap/>
            <w:vAlign w:val="center"/>
            <w:hideMark/>
          </w:tcPr>
          <w:p w:rsidR="003D54A9" w:rsidRPr="004B1BA7" w:rsidRDefault="004B1BA7" w:rsidP="004B1BA7">
            <w:pPr>
              <w:spacing w:before="100" w:beforeAutospacing="1" w:after="100" w:afterAutospacing="1" w:line="240" w:lineRule="auto"/>
              <w:rPr>
                <w:rFonts w:eastAsia="Times New Roman" w:cs="Arial"/>
                <w:sz w:val="18"/>
                <w:szCs w:val="18"/>
                <w:lang w:val="es-CO" w:eastAsia="es-CO"/>
              </w:rPr>
            </w:pPr>
            <w:r w:rsidRPr="004B1BA7">
              <w:rPr>
                <w:rFonts w:cs="Arial"/>
                <w:sz w:val="18"/>
                <w:szCs w:val="18"/>
              </w:rPr>
              <w:t>$ 325.180.532</w:t>
            </w:r>
          </w:p>
        </w:tc>
      </w:tr>
      <w:tr w:rsidR="003D54A9" w:rsidRPr="004B1BA7" w:rsidTr="004B1BA7">
        <w:trPr>
          <w:trHeight w:hRule="exact" w:val="305"/>
          <w:jc w:val="center"/>
        </w:trPr>
        <w:tc>
          <w:tcPr>
            <w:tcW w:w="0" w:type="auto"/>
            <w:shd w:val="clear" w:color="auto" w:fill="auto"/>
            <w:noWrap/>
            <w:vAlign w:val="center"/>
            <w:hideMark/>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Guaviare</w:t>
            </w:r>
          </w:p>
        </w:tc>
        <w:tc>
          <w:tcPr>
            <w:tcW w:w="0" w:type="auto"/>
            <w:shd w:val="clear" w:color="auto" w:fill="auto"/>
            <w:noWrap/>
            <w:vAlign w:val="center"/>
            <w:hideMark/>
          </w:tcPr>
          <w:p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1</w:t>
            </w:r>
          </w:p>
        </w:tc>
        <w:tc>
          <w:tcPr>
            <w:tcW w:w="0" w:type="auto"/>
            <w:shd w:val="clear" w:color="auto" w:fill="auto"/>
            <w:noWrap/>
            <w:vAlign w:val="center"/>
            <w:hideMark/>
          </w:tcPr>
          <w:p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165</w:t>
            </w:r>
          </w:p>
        </w:tc>
        <w:tc>
          <w:tcPr>
            <w:tcW w:w="1950" w:type="dxa"/>
            <w:shd w:val="clear" w:color="auto" w:fill="auto"/>
            <w:noWrap/>
            <w:vAlign w:val="center"/>
            <w:hideMark/>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 xml:space="preserve">$ 377.894.560 </w:t>
            </w:r>
          </w:p>
        </w:tc>
      </w:tr>
      <w:tr w:rsidR="003D54A9" w:rsidRPr="004B1BA7" w:rsidTr="004B1BA7">
        <w:trPr>
          <w:trHeight w:hRule="exact" w:val="305"/>
          <w:jc w:val="center"/>
        </w:trPr>
        <w:tc>
          <w:tcPr>
            <w:tcW w:w="0" w:type="auto"/>
            <w:shd w:val="clear" w:color="auto" w:fill="auto"/>
            <w:noWrap/>
            <w:vAlign w:val="center"/>
            <w:hideMark/>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La Guajira</w:t>
            </w:r>
          </w:p>
        </w:tc>
        <w:tc>
          <w:tcPr>
            <w:tcW w:w="0" w:type="auto"/>
            <w:shd w:val="clear" w:color="auto" w:fill="auto"/>
            <w:noWrap/>
            <w:vAlign w:val="center"/>
            <w:hideMark/>
          </w:tcPr>
          <w:p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2</w:t>
            </w:r>
          </w:p>
        </w:tc>
        <w:tc>
          <w:tcPr>
            <w:tcW w:w="0" w:type="auto"/>
            <w:shd w:val="clear" w:color="auto" w:fill="auto"/>
            <w:noWrap/>
            <w:vAlign w:val="center"/>
            <w:hideMark/>
          </w:tcPr>
          <w:p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459</w:t>
            </w:r>
          </w:p>
        </w:tc>
        <w:tc>
          <w:tcPr>
            <w:tcW w:w="1950" w:type="dxa"/>
            <w:shd w:val="clear" w:color="auto" w:fill="auto"/>
            <w:noWrap/>
            <w:vAlign w:val="center"/>
            <w:hideMark/>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 xml:space="preserve"> $ 1.038.861.117 </w:t>
            </w:r>
          </w:p>
        </w:tc>
      </w:tr>
      <w:tr w:rsidR="003D54A9" w:rsidRPr="004B1BA7" w:rsidTr="004B1BA7">
        <w:trPr>
          <w:trHeight w:hRule="exact" w:val="305"/>
          <w:jc w:val="center"/>
        </w:trPr>
        <w:tc>
          <w:tcPr>
            <w:tcW w:w="0" w:type="auto"/>
            <w:shd w:val="clear" w:color="auto" w:fill="auto"/>
            <w:noWrap/>
            <w:vAlign w:val="center"/>
            <w:hideMark/>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Magdalena</w:t>
            </w:r>
          </w:p>
        </w:tc>
        <w:tc>
          <w:tcPr>
            <w:tcW w:w="0" w:type="auto"/>
            <w:shd w:val="clear" w:color="auto" w:fill="auto"/>
            <w:noWrap/>
            <w:vAlign w:val="center"/>
            <w:hideMark/>
          </w:tcPr>
          <w:p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1</w:t>
            </w:r>
          </w:p>
        </w:tc>
        <w:tc>
          <w:tcPr>
            <w:tcW w:w="0" w:type="auto"/>
            <w:shd w:val="clear" w:color="auto" w:fill="auto"/>
            <w:noWrap/>
            <w:vAlign w:val="center"/>
            <w:hideMark/>
          </w:tcPr>
          <w:p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95</w:t>
            </w:r>
          </w:p>
        </w:tc>
        <w:tc>
          <w:tcPr>
            <w:tcW w:w="1950" w:type="dxa"/>
            <w:shd w:val="clear" w:color="auto" w:fill="auto"/>
            <w:noWrap/>
            <w:vAlign w:val="center"/>
            <w:hideMark/>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 xml:space="preserve"> $ 378.680.851 </w:t>
            </w:r>
          </w:p>
        </w:tc>
      </w:tr>
      <w:tr w:rsidR="003D54A9" w:rsidRPr="004B1BA7" w:rsidTr="004B1BA7">
        <w:trPr>
          <w:trHeight w:hRule="exact" w:val="305"/>
          <w:jc w:val="center"/>
        </w:trPr>
        <w:tc>
          <w:tcPr>
            <w:tcW w:w="0" w:type="auto"/>
            <w:shd w:val="clear" w:color="auto" w:fill="auto"/>
            <w:noWrap/>
            <w:vAlign w:val="center"/>
            <w:hideMark/>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Nariño</w:t>
            </w:r>
          </w:p>
        </w:tc>
        <w:tc>
          <w:tcPr>
            <w:tcW w:w="0" w:type="auto"/>
            <w:shd w:val="clear" w:color="auto" w:fill="auto"/>
            <w:noWrap/>
            <w:vAlign w:val="center"/>
            <w:hideMark/>
          </w:tcPr>
          <w:p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2</w:t>
            </w:r>
          </w:p>
        </w:tc>
        <w:tc>
          <w:tcPr>
            <w:tcW w:w="0" w:type="auto"/>
            <w:shd w:val="clear" w:color="auto" w:fill="auto"/>
            <w:noWrap/>
            <w:vAlign w:val="center"/>
            <w:hideMark/>
          </w:tcPr>
          <w:p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310</w:t>
            </w:r>
          </w:p>
        </w:tc>
        <w:tc>
          <w:tcPr>
            <w:tcW w:w="1950" w:type="dxa"/>
            <w:shd w:val="clear" w:color="auto" w:fill="auto"/>
            <w:noWrap/>
            <w:vAlign w:val="center"/>
            <w:hideMark/>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 xml:space="preserve"> $ 761.357.788 </w:t>
            </w:r>
          </w:p>
        </w:tc>
      </w:tr>
      <w:tr w:rsidR="003D54A9" w:rsidRPr="004B1BA7" w:rsidTr="004B1BA7">
        <w:trPr>
          <w:trHeight w:hRule="exact" w:val="305"/>
          <w:jc w:val="center"/>
        </w:trPr>
        <w:tc>
          <w:tcPr>
            <w:tcW w:w="0" w:type="auto"/>
            <w:shd w:val="clear" w:color="auto" w:fill="auto"/>
            <w:noWrap/>
            <w:vAlign w:val="center"/>
            <w:hideMark/>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Sucre</w:t>
            </w:r>
          </w:p>
        </w:tc>
        <w:tc>
          <w:tcPr>
            <w:tcW w:w="0" w:type="auto"/>
            <w:shd w:val="clear" w:color="auto" w:fill="auto"/>
            <w:noWrap/>
            <w:vAlign w:val="center"/>
            <w:hideMark/>
          </w:tcPr>
          <w:p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1</w:t>
            </w:r>
          </w:p>
        </w:tc>
        <w:tc>
          <w:tcPr>
            <w:tcW w:w="0" w:type="auto"/>
            <w:shd w:val="clear" w:color="auto" w:fill="auto"/>
            <w:noWrap/>
            <w:vAlign w:val="center"/>
            <w:hideMark/>
          </w:tcPr>
          <w:p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151</w:t>
            </w:r>
          </w:p>
        </w:tc>
        <w:tc>
          <w:tcPr>
            <w:tcW w:w="1950" w:type="dxa"/>
            <w:shd w:val="clear" w:color="auto" w:fill="auto"/>
            <w:noWrap/>
            <w:vAlign w:val="center"/>
            <w:hideMark/>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 xml:space="preserve"> $ 436.747.034 </w:t>
            </w:r>
          </w:p>
        </w:tc>
      </w:tr>
      <w:tr w:rsidR="003D54A9" w:rsidRPr="004B1BA7" w:rsidTr="004B1BA7">
        <w:trPr>
          <w:trHeight w:hRule="exact" w:val="305"/>
          <w:jc w:val="center"/>
        </w:trPr>
        <w:tc>
          <w:tcPr>
            <w:tcW w:w="0" w:type="auto"/>
            <w:shd w:val="clear" w:color="auto" w:fill="auto"/>
            <w:noWrap/>
            <w:vAlign w:val="center"/>
            <w:hideMark/>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Vaupés</w:t>
            </w:r>
          </w:p>
        </w:tc>
        <w:tc>
          <w:tcPr>
            <w:tcW w:w="0" w:type="auto"/>
            <w:shd w:val="clear" w:color="auto" w:fill="auto"/>
            <w:noWrap/>
            <w:vAlign w:val="center"/>
            <w:hideMark/>
          </w:tcPr>
          <w:p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1</w:t>
            </w:r>
          </w:p>
        </w:tc>
        <w:tc>
          <w:tcPr>
            <w:tcW w:w="0" w:type="auto"/>
            <w:shd w:val="clear" w:color="auto" w:fill="auto"/>
            <w:noWrap/>
            <w:vAlign w:val="center"/>
            <w:hideMark/>
          </w:tcPr>
          <w:p w:rsidR="003D54A9" w:rsidRPr="004B1BA7" w:rsidRDefault="004B1BA7" w:rsidP="004B1BA7">
            <w:pPr>
              <w:spacing w:before="100" w:beforeAutospacing="1" w:after="100" w:afterAutospacing="1" w:line="240" w:lineRule="auto"/>
              <w:jc w:val="center"/>
              <w:rPr>
                <w:rFonts w:eastAsia="Times New Roman" w:cs="Arial"/>
                <w:sz w:val="18"/>
                <w:szCs w:val="18"/>
                <w:lang w:val="es-CO" w:eastAsia="es-CO"/>
              </w:rPr>
            </w:pPr>
            <w:r w:rsidRPr="004B1BA7">
              <w:rPr>
                <w:rFonts w:cs="Arial"/>
                <w:sz w:val="18"/>
                <w:szCs w:val="18"/>
              </w:rPr>
              <w:t>171</w:t>
            </w:r>
          </w:p>
        </w:tc>
        <w:tc>
          <w:tcPr>
            <w:tcW w:w="1950" w:type="dxa"/>
            <w:shd w:val="clear" w:color="auto" w:fill="auto"/>
            <w:noWrap/>
            <w:vAlign w:val="center"/>
            <w:hideMark/>
          </w:tcPr>
          <w:p w:rsidR="003D54A9" w:rsidRPr="004B1BA7" w:rsidRDefault="004B1BA7" w:rsidP="003D54A9">
            <w:pPr>
              <w:spacing w:before="100" w:beforeAutospacing="1" w:after="100" w:afterAutospacing="1" w:line="240" w:lineRule="auto"/>
              <w:jc w:val="both"/>
              <w:rPr>
                <w:rFonts w:eastAsia="Times New Roman" w:cs="Arial"/>
                <w:sz w:val="18"/>
                <w:szCs w:val="18"/>
                <w:lang w:val="es-CO" w:eastAsia="es-CO"/>
              </w:rPr>
            </w:pPr>
            <w:r w:rsidRPr="004B1BA7">
              <w:rPr>
                <w:rFonts w:cs="Arial"/>
                <w:sz w:val="18"/>
                <w:szCs w:val="18"/>
              </w:rPr>
              <w:t xml:space="preserve"> $ 388.327.005 </w:t>
            </w:r>
          </w:p>
        </w:tc>
      </w:tr>
      <w:tr w:rsidR="003D54A9" w:rsidRPr="004B1BA7" w:rsidTr="004B1BA7">
        <w:trPr>
          <w:trHeight w:hRule="exact" w:val="305"/>
          <w:jc w:val="center"/>
        </w:trPr>
        <w:tc>
          <w:tcPr>
            <w:tcW w:w="0" w:type="auto"/>
            <w:gridSpan w:val="2"/>
            <w:shd w:val="clear" w:color="auto" w:fill="E2EFDA"/>
            <w:noWrap/>
            <w:vAlign w:val="center"/>
          </w:tcPr>
          <w:p w:rsidR="003D54A9" w:rsidRPr="004B1BA7" w:rsidRDefault="004B1BA7" w:rsidP="003D54A9">
            <w:pPr>
              <w:spacing w:before="100" w:beforeAutospacing="1" w:after="100" w:afterAutospacing="1" w:line="240" w:lineRule="auto"/>
              <w:jc w:val="both"/>
              <w:rPr>
                <w:rFonts w:eastAsia="Times New Roman" w:cs="Arial"/>
                <w:b/>
                <w:sz w:val="16"/>
                <w:szCs w:val="16"/>
                <w:lang w:val="es-CO" w:eastAsia="es-CO"/>
              </w:rPr>
            </w:pPr>
            <w:r w:rsidRPr="004B1BA7">
              <w:rPr>
                <w:rFonts w:eastAsia="Times New Roman" w:cs="Arial"/>
                <w:b/>
                <w:sz w:val="16"/>
                <w:szCs w:val="16"/>
                <w:lang w:val="es-CO" w:eastAsia="es-CO"/>
              </w:rPr>
              <w:t>Total</w:t>
            </w:r>
          </w:p>
        </w:tc>
        <w:tc>
          <w:tcPr>
            <w:tcW w:w="0" w:type="auto"/>
            <w:shd w:val="clear" w:color="auto" w:fill="E2EFDA"/>
            <w:noWrap/>
            <w:vAlign w:val="center"/>
          </w:tcPr>
          <w:p w:rsidR="003D54A9" w:rsidRPr="004B1BA7" w:rsidRDefault="004B1BA7" w:rsidP="004B1BA7">
            <w:pPr>
              <w:spacing w:before="100" w:beforeAutospacing="1" w:after="100" w:afterAutospacing="1" w:line="240" w:lineRule="auto"/>
              <w:jc w:val="center"/>
              <w:rPr>
                <w:rFonts w:eastAsia="Times New Roman" w:cs="Arial"/>
                <w:b/>
                <w:sz w:val="16"/>
                <w:szCs w:val="16"/>
                <w:lang w:val="es-CO" w:eastAsia="es-CO"/>
              </w:rPr>
            </w:pPr>
            <w:r w:rsidRPr="004B1BA7">
              <w:rPr>
                <w:rFonts w:eastAsia="Times New Roman" w:cs="Arial"/>
                <w:b/>
                <w:sz w:val="16"/>
                <w:szCs w:val="16"/>
                <w:lang w:val="es-CO" w:eastAsia="es-CO"/>
              </w:rPr>
              <w:t>2.557</w:t>
            </w:r>
          </w:p>
        </w:tc>
        <w:tc>
          <w:tcPr>
            <w:tcW w:w="1950" w:type="dxa"/>
            <w:shd w:val="clear" w:color="auto" w:fill="E2EFDA"/>
            <w:noWrap/>
            <w:vAlign w:val="center"/>
          </w:tcPr>
          <w:p w:rsidR="003D54A9" w:rsidRPr="004B1BA7" w:rsidRDefault="004B1BA7" w:rsidP="004B1BA7">
            <w:pPr>
              <w:spacing w:before="100" w:beforeAutospacing="1" w:after="100" w:afterAutospacing="1" w:line="240" w:lineRule="auto"/>
              <w:rPr>
                <w:rFonts w:cs="Arial"/>
                <w:b/>
                <w:bCs/>
                <w:sz w:val="16"/>
                <w:szCs w:val="16"/>
              </w:rPr>
            </w:pPr>
            <w:r w:rsidRPr="004B1BA7">
              <w:rPr>
                <w:rFonts w:cs="Arial"/>
                <w:b/>
                <w:bCs/>
                <w:sz w:val="16"/>
                <w:szCs w:val="16"/>
              </w:rPr>
              <w:t xml:space="preserve">   $ 6.246.809.604</w:t>
            </w:r>
          </w:p>
          <w:p w:rsidR="003D54A9" w:rsidRPr="004B1BA7" w:rsidRDefault="004B1BA7" w:rsidP="004B1BA7">
            <w:pPr>
              <w:spacing w:before="100" w:beforeAutospacing="1" w:after="100" w:afterAutospacing="1" w:line="240" w:lineRule="auto"/>
              <w:rPr>
                <w:rFonts w:cs="Arial"/>
                <w:b/>
                <w:bCs/>
                <w:sz w:val="16"/>
                <w:szCs w:val="16"/>
                <w:lang w:val="es-CO" w:eastAsia="es-CO"/>
              </w:rPr>
            </w:pPr>
            <w:r w:rsidRPr="004B1BA7">
              <w:rPr>
                <w:rFonts w:cs="Arial"/>
                <w:b/>
                <w:bCs/>
                <w:sz w:val="16"/>
                <w:szCs w:val="16"/>
              </w:rPr>
              <w:t xml:space="preserve">                                                                                                                              6.326.748.673 </w:t>
            </w:r>
          </w:p>
          <w:p w:rsidR="003D54A9" w:rsidRPr="004B1BA7" w:rsidRDefault="004B1BA7" w:rsidP="004B1BA7">
            <w:pPr>
              <w:spacing w:before="100" w:beforeAutospacing="1" w:after="100" w:afterAutospacing="1" w:line="240" w:lineRule="auto"/>
              <w:rPr>
                <w:rFonts w:cs="Arial"/>
                <w:b/>
                <w:bCs/>
                <w:sz w:val="16"/>
                <w:szCs w:val="16"/>
                <w:lang w:val="es-CO" w:eastAsia="es-CO"/>
              </w:rPr>
            </w:pPr>
            <w:r w:rsidRPr="004B1BA7">
              <w:rPr>
                <w:rFonts w:cs="Arial"/>
                <w:b/>
                <w:bCs/>
                <w:sz w:val="16"/>
                <w:szCs w:val="16"/>
              </w:rPr>
              <w:t xml:space="preserve">                                                                                                                                 6.326.748.673 </w:t>
            </w:r>
          </w:p>
          <w:p w:rsidR="003D54A9" w:rsidRPr="004B1BA7" w:rsidRDefault="004B1BA7" w:rsidP="004B1BA7">
            <w:pPr>
              <w:spacing w:before="100" w:beforeAutospacing="1" w:after="100" w:afterAutospacing="1" w:line="240" w:lineRule="auto"/>
              <w:rPr>
                <w:rFonts w:cs="Arial"/>
                <w:b/>
                <w:bCs/>
                <w:sz w:val="16"/>
                <w:szCs w:val="16"/>
                <w:lang w:val="es-CO" w:eastAsia="es-CO"/>
              </w:rPr>
            </w:pPr>
            <w:r w:rsidRPr="004B1BA7">
              <w:rPr>
                <w:rFonts w:cs="Arial"/>
                <w:b/>
                <w:bCs/>
                <w:sz w:val="16"/>
                <w:szCs w:val="16"/>
              </w:rPr>
              <w:t xml:space="preserve">                                                                                                                                 6.326.748.673 </w:t>
            </w:r>
          </w:p>
          <w:p w:rsidR="003D54A9" w:rsidRPr="004B1BA7" w:rsidRDefault="003D54A9" w:rsidP="004B1BA7">
            <w:pPr>
              <w:spacing w:before="100" w:beforeAutospacing="1" w:after="100" w:afterAutospacing="1" w:line="240" w:lineRule="auto"/>
              <w:rPr>
                <w:rFonts w:eastAsia="Times New Roman" w:cs="Arial"/>
                <w:b/>
                <w:sz w:val="16"/>
                <w:szCs w:val="16"/>
                <w:lang w:val="es-CO" w:eastAsia="es-CO"/>
              </w:rPr>
            </w:pPr>
          </w:p>
        </w:tc>
      </w:tr>
    </w:tbl>
    <w:p w:rsidR="003D54A9" w:rsidRPr="004B1BA7" w:rsidRDefault="003D54A9" w:rsidP="000D29F3">
      <w:pPr>
        <w:spacing w:after="0" w:line="240" w:lineRule="auto"/>
        <w:jc w:val="both"/>
        <w:rPr>
          <w:rFonts w:cs="Arial"/>
          <w:sz w:val="16"/>
          <w:szCs w:val="16"/>
        </w:rPr>
      </w:pPr>
    </w:p>
    <w:p w:rsidR="003D54A9" w:rsidRPr="004B1BA7" w:rsidRDefault="000D29F3" w:rsidP="006339A3">
      <w:pPr>
        <w:spacing w:after="0" w:line="240" w:lineRule="auto"/>
        <w:jc w:val="center"/>
        <w:rPr>
          <w:rFonts w:cs="Arial"/>
          <w:sz w:val="16"/>
          <w:szCs w:val="16"/>
        </w:rPr>
      </w:pPr>
      <w:r w:rsidRPr="004B1BA7">
        <w:rPr>
          <w:rFonts w:cs="Arial"/>
          <w:sz w:val="16"/>
          <w:szCs w:val="16"/>
        </w:rPr>
        <w:t xml:space="preserve">Fuente: </w:t>
      </w:r>
      <w:r w:rsidR="003D54A9" w:rsidRPr="004B1BA7">
        <w:rPr>
          <w:rFonts w:cs="Arial"/>
          <w:sz w:val="16"/>
          <w:szCs w:val="16"/>
        </w:rPr>
        <w:t>Metas Sociales y Financieras, corte preliminar 31 de diciembre de 2017 y SIIF Nación–diciembre 2017</w:t>
      </w:r>
    </w:p>
    <w:p w:rsidR="000D29F3" w:rsidRPr="007608C2" w:rsidRDefault="000D29F3" w:rsidP="000D29F3">
      <w:pPr>
        <w:spacing w:after="0" w:line="240" w:lineRule="auto"/>
        <w:jc w:val="both"/>
        <w:rPr>
          <w:rFonts w:cs="Arial"/>
          <w:sz w:val="18"/>
        </w:rPr>
      </w:pPr>
    </w:p>
    <w:p w:rsidR="000D29F3" w:rsidRPr="007608C2" w:rsidRDefault="000D29F3" w:rsidP="000D29F3">
      <w:pPr>
        <w:autoSpaceDE w:val="0"/>
        <w:autoSpaceDN w:val="0"/>
        <w:adjustRightInd w:val="0"/>
        <w:spacing w:before="100" w:beforeAutospacing="1" w:after="100" w:afterAutospacing="1" w:line="240" w:lineRule="auto"/>
        <w:jc w:val="both"/>
        <w:rPr>
          <w:rFonts w:cs="Arial"/>
          <w:lang w:val="es-CO"/>
        </w:rPr>
      </w:pPr>
      <w:r w:rsidRPr="007608C2">
        <w:rPr>
          <w:rFonts w:cs="Arial"/>
          <w:lang w:val="es-CO"/>
        </w:rPr>
        <w:t>El cálculo del indicador M4-PM1-01 porcentaje de niños y niñas menores de cinco (5) años que recuperaron su estado Nutricional que se encuentran en la modalidad de Centros de Recuperación Nutricional – CRN, se realiza mensualmente; durante la ejecución de la modalidad en el mes de diciembre de 2017 indicó un 87% de mejoramiento en el estado nutricional de las niñas y los niños atendidos.</w:t>
      </w:r>
    </w:p>
    <w:p w:rsidR="000D29F3" w:rsidRPr="007608C2" w:rsidRDefault="000D29F3" w:rsidP="00A44A2B">
      <w:pPr>
        <w:numPr>
          <w:ilvl w:val="0"/>
          <w:numId w:val="65"/>
        </w:numPr>
        <w:autoSpaceDE w:val="0"/>
        <w:autoSpaceDN w:val="0"/>
        <w:adjustRightInd w:val="0"/>
        <w:spacing w:before="100" w:beforeAutospacing="1" w:after="100" w:afterAutospacing="1" w:line="240" w:lineRule="auto"/>
        <w:jc w:val="both"/>
        <w:rPr>
          <w:rFonts w:cs="Arial"/>
          <w:lang w:val="es-CO"/>
        </w:rPr>
      </w:pPr>
      <w:r w:rsidRPr="007608C2">
        <w:rPr>
          <w:rFonts w:cs="Arial"/>
          <w:b/>
          <w:lang w:val="es-CO"/>
        </w:rPr>
        <w:t xml:space="preserve">Modalidad </w:t>
      </w:r>
      <w:r w:rsidRPr="007608C2">
        <w:rPr>
          <w:rFonts w:cs="Arial"/>
          <w:b/>
          <w:i/>
          <w:lang w:val="es-CO"/>
        </w:rPr>
        <w:t>“1000 días para cambiar el mundo”</w:t>
      </w:r>
    </w:p>
    <w:p w:rsidR="000D29F3" w:rsidRPr="007608C2" w:rsidRDefault="000D29F3" w:rsidP="000D29F3">
      <w:pPr>
        <w:autoSpaceDE w:val="0"/>
        <w:autoSpaceDN w:val="0"/>
        <w:adjustRightInd w:val="0"/>
        <w:spacing w:before="100" w:beforeAutospacing="1" w:after="100" w:afterAutospacing="1" w:line="240" w:lineRule="auto"/>
        <w:jc w:val="both"/>
        <w:rPr>
          <w:rFonts w:cs="Arial"/>
          <w:lang w:val="es-CO"/>
        </w:rPr>
      </w:pPr>
      <w:r w:rsidRPr="007608C2">
        <w:rPr>
          <w:rFonts w:cs="Arial"/>
          <w:lang w:val="es-CO"/>
        </w:rPr>
        <w:t xml:space="preserve">Modalidad de atención extramural en el hogar, que atiende </w:t>
      </w:r>
      <w:r w:rsidRPr="007608C2">
        <w:rPr>
          <w:rFonts w:cs="Arial"/>
          <w:lang w:val="es-CO" w:eastAsia="es-ES"/>
        </w:rPr>
        <w:t xml:space="preserve">niñas y niños menores de 2 años con desnutrición aguda o riesgo de desnutrición aguda y mujeres gestantes con bajo peso, cuyo objetivo es contribuir al desarrollo integral de las niñas y los niños en los primeros 1.000 días de </w:t>
      </w:r>
      <w:r w:rsidRPr="007608C2">
        <w:rPr>
          <w:rFonts w:cs="Arial"/>
          <w:lang w:val="es-CO" w:eastAsia="es-ES"/>
        </w:rPr>
        <w:lastRenderedPageBreak/>
        <w:t>vida a través de acciones en alimentación y nutrición, enmarcadas en su entorno familiar, para favorecer el desarrollo de sus capacidades que permita el ejercicio y disfrute de sus derechos</w:t>
      </w:r>
      <w:r w:rsidRPr="007608C2">
        <w:rPr>
          <w:rFonts w:cs="Arial"/>
          <w:lang w:val="es-CO"/>
        </w:rPr>
        <w:t>. La atención se realiza a través de un equipo interdisciplinario integrado por un coordinador, un nutricionista, un profesional del área social, un pedagogo, un auxiliar administrativo, dos auxiliares de enfermería y cuatro gestores comunitarios para la atención de 160 beneficiarios simultáneamente, por cada unidad de servicio.</w:t>
      </w:r>
    </w:p>
    <w:p w:rsidR="000D29F3" w:rsidRPr="007608C2" w:rsidRDefault="000D29F3" w:rsidP="000D29F3">
      <w:pPr>
        <w:autoSpaceDE w:val="0"/>
        <w:autoSpaceDN w:val="0"/>
        <w:adjustRightInd w:val="0"/>
        <w:spacing w:before="100" w:beforeAutospacing="1" w:after="100" w:afterAutospacing="1" w:line="240" w:lineRule="auto"/>
        <w:jc w:val="both"/>
        <w:rPr>
          <w:rFonts w:cs="Arial"/>
          <w:lang w:val="es-CO" w:eastAsia="es-ES"/>
        </w:rPr>
      </w:pPr>
      <w:r w:rsidRPr="007608C2">
        <w:rPr>
          <w:rFonts w:cs="Arial"/>
          <w:lang w:val="es-CO" w:eastAsia="es-ES"/>
        </w:rPr>
        <w:t>Durante la vigencia 2017, se logró la contratación de 123 Unidades de</w:t>
      </w:r>
      <w:r w:rsidR="003D54A9" w:rsidRPr="007608C2">
        <w:rPr>
          <w:rFonts w:cs="Arial"/>
          <w:lang w:val="es-CO" w:eastAsia="es-ES"/>
        </w:rPr>
        <w:t xml:space="preserve"> Servicio y se atendieron </w:t>
      </w:r>
      <w:r w:rsidR="00521C27" w:rsidRPr="00521C27">
        <w:rPr>
          <w:rFonts w:cs="Arial"/>
          <w:lang w:val="es-CO" w:eastAsia="es-ES"/>
        </w:rPr>
        <w:t>18.195</w:t>
      </w:r>
      <w:r w:rsidR="00521C27" w:rsidRPr="007608C2">
        <w:rPr>
          <w:rFonts w:cs="Arial"/>
          <w:lang w:val="es-CO" w:eastAsia="es-ES"/>
        </w:rPr>
        <w:t xml:space="preserve"> usuarios</w:t>
      </w:r>
      <w:r w:rsidRPr="007608C2">
        <w:rPr>
          <w:rFonts w:cs="Arial"/>
          <w:lang w:val="es-CO" w:eastAsia="es-ES"/>
        </w:rPr>
        <w:t xml:space="preserve"> entre niñas y niños menores de 2 años con desnutrición aguda o riesgo de desnutrición aguda y mujeres gestantes con bajo peso, con una ejecución total de $ 46.476.093.725 en 287 municipios de 27 departamentos. En la actualidad se llevan a cabo mesas de trabajo en articulación con la Comisión Intersectorial de Primera Infancia para complementar las acciones definidas en la modalidad 1.000 días para cambiar el mundo, teniendo en cuenta que en ésta se brinda atención integral a niñas y niños menores de 2 años, con enfoque en alimentación y nutrición. A continuación, se presenta la ejecución de cupos y presupuesto durante 2017, en cada una de las 27 regionales:</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712"/>
        <w:gridCol w:w="911"/>
        <w:gridCol w:w="1542"/>
      </w:tblGrid>
      <w:tr w:rsidR="003D54A9" w:rsidRPr="00521C27" w:rsidTr="0014526A">
        <w:trPr>
          <w:trHeight w:hRule="exact" w:val="301"/>
          <w:tblHeader/>
          <w:jc w:val="center"/>
        </w:trPr>
        <w:tc>
          <w:tcPr>
            <w:tcW w:w="0" w:type="auto"/>
            <w:shd w:val="clear" w:color="auto" w:fill="76922E"/>
            <w:vAlign w:val="center"/>
            <w:hideMark/>
          </w:tcPr>
          <w:p w:rsidR="003D54A9" w:rsidRPr="00521C27" w:rsidRDefault="00521C27" w:rsidP="0014526A">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521C27">
              <w:rPr>
                <w:rFonts w:eastAsia="Times New Roman" w:cs="Arial"/>
                <w:b/>
                <w:bCs/>
                <w:color w:val="FFFFFF" w:themeColor="background1"/>
                <w:sz w:val="18"/>
                <w:szCs w:val="18"/>
                <w:lang w:val="es-CO" w:eastAsia="es-CO"/>
              </w:rPr>
              <w:t>Regional</w:t>
            </w:r>
          </w:p>
        </w:tc>
        <w:tc>
          <w:tcPr>
            <w:tcW w:w="0" w:type="auto"/>
            <w:shd w:val="clear" w:color="auto" w:fill="76922E"/>
            <w:vAlign w:val="center"/>
            <w:hideMark/>
          </w:tcPr>
          <w:p w:rsidR="003D54A9" w:rsidRPr="00521C27" w:rsidRDefault="00521C27" w:rsidP="0014526A">
            <w:pPr>
              <w:spacing w:before="100" w:beforeAutospacing="1" w:after="100" w:afterAutospacing="1" w:line="240" w:lineRule="auto"/>
              <w:jc w:val="center"/>
              <w:rPr>
                <w:rFonts w:eastAsia="Times New Roman" w:cs="Arial"/>
                <w:b/>
                <w:bCs/>
                <w:color w:val="FFFFFF" w:themeColor="background1"/>
                <w:sz w:val="18"/>
                <w:szCs w:val="18"/>
                <w:lang w:val="es-CO" w:eastAsia="es-CO"/>
              </w:rPr>
            </w:pPr>
            <w:r>
              <w:rPr>
                <w:rFonts w:eastAsia="Times New Roman" w:cs="Arial"/>
                <w:b/>
                <w:bCs/>
                <w:color w:val="FFFFFF" w:themeColor="background1"/>
                <w:sz w:val="18"/>
                <w:szCs w:val="18"/>
                <w:lang w:val="es-CO" w:eastAsia="es-CO"/>
              </w:rPr>
              <w:t>Atención</w:t>
            </w:r>
          </w:p>
        </w:tc>
        <w:tc>
          <w:tcPr>
            <w:tcW w:w="0" w:type="auto"/>
            <w:shd w:val="clear" w:color="auto" w:fill="76922E"/>
            <w:vAlign w:val="center"/>
            <w:hideMark/>
          </w:tcPr>
          <w:p w:rsidR="003D54A9" w:rsidRPr="00521C27" w:rsidRDefault="00521C27" w:rsidP="0014526A">
            <w:pPr>
              <w:spacing w:before="100" w:beforeAutospacing="1" w:after="100" w:afterAutospacing="1" w:line="240" w:lineRule="auto"/>
              <w:jc w:val="center"/>
              <w:rPr>
                <w:rFonts w:eastAsia="Times New Roman" w:cs="Arial"/>
                <w:b/>
                <w:bCs/>
                <w:color w:val="FFFFFF" w:themeColor="background1"/>
                <w:sz w:val="18"/>
                <w:szCs w:val="18"/>
                <w:lang w:val="es-CO" w:eastAsia="es-CO"/>
              </w:rPr>
            </w:pPr>
            <w:r>
              <w:rPr>
                <w:rFonts w:eastAsia="Times New Roman" w:cs="Arial"/>
                <w:b/>
                <w:bCs/>
                <w:color w:val="FFFFFF" w:themeColor="background1"/>
                <w:sz w:val="18"/>
                <w:szCs w:val="18"/>
                <w:lang w:val="es-CO" w:eastAsia="es-CO"/>
              </w:rPr>
              <w:t>Valor</w:t>
            </w:r>
          </w:p>
        </w:tc>
      </w:tr>
      <w:tr w:rsidR="003D54A9" w:rsidRPr="00521C27" w:rsidTr="0014526A">
        <w:trPr>
          <w:trHeight w:hRule="exact" w:val="301"/>
          <w:jc w:val="center"/>
        </w:trPr>
        <w:tc>
          <w:tcPr>
            <w:tcW w:w="0" w:type="auto"/>
            <w:shd w:val="clear" w:color="auto" w:fill="auto"/>
            <w:noWrap/>
            <w:vAlign w:val="bottom"/>
          </w:tcPr>
          <w:p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Antioquia</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14</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$ 408.387.360</w:t>
            </w:r>
          </w:p>
        </w:tc>
      </w:tr>
      <w:tr w:rsidR="003D54A9" w:rsidRPr="00521C27" w:rsidTr="0014526A">
        <w:trPr>
          <w:trHeight w:hRule="exact" w:val="301"/>
          <w:jc w:val="center"/>
        </w:trPr>
        <w:tc>
          <w:tcPr>
            <w:tcW w:w="0" w:type="auto"/>
            <w:shd w:val="clear" w:color="auto" w:fill="auto"/>
            <w:noWrap/>
            <w:vAlign w:val="bottom"/>
          </w:tcPr>
          <w:p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Amazonas</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480</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$ 1.619.831.359</w:t>
            </w:r>
          </w:p>
        </w:tc>
      </w:tr>
      <w:tr w:rsidR="003D54A9" w:rsidRPr="00521C27" w:rsidTr="0014526A">
        <w:trPr>
          <w:trHeight w:hRule="exact" w:val="301"/>
          <w:jc w:val="center"/>
        </w:trPr>
        <w:tc>
          <w:tcPr>
            <w:tcW w:w="0" w:type="auto"/>
            <w:shd w:val="clear" w:color="auto" w:fill="auto"/>
            <w:noWrap/>
            <w:vAlign w:val="bottom"/>
          </w:tcPr>
          <w:p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Arauca</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160</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$ 349.972.372</w:t>
            </w:r>
          </w:p>
        </w:tc>
      </w:tr>
      <w:tr w:rsidR="003D54A9" w:rsidRPr="00521C27" w:rsidTr="0014526A">
        <w:trPr>
          <w:trHeight w:hRule="exact" w:val="301"/>
          <w:jc w:val="center"/>
        </w:trPr>
        <w:tc>
          <w:tcPr>
            <w:tcW w:w="0" w:type="auto"/>
            <w:shd w:val="clear" w:color="auto" w:fill="auto"/>
            <w:noWrap/>
            <w:vAlign w:val="bottom"/>
          </w:tcPr>
          <w:p w:rsidR="003D54A9" w:rsidRPr="00521C27" w:rsidRDefault="0014526A" w:rsidP="003D54A9">
            <w:pPr>
              <w:spacing w:before="100" w:beforeAutospacing="1" w:after="100" w:afterAutospacing="1" w:line="240" w:lineRule="auto"/>
              <w:jc w:val="both"/>
              <w:rPr>
                <w:rFonts w:cs="Arial"/>
                <w:sz w:val="18"/>
                <w:szCs w:val="18"/>
              </w:rPr>
            </w:pPr>
            <w:r w:rsidRPr="00521C27">
              <w:rPr>
                <w:rFonts w:cs="Arial"/>
                <w:sz w:val="18"/>
                <w:szCs w:val="18"/>
              </w:rPr>
              <w:t>Atlántico</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320</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$ 784.830.587</w:t>
            </w:r>
          </w:p>
        </w:tc>
      </w:tr>
      <w:tr w:rsidR="003D54A9" w:rsidRPr="00521C27" w:rsidTr="0014526A">
        <w:trPr>
          <w:trHeight w:hRule="exact" w:val="301"/>
          <w:jc w:val="center"/>
        </w:trPr>
        <w:tc>
          <w:tcPr>
            <w:tcW w:w="0" w:type="auto"/>
            <w:shd w:val="clear" w:color="auto" w:fill="auto"/>
            <w:noWrap/>
            <w:vAlign w:val="bottom"/>
          </w:tcPr>
          <w:p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Bolivar</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1.440</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$ 3.643.523.425</w:t>
            </w:r>
          </w:p>
        </w:tc>
      </w:tr>
      <w:tr w:rsidR="003D54A9" w:rsidRPr="00521C27" w:rsidTr="0014526A">
        <w:trPr>
          <w:trHeight w:hRule="exact" w:val="301"/>
          <w:jc w:val="center"/>
        </w:trPr>
        <w:tc>
          <w:tcPr>
            <w:tcW w:w="0" w:type="auto"/>
            <w:shd w:val="clear" w:color="auto" w:fill="auto"/>
            <w:noWrap/>
            <w:vAlign w:val="bottom"/>
          </w:tcPr>
          <w:p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Caldas</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320</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$ 811.520.324</w:t>
            </w:r>
          </w:p>
        </w:tc>
      </w:tr>
      <w:tr w:rsidR="003D54A9" w:rsidRPr="00521C27" w:rsidTr="0014526A">
        <w:trPr>
          <w:trHeight w:hRule="exact" w:val="301"/>
          <w:jc w:val="center"/>
        </w:trPr>
        <w:tc>
          <w:tcPr>
            <w:tcW w:w="0" w:type="auto"/>
            <w:shd w:val="clear" w:color="auto" w:fill="auto"/>
            <w:noWrap/>
            <w:vAlign w:val="bottom"/>
          </w:tcPr>
          <w:p w:rsidR="003D54A9" w:rsidRPr="00521C27" w:rsidRDefault="0014526A" w:rsidP="003D54A9">
            <w:pPr>
              <w:spacing w:before="100" w:beforeAutospacing="1" w:after="100" w:afterAutospacing="1" w:line="240" w:lineRule="auto"/>
              <w:jc w:val="both"/>
              <w:rPr>
                <w:rFonts w:cs="Arial"/>
                <w:sz w:val="18"/>
                <w:szCs w:val="18"/>
              </w:rPr>
            </w:pPr>
            <w:r w:rsidRPr="00521C27">
              <w:rPr>
                <w:rFonts w:cs="Arial"/>
                <w:sz w:val="18"/>
                <w:szCs w:val="18"/>
              </w:rPr>
              <w:t>Caquetá</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640</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$ 1.780.592.564</w:t>
            </w:r>
          </w:p>
        </w:tc>
      </w:tr>
      <w:tr w:rsidR="003D54A9" w:rsidRPr="00521C27" w:rsidTr="0014526A">
        <w:trPr>
          <w:trHeight w:hRule="exact" w:val="301"/>
          <w:jc w:val="center"/>
        </w:trPr>
        <w:tc>
          <w:tcPr>
            <w:tcW w:w="0" w:type="auto"/>
            <w:shd w:val="clear" w:color="auto" w:fill="auto"/>
            <w:noWrap/>
            <w:vAlign w:val="bottom"/>
          </w:tcPr>
          <w:p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Casanare</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160</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$ 422.938.406</w:t>
            </w:r>
          </w:p>
        </w:tc>
      </w:tr>
      <w:tr w:rsidR="003D54A9" w:rsidRPr="00521C27" w:rsidTr="0014526A">
        <w:trPr>
          <w:trHeight w:hRule="exact" w:val="301"/>
          <w:jc w:val="center"/>
        </w:trPr>
        <w:tc>
          <w:tcPr>
            <w:tcW w:w="0" w:type="auto"/>
            <w:shd w:val="clear" w:color="auto" w:fill="auto"/>
            <w:noWrap/>
            <w:vAlign w:val="bottom"/>
          </w:tcPr>
          <w:p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Cauca</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799</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$ 2.232.213.737</w:t>
            </w:r>
          </w:p>
        </w:tc>
      </w:tr>
      <w:tr w:rsidR="003D54A9" w:rsidRPr="00521C27" w:rsidTr="0014526A">
        <w:trPr>
          <w:trHeight w:hRule="exact" w:val="301"/>
          <w:jc w:val="center"/>
        </w:trPr>
        <w:tc>
          <w:tcPr>
            <w:tcW w:w="0" w:type="auto"/>
            <w:shd w:val="clear" w:color="auto" w:fill="auto"/>
            <w:noWrap/>
            <w:vAlign w:val="bottom"/>
          </w:tcPr>
          <w:p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Cesar</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960</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$ 2.455.696.262</w:t>
            </w:r>
          </w:p>
        </w:tc>
      </w:tr>
      <w:tr w:rsidR="003D54A9" w:rsidRPr="00521C27" w:rsidTr="0014526A">
        <w:trPr>
          <w:trHeight w:hRule="exact" w:val="301"/>
          <w:jc w:val="center"/>
        </w:trPr>
        <w:tc>
          <w:tcPr>
            <w:tcW w:w="0" w:type="auto"/>
            <w:shd w:val="clear" w:color="auto" w:fill="auto"/>
            <w:noWrap/>
            <w:vAlign w:val="bottom"/>
          </w:tcPr>
          <w:p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Choco</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1.762</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$ 4.505.176.960</w:t>
            </w:r>
          </w:p>
        </w:tc>
      </w:tr>
      <w:tr w:rsidR="003D54A9" w:rsidRPr="00521C27" w:rsidTr="0014526A">
        <w:trPr>
          <w:trHeight w:hRule="exact" w:val="301"/>
          <w:jc w:val="center"/>
        </w:trPr>
        <w:tc>
          <w:tcPr>
            <w:tcW w:w="0" w:type="auto"/>
            <w:shd w:val="clear" w:color="auto" w:fill="auto"/>
            <w:noWrap/>
            <w:vAlign w:val="bottom"/>
          </w:tcPr>
          <w:p w:rsidR="003D54A9" w:rsidRPr="00521C27" w:rsidRDefault="0014526A" w:rsidP="003D54A9">
            <w:pPr>
              <w:spacing w:before="100" w:beforeAutospacing="1" w:after="100" w:afterAutospacing="1" w:line="240" w:lineRule="auto"/>
              <w:jc w:val="both"/>
              <w:rPr>
                <w:rFonts w:cs="Arial"/>
                <w:sz w:val="18"/>
                <w:szCs w:val="18"/>
              </w:rPr>
            </w:pPr>
            <w:r w:rsidRPr="00521C27">
              <w:rPr>
                <w:rFonts w:cs="Arial"/>
                <w:sz w:val="18"/>
                <w:szCs w:val="18"/>
              </w:rPr>
              <w:t>Córdoba</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960</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 xml:space="preserve">$ 2.702.207.082 </w:t>
            </w:r>
          </w:p>
        </w:tc>
      </w:tr>
      <w:tr w:rsidR="003D54A9" w:rsidRPr="00521C27" w:rsidTr="0014526A">
        <w:trPr>
          <w:trHeight w:hRule="exact" w:val="301"/>
          <w:jc w:val="center"/>
        </w:trPr>
        <w:tc>
          <w:tcPr>
            <w:tcW w:w="0" w:type="auto"/>
            <w:shd w:val="clear" w:color="auto" w:fill="auto"/>
            <w:noWrap/>
            <w:vAlign w:val="bottom"/>
          </w:tcPr>
          <w:p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Cundinamarca</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473</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1.084.599.810</w:t>
            </w:r>
          </w:p>
        </w:tc>
      </w:tr>
      <w:tr w:rsidR="003D54A9" w:rsidRPr="00521C27" w:rsidTr="0014526A">
        <w:trPr>
          <w:trHeight w:hRule="exact" w:val="301"/>
          <w:jc w:val="center"/>
        </w:trPr>
        <w:tc>
          <w:tcPr>
            <w:tcW w:w="0" w:type="auto"/>
            <w:shd w:val="clear" w:color="auto" w:fill="auto"/>
            <w:noWrap/>
            <w:vAlign w:val="bottom"/>
          </w:tcPr>
          <w:p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Guaviare</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148</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367.036.777</w:t>
            </w:r>
          </w:p>
        </w:tc>
      </w:tr>
      <w:tr w:rsidR="003D54A9" w:rsidRPr="00521C27" w:rsidTr="0014526A">
        <w:trPr>
          <w:trHeight w:hRule="exact" w:val="301"/>
          <w:jc w:val="center"/>
        </w:trPr>
        <w:tc>
          <w:tcPr>
            <w:tcW w:w="0" w:type="auto"/>
            <w:shd w:val="clear" w:color="auto" w:fill="auto"/>
            <w:noWrap/>
            <w:vAlign w:val="bottom"/>
          </w:tcPr>
          <w:p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Huila</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320</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811.176.647</w:t>
            </w:r>
          </w:p>
        </w:tc>
      </w:tr>
      <w:tr w:rsidR="003D54A9" w:rsidRPr="00521C27" w:rsidTr="0014526A">
        <w:trPr>
          <w:trHeight w:hRule="exact" w:val="301"/>
          <w:jc w:val="center"/>
        </w:trPr>
        <w:tc>
          <w:tcPr>
            <w:tcW w:w="0" w:type="auto"/>
            <w:shd w:val="clear" w:color="auto" w:fill="auto"/>
            <w:noWrap/>
            <w:vAlign w:val="bottom"/>
          </w:tcPr>
          <w:p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La Guajira</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2.240</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3.443.416.561</w:t>
            </w:r>
          </w:p>
        </w:tc>
      </w:tr>
      <w:tr w:rsidR="003D54A9" w:rsidRPr="00521C27" w:rsidTr="0014526A">
        <w:trPr>
          <w:trHeight w:hRule="exact" w:val="301"/>
          <w:jc w:val="center"/>
        </w:trPr>
        <w:tc>
          <w:tcPr>
            <w:tcW w:w="0" w:type="auto"/>
            <w:shd w:val="clear" w:color="auto" w:fill="auto"/>
            <w:noWrap/>
            <w:vAlign w:val="bottom"/>
          </w:tcPr>
          <w:p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Magdalena</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1.120</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2.459.452.497</w:t>
            </w:r>
          </w:p>
        </w:tc>
      </w:tr>
      <w:tr w:rsidR="003D54A9" w:rsidRPr="00521C27" w:rsidTr="0014526A">
        <w:trPr>
          <w:trHeight w:hRule="exact" w:val="301"/>
          <w:jc w:val="center"/>
        </w:trPr>
        <w:tc>
          <w:tcPr>
            <w:tcW w:w="0" w:type="auto"/>
            <w:shd w:val="clear" w:color="auto" w:fill="auto"/>
            <w:noWrap/>
            <w:vAlign w:val="bottom"/>
          </w:tcPr>
          <w:p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Meta</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1.204</w:t>
            </w:r>
          </w:p>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202</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3.193.927.563</w:t>
            </w:r>
          </w:p>
        </w:tc>
      </w:tr>
      <w:tr w:rsidR="003D54A9" w:rsidRPr="00521C27" w:rsidTr="0014526A">
        <w:trPr>
          <w:trHeight w:hRule="exact" w:val="301"/>
          <w:jc w:val="center"/>
        </w:trPr>
        <w:tc>
          <w:tcPr>
            <w:tcW w:w="0" w:type="auto"/>
            <w:shd w:val="clear" w:color="auto" w:fill="auto"/>
            <w:noWrap/>
            <w:vAlign w:val="bottom"/>
          </w:tcPr>
          <w:p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Nariño</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1.036</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2.650.366.352</w:t>
            </w:r>
          </w:p>
        </w:tc>
      </w:tr>
      <w:tr w:rsidR="003D54A9" w:rsidRPr="00521C27" w:rsidTr="0014526A">
        <w:trPr>
          <w:trHeight w:hRule="exact" w:val="301"/>
          <w:jc w:val="center"/>
        </w:trPr>
        <w:tc>
          <w:tcPr>
            <w:tcW w:w="0" w:type="auto"/>
            <w:shd w:val="clear" w:color="auto" w:fill="auto"/>
            <w:noWrap/>
            <w:vAlign w:val="bottom"/>
          </w:tcPr>
          <w:p w:rsidR="003D54A9" w:rsidRPr="00521C27" w:rsidRDefault="0014526A" w:rsidP="003D54A9">
            <w:pPr>
              <w:spacing w:before="100" w:beforeAutospacing="1" w:after="100" w:afterAutospacing="1" w:line="240" w:lineRule="auto"/>
              <w:jc w:val="both"/>
              <w:rPr>
                <w:rFonts w:cs="Arial"/>
                <w:sz w:val="18"/>
                <w:szCs w:val="18"/>
              </w:rPr>
            </w:pPr>
            <w:r>
              <w:rPr>
                <w:rFonts w:cs="Arial"/>
                <w:sz w:val="18"/>
                <w:szCs w:val="18"/>
              </w:rPr>
              <w:t>Norte d</w:t>
            </w:r>
            <w:r w:rsidR="00521C27" w:rsidRPr="00521C27">
              <w:rPr>
                <w:rFonts w:cs="Arial"/>
                <w:sz w:val="18"/>
                <w:szCs w:val="18"/>
              </w:rPr>
              <w:t>e Santander</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1.504.428.535</w:t>
            </w:r>
          </w:p>
        </w:tc>
      </w:tr>
      <w:tr w:rsidR="003D54A9" w:rsidRPr="00521C27" w:rsidTr="0014526A">
        <w:trPr>
          <w:trHeight w:hRule="exact" w:val="301"/>
          <w:jc w:val="center"/>
        </w:trPr>
        <w:tc>
          <w:tcPr>
            <w:tcW w:w="0" w:type="auto"/>
            <w:shd w:val="clear" w:color="auto" w:fill="auto"/>
            <w:noWrap/>
            <w:vAlign w:val="bottom"/>
          </w:tcPr>
          <w:p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Putumayo</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640</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1.717.157.534</w:t>
            </w:r>
          </w:p>
        </w:tc>
      </w:tr>
      <w:tr w:rsidR="003D54A9" w:rsidRPr="00521C27" w:rsidTr="0014526A">
        <w:trPr>
          <w:trHeight w:hRule="exact" w:val="301"/>
          <w:jc w:val="center"/>
        </w:trPr>
        <w:tc>
          <w:tcPr>
            <w:tcW w:w="0" w:type="auto"/>
            <w:shd w:val="clear" w:color="auto" w:fill="auto"/>
            <w:noWrap/>
            <w:vAlign w:val="bottom"/>
          </w:tcPr>
          <w:p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Risaralda</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320</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812.507.183</w:t>
            </w:r>
          </w:p>
        </w:tc>
      </w:tr>
      <w:tr w:rsidR="003D54A9" w:rsidRPr="00521C27" w:rsidTr="0014526A">
        <w:trPr>
          <w:trHeight w:hRule="exact" w:val="301"/>
          <w:jc w:val="center"/>
        </w:trPr>
        <w:tc>
          <w:tcPr>
            <w:tcW w:w="0" w:type="auto"/>
            <w:shd w:val="clear" w:color="auto" w:fill="auto"/>
            <w:noWrap/>
            <w:vAlign w:val="bottom"/>
          </w:tcPr>
          <w:p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Sucre</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760</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1.925.957.246</w:t>
            </w:r>
          </w:p>
        </w:tc>
      </w:tr>
      <w:tr w:rsidR="003D54A9" w:rsidRPr="00521C27" w:rsidTr="0014526A">
        <w:trPr>
          <w:trHeight w:hRule="exact" w:val="301"/>
          <w:jc w:val="center"/>
        </w:trPr>
        <w:tc>
          <w:tcPr>
            <w:tcW w:w="0" w:type="auto"/>
            <w:shd w:val="clear" w:color="auto" w:fill="auto"/>
            <w:noWrap/>
            <w:vAlign w:val="bottom"/>
          </w:tcPr>
          <w:p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lastRenderedPageBreak/>
              <w:t>Tolima</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480</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993.471.685</w:t>
            </w:r>
          </w:p>
        </w:tc>
      </w:tr>
      <w:tr w:rsidR="003D54A9" w:rsidRPr="00521C27" w:rsidTr="0014526A">
        <w:trPr>
          <w:trHeight w:hRule="exact" w:val="301"/>
          <w:jc w:val="center"/>
        </w:trPr>
        <w:tc>
          <w:tcPr>
            <w:tcW w:w="0" w:type="auto"/>
            <w:shd w:val="clear" w:color="auto" w:fill="auto"/>
            <w:noWrap/>
            <w:vAlign w:val="bottom"/>
          </w:tcPr>
          <w:p w:rsidR="003D54A9" w:rsidRPr="00521C27" w:rsidRDefault="0014526A" w:rsidP="003D54A9">
            <w:pPr>
              <w:spacing w:before="100" w:beforeAutospacing="1" w:after="100" w:afterAutospacing="1" w:line="240" w:lineRule="auto"/>
              <w:jc w:val="both"/>
              <w:rPr>
                <w:rFonts w:cs="Arial"/>
                <w:sz w:val="18"/>
                <w:szCs w:val="18"/>
              </w:rPr>
            </w:pPr>
            <w:r>
              <w:rPr>
                <w:rFonts w:cs="Arial"/>
                <w:sz w:val="18"/>
                <w:szCs w:val="18"/>
              </w:rPr>
              <w:t>Valle d</w:t>
            </w:r>
            <w:r w:rsidR="00521C27" w:rsidRPr="00521C27">
              <w:rPr>
                <w:rFonts w:cs="Arial"/>
                <w:sz w:val="18"/>
                <w:szCs w:val="18"/>
              </w:rPr>
              <w:t>el Cauca</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640</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1.515.100.054</w:t>
            </w:r>
          </w:p>
        </w:tc>
      </w:tr>
      <w:tr w:rsidR="003D54A9" w:rsidRPr="00521C27" w:rsidTr="0014526A">
        <w:trPr>
          <w:trHeight w:hRule="exact" w:val="301"/>
          <w:jc w:val="center"/>
        </w:trPr>
        <w:tc>
          <w:tcPr>
            <w:tcW w:w="0" w:type="auto"/>
            <w:shd w:val="clear" w:color="auto" w:fill="auto"/>
            <w:noWrap/>
            <w:vAlign w:val="bottom"/>
          </w:tcPr>
          <w:p w:rsidR="003D54A9" w:rsidRPr="00521C27" w:rsidRDefault="0014526A" w:rsidP="003D54A9">
            <w:pPr>
              <w:spacing w:before="100" w:beforeAutospacing="1" w:after="100" w:afterAutospacing="1" w:line="240" w:lineRule="auto"/>
              <w:jc w:val="both"/>
              <w:rPr>
                <w:rFonts w:cs="Arial"/>
                <w:sz w:val="18"/>
                <w:szCs w:val="18"/>
              </w:rPr>
            </w:pPr>
            <w:r w:rsidRPr="00521C27">
              <w:rPr>
                <w:rFonts w:cs="Arial"/>
                <w:sz w:val="18"/>
                <w:szCs w:val="18"/>
              </w:rPr>
              <w:t>Vaupés</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320</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834.710.925</w:t>
            </w:r>
          </w:p>
        </w:tc>
      </w:tr>
      <w:tr w:rsidR="003D54A9" w:rsidRPr="00521C27" w:rsidTr="0014526A">
        <w:trPr>
          <w:trHeight w:hRule="exact" w:val="301"/>
          <w:jc w:val="center"/>
        </w:trPr>
        <w:tc>
          <w:tcPr>
            <w:tcW w:w="0" w:type="auto"/>
            <w:shd w:val="clear" w:color="auto" w:fill="auto"/>
            <w:noWrap/>
            <w:vAlign w:val="bottom"/>
          </w:tcPr>
          <w:p w:rsidR="003D54A9" w:rsidRPr="00521C27" w:rsidRDefault="00521C27" w:rsidP="003D54A9">
            <w:pPr>
              <w:spacing w:before="100" w:beforeAutospacing="1" w:after="100" w:afterAutospacing="1" w:line="240" w:lineRule="auto"/>
              <w:jc w:val="both"/>
              <w:rPr>
                <w:rFonts w:cs="Arial"/>
                <w:sz w:val="18"/>
                <w:szCs w:val="18"/>
              </w:rPr>
            </w:pPr>
            <w:r w:rsidRPr="00521C27">
              <w:rPr>
                <w:rFonts w:cs="Arial"/>
                <w:sz w:val="18"/>
                <w:szCs w:val="18"/>
              </w:rPr>
              <w:t>Vichada</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479</w:t>
            </w:r>
          </w:p>
        </w:tc>
        <w:tc>
          <w:tcPr>
            <w:tcW w:w="0" w:type="auto"/>
            <w:shd w:val="clear" w:color="auto" w:fill="auto"/>
            <w:noWrap/>
            <w:vAlign w:val="bottom"/>
          </w:tcPr>
          <w:p w:rsidR="003D54A9" w:rsidRPr="00521C27" w:rsidRDefault="003D54A9" w:rsidP="003D54A9">
            <w:pPr>
              <w:spacing w:before="100" w:beforeAutospacing="1" w:after="100" w:afterAutospacing="1" w:line="240" w:lineRule="auto"/>
              <w:jc w:val="right"/>
              <w:rPr>
                <w:rFonts w:cs="Arial"/>
                <w:sz w:val="18"/>
                <w:szCs w:val="18"/>
              </w:rPr>
            </w:pPr>
            <w:r w:rsidRPr="00521C27">
              <w:rPr>
                <w:rFonts w:cs="Arial"/>
                <w:sz w:val="18"/>
                <w:szCs w:val="18"/>
              </w:rPr>
              <w:t>1.445.893.918</w:t>
            </w:r>
          </w:p>
        </w:tc>
      </w:tr>
      <w:tr w:rsidR="003D54A9" w:rsidRPr="00521C27" w:rsidTr="0014526A">
        <w:trPr>
          <w:trHeight w:hRule="exact" w:val="301"/>
          <w:jc w:val="center"/>
        </w:trPr>
        <w:tc>
          <w:tcPr>
            <w:tcW w:w="0" w:type="auto"/>
            <w:shd w:val="clear" w:color="auto" w:fill="E2EFDA"/>
            <w:noWrap/>
            <w:vAlign w:val="bottom"/>
          </w:tcPr>
          <w:p w:rsidR="003D54A9" w:rsidRPr="00521C27" w:rsidRDefault="00521C27" w:rsidP="003D54A9">
            <w:pPr>
              <w:spacing w:after="0" w:line="240" w:lineRule="auto"/>
              <w:jc w:val="both"/>
              <w:rPr>
                <w:rFonts w:eastAsia="Times New Roman" w:cs="Arial"/>
                <w:b/>
                <w:sz w:val="18"/>
                <w:szCs w:val="18"/>
                <w:lang w:val="es-CO" w:eastAsia="es-CO"/>
              </w:rPr>
            </w:pPr>
            <w:r w:rsidRPr="00521C27">
              <w:rPr>
                <w:rFonts w:eastAsia="Times New Roman" w:cs="Arial"/>
                <w:b/>
                <w:sz w:val="18"/>
                <w:szCs w:val="18"/>
                <w:lang w:val="es-CO" w:eastAsia="es-CO"/>
              </w:rPr>
              <w:t>Total</w:t>
            </w:r>
          </w:p>
        </w:tc>
        <w:tc>
          <w:tcPr>
            <w:tcW w:w="0" w:type="auto"/>
            <w:shd w:val="clear" w:color="auto" w:fill="E2EFDA"/>
            <w:noWrap/>
            <w:vAlign w:val="bottom"/>
          </w:tcPr>
          <w:p w:rsidR="003D54A9" w:rsidRPr="00521C27" w:rsidRDefault="003D54A9" w:rsidP="003D54A9">
            <w:pPr>
              <w:spacing w:after="0" w:line="240" w:lineRule="auto"/>
              <w:jc w:val="right"/>
              <w:rPr>
                <w:rFonts w:eastAsia="Times New Roman" w:cs="Arial"/>
                <w:b/>
                <w:sz w:val="18"/>
                <w:szCs w:val="18"/>
                <w:lang w:val="es-CO" w:eastAsia="es-CO"/>
              </w:rPr>
            </w:pPr>
            <w:r w:rsidRPr="00521C27">
              <w:rPr>
                <w:rFonts w:eastAsia="Times New Roman" w:cs="Arial"/>
                <w:b/>
                <w:sz w:val="18"/>
                <w:szCs w:val="18"/>
                <w:lang w:val="es-CO" w:eastAsia="es-CO"/>
              </w:rPr>
              <w:t>18.195</w:t>
            </w:r>
          </w:p>
        </w:tc>
        <w:tc>
          <w:tcPr>
            <w:tcW w:w="0" w:type="auto"/>
            <w:shd w:val="clear" w:color="auto" w:fill="E2EFDA"/>
            <w:noWrap/>
            <w:vAlign w:val="bottom"/>
          </w:tcPr>
          <w:p w:rsidR="003D54A9" w:rsidRPr="00521C27" w:rsidRDefault="003D54A9" w:rsidP="003D54A9">
            <w:pPr>
              <w:spacing w:after="0" w:line="240" w:lineRule="auto"/>
              <w:jc w:val="right"/>
              <w:rPr>
                <w:rFonts w:eastAsia="Times New Roman" w:cs="Arial"/>
                <w:b/>
                <w:sz w:val="18"/>
                <w:szCs w:val="18"/>
                <w:lang w:val="es-CO" w:eastAsia="es-CO"/>
              </w:rPr>
            </w:pPr>
            <w:r w:rsidRPr="00521C27">
              <w:rPr>
                <w:rFonts w:eastAsia="Times New Roman" w:cs="Arial"/>
                <w:b/>
                <w:sz w:val="18"/>
                <w:szCs w:val="18"/>
                <w:lang w:val="es-CO" w:eastAsia="es-CO"/>
              </w:rPr>
              <w:t>$ 46.476.093.725</w:t>
            </w:r>
          </w:p>
        </w:tc>
      </w:tr>
    </w:tbl>
    <w:p w:rsidR="000D29F3" w:rsidRPr="0014526A" w:rsidRDefault="000D29F3" w:rsidP="0014526A">
      <w:pPr>
        <w:tabs>
          <w:tab w:val="left" w:pos="7410"/>
        </w:tabs>
        <w:spacing w:after="0" w:line="240" w:lineRule="auto"/>
        <w:jc w:val="center"/>
        <w:rPr>
          <w:rFonts w:cs="Arial"/>
          <w:sz w:val="16"/>
          <w:szCs w:val="16"/>
        </w:rPr>
      </w:pPr>
      <w:r w:rsidRPr="0014526A">
        <w:rPr>
          <w:rFonts w:cs="Arial"/>
          <w:b/>
          <w:sz w:val="16"/>
          <w:szCs w:val="16"/>
        </w:rPr>
        <w:t>Fuente:</w:t>
      </w:r>
      <w:r w:rsidRPr="0014526A">
        <w:rPr>
          <w:rFonts w:cs="Arial"/>
          <w:sz w:val="16"/>
          <w:szCs w:val="16"/>
        </w:rPr>
        <w:t xml:space="preserve"> Programación vigente de Metas Sociales y Financieras –diciembre 2017</w:t>
      </w:r>
    </w:p>
    <w:p w:rsidR="000D29F3" w:rsidRPr="007608C2" w:rsidRDefault="000D29F3" w:rsidP="000D29F3">
      <w:pPr>
        <w:spacing w:before="100" w:beforeAutospacing="1" w:after="100" w:afterAutospacing="1" w:line="240" w:lineRule="auto"/>
        <w:jc w:val="both"/>
        <w:rPr>
          <w:rFonts w:cs="Arial"/>
        </w:rPr>
      </w:pPr>
      <w:r w:rsidRPr="007608C2">
        <w:rPr>
          <w:rFonts w:cs="Arial"/>
        </w:rPr>
        <w:t>Los resultados logrados durante la ejecución de la modalidad en la vigencia 2017 indican un 80% de mejoramiento en el estado nutricional de las niñas y los niños atendidos, así como, 50% de mejoramiento en el estado nutricional de las mujeres gestantes.</w:t>
      </w:r>
    </w:p>
    <w:p w:rsidR="000D29F3" w:rsidRPr="007608C2" w:rsidRDefault="000D29F3" w:rsidP="000D29F3">
      <w:pPr>
        <w:spacing w:before="100" w:beforeAutospacing="1" w:after="100" w:afterAutospacing="1" w:line="240" w:lineRule="auto"/>
        <w:jc w:val="both"/>
        <w:rPr>
          <w:rFonts w:cs="Arial"/>
        </w:rPr>
      </w:pPr>
      <w:r w:rsidRPr="007608C2">
        <w:rPr>
          <w:rFonts w:cs="Arial"/>
        </w:rPr>
        <w:t>A partir del mes de diciembre de 2017 se inició la nueva contratación con vigencias futuras, con la suscripción de 56 nuevos contratos cuyo plazo de ejecución es el 31 de julio de 2018. Con estos, se proyecta atender 19.840 usuarios entre niñas, niños y mujeres gestantes, distribuidos en 124 Unidades de Servicio de 28 departamentos.</w:t>
      </w:r>
    </w:p>
    <w:p w:rsidR="000D29F3" w:rsidRPr="007608C2" w:rsidRDefault="000D29F3" w:rsidP="00A44A2B">
      <w:pPr>
        <w:numPr>
          <w:ilvl w:val="0"/>
          <w:numId w:val="65"/>
        </w:numPr>
        <w:spacing w:before="100" w:beforeAutospacing="1" w:after="100" w:afterAutospacing="1" w:line="240" w:lineRule="auto"/>
        <w:jc w:val="both"/>
        <w:rPr>
          <w:rFonts w:cs="Arial"/>
        </w:rPr>
      </w:pPr>
      <w:r w:rsidRPr="007608C2">
        <w:rPr>
          <w:rFonts w:cs="Arial"/>
          <w:b/>
        </w:rPr>
        <w:t>Servicio Complementario para las Niñas y Niños con Desnutrición Aguda y Riesgo de Desnutrición Aguda de Primera Infancia</w:t>
      </w:r>
    </w:p>
    <w:p w:rsidR="000D29F3" w:rsidRPr="007608C2" w:rsidRDefault="000D29F3" w:rsidP="000D29F3">
      <w:pPr>
        <w:spacing w:before="100" w:beforeAutospacing="1" w:after="100" w:afterAutospacing="1" w:line="240" w:lineRule="auto"/>
        <w:jc w:val="both"/>
        <w:rPr>
          <w:rFonts w:cs="Arial"/>
        </w:rPr>
      </w:pPr>
      <w:r w:rsidRPr="007608C2">
        <w:rPr>
          <w:rFonts w:cs="Arial"/>
        </w:rPr>
        <w:t>Teniendo en cuenta que en los servicios de Primera Infancia del ICBF se han identificado usuarios que presentan clasificación nutricional de desnutrición aguda o riesgo de desnutrición aguda, con prevalencia de 1,3% y 5,7% respectivamente</w:t>
      </w:r>
      <w:r w:rsidRPr="007608C2">
        <w:rPr>
          <w:rFonts w:eastAsia="Times New Roman" w:cs="Arial"/>
          <w:vertAlign w:val="superscript"/>
          <w:lang w:val="es-CO"/>
        </w:rPr>
        <w:footnoteReference w:id="4"/>
      </w:r>
      <w:r w:rsidRPr="007608C2">
        <w:rPr>
          <w:rFonts w:cs="Arial"/>
        </w:rPr>
        <w:t>, los cuales requieren una intervención especializada que les permita la recuperación o mejoramiento de su estado nutricional; desde las Direcciones de Nutrición y Primera Infancia, se crea la necesidad de implementar un nuevo servicio complementario de atención para esta población.</w:t>
      </w:r>
    </w:p>
    <w:p w:rsidR="000D29F3" w:rsidRPr="007608C2" w:rsidRDefault="000D29F3" w:rsidP="000D29F3">
      <w:pPr>
        <w:spacing w:before="100" w:beforeAutospacing="1" w:after="100" w:afterAutospacing="1" w:line="240" w:lineRule="auto"/>
        <w:jc w:val="both"/>
        <w:rPr>
          <w:rFonts w:cs="Arial"/>
        </w:rPr>
      </w:pPr>
      <w:r w:rsidRPr="007608C2">
        <w:rPr>
          <w:rFonts w:cs="Arial"/>
        </w:rPr>
        <w:t>El servicio complementario para las niñas y niños con desnutrición aguda y riesgo de desnutrición aguda de Primera Infancia se enmarca en el suministro de un alimento listo para el consumo, especializado en su composición nutricional, modificado en su densidad de energía, proteína, grasa y composición de micronutrientes, para ayudar a satisfacer las necesidades energéticas y nutricionales, y cuyo fin en el suministro, es rehabilitar a las niñas y niños con algún tipo de desnutrición aguda o prevenir un deterioro de su estado nutricional.</w:t>
      </w:r>
    </w:p>
    <w:p w:rsidR="000D29F3" w:rsidRPr="007608C2" w:rsidRDefault="000D29F3" w:rsidP="000D29F3">
      <w:pPr>
        <w:spacing w:before="100" w:beforeAutospacing="1" w:after="100" w:afterAutospacing="1" w:line="240" w:lineRule="auto"/>
        <w:jc w:val="both"/>
        <w:rPr>
          <w:rFonts w:cs="Arial"/>
        </w:rPr>
      </w:pPr>
      <w:r w:rsidRPr="007608C2">
        <w:rPr>
          <w:rFonts w:cs="Arial"/>
        </w:rPr>
        <w:t xml:space="preserve">Así mismo, se realizó seguimiento por parte de profesionales en salud y nutrición y auxiliares en salud de las EAS de </w:t>
      </w:r>
      <w:r w:rsidRPr="007608C2">
        <w:rPr>
          <w:rFonts w:cs="Arial"/>
          <w:i/>
        </w:rPr>
        <w:t xml:space="preserve">1000 días para cambiar el mundo, </w:t>
      </w:r>
      <w:r w:rsidRPr="007608C2">
        <w:rPr>
          <w:rFonts w:cs="Arial"/>
        </w:rPr>
        <w:t>al consumo y tolerancia del alimento listo para el consumo y a la evolución del estado nutricional, de tal manera que se evidencie el cumplimiento del objetivo en las niñas y niños atendidos, que es “Contribuir al mejoramiento o recuperación nutricional de las niñas y niños con diagnóstico de desnutrición aguda moderada, severa y riesgo de desnutrición aguda de los servicios de Primera Infancia”.</w:t>
      </w:r>
    </w:p>
    <w:p w:rsidR="000D29F3" w:rsidRPr="007608C2" w:rsidRDefault="000D29F3" w:rsidP="000D29F3">
      <w:pPr>
        <w:spacing w:before="100" w:beforeAutospacing="1" w:after="100" w:afterAutospacing="1" w:line="240" w:lineRule="auto"/>
        <w:jc w:val="both"/>
        <w:rPr>
          <w:rFonts w:cs="Arial"/>
        </w:rPr>
      </w:pPr>
      <w:r w:rsidRPr="007608C2">
        <w:rPr>
          <w:rFonts w:cs="Arial"/>
        </w:rPr>
        <w:t xml:space="preserve">Durante la vigencia 2017, se logró la contratación y ejecución del Servicio Complementario a partir del mes de noviembre en 23 regionales, en las cuales se ejecuta la modalidad </w:t>
      </w:r>
      <w:r w:rsidRPr="007608C2">
        <w:rPr>
          <w:rFonts w:cs="Arial"/>
          <w:i/>
        </w:rPr>
        <w:t xml:space="preserve">“1.000 días </w:t>
      </w:r>
      <w:r w:rsidRPr="007608C2">
        <w:rPr>
          <w:rFonts w:cs="Arial"/>
          <w:i/>
        </w:rPr>
        <w:lastRenderedPageBreak/>
        <w:t>para cambiar el mundo”</w:t>
      </w:r>
      <w:r w:rsidRPr="007608C2">
        <w:rPr>
          <w:rFonts w:cs="Arial"/>
        </w:rPr>
        <w:t xml:space="preserve">, logrando la atención a niñas y niños menores de cinco años con desnutrición aguda moderada o severa y en riesgo de desnutrición aguda de los servicios de Primera Infancia. A continuación, se presenta la información relacionada con el número de niñas y niños atendidos en cada una de las regionales. </w:t>
      </w:r>
    </w:p>
    <w:p w:rsidR="000D29F3" w:rsidRPr="007608C2" w:rsidRDefault="000D29F3" w:rsidP="000D29F3">
      <w:pPr>
        <w:spacing w:after="0" w:line="240" w:lineRule="auto"/>
        <w:jc w:val="both"/>
        <w:rPr>
          <w:rFonts w:cs="Arial"/>
          <w:sz w:val="16"/>
          <w:szCs w:val="16"/>
        </w:rPr>
      </w:pP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481"/>
        <w:gridCol w:w="1775"/>
      </w:tblGrid>
      <w:tr w:rsidR="000D29F3" w:rsidRPr="0014526A" w:rsidTr="009C6DCB">
        <w:trPr>
          <w:trHeight w:val="297"/>
          <w:jc w:val="center"/>
        </w:trPr>
        <w:tc>
          <w:tcPr>
            <w:tcW w:w="0" w:type="auto"/>
            <w:vMerge w:val="restart"/>
            <w:shd w:val="clear" w:color="auto" w:fill="76922E"/>
            <w:vAlign w:val="center"/>
            <w:hideMark/>
          </w:tcPr>
          <w:p w:rsidR="000D29F3" w:rsidRPr="0014526A" w:rsidRDefault="000D29F3" w:rsidP="00B512A3">
            <w:pPr>
              <w:spacing w:after="0" w:line="240" w:lineRule="auto"/>
              <w:jc w:val="center"/>
              <w:rPr>
                <w:rFonts w:eastAsia="Times New Roman" w:cs="Arial"/>
                <w:b/>
                <w:bCs/>
                <w:color w:val="FFFFFF" w:themeColor="background1"/>
                <w:sz w:val="18"/>
                <w:szCs w:val="18"/>
                <w:lang w:val="es-CO" w:eastAsia="es-CO"/>
              </w:rPr>
            </w:pPr>
            <w:r w:rsidRPr="0014526A">
              <w:rPr>
                <w:rFonts w:eastAsia="Times New Roman" w:cs="Arial"/>
                <w:b/>
                <w:bCs/>
                <w:color w:val="FFFFFF" w:themeColor="background1"/>
                <w:sz w:val="18"/>
                <w:szCs w:val="18"/>
                <w:lang w:val="es-CO" w:eastAsia="es-CO"/>
              </w:rPr>
              <w:t>Regional</w:t>
            </w:r>
          </w:p>
        </w:tc>
        <w:tc>
          <w:tcPr>
            <w:tcW w:w="1775" w:type="dxa"/>
            <w:vMerge w:val="restart"/>
            <w:shd w:val="clear" w:color="auto" w:fill="76922E"/>
            <w:vAlign w:val="center"/>
            <w:hideMark/>
          </w:tcPr>
          <w:p w:rsidR="000D29F3" w:rsidRPr="0014526A" w:rsidRDefault="006339A3" w:rsidP="00B512A3">
            <w:pPr>
              <w:spacing w:after="0" w:line="240" w:lineRule="auto"/>
              <w:jc w:val="center"/>
              <w:rPr>
                <w:rFonts w:eastAsia="Times New Roman" w:cs="Arial"/>
                <w:b/>
                <w:bCs/>
                <w:color w:val="FFFFFF" w:themeColor="background1"/>
                <w:sz w:val="18"/>
                <w:szCs w:val="18"/>
                <w:lang w:val="es-CO" w:eastAsia="es-CO"/>
              </w:rPr>
            </w:pPr>
            <w:r>
              <w:rPr>
                <w:rFonts w:eastAsia="Times New Roman" w:cs="Arial"/>
                <w:b/>
                <w:bCs/>
                <w:color w:val="FFFFFF" w:themeColor="background1"/>
                <w:sz w:val="18"/>
                <w:szCs w:val="18"/>
                <w:lang w:val="es-CO" w:eastAsia="es-CO"/>
              </w:rPr>
              <w:t>Niños y Niñas A</w:t>
            </w:r>
            <w:r w:rsidR="000D29F3" w:rsidRPr="0014526A">
              <w:rPr>
                <w:rFonts w:eastAsia="Times New Roman" w:cs="Arial"/>
                <w:b/>
                <w:bCs/>
                <w:color w:val="FFFFFF" w:themeColor="background1"/>
                <w:sz w:val="18"/>
                <w:szCs w:val="18"/>
                <w:lang w:val="es-CO" w:eastAsia="es-CO"/>
              </w:rPr>
              <w:t>tendidos en el Servicio Complementario</w:t>
            </w:r>
          </w:p>
        </w:tc>
      </w:tr>
      <w:tr w:rsidR="000D29F3" w:rsidRPr="0014526A" w:rsidTr="009C6DCB">
        <w:trPr>
          <w:trHeight w:val="253"/>
          <w:jc w:val="center"/>
        </w:trPr>
        <w:tc>
          <w:tcPr>
            <w:tcW w:w="0" w:type="auto"/>
            <w:vMerge/>
            <w:shd w:val="clear" w:color="auto" w:fill="76922E"/>
            <w:vAlign w:val="center"/>
            <w:hideMark/>
          </w:tcPr>
          <w:p w:rsidR="000D29F3" w:rsidRPr="0014526A" w:rsidRDefault="000D29F3" w:rsidP="00B512A3">
            <w:pPr>
              <w:spacing w:after="0" w:line="240" w:lineRule="auto"/>
              <w:rPr>
                <w:rFonts w:eastAsia="Times New Roman" w:cs="Arial"/>
                <w:b/>
                <w:bCs/>
                <w:color w:val="000000"/>
                <w:sz w:val="18"/>
                <w:szCs w:val="18"/>
                <w:lang w:val="es-CO" w:eastAsia="es-CO"/>
              </w:rPr>
            </w:pPr>
          </w:p>
        </w:tc>
        <w:tc>
          <w:tcPr>
            <w:tcW w:w="1775" w:type="dxa"/>
            <w:vMerge/>
            <w:shd w:val="clear" w:color="auto" w:fill="76922E"/>
            <w:vAlign w:val="center"/>
            <w:hideMark/>
          </w:tcPr>
          <w:p w:rsidR="000D29F3" w:rsidRPr="0014526A" w:rsidRDefault="000D29F3" w:rsidP="00B512A3">
            <w:pPr>
              <w:spacing w:after="0" w:line="240" w:lineRule="auto"/>
              <w:rPr>
                <w:rFonts w:eastAsia="Times New Roman" w:cs="Arial"/>
                <w:b/>
                <w:bCs/>
                <w:color w:val="000000"/>
                <w:sz w:val="18"/>
                <w:szCs w:val="18"/>
                <w:lang w:val="es-CO" w:eastAsia="es-CO"/>
              </w:rPr>
            </w:pPr>
          </w:p>
        </w:tc>
      </w:tr>
      <w:tr w:rsidR="000D29F3" w:rsidRPr="0014526A" w:rsidTr="009C6DCB">
        <w:trPr>
          <w:trHeight w:val="253"/>
          <w:jc w:val="center"/>
        </w:trPr>
        <w:tc>
          <w:tcPr>
            <w:tcW w:w="0" w:type="auto"/>
            <w:vMerge/>
            <w:shd w:val="clear" w:color="auto" w:fill="76922E"/>
            <w:vAlign w:val="center"/>
            <w:hideMark/>
          </w:tcPr>
          <w:p w:rsidR="000D29F3" w:rsidRPr="0014526A" w:rsidRDefault="000D29F3" w:rsidP="00B512A3">
            <w:pPr>
              <w:spacing w:after="0" w:line="240" w:lineRule="auto"/>
              <w:rPr>
                <w:rFonts w:eastAsia="Times New Roman" w:cs="Arial"/>
                <w:b/>
                <w:bCs/>
                <w:color w:val="000000"/>
                <w:sz w:val="18"/>
                <w:szCs w:val="18"/>
                <w:lang w:val="es-CO" w:eastAsia="es-CO"/>
              </w:rPr>
            </w:pPr>
          </w:p>
        </w:tc>
        <w:tc>
          <w:tcPr>
            <w:tcW w:w="1775" w:type="dxa"/>
            <w:vMerge/>
            <w:shd w:val="clear" w:color="auto" w:fill="76922E"/>
            <w:vAlign w:val="center"/>
            <w:hideMark/>
          </w:tcPr>
          <w:p w:rsidR="000D29F3" w:rsidRPr="0014526A" w:rsidRDefault="000D29F3" w:rsidP="00B512A3">
            <w:pPr>
              <w:spacing w:after="0" w:line="240" w:lineRule="auto"/>
              <w:rPr>
                <w:rFonts w:eastAsia="Times New Roman" w:cs="Arial"/>
                <w:b/>
                <w:bCs/>
                <w:color w:val="000000"/>
                <w:sz w:val="18"/>
                <w:szCs w:val="18"/>
                <w:lang w:val="es-CO" w:eastAsia="es-CO"/>
              </w:rPr>
            </w:pPr>
          </w:p>
        </w:tc>
      </w:tr>
      <w:tr w:rsidR="000D29F3" w:rsidRPr="0014526A" w:rsidTr="009C6DCB">
        <w:trPr>
          <w:trHeight w:val="260"/>
          <w:jc w:val="center"/>
        </w:trPr>
        <w:tc>
          <w:tcPr>
            <w:tcW w:w="0" w:type="auto"/>
            <w:vMerge/>
            <w:shd w:val="clear" w:color="auto" w:fill="76922E"/>
            <w:vAlign w:val="center"/>
            <w:hideMark/>
          </w:tcPr>
          <w:p w:rsidR="000D29F3" w:rsidRPr="0014526A" w:rsidRDefault="000D29F3" w:rsidP="00B512A3">
            <w:pPr>
              <w:spacing w:after="0" w:line="240" w:lineRule="auto"/>
              <w:rPr>
                <w:rFonts w:eastAsia="Times New Roman" w:cs="Arial"/>
                <w:b/>
                <w:bCs/>
                <w:color w:val="000000"/>
                <w:sz w:val="18"/>
                <w:szCs w:val="18"/>
                <w:lang w:val="es-CO" w:eastAsia="es-CO"/>
              </w:rPr>
            </w:pPr>
          </w:p>
        </w:tc>
        <w:tc>
          <w:tcPr>
            <w:tcW w:w="1775" w:type="dxa"/>
            <w:vMerge/>
            <w:shd w:val="clear" w:color="auto" w:fill="76922E"/>
            <w:vAlign w:val="center"/>
            <w:hideMark/>
          </w:tcPr>
          <w:p w:rsidR="000D29F3" w:rsidRPr="0014526A" w:rsidRDefault="000D29F3" w:rsidP="00B512A3">
            <w:pPr>
              <w:spacing w:after="0" w:line="240" w:lineRule="auto"/>
              <w:rPr>
                <w:rFonts w:eastAsia="Times New Roman" w:cs="Arial"/>
                <w:b/>
                <w:bCs/>
                <w:color w:val="000000"/>
                <w:sz w:val="18"/>
                <w:szCs w:val="18"/>
                <w:lang w:val="es-CO" w:eastAsia="es-CO"/>
              </w:rPr>
            </w:pPr>
          </w:p>
        </w:tc>
      </w:tr>
      <w:tr w:rsidR="000D29F3" w:rsidRPr="0014526A" w:rsidTr="009C6DCB">
        <w:trPr>
          <w:trHeight w:val="260"/>
          <w:jc w:val="center"/>
        </w:trPr>
        <w:tc>
          <w:tcPr>
            <w:tcW w:w="0" w:type="auto"/>
            <w:shd w:val="clear" w:color="auto" w:fill="auto"/>
            <w:noWrap/>
            <w:vAlign w:val="center"/>
            <w:hideMark/>
          </w:tcPr>
          <w:p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Amazonas</w:t>
            </w:r>
          </w:p>
        </w:tc>
        <w:tc>
          <w:tcPr>
            <w:tcW w:w="1775" w:type="dxa"/>
            <w:shd w:val="clear" w:color="auto" w:fill="auto"/>
            <w:noWrap/>
            <w:vAlign w:val="center"/>
            <w:hideMark/>
          </w:tcPr>
          <w:p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9</w:t>
            </w:r>
          </w:p>
        </w:tc>
      </w:tr>
      <w:tr w:rsidR="000D29F3" w:rsidRPr="0014526A" w:rsidTr="009C6DCB">
        <w:trPr>
          <w:trHeight w:val="260"/>
          <w:jc w:val="center"/>
        </w:trPr>
        <w:tc>
          <w:tcPr>
            <w:tcW w:w="0" w:type="auto"/>
            <w:shd w:val="clear" w:color="auto" w:fill="auto"/>
            <w:noWrap/>
            <w:vAlign w:val="center"/>
            <w:hideMark/>
          </w:tcPr>
          <w:p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Arauca</w:t>
            </w:r>
          </w:p>
        </w:tc>
        <w:tc>
          <w:tcPr>
            <w:tcW w:w="1775" w:type="dxa"/>
            <w:shd w:val="clear" w:color="auto" w:fill="auto"/>
            <w:noWrap/>
            <w:vAlign w:val="center"/>
            <w:hideMark/>
          </w:tcPr>
          <w:p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122</w:t>
            </w:r>
          </w:p>
        </w:tc>
      </w:tr>
      <w:tr w:rsidR="000D29F3" w:rsidRPr="0014526A" w:rsidTr="009C6DCB">
        <w:trPr>
          <w:trHeight w:val="260"/>
          <w:jc w:val="center"/>
        </w:trPr>
        <w:tc>
          <w:tcPr>
            <w:tcW w:w="0" w:type="auto"/>
            <w:shd w:val="clear" w:color="auto" w:fill="auto"/>
            <w:noWrap/>
            <w:vAlign w:val="center"/>
            <w:hideMark/>
          </w:tcPr>
          <w:p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Atlántico</w:t>
            </w:r>
          </w:p>
        </w:tc>
        <w:tc>
          <w:tcPr>
            <w:tcW w:w="1775" w:type="dxa"/>
            <w:shd w:val="clear" w:color="auto" w:fill="auto"/>
            <w:noWrap/>
            <w:vAlign w:val="center"/>
            <w:hideMark/>
          </w:tcPr>
          <w:p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941</w:t>
            </w:r>
          </w:p>
        </w:tc>
      </w:tr>
      <w:tr w:rsidR="000D29F3" w:rsidRPr="0014526A" w:rsidTr="009C6DCB">
        <w:trPr>
          <w:trHeight w:val="260"/>
          <w:jc w:val="center"/>
        </w:trPr>
        <w:tc>
          <w:tcPr>
            <w:tcW w:w="0" w:type="auto"/>
            <w:shd w:val="clear" w:color="auto" w:fill="auto"/>
            <w:noWrap/>
            <w:vAlign w:val="center"/>
            <w:hideMark/>
          </w:tcPr>
          <w:p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Bolívar</w:t>
            </w:r>
          </w:p>
        </w:tc>
        <w:tc>
          <w:tcPr>
            <w:tcW w:w="1775" w:type="dxa"/>
            <w:shd w:val="clear" w:color="auto" w:fill="auto"/>
            <w:noWrap/>
            <w:vAlign w:val="center"/>
            <w:hideMark/>
          </w:tcPr>
          <w:p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1.695</w:t>
            </w:r>
          </w:p>
        </w:tc>
      </w:tr>
      <w:tr w:rsidR="000D29F3" w:rsidRPr="0014526A" w:rsidTr="009C6DCB">
        <w:trPr>
          <w:trHeight w:val="260"/>
          <w:jc w:val="center"/>
        </w:trPr>
        <w:tc>
          <w:tcPr>
            <w:tcW w:w="0" w:type="auto"/>
            <w:shd w:val="clear" w:color="auto" w:fill="auto"/>
            <w:noWrap/>
            <w:vAlign w:val="center"/>
            <w:hideMark/>
          </w:tcPr>
          <w:p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Caldas</w:t>
            </w:r>
          </w:p>
        </w:tc>
        <w:tc>
          <w:tcPr>
            <w:tcW w:w="1775" w:type="dxa"/>
            <w:shd w:val="clear" w:color="auto" w:fill="auto"/>
            <w:noWrap/>
            <w:vAlign w:val="center"/>
            <w:hideMark/>
          </w:tcPr>
          <w:p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1.015</w:t>
            </w:r>
          </w:p>
        </w:tc>
      </w:tr>
      <w:tr w:rsidR="000D29F3" w:rsidRPr="0014526A" w:rsidTr="009C6DCB">
        <w:trPr>
          <w:trHeight w:val="260"/>
          <w:jc w:val="center"/>
        </w:trPr>
        <w:tc>
          <w:tcPr>
            <w:tcW w:w="0" w:type="auto"/>
            <w:shd w:val="clear" w:color="auto" w:fill="auto"/>
            <w:noWrap/>
            <w:vAlign w:val="center"/>
            <w:hideMark/>
          </w:tcPr>
          <w:p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Caquetá</w:t>
            </w:r>
          </w:p>
        </w:tc>
        <w:tc>
          <w:tcPr>
            <w:tcW w:w="1775" w:type="dxa"/>
            <w:shd w:val="clear" w:color="auto" w:fill="auto"/>
            <w:noWrap/>
            <w:vAlign w:val="center"/>
            <w:hideMark/>
          </w:tcPr>
          <w:p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534</w:t>
            </w:r>
          </w:p>
        </w:tc>
      </w:tr>
      <w:tr w:rsidR="000D29F3" w:rsidRPr="0014526A" w:rsidTr="009C6DCB">
        <w:trPr>
          <w:trHeight w:val="260"/>
          <w:jc w:val="center"/>
        </w:trPr>
        <w:tc>
          <w:tcPr>
            <w:tcW w:w="0" w:type="auto"/>
            <w:shd w:val="clear" w:color="auto" w:fill="auto"/>
            <w:noWrap/>
            <w:vAlign w:val="center"/>
            <w:hideMark/>
          </w:tcPr>
          <w:p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Casanare</w:t>
            </w:r>
          </w:p>
        </w:tc>
        <w:tc>
          <w:tcPr>
            <w:tcW w:w="1775" w:type="dxa"/>
            <w:shd w:val="clear" w:color="auto" w:fill="auto"/>
            <w:noWrap/>
            <w:vAlign w:val="center"/>
            <w:hideMark/>
          </w:tcPr>
          <w:p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127</w:t>
            </w:r>
          </w:p>
        </w:tc>
      </w:tr>
      <w:tr w:rsidR="000D29F3" w:rsidRPr="0014526A" w:rsidTr="009C6DCB">
        <w:trPr>
          <w:trHeight w:val="260"/>
          <w:jc w:val="center"/>
        </w:trPr>
        <w:tc>
          <w:tcPr>
            <w:tcW w:w="0" w:type="auto"/>
            <w:shd w:val="clear" w:color="auto" w:fill="auto"/>
            <w:noWrap/>
            <w:vAlign w:val="center"/>
            <w:hideMark/>
          </w:tcPr>
          <w:p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Cesar</w:t>
            </w:r>
          </w:p>
        </w:tc>
        <w:tc>
          <w:tcPr>
            <w:tcW w:w="1775" w:type="dxa"/>
            <w:shd w:val="clear" w:color="auto" w:fill="auto"/>
            <w:noWrap/>
            <w:vAlign w:val="center"/>
            <w:hideMark/>
          </w:tcPr>
          <w:p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4.410</w:t>
            </w:r>
          </w:p>
        </w:tc>
      </w:tr>
      <w:tr w:rsidR="000D29F3" w:rsidRPr="0014526A" w:rsidTr="009C6DCB">
        <w:trPr>
          <w:trHeight w:val="260"/>
          <w:jc w:val="center"/>
        </w:trPr>
        <w:tc>
          <w:tcPr>
            <w:tcW w:w="0" w:type="auto"/>
            <w:shd w:val="clear" w:color="auto" w:fill="auto"/>
            <w:noWrap/>
            <w:vAlign w:val="center"/>
            <w:hideMark/>
          </w:tcPr>
          <w:p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Chocó</w:t>
            </w:r>
          </w:p>
        </w:tc>
        <w:tc>
          <w:tcPr>
            <w:tcW w:w="1775" w:type="dxa"/>
            <w:shd w:val="clear" w:color="auto" w:fill="auto"/>
            <w:noWrap/>
            <w:vAlign w:val="center"/>
            <w:hideMark/>
          </w:tcPr>
          <w:p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694</w:t>
            </w:r>
          </w:p>
        </w:tc>
      </w:tr>
      <w:tr w:rsidR="000D29F3" w:rsidRPr="0014526A" w:rsidTr="009C6DCB">
        <w:trPr>
          <w:trHeight w:val="260"/>
          <w:jc w:val="center"/>
        </w:trPr>
        <w:tc>
          <w:tcPr>
            <w:tcW w:w="0" w:type="auto"/>
            <w:shd w:val="clear" w:color="auto" w:fill="auto"/>
            <w:noWrap/>
            <w:vAlign w:val="center"/>
            <w:hideMark/>
          </w:tcPr>
          <w:p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Córdoba</w:t>
            </w:r>
          </w:p>
        </w:tc>
        <w:tc>
          <w:tcPr>
            <w:tcW w:w="1775" w:type="dxa"/>
            <w:shd w:val="clear" w:color="auto" w:fill="auto"/>
            <w:noWrap/>
            <w:vAlign w:val="center"/>
            <w:hideMark/>
          </w:tcPr>
          <w:p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4.358</w:t>
            </w:r>
          </w:p>
        </w:tc>
      </w:tr>
      <w:tr w:rsidR="000D29F3" w:rsidRPr="0014526A" w:rsidTr="009C6DCB">
        <w:trPr>
          <w:trHeight w:val="260"/>
          <w:jc w:val="center"/>
        </w:trPr>
        <w:tc>
          <w:tcPr>
            <w:tcW w:w="0" w:type="auto"/>
            <w:shd w:val="clear" w:color="auto" w:fill="auto"/>
            <w:noWrap/>
            <w:vAlign w:val="center"/>
            <w:hideMark/>
          </w:tcPr>
          <w:p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Guaviare</w:t>
            </w:r>
          </w:p>
        </w:tc>
        <w:tc>
          <w:tcPr>
            <w:tcW w:w="1775" w:type="dxa"/>
            <w:shd w:val="clear" w:color="auto" w:fill="auto"/>
            <w:noWrap/>
            <w:vAlign w:val="center"/>
            <w:hideMark/>
          </w:tcPr>
          <w:p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238</w:t>
            </w:r>
          </w:p>
        </w:tc>
      </w:tr>
      <w:tr w:rsidR="000D29F3" w:rsidRPr="0014526A" w:rsidTr="009C6DCB">
        <w:trPr>
          <w:trHeight w:val="260"/>
          <w:jc w:val="center"/>
        </w:trPr>
        <w:tc>
          <w:tcPr>
            <w:tcW w:w="0" w:type="auto"/>
            <w:shd w:val="clear" w:color="auto" w:fill="auto"/>
            <w:noWrap/>
            <w:vAlign w:val="center"/>
            <w:hideMark/>
          </w:tcPr>
          <w:p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Huila</w:t>
            </w:r>
          </w:p>
        </w:tc>
        <w:tc>
          <w:tcPr>
            <w:tcW w:w="1775" w:type="dxa"/>
            <w:shd w:val="clear" w:color="auto" w:fill="auto"/>
            <w:noWrap/>
            <w:vAlign w:val="center"/>
            <w:hideMark/>
          </w:tcPr>
          <w:p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326</w:t>
            </w:r>
          </w:p>
        </w:tc>
      </w:tr>
      <w:tr w:rsidR="000D29F3" w:rsidRPr="0014526A" w:rsidTr="009C6DCB">
        <w:trPr>
          <w:trHeight w:val="260"/>
          <w:jc w:val="center"/>
        </w:trPr>
        <w:tc>
          <w:tcPr>
            <w:tcW w:w="0" w:type="auto"/>
            <w:shd w:val="clear" w:color="auto" w:fill="auto"/>
            <w:noWrap/>
            <w:vAlign w:val="center"/>
            <w:hideMark/>
          </w:tcPr>
          <w:p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La Guajira</w:t>
            </w:r>
          </w:p>
        </w:tc>
        <w:tc>
          <w:tcPr>
            <w:tcW w:w="1775" w:type="dxa"/>
            <w:shd w:val="clear" w:color="auto" w:fill="auto"/>
            <w:noWrap/>
            <w:vAlign w:val="center"/>
            <w:hideMark/>
          </w:tcPr>
          <w:p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3.140</w:t>
            </w:r>
          </w:p>
        </w:tc>
      </w:tr>
      <w:tr w:rsidR="000D29F3" w:rsidRPr="0014526A" w:rsidTr="009C6DCB">
        <w:trPr>
          <w:trHeight w:val="260"/>
          <w:jc w:val="center"/>
        </w:trPr>
        <w:tc>
          <w:tcPr>
            <w:tcW w:w="0" w:type="auto"/>
            <w:shd w:val="clear" w:color="auto" w:fill="auto"/>
            <w:noWrap/>
            <w:vAlign w:val="center"/>
            <w:hideMark/>
          </w:tcPr>
          <w:p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Magdalena</w:t>
            </w:r>
          </w:p>
        </w:tc>
        <w:tc>
          <w:tcPr>
            <w:tcW w:w="1775" w:type="dxa"/>
            <w:shd w:val="clear" w:color="auto" w:fill="auto"/>
            <w:noWrap/>
            <w:vAlign w:val="center"/>
            <w:hideMark/>
          </w:tcPr>
          <w:p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3.086</w:t>
            </w:r>
          </w:p>
        </w:tc>
      </w:tr>
      <w:tr w:rsidR="000D29F3" w:rsidRPr="0014526A" w:rsidTr="009C6DCB">
        <w:trPr>
          <w:trHeight w:val="260"/>
          <w:jc w:val="center"/>
        </w:trPr>
        <w:tc>
          <w:tcPr>
            <w:tcW w:w="0" w:type="auto"/>
            <w:shd w:val="clear" w:color="auto" w:fill="auto"/>
            <w:noWrap/>
            <w:vAlign w:val="center"/>
            <w:hideMark/>
          </w:tcPr>
          <w:p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Meta</w:t>
            </w:r>
          </w:p>
        </w:tc>
        <w:tc>
          <w:tcPr>
            <w:tcW w:w="1775" w:type="dxa"/>
            <w:shd w:val="clear" w:color="auto" w:fill="auto"/>
            <w:noWrap/>
            <w:vAlign w:val="center"/>
            <w:hideMark/>
          </w:tcPr>
          <w:p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1.454</w:t>
            </w:r>
          </w:p>
        </w:tc>
      </w:tr>
      <w:tr w:rsidR="000D29F3" w:rsidRPr="0014526A" w:rsidTr="009C6DCB">
        <w:trPr>
          <w:trHeight w:val="260"/>
          <w:jc w:val="center"/>
        </w:trPr>
        <w:tc>
          <w:tcPr>
            <w:tcW w:w="0" w:type="auto"/>
            <w:shd w:val="clear" w:color="auto" w:fill="auto"/>
            <w:noWrap/>
            <w:vAlign w:val="center"/>
            <w:hideMark/>
          </w:tcPr>
          <w:p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Nariño</w:t>
            </w:r>
          </w:p>
        </w:tc>
        <w:tc>
          <w:tcPr>
            <w:tcW w:w="1775" w:type="dxa"/>
            <w:shd w:val="clear" w:color="auto" w:fill="auto"/>
            <w:noWrap/>
            <w:vAlign w:val="center"/>
            <w:hideMark/>
          </w:tcPr>
          <w:p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869</w:t>
            </w:r>
          </w:p>
        </w:tc>
      </w:tr>
      <w:tr w:rsidR="000D29F3" w:rsidRPr="0014526A" w:rsidTr="009C6DCB">
        <w:trPr>
          <w:trHeight w:val="260"/>
          <w:jc w:val="center"/>
        </w:trPr>
        <w:tc>
          <w:tcPr>
            <w:tcW w:w="0" w:type="auto"/>
            <w:shd w:val="clear" w:color="auto" w:fill="auto"/>
            <w:noWrap/>
            <w:vAlign w:val="center"/>
            <w:hideMark/>
          </w:tcPr>
          <w:p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Putumayo</w:t>
            </w:r>
          </w:p>
        </w:tc>
        <w:tc>
          <w:tcPr>
            <w:tcW w:w="1775" w:type="dxa"/>
            <w:shd w:val="clear" w:color="auto" w:fill="auto"/>
            <w:noWrap/>
            <w:vAlign w:val="center"/>
            <w:hideMark/>
          </w:tcPr>
          <w:p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336</w:t>
            </w:r>
          </w:p>
        </w:tc>
      </w:tr>
      <w:tr w:rsidR="000D29F3" w:rsidRPr="0014526A" w:rsidTr="009C6DCB">
        <w:trPr>
          <w:trHeight w:val="260"/>
          <w:jc w:val="center"/>
        </w:trPr>
        <w:tc>
          <w:tcPr>
            <w:tcW w:w="0" w:type="auto"/>
            <w:shd w:val="clear" w:color="auto" w:fill="auto"/>
            <w:noWrap/>
            <w:vAlign w:val="center"/>
            <w:hideMark/>
          </w:tcPr>
          <w:p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Risaralda</w:t>
            </w:r>
          </w:p>
        </w:tc>
        <w:tc>
          <w:tcPr>
            <w:tcW w:w="1775" w:type="dxa"/>
            <w:shd w:val="clear" w:color="auto" w:fill="auto"/>
            <w:noWrap/>
            <w:vAlign w:val="center"/>
            <w:hideMark/>
          </w:tcPr>
          <w:p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1.380</w:t>
            </w:r>
          </w:p>
        </w:tc>
      </w:tr>
      <w:tr w:rsidR="000D29F3" w:rsidRPr="0014526A" w:rsidTr="009C6DCB">
        <w:trPr>
          <w:trHeight w:val="260"/>
          <w:jc w:val="center"/>
        </w:trPr>
        <w:tc>
          <w:tcPr>
            <w:tcW w:w="0" w:type="auto"/>
            <w:shd w:val="clear" w:color="auto" w:fill="auto"/>
            <w:noWrap/>
            <w:vAlign w:val="center"/>
            <w:hideMark/>
          </w:tcPr>
          <w:p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Sucre</w:t>
            </w:r>
          </w:p>
        </w:tc>
        <w:tc>
          <w:tcPr>
            <w:tcW w:w="1775" w:type="dxa"/>
            <w:shd w:val="clear" w:color="auto" w:fill="auto"/>
            <w:noWrap/>
            <w:vAlign w:val="center"/>
            <w:hideMark/>
          </w:tcPr>
          <w:p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506</w:t>
            </w:r>
          </w:p>
        </w:tc>
      </w:tr>
      <w:tr w:rsidR="000D29F3" w:rsidRPr="0014526A" w:rsidTr="009C6DCB">
        <w:trPr>
          <w:trHeight w:val="260"/>
          <w:jc w:val="center"/>
        </w:trPr>
        <w:tc>
          <w:tcPr>
            <w:tcW w:w="0" w:type="auto"/>
            <w:shd w:val="clear" w:color="auto" w:fill="auto"/>
            <w:noWrap/>
            <w:vAlign w:val="center"/>
            <w:hideMark/>
          </w:tcPr>
          <w:p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Tolima</w:t>
            </w:r>
          </w:p>
        </w:tc>
        <w:tc>
          <w:tcPr>
            <w:tcW w:w="1775" w:type="dxa"/>
            <w:shd w:val="clear" w:color="auto" w:fill="auto"/>
            <w:noWrap/>
            <w:vAlign w:val="center"/>
            <w:hideMark/>
          </w:tcPr>
          <w:p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1.056</w:t>
            </w:r>
          </w:p>
        </w:tc>
      </w:tr>
      <w:tr w:rsidR="000D29F3" w:rsidRPr="0014526A" w:rsidTr="009C6DCB">
        <w:trPr>
          <w:trHeight w:val="260"/>
          <w:jc w:val="center"/>
        </w:trPr>
        <w:tc>
          <w:tcPr>
            <w:tcW w:w="0" w:type="auto"/>
            <w:shd w:val="clear" w:color="auto" w:fill="auto"/>
            <w:noWrap/>
            <w:vAlign w:val="center"/>
            <w:hideMark/>
          </w:tcPr>
          <w:p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Valle Del Cauca</w:t>
            </w:r>
          </w:p>
        </w:tc>
        <w:tc>
          <w:tcPr>
            <w:tcW w:w="1775" w:type="dxa"/>
            <w:shd w:val="clear" w:color="auto" w:fill="auto"/>
            <w:noWrap/>
            <w:vAlign w:val="center"/>
            <w:hideMark/>
          </w:tcPr>
          <w:p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554</w:t>
            </w:r>
          </w:p>
        </w:tc>
      </w:tr>
      <w:tr w:rsidR="000D29F3" w:rsidRPr="0014526A" w:rsidTr="009C6DCB">
        <w:trPr>
          <w:trHeight w:val="260"/>
          <w:jc w:val="center"/>
        </w:trPr>
        <w:tc>
          <w:tcPr>
            <w:tcW w:w="0" w:type="auto"/>
            <w:shd w:val="clear" w:color="auto" w:fill="auto"/>
            <w:noWrap/>
            <w:vAlign w:val="center"/>
            <w:hideMark/>
          </w:tcPr>
          <w:p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Vaupés</w:t>
            </w:r>
          </w:p>
        </w:tc>
        <w:tc>
          <w:tcPr>
            <w:tcW w:w="1775" w:type="dxa"/>
            <w:shd w:val="clear" w:color="auto" w:fill="auto"/>
            <w:noWrap/>
            <w:vAlign w:val="center"/>
            <w:hideMark/>
          </w:tcPr>
          <w:p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16</w:t>
            </w:r>
          </w:p>
        </w:tc>
      </w:tr>
      <w:tr w:rsidR="000D29F3" w:rsidRPr="0014526A" w:rsidTr="009C6DCB">
        <w:trPr>
          <w:trHeight w:val="260"/>
          <w:jc w:val="center"/>
        </w:trPr>
        <w:tc>
          <w:tcPr>
            <w:tcW w:w="0" w:type="auto"/>
            <w:shd w:val="clear" w:color="auto" w:fill="auto"/>
            <w:noWrap/>
            <w:vAlign w:val="center"/>
            <w:hideMark/>
          </w:tcPr>
          <w:p w:rsidR="000D29F3" w:rsidRPr="0014526A" w:rsidRDefault="000D29F3" w:rsidP="00B512A3">
            <w:pPr>
              <w:spacing w:after="0" w:line="240" w:lineRule="auto"/>
              <w:rPr>
                <w:rFonts w:eastAsia="Times New Roman" w:cs="Arial"/>
                <w:color w:val="000000"/>
                <w:sz w:val="18"/>
                <w:szCs w:val="18"/>
                <w:lang w:val="es-CO" w:eastAsia="es-CO"/>
              </w:rPr>
            </w:pPr>
            <w:r w:rsidRPr="0014526A">
              <w:rPr>
                <w:rFonts w:eastAsia="Times New Roman" w:cs="Arial"/>
                <w:color w:val="000000"/>
                <w:sz w:val="18"/>
                <w:szCs w:val="18"/>
                <w:lang w:val="es-CO" w:eastAsia="es-CO"/>
              </w:rPr>
              <w:t xml:space="preserve"> Vichada</w:t>
            </w:r>
          </w:p>
        </w:tc>
        <w:tc>
          <w:tcPr>
            <w:tcW w:w="1775" w:type="dxa"/>
            <w:shd w:val="clear" w:color="auto" w:fill="auto"/>
            <w:noWrap/>
            <w:vAlign w:val="center"/>
            <w:hideMark/>
          </w:tcPr>
          <w:p w:rsidR="000D29F3" w:rsidRPr="0014526A" w:rsidRDefault="000D29F3" w:rsidP="009C6DCB">
            <w:pPr>
              <w:spacing w:after="0" w:line="240" w:lineRule="auto"/>
              <w:jc w:val="center"/>
              <w:rPr>
                <w:rFonts w:eastAsia="Times New Roman" w:cs="Arial"/>
                <w:color w:val="000000"/>
                <w:sz w:val="18"/>
                <w:szCs w:val="18"/>
                <w:lang w:val="es-CO" w:eastAsia="es-CO"/>
              </w:rPr>
            </w:pPr>
            <w:r w:rsidRPr="0014526A">
              <w:rPr>
                <w:rFonts w:eastAsia="Times New Roman" w:cs="Arial"/>
                <w:color w:val="000000"/>
                <w:sz w:val="18"/>
                <w:szCs w:val="18"/>
                <w:lang w:val="es-CO" w:eastAsia="es-CO"/>
              </w:rPr>
              <w:t>87</w:t>
            </w:r>
          </w:p>
        </w:tc>
      </w:tr>
      <w:tr w:rsidR="000D29F3" w:rsidRPr="0014526A" w:rsidTr="009C6DCB">
        <w:trPr>
          <w:trHeight w:val="260"/>
          <w:jc w:val="center"/>
        </w:trPr>
        <w:tc>
          <w:tcPr>
            <w:tcW w:w="0" w:type="auto"/>
            <w:shd w:val="clear" w:color="auto" w:fill="E2EFDA"/>
            <w:noWrap/>
            <w:vAlign w:val="center"/>
            <w:hideMark/>
          </w:tcPr>
          <w:p w:rsidR="000D29F3" w:rsidRPr="0014526A" w:rsidRDefault="000D29F3" w:rsidP="00B512A3">
            <w:pPr>
              <w:spacing w:after="0" w:line="240" w:lineRule="auto"/>
              <w:rPr>
                <w:rFonts w:eastAsia="Times New Roman" w:cs="Arial"/>
                <w:b/>
                <w:bCs/>
                <w:color w:val="000000"/>
                <w:sz w:val="18"/>
                <w:szCs w:val="18"/>
                <w:lang w:val="es-CO" w:eastAsia="es-CO"/>
              </w:rPr>
            </w:pPr>
            <w:r w:rsidRPr="0014526A">
              <w:rPr>
                <w:rFonts w:eastAsia="Times New Roman" w:cs="Arial"/>
                <w:b/>
                <w:bCs/>
                <w:color w:val="000000"/>
                <w:sz w:val="18"/>
                <w:szCs w:val="18"/>
                <w:lang w:val="es-CO" w:eastAsia="es-CO"/>
              </w:rPr>
              <w:t>Total</w:t>
            </w:r>
          </w:p>
        </w:tc>
        <w:tc>
          <w:tcPr>
            <w:tcW w:w="1775" w:type="dxa"/>
            <w:shd w:val="clear" w:color="auto" w:fill="E2EFDA"/>
            <w:noWrap/>
            <w:vAlign w:val="center"/>
            <w:hideMark/>
          </w:tcPr>
          <w:p w:rsidR="000D29F3" w:rsidRPr="0014526A" w:rsidRDefault="000D29F3" w:rsidP="00B512A3">
            <w:pPr>
              <w:spacing w:after="0" w:line="240" w:lineRule="auto"/>
              <w:jc w:val="right"/>
              <w:rPr>
                <w:rFonts w:eastAsia="Times New Roman" w:cs="Arial"/>
                <w:b/>
                <w:bCs/>
                <w:color w:val="000000"/>
                <w:sz w:val="18"/>
                <w:szCs w:val="18"/>
                <w:lang w:val="es-CO" w:eastAsia="es-CO"/>
              </w:rPr>
            </w:pPr>
            <w:r w:rsidRPr="009C6DCB">
              <w:rPr>
                <w:rFonts w:eastAsia="Times New Roman" w:cs="Arial"/>
                <w:b/>
                <w:bCs/>
                <w:color w:val="000000"/>
                <w:sz w:val="18"/>
                <w:szCs w:val="18"/>
                <w:lang w:val="es-CO" w:eastAsia="es-CO"/>
              </w:rPr>
              <w:t>26</w:t>
            </w:r>
            <w:r w:rsidR="000B405E" w:rsidRPr="009C6DCB">
              <w:rPr>
                <w:rFonts w:eastAsia="Times New Roman" w:cs="Arial"/>
                <w:b/>
                <w:bCs/>
                <w:color w:val="000000"/>
                <w:sz w:val="18"/>
                <w:szCs w:val="18"/>
                <w:lang w:val="es-CO" w:eastAsia="es-CO"/>
              </w:rPr>
              <w:t>.</w:t>
            </w:r>
            <w:r w:rsidRPr="009C6DCB">
              <w:rPr>
                <w:rFonts w:eastAsia="Times New Roman" w:cs="Arial"/>
                <w:b/>
                <w:bCs/>
                <w:color w:val="000000"/>
                <w:sz w:val="18"/>
                <w:szCs w:val="18"/>
                <w:lang w:val="es-CO" w:eastAsia="es-CO"/>
              </w:rPr>
              <w:t>953</w:t>
            </w:r>
          </w:p>
        </w:tc>
      </w:tr>
    </w:tbl>
    <w:p w:rsidR="000D29F3" w:rsidRPr="007608C2" w:rsidRDefault="000D29F3" w:rsidP="000D29F3">
      <w:pPr>
        <w:autoSpaceDE w:val="0"/>
        <w:autoSpaceDN w:val="0"/>
        <w:adjustRightInd w:val="0"/>
        <w:spacing w:after="0" w:line="240" w:lineRule="auto"/>
        <w:jc w:val="both"/>
        <w:rPr>
          <w:rFonts w:cs="Arial"/>
          <w:b/>
        </w:rPr>
      </w:pPr>
      <w:r w:rsidRPr="007608C2">
        <w:rPr>
          <w:rFonts w:cs="Arial"/>
          <w:sz w:val="16"/>
          <w:szCs w:val="16"/>
        </w:rPr>
        <w:t xml:space="preserve">                           </w:t>
      </w:r>
      <w:r w:rsidR="006339A3">
        <w:rPr>
          <w:rFonts w:cs="Arial"/>
          <w:sz w:val="16"/>
          <w:szCs w:val="16"/>
        </w:rPr>
        <w:t xml:space="preserve">       </w:t>
      </w:r>
      <w:r w:rsidRPr="007608C2">
        <w:rPr>
          <w:rFonts w:cs="Arial"/>
          <w:sz w:val="16"/>
          <w:szCs w:val="16"/>
        </w:rPr>
        <w:t>Fuente: Formato cargue masivo Servicio Complementario enviados por la Regional -2017.</w:t>
      </w:r>
    </w:p>
    <w:p w:rsidR="000D29F3" w:rsidRPr="007608C2" w:rsidRDefault="000D29F3" w:rsidP="00A44A2B">
      <w:pPr>
        <w:numPr>
          <w:ilvl w:val="0"/>
          <w:numId w:val="65"/>
        </w:numPr>
        <w:autoSpaceDE w:val="0"/>
        <w:autoSpaceDN w:val="0"/>
        <w:adjustRightInd w:val="0"/>
        <w:spacing w:before="100" w:beforeAutospacing="1" w:after="100" w:afterAutospacing="1" w:line="240" w:lineRule="auto"/>
        <w:jc w:val="both"/>
        <w:rPr>
          <w:rFonts w:cs="Arial"/>
          <w:b/>
        </w:rPr>
      </w:pPr>
      <w:r w:rsidRPr="007608C2">
        <w:rPr>
          <w:rFonts w:eastAsia="Times New Roman" w:cs="Arial"/>
          <w:b/>
          <w:bCs/>
          <w:kern w:val="32"/>
        </w:rPr>
        <w:t>Banco Nacional de Oferentes</w:t>
      </w:r>
      <w:r w:rsidRPr="007608C2">
        <w:rPr>
          <w:rFonts w:cs="Arial"/>
          <w:b/>
        </w:rPr>
        <w:t xml:space="preserve">  </w:t>
      </w:r>
    </w:p>
    <w:p w:rsidR="000D29F3" w:rsidRPr="007608C2" w:rsidRDefault="000D29F3" w:rsidP="000D29F3">
      <w:pPr>
        <w:jc w:val="both"/>
        <w:rPr>
          <w:rFonts w:cs="Arial"/>
          <w:lang w:val="es-CO"/>
        </w:rPr>
      </w:pPr>
      <w:bookmarkStart w:id="72" w:name="_Toc503465511"/>
      <w:r w:rsidRPr="007608C2">
        <w:rPr>
          <w:rFonts w:cs="Arial"/>
        </w:rPr>
        <w:t>Conformación del Banco de Oferentes a nivel Nacional para prestar el servicio público de Bienestar Familiar, a través de la modalidad 1.000 días para cambiar el mundo y donde mediante el acto administrativo Resolución No. 12682 del 1 de diciembre de 2018 se habilitaron 88 de 165 oferentes una vez cumplieron con los componentes técnicos, jurídicos y financieros.</w:t>
      </w:r>
    </w:p>
    <w:p w:rsidR="000D29F3" w:rsidRPr="007608C2" w:rsidRDefault="000D29F3" w:rsidP="000D0DF1">
      <w:pPr>
        <w:pStyle w:val="Prrafodelista"/>
        <w:keepNext/>
        <w:keepLines/>
        <w:numPr>
          <w:ilvl w:val="2"/>
          <w:numId w:val="160"/>
        </w:numPr>
        <w:spacing w:before="100" w:beforeAutospacing="1" w:after="100" w:afterAutospacing="1" w:line="240" w:lineRule="auto"/>
        <w:jc w:val="both"/>
        <w:outlineLvl w:val="1"/>
        <w:rPr>
          <w:rFonts w:eastAsiaTheme="majorEastAsia" w:cs="Arial"/>
          <w:b/>
        </w:rPr>
      </w:pPr>
      <w:bookmarkStart w:id="73" w:name="_Toc505183060"/>
      <w:r w:rsidRPr="007608C2">
        <w:rPr>
          <w:rFonts w:eastAsia="Times New Roman" w:cs="Arial"/>
          <w:b/>
          <w:bCs/>
          <w:kern w:val="32"/>
        </w:rPr>
        <w:lastRenderedPageBreak/>
        <w:t>Sistema de Seguimiento Nutricional – SSN</w:t>
      </w:r>
      <w:bookmarkEnd w:id="72"/>
      <w:bookmarkEnd w:id="73"/>
      <w:r w:rsidRPr="007608C2">
        <w:rPr>
          <w:rFonts w:eastAsia="Times New Roman" w:cs="Arial"/>
          <w:b/>
          <w:bCs/>
          <w:kern w:val="32"/>
        </w:rPr>
        <w:t xml:space="preserve"> </w:t>
      </w:r>
    </w:p>
    <w:p w:rsidR="000D29F3" w:rsidRPr="007608C2" w:rsidRDefault="000D29F3" w:rsidP="000D29F3">
      <w:pPr>
        <w:spacing w:after="0" w:line="240" w:lineRule="auto"/>
        <w:jc w:val="both"/>
        <w:rPr>
          <w:rFonts w:eastAsia="Times New Roman" w:cs="Arial"/>
          <w:lang w:eastAsia="es-MX"/>
        </w:rPr>
      </w:pPr>
      <w:r w:rsidRPr="007608C2">
        <w:rPr>
          <w:rFonts w:eastAsia="Times New Roman" w:cs="Arial"/>
          <w:lang w:eastAsia="es-MX"/>
        </w:rPr>
        <w:t xml:space="preserve">Se logró aumentar el registro de los datos de seguimiento nutricional a través del aplicativo Cuéntame para los trimestres definidos, recibiendo información de las 33 Regionales ICBF, y consolidándose más de </w:t>
      </w:r>
      <w:r w:rsidRPr="007608C2">
        <w:rPr>
          <w:rFonts w:eastAsia="Times New Roman" w:cs="Arial"/>
          <w:lang w:val="es-CO" w:eastAsia="es-CO"/>
        </w:rPr>
        <w:t xml:space="preserve">6’073.062 </w:t>
      </w:r>
      <w:r w:rsidRPr="007608C2">
        <w:rPr>
          <w:rFonts w:eastAsia="Times New Roman" w:cs="Arial"/>
          <w:lang w:eastAsia="es-MX"/>
        </w:rPr>
        <w:t>datos como se relaciona a continuación:</w:t>
      </w:r>
    </w:p>
    <w:p w:rsidR="000D29F3" w:rsidRPr="007608C2" w:rsidRDefault="000D29F3" w:rsidP="000D29F3">
      <w:pPr>
        <w:spacing w:after="0" w:line="240" w:lineRule="auto"/>
        <w:jc w:val="both"/>
        <w:rPr>
          <w:rFonts w:eastAsiaTheme="majorEastAsia" w:cs="Arial"/>
          <w:b/>
        </w:rPr>
      </w:pP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961"/>
        <w:gridCol w:w="841"/>
        <w:gridCol w:w="1201"/>
      </w:tblGrid>
      <w:tr w:rsidR="000D29F3" w:rsidRPr="009C6DCB" w:rsidTr="009C6DCB">
        <w:trPr>
          <w:trHeight w:val="315"/>
          <w:jc w:val="center"/>
        </w:trPr>
        <w:tc>
          <w:tcPr>
            <w:tcW w:w="0" w:type="auto"/>
            <w:shd w:val="clear" w:color="auto" w:fill="76922E"/>
            <w:noWrap/>
            <w:vAlign w:val="center"/>
            <w:hideMark/>
          </w:tcPr>
          <w:p w:rsidR="000D29F3" w:rsidRPr="009C6DCB" w:rsidRDefault="000D29F3" w:rsidP="00B512A3">
            <w:pPr>
              <w:spacing w:before="100" w:beforeAutospacing="1" w:after="100" w:afterAutospacing="1" w:line="240" w:lineRule="auto"/>
              <w:jc w:val="both"/>
              <w:rPr>
                <w:rFonts w:eastAsia="Times New Roman" w:cs="Arial"/>
                <w:b/>
                <w:bCs/>
                <w:color w:val="FFFFFF" w:themeColor="background1"/>
                <w:sz w:val="18"/>
                <w:szCs w:val="18"/>
                <w:lang w:val="es-CO" w:eastAsia="es-CO"/>
              </w:rPr>
            </w:pPr>
            <w:r w:rsidRPr="009C6DCB">
              <w:rPr>
                <w:rFonts w:eastAsia="Times New Roman" w:cs="Arial"/>
                <w:b/>
                <w:bCs/>
                <w:color w:val="FFFFFF" w:themeColor="background1"/>
                <w:sz w:val="18"/>
                <w:szCs w:val="18"/>
                <w:lang w:eastAsia="es-CO"/>
              </w:rPr>
              <w:t>Trimestre</w:t>
            </w:r>
          </w:p>
        </w:tc>
        <w:tc>
          <w:tcPr>
            <w:tcW w:w="0" w:type="auto"/>
            <w:shd w:val="clear" w:color="auto" w:fill="76922E"/>
            <w:noWrap/>
            <w:vAlign w:val="center"/>
            <w:hideMark/>
          </w:tcPr>
          <w:p w:rsidR="000D29F3" w:rsidRPr="009C6DCB" w:rsidRDefault="000D29F3" w:rsidP="00B512A3">
            <w:pPr>
              <w:spacing w:before="100" w:beforeAutospacing="1" w:after="100" w:afterAutospacing="1" w:line="240" w:lineRule="auto"/>
              <w:jc w:val="both"/>
              <w:rPr>
                <w:rFonts w:eastAsia="Times New Roman" w:cs="Arial"/>
                <w:b/>
                <w:bCs/>
                <w:color w:val="FFFFFF" w:themeColor="background1"/>
                <w:sz w:val="18"/>
                <w:szCs w:val="18"/>
                <w:lang w:val="es-CO" w:eastAsia="es-CO"/>
              </w:rPr>
            </w:pPr>
            <w:r w:rsidRPr="009C6DCB">
              <w:rPr>
                <w:rFonts w:eastAsia="Times New Roman" w:cs="Arial"/>
                <w:b/>
                <w:bCs/>
                <w:color w:val="FFFFFF" w:themeColor="background1"/>
                <w:sz w:val="18"/>
                <w:szCs w:val="18"/>
                <w:lang w:eastAsia="es-CO"/>
              </w:rPr>
              <w:t>Reporte</w:t>
            </w:r>
          </w:p>
        </w:tc>
        <w:tc>
          <w:tcPr>
            <w:tcW w:w="0" w:type="auto"/>
            <w:shd w:val="clear" w:color="auto" w:fill="76922E"/>
            <w:noWrap/>
            <w:vAlign w:val="center"/>
            <w:hideMark/>
          </w:tcPr>
          <w:p w:rsidR="000D29F3" w:rsidRPr="009C6DCB" w:rsidRDefault="000D29F3" w:rsidP="00B512A3">
            <w:pPr>
              <w:spacing w:before="100" w:beforeAutospacing="1" w:after="100" w:afterAutospacing="1" w:line="240" w:lineRule="auto"/>
              <w:jc w:val="both"/>
              <w:rPr>
                <w:rFonts w:eastAsia="Times New Roman" w:cs="Arial"/>
                <w:b/>
                <w:bCs/>
                <w:color w:val="FFFFFF" w:themeColor="background1"/>
                <w:sz w:val="18"/>
                <w:szCs w:val="18"/>
                <w:lang w:val="es-CO" w:eastAsia="es-CO"/>
              </w:rPr>
            </w:pPr>
            <w:r w:rsidRPr="009C6DCB">
              <w:rPr>
                <w:rFonts w:eastAsia="Times New Roman" w:cs="Arial"/>
                <w:b/>
                <w:bCs/>
                <w:color w:val="FFFFFF" w:themeColor="background1"/>
                <w:sz w:val="18"/>
                <w:szCs w:val="18"/>
                <w:lang w:eastAsia="es-CO"/>
              </w:rPr>
              <w:t>% Ejecución</w:t>
            </w:r>
          </w:p>
        </w:tc>
      </w:tr>
      <w:tr w:rsidR="000D29F3" w:rsidRPr="009C6DCB" w:rsidTr="00B512A3">
        <w:trPr>
          <w:trHeight w:val="315"/>
          <w:jc w:val="center"/>
        </w:trPr>
        <w:tc>
          <w:tcPr>
            <w:tcW w:w="0" w:type="auto"/>
            <w:shd w:val="clear" w:color="auto" w:fill="auto"/>
            <w:noWrap/>
            <w:vAlign w:val="center"/>
            <w:hideMark/>
          </w:tcPr>
          <w:p w:rsidR="000D29F3" w:rsidRPr="009C6DCB" w:rsidRDefault="000D29F3" w:rsidP="00B512A3">
            <w:pPr>
              <w:spacing w:before="100" w:beforeAutospacing="1" w:after="100" w:afterAutospacing="1" w:line="240" w:lineRule="auto"/>
              <w:jc w:val="both"/>
              <w:rPr>
                <w:rFonts w:eastAsia="Times New Roman" w:cs="Arial"/>
                <w:sz w:val="18"/>
                <w:szCs w:val="18"/>
                <w:lang w:val="es-CO" w:eastAsia="es-CO"/>
              </w:rPr>
            </w:pPr>
            <w:r w:rsidRPr="009C6DCB">
              <w:rPr>
                <w:rFonts w:eastAsia="Times New Roman" w:cs="Arial"/>
                <w:sz w:val="18"/>
                <w:szCs w:val="18"/>
                <w:lang w:eastAsia="es-CO"/>
              </w:rPr>
              <w:t>2017 - 1</w:t>
            </w:r>
          </w:p>
        </w:tc>
        <w:tc>
          <w:tcPr>
            <w:tcW w:w="0" w:type="auto"/>
            <w:shd w:val="clear" w:color="auto" w:fill="auto"/>
            <w:noWrap/>
            <w:vAlign w:val="center"/>
            <w:hideMark/>
          </w:tcPr>
          <w:p w:rsidR="000D29F3" w:rsidRPr="009C6DCB" w:rsidRDefault="000D29F3" w:rsidP="00B512A3">
            <w:pPr>
              <w:spacing w:before="100" w:beforeAutospacing="1" w:after="100" w:afterAutospacing="1" w:line="240" w:lineRule="auto"/>
              <w:jc w:val="both"/>
              <w:rPr>
                <w:rFonts w:eastAsia="Times New Roman" w:cs="Arial"/>
                <w:sz w:val="18"/>
                <w:szCs w:val="18"/>
                <w:lang w:val="es-CO" w:eastAsia="es-CO"/>
              </w:rPr>
            </w:pPr>
            <w:r w:rsidRPr="009C6DCB">
              <w:rPr>
                <w:rFonts w:eastAsia="Times New Roman" w:cs="Arial"/>
                <w:sz w:val="18"/>
                <w:szCs w:val="18"/>
                <w:lang w:eastAsia="es-CO"/>
              </w:rPr>
              <w:t>1463217</w:t>
            </w:r>
          </w:p>
        </w:tc>
        <w:tc>
          <w:tcPr>
            <w:tcW w:w="0" w:type="auto"/>
            <w:shd w:val="clear" w:color="auto" w:fill="auto"/>
            <w:noWrap/>
            <w:vAlign w:val="center"/>
            <w:hideMark/>
          </w:tcPr>
          <w:p w:rsidR="000D29F3" w:rsidRPr="009C6DCB" w:rsidRDefault="000D29F3" w:rsidP="00B512A3">
            <w:pPr>
              <w:spacing w:before="100" w:beforeAutospacing="1" w:after="100" w:afterAutospacing="1" w:line="240" w:lineRule="auto"/>
              <w:jc w:val="center"/>
              <w:rPr>
                <w:rFonts w:eastAsia="Times New Roman" w:cs="Arial"/>
                <w:sz w:val="18"/>
                <w:szCs w:val="18"/>
                <w:lang w:val="es-CO" w:eastAsia="es-CO"/>
              </w:rPr>
            </w:pPr>
            <w:r w:rsidRPr="009C6DCB">
              <w:rPr>
                <w:rFonts w:eastAsia="Times New Roman" w:cs="Arial"/>
                <w:sz w:val="18"/>
                <w:szCs w:val="18"/>
                <w:lang w:eastAsia="es-CO"/>
              </w:rPr>
              <w:t>90%</w:t>
            </w:r>
          </w:p>
        </w:tc>
      </w:tr>
      <w:tr w:rsidR="000D29F3" w:rsidRPr="009C6DCB" w:rsidTr="00B512A3">
        <w:trPr>
          <w:trHeight w:val="315"/>
          <w:jc w:val="center"/>
        </w:trPr>
        <w:tc>
          <w:tcPr>
            <w:tcW w:w="0" w:type="auto"/>
            <w:shd w:val="clear" w:color="auto" w:fill="auto"/>
            <w:noWrap/>
            <w:vAlign w:val="center"/>
            <w:hideMark/>
          </w:tcPr>
          <w:p w:rsidR="000D29F3" w:rsidRPr="009C6DCB" w:rsidRDefault="000D29F3" w:rsidP="00B512A3">
            <w:pPr>
              <w:spacing w:before="100" w:beforeAutospacing="1" w:after="100" w:afterAutospacing="1" w:line="240" w:lineRule="auto"/>
              <w:jc w:val="both"/>
              <w:rPr>
                <w:rFonts w:eastAsia="Times New Roman" w:cs="Arial"/>
                <w:sz w:val="18"/>
                <w:szCs w:val="18"/>
                <w:lang w:val="es-CO" w:eastAsia="es-CO"/>
              </w:rPr>
            </w:pPr>
            <w:r w:rsidRPr="009C6DCB">
              <w:rPr>
                <w:rFonts w:eastAsia="Times New Roman" w:cs="Arial"/>
                <w:sz w:val="18"/>
                <w:szCs w:val="18"/>
                <w:lang w:eastAsia="es-CO"/>
              </w:rPr>
              <w:t>2017 - 2</w:t>
            </w:r>
          </w:p>
        </w:tc>
        <w:tc>
          <w:tcPr>
            <w:tcW w:w="0" w:type="auto"/>
            <w:shd w:val="clear" w:color="auto" w:fill="auto"/>
            <w:noWrap/>
            <w:vAlign w:val="center"/>
            <w:hideMark/>
          </w:tcPr>
          <w:p w:rsidR="000D29F3" w:rsidRPr="009C6DCB" w:rsidRDefault="000D29F3" w:rsidP="00B512A3">
            <w:pPr>
              <w:spacing w:before="100" w:beforeAutospacing="1" w:after="100" w:afterAutospacing="1" w:line="240" w:lineRule="auto"/>
              <w:jc w:val="both"/>
              <w:rPr>
                <w:rFonts w:eastAsia="Times New Roman" w:cs="Arial"/>
                <w:sz w:val="18"/>
                <w:szCs w:val="18"/>
                <w:lang w:val="es-CO" w:eastAsia="es-CO"/>
              </w:rPr>
            </w:pPr>
            <w:r w:rsidRPr="009C6DCB">
              <w:rPr>
                <w:rFonts w:eastAsia="Times New Roman" w:cs="Arial"/>
                <w:sz w:val="18"/>
                <w:szCs w:val="18"/>
                <w:lang w:eastAsia="es-CO"/>
              </w:rPr>
              <w:t>1543728</w:t>
            </w:r>
          </w:p>
        </w:tc>
        <w:tc>
          <w:tcPr>
            <w:tcW w:w="0" w:type="auto"/>
            <w:shd w:val="clear" w:color="auto" w:fill="auto"/>
            <w:noWrap/>
            <w:vAlign w:val="center"/>
            <w:hideMark/>
          </w:tcPr>
          <w:p w:rsidR="000D29F3" w:rsidRPr="009C6DCB" w:rsidRDefault="000D29F3" w:rsidP="00B512A3">
            <w:pPr>
              <w:spacing w:before="100" w:beforeAutospacing="1" w:after="100" w:afterAutospacing="1" w:line="240" w:lineRule="auto"/>
              <w:jc w:val="center"/>
              <w:rPr>
                <w:rFonts w:eastAsia="Times New Roman" w:cs="Arial"/>
                <w:sz w:val="18"/>
                <w:szCs w:val="18"/>
                <w:lang w:val="es-CO" w:eastAsia="es-CO"/>
              </w:rPr>
            </w:pPr>
            <w:r w:rsidRPr="009C6DCB">
              <w:rPr>
                <w:rFonts w:eastAsia="Times New Roman" w:cs="Arial"/>
                <w:sz w:val="18"/>
                <w:szCs w:val="18"/>
                <w:lang w:eastAsia="es-CO"/>
              </w:rPr>
              <w:t>86%</w:t>
            </w:r>
          </w:p>
        </w:tc>
      </w:tr>
      <w:tr w:rsidR="000D29F3" w:rsidRPr="009C6DCB" w:rsidTr="00B512A3">
        <w:trPr>
          <w:trHeight w:val="315"/>
          <w:jc w:val="center"/>
        </w:trPr>
        <w:tc>
          <w:tcPr>
            <w:tcW w:w="0" w:type="auto"/>
            <w:shd w:val="clear" w:color="auto" w:fill="auto"/>
            <w:noWrap/>
            <w:vAlign w:val="center"/>
            <w:hideMark/>
          </w:tcPr>
          <w:p w:rsidR="000D29F3" w:rsidRPr="009C6DCB" w:rsidRDefault="000D29F3" w:rsidP="00B512A3">
            <w:pPr>
              <w:spacing w:before="100" w:beforeAutospacing="1" w:after="100" w:afterAutospacing="1" w:line="240" w:lineRule="auto"/>
              <w:jc w:val="both"/>
              <w:rPr>
                <w:rFonts w:eastAsia="Times New Roman" w:cs="Arial"/>
                <w:sz w:val="18"/>
                <w:szCs w:val="18"/>
                <w:lang w:val="es-CO" w:eastAsia="es-CO"/>
              </w:rPr>
            </w:pPr>
            <w:r w:rsidRPr="009C6DCB">
              <w:rPr>
                <w:rFonts w:eastAsia="Times New Roman" w:cs="Arial"/>
                <w:sz w:val="18"/>
                <w:szCs w:val="18"/>
                <w:lang w:eastAsia="es-CO"/>
              </w:rPr>
              <w:t>2017 - 3</w:t>
            </w:r>
          </w:p>
        </w:tc>
        <w:tc>
          <w:tcPr>
            <w:tcW w:w="0" w:type="auto"/>
            <w:shd w:val="clear" w:color="auto" w:fill="auto"/>
            <w:noWrap/>
            <w:vAlign w:val="center"/>
            <w:hideMark/>
          </w:tcPr>
          <w:p w:rsidR="000D29F3" w:rsidRPr="009C6DCB" w:rsidRDefault="000D29F3" w:rsidP="00B512A3">
            <w:pPr>
              <w:spacing w:before="100" w:beforeAutospacing="1" w:after="100" w:afterAutospacing="1" w:line="240" w:lineRule="auto"/>
              <w:jc w:val="both"/>
              <w:rPr>
                <w:rFonts w:eastAsia="Times New Roman" w:cs="Arial"/>
                <w:sz w:val="18"/>
                <w:szCs w:val="18"/>
                <w:lang w:val="es-CO" w:eastAsia="es-CO"/>
              </w:rPr>
            </w:pPr>
            <w:r w:rsidRPr="009C6DCB">
              <w:rPr>
                <w:rFonts w:eastAsia="Times New Roman" w:cs="Arial"/>
                <w:sz w:val="18"/>
                <w:szCs w:val="18"/>
                <w:lang w:eastAsia="es-CO"/>
              </w:rPr>
              <w:t>1652552</w:t>
            </w:r>
          </w:p>
        </w:tc>
        <w:tc>
          <w:tcPr>
            <w:tcW w:w="0" w:type="auto"/>
            <w:shd w:val="clear" w:color="auto" w:fill="auto"/>
            <w:noWrap/>
            <w:vAlign w:val="center"/>
            <w:hideMark/>
          </w:tcPr>
          <w:p w:rsidR="000D29F3" w:rsidRPr="009C6DCB" w:rsidRDefault="000D29F3" w:rsidP="00B512A3">
            <w:pPr>
              <w:spacing w:before="100" w:beforeAutospacing="1" w:after="100" w:afterAutospacing="1" w:line="240" w:lineRule="auto"/>
              <w:jc w:val="center"/>
              <w:rPr>
                <w:rFonts w:eastAsia="Times New Roman" w:cs="Arial"/>
                <w:sz w:val="18"/>
                <w:szCs w:val="18"/>
                <w:lang w:val="es-CO" w:eastAsia="es-CO"/>
              </w:rPr>
            </w:pPr>
            <w:r w:rsidRPr="009C6DCB">
              <w:rPr>
                <w:rFonts w:eastAsia="Times New Roman" w:cs="Arial"/>
                <w:sz w:val="18"/>
                <w:szCs w:val="18"/>
                <w:lang w:eastAsia="es-CO"/>
              </w:rPr>
              <w:t>88%</w:t>
            </w:r>
          </w:p>
        </w:tc>
      </w:tr>
      <w:tr w:rsidR="000D29F3" w:rsidRPr="009C6DCB" w:rsidTr="00B512A3">
        <w:trPr>
          <w:trHeight w:val="315"/>
          <w:jc w:val="center"/>
        </w:trPr>
        <w:tc>
          <w:tcPr>
            <w:tcW w:w="0" w:type="auto"/>
            <w:shd w:val="clear" w:color="auto" w:fill="auto"/>
            <w:noWrap/>
            <w:vAlign w:val="center"/>
          </w:tcPr>
          <w:p w:rsidR="000D29F3" w:rsidRPr="009C6DCB" w:rsidRDefault="000D29F3" w:rsidP="00B512A3">
            <w:pPr>
              <w:spacing w:before="100" w:beforeAutospacing="1" w:after="100" w:afterAutospacing="1" w:line="240" w:lineRule="auto"/>
              <w:jc w:val="both"/>
              <w:rPr>
                <w:rFonts w:eastAsia="Times New Roman" w:cs="Arial"/>
                <w:sz w:val="18"/>
                <w:szCs w:val="18"/>
                <w:lang w:eastAsia="es-CO"/>
              </w:rPr>
            </w:pPr>
            <w:r w:rsidRPr="009C6DCB">
              <w:rPr>
                <w:rFonts w:eastAsia="Times New Roman" w:cs="Arial"/>
                <w:sz w:val="18"/>
                <w:szCs w:val="18"/>
                <w:lang w:eastAsia="es-CO"/>
              </w:rPr>
              <w:t>2017 - 4</w:t>
            </w:r>
          </w:p>
        </w:tc>
        <w:tc>
          <w:tcPr>
            <w:tcW w:w="0" w:type="auto"/>
            <w:shd w:val="clear" w:color="auto" w:fill="auto"/>
            <w:noWrap/>
            <w:vAlign w:val="center"/>
          </w:tcPr>
          <w:p w:rsidR="000D29F3" w:rsidRPr="009C6DCB" w:rsidRDefault="000D29F3" w:rsidP="00B512A3">
            <w:pPr>
              <w:spacing w:after="0" w:line="240" w:lineRule="auto"/>
              <w:jc w:val="both"/>
              <w:rPr>
                <w:rFonts w:cs="Arial"/>
                <w:sz w:val="18"/>
                <w:szCs w:val="18"/>
                <w:lang w:val="es-CO" w:eastAsia="es-CO"/>
              </w:rPr>
            </w:pPr>
            <w:r w:rsidRPr="009C6DCB">
              <w:rPr>
                <w:rFonts w:eastAsia="Times New Roman" w:cs="Arial"/>
                <w:sz w:val="18"/>
                <w:szCs w:val="18"/>
                <w:lang w:eastAsia="es-CO"/>
              </w:rPr>
              <w:t>1413565</w:t>
            </w:r>
          </w:p>
        </w:tc>
        <w:tc>
          <w:tcPr>
            <w:tcW w:w="0" w:type="auto"/>
            <w:shd w:val="clear" w:color="auto" w:fill="auto"/>
            <w:noWrap/>
            <w:vAlign w:val="center"/>
          </w:tcPr>
          <w:p w:rsidR="000D29F3" w:rsidRPr="009C6DCB" w:rsidRDefault="000D29F3" w:rsidP="00B512A3">
            <w:pPr>
              <w:spacing w:before="100" w:beforeAutospacing="1" w:after="100" w:afterAutospacing="1" w:line="240" w:lineRule="auto"/>
              <w:jc w:val="center"/>
              <w:rPr>
                <w:rFonts w:eastAsia="Times New Roman" w:cs="Arial"/>
                <w:sz w:val="18"/>
                <w:szCs w:val="18"/>
                <w:lang w:eastAsia="es-CO"/>
              </w:rPr>
            </w:pPr>
            <w:r w:rsidRPr="009C6DCB">
              <w:rPr>
                <w:rFonts w:eastAsia="Times New Roman" w:cs="Arial"/>
                <w:sz w:val="18"/>
                <w:szCs w:val="18"/>
                <w:lang w:eastAsia="es-CO"/>
              </w:rPr>
              <w:t>78%</w:t>
            </w:r>
          </w:p>
        </w:tc>
      </w:tr>
    </w:tbl>
    <w:p w:rsidR="000D29F3" w:rsidRPr="009C6DCB" w:rsidRDefault="000D29F3" w:rsidP="00ED7FD2">
      <w:pPr>
        <w:spacing w:after="100" w:afterAutospacing="1" w:line="240" w:lineRule="auto"/>
        <w:jc w:val="center"/>
        <w:rPr>
          <w:rFonts w:eastAsia="Times New Roman" w:cs="Arial"/>
          <w:sz w:val="16"/>
          <w:szCs w:val="16"/>
          <w:lang w:eastAsia="es-ES"/>
        </w:rPr>
      </w:pPr>
      <w:r w:rsidRPr="009C6DCB">
        <w:rPr>
          <w:rFonts w:eastAsia="Times New Roman" w:cs="Arial"/>
          <w:sz w:val="16"/>
          <w:szCs w:val="16"/>
          <w:lang w:eastAsia="es-ES"/>
        </w:rPr>
        <w:t>Fuente: Sistema de Seguimiento Nutricional, ICBF 2017.</w:t>
      </w:r>
    </w:p>
    <w:p w:rsidR="000D29F3" w:rsidRPr="007608C2" w:rsidRDefault="000D29F3" w:rsidP="000D29F3">
      <w:pPr>
        <w:spacing w:before="100" w:beforeAutospacing="1" w:after="100" w:afterAutospacing="1" w:line="240" w:lineRule="auto"/>
        <w:jc w:val="both"/>
        <w:rPr>
          <w:rFonts w:cs="Arial"/>
        </w:rPr>
      </w:pPr>
      <w:r w:rsidRPr="007608C2">
        <w:rPr>
          <w:rFonts w:cs="Arial"/>
        </w:rPr>
        <w:t xml:space="preserve">En términos de vigilancia nutricional, los niños y niñas entre 0 meses y 59 meses de edad, presentaron una disminución significativa de la prevalencia de desnutrición aguda, pasando de 2.2% (n=29.073) a 1,2% (n=16.662) en el cuarto trimestre, logrando una reducción de 42.7% en el número de casos. </w:t>
      </w:r>
    </w:p>
    <w:p w:rsidR="000D29F3" w:rsidRPr="007608C2" w:rsidRDefault="000D29F3" w:rsidP="000D29F3">
      <w:pPr>
        <w:spacing w:before="100" w:beforeAutospacing="1" w:after="100" w:afterAutospacing="1" w:line="240" w:lineRule="auto"/>
        <w:jc w:val="both"/>
        <w:rPr>
          <w:rFonts w:cs="Arial"/>
          <w:lang w:eastAsia="es-ES"/>
        </w:rPr>
      </w:pPr>
      <w:r w:rsidRPr="007608C2">
        <w:rPr>
          <w:rFonts w:cs="Arial"/>
        </w:rPr>
        <w:t xml:space="preserve">Así mismo, la desnutrición global </w:t>
      </w:r>
      <w:r w:rsidRPr="007608C2">
        <w:rPr>
          <w:rFonts w:eastAsia="Times New Roman" w:cs="Arial"/>
          <w:lang w:eastAsia="es-MX"/>
        </w:rPr>
        <w:t xml:space="preserve">presentó un comportamiento similar, mostrando una tendencia descendente al cuarto trimestre en donde la prevalencia pasó a 3% disminuyéndose en 0.9 puntos porcentuales respecto al primer trimestre (3.9%).  </w:t>
      </w:r>
      <w:r w:rsidRPr="007608C2">
        <w:rPr>
          <w:rFonts w:cs="Arial"/>
          <w:lang w:eastAsia="es-CO"/>
        </w:rPr>
        <w:t xml:space="preserve">Las tendencias descendentes de la desnutrición global y aguda de los niños y niñas beneficiarios de Primera Infancia supone una incidencia positiva de los programas y las acciones que se generan a partir de la formulación y ejecución de los planes de intervenciones colectivas, que fueron desarrollados por las 33 Regionales ICBF y favorecen la promoción de hábitos y estilos saludables a través de herramientas como la educación alimentaria y nutricional, el mejoramiento de las prácticas alimentarias y </w:t>
      </w:r>
      <w:r w:rsidRPr="007608C2">
        <w:rPr>
          <w:rFonts w:cs="Arial"/>
          <w:lang w:eastAsia="es-ES"/>
        </w:rPr>
        <w:t>gestión en la articulación intersectorial para la promoción de la salud y atenciones que inciden en el cumplimiento de la garantía de derechos de los niños y las niñas, en corresponsabilidad con el Sistema Nacional de Bienestar Familiar (SNBF) y las familias.</w:t>
      </w:r>
    </w:p>
    <w:p w:rsidR="000D29F3" w:rsidRPr="007608C2" w:rsidRDefault="000D29F3" w:rsidP="000D29F3">
      <w:pPr>
        <w:tabs>
          <w:tab w:val="left" w:pos="34"/>
        </w:tabs>
        <w:spacing w:after="0" w:line="240" w:lineRule="auto"/>
        <w:jc w:val="both"/>
        <w:rPr>
          <w:rFonts w:eastAsia="Times New Roman" w:cs="Arial"/>
          <w:lang w:eastAsia="es-ES"/>
        </w:rPr>
      </w:pPr>
      <w:r w:rsidRPr="007608C2">
        <w:rPr>
          <w:rFonts w:cs="Arial"/>
          <w:lang w:eastAsia="es-ES"/>
        </w:rPr>
        <w:t xml:space="preserve">De igual forma, se ha logrado la optimización y actualización de la herramienta de captura </w:t>
      </w:r>
      <w:r w:rsidRPr="007608C2">
        <w:rPr>
          <w:rFonts w:eastAsia="Times New Roman" w:cs="Arial"/>
          <w:lang w:eastAsia="es-ES"/>
        </w:rPr>
        <w:t>(Sistema de Información Misional Cuéntame) con la implementación de variables y que permiten el seguimiento y vigilancia de la situación nutricional de la población atendida. Igualmente, se inició la construcción del documento para la implementación de la Guía técnica del componente de alimentación y nutrición en población con Discapacidad en los sistemas de información propios.</w:t>
      </w:r>
    </w:p>
    <w:p w:rsidR="000D29F3" w:rsidRPr="007608C2" w:rsidRDefault="000D29F3" w:rsidP="000D29F3">
      <w:pPr>
        <w:tabs>
          <w:tab w:val="left" w:pos="34"/>
        </w:tabs>
        <w:spacing w:after="0" w:line="240" w:lineRule="auto"/>
        <w:ind w:firstLine="34"/>
        <w:jc w:val="both"/>
        <w:rPr>
          <w:rFonts w:eastAsia="Times New Roman" w:cs="Arial"/>
          <w:lang w:eastAsia="es-ES"/>
        </w:rPr>
      </w:pPr>
    </w:p>
    <w:p w:rsidR="000D29F3" w:rsidRPr="007608C2" w:rsidRDefault="000D29F3" w:rsidP="000D29F3">
      <w:pPr>
        <w:autoSpaceDE w:val="0"/>
        <w:autoSpaceDN w:val="0"/>
        <w:adjustRightInd w:val="0"/>
        <w:spacing w:after="0" w:line="240" w:lineRule="auto"/>
        <w:contextualSpacing/>
        <w:jc w:val="both"/>
        <w:rPr>
          <w:rFonts w:eastAsia="Times New Roman" w:cs="Arial"/>
          <w:lang w:eastAsia="es-MX"/>
        </w:rPr>
      </w:pPr>
      <w:r w:rsidRPr="007608C2">
        <w:rPr>
          <w:rFonts w:eastAsia="Times New Roman" w:cs="Arial"/>
          <w:lang w:eastAsia="es-MX"/>
        </w:rPr>
        <w:t>Adicionalmente, se hizo fortalecimiento de la capacidad técnica en temas de Seguimiento Nutricional a las Regionales ICBF Risaralda, Quindío, Caldas, Cauca, Guajira, Sucre, Vaupés, Chocó, Córdoba, Arauca, Bolívar, Bogotá, Tolima, Vaupés y Vichada.</w:t>
      </w:r>
    </w:p>
    <w:p w:rsidR="000D29F3" w:rsidRPr="007608C2" w:rsidRDefault="000D29F3" w:rsidP="000D0DF1">
      <w:pPr>
        <w:keepNext/>
        <w:keepLines/>
        <w:numPr>
          <w:ilvl w:val="2"/>
          <w:numId w:val="160"/>
        </w:numPr>
        <w:spacing w:before="100" w:beforeAutospacing="1" w:after="100" w:afterAutospacing="1" w:line="240" w:lineRule="auto"/>
        <w:jc w:val="both"/>
        <w:outlineLvl w:val="1"/>
        <w:rPr>
          <w:rFonts w:eastAsiaTheme="majorEastAsia" w:cs="Arial"/>
          <w:b/>
        </w:rPr>
      </w:pPr>
      <w:bookmarkStart w:id="74" w:name="_Toc503465512"/>
      <w:bookmarkStart w:id="75" w:name="_Toc505183061"/>
      <w:r w:rsidRPr="007608C2">
        <w:rPr>
          <w:rFonts w:eastAsia="Times New Roman" w:cs="Arial"/>
          <w:b/>
          <w:bCs/>
          <w:kern w:val="32"/>
        </w:rPr>
        <w:t>Alimentos de Alto Valor Nutricional</w:t>
      </w:r>
      <w:bookmarkEnd w:id="74"/>
      <w:r w:rsidRPr="007608C2">
        <w:rPr>
          <w:rFonts w:eastAsia="Times New Roman" w:cs="Arial"/>
          <w:b/>
          <w:bCs/>
          <w:kern w:val="32"/>
        </w:rPr>
        <w:t xml:space="preserve"> - AAVN</w:t>
      </w:r>
      <w:bookmarkEnd w:id="75"/>
    </w:p>
    <w:p w:rsidR="000D29F3" w:rsidRPr="007608C2" w:rsidRDefault="000D29F3" w:rsidP="000D29F3">
      <w:pPr>
        <w:autoSpaceDE w:val="0"/>
        <w:autoSpaceDN w:val="0"/>
        <w:adjustRightInd w:val="0"/>
        <w:spacing w:after="0" w:line="240" w:lineRule="auto"/>
        <w:contextualSpacing/>
        <w:jc w:val="both"/>
        <w:rPr>
          <w:rFonts w:eastAsia="Times New Roman" w:cs="Arial"/>
          <w:lang w:eastAsia="es-MX"/>
        </w:rPr>
      </w:pPr>
      <w:r w:rsidRPr="007608C2">
        <w:rPr>
          <w:rFonts w:eastAsia="Times New Roman" w:cs="Arial"/>
          <w:lang w:eastAsia="es-MX"/>
        </w:rPr>
        <w:t xml:space="preserve">En el marco del derecho a la alimentación y como parte de la complementación alimentaria que brinda el ICBF a los niños, niñas, adolescentes, mujeres gestantes y madres en periodo de </w:t>
      </w:r>
      <w:r w:rsidRPr="007608C2">
        <w:rPr>
          <w:rFonts w:eastAsia="Times New Roman" w:cs="Arial"/>
          <w:lang w:eastAsia="es-MX"/>
        </w:rPr>
        <w:lastRenderedPageBreak/>
        <w:t xml:space="preserve">lactancia y familias beneficiarias, se cuenta con tres Alimentos de Alto Valor Nutricional -AAVN : Bienestarina Más®, Bienestarina® Líquida y el Alimento para la mujer gestante y madre en periodo de lactancia, alimentos que son fortificados con vitaminas y minerales y que contribuyen a la prevención de deficiencias por micronutrientes. </w:t>
      </w:r>
    </w:p>
    <w:p w:rsidR="000D29F3" w:rsidRPr="007608C2" w:rsidRDefault="000D29F3" w:rsidP="000D29F3">
      <w:pPr>
        <w:autoSpaceDE w:val="0"/>
        <w:autoSpaceDN w:val="0"/>
        <w:adjustRightInd w:val="0"/>
        <w:spacing w:after="0" w:line="240" w:lineRule="auto"/>
        <w:contextualSpacing/>
        <w:jc w:val="both"/>
        <w:rPr>
          <w:rFonts w:eastAsia="Times New Roman" w:cs="Arial"/>
          <w:color w:val="FF0000"/>
          <w:lang w:eastAsia="es-MX"/>
        </w:rPr>
      </w:pPr>
    </w:p>
    <w:p w:rsidR="000D29F3" w:rsidRPr="007608C2" w:rsidRDefault="000D29F3" w:rsidP="000D29F3">
      <w:pPr>
        <w:autoSpaceDE w:val="0"/>
        <w:autoSpaceDN w:val="0"/>
        <w:adjustRightInd w:val="0"/>
        <w:spacing w:after="0" w:line="240" w:lineRule="auto"/>
        <w:contextualSpacing/>
        <w:jc w:val="both"/>
        <w:rPr>
          <w:rFonts w:eastAsia="Times New Roman" w:cs="Arial"/>
          <w:color w:val="FF0000"/>
          <w:lang w:eastAsia="es-MX"/>
        </w:rPr>
      </w:pPr>
      <w:r w:rsidRPr="007608C2">
        <w:rPr>
          <w:rFonts w:eastAsia="Times New Roman" w:cs="Arial"/>
          <w:noProof/>
          <w:color w:val="FF0000"/>
          <w:lang w:val="es-CO" w:eastAsia="es-CO"/>
        </w:rPr>
        <w:drawing>
          <wp:inline distT="0" distB="0" distL="0" distR="0" wp14:anchorId="249BCA9A" wp14:editId="1632A4F2">
            <wp:extent cx="5486400" cy="1935480"/>
            <wp:effectExtent l="0" t="0" r="19050" b="0"/>
            <wp:docPr id="479" name="Diagrama 4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0D29F3" w:rsidRPr="007608C2" w:rsidRDefault="000D29F3" w:rsidP="000D29F3">
      <w:pPr>
        <w:spacing w:after="0" w:line="240" w:lineRule="auto"/>
        <w:jc w:val="both"/>
        <w:rPr>
          <w:rFonts w:cs="Arial"/>
          <w:color w:val="FF0000"/>
          <w:lang w:val="es-CO" w:eastAsia="es-ES"/>
        </w:rPr>
      </w:pPr>
    </w:p>
    <w:p w:rsidR="000D29F3" w:rsidRPr="007608C2" w:rsidRDefault="000D29F3" w:rsidP="000D29F3">
      <w:pPr>
        <w:spacing w:after="0" w:line="240" w:lineRule="auto"/>
        <w:jc w:val="both"/>
        <w:rPr>
          <w:rFonts w:cs="Arial"/>
          <w:lang w:val="es-CO" w:eastAsia="es-ES"/>
        </w:rPr>
      </w:pPr>
      <w:r w:rsidRPr="007608C2">
        <w:rPr>
          <w:rFonts w:cs="Arial"/>
          <w:lang w:val="es-MX"/>
        </w:rPr>
        <w:t>El ICBF cuenta con dos (2) plantas de producción ubicadas en Cartago - Valle del Cauca y Sabanagrande - Atlántico,</w:t>
      </w:r>
      <w:r w:rsidRPr="007608C2">
        <w:rPr>
          <w:rFonts w:cs="Arial"/>
        </w:rPr>
        <w:t xml:space="preserve"> donde l</w:t>
      </w:r>
      <w:r w:rsidRPr="007608C2">
        <w:rPr>
          <w:rFonts w:cs="Arial"/>
          <w:lang w:val="es-CO" w:eastAsia="es-ES"/>
        </w:rPr>
        <w:t xml:space="preserve">a Dirección de Nutrición está a cargo del seguimiento a la producción y distribución de estos alimentos, y el desarrollo de nuevos productos que se realizan bajo el contrato 1606/2015 y la interventoría del contratista, realizada bajo el contrato 1675/2015. </w:t>
      </w:r>
    </w:p>
    <w:p w:rsidR="000D29F3" w:rsidRPr="007608C2" w:rsidRDefault="000D29F3" w:rsidP="000D29F3">
      <w:pPr>
        <w:spacing w:after="0" w:line="240" w:lineRule="auto"/>
        <w:jc w:val="both"/>
        <w:rPr>
          <w:rFonts w:cs="Arial"/>
        </w:rPr>
      </w:pPr>
    </w:p>
    <w:p w:rsidR="000D29F3" w:rsidRPr="007608C2" w:rsidRDefault="000D29F3" w:rsidP="00A44A2B">
      <w:pPr>
        <w:numPr>
          <w:ilvl w:val="0"/>
          <w:numId w:val="65"/>
        </w:numPr>
        <w:rPr>
          <w:rFonts w:eastAsia="Times New Roman" w:cs="Arial"/>
          <w:b/>
          <w:lang w:val="es-CO" w:eastAsia="es-ES"/>
        </w:rPr>
      </w:pPr>
      <w:r w:rsidRPr="007608C2">
        <w:rPr>
          <w:rFonts w:eastAsia="Times New Roman" w:cs="Arial"/>
          <w:b/>
          <w:lang w:val="es-CO" w:eastAsia="es-ES"/>
        </w:rPr>
        <w:t xml:space="preserve">Producción y </w:t>
      </w:r>
      <w:r w:rsidRPr="007608C2">
        <w:rPr>
          <w:rFonts w:eastAsia="Times New Roman" w:cs="Arial"/>
          <w:b/>
          <w:lang w:val="es-CO" w:eastAsia="es-ES"/>
          <w14:numSpacing w14:val="proportional"/>
        </w:rPr>
        <w:t>distribución</w:t>
      </w:r>
      <w:r w:rsidRPr="007608C2">
        <w:rPr>
          <w:rFonts w:eastAsia="Times New Roman" w:cs="Arial"/>
          <w:b/>
          <w:lang w:val="es-CO" w:eastAsia="es-ES"/>
        </w:rPr>
        <w:t xml:space="preserve"> </w:t>
      </w:r>
    </w:p>
    <w:p w:rsidR="000D29F3" w:rsidRPr="007608C2" w:rsidRDefault="000D29F3" w:rsidP="000D29F3">
      <w:pPr>
        <w:spacing w:after="0" w:line="240" w:lineRule="auto"/>
        <w:jc w:val="both"/>
        <w:rPr>
          <w:rFonts w:cs="Arial"/>
          <w:lang w:val="es-CO" w:eastAsia="es-ES"/>
        </w:rPr>
      </w:pPr>
      <w:r w:rsidRPr="007608C2">
        <w:rPr>
          <w:rFonts w:cs="Arial"/>
          <w:lang w:val="es-CO" w:eastAsia="es-ES"/>
        </w:rPr>
        <w:t>Durante la vigencia 2017 se presentó el siguiente panorama a nivel nacional:</w:t>
      </w:r>
    </w:p>
    <w:p w:rsidR="000D29F3" w:rsidRPr="007608C2" w:rsidRDefault="000D29F3" w:rsidP="000D29F3">
      <w:pPr>
        <w:spacing w:after="0" w:line="240" w:lineRule="auto"/>
        <w:jc w:val="center"/>
        <w:rPr>
          <w:rFonts w:cs="Arial"/>
          <w:color w:val="FF0000"/>
          <w:lang w:val="es-CO" w:eastAsia="es-ES"/>
        </w:rPr>
      </w:pPr>
      <w:r w:rsidRPr="007608C2">
        <w:rPr>
          <w:rFonts w:cs="Arial"/>
          <w:noProof/>
          <w:color w:val="FF0000"/>
          <w:lang w:val="es-CO" w:eastAsia="es-CO"/>
        </w:rPr>
        <w:drawing>
          <wp:inline distT="0" distB="0" distL="0" distR="0" wp14:anchorId="409274F7" wp14:editId="4D9DFE59">
            <wp:extent cx="4819650" cy="895350"/>
            <wp:effectExtent l="57150" t="0" r="19050" b="0"/>
            <wp:docPr id="480" name="Diagrama 4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0D29F3" w:rsidRPr="007608C2" w:rsidRDefault="000D29F3" w:rsidP="000D29F3">
      <w:pPr>
        <w:spacing w:after="0" w:line="240" w:lineRule="auto"/>
        <w:jc w:val="both"/>
        <w:rPr>
          <w:rFonts w:cs="Arial"/>
          <w:sz w:val="16"/>
          <w:szCs w:val="18"/>
        </w:rPr>
      </w:pPr>
      <w:r w:rsidRPr="007608C2">
        <w:rPr>
          <w:rFonts w:cs="Arial"/>
          <w:sz w:val="16"/>
          <w:szCs w:val="18"/>
        </w:rPr>
        <w:t>Nota:</w:t>
      </w:r>
      <w:r w:rsidRPr="007608C2">
        <w:rPr>
          <w:rFonts w:cs="Arial"/>
          <w:lang w:val="es-CO" w:eastAsia="es-ES"/>
        </w:rPr>
        <w:t xml:space="preserve"> </w:t>
      </w:r>
      <w:r w:rsidRPr="007608C2">
        <w:rPr>
          <w:rFonts w:cs="Arial"/>
          <w:sz w:val="16"/>
          <w:szCs w:val="18"/>
        </w:rPr>
        <w:t>Lo distribuido es mayor a lo producido porque en la vigencia se inició con unos inventarios de Alimentos de Alto Valor Nutricional.</w:t>
      </w:r>
    </w:p>
    <w:p w:rsidR="000D29F3" w:rsidRPr="007608C2" w:rsidRDefault="000D29F3" w:rsidP="000D29F3">
      <w:pPr>
        <w:spacing w:after="0" w:line="240" w:lineRule="auto"/>
        <w:jc w:val="both"/>
        <w:rPr>
          <w:rFonts w:cs="Arial"/>
          <w:lang w:val="es-CO" w:eastAsia="es-ES"/>
        </w:rPr>
      </w:pPr>
    </w:p>
    <w:p w:rsidR="000D29F3" w:rsidRPr="007608C2" w:rsidRDefault="000D29F3" w:rsidP="00A44A2B">
      <w:pPr>
        <w:numPr>
          <w:ilvl w:val="0"/>
          <w:numId w:val="65"/>
        </w:numPr>
        <w:spacing w:after="0" w:line="240" w:lineRule="auto"/>
        <w:jc w:val="both"/>
        <w:rPr>
          <w:rFonts w:cs="Arial"/>
          <w:b/>
          <w:lang w:val="es-CO" w:eastAsia="es-ES"/>
        </w:rPr>
      </w:pPr>
      <w:r w:rsidRPr="007608C2">
        <w:rPr>
          <w:rFonts w:cs="Arial"/>
          <w:b/>
          <w:lang w:val="es-CO" w:eastAsia="es-ES"/>
        </w:rPr>
        <w:t>Bienestarina Más®</w:t>
      </w:r>
    </w:p>
    <w:p w:rsidR="000D29F3" w:rsidRPr="007608C2" w:rsidRDefault="000D29F3" w:rsidP="000D29F3">
      <w:pPr>
        <w:spacing w:after="0" w:line="240" w:lineRule="auto"/>
        <w:ind w:left="360"/>
        <w:jc w:val="both"/>
        <w:rPr>
          <w:rFonts w:cs="Arial"/>
          <w:b/>
          <w:lang w:val="es-CO" w:eastAsia="es-ES"/>
        </w:rPr>
      </w:pPr>
    </w:p>
    <w:p w:rsidR="000D29F3" w:rsidRPr="007608C2" w:rsidRDefault="000D29F3" w:rsidP="000D29F3">
      <w:pPr>
        <w:spacing w:after="0" w:line="240" w:lineRule="auto"/>
        <w:jc w:val="both"/>
        <w:rPr>
          <w:rFonts w:cs="Arial"/>
          <w:lang w:val="es-CO" w:eastAsia="es-ES"/>
        </w:rPr>
      </w:pPr>
      <w:r w:rsidRPr="007608C2">
        <w:rPr>
          <w:rFonts w:cs="Arial"/>
          <w:lang w:val="es-CO" w:eastAsia="es-ES"/>
        </w:rPr>
        <w:t xml:space="preserve">Es un complemento nutricional diseñado especialmente para los niños y niñas menores de 5 años, fortificado con vitaminas, minerales y ácidos grasos esenciales. </w:t>
      </w:r>
    </w:p>
    <w:p w:rsidR="000D29F3" w:rsidRPr="007608C2" w:rsidRDefault="000D29F3" w:rsidP="000D29F3">
      <w:pPr>
        <w:spacing w:after="0" w:line="240" w:lineRule="auto"/>
        <w:jc w:val="both"/>
        <w:rPr>
          <w:rFonts w:cs="Arial"/>
          <w:lang w:val="es-CO" w:eastAsia="es-ES"/>
        </w:rPr>
      </w:pPr>
    </w:p>
    <w:p w:rsidR="000D29F3" w:rsidRPr="007608C2" w:rsidRDefault="000D29F3" w:rsidP="000D29F3">
      <w:pPr>
        <w:spacing w:after="0" w:line="240" w:lineRule="auto"/>
        <w:jc w:val="both"/>
        <w:rPr>
          <w:rFonts w:cs="Arial"/>
          <w:lang w:val="es-CO" w:eastAsia="es-ES"/>
        </w:rPr>
      </w:pPr>
      <w:r w:rsidRPr="007608C2">
        <w:rPr>
          <w:rFonts w:cs="Arial"/>
          <w:lang w:val="es-CO" w:eastAsia="es-ES"/>
        </w:rPr>
        <w:t>Durante la vigencia 2017 se produjeron 14.903 toneladas y se distribuyeron 15.551</w:t>
      </w:r>
      <w:r w:rsidRPr="007608C2">
        <w:rPr>
          <w:rFonts w:cs="Arial"/>
          <w:vertAlign w:val="superscript"/>
          <w:lang w:val="es-CO" w:eastAsia="es-ES"/>
        </w:rPr>
        <w:footnoteReference w:id="5"/>
      </w:r>
      <w:r w:rsidRPr="007608C2">
        <w:rPr>
          <w:rFonts w:cs="Arial"/>
          <w:lang w:val="es-CO" w:eastAsia="es-ES"/>
        </w:rPr>
        <w:t xml:space="preserve"> toneladas para la atención de las modalidades del ICBF, entregas especiales por atención de emergencias o acompañamientos de jornadas y/o convenios firmados con otras entidades, logrando la atención de 2.546.689 beneficiarios, en alrededor de 4.200 puntos de entrega.</w:t>
      </w:r>
    </w:p>
    <w:p w:rsidR="000D29F3" w:rsidRPr="007608C2" w:rsidRDefault="000D29F3" w:rsidP="000D29F3">
      <w:pPr>
        <w:spacing w:after="0" w:line="240" w:lineRule="auto"/>
        <w:jc w:val="both"/>
        <w:rPr>
          <w:rFonts w:cs="Arial"/>
          <w:lang w:val="es-CO" w:eastAsia="es-ES"/>
        </w:rPr>
      </w:pPr>
    </w:p>
    <w:p w:rsidR="000D29F3" w:rsidRPr="007608C2" w:rsidRDefault="000D29F3" w:rsidP="000D29F3">
      <w:pPr>
        <w:spacing w:after="0" w:line="240" w:lineRule="auto"/>
        <w:jc w:val="both"/>
        <w:rPr>
          <w:rFonts w:cs="Arial"/>
          <w:lang w:val="es-CO" w:eastAsia="es-ES"/>
        </w:rPr>
      </w:pPr>
      <w:r w:rsidRPr="007608C2">
        <w:rPr>
          <w:rFonts w:cs="Arial"/>
          <w:lang w:val="es-CO" w:eastAsia="es-ES"/>
        </w:rPr>
        <w:t>La Bienestarina Más® distribuida y los beneficiarios atendidos por modalidades de atención son:</w:t>
      </w:r>
    </w:p>
    <w:p w:rsidR="000D29F3" w:rsidRPr="007608C2" w:rsidRDefault="000D29F3" w:rsidP="000D29F3">
      <w:pPr>
        <w:spacing w:after="0" w:line="240" w:lineRule="auto"/>
        <w:jc w:val="both"/>
        <w:rPr>
          <w:rFonts w:cs="Arial"/>
          <w:lang w:val="es-CO" w:eastAsia="es-ES"/>
        </w:rPr>
      </w:pPr>
    </w:p>
    <w:tbl>
      <w:tblPr>
        <w:tblW w:w="5000" w:type="pct"/>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CellMar>
          <w:left w:w="70" w:type="dxa"/>
          <w:right w:w="70" w:type="dxa"/>
        </w:tblCellMar>
        <w:tblLook w:val="04A0" w:firstRow="1" w:lastRow="0" w:firstColumn="1" w:lastColumn="0" w:noHBand="0" w:noVBand="1"/>
      </w:tblPr>
      <w:tblGrid>
        <w:gridCol w:w="5383"/>
        <w:gridCol w:w="1417"/>
        <w:gridCol w:w="2595"/>
      </w:tblGrid>
      <w:tr w:rsidR="000D29F3" w:rsidRPr="009C6DCB" w:rsidTr="009C6DCB">
        <w:trPr>
          <w:trHeight w:val="20"/>
          <w:tblHeader/>
          <w:jc w:val="center"/>
        </w:trPr>
        <w:tc>
          <w:tcPr>
            <w:tcW w:w="2865" w:type="pct"/>
            <w:shd w:val="clear" w:color="auto" w:fill="76922E"/>
            <w:vAlign w:val="center"/>
            <w:hideMark/>
          </w:tcPr>
          <w:p w:rsidR="000D29F3" w:rsidRPr="009C6DCB" w:rsidRDefault="000D29F3" w:rsidP="00B512A3">
            <w:pPr>
              <w:spacing w:after="0" w:line="240" w:lineRule="auto"/>
              <w:jc w:val="center"/>
              <w:rPr>
                <w:rFonts w:eastAsia="Times New Roman" w:cs="Arial"/>
                <w:b/>
                <w:color w:val="FFFFFF" w:themeColor="background1"/>
                <w:sz w:val="18"/>
                <w:szCs w:val="18"/>
                <w:lang w:val="es-CO" w:eastAsia="es-ES"/>
              </w:rPr>
            </w:pPr>
            <w:r w:rsidRPr="009C6DCB">
              <w:rPr>
                <w:rFonts w:eastAsia="Times New Roman" w:cs="Arial"/>
                <w:b/>
                <w:color w:val="FFFFFF" w:themeColor="background1"/>
                <w:sz w:val="18"/>
                <w:szCs w:val="18"/>
                <w:lang w:val="es-CO" w:eastAsia="es-ES"/>
              </w:rPr>
              <w:t>Modalidad</w:t>
            </w:r>
          </w:p>
        </w:tc>
        <w:tc>
          <w:tcPr>
            <w:tcW w:w="754" w:type="pct"/>
            <w:shd w:val="clear" w:color="auto" w:fill="76922E"/>
            <w:vAlign w:val="center"/>
            <w:hideMark/>
          </w:tcPr>
          <w:p w:rsidR="000D29F3" w:rsidRPr="009C6DCB" w:rsidRDefault="000D29F3" w:rsidP="00B512A3">
            <w:pPr>
              <w:spacing w:after="0" w:line="240" w:lineRule="auto"/>
              <w:jc w:val="center"/>
              <w:rPr>
                <w:rFonts w:eastAsia="Times New Roman" w:cs="Arial"/>
                <w:b/>
                <w:color w:val="FFFFFF" w:themeColor="background1"/>
                <w:sz w:val="18"/>
                <w:szCs w:val="18"/>
                <w:lang w:val="es-CO" w:eastAsia="es-ES"/>
              </w:rPr>
            </w:pPr>
            <w:r w:rsidRPr="009C6DCB">
              <w:rPr>
                <w:rFonts w:eastAsia="Times New Roman" w:cs="Arial"/>
                <w:b/>
                <w:color w:val="FFFFFF" w:themeColor="background1"/>
                <w:sz w:val="18"/>
                <w:szCs w:val="18"/>
                <w:lang w:val="es-CO" w:eastAsia="es-ES"/>
              </w:rPr>
              <w:t>Beneficiarios</w:t>
            </w:r>
          </w:p>
        </w:tc>
        <w:tc>
          <w:tcPr>
            <w:tcW w:w="1382" w:type="pct"/>
            <w:shd w:val="clear" w:color="auto" w:fill="76922E"/>
            <w:vAlign w:val="center"/>
            <w:hideMark/>
          </w:tcPr>
          <w:p w:rsidR="000D29F3" w:rsidRPr="009C6DCB" w:rsidRDefault="000D29F3" w:rsidP="00B512A3">
            <w:pPr>
              <w:spacing w:after="0" w:line="240" w:lineRule="auto"/>
              <w:jc w:val="center"/>
              <w:rPr>
                <w:rFonts w:eastAsia="Times New Roman" w:cs="Arial"/>
                <w:b/>
                <w:color w:val="FFFFFF" w:themeColor="background1"/>
                <w:sz w:val="18"/>
                <w:szCs w:val="18"/>
                <w:lang w:val="es-CO" w:eastAsia="es-ES"/>
              </w:rPr>
            </w:pPr>
            <w:r w:rsidRPr="009C6DCB">
              <w:rPr>
                <w:rFonts w:eastAsia="Times New Roman" w:cs="Arial"/>
                <w:b/>
                <w:color w:val="FFFFFF" w:themeColor="background1"/>
                <w:sz w:val="18"/>
                <w:szCs w:val="18"/>
                <w:lang w:val="es-CO" w:eastAsia="es-ES"/>
              </w:rPr>
              <w:t xml:space="preserve">Toneladas de Bienestarina Más® distribuidas </w:t>
            </w:r>
          </w:p>
        </w:tc>
      </w:tr>
      <w:tr w:rsidR="000D29F3" w:rsidRPr="009C6DCB" w:rsidTr="009C6DCB">
        <w:trPr>
          <w:trHeight w:val="20"/>
          <w:jc w:val="center"/>
        </w:trPr>
        <w:tc>
          <w:tcPr>
            <w:tcW w:w="2865" w:type="pct"/>
            <w:shd w:val="clear" w:color="auto" w:fill="auto"/>
            <w:noWrap/>
            <w:vAlign w:val="bottom"/>
          </w:tcPr>
          <w:p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1.000 días para cambiar el mundo</w:t>
            </w:r>
          </w:p>
        </w:tc>
        <w:tc>
          <w:tcPr>
            <w:tcW w:w="754"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25.693 </w:t>
            </w:r>
          </w:p>
        </w:tc>
        <w:tc>
          <w:tcPr>
            <w:tcW w:w="1382"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276,1 </w:t>
            </w:r>
          </w:p>
        </w:tc>
      </w:tr>
      <w:tr w:rsidR="000D29F3" w:rsidRPr="009C6DCB" w:rsidTr="009C6DCB">
        <w:trPr>
          <w:trHeight w:val="20"/>
          <w:jc w:val="center"/>
        </w:trPr>
        <w:tc>
          <w:tcPr>
            <w:tcW w:w="2865" w:type="pct"/>
            <w:shd w:val="clear" w:color="auto" w:fill="auto"/>
            <w:noWrap/>
            <w:vAlign w:val="bottom"/>
          </w:tcPr>
          <w:p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Atención a niños hasta los 3 años en establecimientos de reclusión a mujeres integral</w:t>
            </w:r>
          </w:p>
        </w:tc>
        <w:tc>
          <w:tcPr>
            <w:tcW w:w="754"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165 </w:t>
            </w:r>
          </w:p>
        </w:tc>
        <w:tc>
          <w:tcPr>
            <w:tcW w:w="1382"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2,0 </w:t>
            </w:r>
          </w:p>
        </w:tc>
      </w:tr>
      <w:tr w:rsidR="000D29F3" w:rsidRPr="009C6DCB" w:rsidTr="009C6DCB">
        <w:trPr>
          <w:trHeight w:val="20"/>
          <w:jc w:val="center"/>
        </w:trPr>
        <w:tc>
          <w:tcPr>
            <w:tcW w:w="2865" w:type="pct"/>
            <w:shd w:val="clear" w:color="auto" w:fill="auto"/>
            <w:noWrap/>
            <w:vAlign w:val="bottom"/>
          </w:tcPr>
          <w:p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Atención propia e intercultural</w:t>
            </w:r>
          </w:p>
        </w:tc>
        <w:tc>
          <w:tcPr>
            <w:tcW w:w="754"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75.392 </w:t>
            </w:r>
          </w:p>
        </w:tc>
        <w:tc>
          <w:tcPr>
            <w:tcW w:w="1382"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495,7 </w:t>
            </w:r>
          </w:p>
        </w:tc>
      </w:tr>
      <w:tr w:rsidR="000D29F3" w:rsidRPr="009C6DCB" w:rsidTr="009C6DCB">
        <w:trPr>
          <w:trHeight w:val="20"/>
          <w:jc w:val="center"/>
        </w:trPr>
        <w:tc>
          <w:tcPr>
            <w:tcW w:w="2865" w:type="pct"/>
            <w:shd w:val="clear" w:color="auto" w:fill="auto"/>
            <w:noWrap/>
            <w:vAlign w:val="bottom"/>
          </w:tcPr>
          <w:p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 xml:space="preserve">Alimentos de alto valor nutricional por convenios </w:t>
            </w:r>
          </w:p>
        </w:tc>
        <w:tc>
          <w:tcPr>
            <w:tcW w:w="754"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520.323 </w:t>
            </w:r>
          </w:p>
        </w:tc>
        <w:tc>
          <w:tcPr>
            <w:tcW w:w="1382"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603,2 </w:t>
            </w:r>
          </w:p>
        </w:tc>
      </w:tr>
      <w:tr w:rsidR="000D29F3" w:rsidRPr="009C6DCB" w:rsidTr="009C6DCB">
        <w:trPr>
          <w:trHeight w:val="20"/>
          <w:jc w:val="center"/>
        </w:trPr>
        <w:tc>
          <w:tcPr>
            <w:tcW w:w="2865" w:type="pct"/>
            <w:shd w:val="clear" w:color="auto" w:fill="auto"/>
            <w:noWrap/>
            <w:vAlign w:val="bottom"/>
          </w:tcPr>
          <w:p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Casa hogar</w:t>
            </w:r>
          </w:p>
        </w:tc>
        <w:tc>
          <w:tcPr>
            <w:tcW w:w="754"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549 </w:t>
            </w:r>
          </w:p>
        </w:tc>
        <w:tc>
          <w:tcPr>
            <w:tcW w:w="1382"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4,7 </w:t>
            </w:r>
          </w:p>
        </w:tc>
      </w:tr>
      <w:tr w:rsidR="000D29F3" w:rsidRPr="009C6DCB" w:rsidTr="009C6DCB">
        <w:trPr>
          <w:trHeight w:val="20"/>
          <w:jc w:val="center"/>
        </w:trPr>
        <w:tc>
          <w:tcPr>
            <w:tcW w:w="2865" w:type="pct"/>
            <w:shd w:val="clear" w:color="auto" w:fill="auto"/>
            <w:noWrap/>
            <w:vAlign w:val="bottom"/>
          </w:tcPr>
          <w:p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CDI centro de desarrollo infantil</w:t>
            </w:r>
          </w:p>
        </w:tc>
        <w:tc>
          <w:tcPr>
            <w:tcW w:w="754"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288.964 </w:t>
            </w:r>
          </w:p>
        </w:tc>
        <w:tc>
          <w:tcPr>
            <w:tcW w:w="1382"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2.251,9 </w:t>
            </w:r>
          </w:p>
        </w:tc>
      </w:tr>
      <w:tr w:rsidR="000D29F3" w:rsidRPr="009C6DCB" w:rsidTr="009C6DCB">
        <w:trPr>
          <w:trHeight w:val="20"/>
          <w:jc w:val="center"/>
        </w:trPr>
        <w:tc>
          <w:tcPr>
            <w:tcW w:w="2865" w:type="pct"/>
            <w:shd w:val="clear" w:color="auto" w:fill="auto"/>
            <w:noWrap/>
            <w:vAlign w:val="bottom"/>
          </w:tcPr>
          <w:p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Centro de atención</w:t>
            </w:r>
          </w:p>
        </w:tc>
        <w:tc>
          <w:tcPr>
            <w:tcW w:w="754"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232 </w:t>
            </w:r>
          </w:p>
        </w:tc>
        <w:tc>
          <w:tcPr>
            <w:tcW w:w="1382"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1,7 </w:t>
            </w:r>
          </w:p>
        </w:tc>
      </w:tr>
      <w:tr w:rsidR="000D29F3" w:rsidRPr="009C6DCB" w:rsidTr="009C6DCB">
        <w:trPr>
          <w:trHeight w:val="20"/>
          <w:jc w:val="center"/>
        </w:trPr>
        <w:tc>
          <w:tcPr>
            <w:tcW w:w="2865" w:type="pct"/>
            <w:shd w:val="clear" w:color="auto" w:fill="auto"/>
            <w:noWrap/>
            <w:vAlign w:val="bottom"/>
          </w:tcPr>
          <w:p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Centro de atención especializado</w:t>
            </w:r>
          </w:p>
        </w:tc>
        <w:tc>
          <w:tcPr>
            <w:tcW w:w="754"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1.770 </w:t>
            </w:r>
          </w:p>
        </w:tc>
        <w:tc>
          <w:tcPr>
            <w:tcW w:w="1382"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13,1 </w:t>
            </w:r>
          </w:p>
        </w:tc>
      </w:tr>
      <w:tr w:rsidR="000D29F3" w:rsidRPr="009C6DCB" w:rsidTr="009C6DCB">
        <w:trPr>
          <w:trHeight w:val="20"/>
          <w:jc w:val="center"/>
        </w:trPr>
        <w:tc>
          <w:tcPr>
            <w:tcW w:w="2865" w:type="pct"/>
            <w:shd w:val="clear" w:color="auto" w:fill="auto"/>
            <w:noWrap/>
            <w:vAlign w:val="bottom"/>
          </w:tcPr>
          <w:p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Centros de emergencia</w:t>
            </w:r>
          </w:p>
        </w:tc>
        <w:tc>
          <w:tcPr>
            <w:tcW w:w="754"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799 </w:t>
            </w:r>
          </w:p>
        </w:tc>
        <w:tc>
          <w:tcPr>
            <w:tcW w:w="1382"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7,7 </w:t>
            </w:r>
          </w:p>
        </w:tc>
      </w:tr>
      <w:tr w:rsidR="000D29F3" w:rsidRPr="009C6DCB" w:rsidTr="009C6DCB">
        <w:trPr>
          <w:trHeight w:val="20"/>
          <w:jc w:val="center"/>
        </w:trPr>
        <w:tc>
          <w:tcPr>
            <w:tcW w:w="2865" w:type="pct"/>
            <w:shd w:val="clear" w:color="auto" w:fill="auto"/>
            <w:noWrap/>
            <w:vAlign w:val="bottom"/>
          </w:tcPr>
          <w:p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Comunidades rurales</w:t>
            </w:r>
          </w:p>
        </w:tc>
        <w:tc>
          <w:tcPr>
            <w:tcW w:w="754"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1.920 </w:t>
            </w:r>
          </w:p>
        </w:tc>
        <w:tc>
          <w:tcPr>
            <w:tcW w:w="1382"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18,1 </w:t>
            </w:r>
          </w:p>
        </w:tc>
      </w:tr>
      <w:tr w:rsidR="000D29F3" w:rsidRPr="009C6DCB" w:rsidTr="009C6DCB">
        <w:trPr>
          <w:trHeight w:val="20"/>
          <w:jc w:val="center"/>
        </w:trPr>
        <w:tc>
          <w:tcPr>
            <w:tcW w:w="2865" w:type="pct"/>
            <w:shd w:val="clear" w:color="auto" w:fill="auto"/>
            <w:noWrap/>
            <w:vAlign w:val="bottom"/>
          </w:tcPr>
          <w:p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Concertación - Atención propia e intercultural</w:t>
            </w:r>
          </w:p>
        </w:tc>
        <w:tc>
          <w:tcPr>
            <w:tcW w:w="754"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3.601 </w:t>
            </w:r>
          </w:p>
        </w:tc>
        <w:tc>
          <w:tcPr>
            <w:tcW w:w="1382"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2,5 </w:t>
            </w:r>
          </w:p>
        </w:tc>
      </w:tr>
      <w:tr w:rsidR="000D29F3" w:rsidRPr="009C6DCB" w:rsidTr="009C6DCB">
        <w:trPr>
          <w:trHeight w:val="20"/>
          <w:jc w:val="center"/>
        </w:trPr>
        <w:tc>
          <w:tcPr>
            <w:tcW w:w="2865" w:type="pct"/>
            <w:shd w:val="clear" w:color="auto" w:fill="auto"/>
            <w:noWrap/>
            <w:vAlign w:val="bottom"/>
          </w:tcPr>
          <w:p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Desarrollo infantil en medio familiar</w:t>
            </w:r>
          </w:p>
        </w:tc>
        <w:tc>
          <w:tcPr>
            <w:tcW w:w="754"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544.652 </w:t>
            </w:r>
          </w:p>
        </w:tc>
        <w:tc>
          <w:tcPr>
            <w:tcW w:w="1382"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3.148,1 </w:t>
            </w:r>
          </w:p>
        </w:tc>
      </w:tr>
      <w:tr w:rsidR="000D29F3" w:rsidRPr="009C6DCB" w:rsidTr="009C6DCB">
        <w:trPr>
          <w:trHeight w:val="20"/>
          <w:jc w:val="center"/>
        </w:trPr>
        <w:tc>
          <w:tcPr>
            <w:tcW w:w="2865" w:type="pct"/>
            <w:shd w:val="clear" w:color="auto" w:fill="auto"/>
            <w:noWrap/>
            <w:vAlign w:val="bottom"/>
          </w:tcPr>
          <w:p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Entregas especiales</w:t>
            </w:r>
          </w:p>
        </w:tc>
        <w:tc>
          <w:tcPr>
            <w:tcW w:w="754"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64.720 </w:t>
            </w:r>
          </w:p>
        </w:tc>
        <w:tc>
          <w:tcPr>
            <w:tcW w:w="1382"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38,7 </w:t>
            </w:r>
          </w:p>
        </w:tc>
      </w:tr>
      <w:tr w:rsidR="000D29F3" w:rsidRPr="009C6DCB" w:rsidTr="009C6DCB">
        <w:trPr>
          <w:trHeight w:val="20"/>
          <w:jc w:val="center"/>
        </w:trPr>
        <w:tc>
          <w:tcPr>
            <w:tcW w:w="2865" w:type="pct"/>
            <w:shd w:val="clear" w:color="auto" w:fill="auto"/>
            <w:noWrap/>
            <w:vAlign w:val="bottom"/>
          </w:tcPr>
          <w:p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Externados - internados</w:t>
            </w:r>
          </w:p>
        </w:tc>
        <w:tc>
          <w:tcPr>
            <w:tcW w:w="754"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29.793 </w:t>
            </w:r>
          </w:p>
        </w:tc>
        <w:tc>
          <w:tcPr>
            <w:tcW w:w="1382"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218,3 </w:t>
            </w:r>
          </w:p>
        </w:tc>
      </w:tr>
      <w:tr w:rsidR="000D29F3" w:rsidRPr="009C6DCB" w:rsidTr="009C6DCB">
        <w:trPr>
          <w:trHeight w:val="20"/>
          <w:jc w:val="center"/>
        </w:trPr>
        <w:tc>
          <w:tcPr>
            <w:tcW w:w="2865" w:type="pct"/>
            <w:shd w:val="clear" w:color="auto" w:fill="auto"/>
            <w:noWrap/>
            <w:vAlign w:val="bottom"/>
          </w:tcPr>
          <w:p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Familias con bienestar para la paz</w:t>
            </w:r>
          </w:p>
        </w:tc>
        <w:tc>
          <w:tcPr>
            <w:tcW w:w="754"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5.835 </w:t>
            </w:r>
          </w:p>
        </w:tc>
        <w:tc>
          <w:tcPr>
            <w:tcW w:w="1382"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65,2 </w:t>
            </w:r>
          </w:p>
        </w:tc>
      </w:tr>
      <w:tr w:rsidR="000D29F3" w:rsidRPr="009C6DCB" w:rsidTr="009C6DCB">
        <w:trPr>
          <w:trHeight w:val="20"/>
          <w:jc w:val="center"/>
        </w:trPr>
        <w:tc>
          <w:tcPr>
            <w:tcW w:w="2865" w:type="pct"/>
            <w:shd w:val="clear" w:color="auto" w:fill="auto"/>
            <w:noWrap/>
            <w:vAlign w:val="bottom"/>
          </w:tcPr>
          <w:p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Hogares comunitarios</w:t>
            </w:r>
          </w:p>
        </w:tc>
        <w:tc>
          <w:tcPr>
            <w:tcW w:w="754"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612.678 </w:t>
            </w:r>
          </w:p>
        </w:tc>
        <w:tc>
          <w:tcPr>
            <w:tcW w:w="1382"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5.249,6 </w:t>
            </w:r>
          </w:p>
        </w:tc>
      </w:tr>
      <w:tr w:rsidR="000D29F3" w:rsidRPr="009C6DCB" w:rsidTr="009C6DCB">
        <w:trPr>
          <w:trHeight w:val="20"/>
          <w:jc w:val="center"/>
        </w:trPr>
        <w:tc>
          <w:tcPr>
            <w:tcW w:w="2865" w:type="pct"/>
            <w:shd w:val="clear" w:color="auto" w:fill="auto"/>
            <w:noWrap/>
            <w:vAlign w:val="bottom"/>
          </w:tcPr>
          <w:p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Hogares FAMI</w:t>
            </w:r>
          </w:p>
        </w:tc>
        <w:tc>
          <w:tcPr>
            <w:tcW w:w="754"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132.799 </w:t>
            </w:r>
          </w:p>
        </w:tc>
        <w:tc>
          <w:tcPr>
            <w:tcW w:w="1382"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1.397,9 </w:t>
            </w:r>
          </w:p>
        </w:tc>
      </w:tr>
      <w:tr w:rsidR="000D29F3" w:rsidRPr="009C6DCB" w:rsidTr="009C6DCB">
        <w:trPr>
          <w:trHeight w:val="20"/>
          <w:jc w:val="center"/>
        </w:trPr>
        <w:tc>
          <w:tcPr>
            <w:tcW w:w="2865" w:type="pct"/>
            <w:shd w:val="clear" w:color="auto" w:fill="auto"/>
            <w:noWrap/>
            <w:vAlign w:val="bottom"/>
          </w:tcPr>
          <w:p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Hogares gestores</w:t>
            </w:r>
          </w:p>
        </w:tc>
        <w:tc>
          <w:tcPr>
            <w:tcW w:w="754"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10.109 </w:t>
            </w:r>
          </w:p>
        </w:tc>
        <w:tc>
          <w:tcPr>
            <w:tcW w:w="1382"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87,4 </w:t>
            </w:r>
          </w:p>
        </w:tc>
      </w:tr>
      <w:tr w:rsidR="000D29F3" w:rsidRPr="009C6DCB" w:rsidTr="009C6DCB">
        <w:trPr>
          <w:trHeight w:val="20"/>
          <w:jc w:val="center"/>
        </w:trPr>
        <w:tc>
          <w:tcPr>
            <w:tcW w:w="2865" w:type="pct"/>
            <w:shd w:val="clear" w:color="auto" w:fill="auto"/>
            <w:noWrap/>
            <w:vAlign w:val="bottom"/>
          </w:tcPr>
          <w:p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Hogares infantiles</w:t>
            </w:r>
          </w:p>
        </w:tc>
        <w:tc>
          <w:tcPr>
            <w:tcW w:w="754"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107.441 </w:t>
            </w:r>
          </w:p>
        </w:tc>
        <w:tc>
          <w:tcPr>
            <w:tcW w:w="1382"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928,2 </w:t>
            </w:r>
          </w:p>
        </w:tc>
      </w:tr>
      <w:tr w:rsidR="000D29F3" w:rsidRPr="009C6DCB" w:rsidTr="009C6DCB">
        <w:trPr>
          <w:trHeight w:val="20"/>
          <w:jc w:val="center"/>
        </w:trPr>
        <w:tc>
          <w:tcPr>
            <w:tcW w:w="2865" w:type="pct"/>
            <w:shd w:val="clear" w:color="auto" w:fill="auto"/>
            <w:noWrap/>
            <w:vAlign w:val="bottom"/>
          </w:tcPr>
          <w:p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Hogares sustitutos</w:t>
            </w:r>
          </w:p>
        </w:tc>
        <w:tc>
          <w:tcPr>
            <w:tcW w:w="754"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16.489 </w:t>
            </w:r>
          </w:p>
        </w:tc>
        <w:tc>
          <w:tcPr>
            <w:tcW w:w="1382"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137,2 </w:t>
            </w:r>
          </w:p>
        </w:tc>
      </w:tr>
      <w:tr w:rsidR="000D29F3" w:rsidRPr="009C6DCB" w:rsidTr="009C6DCB">
        <w:trPr>
          <w:trHeight w:val="20"/>
          <w:jc w:val="center"/>
        </w:trPr>
        <w:tc>
          <w:tcPr>
            <w:tcW w:w="2865" w:type="pct"/>
            <w:shd w:val="clear" w:color="auto" w:fill="auto"/>
            <w:noWrap/>
            <w:vAlign w:val="bottom"/>
          </w:tcPr>
          <w:p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Jardines sociales</w:t>
            </w:r>
          </w:p>
        </w:tc>
        <w:tc>
          <w:tcPr>
            <w:tcW w:w="754"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6.814 </w:t>
            </w:r>
          </w:p>
        </w:tc>
        <w:tc>
          <w:tcPr>
            <w:tcW w:w="1382"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54,2 </w:t>
            </w:r>
          </w:p>
        </w:tc>
      </w:tr>
      <w:tr w:rsidR="000D29F3" w:rsidRPr="009C6DCB" w:rsidTr="009C6DCB">
        <w:trPr>
          <w:trHeight w:val="20"/>
          <w:jc w:val="center"/>
        </w:trPr>
        <w:tc>
          <w:tcPr>
            <w:tcW w:w="2865" w:type="pct"/>
            <w:shd w:val="clear" w:color="auto" w:fill="auto"/>
            <w:noWrap/>
            <w:vAlign w:val="bottom"/>
          </w:tcPr>
          <w:p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RN - centros de recuperación nutricional</w:t>
            </w:r>
          </w:p>
        </w:tc>
        <w:tc>
          <w:tcPr>
            <w:tcW w:w="754"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255 </w:t>
            </w:r>
          </w:p>
        </w:tc>
        <w:tc>
          <w:tcPr>
            <w:tcW w:w="1382"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3,8 </w:t>
            </w:r>
          </w:p>
        </w:tc>
      </w:tr>
      <w:tr w:rsidR="000D29F3" w:rsidRPr="009C6DCB" w:rsidTr="009C6DCB">
        <w:trPr>
          <w:trHeight w:val="20"/>
          <w:jc w:val="center"/>
        </w:trPr>
        <w:tc>
          <w:tcPr>
            <w:tcW w:w="2865" w:type="pct"/>
            <w:shd w:val="clear" w:color="auto" w:fill="auto"/>
            <w:noWrap/>
            <w:vAlign w:val="bottom"/>
          </w:tcPr>
          <w:p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Servicio especial para la primera infancia - comunitario integral</w:t>
            </w:r>
          </w:p>
        </w:tc>
        <w:tc>
          <w:tcPr>
            <w:tcW w:w="754"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4.420 </w:t>
            </w:r>
          </w:p>
        </w:tc>
        <w:tc>
          <w:tcPr>
            <w:tcW w:w="1382"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2,5 </w:t>
            </w:r>
          </w:p>
        </w:tc>
      </w:tr>
      <w:tr w:rsidR="000D29F3" w:rsidRPr="009C6DCB" w:rsidTr="009C6DCB">
        <w:trPr>
          <w:trHeight w:val="20"/>
          <w:jc w:val="center"/>
        </w:trPr>
        <w:tc>
          <w:tcPr>
            <w:tcW w:w="2865" w:type="pct"/>
            <w:shd w:val="clear" w:color="auto" w:fill="auto"/>
            <w:noWrap/>
            <w:vAlign w:val="bottom"/>
          </w:tcPr>
          <w:p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Stock seguridad</w:t>
            </w:r>
          </w:p>
        </w:tc>
        <w:tc>
          <w:tcPr>
            <w:tcW w:w="754"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320 </w:t>
            </w:r>
          </w:p>
        </w:tc>
        <w:tc>
          <w:tcPr>
            <w:tcW w:w="1382"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0,6 </w:t>
            </w:r>
          </w:p>
        </w:tc>
      </w:tr>
      <w:tr w:rsidR="000D29F3" w:rsidRPr="009C6DCB" w:rsidTr="009C6DCB">
        <w:trPr>
          <w:trHeight w:val="20"/>
          <w:jc w:val="center"/>
        </w:trPr>
        <w:tc>
          <w:tcPr>
            <w:tcW w:w="2865" w:type="pct"/>
            <w:shd w:val="clear" w:color="auto" w:fill="auto"/>
            <w:noWrap/>
            <w:vAlign w:val="bottom"/>
          </w:tcPr>
          <w:p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Territorios étnicos con bienestar</w:t>
            </w:r>
          </w:p>
        </w:tc>
        <w:tc>
          <w:tcPr>
            <w:tcW w:w="754"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25.030 </w:t>
            </w:r>
          </w:p>
        </w:tc>
        <w:tc>
          <w:tcPr>
            <w:tcW w:w="1382"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421,7 </w:t>
            </w:r>
          </w:p>
        </w:tc>
      </w:tr>
      <w:tr w:rsidR="000D29F3" w:rsidRPr="009C6DCB" w:rsidTr="009C6DCB">
        <w:trPr>
          <w:trHeight w:val="20"/>
          <w:jc w:val="center"/>
        </w:trPr>
        <w:tc>
          <w:tcPr>
            <w:tcW w:w="2865" w:type="pct"/>
            <w:shd w:val="clear" w:color="auto" w:fill="auto"/>
            <w:noWrap/>
            <w:vAlign w:val="bottom"/>
          </w:tcPr>
          <w:p w:rsidR="000D29F3" w:rsidRPr="009C6DCB" w:rsidRDefault="000D29F3" w:rsidP="00B512A3">
            <w:pPr>
              <w:spacing w:after="0" w:line="240" w:lineRule="auto"/>
              <w:rPr>
                <w:rFonts w:eastAsia="Times New Roman" w:cs="Arial"/>
                <w:sz w:val="18"/>
                <w:szCs w:val="18"/>
                <w:lang w:val="es-CO" w:eastAsia="es-ES"/>
              </w:rPr>
            </w:pPr>
            <w:r w:rsidRPr="009C6DCB">
              <w:rPr>
                <w:rFonts w:eastAsia="Times New Roman" w:cs="Arial"/>
                <w:sz w:val="18"/>
                <w:szCs w:val="18"/>
                <w:lang w:val="es-CO" w:eastAsia="es-ES"/>
              </w:rPr>
              <w:t>Unidades móviles</w:t>
            </w:r>
          </w:p>
        </w:tc>
        <w:tc>
          <w:tcPr>
            <w:tcW w:w="754"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65.926 </w:t>
            </w:r>
          </w:p>
        </w:tc>
        <w:tc>
          <w:tcPr>
            <w:tcW w:w="1382" w:type="pct"/>
            <w:shd w:val="clear" w:color="auto" w:fill="auto"/>
            <w:noWrap/>
            <w:vAlign w:val="bottom"/>
          </w:tcPr>
          <w:p w:rsidR="000D29F3" w:rsidRPr="009C6DCB" w:rsidRDefault="000D29F3" w:rsidP="00B512A3">
            <w:pPr>
              <w:spacing w:after="0" w:line="240" w:lineRule="auto"/>
              <w:jc w:val="right"/>
              <w:rPr>
                <w:rFonts w:eastAsia="Times New Roman" w:cs="Arial"/>
                <w:sz w:val="18"/>
                <w:szCs w:val="18"/>
                <w:lang w:val="es-CO" w:eastAsia="es-ES"/>
              </w:rPr>
            </w:pPr>
            <w:r w:rsidRPr="009C6DCB">
              <w:rPr>
                <w:rFonts w:eastAsia="Times New Roman" w:cs="Arial"/>
                <w:sz w:val="18"/>
                <w:szCs w:val="18"/>
                <w:lang w:val="es-CO" w:eastAsia="es-ES"/>
              </w:rPr>
              <w:t xml:space="preserve">             121,1 </w:t>
            </w:r>
          </w:p>
        </w:tc>
      </w:tr>
      <w:tr w:rsidR="000D29F3" w:rsidRPr="009C6DCB" w:rsidTr="009C6DCB">
        <w:trPr>
          <w:trHeight w:val="20"/>
          <w:jc w:val="center"/>
        </w:trPr>
        <w:tc>
          <w:tcPr>
            <w:tcW w:w="2865" w:type="pct"/>
            <w:shd w:val="clear" w:color="auto" w:fill="E2EFDA"/>
            <w:noWrap/>
            <w:vAlign w:val="center"/>
          </w:tcPr>
          <w:p w:rsidR="000D29F3" w:rsidRPr="009C6DCB" w:rsidRDefault="000D29F3" w:rsidP="00B512A3">
            <w:pPr>
              <w:spacing w:after="0" w:line="240" w:lineRule="auto"/>
              <w:rPr>
                <w:rFonts w:eastAsia="Times New Roman" w:cs="Arial"/>
                <w:b/>
                <w:sz w:val="18"/>
                <w:szCs w:val="18"/>
                <w:lang w:val="es-CO" w:eastAsia="es-ES"/>
              </w:rPr>
            </w:pPr>
            <w:r w:rsidRPr="009C6DCB">
              <w:rPr>
                <w:rFonts w:eastAsia="Times New Roman" w:cs="Arial"/>
                <w:b/>
                <w:sz w:val="18"/>
                <w:szCs w:val="18"/>
                <w:lang w:val="es-CO" w:eastAsia="es-ES"/>
              </w:rPr>
              <w:t>Total, general</w:t>
            </w:r>
          </w:p>
        </w:tc>
        <w:tc>
          <w:tcPr>
            <w:tcW w:w="754" w:type="pct"/>
            <w:shd w:val="clear" w:color="auto" w:fill="E2EFDA"/>
            <w:noWrap/>
            <w:vAlign w:val="bottom"/>
          </w:tcPr>
          <w:p w:rsidR="000D29F3" w:rsidRPr="009C6DCB" w:rsidRDefault="000D29F3" w:rsidP="00B512A3">
            <w:pPr>
              <w:spacing w:after="0" w:line="240" w:lineRule="auto"/>
              <w:jc w:val="right"/>
              <w:rPr>
                <w:rFonts w:eastAsia="Times New Roman" w:cs="Arial"/>
                <w:b/>
                <w:sz w:val="18"/>
                <w:szCs w:val="18"/>
                <w:lang w:val="es-CO" w:eastAsia="es-ES"/>
              </w:rPr>
            </w:pPr>
            <w:r w:rsidRPr="009C6DCB">
              <w:rPr>
                <w:rFonts w:eastAsia="Times New Roman" w:cs="Arial"/>
                <w:b/>
                <w:sz w:val="18"/>
                <w:szCs w:val="18"/>
                <w:lang w:val="es-CO" w:eastAsia="es-ES"/>
              </w:rPr>
              <w:t xml:space="preserve">     2.546.689 </w:t>
            </w:r>
          </w:p>
        </w:tc>
        <w:tc>
          <w:tcPr>
            <w:tcW w:w="1382" w:type="pct"/>
            <w:shd w:val="clear" w:color="auto" w:fill="E2EFDA"/>
            <w:noWrap/>
            <w:vAlign w:val="bottom"/>
          </w:tcPr>
          <w:p w:rsidR="000D29F3" w:rsidRPr="009C6DCB" w:rsidRDefault="000D29F3" w:rsidP="00B512A3">
            <w:pPr>
              <w:spacing w:after="0" w:line="240" w:lineRule="auto"/>
              <w:jc w:val="right"/>
              <w:rPr>
                <w:rFonts w:eastAsia="Times New Roman" w:cs="Arial"/>
                <w:b/>
                <w:sz w:val="18"/>
                <w:szCs w:val="18"/>
                <w:lang w:val="es-CO" w:eastAsia="es-ES"/>
              </w:rPr>
            </w:pPr>
            <w:r w:rsidRPr="009C6DCB">
              <w:rPr>
                <w:rFonts w:eastAsia="Times New Roman" w:cs="Arial"/>
                <w:b/>
                <w:sz w:val="18"/>
                <w:szCs w:val="18"/>
                <w:lang w:val="es-CO" w:eastAsia="es-ES"/>
              </w:rPr>
              <w:t xml:space="preserve">       15.551,3 </w:t>
            </w:r>
          </w:p>
        </w:tc>
      </w:tr>
    </w:tbl>
    <w:p w:rsidR="000D29F3" w:rsidRPr="007608C2" w:rsidRDefault="000D29F3" w:rsidP="00B00CC8">
      <w:pPr>
        <w:spacing w:after="0" w:line="240" w:lineRule="auto"/>
        <w:jc w:val="center"/>
        <w:rPr>
          <w:rFonts w:cs="Arial"/>
          <w:sz w:val="16"/>
          <w:szCs w:val="16"/>
          <w:lang w:val="es-MX" w:eastAsia="es-ES"/>
        </w:rPr>
      </w:pPr>
      <w:r w:rsidRPr="007608C2">
        <w:rPr>
          <w:rFonts w:cs="Arial"/>
          <w:b/>
          <w:sz w:val="16"/>
          <w:szCs w:val="16"/>
          <w:lang w:val="es-MX" w:eastAsia="es-ES"/>
        </w:rPr>
        <w:t>Fuente:</w:t>
      </w:r>
      <w:r w:rsidRPr="007608C2">
        <w:rPr>
          <w:rFonts w:cs="Arial"/>
          <w:sz w:val="16"/>
          <w:szCs w:val="16"/>
          <w:lang w:val="es-MX" w:eastAsia="es-ES"/>
        </w:rPr>
        <w:t xml:space="preserve"> E-logistic – Sistema De Información De Entregas y Ficha técnica de programación – FT1, Dirección de Nutrición</w:t>
      </w:r>
    </w:p>
    <w:p w:rsidR="000D29F3" w:rsidRPr="007608C2" w:rsidRDefault="000D29F3" w:rsidP="00B00CC8">
      <w:pPr>
        <w:jc w:val="center"/>
        <w:rPr>
          <w:rFonts w:cs="Arial"/>
          <w:i/>
          <w:iCs/>
          <w:sz w:val="16"/>
          <w:szCs w:val="16"/>
          <w:lang w:val="es-CO"/>
        </w:rPr>
      </w:pPr>
      <w:r w:rsidRPr="007608C2">
        <w:rPr>
          <w:rFonts w:cs="Arial"/>
          <w:i/>
          <w:iCs/>
          <w:sz w:val="16"/>
          <w:szCs w:val="16"/>
        </w:rPr>
        <w:t>Nota: Información preliminar, sujeta a actualización del cierre oficial de metas sociales y financieras.</w:t>
      </w:r>
    </w:p>
    <w:p w:rsidR="000D29F3" w:rsidRPr="007608C2" w:rsidRDefault="000D29F3" w:rsidP="000D29F3">
      <w:pPr>
        <w:spacing w:after="0" w:line="240" w:lineRule="auto"/>
        <w:jc w:val="both"/>
        <w:rPr>
          <w:rFonts w:cs="Arial"/>
          <w:lang w:val="es-CO" w:eastAsia="es-ES"/>
        </w:rPr>
      </w:pPr>
      <w:r w:rsidRPr="007608C2">
        <w:rPr>
          <w:rFonts w:cs="Arial"/>
          <w:lang w:val="es-CO" w:eastAsia="es-ES"/>
        </w:rPr>
        <w:t xml:space="preserve">La Bienestarina Más® distribuida y los beneficiarios atendidos por Departamento son: </w:t>
      </w:r>
    </w:p>
    <w:p w:rsidR="000D29F3" w:rsidRPr="007608C2" w:rsidRDefault="000D29F3" w:rsidP="000D29F3">
      <w:pPr>
        <w:spacing w:after="0" w:line="240" w:lineRule="auto"/>
        <w:jc w:val="both"/>
        <w:rPr>
          <w:rFonts w:cs="Arial"/>
          <w:lang w:val="es-MX"/>
        </w:rPr>
      </w:pP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712"/>
        <w:gridCol w:w="1391"/>
        <w:gridCol w:w="2562"/>
      </w:tblGrid>
      <w:tr w:rsidR="000D29F3" w:rsidRPr="007608C2" w:rsidTr="00E54BE1">
        <w:trPr>
          <w:trHeight w:val="20"/>
          <w:tblHeader/>
          <w:jc w:val="center"/>
        </w:trPr>
        <w:tc>
          <w:tcPr>
            <w:tcW w:w="0" w:type="auto"/>
            <w:shd w:val="clear" w:color="auto" w:fill="76922E"/>
            <w:noWrap/>
            <w:vAlign w:val="center"/>
            <w:hideMark/>
          </w:tcPr>
          <w:p w:rsidR="000D29F3" w:rsidRPr="009C6DCB" w:rsidRDefault="000D29F3" w:rsidP="00B512A3">
            <w:pPr>
              <w:spacing w:after="0" w:line="240" w:lineRule="auto"/>
              <w:jc w:val="center"/>
              <w:rPr>
                <w:rFonts w:eastAsia="Times New Roman" w:cs="Arial"/>
                <w:b/>
                <w:bCs/>
                <w:color w:val="FFFFFF" w:themeColor="background1"/>
                <w:sz w:val="18"/>
                <w:szCs w:val="20"/>
              </w:rPr>
            </w:pPr>
            <w:r w:rsidRPr="009C6DCB">
              <w:rPr>
                <w:rFonts w:eastAsia="Times New Roman" w:cs="Arial"/>
                <w:b/>
                <w:bCs/>
                <w:color w:val="FFFFFF" w:themeColor="background1"/>
                <w:sz w:val="18"/>
                <w:szCs w:val="20"/>
              </w:rPr>
              <w:t>Regional</w:t>
            </w:r>
          </w:p>
        </w:tc>
        <w:tc>
          <w:tcPr>
            <w:tcW w:w="0" w:type="auto"/>
            <w:shd w:val="clear" w:color="auto" w:fill="76922E"/>
            <w:noWrap/>
            <w:vAlign w:val="center"/>
            <w:hideMark/>
          </w:tcPr>
          <w:p w:rsidR="000D29F3" w:rsidRPr="009C6DCB" w:rsidRDefault="000D29F3" w:rsidP="00B512A3">
            <w:pPr>
              <w:spacing w:after="0" w:line="240" w:lineRule="auto"/>
              <w:jc w:val="center"/>
              <w:rPr>
                <w:rFonts w:eastAsia="Times New Roman" w:cs="Arial"/>
                <w:b/>
                <w:bCs/>
                <w:color w:val="FFFFFF" w:themeColor="background1"/>
                <w:sz w:val="18"/>
                <w:szCs w:val="20"/>
              </w:rPr>
            </w:pPr>
            <w:r w:rsidRPr="009C6DCB">
              <w:rPr>
                <w:rFonts w:eastAsia="Times New Roman" w:cs="Arial"/>
                <w:b/>
                <w:bCs/>
                <w:color w:val="FFFFFF" w:themeColor="background1"/>
                <w:sz w:val="18"/>
                <w:szCs w:val="20"/>
              </w:rPr>
              <w:t>Beneficiarios</w:t>
            </w:r>
          </w:p>
        </w:tc>
        <w:tc>
          <w:tcPr>
            <w:tcW w:w="2562" w:type="dxa"/>
            <w:shd w:val="clear" w:color="auto" w:fill="76922E"/>
            <w:vAlign w:val="center"/>
            <w:hideMark/>
          </w:tcPr>
          <w:p w:rsidR="000D29F3" w:rsidRPr="009C6DCB" w:rsidRDefault="000D29F3" w:rsidP="00B512A3">
            <w:pPr>
              <w:spacing w:after="0" w:line="240" w:lineRule="auto"/>
              <w:jc w:val="center"/>
              <w:rPr>
                <w:rFonts w:eastAsia="Times New Roman" w:cs="Arial"/>
                <w:b/>
                <w:bCs/>
                <w:color w:val="FFFFFF" w:themeColor="background1"/>
                <w:sz w:val="18"/>
                <w:szCs w:val="20"/>
              </w:rPr>
            </w:pPr>
            <w:r w:rsidRPr="009C6DCB">
              <w:rPr>
                <w:rFonts w:eastAsia="Times New Roman" w:cs="Arial"/>
                <w:b/>
                <w:color w:val="FFFFFF" w:themeColor="background1"/>
                <w:sz w:val="18"/>
                <w:szCs w:val="18"/>
                <w:lang w:val="es-CO" w:eastAsia="es-ES"/>
              </w:rPr>
              <w:t>Toneladas de Bienestarina Más® distribuidas</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Amazonas</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7.599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46,2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Antioquia</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259.952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1.454,0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Arauca</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15.569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97,0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Atlántico</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238.509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879,6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Bogotá</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152.129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1.189,8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Bolívar</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137.824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991,9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Boyacá</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43.025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365,8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Caldas</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78.310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362,0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Caquetá</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19.763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158,6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Casanare</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13.239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85,3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Cauca</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80.534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651,7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Cesar</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73.536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570,5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Chocó</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168.425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557,7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Córdoba</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109.207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887,4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Cundinamarca</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63.516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482,9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Guainía</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3.739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21,7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lastRenderedPageBreak/>
              <w:t>Guaviare</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7.509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60,3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Huila</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199.073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487,9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La guajira</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140.309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827,4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Magdalena</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127.308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804,1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Meta</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39.114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256,8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Nariño</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83.399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697,5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Norte de Santander</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54.996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448,0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Putumayo</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36.497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141,8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Quindío</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17.845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138,8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Risaralda</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30.425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178,5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San Andrés</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2.141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16,2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Santander</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65.544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552,9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Sucre</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55.077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482,2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Tolima</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62.279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542,9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Valle del cauca</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152.854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1.068,2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Vaupés</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4.521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21,1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18"/>
                <w:lang w:val="es-CO" w:eastAsia="es-ES"/>
              </w:rPr>
            </w:pPr>
            <w:r w:rsidRPr="007608C2">
              <w:rPr>
                <w:rFonts w:eastAsia="Times New Roman" w:cs="Arial"/>
                <w:sz w:val="18"/>
                <w:szCs w:val="18"/>
                <w:lang w:val="es-CO" w:eastAsia="es-ES"/>
              </w:rPr>
              <w:t>Vichada</w:t>
            </w:r>
          </w:p>
        </w:tc>
        <w:tc>
          <w:tcPr>
            <w:tcW w:w="0" w:type="auto"/>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2.922 </w:t>
            </w:r>
          </w:p>
        </w:tc>
        <w:tc>
          <w:tcPr>
            <w:tcW w:w="2562" w:type="dxa"/>
            <w:shd w:val="clear" w:color="auto" w:fill="auto"/>
            <w:noWrap/>
            <w:vAlign w:val="bottom"/>
            <w:hideMark/>
          </w:tcPr>
          <w:p w:rsidR="000D29F3" w:rsidRPr="007608C2" w:rsidRDefault="000D29F3" w:rsidP="00B512A3">
            <w:pPr>
              <w:spacing w:after="0" w:line="240" w:lineRule="auto"/>
              <w:jc w:val="right"/>
              <w:rPr>
                <w:rFonts w:eastAsia="Times New Roman" w:cs="Arial"/>
                <w:sz w:val="18"/>
                <w:szCs w:val="18"/>
                <w:lang w:val="es-CO" w:eastAsia="es-ES"/>
              </w:rPr>
            </w:pPr>
            <w:r w:rsidRPr="007608C2">
              <w:rPr>
                <w:rFonts w:eastAsia="Times New Roman" w:cs="Arial"/>
                <w:sz w:val="18"/>
                <w:szCs w:val="18"/>
                <w:lang w:val="es-CO" w:eastAsia="es-ES"/>
              </w:rPr>
              <w:t xml:space="preserve">                                    24,5 </w:t>
            </w:r>
          </w:p>
        </w:tc>
      </w:tr>
      <w:tr w:rsidR="000D29F3" w:rsidRPr="007608C2" w:rsidTr="00E54BE1">
        <w:trPr>
          <w:trHeight w:val="20"/>
          <w:jc w:val="center"/>
        </w:trPr>
        <w:tc>
          <w:tcPr>
            <w:tcW w:w="0" w:type="auto"/>
            <w:shd w:val="clear" w:color="auto" w:fill="E2EFDA"/>
            <w:noWrap/>
            <w:vAlign w:val="center"/>
            <w:hideMark/>
          </w:tcPr>
          <w:p w:rsidR="000D29F3" w:rsidRPr="007608C2" w:rsidRDefault="000D29F3" w:rsidP="00B512A3">
            <w:pPr>
              <w:spacing w:after="0" w:line="240" w:lineRule="auto"/>
              <w:rPr>
                <w:rFonts w:eastAsia="Times New Roman" w:cs="Arial"/>
                <w:b/>
                <w:bCs/>
                <w:sz w:val="18"/>
                <w:szCs w:val="20"/>
              </w:rPr>
            </w:pPr>
            <w:r w:rsidRPr="007608C2">
              <w:rPr>
                <w:rFonts w:eastAsia="Times New Roman" w:cs="Arial"/>
                <w:b/>
                <w:bCs/>
                <w:sz w:val="18"/>
                <w:szCs w:val="20"/>
              </w:rPr>
              <w:t>Total General</w:t>
            </w:r>
          </w:p>
        </w:tc>
        <w:tc>
          <w:tcPr>
            <w:tcW w:w="0" w:type="auto"/>
            <w:shd w:val="clear" w:color="auto" w:fill="E2EFDA"/>
            <w:noWrap/>
            <w:vAlign w:val="bottom"/>
            <w:hideMark/>
          </w:tcPr>
          <w:p w:rsidR="000D29F3" w:rsidRPr="007608C2" w:rsidRDefault="000D29F3" w:rsidP="00B512A3">
            <w:pPr>
              <w:spacing w:after="0" w:line="240" w:lineRule="auto"/>
              <w:jc w:val="right"/>
              <w:rPr>
                <w:rFonts w:eastAsia="Times New Roman" w:cs="Arial"/>
                <w:b/>
                <w:sz w:val="18"/>
                <w:szCs w:val="18"/>
                <w:lang w:val="es-CO" w:eastAsia="es-ES"/>
              </w:rPr>
            </w:pPr>
            <w:r w:rsidRPr="007608C2">
              <w:rPr>
                <w:rFonts w:eastAsia="Times New Roman" w:cs="Arial"/>
                <w:b/>
                <w:sz w:val="18"/>
                <w:szCs w:val="18"/>
                <w:lang w:val="es-CO" w:eastAsia="es-ES"/>
              </w:rPr>
              <w:t xml:space="preserve">        2.546.689 </w:t>
            </w:r>
          </w:p>
        </w:tc>
        <w:tc>
          <w:tcPr>
            <w:tcW w:w="2562" w:type="dxa"/>
            <w:shd w:val="clear" w:color="auto" w:fill="E2EFDA"/>
            <w:noWrap/>
            <w:vAlign w:val="bottom"/>
            <w:hideMark/>
          </w:tcPr>
          <w:p w:rsidR="000D29F3" w:rsidRPr="007608C2" w:rsidRDefault="000D29F3" w:rsidP="00B512A3">
            <w:pPr>
              <w:spacing w:after="0" w:line="240" w:lineRule="auto"/>
              <w:jc w:val="right"/>
              <w:rPr>
                <w:rFonts w:eastAsia="Times New Roman" w:cs="Arial"/>
                <w:b/>
                <w:sz w:val="18"/>
                <w:szCs w:val="18"/>
                <w:lang w:val="es-CO" w:eastAsia="es-ES"/>
              </w:rPr>
            </w:pPr>
            <w:r w:rsidRPr="007608C2">
              <w:rPr>
                <w:rFonts w:eastAsia="Times New Roman" w:cs="Arial"/>
                <w:b/>
                <w:sz w:val="18"/>
                <w:szCs w:val="18"/>
                <w:lang w:val="es-CO" w:eastAsia="es-ES"/>
              </w:rPr>
              <w:t xml:space="preserve">                           15.551,3 </w:t>
            </w:r>
          </w:p>
        </w:tc>
      </w:tr>
    </w:tbl>
    <w:p w:rsidR="000D29F3" w:rsidRPr="007608C2" w:rsidRDefault="000D29F3" w:rsidP="000D29F3">
      <w:pPr>
        <w:spacing w:after="0" w:line="240" w:lineRule="auto"/>
        <w:ind w:left="993" w:right="1041"/>
        <w:rPr>
          <w:rFonts w:cs="Arial"/>
          <w:sz w:val="16"/>
          <w:szCs w:val="16"/>
          <w:lang w:val="es-MX" w:eastAsia="es-ES"/>
        </w:rPr>
      </w:pPr>
      <w:r w:rsidRPr="007608C2">
        <w:rPr>
          <w:rFonts w:cs="Arial"/>
          <w:sz w:val="16"/>
          <w:szCs w:val="16"/>
          <w:lang w:val="es-MX" w:eastAsia="es-ES"/>
        </w:rPr>
        <w:t>Fuente: E-logistic – Sistema de Información de Entregas y Ficha técnica de Programación – FT1, Dirección de Nutrición.</w:t>
      </w:r>
    </w:p>
    <w:p w:rsidR="000D29F3" w:rsidRPr="007608C2" w:rsidRDefault="000D29F3" w:rsidP="000D29F3">
      <w:pPr>
        <w:rPr>
          <w:rFonts w:cs="Arial"/>
          <w:i/>
          <w:iCs/>
          <w:sz w:val="16"/>
          <w:szCs w:val="16"/>
          <w:lang w:val="es-CO"/>
        </w:rPr>
      </w:pPr>
      <w:r w:rsidRPr="007608C2">
        <w:rPr>
          <w:rFonts w:cs="Arial"/>
          <w:i/>
          <w:iCs/>
          <w:sz w:val="16"/>
          <w:szCs w:val="16"/>
        </w:rPr>
        <w:t xml:space="preserve">                      Nota: Información preliminar, sujeta a actualización del cierre oficial de metas sociales y financieras.</w:t>
      </w:r>
    </w:p>
    <w:p w:rsidR="000D29F3" w:rsidRPr="007608C2" w:rsidRDefault="000D29F3" w:rsidP="00A44A2B">
      <w:pPr>
        <w:numPr>
          <w:ilvl w:val="0"/>
          <w:numId w:val="65"/>
        </w:numPr>
        <w:spacing w:after="0" w:line="240" w:lineRule="auto"/>
        <w:jc w:val="both"/>
        <w:rPr>
          <w:rFonts w:cs="Arial"/>
          <w:b/>
          <w:lang w:val="es-CO" w:eastAsia="es-ES"/>
        </w:rPr>
      </w:pPr>
      <w:r w:rsidRPr="007608C2">
        <w:rPr>
          <w:rFonts w:cs="Arial"/>
          <w:b/>
          <w:lang w:val="es-CO" w:eastAsia="es-ES"/>
        </w:rPr>
        <w:t>Bienestarina® Líquida</w:t>
      </w:r>
    </w:p>
    <w:p w:rsidR="000D29F3" w:rsidRPr="007608C2" w:rsidRDefault="000D29F3" w:rsidP="000D29F3">
      <w:pPr>
        <w:spacing w:after="0" w:line="240" w:lineRule="auto"/>
        <w:ind w:left="360"/>
        <w:jc w:val="both"/>
        <w:rPr>
          <w:rFonts w:cs="Arial"/>
          <w:b/>
          <w:lang w:val="es-CO" w:eastAsia="es-ES"/>
        </w:rPr>
      </w:pPr>
    </w:p>
    <w:p w:rsidR="000D29F3" w:rsidRPr="007608C2" w:rsidRDefault="000D29F3" w:rsidP="000D29F3">
      <w:pPr>
        <w:spacing w:after="0" w:line="240" w:lineRule="auto"/>
        <w:jc w:val="both"/>
        <w:rPr>
          <w:rFonts w:cs="Arial"/>
          <w:lang w:val="es-CO" w:eastAsia="es-ES"/>
        </w:rPr>
      </w:pPr>
      <w:r w:rsidRPr="007608C2">
        <w:rPr>
          <w:rFonts w:cs="Arial"/>
          <w:lang w:val="es-CO" w:eastAsia="es-ES"/>
        </w:rPr>
        <w:t xml:space="preserve">Es un Alimento De Alto Valor Nutricional Ultra Alta Temperatura UAT (UHT) larga vida elaborado a partir de la mezcla vegetal tradicional de Bienestarina, con leche líquida entera, fue diseñado especialmente para la población de aquellas regiones del país donde no cuentan con agua potable y para los casos donde se requiere un complemento nutricional listo para el consumo. </w:t>
      </w:r>
    </w:p>
    <w:p w:rsidR="000D29F3" w:rsidRPr="007608C2" w:rsidRDefault="000D29F3" w:rsidP="000D29F3">
      <w:pPr>
        <w:spacing w:after="0" w:line="240" w:lineRule="auto"/>
        <w:jc w:val="both"/>
        <w:rPr>
          <w:rFonts w:cs="Arial"/>
          <w:b/>
          <w:lang w:val="es-CO" w:eastAsia="es-ES"/>
        </w:rPr>
      </w:pPr>
    </w:p>
    <w:p w:rsidR="000D29F3" w:rsidRPr="007608C2" w:rsidRDefault="000D29F3" w:rsidP="000D29F3">
      <w:pPr>
        <w:spacing w:after="0" w:line="240" w:lineRule="auto"/>
        <w:jc w:val="both"/>
        <w:rPr>
          <w:rFonts w:cs="Arial"/>
          <w:lang w:val="es-CO" w:eastAsia="es-ES"/>
        </w:rPr>
      </w:pPr>
      <w:r w:rsidRPr="007608C2">
        <w:rPr>
          <w:rFonts w:cs="Arial"/>
          <w:lang w:val="es-CO" w:eastAsia="es-ES"/>
        </w:rPr>
        <w:t xml:space="preserve">Durante la vigencia 2017 se produjeron 13.546.548 unidades de 200 ml y se han distribuido </w:t>
      </w:r>
      <w:r w:rsidRPr="007608C2">
        <w:rPr>
          <w:rFonts w:cs="Arial"/>
          <w:lang w:eastAsia="es-ES"/>
        </w:rPr>
        <w:t>13.255.645</w:t>
      </w:r>
      <w:r w:rsidRPr="007608C2">
        <w:rPr>
          <w:rFonts w:cs="Arial"/>
          <w:vertAlign w:val="superscript"/>
          <w:lang w:val="es-CO" w:eastAsia="es-ES"/>
        </w:rPr>
        <w:footnoteReference w:id="6"/>
      </w:r>
      <w:r w:rsidRPr="007608C2">
        <w:rPr>
          <w:rFonts w:cs="Arial"/>
          <w:lang w:val="es-CO" w:eastAsia="es-ES"/>
        </w:rPr>
        <w:t xml:space="preserve"> unidades de Bienestarina® Líquida, logrando brindar la atención de más de 248.168 beneficiarios por entregas especiales y algunas modalidades ICBF a nivel nacional y especialmente en el departamento de La Guajira.  </w:t>
      </w:r>
    </w:p>
    <w:p w:rsidR="000D29F3" w:rsidRPr="007608C2" w:rsidRDefault="000D29F3" w:rsidP="000D29F3">
      <w:pPr>
        <w:spacing w:after="0" w:line="240" w:lineRule="auto"/>
        <w:jc w:val="both"/>
        <w:rPr>
          <w:rFonts w:cs="Arial"/>
          <w:lang w:val="es-CO" w:eastAsia="es-ES"/>
        </w:rPr>
      </w:pPr>
    </w:p>
    <w:p w:rsidR="000D29F3" w:rsidRPr="007608C2" w:rsidRDefault="000D29F3" w:rsidP="000D29F3">
      <w:pPr>
        <w:spacing w:after="0" w:line="240" w:lineRule="auto"/>
        <w:jc w:val="both"/>
        <w:rPr>
          <w:rFonts w:cs="Arial"/>
          <w:lang w:val="es-CO" w:eastAsia="es-ES"/>
        </w:rPr>
      </w:pPr>
      <w:r w:rsidRPr="007608C2">
        <w:rPr>
          <w:rFonts w:cs="Arial"/>
          <w:lang w:val="es-CO" w:eastAsia="es-ES"/>
        </w:rPr>
        <w:t xml:space="preserve">La Bienestarina® Líquida distribuida y los beneficiarios atendidos por modalidades de atención son:  </w:t>
      </w:r>
    </w:p>
    <w:p w:rsidR="000D29F3" w:rsidRPr="007608C2" w:rsidRDefault="000D29F3" w:rsidP="000D29F3">
      <w:pPr>
        <w:spacing w:after="0" w:line="240" w:lineRule="auto"/>
        <w:jc w:val="both"/>
        <w:rPr>
          <w:rFonts w:cs="Arial"/>
          <w:lang w:val="es-CO" w:eastAsia="es-ES"/>
        </w:rPr>
      </w:pP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792"/>
        <w:gridCol w:w="1541"/>
        <w:gridCol w:w="3167"/>
      </w:tblGrid>
      <w:tr w:rsidR="000D29F3" w:rsidRPr="00E54BE1" w:rsidTr="00E54BE1">
        <w:trPr>
          <w:trHeight w:val="20"/>
          <w:tblHeader/>
          <w:jc w:val="center"/>
        </w:trPr>
        <w:tc>
          <w:tcPr>
            <w:tcW w:w="0" w:type="auto"/>
            <w:shd w:val="clear" w:color="auto" w:fill="76922E"/>
            <w:noWrap/>
            <w:vAlign w:val="center"/>
            <w:hideMark/>
          </w:tcPr>
          <w:p w:rsidR="000D29F3" w:rsidRPr="00E54BE1" w:rsidRDefault="000D29F3" w:rsidP="00B512A3">
            <w:pPr>
              <w:spacing w:after="0" w:line="240" w:lineRule="auto"/>
              <w:jc w:val="center"/>
              <w:rPr>
                <w:rFonts w:cs="Arial"/>
                <w:b/>
                <w:color w:val="FFFFFF" w:themeColor="background1"/>
                <w:sz w:val="18"/>
                <w:szCs w:val="18"/>
              </w:rPr>
            </w:pPr>
            <w:r w:rsidRPr="00E54BE1">
              <w:rPr>
                <w:rFonts w:cs="Arial"/>
                <w:b/>
                <w:color w:val="FFFFFF" w:themeColor="background1"/>
                <w:sz w:val="18"/>
                <w:szCs w:val="18"/>
              </w:rPr>
              <w:t>Modalidad</w:t>
            </w:r>
          </w:p>
        </w:tc>
        <w:tc>
          <w:tcPr>
            <w:tcW w:w="0" w:type="auto"/>
            <w:shd w:val="clear" w:color="auto" w:fill="76922E"/>
            <w:vAlign w:val="center"/>
            <w:hideMark/>
          </w:tcPr>
          <w:p w:rsidR="000D29F3" w:rsidRPr="00E54BE1" w:rsidRDefault="000D29F3" w:rsidP="00B512A3">
            <w:pPr>
              <w:spacing w:after="0" w:line="240" w:lineRule="auto"/>
              <w:jc w:val="center"/>
              <w:rPr>
                <w:rFonts w:cs="Arial"/>
                <w:b/>
                <w:color w:val="FFFFFF" w:themeColor="background1"/>
                <w:sz w:val="18"/>
                <w:szCs w:val="18"/>
              </w:rPr>
            </w:pPr>
            <w:r w:rsidRPr="00E54BE1">
              <w:rPr>
                <w:rFonts w:cs="Arial"/>
                <w:b/>
                <w:color w:val="FFFFFF" w:themeColor="background1"/>
                <w:sz w:val="18"/>
                <w:szCs w:val="18"/>
              </w:rPr>
              <w:t>Beneficiarios</w:t>
            </w:r>
          </w:p>
        </w:tc>
        <w:tc>
          <w:tcPr>
            <w:tcW w:w="3167" w:type="dxa"/>
            <w:shd w:val="clear" w:color="auto" w:fill="76922E"/>
            <w:vAlign w:val="center"/>
            <w:hideMark/>
          </w:tcPr>
          <w:p w:rsidR="000D29F3" w:rsidRPr="00E54BE1" w:rsidRDefault="000D29F3" w:rsidP="00B512A3">
            <w:pPr>
              <w:spacing w:after="0" w:line="240" w:lineRule="auto"/>
              <w:jc w:val="center"/>
              <w:rPr>
                <w:rFonts w:cs="Arial"/>
                <w:b/>
                <w:color w:val="FFFFFF" w:themeColor="background1"/>
                <w:sz w:val="18"/>
                <w:szCs w:val="18"/>
              </w:rPr>
            </w:pPr>
            <w:r w:rsidRPr="00E54BE1">
              <w:rPr>
                <w:rFonts w:eastAsia="Times New Roman" w:cs="Arial"/>
                <w:b/>
                <w:color w:val="FFFFFF" w:themeColor="background1"/>
                <w:sz w:val="18"/>
                <w:szCs w:val="18"/>
                <w:lang w:val="es-CO" w:eastAsia="es-ES"/>
              </w:rPr>
              <w:t>Unidades de 200 ml de Bienestarina® Líquida distribuidas</w:t>
            </w:r>
          </w:p>
        </w:tc>
      </w:tr>
      <w:tr w:rsidR="000D29F3" w:rsidRPr="00E54BE1" w:rsidTr="00E54BE1">
        <w:trPr>
          <w:trHeight w:val="20"/>
          <w:jc w:val="center"/>
        </w:trPr>
        <w:tc>
          <w:tcPr>
            <w:tcW w:w="0" w:type="auto"/>
            <w:shd w:val="clear" w:color="auto" w:fill="auto"/>
            <w:noWrap/>
            <w:vAlign w:val="bottom"/>
            <w:hideMark/>
          </w:tcPr>
          <w:p w:rsidR="000D29F3" w:rsidRPr="00E54BE1" w:rsidRDefault="000D29F3" w:rsidP="00B512A3">
            <w:pPr>
              <w:spacing w:after="0" w:line="240" w:lineRule="auto"/>
              <w:rPr>
                <w:rFonts w:eastAsia="Times New Roman" w:cs="Arial"/>
                <w:sz w:val="18"/>
                <w:szCs w:val="18"/>
              </w:rPr>
            </w:pPr>
            <w:r w:rsidRPr="00E54BE1">
              <w:rPr>
                <w:rFonts w:eastAsia="Times New Roman" w:cs="Arial"/>
                <w:sz w:val="18"/>
                <w:szCs w:val="18"/>
              </w:rPr>
              <w:t xml:space="preserve"> 1.000 días para cambiar el mundo </w:t>
            </w:r>
          </w:p>
        </w:tc>
        <w:tc>
          <w:tcPr>
            <w:tcW w:w="0" w:type="auto"/>
            <w:shd w:val="clear" w:color="auto" w:fill="auto"/>
            <w:noWrap/>
            <w:vAlign w:val="bottom"/>
          </w:tcPr>
          <w:p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2.259 </w:t>
            </w:r>
          </w:p>
        </w:tc>
        <w:tc>
          <w:tcPr>
            <w:tcW w:w="3167" w:type="dxa"/>
            <w:shd w:val="clear" w:color="auto" w:fill="auto"/>
            <w:noWrap/>
            <w:vAlign w:val="bottom"/>
          </w:tcPr>
          <w:p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100.980 </w:t>
            </w:r>
          </w:p>
        </w:tc>
      </w:tr>
      <w:tr w:rsidR="000D29F3" w:rsidRPr="00E54BE1" w:rsidTr="00E54BE1">
        <w:trPr>
          <w:trHeight w:val="20"/>
          <w:jc w:val="center"/>
        </w:trPr>
        <w:tc>
          <w:tcPr>
            <w:tcW w:w="0" w:type="auto"/>
            <w:shd w:val="clear" w:color="auto" w:fill="auto"/>
            <w:noWrap/>
            <w:vAlign w:val="bottom"/>
            <w:hideMark/>
          </w:tcPr>
          <w:p w:rsidR="000D29F3" w:rsidRPr="00E54BE1" w:rsidRDefault="000D29F3" w:rsidP="00B512A3">
            <w:pPr>
              <w:spacing w:after="0" w:line="240" w:lineRule="auto"/>
              <w:rPr>
                <w:rFonts w:eastAsia="Times New Roman" w:cs="Arial"/>
                <w:sz w:val="18"/>
                <w:szCs w:val="18"/>
              </w:rPr>
            </w:pPr>
            <w:r w:rsidRPr="00E54BE1">
              <w:rPr>
                <w:rFonts w:eastAsia="Times New Roman" w:cs="Arial"/>
                <w:sz w:val="18"/>
                <w:szCs w:val="18"/>
              </w:rPr>
              <w:t xml:space="preserve"> Atención propia e intercultural </w:t>
            </w:r>
          </w:p>
        </w:tc>
        <w:tc>
          <w:tcPr>
            <w:tcW w:w="0" w:type="auto"/>
            <w:shd w:val="clear" w:color="auto" w:fill="auto"/>
            <w:noWrap/>
            <w:vAlign w:val="bottom"/>
          </w:tcPr>
          <w:p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82.368 </w:t>
            </w:r>
          </w:p>
        </w:tc>
        <w:tc>
          <w:tcPr>
            <w:tcW w:w="3167" w:type="dxa"/>
            <w:shd w:val="clear" w:color="auto" w:fill="auto"/>
            <w:noWrap/>
            <w:vAlign w:val="bottom"/>
          </w:tcPr>
          <w:p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8.323.115 </w:t>
            </w:r>
          </w:p>
        </w:tc>
      </w:tr>
      <w:tr w:rsidR="000D29F3" w:rsidRPr="00E54BE1" w:rsidTr="00E54BE1">
        <w:trPr>
          <w:trHeight w:val="20"/>
          <w:jc w:val="center"/>
        </w:trPr>
        <w:tc>
          <w:tcPr>
            <w:tcW w:w="0" w:type="auto"/>
            <w:shd w:val="clear" w:color="auto" w:fill="auto"/>
            <w:noWrap/>
            <w:vAlign w:val="bottom"/>
            <w:hideMark/>
          </w:tcPr>
          <w:p w:rsidR="000D29F3" w:rsidRPr="00E54BE1" w:rsidRDefault="000D29F3" w:rsidP="00B512A3">
            <w:pPr>
              <w:spacing w:after="0" w:line="240" w:lineRule="auto"/>
              <w:rPr>
                <w:rFonts w:eastAsia="Times New Roman" w:cs="Arial"/>
                <w:sz w:val="18"/>
                <w:szCs w:val="18"/>
              </w:rPr>
            </w:pPr>
            <w:r w:rsidRPr="00E54BE1">
              <w:rPr>
                <w:rFonts w:eastAsia="Times New Roman" w:cs="Arial"/>
                <w:sz w:val="18"/>
                <w:szCs w:val="18"/>
              </w:rPr>
              <w:t xml:space="preserve"> Concertación - Atención propia e intercultural </w:t>
            </w:r>
          </w:p>
        </w:tc>
        <w:tc>
          <w:tcPr>
            <w:tcW w:w="0" w:type="auto"/>
            <w:shd w:val="clear" w:color="auto" w:fill="auto"/>
            <w:noWrap/>
            <w:vAlign w:val="bottom"/>
          </w:tcPr>
          <w:p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20.995 </w:t>
            </w:r>
          </w:p>
        </w:tc>
        <w:tc>
          <w:tcPr>
            <w:tcW w:w="3167" w:type="dxa"/>
            <w:shd w:val="clear" w:color="auto" w:fill="auto"/>
            <w:noWrap/>
            <w:vAlign w:val="bottom"/>
          </w:tcPr>
          <w:p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363.647 </w:t>
            </w:r>
          </w:p>
        </w:tc>
      </w:tr>
      <w:tr w:rsidR="000D29F3" w:rsidRPr="00E54BE1" w:rsidTr="00E54BE1">
        <w:trPr>
          <w:trHeight w:val="20"/>
          <w:jc w:val="center"/>
        </w:trPr>
        <w:tc>
          <w:tcPr>
            <w:tcW w:w="0" w:type="auto"/>
            <w:shd w:val="clear" w:color="auto" w:fill="auto"/>
            <w:noWrap/>
            <w:vAlign w:val="bottom"/>
            <w:hideMark/>
          </w:tcPr>
          <w:p w:rsidR="000D29F3" w:rsidRPr="00E54BE1" w:rsidRDefault="000D29F3" w:rsidP="00B512A3">
            <w:pPr>
              <w:spacing w:after="0" w:line="240" w:lineRule="auto"/>
              <w:rPr>
                <w:rFonts w:eastAsia="Times New Roman" w:cs="Arial"/>
                <w:sz w:val="18"/>
                <w:szCs w:val="18"/>
              </w:rPr>
            </w:pPr>
            <w:r w:rsidRPr="00E54BE1">
              <w:rPr>
                <w:rFonts w:eastAsia="Times New Roman" w:cs="Arial"/>
                <w:sz w:val="18"/>
                <w:szCs w:val="18"/>
              </w:rPr>
              <w:t xml:space="preserve"> Entregas especiales </w:t>
            </w:r>
          </w:p>
        </w:tc>
        <w:tc>
          <w:tcPr>
            <w:tcW w:w="0" w:type="auto"/>
            <w:shd w:val="clear" w:color="auto" w:fill="auto"/>
            <w:noWrap/>
            <w:vAlign w:val="bottom"/>
          </w:tcPr>
          <w:p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71.776 </w:t>
            </w:r>
          </w:p>
        </w:tc>
        <w:tc>
          <w:tcPr>
            <w:tcW w:w="3167" w:type="dxa"/>
            <w:shd w:val="clear" w:color="auto" w:fill="auto"/>
            <w:noWrap/>
            <w:vAlign w:val="bottom"/>
          </w:tcPr>
          <w:p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2.585.172 </w:t>
            </w:r>
          </w:p>
        </w:tc>
      </w:tr>
      <w:tr w:rsidR="000D29F3" w:rsidRPr="00E54BE1" w:rsidTr="00E54BE1">
        <w:trPr>
          <w:trHeight w:val="20"/>
          <w:jc w:val="center"/>
        </w:trPr>
        <w:tc>
          <w:tcPr>
            <w:tcW w:w="0" w:type="auto"/>
            <w:shd w:val="clear" w:color="auto" w:fill="auto"/>
            <w:noWrap/>
            <w:vAlign w:val="bottom"/>
          </w:tcPr>
          <w:p w:rsidR="000D29F3" w:rsidRPr="00E54BE1" w:rsidRDefault="000D29F3" w:rsidP="00B512A3">
            <w:pPr>
              <w:spacing w:after="0" w:line="240" w:lineRule="auto"/>
              <w:rPr>
                <w:rFonts w:eastAsia="Times New Roman" w:cs="Arial"/>
                <w:sz w:val="18"/>
                <w:szCs w:val="18"/>
              </w:rPr>
            </w:pPr>
            <w:r w:rsidRPr="00E54BE1">
              <w:rPr>
                <w:rFonts w:eastAsia="Times New Roman" w:cs="Arial"/>
                <w:sz w:val="18"/>
                <w:szCs w:val="18"/>
              </w:rPr>
              <w:t xml:space="preserve"> Entregas especiales - atención putumayo </w:t>
            </w:r>
          </w:p>
        </w:tc>
        <w:tc>
          <w:tcPr>
            <w:tcW w:w="0" w:type="auto"/>
            <w:shd w:val="clear" w:color="auto" w:fill="auto"/>
            <w:noWrap/>
            <w:vAlign w:val="bottom"/>
          </w:tcPr>
          <w:p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6.000 </w:t>
            </w:r>
          </w:p>
        </w:tc>
        <w:tc>
          <w:tcPr>
            <w:tcW w:w="3167" w:type="dxa"/>
            <w:shd w:val="clear" w:color="auto" w:fill="auto"/>
            <w:noWrap/>
            <w:vAlign w:val="bottom"/>
          </w:tcPr>
          <w:p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120.276 </w:t>
            </w:r>
          </w:p>
        </w:tc>
      </w:tr>
      <w:tr w:rsidR="000D29F3" w:rsidRPr="00E54BE1" w:rsidTr="00E54BE1">
        <w:trPr>
          <w:trHeight w:val="20"/>
          <w:jc w:val="center"/>
        </w:trPr>
        <w:tc>
          <w:tcPr>
            <w:tcW w:w="0" w:type="auto"/>
            <w:shd w:val="clear" w:color="auto" w:fill="auto"/>
            <w:noWrap/>
            <w:vAlign w:val="bottom"/>
          </w:tcPr>
          <w:p w:rsidR="000D29F3" w:rsidRPr="00E54BE1" w:rsidRDefault="000D29F3" w:rsidP="00B512A3">
            <w:pPr>
              <w:spacing w:after="0" w:line="240" w:lineRule="auto"/>
              <w:rPr>
                <w:rFonts w:eastAsia="Times New Roman" w:cs="Arial"/>
                <w:sz w:val="18"/>
                <w:szCs w:val="18"/>
              </w:rPr>
            </w:pPr>
            <w:r w:rsidRPr="00E54BE1">
              <w:rPr>
                <w:rFonts w:eastAsia="Times New Roman" w:cs="Arial"/>
                <w:sz w:val="18"/>
                <w:szCs w:val="18"/>
              </w:rPr>
              <w:t xml:space="preserve"> Entregas especiales modalidades ICBF</w:t>
            </w:r>
          </w:p>
        </w:tc>
        <w:tc>
          <w:tcPr>
            <w:tcW w:w="0" w:type="auto"/>
            <w:shd w:val="clear" w:color="auto" w:fill="auto"/>
            <w:noWrap/>
            <w:vAlign w:val="bottom"/>
          </w:tcPr>
          <w:p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48.831 </w:t>
            </w:r>
          </w:p>
        </w:tc>
        <w:tc>
          <w:tcPr>
            <w:tcW w:w="3167" w:type="dxa"/>
            <w:shd w:val="clear" w:color="auto" w:fill="auto"/>
            <w:noWrap/>
            <w:vAlign w:val="bottom"/>
          </w:tcPr>
          <w:p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1.056.264 </w:t>
            </w:r>
          </w:p>
        </w:tc>
      </w:tr>
      <w:tr w:rsidR="000D29F3" w:rsidRPr="00E54BE1" w:rsidTr="00E54BE1">
        <w:trPr>
          <w:trHeight w:val="20"/>
          <w:jc w:val="center"/>
        </w:trPr>
        <w:tc>
          <w:tcPr>
            <w:tcW w:w="0" w:type="auto"/>
            <w:shd w:val="clear" w:color="auto" w:fill="auto"/>
            <w:noWrap/>
            <w:vAlign w:val="bottom"/>
          </w:tcPr>
          <w:p w:rsidR="000D29F3" w:rsidRPr="00E54BE1" w:rsidRDefault="000D29F3" w:rsidP="00B512A3">
            <w:pPr>
              <w:spacing w:after="0" w:line="240" w:lineRule="auto"/>
              <w:rPr>
                <w:rFonts w:eastAsia="Times New Roman" w:cs="Arial"/>
                <w:sz w:val="18"/>
                <w:szCs w:val="18"/>
              </w:rPr>
            </w:pPr>
            <w:r w:rsidRPr="00E54BE1">
              <w:rPr>
                <w:rFonts w:eastAsia="Times New Roman" w:cs="Arial"/>
                <w:sz w:val="18"/>
                <w:szCs w:val="18"/>
              </w:rPr>
              <w:t xml:space="preserve"> Rn - centro de recuperación nutricional </w:t>
            </w:r>
          </w:p>
        </w:tc>
        <w:tc>
          <w:tcPr>
            <w:tcW w:w="0" w:type="auto"/>
            <w:shd w:val="clear" w:color="auto" w:fill="auto"/>
            <w:noWrap/>
            <w:vAlign w:val="bottom"/>
          </w:tcPr>
          <w:p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50 </w:t>
            </w:r>
          </w:p>
        </w:tc>
        <w:tc>
          <w:tcPr>
            <w:tcW w:w="3167" w:type="dxa"/>
            <w:shd w:val="clear" w:color="auto" w:fill="auto"/>
            <w:noWrap/>
            <w:vAlign w:val="bottom"/>
          </w:tcPr>
          <w:p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1.800 </w:t>
            </w:r>
          </w:p>
        </w:tc>
      </w:tr>
      <w:tr w:rsidR="000D29F3" w:rsidRPr="00E54BE1" w:rsidTr="00E54BE1">
        <w:trPr>
          <w:trHeight w:val="20"/>
          <w:jc w:val="center"/>
        </w:trPr>
        <w:tc>
          <w:tcPr>
            <w:tcW w:w="0" w:type="auto"/>
            <w:shd w:val="clear" w:color="auto" w:fill="auto"/>
            <w:noWrap/>
            <w:vAlign w:val="bottom"/>
          </w:tcPr>
          <w:p w:rsidR="000D29F3" w:rsidRPr="00E54BE1" w:rsidRDefault="000D29F3" w:rsidP="00B512A3">
            <w:pPr>
              <w:spacing w:after="0" w:line="240" w:lineRule="auto"/>
              <w:rPr>
                <w:rFonts w:eastAsia="Times New Roman" w:cs="Arial"/>
                <w:sz w:val="18"/>
                <w:szCs w:val="18"/>
              </w:rPr>
            </w:pPr>
            <w:r w:rsidRPr="00E54BE1">
              <w:rPr>
                <w:rFonts w:eastAsia="Times New Roman" w:cs="Arial"/>
                <w:sz w:val="18"/>
                <w:szCs w:val="18"/>
              </w:rPr>
              <w:t xml:space="preserve"> Stock seguridad </w:t>
            </w:r>
          </w:p>
        </w:tc>
        <w:tc>
          <w:tcPr>
            <w:tcW w:w="0" w:type="auto"/>
            <w:shd w:val="clear" w:color="auto" w:fill="auto"/>
            <w:noWrap/>
            <w:vAlign w:val="bottom"/>
          </w:tcPr>
          <w:p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400 </w:t>
            </w:r>
          </w:p>
        </w:tc>
        <w:tc>
          <w:tcPr>
            <w:tcW w:w="3167" w:type="dxa"/>
            <w:shd w:val="clear" w:color="auto" w:fill="auto"/>
            <w:noWrap/>
            <w:vAlign w:val="bottom"/>
          </w:tcPr>
          <w:p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37.224 </w:t>
            </w:r>
          </w:p>
        </w:tc>
      </w:tr>
      <w:tr w:rsidR="000D29F3" w:rsidRPr="00E54BE1" w:rsidTr="00E54BE1">
        <w:trPr>
          <w:trHeight w:val="20"/>
          <w:jc w:val="center"/>
        </w:trPr>
        <w:tc>
          <w:tcPr>
            <w:tcW w:w="0" w:type="auto"/>
            <w:shd w:val="clear" w:color="auto" w:fill="auto"/>
            <w:noWrap/>
            <w:vAlign w:val="bottom"/>
          </w:tcPr>
          <w:p w:rsidR="000D29F3" w:rsidRPr="00E54BE1" w:rsidRDefault="000D29F3" w:rsidP="00B512A3">
            <w:pPr>
              <w:spacing w:after="0" w:line="240" w:lineRule="auto"/>
              <w:rPr>
                <w:rFonts w:eastAsia="Times New Roman" w:cs="Arial"/>
                <w:sz w:val="18"/>
                <w:szCs w:val="18"/>
              </w:rPr>
            </w:pPr>
            <w:r w:rsidRPr="00E54BE1">
              <w:rPr>
                <w:rFonts w:eastAsia="Times New Roman" w:cs="Arial"/>
                <w:sz w:val="18"/>
                <w:szCs w:val="18"/>
              </w:rPr>
              <w:t xml:space="preserve"> Unidades móviles </w:t>
            </w:r>
          </w:p>
        </w:tc>
        <w:tc>
          <w:tcPr>
            <w:tcW w:w="0" w:type="auto"/>
            <w:shd w:val="clear" w:color="auto" w:fill="auto"/>
            <w:noWrap/>
            <w:vAlign w:val="bottom"/>
          </w:tcPr>
          <w:p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15.489 </w:t>
            </w:r>
          </w:p>
        </w:tc>
        <w:tc>
          <w:tcPr>
            <w:tcW w:w="3167" w:type="dxa"/>
            <w:shd w:val="clear" w:color="auto" w:fill="auto"/>
            <w:noWrap/>
            <w:vAlign w:val="bottom"/>
          </w:tcPr>
          <w:p w:rsidR="000D29F3" w:rsidRPr="00E54BE1" w:rsidRDefault="000D29F3" w:rsidP="00B512A3">
            <w:pPr>
              <w:spacing w:after="0" w:line="240" w:lineRule="auto"/>
              <w:jc w:val="right"/>
              <w:rPr>
                <w:rFonts w:eastAsia="Times New Roman" w:cs="Arial"/>
                <w:sz w:val="18"/>
                <w:szCs w:val="18"/>
              </w:rPr>
            </w:pPr>
            <w:r w:rsidRPr="00E54BE1">
              <w:rPr>
                <w:rFonts w:eastAsia="Times New Roman" w:cs="Arial"/>
                <w:sz w:val="18"/>
                <w:szCs w:val="18"/>
              </w:rPr>
              <w:t xml:space="preserve">                      667.167 </w:t>
            </w:r>
          </w:p>
        </w:tc>
      </w:tr>
      <w:tr w:rsidR="000D29F3" w:rsidRPr="00E54BE1" w:rsidTr="00E54BE1">
        <w:trPr>
          <w:trHeight w:val="20"/>
          <w:jc w:val="center"/>
        </w:trPr>
        <w:tc>
          <w:tcPr>
            <w:tcW w:w="0" w:type="auto"/>
            <w:shd w:val="clear" w:color="auto" w:fill="E2EFDA"/>
            <w:noWrap/>
            <w:vAlign w:val="bottom"/>
            <w:hideMark/>
          </w:tcPr>
          <w:p w:rsidR="000D29F3" w:rsidRPr="00E54BE1" w:rsidRDefault="000D29F3" w:rsidP="00B512A3">
            <w:pPr>
              <w:spacing w:after="0" w:line="240" w:lineRule="auto"/>
              <w:rPr>
                <w:rFonts w:eastAsia="Times New Roman" w:cs="Arial"/>
                <w:b/>
                <w:sz w:val="18"/>
                <w:szCs w:val="18"/>
              </w:rPr>
            </w:pPr>
            <w:r w:rsidRPr="00E54BE1">
              <w:rPr>
                <w:rFonts w:eastAsia="Times New Roman" w:cs="Arial"/>
                <w:b/>
                <w:sz w:val="18"/>
                <w:szCs w:val="18"/>
              </w:rPr>
              <w:lastRenderedPageBreak/>
              <w:t xml:space="preserve"> Total general </w:t>
            </w:r>
          </w:p>
        </w:tc>
        <w:tc>
          <w:tcPr>
            <w:tcW w:w="0" w:type="auto"/>
            <w:shd w:val="clear" w:color="auto" w:fill="E2EFDA"/>
            <w:noWrap/>
            <w:vAlign w:val="bottom"/>
          </w:tcPr>
          <w:p w:rsidR="000D29F3" w:rsidRPr="00E54BE1" w:rsidRDefault="000D29F3" w:rsidP="00B512A3">
            <w:pPr>
              <w:spacing w:after="0" w:line="240" w:lineRule="auto"/>
              <w:jc w:val="right"/>
              <w:rPr>
                <w:rFonts w:eastAsia="Times New Roman" w:cs="Arial"/>
                <w:b/>
                <w:sz w:val="18"/>
                <w:szCs w:val="18"/>
              </w:rPr>
            </w:pPr>
            <w:r w:rsidRPr="00E54BE1">
              <w:rPr>
                <w:rFonts w:eastAsia="Times New Roman" w:cs="Arial"/>
                <w:b/>
                <w:sz w:val="18"/>
                <w:szCs w:val="18"/>
              </w:rPr>
              <w:t xml:space="preserve">             248.168 </w:t>
            </w:r>
          </w:p>
        </w:tc>
        <w:tc>
          <w:tcPr>
            <w:tcW w:w="3167" w:type="dxa"/>
            <w:shd w:val="clear" w:color="auto" w:fill="E2EFDA"/>
            <w:noWrap/>
            <w:vAlign w:val="bottom"/>
          </w:tcPr>
          <w:p w:rsidR="000D29F3" w:rsidRPr="00E54BE1" w:rsidRDefault="000D29F3" w:rsidP="00B512A3">
            <w:pPr>
              <w:spacing w:after="0" w:line="240" w:lineRule="auto"/>
              <w:jc w:val="right"/>
              <w:rPr>
                <w:rFonts w:eastAsia="Times New Roman" w:cs="Arial"/>
                <w:b/>
                <w:sz w:val="18"/>
                <w:szCs w:val="18"/>
              </w:rPr>
            </w:pPr>
            <w:r w:rsidRPr="00E54BE1">
              <w:rPr>
                <w:rFonts w:eastAsia="Times New Roman" w:cs="Arial"/>
                <w:b/>
                <w:sz w:val="18"/>
                <w:szCs w:val="18"/>
              </w:rPr>
              <w:t xml:space="preserve">                13.255.645 </w:t>
            </w:r>
          </w:p>
        </w:tc>
      </w:tr>
    </w:tbl>
    <w:p w:rsidR="000D29F3" w:rsidRPr="007608C2" w:rsidRDefault="00E54BE1" w:rsidP="000D29F3">
      <w:pPr>
        <w:spacing w:after="0" w:line="240" w:lineRule="auto"/>
        <w:rPr>
          <w:rFonts w:cs="Arial"/>
          <w:sz w:val="16"/>
          <w:lang w:val="es-MX" w:eastAsia="es-ES"/>
        </w:rPr>
      </w:pPr>
      <w:r>
        <w:rPr>
          <w:rFonts w:cs="Arial"/>
          <w:sz w:val="16"/>
          <w:lang w:val="es-MX" w:eastAsia="es-ES"/>
        </w:rPr>
        <w:t>Fuente: E-logistic – Sistema de Información d</w:t>
      </w:r>
      <w:r w:rsidR="000D29F3" w:rsidRPr="007608C2">
        <w:rPr>
          <w:rFonts w:cs="Arial"/>
          <w:sz w:val="16"/>
          <w:lang w:val="es-MX" w:eastAsia="es-ES"/>
        </w:rPr>
        <w:t xml:space="preserve">e Entregas y Ficha técnica de programación – FT1, Dirección de Nutrición. </w:t>
      </w:r>
    </w:p>
    <w:p w:rsidR="000D29F3" w:rsidRPr="007608C2" w:rsidRDefault="000D29F3" w:rsidP="000D29F3">
      <w:pPr>
        <w:rPr>
          <w:rFonts w:cs="Arial"/>
          <w:i/>
          <w:iCs/>
          <w:sz w:val="16"/>
        </w:rPr>
      </w:pPr>
      <w:r w:rsidRPr="007608C2">
        <w:rPr>
          <w:rFonts w:cs="Arial"/>
          <w:i/>
          <w:iCs/>
          <w:sz w:val="16"/>
        </w:rPr>
        <w:t>Nota: Información preliminar, sujeta a actualización del cierre oficial de metas sociales y financieras.</w:t>
      </w:r>
    </w:p>
    <w:p w:rsidR="000D29F3" w:rsidRPr="007608C2" w:rsidRDefault="000D29F3" w:rsidP="000D29F3">
      <w:pPr>
        <w:spacing w:after="0" w:line="240" w:lineRule="auto"/>
        <w:jc w:val="both"/>
        <w:rPr>
          <w:rFonts w:cs="Arial"/>
          <w:lang w:val="es-CO" w:eastAsia="es-ES"/>
        </w:rPr>
      </w:pPr>
      <w:r w:rsidRPr="007608C2">
        <w:rPr>
          <w:rFonts w:cs="Arial"/>
          <w:lang w:val="es-CO" w:eastAsia="es-ES"/>
        </w:rPr>
        <w:t xml:space="preserve">La Bienestarina® Líquida distribuida y los beneficiarios atendidos por regional son: </w:t>
      </w:r>
    </w:p>
    <w:p w:rsidR="000D29F3" w:rsidRPr="007608C2" w:rsidRDefault="000D29F3" w:rsidP="000D29F3">
      <w:pPr>
        <w:spacing w:after="0" w:line="240" w:lineRule="auto"/>
        <w:rPr>
          <w:rFonts w:cs="Arial"/>
        </w:rPr>
      </w:pP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762"/>
        <w:gridCol w:w="1441"/>
        <w:gridCol w:w="3171"/>
      </w:tblGrid>
      <w:tr w:rsidR="000D29F3" w:rsidRPr="007608C2" w:rsidTr="00E54BE1">
        <w:trPr>
          <w:trHeight w:val="19"/>
          <w:tblHeader/>
          <w:jc w:val="center"/>
        </w:trPr>
        <w:tc>
          <w:tcPr>
            <w:tcW w:w="0" w:type="auto"/>
            <w:shd w:val="clear" w:color="auto" w:fill="76922E"/>
            <w:noWrap/>
            <w:vAlign w:val="center"/>
            <w:hideMark/>
          </w:tcPr>
          <w:p w:rsidR="000D29F3" w:rsidRPr="00E54BE1" w:rsidRDefault="000D29F3" w:rsidP="00B512A3">
            <w:pPr>
              <w:spacing w:after="0" w:line="240" w:lineRule="auto"/>
              <w:jc w:val="center"/>
              <w:rPr>
                <w:rFonts w:cs="Arial"/>
                <w:b/>
                <w:color w:val="FFFFFF" w:themeColor="background1"/>
                <w:sz w:val="18"/>
                <w:szCs w:val="20"/>
              </w:rPr>
            </w:pPr>
            <w:r w:rsidRPr="00E54BE1">
              <w:rPr>
                <w:rFonts w:cs="Arial"/>
                <w:b/>
                <w:color w:val="FFFFFF" w:themeColor="background1"/>
                <w:sz w:val="18"/>
                <w:szCs w:val="20"/>
              </w:rPr>
              <w:t>Regional</w:t>
            </w:r>
          </w:p>
        </w:tc>
        <w:tc>
          <w:tcPr>
            <w:tcW w:w="0" w:type="auto"/>
            <w:shd w:val="clear" w:color="auto" w:fill="76922E"/>
            <w:noWrap/>
            <w:vAlign w:val="center"/>
            <w:hideMark/>
          </w:tcPr>
          <w:p w:rsidR="000D29F3" w:rsidRPr="00E54BE1" w:rsidRDefault="000D29F3" w:rsidP="00B512A3">
            <w:pPr>
              <w:spacing w:after="0" w:line="240" w:lineRule="auto"/>
              <w:jc w:val="center"/>
              <w:rPr>
                <w:rFonts w:cs="Arial"/>
                <w:b/>
                <w:color w:val="FFFFFF" w:themeColor="background1"/>
                <w:sz w:val="18"/>
                <w:szCs w:val="20"/>
              </w:rPr>
            </w:pPr>
            <w:r w:rsidRPr="00E54BE1">
              <w:rPr>
                <w:rFonts w:cs="Arial"/>
                <w:b/>
                <w:color w:val="FFFFFF" w:themeColor="background1"/>
                <w:sz w:val="18"/>
                <w:szCs w:val="20"/>
              </w:rPr>
              <w:t>Beneficiarios</w:t>
            </w:r>
          </w:p>
        </w:tc>
        <w:tc>
          <w:tcPr>
            <w:tcW w:w="3171" w:type="dxa"/>
            <w:shd w:val="clear" w:color="auto" w:fill="76922E"/>
            <w:vAlign w:val="center"/>
            <w:hideMark/>
          </w:tcPr>
          <w:p w:rsidR="000D29F3" w:rsidRPr="00E54BE1" w:rsidRDefault="000D29F3" w:rsidP="00B512A3">
            <w:pPr>
              <w:spacing w:after="0" w:line="240" w:lineRule="auto"/>
              <w:jc w:val="center"/>
              <w:rPr>
                <w:rFonts w:cs="Arial"/>
                <w:b/>
                <w:color w:val="FFFFFF" w:themeColor="background1"/>
                <w:sz w:val="18"/>
                <w:szCs w:val="20"/>
              </w:rPr>
            </w:pPr>
            <w:r w:rsidRPr="00E54BE1">
              <w:rPr>
                <w:rFonts w:eastAsia="Times New Roman" w:cs="Arial"/>
                <w:b/>
                <w:color w:val="FFFFFF" w:themeColor="background1"/>
                <w:sz w:val="18"/>
                <w:szCs w:val="18"/>
                <w:lang w:val="es-CO" w:eastAsia="es-ES"/>
              </w:rPr>
              <w:t>Unidades de 200 ml de Bienestarina® Líquida distribuidas</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Amazonas </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1.121 </w:t>
            </w:r>
          </w:p>
        </w:tc>
        <w:tc>
          <w:tcPr>
            <w:tcW w:w="3171"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39.384 </w:t>
            </w:r>
          </w:p>
        </w:tc>
      </w:tr>
      <w:tr w:rsidR="000D29F3" w:rsidRPr="007608C2" w:rsidTr="00E54BE1">
        <w:trPr>
          <w:trHeight w:val="19"/>
          <w:jc w:val="center"/>
        </w:trPr>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Antioquia </w:t>
            </w:r>
          </w:p>
        </w:tc>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2.924 </w:t>
            </w:r>
          </w:p>
        </w:tc>
        <w:tc>
          <w:tcPr>
            <w:tcW w:w="3171" w:type="dxa"/>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65.340 </w:t>
            </w:r>
          </w:p>
        </w:tc>
      </w:tr>
      <w:tr w:rsidR="000D29F3" w:rsidRPr="007608C2" w:rsidTr="00E54BE1">
        <w:trPr>
          <w:trHeight w:val="19"/>
          <w:jc w:val="center"/>
        </w:trPr>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Arauca </w:t>
            </w:r>
          </w:p>
        </w:tc>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218 </w:t>
            </w:r>
          </w:p>
        </w:tc>
        <w:tc>
          <w:tcPr>
            <w:tcW w:w="3171" w:type="dxa"/>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11.772 </w:t>
            </w:r>
          </w:p>
        </w:tc>
      </w:tr>
      <w:tr w:rsidR="000D29F3" w:rsidRPr="007608C2" w:rsidTr="00E54BE1">
        <w:trPr>
          <w:trHeight w:val="19"/>
          <w:jc w:val="center"/>
        </w:trPr>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Atlántico </w:t>
            </w:r>
          </w:p>
        </w:tc>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650 </w:t>
            </w:r>
          </w:p>
        </w:tc>
        <w:tc>
          <w:tcPr>
            <w:tcW w:w="3171" w:type="dxa"/>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73.800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Bogotá </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7.010 </w:t>
            </w:r>
          </w:p>
        </w:tc>
        <w:tc>
          <w:tcPr>
            <w:tcW w:w="3171"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160.020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Bolívar </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6.109 </w:t>
            </w:r>
          </w:p>
        </w:tc>
        <w:tc>
          <w:tcPr>
            <w:tcW w:w="3171"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188.244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Boyacá </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340 </w:t>
            </w:r>
          </w:p>
        </w:tc>
        <w:tc>
          <w:tcPr>
            <w:tcW w:w="3171"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20.844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Caldas </w:t>
            </w:r>
          </w:p>
        </w:tc>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823 </w:t>
            </w:r>
          </w:p>
        </w:tc>
        <w:tc>
          <w:tcPr>
            <w:tcW w:w="3171" w:type="dxa"/>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30.744 </w:t>
            </w:r>
          </w:p>
        </w:tc>
      </w:tr>
      <w:tr w:rsidR="000D29F3" w:rsidRPr="007608C2" w:rsidTr="00E54BE1">
        <w:trPr>
          <w:trHeight w:val="19"/>
          <w:jc w:val="center"/>
        </w:trPr>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Casanare </w:t>
            </w:r>
          </w:p>
        </w:tc>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119 </w:t>
            </w:r>
          </w:p>
        </w:tc>
        <w:tc>
          <w:tcPr>
            <w:tcW w:w="3171" w:type="dxa"/>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8.568 </w:t>
            </w:r>
          </w:p>
        </w:tc>
      </w:tr>
      <w:tr w:rsidR="000D29F3" w:rsidRPr="007608C2" w:rsidTr="00E54BE1">
        <w:trPr>
          <w:trHeight w:val="19"/>
          <w:jc w:val="center"/>
        </w:trPr>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Cauca </w:t>
            </w:r>
          </w:p>
        </w:tc>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688 </w:t>
            </w:r>
          </w:p>
        </w:tc>
        <w:tc>
          <w:tcPr>
            <w:tcW w:w="3171" w:type="dxa"/>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20.664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Cesar </w:t>
            </w:r>
          </w:p>
        </w:tc>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10.438 </w:t>
            </w:r>
          </w:p>
        </w:tc>
        <w:tc>
          <w:tcPr>
            <w:tcW w:w="3171" w:type="dxa"/>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400.668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Chocó</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51.110 </w:t>
            </w:r>
          </w:p>
        </w:tc>
        <w:tc>
          <w:tcPr>
            <w:tcW w:w="3171"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1.190.040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Córdoba </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8.845 </w:t>
            </w:r>
          </w:p>
        </w:tc>
        <w:tc>
          <w:tcPr>
            <w:tcW w:w="3171"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577.908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Cundinamarca </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977 </w:t>
            </w:r>
          </w:p>
        </w:tc>
        <w:tc>
          <w:tcPr>
            <w:tcW w:w="3171"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31.176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Guainía </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762 </w:t>
            </w:r>
          </w:p>
        </w:tc>
        <w:tc>
          <w:tcPr>
            <w:tcW w:w="3171"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38.772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Guaviare </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347 </w:t>
            </w:r>
          </w:p>
        </w:tc>
        <w:tc>
          <w:tcPr>
            <w:tcW w:w="3171"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17.028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La guajira </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112.249 </w:t>
            </w:r>
          </w:p>
        </w:tc>
        <w:tc>
          <w:tcPr>
            <w:tcW w:w="3171"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8.936.797 </w:t>
            </w:r>
          </w:p>
        </w:tc>
      </w:tr>
      <w:tr w:rsidR="000D29F3" w:rsidRPr="007608C2" w:rsidTr="00E54BE1">
        <w:trPr>
          <w:trHeight w:val="19"/>
          <w:jc w:val="center"/>
        </w:trPr>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Magdalena </w:t>
            </w:r>
          </w:p>
        </w:tc>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6.558 </w:t>
            </w:r>
          </w:p>
        </w:tc>
        <w:tc>
          <w:tcPr>
            <w:tcW w:w="3171" w:type="dxa"/>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236.088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Meta </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2.000 </w:t>
            </w:r>
          </w:p>
        </w:tc>
        <w:tc>
          <w:tcPr>
            <w:tcW w:w="3171"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68.364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Nariño </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3.448 </w:t>
            </w:r>
          </w:p>
        </w:tc>
        <w:tc>
          <w:tcPr>
            <w:tcW w:w="3171"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207.252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Norte de Santander </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1.083 </w:t>
            </w:r>
          </w:p>
        </w:tc>
        <w:tc>
          <w:tcPr>
            <w:tcW w:w="3171"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36.396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Putumayo </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4.212 </w:t>
            </w:r>
          </w:p>
        </w:tc>
        <w:tc>
          <w:tcPr>
            <w:tcW w:w="3171"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151.056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Risaralda </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1.101 </w:t>
            </w:r>
          </w:p>
        </w:tc>
        <w:tc>
          <w:tcPr>
            <w:tcW w:w="3171"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43.122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San Andrés </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1.483 </w:t>
            </w:r>
          </w:p>
        </w:tc>
        <w:tc>
          <w:tcPr>
            <w:tcW w:w="3171"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6.624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Santander </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3.576 </w:t>
            </w:r>
          </w:p>
        </w:tc>
        <w:tc>
          <w:tcPr>
            <w:tcW w:w="3171"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69.624 </w:t>
            </w:r>
          </w:p>
        </w:tc>
      </w:tr>
      <w:tr w:rsidR="000D29F3" w:rsidRPr="007608C2" w:rsidTr="00E54BE1">
        <w:trPr>
          <w:trHeight w:val="19"/>
          <w:jc w:val="center"/>
        </w:trPr>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Sucre </w:t>
            </w:r>
          </w:p>
        </w:tc>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14.034 </w:t>
            </w:r>
          </w:p>
        </w:tc>
        <w:tc>
          <w:tcPr>
            <w:tcW w:w="3171" w:type="dxa"/>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458.928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Tolima </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30 </w:t>
            </w:r>
          </w:p>
        </w:tc>
        <w:tc>
          <w:tcPr>
            <w:tcW w:w="3171"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1.080 </w:t>
            </w:r>
          </w:p>
        </w:tc>
      </w:tr>
      <w:tr w:rsidR="000D29F3" w:rsidRPr="007608C2" w:rsidTr="00E54BE1">
        <w:trPr>
          <w:trHeight w:val="19"/>
          <w:jc w:val="center"/>
        </w:trPr>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Valle del cauca </w:t>
            </w:r>
          </w:p>
        </w:tc>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3.545 </w:t>
            </w:r>
          </w:p>
        </w:tc>
        <w:tc>
          <w:tcPr>
            <w:tcW w:w="3171" w:type="dxa"/>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73.218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Vaupés </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1.338 </w:t>
            </w:r>
          </w:p>
        </w:tc>
        <w:tc>
          <w:tcPr>
            <w:tcW w:w="3171"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30.312 </w:t>
            </w:r>
          </w:p>
        </w:tc>
      </w:tr>
      <w:tr w:rsidR="000D29F3" w:rsidRPr="007608C2" w:rsidTr="00E54BE1">
        <w:trPr>
          <w:trHeight w:val="19"/>
          <w:jc w:val="center"/>
        </w:trPr>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Vichada </w:t>
            </w:r>
          </w:p>
        </w:tc>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1.030 </w:t>
            </w:r>
          </w:p>
        </w:tc>
        <w:tc>
          <w:tcPr>
            <w:tcW w:w="3171" w:type="dxa"/>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61.812 </w:t>
            </w:r>
          </w:p>
        </w:tc>
      </w:tr>
      <w:tr w:rsidR="000D29F3" w:rsidRPr="007608C2" w:rsidTr="00E54BE1">
        <w:trPr>
          <w:trHeight w:val="19"/>
          <w:jc w:val="center"/>
        </w:trPr>
        <w:tc>
          <w:tcPr>
            <w:tcW w:w="0" w:type="auto"/>
            <w:shd w:val="clear" w:color="auto" w:fill="E2EFDA"/>
            <w:noWrap/>
            <w:vAlign w:val="center"/>
            <w:hideMark/>
          </w:tcPr>
          <w:p w:rsidR="000D29F3" w:rsidRPr="007608C2" w:rsidRDefault="000D29F3" w:rsidP="00B512A3">
            <w:pPr>
              <w:spacing w:after="0" w:line="240" w:lineRule="auto"/>
              <w:jc w:val="both"/>
              <w:rPr>
                <w:rFonts w:cs="Arial"/>
                <w:b/>
                <w:sz w:val="18"/>
                <w:szCs w:val="20"/>
              </w:rPr>
            </w:pPr>
            <w:r w:rsidRPr="007608C2">
              <w:rPr>
                <w:rFonts w:cs="Arial"/>
                <w:b/>
                <w:sz w:val="18"/>
                <w:szCs w:val="20"/>
              </w:rPr>
              <w:t>Total General</w:t>
            </w:r>
          </w:p>
        </w:tc>
        <w:tc>
          <w:tcPr>
            <w:tcW w:w="0" w:type="auto"/>
            <w:shd w:val="clear" w:color="auto" w:fill="E2EFDA"/>
            <w:noWrap/>
            <w:vAlign w:val="bottom"/>
          </w:tcPr>
          <w:p w:rsidR="000D29F3" w:rsidRPr="007608C2" w:rsidRDefault="000D29F3" w:rsidP="00B512A3">
            <w:pPr>
              <w:spacing w:after="0" w:line="240" w:lineRule="auto"/>
              <w:rPr>
                <w:rFonts w:eastAsia="Times New Roman" w:cs="Arial"/>
                <w:b/>
                <w:sz w:val="18"/>
                <w:szCs w:val="20"/>
              </w:rPr>
            </w:pPr>
            <w:r w:rsidRPr="007608C2">
              <w:rPr>
                <w:rFonts w:eastAsia="Times New Roman" w:cs="Arial"/>
                <w:b/>
                <w:sz w:val="18"/>
                <w:szCs w:val="20"/>
              </w:rPr>
              <w:t xml:space="preserve">            248.168 </w:t>
            </w:r>
          </w:p>
        </w:tc>
        <w:tc>
          <w:tcPr>
            <w:tcW w:w="3171" w:type="dxa"/>
            <w:shd w:val="clear" w:color="auto" w:fill="E2EFDA"/>
            <w:noWrap/>
            <w:vAlign w:val="bottom"/>
          </w:tcPr>
          <w:p w:rsidR="000D29F3" w:rsidRPr="007608C2" w:rsidRDefault="000D29F3" w:rsidP="00B512A3">
            <w:pPr>
              <w:spacing w:after="0" w:line="240" w:lineRule="auto"/>
              <w:rPr>
                <w:rFonts w:eastAsia="Times New Roman" w:cs="Arial"/>
                <w:b/>
                <w:sz w:val="18"/>
                <w:szCs w:val="20"/>
              </w:rPr>
            </w:pPr>
            <w:r w:rsidRPr="007608C2">
              <w:rPr>
                <w:rFonts w:eastAsia="Times New Roman" w:cs="Arial"/>
                <w:b/>
                <w:sz w:val="18"/>
                <w:szCs w:val="20"/>
              </w:rPr>
              <w:t xml:space="preserve">                       13.255.645 </w:t>
            </w:r>
          </w:p>
        </w:tc>
      </w:tr>
    </w:tbl>
    <w:p w:rsidR="000D29F3" w:rsidRPr="007608C2" w:rsidRDefault="000D29F3" w:rsidP="000D29F3">
      <w:pPr>
        <w:tabs>
          <w:tab w:val="left" w:pos="1701"/>
        </w:tabs>
        <w:spacing w:after="0" w:line="240" w:lineRule="auto"/>
        <w:ind w:left="1560" w:right="1467"/>
        <w:rPr>
          <w:rFonts w:cs="Arial"/>
          <w:lang w:val="es-MX" w:eastAsia="es-ES"/>
        </w:rPr>
      </w:pPr>
      <w:r w:rsidRPr="007608C2">
        <w:rPr>
          <w:rFonts w:cs="Arial"/>
          <w:b/>
          <w:sz w:val="16"/>
          <w:lang w:val="es-MX" w:eastAsia="es-ES"/>
        </w:rPr>
        <w:t>Fuente:</w:t>
      </w:r>
      <w:r w:rsidR="00E54BE1">
        <w:rPr>
          <w:rFonts w:cs="Arial"/>
          <w:sz w:val="16"/>
          <w:lang w:val="es-MX" w:eastAsia="es-ES"/>
        </w:rPr>
        <w:t xml:space="preserve"> E-logistic – Sistema de Información d</w:t>
      </w:r>
      <w:r w:rsidRPr="007608C2">
        <w:rPr>
          <w:rFonts w:cs="Arial"/>
          <w:sz w:val="16"/>
          <w:lang w:val="es-MX" w:eastAsia="es-ES"/>
        </w:rPr>
        <w:t>e Entregas y Ficha técnica de programación – FT1, Dirección de Nutrición.</w:t>
      </w:r>
    </w:p>
    <w:p w:rsidR="000D29F3" w:rsidRPr="007608C2" w:rsidRDefault="000D29F3" w:rsidP="00B00CC8">
      <w:pPr>
        <w:ind w:left="708" w:firstLine="708"/>
        <w:rPr>
          <w:rFonts w:cs="Arial"/>
          <w:i/>
          <w:iCs/>
          <w:sz w:val="16"/>
        </w:rPr>
      </w:pPr>
      <w:r w:rsidRPr="007608C2">
        <w:rPr>
          <w:rFonts w:cs="Arial"/>
          <w:i/>
          <w:iCs/>
          <w:sz w:val="16"/>
          <w:lang w:val="es-MX"/>
        </w:rPr>
        <w:t xml:space="preserve">   </w:t>
      </w:r>
      <w:r w:rsidRPr="007608C2">
        <w:rPr>
          <w:rFonts w:cs="Arial"/>
          <w:i/>
          <w:iCs/>
          <w:sz w:val="16"/>
        </w:rPr>
        <w:t>Nota: Información preliminar, sujeta a actualización del cierre oficial de metas sociales y financieras.</w:t>
      </w:r>
    </w:p>
    <w:p w:rsidR="000D29F3" w:rsidRDefault="000D29F3" w:rsidP="001B1357">
      <w:pPr>
        <w:numPr>
          <w:ilvl w:val="0"/>
          <w:numId w:val="65"/>
        </w:numPr>
        <w:spacing w:after="0" w:line="240" w:lineRule="auto"/>
        <w:jc w:val="both"/>
        <w:rPr>
          <w:rFonts w:cs="Arial"/>
          <w:b/>
          <w:lang w:val="es-CO" w:eastAsia="es-ES"/>
        </w:rPr>
      </w:pPr>
      <w:r w:rsidRPr="006339A3">
        <w:rPr>
          <w:rFonts w:cs="Arial"/>
          <w:b/>
          <w:lang w:val="es-CO" w:eastAsia="es-ES"/>
        </w:rPr>
        <w:t>Alimento para la Mujer Gestante y madre en periodo de lactancia</w:t>
      </w:r>
    </w:p>
    <w:p w:rsidR="006339A3" w:rsidRPr="006339A3" w:rsidRDefault="006339A3" w:rsidP="006339A3">
      <w:pPr>
        <w:spacing w:after="0" w:line="240" w:lineRule="auto"/>
        <w:jc w:val="both"/>
        <w:rPr>
          <w:rFonts w:cs="Arial"/>
          <w:b/>
          <w:lang w:val="es-CO" w:eastAsia="es-ES"/>
        </w:rPr>
      </w:pPr>
    </w:p>
    <w:p w:rsidR="000D29F3" w:rsidRPr="007608C2" w:rsidRDefault="000D29F3" w:rsidP="000D29F3">
      <w:pPr>
        <w:spacing w:after="0" w:line="240" w:lineRule="auto"/>
        <w:jc w:val="both"/>
        <w:rPr>
          <w:rFonts w:cs="Arial"/>
          <w:lang w:val="es-CO" w:eastAsia="es-ES"/>
        </w:rPr>
      </w:pPr>
      <w:r w:rsidRPr="007608C2">
        <w:rPr>
          <w:rFonts w:cs="Arial"/>
          <w:lang w:val="es-CO" w:eastAsia="es-ES"/>
        </w:rPr>
        <w:t xml:space="preserve">Alimento dirigido específicamente para mujeres gestantes y madres en periodo de lactancia, diseñado de acuerdo con las necesidades de nutrientes específicas para este grupo de edad y considerando la importancia de la intervención desde los primeros 1.000 días.  </w:t>
      </w:r>
    </w:p>
    <w:p w:rsidR="000D29F3" w:rsidRPr="007608C2" w:rsidRDefault="000D29F3" w:rsidP="000D29F3">
      <w:pPr>
        <w:spacing w:after="0" w:line="240" w:lineRule="auto"/>
        <w:jc w:val="both"/>
        <w:rPr>
          <w:rFonts w:cs="Arial"/>
          <w:lang w:val="es-CO" w:eastAsia="es-ES"/>
        </w:rPr>
      </w:pPr>
    </w:p>
    <w:p w:rsidR="000D29F3" w:rsidRPr="007608C2" w:rsidRDefault="000D29F3" w:rsidP="000D29F3">
      <w:pPr>
        <w:spacing w:after="0" w:line="240" w:lineRule="auto"/>
        <w:jc w:val="both"/>
        <w:rPr>
          <w:rFonts w:cs="Arial"/>
          <w:lang w:val="es-CO" w:eastAsia="es-ES"/>
        </w:rPr>
      </w:pPr>
      <w:r w:rsidRPr="007608C2">
        <w:rPr>
          <w:rFonts w:cs="Arial"/>
          <w:lang w:val="es-CO" w:eastAsia="es-ES"/>
        </w:rPr>
        <w:lastRenderedPageBreak/>
        <w:t>Durante la vigencia 2017 se produjeron 653 toneladas</w:t>
      </w:r>
      <w:r w:rsidRPr="007608C2">
        <w:rPr>
          <w:rFonts w:cs="Arial"/>
          <w:vertAlign w:val="superscript"/>
          <w:lang w:val="es-CO" w:eastAsia="es-ES"/>
        </w:rPr>
        <w:footnoteReference w:id="7"/>
      </w:r>
      <w:r w:rsidRPr="007608C2">
        <w:rPr>
          <w:rFonts w:cs="Arial"/>
          <w:lang w:val="es-CO" w:eastAsia="es-ES"/>
        </w:rPr>
        <w:t xml:space="preserve"> y se distribuyeron 585 toneladas para la atención de la modalidad Hogares FAMI de la Dirección de Primera Infancia, 1.000 días para cambiar el mundo de la Dirección de Nutrición, por entregas especiales y unidades móviles, logrando la atención de aproximadamente 76.974 beneficiarias.</w:t>
      </w:r>
    </w:p>
    <w:p w:rsidR="000D29F3" w:rsidRPr="007608C2" w:rsidRDefault="000D29F3" w:rsidP="000D29F3">
      <w:pPr>
        <w:spacing w:after="0" w:line="240" w:lineRule="auto"/>
        <w:jc w:val="both"/>
        <w:rPr>
          <w:rFonts w:cs="Arial"/>
          <w:lang w:val="es-CO" w:eastAsia="es-ES"/>
        </w:rPr>
      </w:pPr>
    </w:p>
    <w:p w:rsidR="000D29F3" w:rsidRPr="007608C2" w:rsidRDefault="000D29F3" w:rsidP="000D29F3">
      <w:pPr>
        <w:spacing w:after="0" w:line="240" w:lineRule="auto"/>
        <w:jc w:val="both"/>
        <w:rPr>
          <w:rFonts w:cs="Arial"/>
          <w:lang w:val="es-CO" w:eastAsia="es-ES"/>
        </w:rPr>
      </w:pPr>
      <w:r w:rsidRPr="007608C2">
        <w:rPr>
          <w:rFonts w:cs="Arial"/>
          <w:lang w:val="es-CO" w:eastAsia="es-ES"/>
        </w:rPr>
        <w:t xml:space="preserve">El Alimento para la mujer gestante y madre en periodo de lactancia distribuida y los beneficiarios atendidos por modalidades de atención son:  </w:t>
      </w:r>
    </w:p>
    <w:p w:rsidR="000D29F3" w:rsidRPr="007608C2" w:rsidRDefault="000D29F3" w:rsidP="000D29F3">
      <w:pPr>
        <w:spacing w:after="0" w:line="240" w:lineRule="auto"/>
        <w:jc w:val="both"/>
        <w:rPr>
          <w:rFonts w:cs="Arial"/>
          <w:lang w:val="es-CO" w:eastAsia="es-ES"/>
        </w:rPr>
      </w:pP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2872"/>
        <w:gridCol w:w="1491"/>
        <w:gridCol w:w="3429"/>
      </w:tblGrid>
      <w:tr w:rsidR="000D29F3" w:rsidRPr="007608C2" w:rsidTr="00E54BE1">
        <w:trPr>
          <w:trHeight w:val="20"/>
          <w:tblHeader/>
          <w:jc w:val="center"/>
        </w:trPr>
        <w:tc>
          <w:tcPr>
            <w:tcW w:w="0" w:type="auto"/>
            <w:shd w:val="clear" w:color="auto" w:fill="76922E"/>
            <w:noWrap/>
            <w:vAlign w:val="center"/>
            <w:hideMark/>
          </w:tcPr>
          <w:p w:rsidR="000D29F3" w:rsidRPr="00E54BE1" w:rsidRDefault="000D29F3" w:rsidP="00B512A3">
            <w:pPr>
              <w:spacing w:after="0" w:line="240" w:lineRule="auto"/>
              <w:jc w:val="center"/>
              <w:rPr>
                <w:rFonts w:cs="Arial"/>
                <w:b/>
                <w:color w:val="FFFFFF" w:themeColor="background1"/>
                <w:sz w:val="18"/>
                <w:szCs w:val="20"/>
              </w:rPr>
            </w:pPr>
            <w:r w:rsidRPr="00E54BE1">
              <w:rPr>
                <w:rFonts w:cs="Arial"/>
                <w:b/>
                <w:color w:val="FFFFFF" w:themeColor="background1"/>
                <w:sz w:val="18"/>
                <w:szCs w:val="20"/>
              </w:rPr>
              <w:t>Modalidad</w:t>
            </w:r>
          </w:p>
        </w:tc>
        <w:tc>
          <w:tcPr>
            <w:tcW w:w="0" w:type="auto"/>
            <w:shd w:val="clear" w:color="auto" w:fill="76922E"/>
            <w:vAlign w:val="center"/>
            <w:hideMark/>
          </w:tcPr>
          <w:p w:rsidR="000D29F3" w:rsidRPr="00E54BE1" w:rsidRDefault="000D29F3" w:rsidP="00B512A3">
            <w:pPr>
              <w:spacing w:after="0" w:line="240" w:lineRule="auto"/>
              <w:jc w:val="center"/>
              <w:rPr>
                <w:rFonts w:cs="Arial"/>
                <w:b/>
                <w:color w:val="FFFFFF" w:themeColor="background1"/>
                <w:sz w:val="18"/>
                <w:szCs w:val="20"/>
              </w:rPr>
            </w:pPr>
            <w:r w:rsidRPr="00E54BE1">
              <w:rPr>
                <w:rFonts w:cs="Arial"/>
                <w:b/>
                <w:color w:val="FFFFFF" w:themeColor="background1"/>
                <w:sz w:val="18"/>
                <w:szCs w:val="20"/>
              </w:rPr>
              <w:t>Beneficiarias</w:t>
            </w:r>
          </w:p>
        </w:tc>
        <w:tc>
          <w:tcPr>
            <w:tcW w:w="3429" w:type="dxa"/>
            <w:shd w:val="clear" w:color="auto" w:fill="76922E"/>
            <w:vAlign w:val="center"/>
            <w:hideMark/>
          </w:tcPr>
          <w:p w:rsidR="000D29F3" w:rsidRPr="00E54BE1" w:rsidRDefault="000D29F3" w:rsidP="00B512A3">
            <w:pPr>
              <w:spacing w:after="0" w:line="240" w:lineRule="auto"/>
              <w:jc w:val="center"/>
              <w:rPr>
                <w:rFonts w:cs="Arial"/>
                <w:b/>
                <w:color w:val="FFFFFF" w:themeColor="background1"/>
                <w:sz w:val="18"/>
                <w:szCs w:val="20"/>
              </w:rPr>
            </w:pPr>
            <w:r w:rsidRPr="00E54BE1">
              <w:rPr>
                <w:rFonts w:eastAsia="Times New Roman" w:cs="Arial"/>
                <w:b/>
                <w:color w:val="FFFFFF" w:themeColor="background1"/>
                <w:sz w:val="18"/>
                <w:szCs w:val="18"/>
                <w:lang w:val="es-CO" w:eastAsia="es-ES"/>
              </w:rPr>
              <w:t>Toneladas del Alimento para la mujer gestante y lactante distribuidas</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1.000 días para cambiar el mundo</w:t>
            </w:r>
          </w:p>
        </w:tc>
        <w:tc>
          <w:tcPr>
            <w:tcW w:w="0" w:type="auto"/>
            <w:shd w:val="clear" w:color="auto" w:fill="auto"/>
            <w:noWrap/>
            <w:vAlign w:val="bottom"/>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                15.396 </w:t>
            </w:r>
          </w:p>
        </w:tc>
        <w:tc>
          <w:tcPr>
            <w:tcW w:w="3429" w:type="dxa"/>
            <w:shd w:val="clear" w:color="auto" w:fill="auto"/>
            <w:noWrap/>
            <w:vAlign w:val="bottom"/>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                                  77,8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Entregas especiales</w:t>
            </w:r>
          </w:p>
        </w:tc>
        <w:tc>
          <w:tcPr>
            <w:tcW w:w="0" w:type="auto"/>
            <w:shd w:val="clear" w:color="auto" w:fill="auto"/>
            <w:noWrap/>
            <w:vAlign w:val="bottom"/>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                  1.690 </w:t>
            </w:r>
          </w:p>
        </w:tc>
        <w:tc>
          <w:tcPr>
            <w:tcW w:w="3429" w:type="dxa"/>
            <w:shd w:val="clear" w:color="auto" w:fill="auto"/>
            <w:noWrap/>
            <w:vAlign w:val="bottom"/>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                                    1,5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Hogares FAMI</w:t>
            </w:r>
          </w:p>
        </w:tc>
        <w:tc>
          <w:tcPr>
            <w:tcW w:w="0" w:type="auto"/>
            <w:shd w:val="clear" w:color="auto" w:fill="auto"/>
            <w:noWrap/>
            <w:vAlign w:val="bottom"/>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                59.063 </w:t>
            </w:r>
          </w:p>
        </w:tc>
        <w:tc>
          <w:tcPr>
            <w:tcW w:w="3429" w:type="dxa"/>
            <w:shd w:val="clear" w:color="auto" w:fill="auto"/>
            <w:noWrap/>
            <w:vAlign w:val="bottom"/>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                                504,6 </w:t>
            </w:r>
          </w:p>
        </w:tc>
      </w:tr>
      <w:tr w:rsidR="000D29F3" w:rsidRPr="007608C2" w:rsidTr="00E54BE1">
        <w:trPr>
          <w:trHeight w:val="20"/>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Unidades móviles</w:t>
            </w:r>
          </w:p>
        </w:tc>
        <w:tc>
          <w:tcPr>
            <w:tcW w:w="0" w:type="auto"/>
            <w:shd w:val="clear" w:color="auto" w:fill="auto"/>
            <w:noWrap/>
            <w:vAlign w:val="bottom"/>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                     825 </w:t>
            </w:r>
          </w:p>
        </w:tc>
        <w:tc>
          <w:tcPr>
            <w:tcW w:w="3429" w:type="dxa"/>
            <w:shd w:val="clear" w:color="auto" w:fill="auto"/>
            <w:noWrap/>
            <w:vAlign w:val="bottom"/>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                                    0,7 </w:t>
            </w:r>
          </w:p>
        </w:tc>
      </w:tr>
      <w:tr w:rsidR="000D29F3" w:rsidRPr="007608C2" w:rsidTr="00E54BE1">
        <w:trPr>
          <w:trHeight w:val="20"/>
          <w:jc w:val="center"/>
        </w:trPr>
        <w:tc>
          <w:tcPr>
            <w:tcW w:w="0" w:type="auto"/>
            <w:shd w:val="clear" w:color="auto" w:fill="E2EFDA"/>
            <w:noWrap/>
            <w:vAlign w:val="bottom"/>
            <w:hideMark/>
          </w:tcPr>
          <w:p w:rsidR="000D29F3" w:rsidRPr="007608C2" w:rsidRDefault="000D29F3" w:rsidP="00B512A3">
            <w:pPr>
              <w:spacing w:after="0" w:line="240" w:lineRule="auto"/>
              <w:rPr>
                <w:rFonts w:eastAsia="Times New Roman" w:cs="Arial"/>
                <w:b/>
                <w:sz w:val="18"/>
                <w:szCs w:val="20"/>
              </w:rPr>
            </w:pPr>
            <w:r w:rsidRPr="007608C2">
              <w:rPr>
                <w:rFonts w:eastAsia="Times New Roman" w:cs="Arial"/>
                <w:b/>
                <w:sz w:val="18"/>
                <w:szCs w:val="20"/>
              </w:rPr>
              <w:t>Total general</w:t>
            </w:r>
          </w:p>
        </w:tc>
        <w:tc>
          <w:tcPr>
            <w:tcW w:w="0" w:type="auto"/>
            <w:shd w:val="clear" w:color="auto" w:fill="E2EFDA"/>
            <w:noWrap/>
            <w:vAlign w:val="bottom"/>
          </w:tcPr>
          <w:p w:rsidR="000D29F3" w:rsidRPr="007608C2" w:rsidRDefault="000D29F3" w:rsidP="00B512A3">
            <w:pPr>
              <w:spacing w:after="0" w:line="240" w:lineRule="auto"/>
              <w:jc w:val="right"/>
              <w:rPr>
                <w:rFonts w:eastAsia="Times New Roman" w:cs="Arial"/>
                <w:b/>
                <w:sz w:val="18"/>
                <w:szCs w:val="20"/>
              </w:rPr>
            </w:pPr>
            <w:r w:rsidRPr="007608C2">
              <w:rPr>
                <w:rFonts w:eastAsia="Times New Roman" w:cs="Arial"/>
                <w:b/>
                <w:sz w:val="18"/>
                <w:szCs w:val="20"/>
              </w:rPr>
              <w:t xml:space="preserve">                76.974 </w:t>
            </w:r>
          </w:p>
        </w:tc>
        <w:tc>
          <w:tcPr>
            <w:tcW w:w="3429" w:type="dxa"/>
            <w:shd w:val="clear" w:color="auto" w:fill="E2EFDA"/>
            <w:noWrap/>
            <w:vAlign w:val="bottom"/>
          </w:tcPr>
          <w:p w:rsidR="000D29F3" w:rsidRPr="007608C2" w:rsidRDefault="000D29F3" w:rsidP="00B512A3">
            <w:pPr>
              <w:spacing w:after="0" w:line="240" w:lineRule="auto"/>
              <w:jc w:val="right"/>
              <w:rPr>
                <w:rFonts w:eastAsia="Times New Roman" w:cs="Arial"/>
                <w:b/>
                <w:sz w:val="18"/>
                <w:szCs w:val="20"/>
              </w:rPr>
            </w:pPr>
            <w:r w:rsidRPr="007608C2">
              <w:rPr>
                <w:rFonts w:eastAsia="Times New Roman" w:cs="Arial"/>
                <w:b/>
                <w:sz w:val="18"/>
                <w:szCs w:val="20"/>
              </w:rPr>
              <w:t xml:space="preserve">                  584,6 </w:t>
            </w:r>
          </w:p>
        </w:tc>
      </w:tr>
    </w:tbl>
    <w:p w:rsidR="000D29F3" w:rsidRPr="007608C2" w:rsidRDefault="000D29F3" w:rsidP="00B00CC8">
      <w:pPr>
        <w:spacing w:after="0" w:line="240" w:lineRule="auto"/>
        <w:jc w:val="center"/>
        <w:rPr>
          <w:rFonts w:cs="Arial"/>
          <w:sz w:val="16"/>
          <w:lang w:val="es-MX" w:eastAsia="es-ES"/>
        </w:rPr>
      </w:pPr>
      <w:r w:rsidRPr="007608C2">
        <w:rPr>
          <w:rFonts w:cs="Arial"/>
          <w:sz w:val="16"/>
          <w:lang w:val="es-MX" w:eastAsia="es-ES"/>
        </w:rPr>
        <w:t>Fuente: E-log</w:t>
      </w:r>
      <w:r w:rsidR="00E54BE1">
        <w:rPr>
          <w:rFonts w:cs="Arial"/>
          <w:sz w:val="16"/>
          <w:lang w:val="es-MX" w:eastAsia="es-ES"/>
        </w:rPr>
        <w:t>istic – Sistema de Información d</w:t>
      </w:r>
      <w:r w:rsidRPr="007608C2">
        <w:rPr>
          <w:rFonts w:cs="Arial"/>
          <w:sz w:val="16"/>
          <w:lang w:val="es-MX" w:eastAsia="es-ES"/>
        </w:rPr>
        <w:t>e Entregas y Ficha técnica de programación – FT1, Dirección de Nutrición.</w:t>
      </w:r>
    </w:p>
    <w:p w:rsidR="000D29F3" w:rsidRPr="007608C2" w:rsidRDefault="000D29F3" w:rsidP="00B00CC8">
      <w:pPr>
        <w:jc w:val="center"/>
        <w:rPr>
          <w:rFonts w:cs="Arial"/>
          <w:i/>
          <w:iCs/>
          <w:sz w:val="16"/>
          <w:lang w:val="es-CO"/>
        </w:rPr>
      </w:pPr>
      <w:r w:rsidRPr="007608C2">
        <w:rPr>
          <w:rFonts w:cs="Arial"/>
          <w:i/>
          <w:iCs/>
          <w:sz w:val="16"/>
        </w:rPr>
        <w:t>Nota: Información preliminar, sujeta a actualización del cierre oficial de metas sociales y financieras.</w:t>
      </w:r>
    </w:p>
    <w:p w:rsidR="000D29F3" w:rsidRPr="007608C2" w:rsidRDefault="000D29F3" w:rsidP="000D29F3">
      <w:pPr>
        <w:spacing w:after="0" w:line="240" w:lineRule="auto"/>
        <w:jc w:val="both"/>
        <w:rPr>
          <w:rFonts w:cs="Arial"/>
          <w:lang w:val="es-CO" w:eastAsia="es-ES"/>
        </w:rPr>
      </w:pPr>
      <w:r w:rsidRPr="007608C2">
        <w:rPr>
          <w:rFonts w:cs="Arial"/>
          <w:lang w:val="es-CO" w:eastAsia="es-ES"/>
        </w:rPr>
        <w:t xml:space="preserve">El Alimento para la mujer gestante y madre en periodo de lactancia distribuida y los beneficiarios atendidos por regional son: </w:t>
      </w:r>
    </w:p>
    <w:p w:rsidR="000D29F3" w:rsidRPr="007608C2" w:rsidRDefault="000D29F3" w:rsidP="000D29F3">
      <w:pPr>
        <w:spacing w:after="0" w:line="240" w:lineRule="auto"/>
        <w:jc w:val="both"/>
        <w:rPr>
          <w:rFonts w:cs="Arial"/>
          <w:lang w:val="es-CO" w:eastAsia="es-ES"/>
        </w:rPr>
      </w:pP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712"/>
        <w:gridCol w:w="1441"/>
        <w:gridCol w:w="3505"/>
      </w:tblGrid>
      <w:tr w:rsidR="000D29F3" w:rsidRPr="007608C2" w:rsidTr="00E54BE1">
        <w:trPr>
          <w:trHeight w:val="19"/>
          <w:tblHeader/>
          <w:jc w:val="center"/>
        </w:trPr>
        <w:tc>
          <w:tcPr>
            <w:tcW w:w="0" w:type="auto"/>
            <w:shd w:val="clear" w:color="auto" w:fill="76922E"/>
            <w:noWrap/>
            <w:vAlign w:val="center"/>
            <w:hideMark/>
          </w:tcPr>
          <w:p w:rsidR="000D29F3" w:rsidRPr="00E54BE1" w:rsidRDefault="000D29F3" w:rsidP="00B512A3">
            <w:pPr>
              <w:spacing w:after="0" w:line="240" w:lineRule="auto"/>
              <w:jc w:val="center"/>
              <w:rPr>
                <w:rFonts w:cs="Arial"/>
                <w:b/>
                <w:color w:val="FFFFFF" w:themeColor="background1"/>
                <w:sz w:val="18"/>
                <w:szCs w:val="20"/>
              </w:rPr>
            </w:pPr>
            <w:r w:rsidRPr="00E54BE1">
              <w:rPr>
                <w:rFonts w:cs="Arial"/>
                <w:b/>
                <w:color w:val="FFFFFF" w:themeColor="background1"/>
                <w:sz w:val="18"/>
                <w:szCs w:val="20"/>
              </w:rPr>
              <w:t>Regional</w:t>
            </w:r>
          </w:p>
        </w:tc>
        <w:tc>
          <w:tcPr>
            <w:tcW w:w="0" w:type="auto"/>
            <w:shd w:val="clear" w:color="auto" w:fill="76922E"/>
            <w:noWrap/>
            <w:vAlign w:val="center"/>
            <w:hideMark/>
          </w:tcPr>
          <w:p w:rsidR="000D29F3" w:rsidRPr="00E54BE1" w:rsidRDefault="000D29F3" w:rsidP="00B512A3">
            <w:pPr>
              <w:spacing w:after="0" w:line="240" w:lineRule="auto"/>
              <w:jc w:val="center"/>
              <w:rPr>
                <w:rFonts w:cs="Arial"/>
                <w:b/>
                <w:color w:val="FFFFFF" w:themeColor="background1"/>
                <w:sz w:val="18"/>
                <w:szCs w:val="20"/>
              </w:rPr>
            </w:pPr>
            <w:r w:rsidRPr="00E54BE1">
              <w:rPr>
                <w:rFonts w:cs="Arial"/>
                <w:b/>
                <w:color w:val="FFFFFF" w:themeColor="background1"/>
                <w:sz w:val="18"/>
                <w:szCs w:val="20"/>
              </w:rPr>
              <w:t>Beneficiarios</w:t>
            </w:r>
          </w:p>
        </w:tc>
        <w:tc>
          <w:tcPr>
            <w:tcW w:w="3505" w:type="dxa"/>
            <w:shd w:val="clear" w:color="auto" w:fill="76922E"/>
            <w:vAlign w:val="center"/>
            <w:hideMark/>
          </w:tcPr>
          <w:p w:rsidR="000D29F3" w:rsidRPr="00E54BE1" w:rsidRDefault="000D29F3" w:rsidP="00B512A3">
            <w:pPr>
              <w:spacing w:after="0" w:line="240" w:lineRule="auto"/>
              <w:jc w:val="center"/>
              <w:rPr>
                <w:rFonts w:cs="Arial"/>
                <w:b/>
                <w:color w:val="FFFFFF" w:themeColor="background1"/>
                <w:sz w:val="18"/>
                <w:szCs w:val="20"/>
              </w:rPr>
            </w:pPr>
            <w:r w:rsidRPr="00E54BE1">
              <w:rPr>
                <w:rFonts w:eastAsia="Times New Roman" w:cs="Arial"/>
                <w:b/>
                <w:color w:val="FFFFFF" w:themeColor="background1"/>
                <w:sz w:val="18"/>
                <w:szCs w:val="18"/>
                <w:lang w:val="es-CO" w:eastAsia="es-ES"/>
              </w:rPr>
              <w:t>Toneladas del Alimento para la mujer gestante y lactante distribuidas</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Amazonas</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623 </w:t>
            </w:r>
          </w:p>
        </w:tc>
        <w:tc>
          <w:tcPr>
            <w:tcW w:w="3505"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2,0 </w:t>
            </w:r>
          </w:p>
        </w:tc>
      </w:tr>
      <w:tr w:rsidR="000D29F3" w:rsidRPr="007608C2" w:rsidTr="00E54BE1">
        <w:trPr>
          <w:trHeight w:val="19"/>
          <w:jc w:val="center"/>
        </w:trPr>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Antioquia</w:t>
            </w:r>
          </w:p>
        </w:tc>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4.546 </w:t>
            </w:r>
          </w:p>
        </w:tc>
        <w:tc>
          <w:tcPr>
            <w:tcW w:w="3505" w:type="dxa"/>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44,5 </w:t>
            </w:r>
          </w:p>
        </w:tc>
      </w:tr>
      <w:tr w:rsidR="000D29F3" w:rsidRPr="007608C2" w:rsidTr="00E54BE1">
        <w:trPr>
          <w:trHeight w:val="19"/>
          <w:jc w:val="center"/>
        </w:trPr>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Arauca</w:t>
            </w:r>
          </w:p>
        </w:tc>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159 </w:t>
            </w:r>
          </w:p>
        </w:tc>
        <w:tc>
          <w:tcPr>
            <w:tcW w:w="3505" w:type="dxa"/>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1,1 </w:t>
            </w:r>
          </w:p>
        </w:tc>
      </w:tr>
      <w:tr w:rsidR="000D29F3" w:rsidRPr="007608C2" w:rsidTr="00E54BE1">
        <w:trPr>
          <w:trHeight w:val="19"/>
          <w:jc w:val="center"/>
        </w:trPr>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Atlántico</w:t>
            </w:r>
          </w:p>
        </w:tc>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7.172 </w:t>
            </w:r>
          </w:p>
        </w:tc>
        <w:tc>
          <w:tcPr>
            <w:tcW w:w="3505" w:type="dxa"/>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64,2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Bogotá</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572 </w:t>
            </w:r>
          </w:p>
        </w:tc>
        <w:tc>
          <w:tcPr>
            <w:tcW w:w="3505"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4,7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Bolívar</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4.493 </w:t>
            </w:r>
          </w:p>
        </w:tc>
        <w:tc>
          <w:tcPr>
            <w:tcW w:w="3505"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39,4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Boyacá</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2.345 </w:t>
            </w:r>
          </w:p>
        </w:tc>
        <w:tc>
          <w:tcPr>
            <w:tcW w:w="3505"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24,6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Caldas</w:t>
            </w:r>
          </w:p>
        </w:tc>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455 </w:t>
            </w:r>
          </w:p>
        </w:tc>
        <w:tc>
          <w:tcPr>
            <w:tcW w:w="3505" w:type="dxa"/>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2,4 </w:t>
            </w:r>
          </w:p>
        </w:tc>
      </w:tr>
      <w:tr w:rsidR="000D29F3" w:rsidRPr="007608C2" w:rsidTr="00E54BE1">
        <w:trPr>
          <w:trHeight w:val="19"/>
          <w:jc w:val="center"/>
        </w:trPr>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Caquetá</w:t>
            </w:r>
          </w:p>
        </w:tc>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369 </w:t>
            </w:r>
          </w:p>
        </w:tc>
        <w:tc>
          <w:tcPr>
            <w:tcW w:w="3505" w:type="dxa"/>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2,6 </w:t>
            </w:r>
          </w:p>
        </w:tc>
      </w:tr>
      <w:tr w:rsidR="000D29F3" w:rsidRPr="007608C2" w:rsidTr="00E54BE1">
        <w:trPr>
          <w:trHeight w:val="19"/>
          <w:jc w:val="center"/>
        </w:trPr>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Casanare</w:t>
            </w:r>
          </w:p>
        </w:tc>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122 </w:t>
            </w:r>
          </w:p>
        </w:tc>
        <w:tc>
          <w:tcPr>
            <w:tcW w:w="3505" w:type="dxa"/>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0,5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Cauca</w:t>
            </w:r>
          </w:p>
        </w:tc>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1.462 </w:t>
            </w:r>
          </w:p>
        </w:tc>
        <w:tc>
          <w:tcPr>
            <w:tcW w:w="3505" w:type="dxa"/>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11,3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Cesar</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3.090 </w:t>
            </w:r>
          </w:p>
        </w:tc>
        <w:tc>
          <w:tcPr>
            <w:tcW w:w="3505"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25,9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Chocó</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2.970 </w:t>
            </w:r>
          </w:p>
        </w:tc>
        <w:tc>
          <w:tcPr>
            <w:tcW w:w="3505"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17,0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Córdoba</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7.490 </w:t>
            </w:r>
          </w:p>
        </w:tc>
        <w:tc>
          <w:tcPr>
            <w:tcW w:w="3505"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52,5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Cundinamarca</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1.134 </w:t>
            </w:r>
          </w:p>
        </w:tc>
        <w:tc>
          <w:tcPr>
            <w:tcW w:w="3505"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8,2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Guaviare</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90 </w:t>
            </w:r>
          </w:p>
        </w:tc>
        <w:tc>
          <w:tcPr>
            <w:tcW w:w="3505"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0,6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Huila</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1.756 </w:t>
            </w:r>
          </w:p>
        </w:tc>
        <w:tc>
          <w:tcPr>
            <w:tcW w:w="3505"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12,4 </w:t>
            </w:r>
          </w:p>
        </w:tc>
      </w:tr>
      <w:tr w:rsidR="000D29F3" w:rsidRPr="007608C2" w:rsidTr="00E54BE1">
        <w:trPr>
          <w:trHeight w:val="19"/>
          <w:jc w:val="center"/>
        </w:trPr>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La guajira</w:t>
            </w:r>
          </w:p>
        </w:tc>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3.307 </w:t>
            </w:r>
          </w:p>
        </w:tc>
        <w:tc>
          <w:tcPr>
            <w:tcW w:w="3505" w:type="dxa"/>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15,7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Magdalena</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6.389 </w:t>
            </w:r>
          </w:p>
        </w:tc>
        <w:tc>
          <w:tcPr>
            <w:tcW w:w="3505"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38,7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Meta</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2.169 </w:t>
            </w:r>
          </w:p>
        </w:tc>
        <w:tc>
          <w:tcPr>
            <w:tcW w:w="3505"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16,9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Nariño</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7.763 </w:t>
            </w:r>
          </w:p>
        </w:tc>
        <w:tc>
          <w:tcPr>
            <w:tcW w:w="3505"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62,3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Norte de Santander</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4.320 </w:t>
            </w:r>
          </w:p>
        </w:tc>
        <w:tc>
          <w:tcPr>
            <w:tcW w:w="3505"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38,9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Putumayo</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1.304 </w:t>
            </w:r>
          </w:p>
        </w:tc>
        <w:tc>
          <w:tcPr>
            <w:tcW w:w="3505"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3,1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Quindío</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947 </w:t>
            </w:r>
          </w:p>
        </w:tc>
        <w:tc>
          <w:tcPr>
            <w:tcW w:w="3505"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8,1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Risaralda</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740 </w:t>
            </w:r>
          </w:p>
        </w:tc>
        <w:tc>
          <w:tcPr>
            <w:tcW w:w="3505"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1,9 </w:t>
            </w:r>
          </w:p>
        </w:tc>
      </w:tr>
      <w:tr w:rsidR="000D29F3" w:rsidRPr="007608C2" w:rsidTr="00E54BE1">
        <w:trPr>
          <w:trHeight w:val="19"/>
          <w:jc w:val="center"/>
        </w:trPr>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Santander</w:t>
            </w:r>
          </w:p>
        </w:tc>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2.500 </w:t>
            </w:r>
          </w:p>
        </w:tc>
        <w:tc>
          <w:tcPr>
            <w:tcW w:w="3505" w:type="dxa"/>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19,7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Sucre</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3.084 </w:t>
            </w:r>
          </w:p>
        </w:tc>
        <w:tc>
          <w:tcPr>
            <w:tcW w:w="3505"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21,5 </w:t>
            </w:r>
          </w:p>
        </w:tc>
      </w:tr>
      <w:tr w:rsidR="000D29F3" w:rsidRPr="007608C2" w:rsidTr="00E54BE1">
        <w:trPr>
          <w:trHeight w:val="19"/>
          <w:jc w:val="center"/>
        </w:trPr>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Tolima</w:t>
            </w:r>
          </w:p>
        </w:tc>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652 </w:t>
            </w:r>
          </w:p>
        </w:tc>
        <w:tc>
          <w:tcPr>
            <w:tcW w:w="3505" w:type="dxa"/>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4,8 </w:t>
            </w:r>
          </w:p>
        </w:tc>
      </w:tr>
      <w:tr w:rsidR="000D29F3" w:rsidRPr="007608C2" w:rsidTr="00E54BE1">
        <w:trPr>
          <w:trHeight w:val="19"/>
          <w:jc w:val="center"/>
        </w:trPr>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lastRenderedPageBreak/>
              <w:t>Valle del cauca</w:t>
            </w:r>
          </w:p>
        </w:tc>
        <w:tc>
          <w:tcPr>
            <w:tcW w:w="0" w:type="auto"/>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4.448 </w:t>
            </w:r>
          </w:p>
        </w:tc>
        <w:tc>
          <w:tcPr>
            <w:tcW w:w="3505" w:type="dxa"/>
            <w:shd w:val="clear" w:color="auto" w:fill="auto"/>
            <w:noWrap/>
            <w:vAlign w:val="bottom"/>
            <w:hideMark/>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35,4 </w:t>
            </w:r>
          </w:p>
        </w:tc>
      </w:tr>
      <w:tr w:rsidR="000D29F3" w:rsidRPr="007608C2" w:rsidTr="00E54BE1">
        <w:trPr>
          <w:trHeight w:val="19"/>
          <w:jc w:val="center"/>
        </w:trPr>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Vaupés</w:t>
            </w:r>
          </w:p>
        </w:tc>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180 </w:t>
            </w:r>
          </w:p>
        </w:tc>
        <w:tc>
          <w:tcPr>
            <w:tcW w:w="3505" w:type="dxa"/>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1,4 </w:t>
            </w:r>
          </w:p>
        </w:tc>
      </w:tr>
      <w:tr w:rsidR="000D29F3" w:rsidRPr="007608C2" w:rsidTr="00E54BE1">
        <w:trPr>
          <w:trHeight w:val="19"/>
          <w:jc w:val="center"/>
        </w:trPr>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Vichada</w:t>
            </w:r>
          </w:p>
        </w:tc>
        <w:tc>
          <w:tcPr>
            <w:tcW w:w="0" w:type="auto"/>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323 </w:t>
            </w:r>
          </w:p>
        </w:tc>
        <w:tc>
          <w:tcPr>
            <w:tcW w:w="3505" w:type="dxa"/>
            <w:shd w:val="clear" w:color="auto" w:fill="auto"/>
            <w:noWrap/>
            <w:vAlign w:val="bottom"/>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 xml:space="preserve">                                      2,4 </w:t>
            </w:r>
          </w:p>
        </w:tc>
      </w:tr>
      <w:tr w:rsidR="000D29F3" w:rsidRPr="007608C2" w:rsidTr="00E54BE1">
        <w:trPr>
          <w:trHeight w:val="19"/>
          <w:jc w:val="center"/>
        </w:trPr>
        <w:tc>
          <w:tcPr>
            <w:tcW w:w="0" w:type="auto"/>
            <w:shd w:val="clear" w:color="auto" w:fill="E2EFDA"/>
            <w:noWrap/>
            <w:vAlign w:val="bottom"/>
            <w:hideMark/>
          </w:tcPr>
          <w:p w:rsidR="000D29F3" w:rsidRPr="007608C2" w:rsidRDefault="000D29F3" w:rsidP="00B512A3">
            <w:pPr>
              <w:spacing w:after="0" w:line="240" w:lineRule="auto"/>
              <w:rPr>
                <w:rFonts w:eastAsia="Times New Roman" w:cs="Arial"/>
                <w:b/>
                <w:sz w:val="18"/>
                <w:szCs w:val="20"/>
              </w:rPr>
            </w:pPr>
            <w:r w:rsidRPr="007608C2">
              <w:rPr>
                <w:rFonts w:eastAsia="Times New Roman" w:cs="Arial"/>
                <w:b/>
                <w:sz w:val="18"/>
                <w:szCs w:val="20"/>
              </w:rPr>
              <w:t>Total general</w:t>
            </w:r>
          </w:p>
        </w:tc>
        <w:tc>
          <w:tcPr>
            <w:tcW w:w="0" w:type="auto"/>
            <w:shd w:val="clear" w:color="auto" w:fill="E2EFDA"/>
            <w:noWrap/>
            <w:vAlign w:val="bottom"/>
            <w:hideMark/>
          </w:tcPr>
          <w:p w:rsidR="000D29F3" w:rsidRPr="007608C2" w:rsidRDefault="000D29F3" w:rsidP="00B512A3">
            <w:pPr>
              <w:spacing w:after="0" w:line="240" w:lineRule="auto"/>
              <w:rPr>
                <w:rFonts w:eastAsia="Times New Roman" w:cs="Arial"/>
                <w:b/>
                <w:sz w:val="18"/>
                <w:szCs w:val="20"/>
              </w:rPr>
            </w:pPr>
            <w:r w:rsidRPr="007608C2">
              <w:rPr>
                <w:rFonts w:eastAsia="Times New Roman" w:cs="Arial"/>
                <w:b/>
                <w:sz w:val="18"/>
                <w:szCs w:val="20"/>
              </w:rPr>
              <w:t xml:space="preserve">              76.974 </w:t>
            </w:r>
          </w:p>
        </w:tc>
        <w:tc>
          <w:tcPr>
            <w:tcW w:w="3505" w:type="dxa"/>
            <w:shd w:val="clear" w:color="auto" w:fill="E2EFDA"/>
            <w:noWrap/>
            <w:vAlign w:val="bottom"/>
            <w:hideMark/>
          </w:tcPr>
          <w:p w:rsidR="000D29F3" w:rsidRPr="007608C2" w:rsidRDefault="000D29F3" w:rsidP="00B512A3">
            <w:pPr>
              <w:spacing w:after="0" w:line="240" w:lineRule="auto"/>
              <w:rPr>
                <w:rFonts w:eastAsia="Times New Roman" w:cs="Arial"/>
                <w:b/>
                <w:sz w:val="18"/>
                <w:szCs w:val="20"/>
              </w:rPr>
            </w:pPr>
            <w:r w:rsidRPr="007608C2">
              <w:rPr>
                <w:rFonts w:eastAsia="Times New Roman" w:cs="Arial"/>
                <w:b/>
                <w:sz w:val="18"/>
                <w:szCs w:val="20"/>
              </w:rPr>
              <w:t xml:space="preserve">                                 584,6 </w:t>
            </w:r>
          </w:p>
        </w:tc>
      </w:tr>
    </w:tbl>
    <w:p w:rsidR="000D29F3" w:rsidRDefault="000D29F3" w:rsidP="00E54BE1">
      <w:pPr>
        <w:tabs>
          <w:tab w:val="left" w:pos="1701"/>
        </w:tabs>
        <w:spacing w:after="0" w:line="240" w:lineRule="auto"/>
        <w:ind w:right="1467"/>
        <w:jc w:val="center"/>
        <w:rPr>
          <w:rFonts w:cs="Arial"/>
          <w:i/>
          <w:iCs/>
          <w:sz w:val="16"/>
        </w:rPr>
      </w:pPr>
      <w:r w:rsidRPr="007608C2">
        <w:rPr>
          <w:rFonts w:cs="Arial"/>
          <w:b/>
          <w:sz w:val="16"/>
          <w:lang w:val="es-MX" w:eastAsia="es-ES"/>
        </w:rPr>
        <w:t>Fuente:</w:t>
      </w:r>
      <w:r w:rsidR="00E54BE1">
        <w:rPr>
          <w:rFonts w:cs="Arial"/>
          <w:sz w:val="16"/>
          <w:lang w:val="es-MX" w:eastAsia="es-ES"/>
        </w:rPr>
        <w:t xml:space="preserve"> E-logistic – Sistema d</w:t>
      </w:r>
      <w:r w:rsidRPr="007608C2">
        <w:rPr>
          <w:rFonts w:cs="Arial"/>
          <w:sz w:val="16"/>
          <w:lang w:val="es-MX" w:eastAsia="es-ES"/>
        </w:rPr>
        <w:t>e Informac</w:t>
      </w:r>
      <w:r w:rsidR="00E54BE1">
        <w:rPr>
          <w:rFonts w:cs="Arial"/>
          <w:sz w:val="16"/>
          <w:lang w:val="es-MX" w:eastAsia="es-ES"/>
        </w:rPr>
        <w:t>ión d</w:t>
      </w:r>
      <w:r w:rsidRPr="007608C2">
        <w:rPr>
          <w:rFonts w:cs="Arial"/>
          <w:sz w:val="16"/>
          <w:lang w:val="es-MX" w:eastAsia="es-ES"/>
        </w:rPr>
        <w:t>e Entregas y Ficha técnica de programación – FT1, Dirección de Nutrición.</w:t>
      </w:r>
      <w:r w:rsidRPr="007608C2">
        <w:rPr>
          <w:rFonts w:cs="Arial"/>
          <w:i/>
          <w:iCs/>
          <w:sz w:val="16"/>
          <w:lang w:val="es-MX"/>
        </w:rPr>
        <w:t xml:space="preserve"> </w:t>
      </w:r>
      <w:r w:rsidRPr="007608C2">
        <w:rPr>
          <w:rFonts w:cs="Arial"/>
          <w:i/>
          <w:iCs/>
          <w:sz w:val="16"/>
        </w:rPr>
        <w:t>Nota: Información preliminar, sujeta a actualización del cierre oficial de metas sociales y financieras.</w:t>
      </w:r>
    </w:p>
    <w:p w:rsidR="00E54BE1" w:rsidRPr="00E54BE1" w:rsidRDefault="00E54BE1" w:rsidP="00E54BE1">
      <w:pPr>
        <w:tabs>
          <w:tab w:val="left" w:pos="1701"/>
        </w:tabs>
        <w:spacing w:after="0" w:line="240" w:lineRule="auto"/>
        <w:ind w:right="1467"/>
        <w:jc w:val="center"/>
        <w:rPr>
          <w:rFonts w:cs="Arial"/>
          <w:lang w:val="es-MX" w:eastAsia="es-ES"/>
        </w:rPr>
      </w:pPr>
    </w:p>
    <w:p w:rsidR="000D29F3" w:rsidRPr="007608C2" w:rsidRDefault="000D29F3" w:rsidP="00A44A2B">
      <w:pPr>
        <w:numPr>
          <w:ilvl w:val="0"/>
          <w:numId w:val="65"/>
        </w:numPr>
        <w:rPr>
          <w:rFonts w:eastAsia="Times New Roman" w:cs="Arial"/>
          <w:b/>
          <w:lang w:val="es-CO" w:eastAsia="es-ES"/>
        </w:rPr>
      </w:pPr>
      <w:r w:rsidRPr="007608C2">
        <w:rPr>
          <w:rFonts w:eastAsia="Times New Roman" w:cs="Arial"/>
          <w:b/>
          <w:lang w:val="es-CO" w:eastAsia="es-ES"/>
        </w:rPr>
        <w:t xml:space="preserve">Alimentos de Alto Valor Nutricional por Convenios </w:t>
      </w:r>
    </w:p>
    <w:p w:rsidR="000D29F3" w:rsidRPr="007608C2" w:rsidRDefault="000D29F3" w:rsidP="000D29F3">
      <w:pPr>
        <w:spacing w:after="0" w:line="240" w:lineRule="auto"/>
        <w:jc w:val="both"/>
        <w:rPr>
          <w:rFonts w:cs="Arial"/>
          <w:lang w:val="es-CO" w:eastAsia="es-ES"/>
        </w:rPr>
      </w:pPr>
      <w:r w:rsidRPr="007608C2">
        <w:rPr>
          <w:rFonts w:cs="Arial"/>
          <w:lang w:val="es-CO" w:eastAsia="es-ES"/>
        </w:rPr>
        <w:t>Uno de las modalidades de atención de la Dirección de Nutrición es AAVN por convenios (Bienestarina por convenios) que consiste en suministrar los alimentos de alto valor nutricional como complemento nutricional a población no beneficiaria de programas ICBF en situación de vulnerabilidad, niños y niñas mayores de un año y menores de 5 años de edad, niños, niñas y adolescentes de 5 a 17 años, adultos mayores, pacientes con VIH, TBC, o cáncer y población vulnerable, con previa suscripción de convenio con las entidades del Sector Salud, Entidades Territoriales y otras instancias como Fundaciones, Entidades no gubernamentales etc.</w:t>
      </w:r>
    </w:p>
    <w:p w:rsidR="000D29F3" w:rsidRPr="007608C2" w:rsidRDefault="000D29F3" w:rsidP="000D29F3">
      <w:pPr>
        <w:spacing w:after="0" w:line="240" w:lineRule="auto"/>
        <w:jc w:val="both"/>
        <w:rPr>
          <w:rFonts w:cs="Arial"/>
          <w:lang w:val="es-CO" w:eastAsia="es-ES"/>
        </w:rPr>
      </w:pPr>
    </w:p>
    <w:p w:rsidR="000D29F3" w:rsidRPr="007608C2" w:rsidRDefault="000D29F3" w:rsidP="000D29F3">
      <w:pPr>
        <w:spacing w:after="0" w:line="240" w:lineRule="auto"/>
        <w:jc w:val="both"/>
        <w:rPr>
          <w:rFonts w:cs="Arial"/>
          <w:lang w:val="es-CO" w:eastAsia="es-ES"/>
        </w:rPr>
      </w:pPr>
      <w:r w:rsidRPr="007608C2">
        <w:rPr>
          <w:rFonts w:cs="Arial"/>
          <w:lang w:val="es-CO" w:eastAsia="es-ES"/>
        </w:rPr>
        <w:t xml:space="preserve">En la vigencia 2017 se atendieron con Alimentos de Alto Valor Nutricional 98 convenios interadministrativos para la atención con AAVN a Población Escolar, Adulto Mayor, Organismos de Salud, complementación a la canasta de otros programas, entre otros, como se muestra a continuación: </w:t>
      </w:r>
    </w:p>
    <w:p w:rsidR="000D29F3" w:rsidRPr="007608C2" w:rsidRDefault="000D29F3" w:rsidP="000D29F3">
      <w:pPr>
        <w:spacing w:after="0" w:line="240" w:lineRule="auto"/>
        <w:jc w:val="both"/>
        <w:rPr>
          <w:rFonts w:cs="Arial"/>
          <w:lang w:val="es-CO" w:eastAsia="es-ES"/>
        </w:rPr>
      </w:pPr>
    </w:p>
    <w:tbl>
      <w:tblPr>
        <w:tblW w:w="4814" w:type="pct"/>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2074"/>
        <w:gridCol w:w="1223"/>
        <w:gridCol w:w="1225"/>
        <w:gridCol w:w="1427"/>
        <w:gridCol w:w="1223"/>
        <w:gridCol w:w="1874"/>
      </w:tblGrid>
      <w:tr w:rsidR="000D29F3" w:rsidRPr="007608C2" w:rsidTr="00E54BE1">
        <w:trPr>
          <w:trHeight w:val="132"/>
          <w:tblHeader/>
          <w:jc w:val="center"/>
        </w:trPr>
        <w:tc>
          <w:tcPr>
            <w:tcW w:w="1146" w:type="pct"/>
            <w:shd w:val="clear" w:color="auto" w:fill="76922E"/>
            <w:vAlign w:val="center"/>
            <w:hideMark/>
          </w:tcPr>
          <w:p w:rsidR="000D29F3" w:rsidRPr="00E54BE1" w:rsidRDefault="000D29F3" w:rsidP="00B512A3">
            <w:pPr>
              <w:spacing w:after="0" w:line="240" w:lineRule="auto"/>
              <w:contextualSpacing/>
              <w:jc w:val="center"/>
              <w:rPr>
                <w:rFonts w:eastAsia="Times New Roman" w:cs="Arial"/>
                <w:b/>
                <w:bCs/>
                <w:color w:val="FFFFFF" w:themeColor="background1"/>
                <w:sz w:val="18"/>
                <w:szCs w:val="20"/>
                <w:lang w:val="es-CO" w:eastAsia="es-CO"/>
              </w:rPr>
            </w:pPr>
            <w:r w:rsidRPr="00E54BE1">
              <w:rPr>
                <w:rFonts w:eastAsia="Times New Roman" w:cs="Arial"/>
                <w:b/>
                <w:bCs/>
                <w:color w:val="FFFFFF" w:themeColor="background1"/>
                <w:sz w:val="18"/>
                <w:szCs w:val="20"/>
                <w:lang w:val="es-CO" w:eastAsia="es-CO"/>
              </w:rPr>
              <w:t>Convenio</w:t>
            </w:r>
          </w:p>
        </w:tc>
        <w:tc>
          <w:tcPr>
            <w:tcW w:w="676" w:type="pct"/>
            <w:shd w:val="clear" w:color="auto" w:fill="76922E"/>
            <w:vAlign w:val="center"/>
          </w:tcPr>
          <w:p w:rsidR="000D29F3" w:rsidRPr="00E54BE1" w:rsidRDefault="000D29F3" w:rsidP="00B512A3">
            <w:pPr>
              <w:spacing w:after="0" w:line="240" w:lineRule="auto"/>
              <w:contextualSpacing/>
              <w:jc w:val="center"/>
              <w:rPr>
                <w:rFonts w:eastAsia="Times New Roman" w:cs="Arial"/>
                <w:b/>
                <w:bCs/>
                <w:color w:val="FFFFFF" w:themeColor="background1"/>
                <w:sz w:val="18"/>
                <w:szCs w:val="20"/>
                <w:lang w:val="es-CO" w:eastAsia="es-CO"/>
              </w:rPr>
            </w:pPr>
            <w:r w:rsidRPr="00E54BE1">
              <w:rPr>
                <w:rFonts w:eastAsia="Times New Roman" w:cs="Arial"/>
                <w:b/>
                <w:bCs/>
                <w:color w:val="FFFFFF" w:themeColor="background1"/>
                <w:sz w:val="18"/>
                <w:szCs w:val="20"/>
                <w:lang w:val="es-CO" w:eastAsia="es-CO"/>
              </w:rPr>
              <w:t>Regionales</w:t>
            </w:r>
          </w:p>
        </w:tc>
        <w:tc>
          <w:tcPr>
            <w:tcW w:w="677" w:type="pct"/>
            <w:shd w:val="clear" w:color="auto" w:fill="76922E"/>
            <w:vAlign w:val="center"/>
            <w:hideMark/>
          </w:tcPr>
          <w:p w:rsidR="000D29F3" w:rsidRPr="00E54BE1" w:rsidRDefault="000D29F3" w:rsidP="00B512A3">
            <w:pPr>
              <w:spacing w:after="0" w:line="240" w:lineRule="auto"/>
              <w:contextualSpacing/>
              <w:jc w:val="center"/>
              <w:rPr>
                <w:rFonts w:eastAsia="Times New Roman" w:cs="Arial"/>
                <w:b/>
                <w:bCs/>
                <w:color w:val="FFFFFF" w:themeColor="background1"/>
                <w:sz w:val="18"/>
                <w:szCs w:val="20"/>
                <w:lang w:val="es-CO" w:eastAsia="es-CO"/>
              </w:rPr>
            </w:pPr>
            <w:r w:rsidRPr="00E54BE1">
              <w:rPr>
                <w:rFonts w:eastAsia="Times New Roman" w:cs="Arial"/>
                <w:b/>
                <w:bCs/>
                <w:color w:val="FFFFFF" w:themeColor="background1"/>
                <w:sz w:val="18"/>
                <w:szCs w:val="20"/>
                <w:lang w:val="es-CO" w:eastAsia="es-CO"/>
              </w:rPr>
              <w:t>No. Convenios</w:t>
            </w:r>
          </w:p>
        </w:tc>
        <w:tc>
          <w:tcPr>
            <w:tcW w:w="789" w:type="pct"/>
            <w:shd w:val="clear" w:color="auto" w:fill="76922E"/>
            <w:vAlign w:val="center"/>
          </w:tcPr>
          <w:p w:rsidR="000D29F3" w:rsidRPr="00E54BE1" w:rsidRDefault="000D29F3" w:rsidP="00B512A3">
            <w:pPr>
              <w:spacing w:after="0" w:line="240" w:lineRule="auto"/>
              <w:contextualSpacing/>
              <w:jc w:val="center"/>
              <w:rPr>
                <w:rFonts w:eastAsia="Times New Roman" w:cs="Arial"/>
                <w:b/>
                <w:bCs/>
                <w:color w:val="FFFFFF" w:themeColor="background1"/>
                <w:sz w:val="18"/>
                <w:szCs w:val="20"/>
                <w:lang w:val="es-CO" w:eastAsia="es-CO"/>
              </w:rPr>
            </w:pPr>
            <w:r w:rsidRPr="00E54BE1">
              <w:rPr>
                <w:rFonts w:eastAsia="Times New Roman" w:cs="Arial"/>
                <w:b/>
                <w:bCs/>
                <w:color w:val="FFFFFF" w:themeColor="background1"/>
                <w:sz w:val="18"/>
                <w:szCs w:val="20"/>
                <w:lang w:val="es-CO" w:eastAsia="es-CO"/>
              </w:rPr>
              <w:t>Cupos Contractuales</w:t>
            </w:r>
          </w:p>
        </w:tc>
        <w:tc>
          <w:tcPr>
            <w:tcW w:w="676" w:type="pct"/>
            <w:shd w:val="clear" w:color="auto" w:fill="76922E"/>
            <w:vAlign w:val="center"/>
          </w:tcPr>
          <w:p w:rsidR="000D29F3" w:rsidRPr="00E54BE1" w:rsidRDefault="000D29F3" w:rsidP="00B512A3">
            <w:pPr>
              <w:spacing w:after="0" w:line="240" w:lineRule="auto"/>
              <w:contextualSpacing/>
              <w:jc w:val="center"/>
              <w:rPr>
                <w:rFonts w:eastAsia="Times New Roman" w:cs="Arial"/>
                <w:b/>
                <w:bCs/>
                <w:color w:val="FFFFFF" w:themeColor="background1"/>
                <w:sz w:val="18"/>
                <w:szCs w:val="20"/>
                <w:lang w:val="es-CO" w:eastAsia="es-CO"/>
              </w:rPr>
            </w:pPr>
            <w:r w:rsidRPr="00E54BE1">
              <w:rPr>
                <w:rFonts w:eastAsia="Times New Roman" w:cs="Arial"/>
                <w:b/>
                <w:bCs/>
                <w:color w:val="FFFFFF" w:themeColor="background1"/>
                <w:sz w:val="18"/>
                <w:szCs w:val="20"/>
                <w:lang w:val="es-CO" w:eastAsia="es-CO"/>
              </w:rPr>
              <w:t xml:space="preserve">Cupos </w:t>
            </w:r>
            <w:r w:rsidR="00E54BE1">
              <w:rPr>
                <w:rFonts w:eastAsia="Times New Roman" w:cs="Arial"/>
                <w:b/>
                <w:bCs/>
                <w:color w:val="FFFFFF" w:themeColor="background1"/>
                <w:sz w:val="18"/>
                <w:szCs w:val="20"/>
                <w:lang w:val="es-CO" w:eastAsia="es-CO"/>
              </w:rPr>
              <w:t>A</w:t>
            </w:r>
            <w:r w:rsidRPr="00E54BE1">
              <w:rPr>
                <w:rFonts w:eastAsia="Times New Roman" w:cs="Arial"/>
                <w:b/>
                <w:bCs/>
                <w:color w:val="FFFFFF" w:themeColor="background1"/>
                <w:sz w:val="18"/>
                <w:szCs w:val="20"/>
                <w:lang w:val="es-CO" w:eastAsia="es-CO"/>
              </w:rPr>
              <w:t>tendidos</w:t>
            </w:r>
          </w:p>
        </w:tc>
        <w:tc>
          <w:tcPr>
            <w:tcW w:w="1036" w:type="pct"/>
            <w:shd w:val="clear" w:color="auto" w:fill="76922E"/>
          </w:tcPr>
          <w:p w:rsidR="000D29F3" w:rsidRPr="00E54BE1" w:rsidRDefault="000D29F3" w:rsidP="00B512A3">
            <w:pPr>
              <w:spacing w:after="0" w:line="240" w:lineRule="auto"/>
              <w:contextualSpacing/>
              <w:jc w:val="center"/>
              <w:rPr>
                <w:rFonts w:eastAsia="Times New Roman" w:cs="Arial"/>
                <w:b/>
                <w:bCs/>
                <w:color w:val="FFFFFF" w:themeColor="background1"/>
                <w:sz w:val="18"/>
                <w:szCs w:val="20"/>
                <w:lang w:val="es-CO" w:eastAsia="es-CO"/>
              </w:rPr>
            </w:pPr>
            <w:r w:rsidRPr="00E54BE1">
              <w:rPr>
                <w:rFonts w:eastAsia="Times New Roman" w:cs="Arial"/>
                <w:b/>
                <w:bCs/>
                <w:color w:val="FFFFFF" w:themeColor="background1"/>
                <w:sz w:val="18"/>
                <w:szCs w:val="20"/>
                <w:lang w:val="es-CO" w:eastAsia="es-CO"/>
              </w:rPr>
              <w:t>Toneladas de Bienestarina Más® distribuidas</w:t>
            </w:r>
          </w:p>
        </w:tc>
      </w:tr>
      <w:tr w:rsidR="000D29F3" w:rsidRPr="007608C2" w:rsidTr="00E54BE1">
        <w:trPr>
          <w:trHeight w:val="132"/>
          <w:tblHeader/>
          <w:jc w:val="center"/>
        </w:trPr>
        <w:tc>
          <w:tcPr>
            <w:tcW w:w="1146" w:type="pct"/>
            <w:shd w:val="clear" w:color="auto" w:fill="auto"/>
            <w:vAlign w:val="center"/>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PAE ETC</w:t>
            </w:r>
          </w:p>
        </w:tc>
        <w:tc>
          <w:tcPr>
            <w:tcW w:w="676" w:type="pct"/>
            <w:shd w:val="clear" w:color="auto" w:fill="auto"/>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7</w:t>
            </w:r>
          </w:p>
        </w:tc>
        <w:tc>
          <w:tcPr>
            <w:tcW w:w="677" w:type="pct"/>
            <w:shd w:val="clear" w:color="auto" w:fill="auto"/>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15</w:t>
            </w:r>
          </w:p>
        </w:tc>
        <w:tc>
          <w:tcPr>
            <w:tcW w:w="789" w:type="pct"/>
            <w:shd w:val="clear" w:color="auto" w:fill="auto"/>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468.237</w:t>
            </w:r>
          </w:p>
        </w:tc>
        <w:tc>
          <w:tcPr>
            <w:tcW w:w="676" w:type="pct"/>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449.936 </w:t>
            </w:r>
          </w:p>
        </w:tc>
        <w:tc>
          <w:tcPr>
            <w:tcW w:w="1036" w:type="pct"/>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249,70 </w:t>
            </w:r>
          </w:p>
        </w:tc>
      </w:tr>
      <w:tr w:rsidR="000D29F3" w:rsidRPr="007608C2" w:rsidTr="00E54BE1">
        <w:trPr>
          <w:trHeight w:val="132"/>
          <w:tblHeader/>
          <w:jc w:val="center"/>
        </w:trPr>
        <w:tc>
          <w:tcPr>
            <w:tcW w:w="1146" w:type="pct"/>
            <w:shd w:val="clear" w:color="auto" w:fill="auto"/>
            <w:vAlign w:val="center"/>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Adulto mayor</w:t>
            </w:r>
          </w:p>
        </w:tc>
        <w:tc>
          <w:tcPr>
            <w:tcW w:w="676" w:type="pct"/>
            <w:shd w:val="clear" w:color="auto" w:fill="auto"/>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12</w:t>
            </w:r>
          </w:p>
        </w:tc>
        <w:tc>
          <w:tcPr>
            <w:tcW w:w="677" w:type="pct"/>
            <w:shd w:val="clear" w:color="auto" w:fill="auto"/>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74</w:t>
            </w:r>
          </w:p>
        </w:tc>
        <w:tc>
          <w:tcPr>
            <w:tcW w:w="789" w:type="pct"/>
            <w:shd w:val="clear" w:color="auto" w:fill="auto"/>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55.258</w:t>
            </w:r>
          </w:p>
        </w:tc>
        <w:tc>
          <w:tcPr>
            <w:tcW w:w="676" w:type="pct"/>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54.737 </w:t>
            </w:r>
          </w:p>
        </w:tc>
        <w:tc>
          <w:tcPr>
            <w:tcW w:w="1036" w:type="pct"/>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253,58 </w:t>
            </w:r>
          </w:p>
        </w:tc>
      </w:tr>
      <w:tr w:rsidR="000D29F3" w:rsidRPr="007608C2" w:rsidTr="00E54BE1">
        <w:trPr>
          <w:trHeight w:val="132"/>
          <w:tblHeader/>
          <w:jc w:val="center"/>
        </w:trPr>
        <w:tc>
          <w:tcPr>
            <w:tcW w:w="1146" w:type="pct"/>
            <w:shd w:val="clear" w:color="auto" w:fill="auto"/>
            <w:vAlign w:val="center"/>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Deportistas</w:t>
            </w:r>
          </w:p>
        </w:tc>
        <w:tc>
          <w:tcPr>
            <w:tcW w:w="676" w:type="pct"/>
            <w:shd w:val="clear" w:color="auto" w:fill="auto"/>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w:t>
            </w:r>
          </w:p>
        </w:tc>
        <w:tc>
          <w:tcPr>
            <w:tcW w:w="677" w:type="pct"/>
            <w:shd w:val="clear" w:color="auto" w:fill="auto"/>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w:t>
            </w:r>
          </w:p>
        </w:tc>
        <w:tc>
          <w:tcPr>
            <w:tcW w:w="789" w:type="pct"/>
            <w:shd w:val="clear" w:color="auto" w:fill="auto"/>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1083</w:t>
            </w:r>
          </w:p>
        </w:tc>
        <w:tc>
          <w:tcPr>
            <w:tcW w:w="676" w:type="pct"/>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1.083 </w:t>
            </w:r>
          </w:p>
        </w:tc>
        <w:tc>
          <w:tcPr>
            <w:tcW w:w="1036" w:type="pct"/>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7,80 </w:t>
            </w:r>
          </w:p>
        </w:tc>
      </w:tr>
      <w:tr w:rsidR="000D29F3" w:rsidRPr="007608C2" w:rsidTr="00E54BE1">
        <w:trPr>
          <w:trHeight w:val="132"/>
          <w:tblHeader/>
          <w:jc w:val="center"/>
        </w:trPr>
        <w:tc>
          <w:tcPr>
            <w:tcW w:w="1146" w:type="pct"/>
            <w:shd w:val="clear" w:color="auto" w:fill="auto"/>
            <w:vAlign w:val="center"/>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Fundación Teletón</w:t>
            </w:r>
          </w:p>
        </w:tc>
        <w:tc>
          <w:tcPr>
            <w:tcW w:w="676" w:type="pct"/>
            <w:shd w:val="clear" w:color="auto" w:fill="auto"/>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3</w:t>
            </w:r>
          </w:p>
        </w:tc>
        <w:tc>
          <w:tcPr>
            <w:tcW w:w="677" w:type="pct"/>
            <w:shd w:val="clear" w:color="auto" w:fill="auto"/>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2</w:t>
            </w:r>
          </w:p>
        </w:tc>
        <w:tc>
          <w:tcPr>
            <w:tcW w:w="789" w:type="pct"/>
            <w:shd w:val="clear" w:color="auto" w:fill="auto"/>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875</w:t>
            </w:r>
          </w:p>
        </w:tc>
        <w:tc>
          <w:tcPr>
            <w:tcW w:w="676" w:type="pct"/>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875 </w:t>
            </w:r>
          </w:p>
        </w:tc>
        <w:tc>
          <w:tcPr>
            <w:tcW w:w="1036" w:type="pct"/>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5,23 </w:t>
            </w:r>
          </w:p>
        </w:tc>
      </w:tr>
      <w:tr w:rsidR="000D29F3" w:rsidRPr="007608C2" w:rsidTr="00E54BE1">
        <w:trPr>
          <w:trHeight w:val="132"/>
          <w:tblHeader/>
          <w:jc w:val="center"/>
        </w:trPr>
        <w:tc>
          <w:tcPr>
            <w:tcW w:w="1146" w:type="pct"/>
            <w:shd w:val="clear" w:color="auto" w:fill="auto"/>
            <w:vAlign w:val="center"/>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INPEC</w:t>
            </w:r>
          </w:p>
        </w:tc>
        <w:tc>
          <w:tcPr>
            <w:tcW w:w="676" w:type="pct"/>
            <w:shd w:val="clear" w:color="auto" w:fill="auto"/>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w:t>
            </w:r>
          </w:p>
        </w:tc>
        <w:tc>
          <w:tcPr>
            <w:tcW w:w="677" w:type="pct"/>
            <w:shd w:val="clear" w:color="auto" w:fill="auto"/>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w:t>
            </w:r>
          </w:p>
        </w:tc>
        <w:tc>
          <w:tcPr>
            <w:tcW w:w="789" w:type="pct"/>
            <w:shd w:val="clear" w:color="auto" w:fill="auto"/>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10</w:t>
            </w:r>
          </w:p>
        </w:tc>
        <w:tc>
          <w:tcPr>
            <w:tcW w:w="676" w:type="pct"/>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10 </w:t>
            </w:r>
          </w:p>
        </w:tc>
        <w:tc>
          <w:tcPr>
            <w:tcW w:w="1036" w:type="pct"/>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0,005 </w:t>
            </w:r>
          </w:p>
        </w:tc>
      </w:tr>
      <w:tr w:rsidR="000D29F3" w:rsidRPr="007608C2" w:rsidTr="00E54BE1">
        <w:trPr>
          <w:trHeight w:val="132"/>
          <w:tblHeader/>
          <w:jc w:val="center"/>
        </w:trPr>
        <w:tc>
          <w:tcPr>
            <w:tcW w:w="1146" w:type="pct"/>
            <w:shd w:val="clear" w:color="auto" w:fill="auto"/>
            <w:vAlign w:val="center"/>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IRD</w:t>
            </w:r>
          </w:p>
        </w:tc>
        <w:tc>
          <w:tcPr>
            <w:tcW w:w="676" w:type="pct"/>
            <w:shd w:val="clear" w:color="auto" w:fill="auto"/>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2</w:t>
            </w:r>
          </w:p>
        </w:tc>
        <w:tc>
          <w:tcPr>
            <w:tcW w:w="677" w:type="pct"/>
            <w:shd w:val="clear" w:color="auto" w:fill="auto"/>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w:t>
            </w:r>
          </w:p>
        </w:tc>
        <w:tc>
          <w:tcPr>
            <w:tcW w:w="789" w:type="pct"/>
            <w:shd w:val="clear" w:color="auto" w:fill="auto"/>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160</w:t>
            </w:r>
          </w:p>
        </w:tc>
        <w:tc>
          <w:tcPr>
            <w:tcW w:w="676" w:type="pct"/>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130 </w:t>
            </w:r>
          </w:p>
        </w:tc>
        <w:tc>
          <w:tcPr>
            <w:tcW w:w="1036" w:type="pct"/>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1,16 </w:t>
            </w:r>
          </w:p>
        </w:tc>
      </w:tr>
      <w:tr w:rsidR="000D29F3" w:rsidRPr="007608C2" w:rsidTr="00E54BE1">
        <w:trPr>
          <w:trHeight w:val="132"/>
          <w:tblHeader/>
          <w:jc w:val="center"/>
        </w:trPr>
        <w:tc>
          <w:tcPr>
            <w:tcW w:w="1146" w:type="pct"/>
            <w:shd w:val="clear" w:color="auto" w:fill="auto"/>
            <w:vAlign w:val="center"/>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Magdalena Saludable</w:t>
            </w:r>
          </w:p>
        </w:tc>
        <w:tc>
          <w:tcPr>
            <w:tcW w:w="676" w:type="pct"/>
            <w:shd w:val="clear" w:color="auto" w:fill="auto"/>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w:t>
            </w:r>
          </w:p>
        </w:tc>
        <w:tc>
          <w:tcPr>
            <w:tcW w:w="677" w:type="pct"/>
            <w:shd w:val="clear" w:color="auto" w:fill="auto"/>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w:t>
            </w:r>
          </w:p>
        </w:tc>
        <w:tc>
          <w:tcPr>
            <w:tcW w:w="789" w:type="pct"/>
            <w:shd w:val="clear" w:color="auto" w:fill="auto"/>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11700</w:t>
            </w:r>
          </w:p>
        </w:tc>
        <w:tc>
          <w:tcPr>
            <w:tcW w:w="676" w:type="pct"/>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11.700 </w:t>
            </w:r>
          </w:p>
        </w:tc>
        <w:tc>
          <w:tcPr>
            <w:tcW w:w="1036" w:type="pct"/>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73,71 </w:t>
            </w:r>
          </w:p>
        </w:tc>
      </w:tr>
      <w:tr w:rsidR="000D29F3" w:rsidRPr="007608C2" w:rsidTr="00E54BE1">
        <w:trPr>
          <w:trHeight w:val="132"/>
          <w:tblHeader/>
          <w:jc w:val="center"/>
        </w:trPr>
        <w:tc>
          <w:tcPr>
            <w:tcW w:w="1146" w:type="pct"/>
            <w:shd w:val="clear" w:color="auto" w:fill="auto"/>
            <w:vAlign w:val="center"/>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Organismos de salud</w:t>
            </w:r>
          </w:p>
        </w:tc>
        <w:tc>
          <w:tcPr>
            <w:tcW w:w="676" w:type="pct"/>
            <w:shd w:val="clear" w:color="auto" w:fill="auto"/>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2</w:t>
            </w:r>
          </w:p>
        </w:tc>
        <w:tc>
          <w:tcPr>
            <w:tcW w:w="677" w:type="pct"/>
            <w:shd w:val="clear" w:color="auto" w:fill="auto"/>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3</w:t>
            </w:r>
          </w:p>
        </w:tc>
        <w:tc>
          <w:tcPr>
            <w:tcW w:w="789" w:type="pct"/>
            <w:shd w:val="clear" w:color="auto" w:fill="auto"/>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1840</w:t>
            </w:r>
          </w:p>
        </w:tc>
        <w:tc>
          <w:tcPr>
            <w:tcW w:w="676" w:type="pct"/>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1.840 </w:t>
            </w:r>
          </w:p>
        </w:tc>
        <w:tc>
          <w:tcPr>
            <w:tcW w:w="1036" w:type="pct"/>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12,04 </w:t>
            </w:r>
          </w:p>
        </w:tc>
      </w:tr>
      <w:tr w:rsidR="000D29F3" w:rsidRPr="007608C2" w:rsidTr="00E54BE1">
        <w:trPr>
          <w:trHeight w:val="132"/>
          <w:tblHeader/>
          <w:jc w:val="center"/>
        </w:trPr>
        <w:tc>
          <w:tcPr>
            <w:tcW w:w="1146" w:type="pct"/>
            <w:shd w:val="clear" w:color="auto" w:fill="auto"/>
            <w:vAlign w:val="center"/>
          </w:tcPr>
          <w:p w:rsidR="000D29F3" w:rsidRPr="007608C2" w:rsidRDefault="000D29F3" w:rsidP="00B512A3">
            <w:pPr>
              <w:spacing w:after="0" w:line="240" w:lineRule="auto"/>
              <w:rPr>
                <w:rFonts w:eastAsia="Times New Roman" w:cs="Arial"/>
                <w:sz w:val="18"/>
                <w:szCs w:val="20"/>
              </w:rPr>
            </w:pPr>
            <w:r w:rsidRPr="007608C2">
              <w:rPr>
                <w:rFonts w:eastAsia="Times New Roman" w:cs="Arial"/>
                <w:sz w:val="18"/>
                <w:szCs w:val="20"/>
              </w:rPr>
              <w:t>Primera infancia</w:t>
            </w:r>
          </w:p>
        </w:tc>
        <w:tc>
          <w:tcPr>
            <w:tcW w:w="676" w:type="pct"/>
            <w:shd w:val="clear" w:color="auto" w:fill="auto"/>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w:t>
            </w:r>
          </w:p>
        </w:tc>
        <w:tc>
          <w:tcPr>
            <w:tcW w:w="677" w:type="pct"/>
            <w:shd w:val="clear" w:color="auto" w:fill="auto"/>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0</w:t>
            </w:r>
          </w:p>
        </w:tc>
        <w:tc>
          <w:tcPr>
            <w:tcW w:w="789" w:type="pct"/>
            <w:shd w:val="clear" w:color="auto" w:fill="auto"/>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12</w:t>
            </w:r>
          </w:p>
        </w:tc>
        <w:tc>
          <w:tcPr>
            <w:tcW w:w="676" w:type="pct"/>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12 </w:t>
            </w:r>
          </w:p>
        </w:tc>
        <w:tc>
          <w:tcPr>
            <w:tcW w:w="1036" w:type="pct"/>
            <w:vAlign w:val="center"/>
          </w:tcPr>
          <w:p w:rsidR="000D29F3" w:rsidRPr="007608C2" w:rsidRDefault="000D29F3" w:rsidP="00B512A3">
            <w:pPr>
              <w:spacing w:after="0" w:line="240" w:lineRule="auto"/>
              <w:jc w:val="right"/>
              <w:rPr>
                <w:rFonts w:eastAsia="Times New Roman" w:cs="Arial"/>
                <w:sz w:val="18"/>
                <w:szCs w:val="20"/>
              </w:rPr>
            </w:pPr>
            <w:r w:rsidRPr="007608C2">
              <w:rPr>
                <w:rFonts w:eastAsia="Times New Roman" w:cs="Arial"/>
                <w:sz w:val="18"/>
                <w:szCs w:val="20"/>
              </w:rPr>
              <w:t xml:space="preserve">0,01 </w:t>
            </w:r>
          </w:p>
        </w:tc>
      </w:tr>
      <w:tr w:rsidR="000D29F3" w:rsidRPr="007608C2" w:rsidTr="00E54BE1">
        <w:trPr>
          <w:trHeight w:val="132"/>
          <w:jc w:val="center"/>
        </w:trPr>
        <w:tc>
          <w:tcPr>
            <w:tcW w:w="1822" w:type="pct"/>
            <w:gridSpan w:val="2"/>
            <w:shd w:val="clear" w:color="auto" w:fill="E2EFDA"/>
            <w:vAlign w:val="bottom"/>
          </w:tcPr>
          <w:p w:rsidR="000D29F3" w:rsidRPr="007608C2" w:rsidRDefault="000D29F3" w:rsidP="00B512A3">
            <w:pPr>
              <w:spacing w:after="0" w:line="240" w:lineRule="auto"/>
              <w:jc w:val="center"/>
              <w:rPr>
                <w:rFonts w:cs="Arial"/>
                <w:b/>
                <w:bCs/>
                <w:sz w:val="18"/>
                <w:szCs w:val="20"/>
                <w:lang w:eastAsia="es-ES"/>
              </w:rPr>
            </w:pPr>
            <w:r w:rsidRPr="007608C2">
              <w:rPr>
                <w:rFonts w:cs="Arial"/>
                <w:b/>
                <w:bCs/>
                <w:sz w:val="18"/>
                <w:szCs w:val="20"/>
                <w:lang w:eastAsia="es-ES"/>
              </w:rPr>
              <w:t>Total, General</w:t>
            </w:r>
          </w:p>
        </w:tc>
        <w:tc>
          <w:tcPr>
            <w:tcW w:w="677" w:type="pct"/>
            <w:shd w:val="clear" w:color="auto" w:fill="E2EFDA"/>
            <w:noWrap/>
            <w:vAlign w:val="center"/>
          </w:tcPr>
          <w:p w:rsidR="000D29F3" w:rsidRPr="007608C2" w:rsidRDefault="000D29F3" w:rsidP="00B512A3">
            <w:pPr>
              <w:spacing w:after="0" w:line="240" w:lineRule="auto"/>
              <w:jc w:val="right"/>
              <w:rPr>
                <w:rFonts w:eastAsia="Times New Roman" w:cs="Arial"/>
                <w:b/>
                <w:sz w:val="18"/>
                <w:szCs w:val="20"/>
              </w:rPr>
            </w:pPr>
            <w:r w:rsidRPr="007608C2">
              <w:rPr>
                <w:rFonts w:eastAsia="Times New Roman" w:cs="Arial"/>
                <w:b/>
                <w:sz w:val="18"/>
                <w:szCs w:val="20"/>
              </w:rPr>
              <w:t>98</w:t>
            </w:r>
          </w:p>
        </w:tc>
        <w:tc>
          <w:tcPr>
            <w:tcW w:w="789" w:type="pct"/>
            <w:shd w:val="clear" w:color="auto" w:fill="E2EFDA"/>
            <w:vAlign w:val="center"/>
          </w:tcPr>
          <w:p w:rsidR="000D29F3" w:rsidRPr="007608C2" w:rsidRDefault="000D29F3" w:rsidP="00B512A3">
            <w:pPr>
              <w:spacing w:after="0" w:line="240" w:lineRule="auto"/>
              <w:jc w:val="right"/>
              <w:rPr>
                <w:rFonts w:eastAsia="Times New Roman" w:cs="Arial"/>
                <w:b/>
                <w:sz w:val="18"/>
                <w:szCs w:val="20"/>
              </w:rPr>
            </w:pPr>
            <w:r w:rsidRPr="007608C2">
              <w:rPr>
                <w:rFonts w:eastAsia="Times New Roman" w:cs="Arial"/>
                <w:b/>
                <w:sz w:val="18"/>
                <w:szCs w:val="20"/>
              </w:rPr>
              <w:t>539.175</w:t>
            </w:r>
          </w:p>
        </w:tc>
        <w:tc>
          <w:tcPr>
            <w:tcW w:w="676" w:type="pct"/>
            <w:shd w:val="clear" w:color="auto" w:fill="E2EFDA"/>
            <w:vAlign w:val="center"/>
          </w:tcPr>
          <w:p w:rsidR="000D29F3" w:rsidRPr="007608C2" w:rsidRDefault="000D29F3" w:rsidP="00B512A3">
            <w:pPr>
              <w:spacing w:after="0" w:line="240" w:lineRule="auto"/>
              <w:jc w:val="right"/>
              <w:rPr>
                <w:rFonts w:eastAsia="Times New Roman" w:cs="Arial"/>
                <w:b/>
                <w:sz w:val="18"/>
                <w:szCs w:val="20"/>
              </w:rPr>
            </w:pPr>
            <w:r w:rsidRPr="007608C2">
              <w:rPr>
                <w:rFonts w:eastAsia="Times New Roman" w:cs="Arial"/>
                <w:b/>
                <w:sz w:val="18"/>
                <w:szCs w:val="20"/>
              </w:rPr>
              <w:t>520.323</w:t>
            </w:r>
          </w:p>
        </w:tc>
        <w:tc>
          <w:tcPr>
            <w:tcW w:w="1036" w:type="pct"/>
            <w:shd w:val="clear" w:color="auto" w:fill="E2EFDA"/>
            <w:vAlign w:val="bottom"/>
          </w:tcPr>
          <w:p w:rsidR="000D29F3" w:rsidRPr="007608C2" w:rsidRDefault="000D29F3" w:rsidP="00B512A3">
            <w:pPr>
              <w:spacing w:after="0" w:line="240" w:lineRule="auto"/>
              <w:jc w:val="right"/>
              <w:rPr>
                <w:rFonts w:eastAsia="Times New Roman" w:cs="Arial"/>
                <w:b/>
                <w:sz w:val="18"/>
                <w:szCs w:val="20"/>
              </w:rPr>
            </w:pPr>
            <w:r w:rsidRPr="007608C2">
              <w:rPr>
                <w:rFonts w:eastAsia="Times New Roman" w:cs="Arial"/>
                <w:b/>
                <w:sz w:val="18"/>
                <w:szCs w:val="20"/>
              </w:rPr>
              <w:t xml:space="preserve">603,23 </w:t>
            </w:r>
          </w:p>
        </w:tc>
      </w:tr>
    </w:tbl>
    <w:p w:rsidR="000D29F3" w:rsidRPr="007608C2" w:rsidRDefault="000D29F3" w:rsidP="000D29F3">
      <w:pPr>
        <w:spacing w:after="0" w:line="240" w:lineRule="auto"/>
        <w:jc w:val="both"/>
        <w:rPr>
          <w:rFonts w:cs="Arial"/>
          <w:sz w:val="16"/>
          <w:lang w:val="es-MX" w:eastAsia="es-ES"/>
        </w:rPr>
      </w:pPr>
      <w:r w:rsidRPr="007608C2">
        <w:rPr>
          <w:rFonts w:cs="Arial"/>
          <w:b/>
          <w:sz w:val="16"/>
          <w:lang w:val="es-MX" w:eastAsia="es-ES"/>
        </w:rPr>
        <w:t xml:space="preserve">   Fuente:</w:t>
      </w:r>
      <w:r w:rsidRPr="007608C2">
        <w:rPr>
          <w:rFonts w:cs="Arial"/>
          <w:sz w:val="16"/>
          <w:lang w:val="es-MX" w:eastAsia="es-ES"/>
        </w:rPr>
        <w:t xml:space="preserve"> Dirección de Nutrición,.xls Bienestarina por convenios PAE y otros.</w:t>
      </w:r>
    </w:p>
    <w:p w:rsidR="000D29F3" w:rsidRPr="007608C2" w:rsidRDefault="000D29F3" w:rsidP="000D29F3">
      <w:pPr>
        <w:spacing w:after="0" w:line="240" w:lineRule="auto"/>
        <w:jc w:val="both"/>
        <w:rPr>
          <w:rFonts w:cs="Arial"/>
          <w:i/>
          <w:iCs/>
          <w:sz w:val="16"/>
        </w:rPr>
      </w:pPr>
      <w:r w:rsidRPr="007608C2">
        <w:rPr>
          <w:rFonts w:cs="Arial"/>
          <w:sz w:val="16"/>
          <w:lang w:val="es-MX" w:eastAsia="es-ES"/>
        </w:rPr>
        <w:t xml:space="preserve">   </w:t>
      </w:r>
      <w:r w:rsidRPr="007608C2">
        <w:rPr>
          <w:rFonts w:cs="Arial"/>
          <w:i/>
          <w:iCs/>
          <w:sz w:val="16"/>
        </w:rPr>
        <w:t>Nota: Información preliminar, sujeta a actualización del cierre oficial de metas sociales y financieras.</w:t>
      </w:r>
    </w:p>
    <w:p w:rsidR="000D29F3" w:rsidRPr="007608C2" w:rsidRDefault="000D29F3" w:rsidP="000D29F3">
      <w:pPr>
        <w:spacing w:after="0" w:line="240" w:lineRule="auto"/>
        <w:jc w:val="both"/>
        <w:rPr>
          <w:rFonts w:cs="Arial"/>
          <w:sz w:val="16"/>
          <w:lang w:val="es-MX" w:eastAsia="es-ES"/>
        </w:rPr>
      </w:pPr>
    </w:p>
    <w:p w:rsidR="000D29F3" w:rsidRPr="007608C2" w:rsidRDefault="000D29F3" w:rsidP="00A44A2B">
      <w:pPr>
        <w:numPr>
          <w:ilvl w:val="0"/>
          <w:numId w:val="65"/>
        </w:numPr>
        <w:rPr>
          <w:rFonts w:eastAsia="Times New Roman" w:cs="Arial"/>
          <w:b/>
          <w:lang w:val="es-CO" w:eastAsia="es-ES"/>
        </w:rPr>
      </w:pPr>
      <w:r w:rsidRPr="007608C2">
        <w:rPr>
          <w:rFonts w:eastAsia="Times New Roman" w:cs="Arial"/>
          <w:b/>
          <w:lang w:val="es-CO" w:eastAsia="es-ES"/>
        </w:rPr>
        <w:t xml:space="preserve">Desarrollo de nuevos productos </w:t>
      </w:r>
    </w:p>
    <w:p w:rsidR="000D29F3" w:rsidRPr="007608C2" w:rsidRDefault="000D29F3" w:rsidP="000D29F3">
      <w:pPr>
        <w:spacing w:after="0" w:line="240" w:lineRule="auto"/>
        <w:jc w:val="both"/>
        <w:rPr>
          <w:rFonts w:cs="Arial"/>
          <w:lang w:val="es-CO" w:eastAsia="es-ES"/>
        </w:rPr>
      </w:pPr>
      <w:r w:rsidRPr="007608C2">
        <w:rPr>
          <w:rFonts w:cs="Arial"/>
          <w:lang w:val="es-CO" w:eastAsia="es-ES"/>
        </w:rPr>
        <w:t xml:space="preserve">Durante el tercer trimestre de 2017 se desarrollaron las pruebas de aceptabilidad del nuevo producto, cuyo objetivo fue </w:t>
      </w:r>
      <w:r w:rsidRPr="007608C2">
        <w:rPr>
          <w:rFonts w:cs="Arial"/>
          <w:i/>
          <w:lang w:val="es-CO" w:eastAsia="es-ES"/>
        </w:rPr>
        <w:t>“Medir la aceptabilidad de tres prototipos de bebidas a base de leche entera con harinas de cereales, fortificada con vitaminas y minerales en niños de 2 a 5 años de edad, beneficiarios de programas de ICBF</w:t>
      </w:r>
      <w:r w:rsidRPr="007608C2">
        <w:rPr>
          <w:rFonts w:cs="Arial"/>
          <w:lang w:val="es-CO" w:eastAsia="es-ES"/>
        </w:rPr>
        <w:t>; a continuación, se presentan las tres formulaciones propuestas, con énfasis sensorial en el cambio de materias primas:</w:t>
      </w:r>
    </w:p>
    <w:p w:rsidR="000D29F3" w:rsidRPr="007608C2" w:rsidRDefault="000D29F3" w:rsidP="000D29F3">
      <w:pPr>
        <w:spacing w:after="0" w:line="240" w:lineRule="auto"/>
        <w:jc w:val="both"/>
        <w:rPr>
          <w:rFonts w:cs="Arial"/>
          <w:lang w:val="es-CO" w:eastAsia="es-ES"/>
        </w:rPr>
      </w:pPr>
    </w:p>
    <w:p w:rsidR="000D29F3" w:rsidRPr="007608C2" w:rsidRDefault="000D29F3" w:rsidP="000D29F3">
      <w:pPr>
        <w:spacing w:after="0" w:line="240" w:lineRule="auto"/>
        <w:jc w:val="both"/>
        <w:rPr>
          <w:rFonts w:cs="Arial"/>
          <w:lang w:val="es-CO" w:eastAsia="es-ES"/>
        </w:rPr>
      </w:pPr>
    </w:p>
    <w:tbl>
      <w:tblPr>
        <w:tblW w:w="9131" w:type="dxa"/>
        <w:tblLook w:val="04A0" w:firstRow="1" w:lastRow="0" w:firstColumn="1" w:lastColumn="0" w:noHBand="0" w:noVBand="1"/>
      </w:tblPr>
      <w:tblGrid>
        <w:gridCol w:w="2443"/>
        <w:gridCol w:w="2014"/>
        <w:gridCol w:w="2584"/>
        <w:gridCol w:w="2090"/>
      </w:tblGrid>
      <w:tr w:rsidR="000D29F3" w:rsidRPr="007608C2" w:rsidTr="00B512A3">
        <w:trPr>
          <w:trHeight w:val="15"/>
        </w:trPr>
        <w:tc>
          <w:tcPr>
            <w:tcW w:w="2443" w:type="dxa"/>
            <w:tcBorders>
              <w:top w:val="single" w:sz="4" w:space="0" w:color="auto"/>
              <w:bottom w:val="single" w:sz="4" w:space="0" w:color="auto"/>
            </w:tcBorders>
            <w:shd w:val="clear" w:color="auto" w:fill="auto"/>
            <w:noWrap/>
            <w:vAlign w:val="center"/>
          </w:tcPr>
          <w:p w:rsidR="000D29F3" w:rsidRPr="007608C2" w:rsidRDefault="000D29F3" w:rsidP="00B512A3">
            <w:pPr>
              <w:spacing w:after="0" w:line="240" w:lineRule="auto"/>
              <w:jc w:val="center"/>
              <w:rPr>
                <w:rFonts w:eastAsia="Times New Roman" w:cs="Arial"/>
                <w:b/>
                <w:sz w:val="18"/>
                <w:szCs w:val="18"/>
                <w:lang w:val="es-ES_tradnl" w:eastAsia="es-ES"/>
              </w:rPr>
            </w:pPr>
            <w:r w:rsidRPr="007608C2">
              <w:rPr>
                <w:rFonts w:eastAsia="Times New Roman" w:cs="Arial"/>
                <w:b/>
                <w:bCs/>
                <w:sz w:val="18"/>
                <w:szCs w:val="18"/>
                <w:lang w:val="es-ES_tradnl" w:eastAsia="es-ES"/>
              </w:rPr>
              <w:t>Ingredientes</w:t>
            </w:r>
          </w:p>
        </w:tc>
        <w:tc>
          <w:tcPr>
            <w:tcW w:w="2014" w:type="dxa"/>
            <w:tcBorders>
              <w:top w:val="single" w:sz="4" w:space="0" w:color="auto"/>
              <w:bottom w:val="single" w:sz="4" w:space="0" w:color="auto"/>
            </w:tcBorders>
            <w:shd w:val="clear" w:color="auto" w:fill="auto"/>
            <w:vAlign w:val="center"/>
          </w:tcPr>
          <w:p w:rsidR="000D29F3" w:rsidRPr="007608C2" w:rsidRDefault="000D29F3" w:rsidP="00B512A3">
            <w:pPr>
              <w:spacing w:after="0" w:line="240" w:lineRule="auto"/>
              <w:jc w:val="center"/>
              <w:rPr>
                <w:rFonts w:eastAsia="Times New Roman" w:cs="Arial"/>
                <w:b/>
                <w:bCs/>
                <w:sz w:val="18"/>
                <w:szCs w:val="18"/>
                <w:lang w:val="es-ES_tradnl" w:eastAsia="es-ES"/>
              </w:rPr>
            </w:pPr>
            <w:r w:rsidRPr="007608C2">
              <w:rPr>
                <w:rFonts w:eastAsia="Times New Roman" w:cs="Arial"/>
                <w:b/>
                <w:bCs/>
                <w:sz w:val="18"/>
                <w:szCs w:val="18"/>
                <w:lang w:val="es-ES_tradnl" w:eastAsia="es-ES"/>
              </w:rPr>
              <w:t>Fórmula Nro. 1</w:t>
            </w:r>
          </w:p>
          <w:p w:rsidR="000D29F3" w:rsidRPr="007608C2" w:rsidRDefault="000D29F3" w:rsidP="00B512A3">
            <w:pPr>
              <w:spacing w:after="0" w:line="240" w:lineRule="auto"/>
              <w:jc w:val="center"/>
              <w:rPr>
                <w:rFonts w:eastAsia="Times New Roman" w:cs="Arial"/>
                <w:b/>
                <w:bCs/>
                <w:sz w:val="18"/>
                <w:szCs w:val="18"/>
                <w:lang w:val="es-ES_tradnl" w:eastAsia="es-ES"/>
              </w:rPr>
            </w:pPr>
            <w:r w:rsidRPr="007608C2">
              <w:rPr>
                <w:rFonts w:eastAsia="Times New Roman" w:cs="Arial"/>
                <w:b/>
                <w:bCs/>
                <w:sz w:val="18"/>
                <w:szCs w:val="18"/>
                <w:lang w:val="es-ES_tradnl" w:eastAsia="es-ES"/>
              </w:rPr>
              <w:lastRenderedPageBreak/>
              <w:t>(Avena-plátano-arroz)</w:t>
            </w:r>
          </w:p>
        </w:tc>
        <w:tc>
          <w:tcPr>
            <w:tcW w:w="2584" w:type="dxa"/>
            <w:tcBorders>
              <w:top w:val="single" w:sz="4" w:space="0" w:color="auto"/>
              <w:bottom w:val="single" w:sz="4" w:space="0" w:color="auto"/>
            </w:tcBorders>
            <w:shd w:val="clear" w:color="auto" w:fill="auto"/>
            <w:vAlign w:val="center"/>
          </w:tcPr>
          <w:p w:rsidR="000D29F3" w:rsidRPr="007608C2" w:rsidRDefault="000D29F3" w:rsidP="00B512A3">
            <w:pPr>
              <w:spacing w:after="0" w:line="240" w:lineRule="auto"/>
              <w:jc w:val="center"/>
              <w:rPr>
                <w:rFonts w:eastAsia="Times New Roman" w:cs="Arial"/>
                <w:b/>
                <w:bCs/>
                <w:sz w:val="18"/>
                <w:szCs w:val="18"/>
                <w:lang w:val="es-ES_tradnl" w:eastAsia="es-ES"/>
              </w:rPr>
            </w:pPr>
            <w:r w:rsidRPr="007608C2">
              <w:rPr>
                <w:rFonts w:eastAsia="Times New Roman" w:cs="Arial"/>
                <w:b/>
                <w:bCs/>
                <w:sz w:val="18"/>
                <w:szCs w:val="18"/>
                <w:lang w:val="es-ES_tradnl" w:eastAsia="es-ES"/>
              </w:rPr>
              <w:lastRenderedPageBreak/>
              <w:t>Fórmula Nro. 2</w:t>
            </w:r>
          </w:p>
          <w:p w:rsidR="000D29F3" w:rsidRPr="007608C2" w:rsidRDefault="000D29F3" w:rsidP="00B512A3">
            <w:pPr>
              <w:spacing w:after="0" w:line="240" w:lineRule="auto"/>
              <w:jc w:val="center"/>
              <w:rPr>
                <w:rFonts w:eastAsia="Times New Roman" w:cs="Arial"/>
                <w:b/>
                <w:bCs/>
                <w:sz w:val="18"/>
                <w:szCs w:val="18"/>
                <w:lang w:val="es-ES_tradnl" w:eastAsia="es-ES"/>
              </w:rPr>
            </w:pPr>
            <w:r w:rsidRPr="007608C2">
              <w:rPr>
                <w:rFonts w:eastAsia="Times New Roman" w:cs="Arial"/>
                <w:b/>
                <w:bCs/>
                <w:sz w:val="18"/>
                <w:szCs w:val="18"/>
                <w:lang w:val="es-ES_tradnl" w:eastAsia="es-ES"/>
              </w:rPr>
              <w:t>(Arroz-avena-quinua)</w:t>
            </w:r>
          </w:p>
        </w:tc>
        <w:tc>
          <w:tcPr>
            <w:tcW w:w="2090" w:type="dxa"/>
            <w:tcBorders>
              <w:top w:val="single" w:sz="4" w:space="0" w:color="auto"/>
              <w:bottom w:val="single" w:sz="4" w:space="0" w:color="auto"/>
            </w:tcBorders>
            <w:shd w:val="clear" w:color="auto" w:fill="auto"/>
            <w:vAlign w:val="center"/>
          </w:tcPr>
          <w:p w:rsidR="000D29F3" w:rsidRPr="007608C2" w:rsidRDefault="000D29F3" w:rsidP="00B512A3">
            <w:pPr>
              <w:spacing w:after="0" w:line="240" w:lineRule="auto"/>
              <w:jc w:val="center"/>
              <w:rPr>
                <w:rFonts w:eastAsia="Times New Roman" w:cs="Arial"/>
                <w:b/>
                <w:bCs/>
                <w:sz w:val="18"/>
                <w:szCs w:val="18"/>
                <w:lang w:val="es-ES_tradnl" w:eastAsia="es-ES"/>
              </w:rPr>
            </w:pPr>
            <w:r w:rsidRPr="007608C2">
              <w:rPr>
                <w:rFonts w:eastAsia="Times New Roman" w:cs="Arial"/>
                <w:b/>
                <w:bCs/>
                <w:sz w:val="18"/>
                <w:szCs w:val="18"/>
                <w:lang w:val="es-ES_tradnl" w:eastAsia="es-ES"/>
              </w:rPr>
              <w:t>Fórmula Nro. 3</w:t>
            </w:r>
          </w:p>
          <w:p w:rsidR="000D29F3" w:rsidRPr="007608C2" w:rsidRDefault="000D29F3" w:rsidP="00B512A3">
            <w:pPr>
              <w:spacing w:after="0" w:line="240" w:lineRule="auto"/>
              <w:jc w:val="center"/>
              <w:rPr>
                <w:rFonts w:eastAsia="Times New Roman" w:cs="Arial"/>
                <w:b/>
                <w:bCs/>
                <w:sz w:val="18"/>
                <w:szCs w:val="18"/>
                <w:lang w:val="es-ES_tradnl" w:eastAsia="es-ES"/>
              </w:rPr>
            </w:pPr>
            <w:r w:rsidRPr="007608C2">
              <w:rPr>
                <w:rFonts w:eastAsia="Times New Roman" w:cs="Arial"/>
                <w:b/>
                <w:bCs/>
                <w:sz w:val="18"/>
                <w:szCs w:val="18"/>
                <w:lang w:val="es-ES_tradnl" w:eastAsia="es-ES"/>
              </w:rPr>
              <w:lastRenderedPageBreak/>
              <w:t>(Arroz-plátano-quinua)</w:t>
            </w:r>
          </w:p>
        </w:tc>
      </w:tr>
    </w:tbl>
    <w:p w:rsidR="000D29F3" w:rsidRPr="007608C2" w:rsidRDefault="000D29F3" w:rsidP="000D29F3">
      <w:pPr>
        <w:spacing w:after="0" w:line="240" w:lineRule="auto"/>
        <w:jc w:val="both"/>
        <w:rPr>
          <w:rFonts w:cs="Arial"/>
          <w:lang w:val="es-CO" w:eastAsia="es-ES"/>
        </w:rPr>
      </w:pPr>
    </w:p>
    <w:p w:rsidR="000D29F3" w:rsidRPr="007608C2" w:rsidRDefault="000D29F3" w:rsidP="000D29F3">
      <w:pPr>
        <w:spacing w:after="0" w:line="240" w:lineRule="auto"/>
        <w:jc w:val="both"/>
        <w:rPr>
          <w:rFonts w:cs="Arial"/>
          <w:lang w:val="es-CO" w:eastAsia="es-ES"/>
        </w:rPr>
      </w:pPr>
      <w:r w:rsidRPr="007608C2">
        <w:rPr>
          <w:rFonts w:cs="Arial"/>
          <w:lang w:val="es-CO" w:eastAsia="es-ES"/>
        </w:rPr>
        <w:t xml:space="preserve">En el cuarto trimestre se identificó mediante el análisis de los resultados de las pruebas sensoriales antes descritas que las tres formulaciones, tuvieron una aceptación por encima del 70% por la población objetivo; la fórmula con mayor aceptación fue </w:t>
      </w:r>
      <w:r w:rsidR="00E54BE1">
        <w:rPr>
          <w:rFonts w:cs="Arial"/>
          <w:lang w:val="es-CO" w:eastAsia="es-ES"/>
        </w:rPr>
        <w:t>la</w:t>
      </w:r>
      <w:r w:rsidR="00E54BE1" w:rsidRPr="007608C2">
        <w:rPr>
          <w:rFonts w:cs="Arial"/>
          <w:lang w:val="es-CO" w:eastAsia="es-ES"/>
        </w:rPr>
        <w:t xml:space="preserve"> número</w:t>
      </w:r>
      <w:r w:rsidRPr="007608C2">
        <w:rPr>
          <w:rFonts w:cs="Arial"/>
          <w:lang w:val="es-CO" w:eastAsia="es-ES"/>
        </w:rPr>
        <w:t xml:space="preserve"> 2 con un 95,5%. En relación al comportamiento por regional se observó que, en las Regionales Guajira y Chocó, la fórmula número 2 tuvo un mayor porcentaje de aceptación con un 93,3% y 98,7% respectivamente. </w:t>
      </w:r>
    </w:p>
    <w:p w:rsidR="000B405E" w:rsidRPr="007608C2" w:rsidRDefault="000B405E" w:rsidP="000D29F3">
      <w:pPr>
        <w:spacing w:after="0" w:line="240" w:lineRule="auto"/>
        <w:jc w:val="both"/>
        <w:rPr>
          <w:rFonts w:cs="Arial"/>
          <w:lang w:val="es-CO" w:eastAsia="es-ES"/>
        </w:rPr>
      </w:pPr>
    </w:p>
    <w:p w:rsidR="000D29F3" w:rsidRPr="007608C2" w:rsidRDefault="000D29F3" w:rsidP="000D29F3">
      <w:pPr>
        <w:spacing w:after="0" w:line="240" w:lineRule="auto"/>
        <w:jc w:val="both"/>
        <w:rPr>
          <w:rFonts w:cs="Arial"/>
          <w:lang w:val="es-CO" w:eastAsia="es-ES"/>
        </w:rPr>
      </w:pPr>
      <w:r w:rsidRPr="007608C2">
        <w:rPr>
          <w:rFonts w:cs="Arial"/>
          <w:lang w:val="es-CO" w:eastAsia="es-ES"/>
        </w:rPr>
        <w:t>Se trabajó en dos propuestas metodológicas a fin de continuar con el cronograma establecido para el desarrollo de este producto:</w:t>
      </w:r>
    </w:p>
    <w:p w:rsidR="000D29F3" w:rsidRPr="007608C2" w:rsidRDefault="000D29F3" w:rsidP="000D29F3">
      <w:pPr>
        <w:spacing w:after="0" w:line="240" w:lineRule="auto"/>
        <w:jc w:val="both"/>
        <w:rPr>
          <w:rFonts w:cs="Arial"/>
          <w:lang w:val="es-CO" w:eastAsia="es-ES"/>
        </w:rPr>
      </w:pPr>
    </w:p>
    <w:p w:rsidR="000D29F3" w:rsidRDefault="000D29F3" w:rsidP="00A44A2B">
      <w:pPr>
        <w:numPr>
          <w:ilvl w:val="0"/>
          <w:numId w:val="66"/>
        </w:numPr>
        <w:spacing w:after="0" w:line="240" w:lineRule="auto"/>
        <w:jc w:val="both"/>
        <w:rPr>
          <w:rFonts w:cs="Arial"/>
          <w:lang w:val="es-CO" w:eastAsia="es-ES"/>
        </w:rPr>
      </w:pPr>
      <w:r w:rsidRPr="007608C2">
        <w:rPr>
          <w:rFonts w:cs="Arial"/>
          <w:lang w:val="es-CO" w:eastAsia="es-ES"/>
        </w:rPr>
        <w:t>Protocolo de evaluación de la vida útil por método acelerado del nuevo alimento de alto valor nutricional – Bienestarina Líquida reformulada, este estudió se tiene programado realizarse en el primer trimestre del 2018</w:t>
      </w:r>
      <w:r w:rsidR="00E54BE1">
        <w:rPr>
          <w:rFonts w:cs="Arial"/>
          <w:lang w:val="es-CO" w:eastAsia="es-ES"/>
        </w:rPr>
        <w:t>.</w:t>
      </w:r>
    </w:p>
    <w:p w:rsidR="00E54BE1" w:rsidRPr="007608C2" w:rsidRDefault="00E54BE1" w:rsidP="00E54BE1">
      <w:pPr>
        <w:spacing w:after="0" w:line="240" w:lineRule="auto"/>
        <w:ind w:left="720"/>
        <w:jc w:val="both"/>
        <w:rPr>
          <w:rFonts w:cs="Arial"/>
          <w:lang w:val="es-CO" w:eastAsia="es-ES"/>
        </w:rPr>
      </w:pPr>
    </w:p>
    <w:p w:rsidR="000D29F3" w:rsidRPr="007608C2" w:rsidRDefault="000D29F3" w:rsidP="00A44A2B">
      <w:pPr>
        <w:numPr>
          <w:ilvl w:val="0"/>
          <w:numId w:val="66"/>
        </w:numPr>
        <w:spacing w:after="0" w:line="240" w:lineRule="auto"/>
        <w:jc w:val="both"/>
        <w:rPr>
          <w:rFonts w:cs="Arial"/>
          <w:lang w:val="es-CO" w:eastAsia="es-ES"/>
        </w:rPr>
      </w:pPr>
      <w:r w:rsidRPr="007608C2">
        <w:rPr>
          <w:rFonts w:cs="Arial"/>
          <w:lang w:val="es-CO" w:eastAsia="es-ES"/>
        </w:rPr>
        <w:t>Propuesta metodológica evaluación de la aceptabilidad de una bebida a base de leche con harina de cereales buena fuente de vitaminas y minerales en beneficiarios de programas del ICBF a nivel nacional, 2017.</w:t>
      </w:r>
    </w:p>
    <w:p w:rsidR="000D29F3" w:rsidRPr="007608C2" w:rsidRDefault="000D29F3" w:rsidP="000D29F3">
      <w:pPr>
        <w:spacing w:after="0" w:line="240" w:lineRule="auto"/>
        <w:jc w:val="both"/>
        <w:rPr>
          <w:rFonts w:cs="Arial"/>
          <w:lang w:val="es-CO" w:eastAsia="es-ES"/>
        </w:rPr>
      </w:pPr>
    </w:p>
    <w:p w:rsidR="000D29F3" w:rsidRPr="007608C2" w:rsidRDefault="000D29F3" w:rsidP="000D29F3">
      <w:pPr>
        <w:spacing w:after="0" w:line="240" w:lineRule="auto"/>
        <w:jc w:val="both"/>
        <w:rPr>
          <w:rFonts w:cs="Arial"/>
          <w:lang w:val="es-CO" w:eastAsia="es-ES"/>
        </w:rPr>
      </w:pPr>
      <w:r w:rsidRPr="007608C2">
        <w:rPr>
          <w:rFonts w:cs="Arial"/>
          <w:lang w:val="es-CO" w:eastAsia="es-ES"/>
        </w:rPr>
        <w:t>Adicionalmente se solicitó a la Dirección de Abastecimiento, estudio de sector para “Realizar la producción un alimento a base de leche y cereales, fortificada con vitaminas y minerales listo para el consumo de los niños y niñas beneficiarios del ICBF y distribución mensual a las bodegas establecidas por el ICBF” (Bienestarina ® líquida Reformulada); a fin de incluir una modificación al Contrato 1606/2015 relacionando los costos de las nuevas materias primas y de seleccionar la fuente de dichos costos.</w:t>
      </w:r>
    </w:p>
    <w:p w:rsidR="000D29F3" w:rsidRPr="007608C2" w:rsidRDefault="000D29F3" w:rsidP="000D29F3">
      <w:pPr>
        <w:spacing w:after="0" w:line="240" w:lineRule="auto"/>
        <w:jc w:val="both"/>
        <w:rPr>
          <w:rFonts w:cs="Arial"/>
          <w:lang w:val="es-CO" w:eastAsia="es-ES"/>
        </w:rPr>
      </w:pPr>
    </w:p>
    <w:p w:rsidR="000D29F3" w:rsidRPr="007608C2" w:rsidRDefault="000D29F3" w:rsidP="00A44A2B">
      <w:pPr>
        <w:numPr>
          <w:ilvl w:val="0"/>
          <w:numId w:val="65"/>
        </w:numPr>
        <w:rPr>
          <w:rFonts w:eastAsia="Times New Roman" w:cs="Arial"/>
          <w:b/>
          <w:lang w:val="es-CO" w:eastAsia="es-ES"/>
        </w:rPr>
      </w:pPr>
      <w:r w:rsidRPr="007608C2">
        <w:rPr>
          <w:rFonts w:eastAsia="Times New Roman" w:cs="Arial"/>
          <w:b/>
          <w:lang w:val="es-CO" w:eastAsia="es-ES"/>
        </w:rPr>
        <w:t>Seguimiento y control a los Alimentos de Alto Valor Nutricional</w:t>
      </w:r>
    </w:p>
    <w:p w:rsidR="000D29F3" w:rsidRPr="007608C2" w:rsidRDefault="000D29F3" w:rsidP="000D29F3">
      <w:pPr>
        <w:spacing w:after="0" w:line="240" w:lineRule="auto"/>
        <w:jc w:val="both"/>
        <w:rPr>
          <w:rFonts w:cs="Arial"/>
          <w:lang w:val="es-CO" w:eastAsia="es-ES"/>
        </w:rPr>
      </w:pPr>
      <w:r w:rsidRPr="007608C2">
        <w:rPr>
          <w:rFonts w:cs="Arial"/>
          <w:lang w:val="es-CO" w:eastAsia="es-ES"/>
        </w:rPr>
        <w:t>A continuación, se presentan las acciones realizadas para garantizar la calidad y cumplimiento en la producción y distribución de alimentos de alto valor nutricional:</w:t>
      </w:r>
    </w:p>
    <w:p w:rsidR="000D29F3" w:rsidRPr="007608C2" w:rsidRDefault="000D29F3" w:rsidP="000D29F3">
      <w:pPr>
        <w:spacing w:after="0" w:line="240" w:lineRule="auto"/>
        <w:jc w:val="both"/>
        <w:rPr>
          <w:rFonts w:cs="Arial"/>
          <w:lang w:val="es-CO" w:eastAsia="es-ES"/>
        </w:rPr>
      </w:pPr>
    </w:p>
    <w:p w:rsidR="000D29F3" w:rsidRPr="007608C2" w:rsidRDefault="000D29F3" w:rsidP="00A420C2">
      <w:pPr>
        <w:spacing w:after="0" w:line="240" w:lineRule="auto"/>
        <w:jc w:val="both"/>
        <w:rPr>
          <w:rFonts w:cs="Arial"/>
          <w:b/>
          <w:lang w:val="es-CO" w:eastAsia="es-ES"/>
        </w:rPr>
      </w:pPr>
      <w:r w:rsidRPr="007608C2">
        <w:rPr>
          <w:rFonts w:cs="Arial"/>
          <w:b/>
          <w:lang w:val="es-CO" w:eastAsia="es-ES"/>
        </w:rPr>
        <w:t xml:space="preserve">Producción </w:t>
      </w:r>
    </w:p>
    <w:p w:rsidR="000D29F3" w:rsidRPr="007608C2" w:rsidRDefault="000D29F3" w:rsidP="000D29F3">
      <w:pPr>
        <w:spacing w:after="0" w:line="240" w:lineRule="auto"/>
        <w:jc w:val="both"/>
        <w:rPr>
          <w:rFonts w:cs="Arial"/>
          <w:lang w:val="es-CO" w:eastAsia="es-ES"/>
        </w:rPr>
      </w:pPr>
    </w:p>
    <w:p w:rsidR="000D29F3" w:rsidRPr="007608C2" w:rsidRDefault="000D29F3" w:rsidP="00A44A2B">
      <w:pPr>
        <w:numPr>
          <w:ilvl w:val="0"/>
          <w:numId w:val="30"/>
        </w:numPr>
        <w:spacing w:after="0" w:line="240" w:lineRule="auto"/>
        <w:jc w:val="both"/>
        <w:rPr>
          <w:rFonts w:cs="Arial"/>
          <w:lang w:val="es-CO" w:eastAsia="es-ES"/>
        </w:rPr>
      </w:pPr>
      <w:r w:rsidRPr="007608C2">
        <w:rPr>
          <w:rFonts w:cs="Arial"/>
          <w:lang w:val="es-CO" w:eastAsia="es-ES"/>
        </w:rPr>
        <w:t>Inspección de los estándares de calidad, métodos y procedimientos utilizados en los procesos de producción de los Alimentos de Alto Valor Nutricional con los cuales se han mantenido las siguientes certificaciones en las plantas de producción del ICBF así:</w:t>
      </w:r>
    </w:p>
    <w:p w:rsidR="000D29F3" w:rsidRPr="007608C2" w:rsidRDefault="000D29F3" w:rsidP="000D29F3">
      <w:pPr>
        <w:spacing w:after="0" w:line="240" w:lineRule="auto"/>
        <w:ind w:left="426"/>
        <w:jc w:val="both"/>
        <w:rPr>
          <w:rFonts w:cs="Arial"/>
          <w:lang w:val="es-CO" w:eastAsia="es-ES"/>
        </w:rPr>
      </w:pPr>
    </w:p>
    <w:p w:rsidR="000D29F3" w:rsidRDefault="000D29F3" w:rsidP="00A44A2B">
      <w:pPr>
        <w:numPr>
          <w:ilvl w:val="0"/>
          <w:numId w:val="8"/>
        </w:numPr>
        <w:spacing w:after="0" w:line="240" w:lineRule="auto"/>
        <w:ind w:left="1068"/>
        <w:jc w:val="both"/>
        <w:rPr>
          <w:rFonts w:cs="Arial"/>
          <w:lang w:val="es-CO" w:eastAsia="es-ES"/>
        </w:rPr>
      </w:pPr>
      <w:r w:rsidRPr="007608C2">
        <w:rPr>
          <w:rFonts w:cs="Arial"/>
          <w:lang w:val="es-CO" w:eastAsia="es-ES"/>
        </w:rPr>
        <w:t>Certificación del Sistema de Gestión de la Calidad ISO 9001:2008 por ICONTEC hasta el 2018.</w:t>
      </w:r>
    </w:p>
    <w:p w:rsidR="00E54BE1" w:rsidRPr="007608C2" w:rsidRDefault="00E54BE1" w:rsidP="00E54BE1">
      <w:pPr>
        <w:spacing w:after="0" w:line="240" w:lineRule="auto"/>
        <w:ind w:left="1068"/>
        <w:jc w:val="both"/>
        <w:rPr>
          <w:rFonts w:cs="Arial"/>
          <w:lang w:val="es-CO" w:eastAsia="es-ES"/>
        </w:rPr>
      </w:pPr>
    </w:p>
    <w:p w:rsidR="000D29F3" w:rsidRDefault="000D29F3" w:rsidP="00A44A2B">
      <w:pPr>
        <w:numPr>
          <w:ilvl w:val="0"/>
          <w:numId w:val="8"/>
        </w:numPr>
        <w:spacing w:after="0" w:line="240" w:lineRule="auto"/>
        <w:ind w:left="1068"/>
        <w:jc w:val="both"/>
        <w:rPr>
          <w:rFonts w:cs="Arial"/>
          <w:lang w:val="es-CO" w:eastAsia="es-ES"/>
        </w:rPr>
      </w:pPr>
      <w:r w:rsidRPr="007608C2">
        <w:rPr>
          <w:rFonts w:cs="Arial"/>
          <w:lang w:val="es-CO" w:eastAsia="es-ES"/>
        </w:rPr>
        <w:t>Certificación del Sistema de Gestión Ambiental ISO 14001:2004 por ICONTEC hasta el 2019.</w:t>
      </w:r>
    </w:p>
    <w:p w:rsidR="00E54BE1" w:rsidRPr="007608C2" w:rsidRDefault="00E54BE1" w:rsidP="00E54BE1">
      <w:pPr>
        <w:spacing w:after="0" w:line="240" w:lineRule="auto"/>
        <w:jc w:val="both"/>
        <w:rPr>
          <w:rFonts w:cs="Arial"/>
          <w:lang w:val="es-CO" w:eastAsia="es-ES"/>
        </w:rPr>
      </w:pPr>
    </w:p>
    <w:p w:rsidR="000D29F3" w:rsidRPr="00E54BE1" w:rsidRDefault="000D29F3" w:rsidP="00A44A2B">
      <w:pPr>
        <w:numPr>
          <w:ilvl w:val="0"/>
          <w:numId w:val="8"/>
        </w:numPr>
        <w:spacing w:after="0" w:line="240" w:lineRule="auto"/>
        <w:ind w:left="1068"/>
        <w:jc w:val="both"/>
        <w:rPr>
          <w:rFonts w:cs="Arial"/>
          <w:lang w:val="es-CO" w:eastAsia="es-ES"/>
        </w:rPr>
      </w:pPr>
      <w:r w:rsidRPr="007608C2">
        <w:rPr>
          <w:rFonts w:cs="Arial"/>
        </w:rPr>
        <w:lastRenderedPageBreak/>
        <w:t>Certificación Sello de Calidad para los productos elaborados con base en cereales para alimentación a partir de los 6 meses de edad NTC 5148 (2033) por ICONTEC hasta el 2023.</w:t>
      </w:r>
    </w:p>
    <w:p w:rsidR="00E54BE1" w:rsidRPr="007608C2" w:rsidRDefault="00E54BE1" w:rsidP="00E54BE1">
      <w:pPr>
        <w:spacing w:after="0" w:line="240" w:lineRule="auto"/>
        <w:jc w:val="both"/>
        <w:rPr>
          <w:rFonts w:cs="Arial"/>
          <w:lang w:val="es-CO" w:eastAsia="es-ES"/>
        </w:rPr>
      </w:pPr>
    </w:p>
    <w:p w:rsidR="000D29F3" w:rsidRPr="00E54BE1" w:rsidRDefault="000D29F3" w:rsidP="00A44A2B">
      <w:pPr>
        <w:numPr>
          <w:ilvl w:val="0"/>
          <w:numId w:val="8"/>
        </w:numPr>
        <w:spacing w:after="0" w:line="240" w:lineRule="auto"/>
        <w:ind w:left="1068"/>
        <w:jc w:val="both"/>
        <w:rPr>
          <w:rFonts w:cs="Arial"/>
          <w:lang w:val="es-CO" w:eastAsia="es-ES"/>
        </w:rPr>
      </w:pPr>
      <w:r w:rsidRPr="007608C2">
        <w:rPr>
          <w:rFonts w:cs="Arial"/>
        </w:rPr>
        <w:t>Certificación en el Seguridad y Salud en el Trabajo ISO 18000 hasta 2019.</w:t>
      </w:r>
    </w:p>
    <w:p w:rsidR="00E54BE1" w:rsidRPr="007608C2" w:rsidRDefault="00E54BE1" w:rsidP="00E54BE1">
      <w:pPr>
        <w:spacing w:after="0" w:line="240" w:lineRule="auto"/>
        <w:jc w:val="both"/>
        <w:rPr>
          <w:rFonts w:cs="Arial"/>
          <w:lang w:val="es-CO" w:eastAsia="es-ES"/>
        </w:rPr>
      </w:pPr>
    </w:p>
    <w:p w:rsidR="000D29F3" w:rsidRPr="007608C2" w:rsidRDefault="000D29F3" w:rsidP="00A44A2B">
      <w:pPr>
        <w:numPr>
          <w:ilvl w:val="0"/>
          <w:numId w:val="8"/>
        </w:numPr>
        <w:spacing w:after="0" w:line="240" w:lineRule="auto"/>
        <w:ind w:left="1068"/>
        <w:jc w:val="both"/>
        <w:rPr>
          <w:rFonts w:cs="Arial"/>
          <w:lang w:val="es-CO" w:eastAsia="es-ES"/>
        </w:rPr>
      </w:pPr>
      <w:r w:rsidRPr="007608C2">
        <w:rPr>
          <w:rFonts w:cs="Arial"/>
        </w:rPr>
        <w:t>Certificación Buena Prácticas de Manufactura por el INVIMA. vigente</w:t>
      </w:r>
    </w:p>
    <w:p w:rsidR="000D29F3" w:rsidRPr="007608C2" w:rsidRDefault="000D29F3" w:rsidP="000D29F3">
      <w:pPr>
        <w:spacing w:after="0" w:line="240" w:lineRule="auto"/>
        <w:ind w:left="1065"/>
        <w:jc w:val="both"/>
        <w:rPr>
          <w:rFonts w:cs="Arial"/>
          <w:lang w:val="es-CO" w:eastAsia="es-ES"/>
        </w:rPr>
      </w:pPr>
    </w:p>
    <w:p w:rsidR="000D29F3" w:rsidRPr="007608C2" w:rsidRDefault="000D29F3" w:rsidP="00A44A2B">
      <w:pPr>
        <w:numPr>
          <w:ilvl w:val="0"/>
          <w:numId w:val="30"/>
        </w:numPr>
        <w:spacing w:after="0" w:line="240" w:lineRule="auto"/>
        <w:jc w:val="both"/>
        <w:rPr>
          <w:rFonts w:cs="Arial"/>
          <w:lang w:val="es-CO" w:eastAsia="es-ES"/>
        </w:rPr>
      </w:pPr>
      <w:r w:rsidRPr="007608C2">
        <w:rPr>
          <w:rFonts w:cs="Arial"/>
          <w:lang w:val="es-CO" w:eastAsia="es-ES"/>
        </w:rPr>
        <w:t>Supervisión, interventoría y controles realizados a través de los análisis de laboratorios fisicoquímicos, microbiológicos y bromatológicos realizados tanto para las materias como para el producto final, en donde se evidenció que os Alimentos de Alto Valor Nutricional cumplen con los criterios de calidad establecidos</w:t>
      </w:r>
      <w:r w:rsidRPr="007608C2" w:rsidDel="00BB43C9">
        <w:rPr>
          <w:rFonts w:cs="Arial"/>
          <w:lang w:val="es-CO" w:eastAsia="es-ES"/>
        </w:rPr>
        <w:t xml:space="preserve"> </w:t>
      </w:r>
    </w:p>
    <w:p w:rsidR="000D29F3" w:rsidRPr="007608C2" w:rsidRDefault="000D29F3" w:rsidP="000D29F3">
      <w:pPr>
        <w:spacing w:after="0" w:line="240" w:lineRule="auto"/>
        <w:ind w:left="720"/>
        <w:jc w:val="both"/>
        <w:rPr>
          <w:rFonts w:cs="Arial"/>
          <w:lang w:val="es-CO" w:eastAsia="es-ES"/>
        </w:rPr>
      </w:pPr>
    </w:p>
    <w:p w:rsidR="000D29F3" w:rsidRPr="007608C2" w:rsidRDefault="000D29F3" w:rsidP="00A44A2B">
      <w:pPr>
        <w:numPr>
          <w:ilvl w:val="0"/>
          <w:numId w:val="30"/>
        </w:numPr>
        <w:spacing w:after="0" w:line="240" w:lineRule="auto"/>
        <w:jc w:val="both"/>
        <w:rPr>
          <w:rFonts w:cs="Arial"/>
          <w:lang w:val="es-CO" w:eastAsia="es-ES"/>
        </w:rPr>
      </w:pPr>
      <w:r w:rsidRPr="007608C2">
        <w:rPr>
          <w:rFonts w:eastAsia="Times New Roman" w:cs="Arial"/>
          <w:lang w:eastAsia="es-MX"/>
        </w:rPr>
        <w:t>En cumplimiento de lo establecido en los contratos de producción y distribución de AAVN, se realizó seguimiento diario a través de los ingenieros residentes de la Interventoría en las plantas de producción sobre las actividades que se desarrollan en estas y realizaron comités en planta con el fin de verificar la ejecución del contratista e Interventoría.</w:t>
      </w:r>
    </w:p>
    <w:p w:rsidR="000D29F3" w:rsidRPr="007608C2" w:rsidRDefault="000D29F3" w:rsidP="000D29F3">
      <w:pPr>
        <w:spacing w:after="0" w:line="240" w:lineRule="auto"/>
        <w:ind w:left="720"/>
        <w:jc w:val="both"/>
        <w:rPr>
          <w:rFonts w:cs="Arial"/>
          <w:lang w:val="es-CO" w:eastAsia="es-ES"/>
        </w:rPr>
      </w:pPr>
    </w:p>
    <w:p w:rsidR="000D29F3" w:rsidRPr="007608C2" w:rsidRDefault="000D29F3" w:rsidP="00A420C2">
      <w:pPr>
        <w:spacing w:after="0" w:line="240" w:lineRule="auto"/>
        <w:ind w:left="360"/>
        <w:jc w:val="both"/>
        <w:rPr>
          <w:rFonts w:cs="Arial"/>
          <w:b/>
          <w:lang w:val="es-CO" w:eastAsia="es-ES"/>
        </w:rPr>
      </w:pPr>
      <w:r w:rsidRPr="007608C2">
        <w:rPr>
          <w:rFonts w:cs="Arial"/>
          <w:b/>
          <w:lang w:val="es-CO" w:eastAsia="es-ES"/>
        </w:rPr>
        <w:t>Otros</w:t>
      </w:r>
    </w:p>
    <w:p w:rsidR="000D29F3" w:rsidRPr="007608C2" w:rsidRDefault="000D29F3" w:rsidP="000D29F3">
      <w:pPr>
        <w:spacing w:after="0" w:line="240" w:lineRule="auto"/>
        <w:jc w:val="both"/>
        <w:rPr>
          <w:rFonts w:cs="Arial"/>
          <w:lang w:val="es-CO" w:eastAsia="es-ES"/>
        </w:rPr>
      </w:pPr>
    </w:p>
    <w:p w:rsidR="000D29F3" w:rsidRDefault="000D29F3" w:rsidP="00A44A2B">
      <w:pPr>
        <w:numPr>
          <w:ilvl w:val="0"/>
          <w:numId w:val="30"/>
        </w:numPr>
        <w:spacing w:after="0" w:line="240" w:lineRule="auto"/>
        <w:jc w:val="both"/>
        <w:rPr>
          <w:rFonts w:eastAsia="Times New Roman" w:cs="Arial"/>
          <w:lang w:eastAsia="es-MX"/>
        </w:rPr>
      </w:pPr>
      <w:r w:rsidRPr="007608C2">
        <w:rPr>
          <w:rFonts w:eastAsia="Times New Roman" w:cs="Arial"/>
          <w:lang w:eastAsia="es-MX"/>
        </w:rPr>
        <w:t xml:space="preserve">Con el propósito de promover espacios de participación ciudadana y control social a la gestión pública, el ICBF realizó en la vigencia 2017, 38 mesas públicas exclusivas de Bienestarina y de Alimentos de Alto Valor Nutricional AAVN en 14 regionales con una cobertura de 189 municipios y asistencia de 2.775 personas. Adicionalmente, se ha incluido el tema de AAVN en 44 mesas públicas a nivel nacional con una cobertura de 117 municipios </w:t>
      </w:r>
      <w:r w:rsidR="00E54BE1">
        <w:rPr>
          <w:rFonts w:eastAsia="Times New Roman" w:cs="Arial"/>
          <w:lang w:eastAsia="es-MX"/>
        </w:rPr>
        <w:t>y asistencia de 3.102 personas.</w:t>
      </w:r>
    </w:p>
    <w:p w:rsidR="00E54BE1" w:rsidRPr="007608C2" w:rsidRDefault="00E54BE1" w:rsidP="00E54BE1">
      <w:pPr>
        <w:spacing w:after="0" w:line="240" w:lineRule="auto"/>
        <w:ind w:left="720"/>
        <w:jc w:val="both"/>
        <w:rPr>
          <w:rFonts w:eastAsia="Times New Roman" w:cs="Arial"/>
          <w:lang w:eastAsia="es-MX"/>
        </w:rPr>
      </w:pPr>
    </w:p>
    <w:p w:rsidR="000D29F3" w:rsidRPr="007608C2" w:rsidRDefault="000D29F3" w:rsidP="00A44A2B">
      <w:pPr>
        <w:numPr>
          <w:ilvl w:val="0"/>
          <w:numId w:val="30"/>
        </w:numPr>
        <w:spacing w:after="0" w:line="240" w:lineRule="auto"/>
        <w:jc w:val="both"/>
        <w:rPr>
          <w:rFonts w:eastAsia="Times New Roman" w:cs="Arial"/>
          <w:lang w:eastAsia="es-MX"/>
        </w:rPr>
      </w:pPr>
      <w:r w:rsidRPr="007608C2">
        <w:rPr>
          <w:rFonts w:eastAsia="Times New Roman" w:cs="Arial"/>
          <w:lang w:eastAsia="es-MX"/>
        </w:rPr>
        <w:t xml:space="preserve">Fortalecimiento a la supervisión, seguimiento y control en los puntos de entrega, realizando de 14.207 visitas de control a los puntos de entrega primarios de Alimentos de alto valor nutricional en la vigencia 2017. </w:t>
      </w:r>
    </w:p>
    <w:p w:rsidR="000D29F3" w:rsidRPr="007608C2" w:rsidRDefault="000D29F3" w:rsidP="000D0DF1">
      <w:pPr>
        <w:keepNext/>
        <w:keepLines/>
        <w:numPr>
          <w:ilvl w:val="2"/>
          <w:numId w:val="160"/>
        </w:numPr>
        <w:spacing w:before="100" w:beforeAutospacing="1" w:after="100" w:afterAutospacing="1" w:line="240" w:lineRule="auto"/>
        <w:jc w:val="both"/>
        <w:outlineLvl w:val="1"/>
        <w:rPr>
          <w:rFonts w:eastAsiaTheme="majorEastAsia" w:cs="Arial"/>
          <w:b/>
        </w:rPr>
      </w:pPr>
      <w:bookmarkStart w:id="76" w:name="_Toc503465513"/>
      <w:bookmarkStart w:id="77" w:name="_Toc505183062"/>
      <w:r w:rsidRPr="007608C2">
        <w:rPr>
          <w:rFonts w:eastAsia="Times New Roman" w:cs="Arial"/>
          <w:b/>
          <w:bCs/>
          <w:kern w:val="32"/>
        </w:rPr>
        <w:t>LOGROS 2017</w:t>
      </w:r>
      <w:bookmarkEnd w:id="76"/>
      <w:bookmarkEnd w:id="77"/>
      <w:r w:rsidRPr="007608C2">
        <w:rPr>
          <w:rFonts w:eastAsia="Times New Roman" w:cs="Arial"/>
          <w:b/>
          <w:bCs/>
          <w:kern w:val="32"/>
        </w:rPr>
        <w:t xml:space="preserve"> </w:t>
      </w:r>
      <w:r w:rsidRPr="007608C2">
        <w:rPr>
          <w:rFonts w:eastAsiaTheme="majorEastAsia" w:cs="Arial"/>
          <w:b/>
        </w:rPr>
        <w:t xml:space="preserve"> </w:t>
      </w:r>
    </w:p>
    <w:p w:rsidR="000D29F3" w:rsidRDefault="000D29F3" w:rsidP="00A44A2B">
      <w:pPr>
        <w:numPr>
          <w:ilvl w:val="0"/>
          <w:numId w:val="7"/>
        </w:numPr>
        <w:spacing w:before="100" w:beforeAutospacing="1" w:after="100" w:afterAutospacing="1" w:line="240" w:lineRule="auto"/>
        <w:ind w:left="426" w:hanging="426"/>
        <w:contextualSpacing/>
        <w:jc w:val="both"/>
        <w:rPr>
          <w:rFonts w:cs="Arial"/>
        </w:rPr>
      </w:pPr>
      <w:r w:rsidRPr="007608C2">
        <w:rPr>
          <w:rFonts w:cs="Arial"/>
        </w:rPr>
        <w:t>Fortalecimiento de la capacidad técnica de los colaboradores de Regionales y Centros Zonales en temas de alimentación y nutrición mediante asistencia técnica en temas recomendaciones de ingesta de energía y nutrientes, guías alimentarias basadas en alimentos, tabla de composición de alimentos.</w:t>
      </w:r>
    </w:p>
    <w:p w:rsidR="00783ECA" w:rsidRPr="007608C2" w:rsidRDefault="00783ECA" w:rsidP="00783ECA">
      <w:pPr>
        <w:spacing w:before="100" w:beforeAutospacing="1" w:after="100" w:afterAutospacing="1" w:line="240" w:lineRule="auto"/>
        <w:ind w:left="426"/>
        <w:contextualSpacing/>
        <w:jc w:val="both"/>
        <w:rPr>
          <w:rFonts w:cs="Arial"/>
        </w:rPr>
      </w:pPr>
    </w:p>
    <w:p w:rsidR="000D29F3" w:rsidRDefault="000D29F3" w:rsidP="00A44A2B">
      <w:pPr>
        <w:numPr>
          <w:ilvl w:val="0"/>
          <w:numId w:val="7"/>
        </w:numPr>
        <w:spacing w:before="100" w:beforeAutospacing="1" w:after="100" w:afterAutospacing="1" w:line="240" w:lineRule="auto"/>
        <w:ind w:left="426" w:hanging="426"/>
        <w:contextualSpacing/>
        <w:jc w:val="both"/>
        <w:rPr>
          <w:rFonts w:cs="Arial"/>
        </w:rPr>
      </w:pPr>
      <w:r w:rsidRPr="007608C2">
        <w:rPr>
          <w:rFonts w:cs="Arial"/>
        </w:rPr>
        <w:t>Transferencia de conocimiento técnico producido por el ICBF sobre herramientas de seguridad alimentaria y nutricional, dirigida a los agentes del SNBF específicamente con la academia, ministerio de salud, secretaria de educación distrital, ministerio de educación y secretaria de integración social</w:t>
      </w:r>
      <w:r w:rsidR="00783ECA">
        <w:rPr>
          <w:rFonts w:cs="Arial"/>
        </w:rPr>
        <w:t>.</w:t>
      </w:r>
    </w:p>
    <w:p w:rsidR="00783ECA" w:rsidRPr="007608C2" w:rsidRDefault="00783ECA" w:rsidP="00783ECA">
      <w:pPr>
        <w:spacing w:before="100" w:beforeAutospacing="1" w:after="100" w:afterAutospacing="1" w:line="240" w:lineRule="auto"/>
        <w:contextualSpacing/>
        <w:jc w:val="both"/>
        <w:rPr>
          <w:rFonts w:cs="Arial"/>
        </w:rPr>
      </w:pPr>
    </w:p>
    <w:p w:rsidR="000D29F3" w:rsidRPr="00783ECA" w:rsidRDefault="000D29F3" w:rsidP="00A44A2B">
      <w:pPr>
        <w:numPr>
          <w:ilvl w:val="0"/>
          <w:numId w:val="7"/>
        </w:numPr>
        <w:spacing w:before="100" w:beforeAutospacing="1" w:after="100" w:afterAutospacing="1" w:line="240" w:lineRule="auto"/>
        <w:ind w:left="426" w:hanging="426"/>
        <w:contextualSpacing/>
        <w:jc w:val="both"/>
        <w:rPr>
          <w:rFonts w:cs="Arial"/>
          <w:lang w:val="es-CO" w:eastAsia="es-ES"/>
        </w:rPr>
      </w:pPr>
      <w:r w:rsidRPr="007608C2">
        <w:rPr>
          <w:rFonts w:cs="Arial"/>
        </w:rPr>
        <w:t xml:space="preserve">Apoyo técnico de a la Dirección de Primera Infancia en la construcción de la minuta patrón del componente de alimentación y nutrición para la modalidad propia e intercultural, la cual </w:t>
      </w:r>
      <w:r w:rsidRPr="007608C2">
        <w:rPr>
          <w:rFonts w:cs="Arial"/>
        </w:rPr>
        <w:lastRenderedPageBreak/>
        <w:t>implementa un nuevo modelo basado en las guías alimentarias a partir de los grupos de alimentos y contemplando las características específicas de cada territorio.</w:t>
      </w:r>
    </w:p>
    <w:p w:rsidR="00783ECA" w:rsidRPr="007608C2" w:rsidRDefault="00783ECA" w:rsidP="00783ECA">
      <w:pPr>
        <w:spacing w:before="100" w:beforeAutospacing="1" w:after="100" w:afterAutospacing="1" w:line="240" w:lineRule="auto"/>
        <w:contextualSpacing/>
        <w:jc w:val="both"/>
        <w:rPr>
          <w:rFonts w:cs="Arial"/>
          <w:lang w:val="es-CO" w:eastAsia="es-ES"/>
        </w:rPr>
      </w:pPr>
    </w:p>
    <w:p w:rsidR="000D29F3" w:rsidRPr="00783ECA" w:rsidRDefault="000D29F3" w:rsidP="00A44A2B">
      <w:pPr>
        <w:numPr>
          <w:ilvl w:val="0"/>
          <w:numId w:val="7"/>
        </w:numPr>
        <w:spacing w:before="100" w:beforeAutospacing="1" w:after="100" w:afterAutospacing="1" w:line="240" w:lineRule="auto"/>
        <w:ind w:left="426" w:hanging="426"/>
        <w:contextualSpacing/>
        <w:jc w:val="both"/>
        <w:rPr>
          <w:rFonts w:cs="Arial"/>
          <w:lang w:val="es-CO" w:eastAsia="es-ES"/>
        </w:rPr>
      </w:pPr>
      <w:r w:rsidRPr="007608C2">
        <w:rPr>
          <w:rFonts w:cs="Arial"/>
          <w:lang w:val="es-CO" w:eastAsia="es-ES"/>
        </w:rPr>
        <w:t xml:space="preserve">Recuperación del estado nutricional del 87% de los niños y niñas atendidos en los Centros de Recuperación Nutricional (diciembre de 2017) y del 80% de las niñas y niños atendidos en </w:t>
      </w:r>
      <w:r w:rsidRPr="007608C2">
        <w:rPr>
          <w:rFonts w:cs="Arial"/>
          <w:i/>
          <w:lang w:val="es-CO" w:eastAsia="es-ES"/>
        </w:rPr>
        <w:t>1.000 días para cambiar el mundo.</w:t>
      </w:r>
    </w:p>
    <w:p w:rsidR="00783ECA" w:rsidRPr="007608C2" w:rsidRDefault="00783ECA" w:rsidP="00783ECA">
      <w:pPr>
        <w:spacing w:before="100" w:beforeAutospacing="1" w:after="100" w:afterAutospacing="1" w:line="240" w:lineRule="auto"/>
        <w:contextualSpacing/>
        <w:jc w:val="both"/>
        <w:rPr>
          <w:rFonts w:cs="Arial"/>
          <w:lang w:val="es-CO" w:eastAsia="es-ES"/>
        </w:rPr>
      </w:pPr>
    </w:p>
    <w:p w:rsidR="000D29F3" w:rsidRDefault="000D29F3" w:rsidP="00A44A2B">
      <w:pPr>
        <w:numPr>
          <w:ilvl w:val="0"/>
          <w:numId w:val="7"/>
        </w:numPr>
        <w:spacing w:before="100" w:beforeAutospacing="1" w:after="100" w:afterAutospacing="1" w:line="240" w:lineRule="auto"/>
        <w:ind w:left="426" w:hanging="426"/>
        <w:contextualSpacing/>
        <w:jc w:val="both"/>
        <w:rPr>
          <w:rFonts w:cs="Arial"/>
          <w:lang w:val="es-CO" w:eastAsia="es-ES"/>
        </w:rPr>
      </w:pPr>
      <w:r w:rsidRPr="007608C2">
        <w:rPr>
          <w:rFonts w:cs="Arial"/>
          <w:lang w:val="es-CO" w:eastAsia="es-ES"/>
        </w:rPr>
        <w:t>Conformación del Banco Nacional de oferentes a nivel nacional para la prestación del servicio público de bienestar familiar a través de la modalidad 1000 días para cambiar el mundo. Se habilitaron 90 oferentes.</w:t>
      </w:r>
    </w:p>
    <w:p w:rsidR="00783ECA" w:rsidRPr="007608C2" w:rsidRDefault="00783ECA" w:rsidP="00783ECA">
      <w:pPr>
        <w:spacing w:before="100" w:beforeAutospacing="1" w:after="100" w:afterAutospacing="1" w:line="240" w:lineRule="auto"/>
        <w:contextualSpacing/>
        <w:jc w:val="both"/>
        <w:rPr>
          <w:rFonts w:cs="Arial"/>
          <w:lang w:val="es-CO" w:eastAsia="es-ES"/>
        </w:rPr>
      </w:pPr>
    </w:p>
    <w:p w:rsidR="000D29F3" w:rsidRDefault="000D29F3" w:rsidP="00A44A2B">
      <w:pPr>
        <w:numPr>
          <w:ilvl w:val="0"/>
          <w:numId w:val="7"/>
        </w:numPr>
        <w:spacing w:before="100" w:beforeAutospacing="1" w:after="100" w:afterAutospacing="1" w:line="240" w:lineRule="auto"/>
        <w:ind w:left="426" w:hanging="426"/>
        <w:contextualSpacing/>
        <w:jc w:val="both"/>
        <w:rPr>
          <w:rFonts w:cs="Arial"/>
          <w:lang w:val="es-CO" w:eastAsia="es-ES"/>
        </w:rPr>
      </w:pPr>
      <w:r w:rsidRPr="007608C2">
        <w:rPr>
          <w:rFonts w:cs="Arial"/>
          <w:lang w:val="es-CO" w:eastAsia="es-ES"/>
        </w:rPr>
        <w:t>Consolidación del Servicio Complementario como una forma de intervención desde la Dirección de Nutrición a las niñas y niños con desnutrición aguda y riesgo de los servicios de Primera Infancia, mediante la cual se atendieron 26.456 beneficiarios.</w:t>
      </w:r>
    </w:p>
    <w:p w:rsidR="00783ECA" w:rsidRPr="007608C2" w:rsidRDefault="00783ECA" w:rsidP="00783ECA">
      <w:pPr>
        <w:spacing w:before="100" w:beforeAutospacing="1" w:after="100" w:afterAutospacing="1" w:line="240" w:lineRule="auto"/>
        <w:contextualSpacing/>
        <w:jc w:val="both"/>
        <w:rPr>
          <w:rFonts w:cs="Arial"/>
          <w:lang w:val="es-CO" w:eastAsia="es-ES"/>
        </w:rPr>
      </w:pPr>
    </w:p>
    <w:p w:rsidR="000D29F3" w:rsidRDefault="000D29F3" w:rsidP="00A44A2B">
      <w:pPr>
        <w:numPr>
          <w:ilvl w:val="0"/>
          <w:numId w:val="7"/>
        </w:numPr>
        <w:spacing w:before="100" w:beforeAutospacing="1" w:after="100" w:afterAutospacing="1" w:line="240" w:lineRule="auto"/>
        <w:ind w:left="426" w:hanging="426"/>
        <w:contextualSpacing/>
        <w:jc w:val="both"/>
        <w:rPr>
          <w:rFonts w:cs="Arial"/>
        </w:rPr>
      </w:pPr>
      <w:r w:rsidRPr="007608C2">
        <w:rPr>
          <w:rFonts w:cs="Arial"/>
        </w:rPr>
        <w:t>Entrega de 94.576 cartillas “Empezar una nueva vida” a mujeres gestantes y madres en periodo de lactancia usuarias de la modalidad 1000 para cambiar el mundo, atendidas por Instituciones Prestadoras de Salud, Secretarias de Salud y congreso internacional de lactancia materna.</w:t>
      </w:r>
    </w:p>
    <w:p w:rsidR="00783ECA" w:rsidRPr="007608C2" w:rsidRDefault="00783ECA" w:rsidP="00783ECA">
      <w:pPr>
        <w:spacing w:before="100" w:beforeAutospacing="1" w:after="100" w:afterAutospacing="1" w:line="240" w:lineRule="auto"/>
        <w:ind w:left="426"/>
        <w:contextualSpacing/>
        <w:jc w:val="both"/>
        <w:rPr>
          <w:rFonts w:cs="Arial"/>
        </w:rPr>
      </w:pPr>
    </w:p>
    <w:p w:rsidR="00783ECA" w:rsidRDefault="000D29F3" w:rsidP="00A44A2B">
      <w:pPr>
        <w:numPr>
          <w:ilvl w:val="0"/>
          <w:numId w:val="7"/>
        </w:numPr>
        <w:spacing w:before="100" w:beforeAutospacing="1" w:after="100" w:afterAutospacing="1" w:line="240" w:lineRule="auto"/>
        <w:ind w:left="426" w:hanging="426"/>
        <w:contextualSpacing/>
        <w:jc w:val="both"/>
        <w:rPr>
          <w:rFonts w:cs="Arial"/>
        </w:rPr>
      </w:pPr>
      <w:r w:rsidRPr="007608C2">
        <w:rPr>
          <w:rFonts w:cs="Arial"/>
        </w:rPr>
        <w:t>Entrega de 18.946 toneladas de Alimentos de Alto Valor Nutricional logrando la atención de 2.642.469 beneficiarios, la distribución se realizó a 4.200 puntos de entregas primarios mensualmente, en los 33 departamentos del país, alcanzando una cobertura de 1.108 municipios. Se entregaron 15.551 toneladas de Bienestarina Más®, 2.810 toneladas de Bienestarina® Líquida (13.255.645 unidades de 200 ml) y 585 toneladas de Alimento para la mujer gestante y madre lactante. Con una inversión de $114.065.270.504 pesos, Inclusión del Alimento para la mujer gestante y madre en periodo de lactancia dentro de la ración de atención para algunas modalidades del ICBF de la Dirección de Primera Infancia y Nutrición.</w:t>
      </w:r>
    </w:p>
    <w:p w:rsidR="000D29F3" w:rsidRPr="007608C2" w:rsidRDefault="000D29F3" w:rsidP="00783ECA">
      <w:pPr>
        <w:spacing w:before="100" w:beforeAutospacing="1" w:after="100" w:afterAutospacing="1" w:line="240" w:lineRule="auto"/>
        <w:contextualSpacing/>
        <w:jc w:val="both"/>
        <w:rPr>
          <w:rFonts w:cs="Arial"/>
        </w:rPr>
      </w:pPr>
      <w:r w:rsidRPr="007608C2">
        <w:rPr>
          <w:rFonts w:cs="Arial"/>
        </w:rPr>
        <w:t xml:space="preserve"> </w:t>
      </w:r>
    </w:p>
    <w:p w:rsidR="000D29F3" w:rsidRDefault="000D29F3" w:rsidP="00A44A2B">
      <w:pPr>
        <w:numPr>
          <w:ilvl w:val="0"/>
          <w:numId w:val="7"/>
        </w:numPr>
        <w:spacing w:before="100" w:beforeAutospacing="1" w:after="100" w:afterAutospacing="1" w:line="240" w:lineRule="auto"/>
        <w:ind w:left="426" w:hanging="426"/>
        <w:contextualSpacing/>
        <w:jc w:val="both"/>
        <w:rPr>
          <w:rFonts w:cs="Arial"/>
        </w:rPr>
      </w:pPr>
      <w:r w:rsidRPr="007608C2">
        <w:rPr>
          <w:rFonts w:cs="Arial"/>
        </w:rPr>
        <w:t>Inclusión del Alimento para la mujer gestante y madre en periodo de lactancia dentro de la ración de atención para algunas modalidades del ICBF de la Dirección d</w:t>
      </w:r>
      <w:bookmarkStart w:id="78" w:name="_Toc503465514"/>
      <w:r w:rsidR="00783ECA">
        <w:rPr>
          <w:rFonts w:cs="Arial"/>
        </w:rPr>
        <w:t>e Primera Infancia y Nutrición.</w:t>
      </w:r>
    </w:p>
    <w:p w:rsidR="00783ECA" w:rsidRPr="007608C2" w:rsidRDefault="00783ECA" w:rsidP="00783ECA">
      <w:pPr>
        <w:spacing w:before="100" w:beforeAutospacing="1" w:after="100" w:afterAutospacing="1" w:line="240" w:lineRule="auto"/>
        <w:contextualSpacing/>
        <w:jc w:val="both"/>
        <w:rPr>
          <w:rFonts w:cs="Arial"/>
        </w:rPr>
      </w:pPr>
    </w:p>
    <w:p w:rsidR="000D29F3" w:rsidRPr="007608C2" w:rsidRDefault="000D29F3" w:rsidP="00A44A2B">
      <w:pPr>
        <w:numPr>
          <w:ilvl w:val="0"/>
          <w:numId w:val="7"/>
        </w:numPr>
        <w:spacing w:before="100" w:beforeAutospacing="1" w:after="100" w:afterAutospacing="1" w:line="240" w:lineRule="auto"/>
        <w:ind w:left="426" w:hanging="426"/>
        <w:contextualSpacing/>
        <w:jc w:val="both"/>
        <w:rPr>
          <w:rFonts w:cs="Arial"/>
        </w:rPr>
      </w:pPr>
      <w:r w:rsidRPr="007608C2">
        <w:rPr>
          <w:rFonts w:cs="Arial"/>
        </w:rPr>
        <w:t>En el marco de los Alimentos de Alto Valor Nutricional producidos y distribuidos por el Instituto Colombiano de Bienestar Familiar, se diseñó un sello de identificación de dichos alimentos; a fin de posicionarlos y usarlo en los diferentes medios audiovisuales de la entidad, incluyendo los artes de empaque primario y secundarios de los alimentos, información en la web, presentaciones, entre otros. realizada</w:t>
      </w:r>
    </w:p>
    <w:p w:rsidR="000D29F3" w:rsidRPr="007608C2" w:rsidRDefault="000D29F3" w:rsidP="000D29F3">
      <w:pPr>
        <w:spacing w:before="100" w:beforeAutospacing="1" w:after="100" w:afterAutospacing="1" w:line="240" w:lineRule="auto"/>
        <w:ind w:left="426"/>
        <w:contextualSpacing/>
        <w:jc w:val="both"/>
        <w:rPr>
          <w:rFonts w:cs="Arial"/>
        </w:rPr>
      </w:pPr>
    </w:p>
    <w:p w:rsidR="000D29F3" w:rsidRPr="007608C2" w:rsidRDefault="000D29F3" w:rsidP="000D0DF1">
      <w:pPr>
        <w:keepNext/>
        <w:keepLines/>
        <w:numPr>
          <w:ilvl w:val="2"/>
          <w:numId w:val="160"/>
        </w:numPr>
        <w:spacing w:before="100" w:beforeAutospacing="1" w:after="100" w:afterAutospacing="1" w:line="240" w:lineRule="auto"/>
        <w:jc w:val="both"/>
        <w:outlineLvl w:val="1"/>
        <w:rPr>
          <w:rFonts w:eastAsiaTheme="majorEastAsia" w:cs="Arial"/>
          <w:b/>
        </w:rPr>
      </w:pPr>
      <w:bookmarkStart w:id="79" w:name="_Toc505183063"/>
      <w:r w:rsidRPr="007608C2">
        <w:rPr>
          <w:rFonts w:eastAsia="Times New Roman" w:cs="Arial"/>
          <w:b/>
          <w:bCs/>
          <w:kern w:val="32"/>
        </w:rPr>
        <w:t>RETOS 2018</w:t>
      </w:r>
      <w:bookmarkEnd w:id="78"/>
      <w:bookmarkEnd w:id="79"/>
      <w:r w:rsidRPr="007608C2">
        <w:rPr>
          <w:rFonts w:eastAsia="Times New Roman" w:cs="Arial"/>
          <w:b/>
          <w:bCs/>
          <w:kern w:val="32"/>
        </w:rPr>
        <w:t xml:space="preserve"> </w:t>
      </w:r>
    </w:p>
    <w:p w:rsidR="000D29F3" w:rsidRDefault="000D29F3" w:rsidP="00A44A2B">
      <w:pPr>
        <w:numPr>
          <w:ilvl w:val="0"/>
          <w:numId w:val="7"/>
        </w:numPr>
        <w:spacing w:before="100" w:beforeAutospacing="1" w:after="100" w:afterAutospacing="1" w:line="240" w:lineRule="auto"/>
        <w:ind w:left="426" w:hanging="426"/>
        <w:contextualSpacing/>
        <w:jc w:val="both"/>
        <w:rPr>
          <w:rFonts w:cs="Arial"/>
          <w:lang w:val="es-CO" w:eastAsia="es-ES"/>
        </w:rPr>
      </w:pPr>
      <w:r w:rsidRPr="007608C2">
        <w:rPr>
          <w:rFonts w:cs="Arial"/>
          <w:lang w:val="es-CO" w:eastAsia="es-ES"/>
        </w:rPr>
        <w:t>Continuar el proceso de actualización de la Tabla de Composición de Alimentos colombianos.</w:t>
      </w:r>
    </w:p>
    <w:p w:rsidR="00783ECA" w:rsidRPr="007608C2" w:rsidRDefault="00783ECA" w:rsidP="00783ECA">
      <w:pPr>
        <w:spacing w:before="100" w:beforeAutospacing="1" w:after="100" w:afterAutospacing="1" w:line="240" w:lineRule="auto"/>
        <w:contextualSpacing/>
        <w:jc w:val="both"/>
        <w:rPr>
          <w:rFonts w:cs="Arial"/>
          <w:lang w:val="es-CO" w:eastAsia="es-ES"/>
        </w:rPr>
      </w:pPr>
    </w:p>
    <w:p w:rsidR="00783ECA" w:rsidRDefault="000D29F3" w:rsidP="00A44A2B">
      <w:pPr>
        <w:numPr>
          <w:ilvl w:val="0"/>
          <w:numId w:val="7"/>
        </w:numPr>
        <w:spacing w:before="100" w:beforeAutospacing="1" w:after="100" w:afterAutospacing="1" w:line="240" w:lineRule="auto"/>
        <w:ind w:left="426" w:hanging="426"/>
        <w:contextualSpacing/>
        <w:jc w:val="both"/>
        <w:rPr>
          <w:rFonts w:cs="Arial"/>
          <w:lang w:val="es-CO" w:eastAsia="es-ES"/>
        </w:rPr>
      </w:pPr>
      <w:r w:rsidRPr="007608C2">
        <w:rPr>
          <w:rFonts w:cs="Arial"/>
          <w:lang w:val="es-CO" w:eastAsia="es-ES"/>
        </w:rPr>
        <w:t>Implementar las recomendaciones de ingesta de energía y nutrientes en el componente de alimentación y nutrición de los servicios del ICBF.</w:t>
      </w:r>
    </w:p>
    <w:p w:rsidR="00783ECA" w:rsidRPr="00783ECA" w:rsidRDefault="00783ECA" w:rsidP="00783ECA">
      <w:pPr>
        <w:spacing w:before="100" w:beforeAutospacing="1" w:after="100" w:afterAutospacing="1" w:line="240" w:lineRule="auto"/>
        <w:ind w:left="426"/>
        <w:contextualSpacing/>
        <w:jc w:val="both"/>
        <w:rPr>
          <w:rFonts w:cs="Arial"/>
          <w:lang w:val="es-CO" w:eastAsia="es-ES"/>
        </w:rPr>
      </w:pPr>
    </w:p>
    <w:p w:rsidR="000D29F3" w:rsidRDefault="000D29F3" w:rsidP="00A44A2B">
      <w:pPr>
        <w:numPr>
          <w:ilvl w:val="0"/>
          <w:numId w:val="7"/>
        </w:numPr>
        <w:spacing w:before="100" w:beforeAutospacing="1" w:after="100" w:afterAutospacing="1" w:line="240" w:lineRule="auto"/>
        <w:ind w:left="426" w:hanging="426"/>
        <w:contextualSpacing/>
        <w:jc w:val="both"/>
        <w:rPr>
          <w:rFonts w:cs="Arial"/>
          <w:lang w:val="es-CO" w:eastAsia="es-ES"/>
        </w:rPr>
      </w:pPr>
      <w:r w:rsidRPr="007608C2">
        <w:rPr>
          <w:rFonts w:cs="Arial"/>
          <w:lang w:val="es-CO" w:eastAsia="es-ES"/>
        </w:rPr>
        <w:lastRenderedPageBreak/>
        <w:t>Fortalecimiento de la modalidad 1000 días para cambiar el mundo como modalidad de nutrición en el marco de la atención integral.</w:t>
      </w:r>
    </w:p>
    <w:p w:rsidR="00783ECA" w:rsidRPr="007608C2" w:rsidRDefault="00783ECA" w:rsidP="00783ECA">
      <w:pPr>
        <w:spacing w:before="100" w:beforeAutospacing="1" w:after="100" w:afterAutospacing="1" w:line="240" w:lineRule="auto"/>
        <w:contextualSpacing/>
        <w:jc w:val="both"/>
        <w:rPr>
          <w:rFonts w:cs="Arial"/>
          <w:lang w:val="es-CO" w:eastAsia="es-ES"/>
        </w:rPr>
      </w:pPr>
    </w:p>
    <w:p w:rsidR="000D29F3" w:rsidRDefault="000D29F3" w:rsidP="00A44A2B">
      <w:pPr>
        <w:numPr>
          <w:ilvl w:val="0"/>
          <w:numId w:val="7"/>
        </w:numPr>
        <w:spacing w:before="100" w:beforeAutospacing="1" w:after="100" w:afterAutospacing="1" w:line="240" w:lineRule="auto"/>
        <w:ind w:left="426" w:hanging="426"/>
        <w:contextualSpacing/>
        <w:jc w:val="both"/>
        <w:rPr>
          <w:rFonts w:cs="Arial"/>
          <w:lang w:val="es-CO" w:eastAsia="es-ES"/>
        </w:rPr>
      </w:pPr>
      <w:r w:rsidRPr="007608C2">
        <w:rPr>
          <w:rFonts w:cs="Arial"/>
          <w:lang w:val="es-CO" w:eastAsia="es-ES"/>
        </w:rPr>
        <w:t>Socialización y divulgación de las Guías Alimentarias para menores de 2 años, mujeres gestantes y madres en periodo de lactancia y de la población mayor de 2 años.</w:t>
      </w:r>
    </w:p>
    <w:p w:rsidR="00783ECA" w:rsidRPr="007608C2" w:rsidRDefault="00783ECA" w:rsidP="00783ECA">
      <w:pPr>
        <w:spacing w:before="100" w:beforeAutospacing="1" w:after="100" w:afterAutospacing="1" w:line="240" w:lineRule="auto"/>
        <w:contextualSpacing/>
        <w:jc w:val="both"/>
        <w:rPr>
          <w:rFonts w:cs="Arial"/>
          <w:lang w:val="es-CO" w:eastAsia="es-ES"/>
        </w:rPr>
      </w:pPr>
    </w:p>
    <w:p w:rsidR="000D29F3" w:rsidRDefault="000D29F3" w:rsidP="00A44A2B">
      <w:pPr>
        <w:numPr>
          <w:ilvl w:val="0"/>
          <w:numId w:val="7"/>
        </w:numPr>
        <w:spacing w:before="100" w:beforeAutospacing="1" w:after="100" w:afterAutospacing="1" w:line="240" w:lineRule="auto"/>
        <w:ind w:left="426" w:hanging="426"/>
        <w:contextualSpacing/>
        <w:jc w:val="both"/>
        <w:rPr>
          <w:rFonts w:cs="Arial"/>
          <w:lang w:val="es-CO" w:eastAsia="es-ES"/>
        </w:rPr>
      </w:pPr>
      <w:r w:rsidRPr="007608C2">
        <w:rPr>
          <w:rFonts w:cs="Arial"/>
          <w:lang w:val="es-CO" w:eastAsia="es-ES"/>
        </w:rPr>
        <w:t>Continuar el proceso de transferencia de conocimiento de las herramientas de SAN con las entidades e instituciones que desarrollan acciones en alimentación y nutrición</w:t>
      </w:r>
      <w:r w:rsidR="00783ECA">
        <w:rPr>
          <w:rFonts w:cs="Arial"/>
          <w:lang w:val="es-CO" w:eastAsia="es-ES"/>
        </w:rPr>
        <w:t>.</w:t>
      </w:r>
    </w:p>
    <w:p w:rsidR="00783ECA" w:rsidRPr="007608C2" w:rsidRDefault="00783ECA" w:rsidP="00783ECA">
      <w:pPr>
        <w:spacing w:before="100" w:beforeAutospacing="1" w:after="100" w:afterAutospacing="1" w:line="240" w:lineRule="auto"/>
        <w:contextualSpacing/>
        <w:jc w:val="both"/>
        <w:rPr>
          <w:rFonts w:cs="Arial"/>
          <w:lang w:val="es-CO" w:eastAsia="es-ES"/>
        </w:rPr>
      </w:pPr>
    </w:p>
    <w:p w:rsidR="000D29F3" w:rsidRDefault="000D29F3" w:rsidP="00A44A2B">
      <w:pPr>
        <w:numPr>
          <w:ilvl w:val="0"/>
          <w:numId w:val="7"/>
        </w:numPr>
        <w:spacing w:before="100" w:beforeAutospacing="1" w:after="100" w:afterAutospacing="1" w:line="240" w:lineRule="auto"/>
        <w:ind w:left="426" w:hanging="426"/>
        <w:contextualSpacing/>
        <w:jc w:val="both"/>
        <w:rPr>
          <w:rFonts w:cs="Arial"/>
          <w:lang w:val="es-CO" w:eastAsia="es-ES"/>
        </w:rPr>
      </w:pPr>
      <w:r w:rsidRPr="007608C2">
        <w:rPr>
          <w:rFonts w:cs="Arial"/>
          <w:lang w:val="es-CO" w:eastAsia="es-ES"/>
        </w:rPr>
        <w:t xml:space="preserve">Aumentar la atención a Población Escolar con la entrega de Alimentos de Alto Valor Nutricional, mediante la suscripción de </w:t>
      </w:r>
      <w:r w:rsidRPr="00783ECA">
        <w:rPr>
          <w:rFonts w:cs="Arial"/>
          <w:lang w:val="es-CO" w:eastAsia="es-ES"/>
        </w:rPr>
        <w:t>convenios con las Entidades Territoriales posterior a la ley de garantías.</w:t>
      </w:r>
    </w:p>
    <w:p w:rsidR="00783ECA" w:rsidRPr="007608C2" w:rsidRDefault="00783ECA" w:rsidP="00783ECA">
      <w:pPr>
        <w:spacing w:before="100" w:beforeAutospacing="1" w:after="100" w:afterAutospacing="1" w:line="240" w:lineRule="auto"/>
        <w:contextualSpacing/>
        <w:jc w:val="both"/>
        <w:rPr>
          <w:rFonts w:cs="Arial"/>
          <w:lang w:val="es-CO" w:eastAsia="es-ES"/>
        </w:rPr>
      </w:pPr>
    </w:p>
    <w:p w:rsidR="000D29F3" w:rsidRDefault="000D29F3" w:rsidP="00A44A2B">
      <w:pPr>
        <w:numPr>
          <w:ilvl w:val="0"/>
          <w:numId w:val="7"/>
        </w:numPr>
        <w:spacing w:before="100" w:beforeAutospacing="1" w:after="100" w:afterAutospacing="1" w:line="240" w:lineRule="auto"/>
        <w:ind w:left="426" w:hanging="426"/>
        <w:contextualSpacing/>
        <w:jc w:val="both"/>
        <w:rPr>
          <w:rFonts w:cs="Arial"/>
          <w:lang w:val="es-CO" w:eastAsia="es-ES"/>
        </w:rPr>
      </w:pPr>
      <w:r w:rsidRPr="00783ECA">
        <w:rPr>
          <w:rFonts w:cs="Arial"/>
          <w:lang w:val="es-CO" w:eastAsia="es-ES"/>
        </w:rPr>
        <w:t>Terminar la reformulación de la Bienestarina® Líquida e iniciar la producción y di</w:t>
      </w:r>
      <w:r w:rsidR="00783ECA">
        <w:rPr>
          <w:rFonts w:cs="Arial"/>
          <w:lang w:val="es-CO" w:eastAsia="es-ES"/>
        </w:rPr>
        <w:t>stribución en la vigencia 2018.</w:t>
      </w:r>
    </w:p>
    <w:p w:rsidR="00783ECA" w:rsidRPr="00783ECA" w:rsidRDefault="00783ECA" w:rsidP="00783ECA">
      <w:pPr>
        <w:spacing w:before="100" w:beforeAutospacing="1" w:after="100" w:afterAutospacing="1" w:line="240" w:lineRule="auto"/>
        <w:contextualSpacing/>
        <w:jc w:val="both"/>
        <w:rPr>
          <w:rFonts w:cs="Arial"/>
          <w:lang w:val="es-CO" w:eastAsia="es-ES"/>
        </w:rPr>
      </w:pPr>
    </w:p>
    <w:p w:rsidR="00B00CC8" w:rsidRPr="006B2D87" w:rsidRDefault="000D29F3" w:rsidP="001B1357">
      <w:pPr>
        <w:numPr>
          <w:ilvl w:val="0"/>
          <w:numId w:val="7"/>
        </w:numPr>
        <w:spacing w:before="100" w:beforeAutospacing="1" w:after="0" w:afterAutospacing="1" w:line="240" w:lineRule="auto"/>
        <w:ind w:left="426" w:hanging="426"/>
        <w:contextualSpacing/>
        <w:jc w:val="both"/>
        <w:rPr>
          <w:rFonts w:eastAsiaTheme="majorEastAsia" w:cs="Arial"/>
          <w:b/>
        </w:rPr>
      </w:pPr>
      <w:r w:rsidRPr="006B2D87">
        <w:rPr>
          <w:rFonts w:cs="Arial"/>
          <w:lang w:val="es-CO" w:eastAsia="es-ES"/>
        </w:rPr>
        <w:t xml:space="preserve">Continuar con el desarrollo de un alimento terapéutico listo para el consumo. </w:t>
      </w:r>
      <w:r w:rsidR="00B00CC8" w:rsidRPr="006B2D87">
        <w:rPr>
          <w:rFonts w:eastAsiaTheme="majorEastAsia" w:cs="Arial"/>
          <w:b/>
        </w:rPr>
        <w:br w:type="page"/>
      </w:r>
    </w:p>
    <w:p w:rsidR="0022684E" w:rsidRDefault="008819AE" w:rsidP="000D0DF1">
      <w:pPr>
        <w:pStyle w:val="Ttulo1"/>
        <w:numPr>
          <w:ilvl w:val="1"/>
          <w:numId w:val="160"/>
        </w:numPr>
        <w:rPr>
          <w:rFonts w:cs="Arial"/>
        </w:rPr>
      </w:pPr>
      <w:bookmarkStart w:id="80" w:name="_Toc472519275"/>
      <w:bookmarkStart w:id="81" w:name="_Toc503953638"/>
      <w:bookmarkStart w:id="82" w:name="_Toc505183064"/>
      <w:r w:rsidRPr="007608C2">
        <w:rPr>
          <w:rFonts w:cs="Arial"/>
        </w:rPr>
        <w:lastRenderedPageBreak/>
        <w:t>PROTECCIÓN DE NIÑOS, NIÑAS Y ADOLESCENTES</w:t>
      </w:r>
      <w:bookmarkEnd w:id="80"/>
      <w:bookmarkEnd w:id="81"/>
      <w:bookmarkEnd w:id="82"/>
    </w:p>
    <w:p w:rsidR="00783ECA" w:rsidRPr="00783ECA" w:rsidRDefault="00783ECA" w:rsidP="00783ECA"/>
    <w:tbl>
      <w:tblPr>
        <w:tblW w:w="0" w:type="auto"/>
        <w:jc w:val="center"/>
        <w:tblCellMar>
          <w:left w:w="70" w:type="dxa"/>
          <w:right w:w="70" w:type="dxa"/>
        </w:tblCellMar>
        <w:tblLook w:val="04A0" w:firstRow="1" w:lastRow="0" w:firstColumn="1" w:lastColumn="0" w:noHBand="0" w:noVBand="1"/>
      </w:tblPr>
      <w:tblGrid>
        <w:gridCol w:w="4142"/>
        <w:gridCol w:w="800"/>
        <w:gridCol w:w="800"/>
        <w:gridCol w:w="961"/>
      </w:tblGrid>
      <w:tr w:rsidR="000B405E" w:rsidRPr="00783ECA" w:rsidTr="00783ECA">
        <w:trPr>
          <w:trHeight w:val="300"/>
          <w:jc w:val="center"/>
        </w:trPr>
        <w:tc>
          <w:tcPr>
            <w:tcW w:w="0" w:type="auto"/>
            <w:tcBorders>
              <w:top w:val="single" w:sz="4" w:space="0" w:color="70AD47"/>
              <w:left w:val="single" w:sz="4" w:space="0" w:color="70AD47"/>
              <w:bottom w:val="nil"/>
              <w:right w:val="nil"/>
            </w:tcBorders>
            <w:shd w:val="clear" w:color="auto" w:fill="76922E"/>
            <w:noWrap/>
            <w:vAlign w:val="center"/>
            <w:hideMark/>
          </w:tcPr>
          <w:p w:rsidR="000B405E" w:rsidRPr="00783ECA" w:rsidRDefault="000B405E" w:rsidP="000B405E">
            <w:pPr>
              <w:spacing w:after="0" w:line="240" w:lineRule="auto"/>
              <w:jc w:val="center"/>
              <w:rPr>
                <w:rFonts w:eastAsia="Times New Roman" w:cs="Arial"/>
                <w:b/>
                <w:bCs/>
                <w:color w:val="FFFFFF" w:themeColor="background1"/>
                <w:sz w:val="18"/>
                <w:szCs w:val="18"/>
                <w:lang w:val="es-MX" w:eastAsia="es-MX"/>
              </w:rPr>
            </w:pPr>
            <w:r w:rsidRPr="00783ECA">
              <w:rPr>
                <w:rFonts w:eastAsia="Times New Roman" w:cs="Arial"/>
                <w:b/>
                <w:bCs/>
                <w:color w:val="FFFFFF" w:themeColor="background1"/>
                <w:sz w:val="18"/>
                <w:szCs w:val="18"/>
                <w:lang w:val="es-MX" w:eastAsia="es-MX"/>
              </w:rPr>
              <w:t xml:space="preserve">Subproyecto </w:t>
            </w:r>
          </w:p>
        </w:tc>
        <w:tc>
          <w:tcPr>
            <w:tcW w:w="0" w:type="auto"/>
            <w:tcBorders>
              <w:top w:val="single" w:sz="4" w:space="0" w:color="70AD47"/>
              <w:left w:val="nil"/>
              <w:bottom w:val="nil"/>
              <w:right w:val="nil"/>
            </w:tcBorders>
            <w:shd w:val="clear" w:color="auto" w:fill="76922E"/>
            <w:vAlign w:val="center"/>
            <w:hideMark/>
          </w:tcPr>
          <w:p w:rsidR="000B405E" w:rsidRPr="00783ECA" w:rsidRDefault="000B405E" w:rsidP="000B405E">
            <w:pPr>
              <w:spacing w:after="0" w:line="240" w:lineRule="auto"/>
              <w:jc w:val="center"/>
              <w:rPr>
                <w:rFonts w:eastAsia="Times New Roman" w:cs="Arial"/>
                <w:b/>
                <w:bCs/>
                <w:color w:val="FFFFFF" w:themeColor="background1"/>
                <w:sz w:val="18"/>
                <w:szCs w:val="18"/>
                <w:lang w:val="es-MX" w:eastAsia="es-MX"/>
              </w:rPr>
            </w:pPr>
            <w:r w:rsidRPr="00783ECA">
              <w:rPr>
                <w:rFonts w:eastAsia="Times New Roman" w:cs="Arial"/>
                <w:b/>
                <w:bCs/>
                <w:color w:val="FFFFFF" w:themeColor="background1"/>
                <w:sz w:val="18"/>
                <w:szCs w:val="18"/>
                <w:lang w:val="es-MX" w:eastAsia="es-MX"/>
              </w:rPr>
              <w:t xml:space="preserve"> Unidad </w:t>
            </w:r>
          </w:p>
        </w:tc>
        <w:tc>
          <w:tcPr>
            <w:tcW w:w="0" w:type="auto"/>
            <w:tcBorders>
              <w:top w:val="single" w:sz="4" w:space="0" w:color="70AD47"/>
              <w:left w:val="nil"/>
              <w:bottom w:val="nil"/>
              <w:right w:val="nil"/>
            </w:tcBorders>
            <w:shd w:val="clear" w:color="auto" w:fill="76922E"/>
            <w:vAlign w:val="center"/>
            <w:hideMark/>
          </w:tcPr>
          <w:p w:rsidR="000B405E" w:rsidRPr="00783ECA" w:rsidRDefault="000B405E" w:rsidP="000B405E">
            <w:pPr>
              <w:spacing w:after="0" w:line="240" w:lineRule="auto"/>
              <w:jc w:val="center"/>
              <w:rPr>
                <w:rFonts w:eastAsia="Times New Roman" w:cs="Arial"/>
                <w:b/>
                <w:bCs/>
                <w:color w:val="FFFFFF" w:themeColor="background1"/>
                <w:sz w:val="18"/>
                <w:szCs w:val="18"/>
                <w:lang w:val="es-MX" w:eastAsia="es-MX"/>
              </w:rPr>
            </w:pPr>
            <w:r w:rsidRPr="00783ECA">
              <w:rPr>
                <w:rFonts w:eastAsia="Times New Roman" w:cs="Arial"/>
                <w:b/>
                <w:bCs/>
                <w:color w:val="FFFFFF" w:themeColor="background1"/>
                <w:sz w:val="18"/>
                <w:szCs w:val="18"/>
                <w:lang w:val="es-MX" w:eastAsia="es-MX"/>
              </w:rPr>
              <w:t xml:space="preserve">  Cupos </w:t>
            </w:r>
          </w:p>
        </w:tc>
        <w:tc>
          <w:tcPr>
            <w:tcW w:w="0" w:type="auto"/>
            <w:tcBorders>
              <w:top w:val="single" w:sz="4" w:space="0" w:color="70AD47"/>
              <w:left w:val="nil"/>
              <w:bottom w:val="nil"/>
              <w:right w:val="single" w:sz="4" w:space="0" w:color="70AD47"/>
            </w:tcBorders>
            <w:shd w:val="clear" w:color="auto" w:fill="76922E"/>
            <w:vAlign w:val="center"/>
            <w:hideMark/>
          </w:tcPr>
          <w:p w:rsidR="000B405E" w:rsidRPr="00783ECA" w:rsidRDefault="000B405E" w:rsidP="000B405E">
            <w:pPr>
              <w:spacing w:after="0" w:line="240" w:lineRule="auto"/>
              <w:jc w:val="center"/>
              <w:rPr>
                <w:rFonts w:eastAsia="Times New Roman" w:cs="Arial"/>
                <w:b/>
                <w:bCs/>
                <w:color w:val="FFFFFF" w:themeColor="background1"/>
                <w:sz w:val="18"/>
                <w:szCs w:val="18"/>
                <w:lang w:val="es-MX" w:eastAsia="es-MX"/>
              </w:rPr>
            </w:pPr>
            <w:r w:rsidRPr="00783ECA">
              <w:rPr>
                <w:rFonts w:eastAsia="Times New Roman" w:cs="Arial"/>
                <w:b/>
                <w:bCs/>
                <w:color w:val="FFFFFF" w:themeColor="background1"/>
                <w:sz w:val="18"/>
                <w:szCs w:val="18"/>
                <w:lang w:val="es-MX" w:eastAsia="es-MX"/>
              </w:rPr>
              <w:t xml:space="preserve"> Usuarios </w:t>
            </w:r>
          </w:p>
        </w:tc>
      </w:tr>
      <w:tr w:rsidR="000B405E" w:rsidRPr="00783ECA" w:rsidTr="00783ECA">
        <w:trPr>
          <w:trHeight w:val="285"/>
          <w:jc w:val="center"/>
        </w:trPr>
        <w:tc>
          <w:tcPr>
            <w:tcW w:w="0" w:type="auto"/>
            <w:tcBorders>
              <w:top w:val="single" w:sz="4" w:space="0" w:color="70AD47"/>
              <w:left w:val="single" w:sz="4" w:space="0" w:color="70AD47"/>
              <w:bottom w:val="nil"/>
              <w:right w:val="nil"/>
            </w:tcBorders>
            <w:shd w:val="clear" w:color="auto" w:fill="auto"/>
            <w:noWrap/>
            <w:vAlign w:val="center"/>
            <w:hideMark/>
          </w:tcPr>
          <w:p w:rsidR="000B405E" w:rsidRPr="00783ECA" w:rsidRDefault="00030413" w:rsidP="000B405E">
            <w:pPr>
              <w:spacing w:after="0" w:line="240" w:lineRule="auto"/>
              <w:rPr>
                <w:rFonts w:eastAsia="Times New Roman" w:cs="Arial"/>
                <w:color w:val="000000"/>
                <w:sz w:val="18"/>
                <w:szCs w:val="18"/>
                <w:lang w:val="es-MX" w:eastAsia="es-MX"/>
              </w:rPr>
            </w:pPr>
            <w:r>
              <w:rPr>
                <w:rFonts w:eastAsia="Times New Roman" w:cs="Arial"/>
                <w:color w:val="000000"/>
                <w:sz w:val="18"/>
                <w:szCs w:val="18"/>
                <w:lang w:val="es-MX" w:eastAsia="es-MX"/>
              </w:rPr>
              <w:t xml:space="preserve"> Apoyo y Fortalecimiento a l</w:t>
            </w:r>
            <w:r w:rsidR="00783ECA" w:rsidRPr="00783ECA">
              <w:rPr>
                <w:rFonts w:eastAsia="Times New Roman" w:cs="Arial"/>
                <w:color w:val="000000"/>
                <w:sz w:val="18"/>
                <w:szCs w:val="18"/>
                <w:lang w:val="es-MX" w:eastAsia="es-MX"/>
              </w:rPr>
              <w:t xml:space="preserve">a Familia </w:t>
            </w:r>
          </w:p>
        </w:tc>
        <w:tc>
          <w:tcPr>
            <w:tcW w:w="0" w:type="auto"/>
            <w:tcBorders>
              <w:top w:val="single" w:sz="4" w:space="0" w:color="70AD47"/>
              <w:left w:val="nil"/>
              <w:bottom w:val="nil"/>
              <w:right w:val="nil"/>
            </w:tcBorders>
            <w:shd w:val="clear" w:color="auto" w:fill="auto"/>
            <w:noWrap/>
            <w:vAlign w:val="center"/>
            <w:hideMark/>
          </w:tcPr>
          <w:p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320</w:t>
            </w:r>
          </w:p>
        </w:tc>
        <w:tc>
          <w:tcPr>
            <w:tcW w:w="0" w:type="auto"/>
            <w:tcBorders>
              <w:top w:val="single" w:sz="4" w:space="0" w:color="70AD47"/>
              <w:left w:val="nil"/>
              <w:bottom w:val="nil"/>
              <w:right w:val="nil"/>
            </w:tcBorders>
            <w:shd w:val="clear" w:color="auto" w:fill="auto"/>
            <w:noWrap/>
            <w:vAlign w:val="center"/>
            <w:hideMark/>
          </w:tcPr>
          <w:p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18.831</w:t>
            </w:r>
          </w:p>
        </w:tc>
        <w:tc>
          <w:tcPr>
            <w:tcW w:w="0" w:type="auto"/>
            <w:tcBorders>
              <w:top w:val="single" w:sz="4" w:space="0" w:color="70AD47"/>
              <w:left w:val="nil"/>
              <w:bottom w:val="nil"/>
              <w:right w:val="single" w:sz="4" w:space="0" w:color="70AD47"/>
            </w:tcBorders>
            <w:shd w:val="clear" w:color="auto" w:fill="auto"/>
            <w:noWrap/>
            <w:vAlign w:val="center"/>
            <w:hideMark/>
          </w:tcPr>
          <w:p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47.285</w:t>
            </w:r>
          </w:p>
        </w:tc>
      </w:tr>
      <w:tr w:rsidR="000B405E" w:rsidRPr="00783ECA" w:rsidTr="00783ECA">
        <w:trPr>
          <w:trHeight w:val="285"/>
          <w:jc w:val="center"/>
        </w:trPr>
        <w:tc>
          <w:tcPr>
            <w:tcW w:w="0" w:type="auto"/>
            <w:tcBorders>
              <w:top w:val="single" w:sz="4" w:space="0" w:color="70AD47"/>
              <w:left w:val="single" w:sz="4" w:space="0" w:color="70AD47"/>
              <w:bottom w:val="nil"/>
              <w:right w:val="nil"/>
            </w:tcBorders>
            <w:shd w:val="clear" w:color="auto" w:fill="auto"/>
            <w:noWrap/>
            <w:vAlign w:val="center"/>
            <w:hideMark/>
          </w:tcPr>
          <w:p w:rsidR="000B405E" w:rsidRPr="00783ECA" w:rsidRDefault="00030413" w:rsidP="000B405E">
            <w:pPr>
              <w:spacing w:after="0" w:line="240" w:lineRule="auto"/>
              <w:rPr>
                <w:rFonts w:eastAsia="Times New Roman" w:cs="Arial"/>
                <w:color w:val="000000"/>
                <w:sz w:val="18"/>
                <w:szCs w:val="18"/>
                <w:lang w:val="es-MX" w:eastAsia="es-MX"/>
              </w:rPr>
            </w:pPr>
            <w:r>
              <w:rPr>
                <w:rFonts w:eastAsia="Times New Roman" w:cs="Arial"/>
                <w:color w:val="000000"/>
                <w:sz w:val="18"/>
                <w:szCs w:val="18"/>
                <w:lang w:val="es-MX" w:eastAsia="es-MX"/>
              </w:rPr>
              <w:t xml:space="preserve"> Restablecimiento en l</w:t>
            </w:r>
            <w:r w:rsidR="00783ECA" w:rsidRPr="00783ECA">
              <w:rPr>
                <w:rFonts w:eastAsia="Times New Roman" w:cs="Arial"/>
                <w:color w:val="000000"/>
                <w:sz w:val="18"/>
                <w:szCs w:val="18"/>
                <w:lang w:val="es-MX" w:eastAsia="es-MX"/>
              </w:rPr>
              <w:t xml:space="preserve">a </w:t>
            </w:r>
            <w:r w:rsidRPr="00783ECA">
              <w:rPr>
                <w:rFonts w:eastAsia="Times New Roman" w:cs="Arial"/>
                <w:color w:val="000000"/>
                <w:sz w:val="18"/>
                <w:szCs w:val="18"/>
                <w:lang w:val="es-MX" w:eastAsia="es-MX"/>
              </w:rPr>
              <w:t>Administración</w:t>
            </w:r>
            <w:r>
              <w:rPr>
                <w:rFonts w:eastAsia="Times New Roman" w:cs="Arial"/>
                <w:color w:val="000000"/>
                <w:sz w:val="18"/>
                <w:szCs w:val="18"/>
                <w:lang w:val="es-MX" w:eastAsia="es-MX"/>
              </w:rPr>
              <w:t xml:space="preserve"> d</w:t>
            </w:r>
            <w:r w:rsidR="00783ECA" w:rsidRPr="00783ECA">
              <w:rPr>
                <w:rFonts w:eastAsia="Times New Roman" w:cs="Arial"/>
                <w:color w:val="000000"/>
                <w:sz w:val="18"/>
                <w:szCs w:val="18"/>
                <w:lang w:val="es-MX" w:eastAsia="es-MX"/>
              </w:rPr>
              <w:t xml:space="preserve">e Justicia </w:t>
            </w:r>
          </w:p>
        </w:tc>
        <w:tc>
          <w:tcPr>
            <w:tcW w:w="0" w:type="auto"/>
            <w:tcBorders>
              <w:top w:val="single" w:sz="4" w:space="0" w:color="70AD47"/>
              <w:left w:val="nil"/>
              <w:bottom w:val="nil"/>
              <w:right w:val="nil"/>
            </w:tcBorders>
            <w:shd w:val="clear" w:color="auto" w:fill="auto"/>
            <w:noWrap/>
            <w:vAlign w:val="center"/>
            <w:hideMark/>
          </w:tcPr>
          <w:p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336</w:t>
            </w:r>
          </w:p>
        </w:tc>
        <w:tc>
          <w:tcPr>
            <w:tcW w:w="0" w:type="auto"/>
            <w:tcBorders>
              <w:top w:val="single" w:sz="4" w:space="0" w:color="70AD47"/>
              <w:left w:val="nil"/>
              <w:bottom w:val="nil"/>
              <w:right w:val="nil"/>
            </w:tcBorders>
            <w:shd w:val="clear" w:color="auto" w:fill="auto"/>
            <w:noWrap/>
            <w:vAlign w:val="center"/>
            <w:hideMark/>
          </w:tcPr>
          <w:p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9.847</w:t>
            </w:r>
          </w:p>
        </w:tc>
        <w:tc>
          <w:tcPr>
            <w:tcW w:w="0" w:type="auto"/>
            <w:tcBorders>
              <w:top w:val="single" w:sz="4" w:space="0" w:color="70AD47"/>
              <w:left w:val="nil"/>
              <w:bottom w:val="nil"/>
              <w:right w:val="single" w:sz="4" w:space="0" w:color="70AD47"/>
            </w:tcBorders>
            <w:shd w:val="clear" w:color="auto" w:fill="auto"/>
            <w:noWrap/>
            <w:vAlign w:val="center"/>
            <w:hideMark/>
          </w:tcPr>
          <w:p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44.291</w:t>
            </w:r>
          </w:p>
        </w:tc>
      </w:tr>
      <w:tr w:rsidR="000B405E" w:rsidRPr="00783ECA" w:rsidTr="00783ECA">
        <w:trPr>
          <w:trHeight w:val="285"/>
          <w:jc w:val="center"/>
        </w:trPr>
        <w:tc>
          <w:tcPr>
            <w:tcW w:w="0" w:type="auto"/>
            <w:tcBorders>
              <w:top w:val="single" w:sz="4" w:space="0" w:color="70AD47"/>
              <w:left w:val="single" w:sz="4" w:space="0" w:color="70AD47"/>
              <w:bottom w:val="nil"/>
              <w:right w:val="nil"/>
            </w:tcBorders>
            <w:shd w:val="clear" w:color="auto" w:fill="auto"/>
            <w:noWrap/>
            <w:vAlign w:val="center"/>
            <w:hideMark/>
          </w:tcPr>
          <w:p w:rsidR="000B405E" w:rsidRPr="00783ECA" w:rsidRDefault="00783ECA" w:rsidP="000B405E">
            <w:pPr>
              <w:spacing w:after="0" w:line="240" w:lineRule="auto"/>
              <w:rPr>
                <w:rFonts w:eastAsia="Times New Roman" w:cs="Arial"/>
                <w:color w:val="000000"/>
                <w:sz w:val="18"/>
                <w:szCs w:val="18"/>
                <w:lang w:val="es-MX" w:eastAsia="es-MX"/>
              </w:rPr>
            </w:pPr>
            <w:r w:rsidRPr="00783ECA">
              <w:rPr>
                <w:rFonts w:eastAsia="Times New Roman" w:cs="Arial"/>
                <w:color w:val="000000"/>
                <w:sz w:val="18"/>
                <w:szCs w:val="18"/>
                <w:lang w:val="es-MX" w:eastAsia="es-MX"/>
              </w:rPr>
              <w:t xml:space="preserve"> Ubicación Inicial </w:t>
            </w:r>
          </w:p>
        </w:tc>
        <w:tc>
          <w:tcPr>
            <w:tcW w:w="0" w:type="auto"/>
            <w:tcBorders>
              <w:top w:val="single" w:sz="4" w:space="0" w:color="70AD47"/>
              <w:left w:val="nil"/>
              <w:bottom w:val="nil"/>
              <w:right w:val="nil"/>
            </w:tcBorders>
            <w:shd w:val="clear" w:color="auto" w:fill="auto"/>
            <w:noWrap/>
            <w:vAlign w:val="center"/>
            <w:hideMark/>
          </w:tcPr>
          <w:p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17</w:t>
            </w:r>
          </w:p>
        </w:tc>
        <w:tc>
          <w:tcPr>
            <w:tcW w:w="0" w:type="auto"/>
            <w:tcBorders>
              <w:top w:val="single" w:sz="4" w:space="0" w:color="70AD47"/>
              <w:left w:val="nil"/>
              <w:bottom w:val="nil"/>
              <w:right w:val="nil"/>
            </w:tcBorders>
            <w:shd w:val="clear" w:color="auto" w:fill="auto"/>
            <w:noWrap/>
            <w:vAlign w:val="center"/>
            <w:hideMark/>
          </w:tcPr>
          <w:p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580</w:t>
            </w:r>
          </w:p>
        </w:tc>
        <w:tc>
          <w:tcPr>
            <w:tcW w:w="0" w:type="auto"/>
            <w:tcBorders>
              <w:top w:val="single" w:sz="4" w:space="0" w:color="70AD47"/>
              <w:left w:val="nil"/>
              <w:bottom w:val="nil"/>
              <w:right w:val="single" w:sz="4" w:space="0" w:color="70AD47"/>
            </w:tcBorders>
            <w:shd w:val="clear" w:color="auto" w:fill="auto"/>
            <w:noWrap/>
            <w:vAlign w:val="center"/>
            <w:hideMark/>
          </w:tcPr>
          <w:p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14.927</w:t>
            </w:r>
          </w:p>
        </w:tc>
      </w:tr>
      <w:tr w:rsidR="000B405E" w:rsidRPr="00783ECA" w:rsidTr="00783ECA">
        <w:trPr>
          <w:trHeight w:val="285"/>
          <w:jc w:val="center"/>
        </w:trPr>
        <w:tc>
          <w:tcPr>
            <w:tcW w:w="0" w:type="auto"/>
            <w:tcBorders>
              <w:top w:val="single" w:sz="4" w:space="0" w:color="70AD47"/>
              <w:left w:val="single" w:sz="4" w:space="0" w:color="70AD47"/>
              <w:bottom w:val="nil"/>
              <w:right w:val="nil"/>
            </w:tcBorders>
            <w:shd w:val="clear" w:color="auto" w:fill="auto"/>
            <w:noWrap/>
            <w:vAlign w:val="center"/>
            <w:hideMark/>
          </w:tcPr>
          <w:p w:rsidR="000B405E" w:rsidRPr="00783ECA" w:rsidRDefault="00783ECA" w:rsidP="000B405E">
            <w:pPr>
              <w:spacing w:after="0" w:line="240" w:lineRule="auto"/>
              <w:rPr>
                <w:rFonts w:eastAsia="Times New Roman" w:cs="Arial"/>
                <w:color w:val="000000"/>
                <w:sz w:val="18"/>
                <w:szCs w:val="18"/>
                <w:lang w:val="es-MX" w:eastAsia="es-MX"/>
              </w:rPr>
            </w:pPr>
            <w:r w:rsidRPr="00783ECA">
              <w:rPr>
                <w:rFonts w:eastAsia="Times New Roman" w:cs="Arial"/>
                <w:color w:val="000000"/>
                <w:sz w:val="18"/>
                <w:szCs w:val="18"/>
                <w:lang w:val="es-MX" w:eastAsia="es-MX"/>
              </w:rPr>
              <w:t xml:space="preserve"> Unidades </w:t>
            </w:r>
            <w:r w:rsidR="00030413" w:rsidRPr="00783ECA">
              <w:rPr>
                <w:rFonts w:eastAsia="Times New Roman" w:cs="Arial"/>
                <w:color w:val="000000"/>
                <w:sz w:val="18"/>
                <w:szCs w:val="18"/>
                <w:lang w:val="es-MX" w:eastAsia="es-MX"/>
              </w:rPr>
              <w:t>Móviles</w:t>
            </w:r>
            <w:r w:rsidRPr="00783ECA">
              <w:rPr>
                <w:rFonts w:eastAsia="Times New Roman" w:cs="Arial"/>
                <w:color w:val="000000"/>
                <w:sz w:val="18"/>
                <w:szCs w:val="18"/>
                <w:lang w:val="es-MX" w:eastAsia="es-MX"/>
              </w:rPr>
              <w:t xml:space="preserve"> </w:t>
            </w:r>
          </w:p>
        </w:tc>
        <w:tc>
          <w:tcPr>
            <w:tcW w:w="0" w:type="auto"/>
            <w:tcBorders>
              <w:top w:val="single" w:sz="4" w:space="0" w:color="70AD47"/>
              <w:left w:val="nil"/>
              <w:bottom w:val="nil"/>
              <w:right w:val="nil"/>
            </w:tcBorders>
            <w:shd w:val="clear" w:color="auto" w:fill="auto"/>
            <w:noWrap/>
            <w:vAlign w:val="center"/>
            <w:hideMark/>
          </w:tcPr>
          <w:p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w:t>
            </w:r>
          </w:p>
        </w:tc>
        <w:tc>
          <w:tcPr>
            <w:tcW w:w="0" w:type="auto"/>
            <w:tcBorders>
              <w:top w:val="single" w:sz="4" w:space="0" w:color="70AD47"/>
              <w:left w:val="nil"/>
              <w:bottom w:val="nil"/>
              <w:right w:val="nil"/>
            </w:tcBorders>
            <w:shd w:val="clear" w:color="auto" w:fill="auto"/>
            <w:noWrap/>
            <w:vAlign w:val="center"/>
            <w:hideMark/>
          </w:tcPr>
          <w:p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196.119</w:t>
            </w:r>
          </w:p>
        </w:tc>
        <w:tc>
          <w:tcPr>
            <w:tcW w:w="0" w:type="auto"/>
            <w:tcBorders>
              <w:top w:val="single" w:sz="4" w:space="0" w:color="70AD47"/>
              <w:left w:val="nil"/>
              <w:bottom w:val="nil"/>
              <w:right w:val="single" w:sz="4" w:space="0" w:color="70AD47"/>
            </w:tcBorders>
            <w:shd w:val="clear" w:color="auto" w:fill="auto"/>
            <w:noWrap/>
            <w:vAlign w:val="center"/>
            <w:hideMark/>
          </w:tcPr>
          <w:p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196.119</w:t>
            </w:r>
          </w:p>
        </w:tc>
      </w:tr>
      <w:tr w:rsidR="000B405E" w:rsidRPr="00783ECA" w:rsidTr="00783ECA">
        <w:trPr>
          <w:trHeight w:val="285"/>
          <w:jc w:val="center"/>
        </w:trPr>
        <w:tc>
          <w:tcPr>
            <w:tcW w:w="0" w:type="auto"/>
            <w:tcBorders>
              <w:top w:val="single" w:sz="4" w:space="0" w:color="70AD47"/>
              <w:left w:val="single" w:sz="4" w:space="0" w:color="70AD47"/>
              <w:bottom w:val="nil"/>
              <w:right w:val="nil"/>
            </w:tcBorders>
            <w:shd w:val="clear" w:color="auto" w:fill="auto"/>
            <w:noWrap/>
            <w:vAlign w:val="center"/>
            <w:hideMark/>
          </w:tcPr>
          <w:p w:rsidR="000B405E" w:rsidRPr="00783ECA" w:rsidRDefault="00783ECA" w:rsidP="000B405E">
            <w:pPr>
              <w:spacing w:after="0" w:line="240" w:lineRule="auto"/>
              <w:rPr>
                <w:rFonts w:eastAsia="Times New Roman" w:cs="Arial"/>
                <w:color w:val="000000"/>
                <w:sz w:val="18"/>
                <w:szCs w:val="18"/>
                <w:lang w:val="es-MX" w:eastAsia="es-MX"/>
              </w:rPr>
            </w:pPr>
            <w:r w:rsidRPr="00783ECA">
              <w:rPr>
                <w:rFonts w:eastAsia="Times New Roman" w:cs="Arial"/>
                <w:color w:val="000000"/>
                <w:sz w:val="18"/>
                <w:szCs w:val="18"/>
                <w:lang w:val="es-MX" w:eastAsia="es-MX"/>
              </w:rPr>
              <w:t xml:space="preserve"> </w:t>
            </w:r>
            <w:r w:rsidR="00030413" w:rsidRPr="00783ECA">
              <w:rPr>
                <w:rFonts w:eastAsia="Times New Roman" w:cs="Arial"/>
                <w:color w:val="000000"/>
                <w:sz w:val="18"/>
                <w:szCs w:val="18"/>
                <w:lang w:val="es-MX" w:eastAsia="es-MX"/>
              </w:rPr>
              <w:t>Víctima</w:t>
            </w:r>
            <w:r w:rsidR="00030413">
              <w:rPr>
                <w:rFonts w:eastAsia="Times New Roman" w:cs="Arial"/>
                <w:color w:val="000000"/>
                <w:sz w:val="18"/>
                <w:szCs w:val="18"/>
                <w:lang w:val="es-MX" w:eastAsia="es-MX"/>
              </w:rPr>
              <w:t xml:space="preserve"> d</w:t>
            </w:r>
            <w:r w:rsidRPr="00783ECA">
              <w:rPr>
                <w:rFonts w:eastAsia="Times New Roman" w:cs="Arial"/>
                <w:color w:val="000000"/>
                <w:sz w:val="18"/>
                <w:szCs w:val="18"/>
                <w:lang w:val="es-MX" w:eastAsia="es-MX"/>
              </w:rPr>
              <w:t xml:space="preserve">e Conflicto Armado </w:t>
            </w:r>
          </w:p>
        </w:tc>
        <w:tc>
          <w:tcPr>
            <w:tcW w:w="0" w:type="auto"/>
            <w:tcBorders>
              <w:top w:val="single" w:sz="4" w:space="0" w:color="70AD47"/>
              <w:left w:val="nil"/>
              <w:bottom w:val="nil"/>
              <w:right w:val="nil"/>
            </w:tcBorders>
            <w:shd w:val="clear" w:color="auto" w:fill="auto"/>
            <w:noWrap/>
            <w:vAlign w:val="center"/>
            <w:hideMark/>
          </w:tcPr>
          <w:p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1.612</w:t>
            </w:r>
          </w:p>
        </w:tc>
        <w:tc>
          <w:tcPr>
            <w:tcW w:w="0" w:type="auto"/>
            <w:tcBorders>
              <w:top w:val="single" w:sz="4" w:space="0" w:color="70AD47"/>
              <w:left w:val="nil"/>
              <w:bottom w:val="nil"/>
              <w:right w:val="nil"/>
            </w:tcBorders>
            <w:shd w:val="clear" w:color="auto" w:fill="auto"/>
            <w:noWrap/>
            <w:vAlign w:val="center"/>
            <w:hideMark/>
          </w:tcPr>
          <w:p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1.826</w:t>
            </w:r>
          </w:p>
        </w:tc>
        <w:tc>
          <w:tcPr>
            <w:tcW w:w="0" w:type="auto"/>
            <w:tcBorders>
              <w:top w:val="single" w:sz="4" w:space="0" w:color="70AD47"/>
              <w:left w:val="nil"/>
              <w:bottom w:val="nil"/>
              <w:right w:val="single" w:sz="4" w:space="0" w:color="70AD47"/>
            </w:tcBorders>
            <w:shd w:val="clear" w:color="auto" w:fill="auto"/>
            <w:noWrap/>
            <w:vAlign w:val="center"/>
            <w:hideMark/>
          </w:tcPr>
          <w:p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2.246</w:t>
            </w:r>
          </w:p>
        </w:tc>
      </w:tr>
      <w:tr w:rsidR="000B405E" w:rsidRPr="00783ECA" w:rsidTr="00783ECA">
        <w:trPr>
          <w:trHeight w:val="285"/>
          <w:jc w:val="center"/>
        </w:trPr>
        <w:tc>
          <w:tcPr>
            <w:tcW w:w="0" w:type="auto"/>
            <w:tcBorders>
              <w:top w:val="single" w:sz="4" w:space="0" w:color="70AD47"/>
              <w:left w:val="single" w:sz="4" w:space="0" w:color="70AD47"/>
              <w:bottom w:val="nil"/>
              <w:right w:val="nil"/>
            </w:tcBorders>
            <w:shd w:val="clear" w:color="auto" w:fill="auto"/>
            <w:noWrap/>
            <w:vAlign w:val="center"/>
            <w:hideMark/>
          </w:tcPr>
          <w:p w:rsidR="000B405E" w:rsidRPr="00783ECA" w:rsidRDefault="000B405E" w:rsidP="000B405E">
            <w:pPr>
              <w:spacing w:after="0" w:line="240" w:lineRule="auto"/>
              <w:rPr>
                <w:rFonts w:eastAsia="Times New Roman" w:cs="Arial"/>
                <w:color w:val="000000"/>
                <w:sz w:val="18"/>
                <w:szCs w:val="18"/>
                <w:lang w:val="es-MX" w:eastAsia="es-MX"/>
              </w:rPr>
            </w:pPr>
            <w:r w:rsidRPr="00783ECA">
              <w:rPr>
                <w:rFonts w:eastAsia="Times New Roman" w:cs="Arial"/>
                <w:color w:val="000000"/>
                <w:sz w:val="18"/>
                <w:szCs w:val="18"/>
                <w:lang w:val="es-MX" w:eastAsia="es-MX"/>
              </w:rPr>
              <w:t xml:space="preserve"> </w:t>
            </w:r>
            <w:r w:rsidR="00030413">
              <w:rPr>
                <w:rFonts w:eastAsia="Times New Roman" w:cs="Arial"/>
                <w:color w:val="000000"/>
                <w:sz w:val="18"/>
                <w:szCs w:val="18"/>
                <w:lang w:val="es-MX" w:eastAsia="es-MX"/>
              </w:rPr>
              <w:t>Vulnerabilidad o</w:t>
            </w:r>
            <w:r w:rsidR="00030413" w:rsidRPr="00783ECA">
              <w:rPr>
                <w:rFonts w:eastAsia="Times New Roman" w:cs="Arial"/>
                <w:color w:val="000000"/>
                <w:sz w:val="18"/>
                <w:szCs w:val="18"/>
                <w:lang w:val="es-MX" w:eastAsia="es-MX"/>
              </w:rPr>
              <w:t xml:space="preserve"> Adoptabilidad </w:t>
            </w:r>
          </w:p>
        </w:tc>
        <w:tc>
          <w:tcPr>
            <w:tcW w:w="0" w:type="auto"/>
            <w:tcBorders>
              <w:top w:val="single" w:sz="4" w:space="0" w:color="70AD47"/>
              <w:left w:val="nil"/>
              <w:bottom w:val="nil"/>
              <w:right w:val="nil"/>
            </w:tcBorders>
            <w:shd w:val="clear" w:color="auto" w:fill="auto"/>
            <w:noWrap/>
            <w:vAlign w:val="center"/>
            <w:hideMark/>
          </w:tcPr>
          <w:p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13.785</w:t>
            </w:r>
          </w:p>
        </w:tc>
        <w:tc>
          <w:tcPr>
            <w:tcW w:w="0" w:type="auto"/>
            <w:tcBorders>
              <w:top w:val="single" w:sz="4" w:space="0" w:color="70AD47"/>
              <w:left w:val="nil"/>
              <w:bottom w:val="nil"/>
              <w:right w:val="nil"/>
            </w:tcBorders>
            <w:shd w:val="clear" w:color="auto" w:fill="auto"/>
            <w:noWrap/>
            <w:vAlign w:val="center"/>
            <w:hideMark/>
          </w:tcPr>
          <w:p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36.411</w:t>
            </w:r>
          </w:p>
        </w:tc>
        <w:tc>
          <w:tcPr>
            <w:tcW w:w="0" w:type="auto"/>
            <w:tcBorders>
              <w:top w:val="single" w:sz="4" w:space="0" w:color="70AD47"/>
              <w:left w:val="nil"/>
              <w:bottom w:val="nil"/>
              <w:right w:val="single" w:sz="4" w:space="0" w:color="70AD47"/>
            </w:tcBorders>
            <w:shd w:val="clear" w:color="auto" w:fill="auto"/>
            <w:noWrap/>
            <w:vAlign w:val="center"/>
            <w:hideMark/>
          </w:tcPr>
          <w:p w:rsidR="000B405E" w:rsidRPr="00783ECA" w:rsidRDefault="000B405E" w:rsidP="000B405E">
            <w:pPr>
              <w:spacing w:after="0" w:line="240" w:lineRule="auto"/>
              <w:jc w:val="center"/>
              <w:rPr>
                <w:rFonts w:eastAsia="Times New Roman" w:cs="Arial"/>
                <w:color w:val="000000"/>
                <w:sz w:val="18"/>
                <w:szCs w:val="18"/>
                <w:lang w:val="es-MX" w:eastAsia="es-MX"/>
              </w:rPr>
            </w:pPr>
            <w:r w:rsidRPr="00783ECA">
              <w:rPr>
                <w:rFonts w:eastAsia="Times New Roman" w:cs="Arial"/>
                <w:color w:val="000000"/>
                <w:sz w:val="18"/>
                <w:szCs w:val="18"/>
                <w:lang w:val="es-MX" w:eastAsia="es-MX"/>
              </w:rPr>
              <w:t>56.162</w:t>
            </w:r>
          </w:p>
        </w:tc>
      </w:tr>
      <w:tr w:rsidR="000B405E" w:rsidRPr="00783ECA" w:rsidTr="00030413">
        <w:trPr>
          <w:trHeight w:val="300"/>
          <w:jc w:val="center"/>
        </w:trPr>
        <w:tc>
          <w:tcPr>
            <w:tcW w:w="0" w:type="auto"/>
            <w:tcBorders>
              <w:top w:val="single" w:sz="4" w:space="0" w:color="70AD47"/>
              <w:left w:val="single" w:sz="4" w:space="0" w:color="70AD47"/>
              <w:bottom w:val="single" w:sz="4" w:space="0" w:color="70AD47"/>
              <w:right w:val="nil"/>
            </w:tcBorders>
            <w:shd w:val="clear" w:color="auto" w:fill="E2EFDA"/>
            <w:noWrap/>
            <w:vAlign w:val="center"/>
            <w:hideMark/>
          </w:tcPr>
          <w:p w:rsidR="000B405E" w:rsidRPr="00783ECA" w:rsidRDefault="000B405E" w:rsidP="000B405E">
            <w:pPr>
              <w:spacing w:after="0" w:line="240" w:lineRule="auto"/>
              <w:rPr>
                <w:rFonts w:eastAsia="Times New Roman" w:cs="Arial"/>
                <w:b/>
                <w:bCs/>
                <w:color w:val="000000"/>
                <w:sz w:val="18"/>
                <w:szCs w:val="18"/>
                <w:lang w:val="es-MX" w:eastAsia="es-MX"/>
              </w:rPr>
            </w:pPr>
            <w:r w:rsidRPr="00783ECA">
              <w:rPr>
                <w:rFonts w:eastAsia="Times New Roman" w:cs="Arial"/>
                <w:b/>
                <w:bCs/>
                <w:color w:val="000000"/>
                <w:sz w:val="18"/>
                <w:szCs w:val="18"/>
                <w:lang w:val="es-MX" w:eastAsia="es-MX"/>
              </w:rPr>
              <w:t xml:space="preserve"> Total general </w:t>
            </w:r>
          </w:p>
        </w:tc>
        <w:tc>
          <w:tcPr>
            <w:tcW w:w="0" w:type="auto"/>
            <w:tcBorders>
              <w:top w:val="single" w:sz="4" w:space="0" w:color="70AD47"/>
              <w:left w:val="nil"/>
              <w:bottom w:val="single" w:sz="4" w:space="0" w:color="70AD47"/>
              <w:right w:val="nil"/>
            </w:tcBorders>
            <w:shd w:val="clear" w:color="auto" w:fill="E2EFDA"/>
            <w:noWrap/>
            <w:vAlign w:val="center"/>
            <w:hideMark/>
          </w:tcPr>
          <w:p w:rsidR="000B405E" w:rsidRPr="00783ECA" w:rsidRDefault="000B405E" w:rsidP="000B405E">
            <w:pPr>
              <w:spacing w:after="0" w:line="240" w:lineRule="auto"/>
              <w:jc w:val="center"/>
              <w:rPr>
                <w:rFonts w:eastAsia="Times New Roman" w:cs="Arial"/>
                <w:b/>
                <w:bCs/>
                <w:color w:val="000000"/>
                <w:sz w:val="18"/>
                <w:szCs w:val="18"/>
                <w:lang w:val="es-MX" w:eastAsia="es-MX"/>
              </w:rPr>
            </w:pPr>
            <w:r w:rsidRPr="00783ECA">
              <w:rPr>
                <w:rFonts w:eastAsia="Times New Roman" w:cs="Arial"/>
                <w:b/>
                <w:bCs/>
                <w:color w:val="000000"/>
                <w:sz w:val="18"/>
                <w:szCs w:val="18"/>
                <w:lang w:val="es-MX" w:eastAsia="es-MX"/>
              </w:rPr>
              <w:t>16.070</w:t>
            </w:r>
          </w:p>
        </w:tc>
        <w:tc>
          <w:tcPr>
            <w:tcW w:w="0" w:type="auto"/>
            <w:tcBorders>
              <w:top w:val="single" w:sz="4" w:space="0" w:color="70AD47"/>
              <w:left w:val="nil"/>
              <w:bottom w:val="single" w:sz="4" w:space="0" w:color="70AD47"/>
              <w:right w:val="nil"/>
            </w:tcBorders>
            <w:shd w:val="clear" w:color="auto" w:fill="E2EFDA"/>
            <w:noWrap/>
            <w:vAlign w:val="center"/>
            <w:hideMark/>
          </w:tcPr>
          <w:p w:rsidR="000B405E" w:rsidRPr="00783ECA" w:rsidRDefault="000B405E" w:rsidP="000B405E">
            <w:pPr>
              <w:spacing w:after="0" w:line="240" w:lineRule="auto"/>
              <w:jc w:val="center"/>
              <w:rPr>
                <w:rFonts w:eastAsia="Times New Roman" w:cs="Arial"/>
                <w:b/>
                <w:bCs/>
                <w:color w:val="000000"/>
                <w:sz w:val="18"/>
                <w:szCs w:val="18"/>
                <w:lang w:val="es-MX" w:eastAsia="es-MX"/>
              </w:rPr>
            </w:pPr>
            <w:r w:rsidRPr="00783ECA">
              <w:rPr>
                <w:rFonts w:eastAsia="Times New Roman" w:cs="Arial"/>
                <w:b/>
                <w:bCs/>
                <w:color w:val="000000"/>
                <w:sz w:val="18"/>
                <w:szCs w:val="18"/>
                <w:lang w:val="es-MX" w:eastAsia="es-MX"/>
              </w:rPr>
              <w:t>263.614</w:t>
            </w:r>
          </w:p>
        </w:tc>
        <w:tc>
          <w:tcPr>
            <w:tcW w:w="0" w:type="auto"/>
            <w:tcBorders>
              <w:top w:val="single" w:sz="4" w:space="0" w:color="70AD47"/>
              <w:left w:val="nil"/>
              <w:bottom w:val="single" w:sz="4" w:space="0" w:color="70AD47"/>
              <w:right w:val="single" w:sz="4" w:space="0" w:color="70AD47"/>
            </w:tcBorders>
            <w:shd w:val="clear" w:color="auto" w:fill="E2EFDA"/>
            <w:noWrap/>
            <w:vAlign w:val="center"/>
            <w:hideMark/>
          </w:tcPr>
          <w:p w:rsidR="000B405E" w:rsidRPr="00783ECA" w:rsidRDefault="000B405E" w:rsidP="000B405E">
            <w:pPr>
              <w:spacing w:after="0" w:line="240" w:lineRule="auto"/>
              <w:jc w:val="center"/>
              <w:rPr>
                <w:rFonts w:eastAsia="Times New Roman" w:cs="Arial"/>
                <w:b/>
                <w:bCs/>
                <w:color w:val="000000"/>
                <w:sz w:val="18"/>
                <w:szCs w:val="18"/>
                <w:lang w:val="es-MX" w:eastAsia="es-MX"/>
              </w:rPr>
            </w:pPr>
            <w:r w:rsidRPr="00783ECA">
              <w:rPr>
                <w:rFonts w:eastAsia="Times New Roman" w:cs="Arial"/>
                <w:b/>
                <w:bCs/>
                <w:color w:val="000000"/>
                <w:sz w:val="18"/>
                <w:szCs w:val="18"/>
                <w:lang w:val="es-MX" w:eastAsia="es-MX"/>
              </w:rPr>
              <w:t>361.030</w:t>
            </w:r>
          </w:p>
        </w:tc>
      </w:tr>
    </w:tbl>
    <w:p w:rsidR="000B405E" w:rsidRDefault="000B405E" w:rsidP="004D09B2">
      <w:pPr>
        <w:jc w:val="center"/>
        <w:rPr>
          <w:rFonts w:cs="Arial"/>
          <w:sz w:val="16"/>
        </w:rPr>
      </w:pPr>
      <w:r w:rsidRPr="007608C2">
        <w:rPr>
          <w:rFonts w:cs="Arial"/>
          <w:sz w:val="16"/>
        </w:rPr>
        <w:t>Fuente: Metas Sociales y Financieras, corte preliminar 31 de diciembre de 2017</w:t>
      </w:r>
    </w:p>
    <w:p w:rsidR="00030413" w:rsidRPr="007608C2" w:rsidRDefault="00030413" w:rsidP="00030413">
      <w:pPr>
        <w:spacing w:after="0"/>
        <w:rPr>
          <w:rFonts w:cs="Arial"/>
          <w:sz w:val="16"/>
        </w:rPr>
      </w:pPr>
    </w:p>
    <w:p w:rsidR="008819AE" w:rsidRDefault="008819AE" w:rsidP="000D0DF1">
      <w:pPr>
        <w:pStyle w:val="Ttulo2"/>
        <w:numPr>
          <w:ilvl w:val="2"/>
          <w:numId w:val="160"/>
        </w:numPr>
        <w:rPr>
          <w:rFonts w:cs="Arial"/>
          <w:b/>
        </w:rPr>
      </w:pPr>
      <w:bookmarkStart w:id="83" w:name="_Toc503465516"/>
      <w:bookmarkStart w:id="84" w:name="_Toc505183065"/>
      <w:r w:rsidRPr="007608C2">
        <w:rPr>
          <w:rFonts w:cs="Arial"/>
          <w:b/>
        </w:rPr>
        <w:t>Marco Normativo</w:t>
      </w:r>
      <w:bookmarkEnd w:id="83"/>
      <w:bookmarkEnd w:id="84"/>
    </w:p>
    <w:p w:rsidR="00030413" w:rsidRPr="00030413" w:rsidRDefault="00030413" w:rsidP="00030413">
      <w:pPr>
        <w:spacing w:after="0"/>
      </w:pPr>
    </w:p>
    <w:p w:rsidR="008819AE" w:rsidRPr="007608C2" w:rsidRDefault="008819AE" w:rsidP="008819AE">
      <w:pPr>
        <w:jc w:val="both"/>
        <w:rPr>
          <w:rFonts w:cs="Arial"/>
        </w:rPr>
      </w:pPr>
      <w:r w:rsidRPr="007608C2">
        <w:rPr>
          <w:rFonts w:cs="Arial"/>
        </w:rPr>
        <w:t>En cumplimiento de las convenciones suscritas por Colombia, en materia de protección de infancia y adolescencia</w:t>
      </w:r>
      <w:r w:rsidRPr="007608C2">
        <w:rPr>
          <w:rFonts w:cs="Arial"/>
          <w:vertAlign w:val="superscript"/>
        </w:rPr>
        <w:footnoteReference w:id="8"/>
      </w:r>
      <w:r w:rsidRPr="007608C2">
        <w:rPr>
          <w:rFonts w:cs="Arial"/>
          <w:vertAlign w:val="superscript"/>
        </w:rPr>
        <w:t xml:space="preserve"> </w:t>
      </w:r>
      <w:r w:rsidRPr="007608C2">
        <w:rPr>
          <w:rFonts w:cs="Arial"/>
          <w:vertAlign w:val="superscript"/>
        </w:rPr>
        <w:footnoteReference w:id="9"/>
      </w:r>
      <w:r w:rsidRPr="007608C2">
        <w:rPr>
          <w:rFonts w:cs="Arial"/>
        </w:rPr>
        <w:t>, así como también de las resoluciones de la Organización de Naciones Unidas</w:t>
      </w:r>
      <w:r w:rsidRPr="007608C2">
        <w:rPr>
          <w:rFonts w:cs="Arial"/>
          <w:vertAlign w:val="superscript"/>
        </w:rPr>
        <w:footnoteReference w:id="10"/>
      </w:r>
      <w:r w:rsidRPr="007608C2">
        <w:rPr>
          <w:rFonts w:cs="Arial"/>
        </w:rPr>
        <w:t>, las decisiones judiciales de tribunales internacionales y de la legislación nacional</w:t>
      </w:r>
      <w:r w:rsidRPr="007608C2">
        <w:rPr>
          <w:rFonts w:cs="Arial"/>
          <w:vertAlign w:val="superscript"/>
        </w:rPr>
        <w:footnoteReference w:id="11"/>
      </w:r>
      <w:r w:rsidRPr="007608C2">
        <w:rPr>
          <w:rFonts w:cs="Arial"/>
        </w:rPr>
        <w:t>, la Dirección de Protección del Instituto Colombiano de Bienestar Familiar desarrolla acciones tendientes al restablecimiento de derechos de niños, niñas y adolescentes.</w:t>
      </w:r>
    </w:p>
    <w:p w:rsidR="008819AE" w:rsidRPr="007608C2" w:rsidRDefault="008819AE" w:rsidP="008819AE">
      <w:pPr>
        <w:jc w:val="both"/>
        <w:rPr>
          <w:rFonts w:cs="Arial"/>
        </w:rPr>
      </w:pPr>
      <w:r w:rsidRPr="007608C2">
        <w:rPr>
          <w:rFonts w:cs="Arial"/>
        </w:rPr>
        <w:t>La Dirección de Protección participa activamente en el diseño e implementación de la política institucional para la atención especializada de niños, niñas y adolescentes, cuyos derechos se han visto vulnerados por diferentes motivos, como el maltrato, el abandono, la negligencia, la explotación sexual y comercial, la violencia sexual, el trabajo infantil, el reclutamiento forzado, el consumo de sustancias (SPA), entre otros, teniendo en cuenta un enfoque diferencial en materia de género, diversidad sexual, etnia y discapacidad.</w:t>
      </w:r>
    </w:p>
    <w:p w:rsidR="008819AE" w:rsidRPr="007608C2" w:rsidRDefault="008819AE" w:rsidP="000D0DF1">
      <w:pPr>
        <w:keepNext/>
        <w:keepLines/>
        <w:numPr>
          <w:ilvl w:val="2"/>
          <w:numId w:val="160"/>
        </w:numPr>
        <w:spacing w:before="40" w:after="0"/>
        <w:outlineLvl w:val="1"/>
        <w:rPr>
          <w:rFonts w:eastAsiaTheme="majorEastAsia" w:cs="Arial"/>
          <w:b/>
          <w:szCs w:val="26"/>
        </w:rPr>
      </w:pPr>
      <w:bookmarkStart w:id="85" w:name="_Toc473581428"/>
      <w:bookmarkStart w:id="86" w:name="_Toc503465517"/>
      <w:bookmarkStart w:id="87" w:name="_Toc505183066"/>
      <w:r w:rsidRPr="007608C2">
        <w:rPr>
          <w:rFonts w:eastAsiaTheme="majorEastAsia" w:cs="Arial"/>
          <w:b/>
          <w:szCs w:val="26"/>
        </w:rPr>
        <w:t>Proceso Administrativo de Restablecimiento de Derechos – PARD</w:t>
      </w:r>
      <w:bookmarkEnd w:id="85"/>
      <w:bookmarkEnd w:id="86"/>
      <w:bookmarkEnd w:id="87"/>
      <w:r w:rsidRPr="007608C2">
        <w:rPr>
          <w:rFonts w:eastAsiaTheme="majorEastAsia" w:cs="Arial"/>
          <w:b/>
          <w:szCs w:val="26"/>
        </w:rPr>
        <w:t xml:space="preserve"> </w:t>
      </w:r>
    </w:p>
    <w:p w:rsidR="008819AE" w:rsidRPr="007608C2" w:rsidRDefault="008819AE" w:rsidP="008819AE">
      <w:pPr>
        <w:jc w:val="both"/>
        <w:rPr>
          <w:rFonts w:cs="Arial"/>
        </w:rPr>
      </w:pPr>
      <w:r w:rsidRPr="007608C2">
        <w:rPr>
          <w:rFonts w:cs="Arial"/>
        </w:rPr>
        <w:t xml:space="preserve">El Proceso Administrativo de Restablecimiento de Derechos es el conjunto de actuaciones administrativas que la autoridad debe desarrollar para la restauración de la dignidad e integridad de los niños, niñas y adolescentes como sujetos de derechos, y de su capacidad para disfrutar </w:t>
      </w:r>
      <w:r w:rsidRPr="007608C2">
        <w:rPr>
          <w:rFonts w:cs="Arial"/>
        </w:rPr>
        <w:lastRenderedPageBreak/>
        <w:t>efectivamente de los derechos que le han sido vulnerados, dentro del contexto de la protección integral y los principios de prevalencia, interés superior, perspectiva de género, exigibilidad de derechos, enfoque diferencial y corresponsabilidad de la familia, la sociedad y el Estado.</w:t>
      </w:r>
    </w:p>
    <w:p w:rsidR="008819AE" w:rsidRPr="007608C2" w:rsidRDefault="008819AE" w:rsidP="008819AE">
      <w:pPr>
        <w:rPr>
          <w:rFonts w:cs="Arial"/>
          <w:b/>
        </w:rPr>
      </w:pPr>
      <w:r w:rsidRPr="007608C2">
        <w:rPr>
          <w:rFonts w:cs="Arial"/>
          <w:b/>
        </w:rPr>
        <w:t>Fortalecimiento del Proceso Administrativo de Restablecimiento de Derechos.</w:t>
      </w:r>
    </w:p>
    <w:p w:rsidR="008819AE" w:rsidRPr="007608C2" w:rsidRDefault="008819AE" w:rsidP="008819AE">
      <w:pPr>
        <w:jc w:val="both"/>
        <w:rPr>
          <w:rFonts w:cs="Arial"/>
          <w:b/>
        </w:rPr>
      </w:pPr>
      <w:r w:rsidRPr="007608C2">
        <w:rPr>
          <w:rFonts w:cs="Arial"/>
          <w:b/>
        </w:rPr>
        <w:t xml:space="preserve">Virtualización y codificación de las guías del rol de los profesionales de las defensorías de familia dentro del PARD. </w:t>
      </w:r>
    </w:p>
    <w:p w:rsidR="008819AE" w:rsidRPr="007608C2" w:rsidRDefault="008819AE" w:rsidP="008819AE">
      <w:pPr>
        <w:jc w:val="both"/>
        <w:rPr>
          <w:rFonts w:cs="Arial"/>
        </w:rPr>
      </w:pPr>
      <w:r w:rsidRPr="007608C2">
        <w:rPr>
          <w:rFonts w:cs="Arial"/>
        </w:rPr>
        <w:t>La Coordinación de Autoridades Administrativas en articulación con la Dirección de Gestión Humana, inició una estrategia a través del diseño de módulos de apoyo virtuales, con los cuales, los profesionales adquieren orientaciones técnicas que le permiten desarrollar sus funciones adecuadamente, evitando improvisaciones, valoraciones erradas, revictimización de los menores de edad e investigaciones disciplinarias; así mismo, se busca unificar criterios en torno al rol de cada uno de los profesionales que integran las Defensorías de Familia, en el marco del Proceso Administrativo de Restablecimiento de Derechos -PARD-.</w:t>
      </w:r>
    </w:p>
    <w:p w:rsidR="008819AE" w:rsidRPr="007608C2" w:rsidRDefault="008819AE" w:rsidP="008819AE">
      <w:pPr>
        <w:jc w:val="both"/>
        <w:rPr>
          <w:rFonts w:cs="Arial"/>
        </w:rPr>
      </w:pPr>
      <w:r w:rsidRPr="007608C2">
        <w:rPr>
          <w:rFonts w:cs="Arial"/>
        </w:rPr>
        <w:t>Al respecto, se han elaborado tres guías técnicas que han sido virtualizadas en la escuela Virtual del ICBF, así:</w:t>
      </w:r>
    </w:p>
    <w:p w:rsidR="008819AE" w:rsidRDefault="008819AE" w:rsidP="00A44A2B">
      <w:pPr>
        <w:pStyle w:val="Prrafodelista"/>
        <w:numPr>
          <w:ilvl w:val="0"/>
          <w:numId w:val="121"/>
        </w:numPr>
        <w:spacing w:after="0"/>
        <w:jc w:val="both"/>
        <w:rPr>
          <w:rFonts w:cs="Arial"/>
        </w:rPr>
      </w:pPr>
      <w:r w:rsidRPr="007608C2">
        <w:rPr>
          <w:rFonts w:cs="Arial"/>
          <w:b/>
        </w:rPr>
        <w:t>Guía Técnica para el profesional en Trabajo Social:</w:t>
      </w:r>
      <w:r w:rsidRPr="007608C2">
        <w:rPr>
          <w:rFonts w:cs="Arial"/>
        </w:rPr>
        <w:t xml:space="preserve"> En 2017, se ajustaron contenidos de Trabajo Social, de acuerdo con la indicación de la subdirección de mejoramiento organizacional de unificar una guía del equipo técnico interdisciplinario en el PARD; estos ajustes fueron incluidos en la capacitación de la guía de trabajo social que ha</w:t>
      </w:r>
      <w:r w:rsidR="00030413">
        <w:rPr>
          <w:rFonts w:cs="Arial"/>
        </w:rPr>
        <w:t>ce parte de la Escuela virtual.</w:t>
      </w:r>
    </w:p>
    <w:p w:rsidR="00030413" w:rsidRPr="007608C2" w:rsidRDefault="00030413" w:rsidP="00030413">
      <w:pPr>
        <w:pStyle w:val="Prrafodelista"/>
        <w:spacing w:after="0"/>
        <w:ind w:left="360"/>
        <w:jc w:val="both"/>
        <w:rPr>
          <w:rFonts w:cs="Arial"/>
        </w:rPr>
      </w:pPr>
    </w:p>
    <w:p w:rsidR="008819AE" w:rsidRDefault="008819AE" w:rsidP="00A44A2B">
      <w:pPr>
        <w:pStyle w:val="Prrafodelista"/>
        <w:numPr>
          <w:ilvl w:val="0"/>
          <w:numId w:val="121"/>
        </w:numPr>
        <w:spacing w:after="0"/>
        <w:jc w:val="both"/>
        <w:rPr>
          <w:rFonts w:cs="Arial"/>
        </w:rPr>
      </w:pPr>
      <w:r w:rsidRPr="007608C2">
        <w:rPr>
          <w:rFonts w:cs="Arial"/>
          <w:b/>
        </w:rPr>
        <w:t>Guía Técnica para el profesional en Nutrición</w:t>
      </w:r>
      <w:r w:rsidRPr="007608C2">
        <w:rPr>
          <w:rFonts w:cs="Arial"/>
        </w:rPr>
        <w:t>: A partir del 2016, la guía hizo parte de la oferta académica de la Escuela virtual a través de seis convocatorias realizadas durante el 2016 y 2017.</w:t>
      </w:r>
    </w:p>
    <w:p w:rsidR="00030413" w:rsidRPr="00030413" w:rsidRDefault="00030413" w:rsidP="00030413">
      <w:pPr>
        <w:spacing w:after="0"/>
        <w:jc w:val="both"/>
        <w:rPr>
          <w:rFonts w:cs="Arial"/>
        </w:rPr>
      </w:pPr>
    </w:p>
    <w:p w:rsidR="008819AE" w:rsidRPr="007608C2" w:rsidRDefault="008819AE" w:rsidP="00A44A2B">
      <w:pPr>
        <w:pStyle w:val="Prrafodelista"/>
        <w:numPr>
          <w:ilvl w:val="0"/>
          <w:numId w:val="121"/>
        </w:numPr>
        <w:jc w:val="both"/>
        <w:rPr>
          <w:rFonts w:cs="Arial"/>
        </w:rPr>
      </w:pPr>
      <w:r w:rsidRPr="007608C2">
        <w:rPr>
          <w:rFonts w:cs="Arial"/>
          <w:b/>
        </w:rPr>
        <w:t>Guía Técnica para el profesional en Psicología</w:t>
      </w:r>
      <w:r w:rsidRPr="007608C2">
        <w:rPr>
          <w:rFonts w:cs="Arial"/>
        </w:rPr>
        <w:t>: Con corte al 31 de diciembre de 2017, se ha venido desarrollando el Convenio de Asociación No.1437 del 3 de agosto de 2016, suscrito entre el ICBF y el Colegio Colombiano de Psicólogos – Colpsic-, con el fin de aunar esfuerzos, técnicos, administrativos y humanos de carácter académico, que busquen unificar términos y conceptos técnicos en cuanto al rol del psicólogo dentro de los trámites de restablecimiento de derechos de los niños, niñas y adolescentes. Se lograron emitir líneas técnicas como: Síndrome de Alienación Parental -SAP-, Perito Homólogo para sustentación de informe en juicio oral sobre un caso de violencia sexual. Se unificaron criterios técnicos frente al consentimiento informado y se diseñó el respetivo formato e instructivo en psicología y el de valoración psicológica inicial e integral para el PARD.</w:t>
      </w:r>
    </w:p>
    <w:p w:rsidR="00BA54E2" w:rsidRPr="007608C2" w:rsidRDefault="008819AE" w:rsidP="008819AE">
      <w:pPr>
        <w:spacing w:after="0"/>
        <w:jc w:val="both"/>
        <w:rPr>
          <w:rFonts w:cs="Arial"/>
        </w:rPr>
      </w:pPr>
      <w:r w:rsidRPr="007608C2">
        <w:rPr>
          <w:rFonts w:cs="Arial"/>
        </w:rPr>
        <w:lastRenderedPageBreak/>
        <w:t>Finalmente, relacionamos el número de profesionales que se han beneficiado con la virtualización de estas guías en 2017:</w:t>
      </w:r>
    </w:p>
    <w:tbl>
      <w:tblPr>
        <w:tblpPr w:leftFromText="141" w:rightFromText="141" w:vertAnchor="text" w:horzAnchor="margin" w:tblpXSpec="center" w:tblpY="234"/>
        <w:tblW w:w="5382"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3970"/>
        <w:gridCol w:w="1412"/>
      </w:tblGrid>
      <w:tr w:rsidR="008819AE" w:rsidRPr="00030413" w:rsidTr="00030413">
        <w:trPr>
          <w:trHeight w:val="268"/>
        </w:trPr>
        <w:tc>
          <w:tcPr>
            <w:tcW w:w="3970" w:type="dxa"/>
            <w:shd w:val="clear" w:color="auto" w:fill="76922E"/>
            <w:noWrap/>
            <w:vAlign w:val="center"/>
            <w:hideMark/>
          </w:tcPr>
          <w:p w:rsidR="008819AE" w:rsidRPr="00030413" w:rsidRDefault="008819AE" w:rsidP="00476EF8">
            <w:pPr>
              <w:spacing w:after="0"/>
              <w:jc w:val="center"/>
              <w:rPr>
                <w:rFonts w:cs="Arial"/>
                <w:b/>
                <w:color w:val="FFFFFF" w:themeColor="background1"/>
                <w:sz w:val="18"/>
                <w:szCs w:val="18"/>
              </w:rPr>
            </w:pPr>
            <w:r w:rsidRPr="00030413">
              <w:rPr>
                <w:rFonts w:cs="Arial"/>
                <w:b/>
                <w:color w:val="FFFFFF" w:themeColor="background1"/>
                <w:sz w:val="18"/>
                <w:szCs w:val="18"/>
              </w:rPr>
              <w:t>Nombre del curso</w:t>
            </w:r>
          </w:p>
        </w:tc>
        <w:tc>
          <w:tcPr>
            <w:tcW w:w="1412" w:type="dxa"/>
            <w:shd w:val="clear" w:color="auto" w:fill="76922E"/>
            <w:noWrap/>
            <w:vAlign w:val="center"/>
            <w:hideMark/>
          </w:tcPr>
          <w:p w:rsidR="008819AE" w:rsidRPr="00030413" w:rsidRDefault="008819AE" w:rsidP="00476EF8">
            <w:pPr>
              <w:spacing w:after="0"/>
              <w:jc w:val="center"/>
              <w:rPr>
                <w:rFonts w:cs="Arial"/>
                <w:b/>
                <w:color w:val="FFFFFF" w:themeColor="background1"/>
                <w:sz w:val="18"/>
                <w:szCs w:val="18"/>
              </w:rPr>
            </w:pPr>
            <w:r w:rsidRPr="00030413">
              <w:rPr>
                <w:rFonts w:cs="Arial"/>
                <w:b/>
                <w:color w:val="FFFFFF" w:themeColor="background1"/>
                <w:sz w:val="18"/>
                <w:szCs w:val="18"/>
              </w:rPr>
              <w:t>Participantes</w:t>
            </w:r>
          </w:p>
        </w:tc>
      </w:tr>
      <w:tr w:rsidR="008819AE" w:rsidRPr="00030413" w:rsidTr="00030413">
        <w:trPr>
          <w:trHeight w:val="61"/>
        </w:trPr>
        <w:tc>
          <w:tcPr>
            <w:tcW w:w="3970" w:type="dxa"/>
            <w:vAlign w:val="center"/>
            <w:hideMark/>
          </w:tcPr>
          <w:p w:rsidR="008819AE" w:rsidRPr="00030413" w:rsidRDefault="008819AE" w:rsidP="00030413">
            <w:pPr>
              <w:spacing w:after="0"/>
              <w:jc w:val="center"/>
              <w:rPr>
                <w:rFonts w:cs="Arial"/>
                <w:sz w:val="18"/>
                <w:szCs w:val="18"/>
              </w:rPr>
            </w:pPr>
            <w:r w:rsidRPr="00030413">
              <w:rPr>
                <w:rFonts w:cs="Arial"/>
                <w:sz w:val="18"/>
                <w:szCs w:val="18"/>
              </w:rPr>
              <w:t>Guía de Investigación del Trabajador Social en el Proceso Administrativo de Restablecimiento de Derechos</w:t>
            </w:r>
          </w:p>
        </w:tc>
        <w:tc>
          <w:tcPr>
            <w:tcW w:w="1412" w:type="dxa"/>
            <w:shd w:val="clear" w:color="auto" w:fill="auto"/>
            <w:noWrap/>
            <w:vAlign w:val="center"/>
            <w:hideMark/>
          </w:tcPr>
          <w:p w:rsidR="008819AE" w:rsidRPr="00030413" w:rsidRDefault="008819AE" w:rsidP="00476EF8">
            <w:pPr>
              <w:spacing w:after="0"/>
              <w:jc w:val="center"/>
              <w:rPr>
                <w:rFonts w:cs="Arial"/>
                <w:sz w:val="18"/>
                <w:szCs w:val="18"/>
              </w:rPr>
            </w:pPr>
            <w:r w:rsidRPr="00030413">
              <w:rPr>
                <w:rFonts w:cs="Arial"/>
                <w:sz w:val="18"/>
                <w:szCs w:val="18"/>
              </w:rPr>
              <w:t>57</w:t>
            </w:r>
          </w:p>
        </w:tc>
      </w:tr>
      <w:tr w:rsidR="008819AE" w:rsidRPr="00030413" w:rsidTr="00030413">
        <w:trPr>
          <w:trHeight w:val="289"/>
        </w:trPr>
        <w:tc>
          <w:tcPr>
            <w:tcW w:w="3970" w:type="dxa"/>
            <w:vAlign w:val="center"/>
            <w:hideMark/>
          </w:tcPr>
          <w:p w:rsidR="008819AE" w:rsidRPr="00030413" w:rsidRDefault="008819AE" w:rsidP="00030413">
            <w:pPr>
              <w:spacing w:after="0"/>
              <w:jc w:val="center"/>
              <w:rPr>
                <w:rFonts w:cs="Arial"/>
                <w:sz w:val="18"/>
                <w:szCs w:val="18"/>
              </w:rPr>
            </w:pPr>
            <w:r w:rsidRPr="00030413">
              <w:rPr>
                <w:rFonts w:cs="Arial"/>
                <w:sz w:val="18"/>
                <w:szCs w:val="18"/>
              </w:rPr>
              <w:t>Guía de Nutrición</w:t>
            </w:r>
          </w:p>
        </w:tc>
        <w:tc>
          <w:tcPr>
            <w:tcW w:w="1412" w:type="dxa"/>
            <w:shd w:val="clear" w:color="auto" w:fill="auto"/>
            <w:noWrap/>
            <w:vAlign w:val="center"/>
            <w:hideMark/>
          </w:tcPr>
          <w:p w:rsidR="008819AE" w:rsidRPr="00030413" w:rsidRDefault="008819AE" w:rsidP="00476EF8">
            <w:pPr>
              <w:spacing w:after="0"/>
              <w:jc w:val="center"/>
              <w:rPr>
                <w:rFonts w:cs="Arial"/>
                <w:sz w:val="18"/>
                <w:szCs w:val="18"/>
              </w:rPr>
            </w:pPr>
            <w:r w:rsidRPr="00030413">
              <w:rPr>
                <w:rFonts w:cs="Arial"/>
                <w:sz w:val="18"/>
                <w:szCs w:val="18"/>
              </w:rPr>
              <w:t>53</w:t>
            </w:r>
          </w:p>
        </w:tc>
      </w:tr>
      <w:tr w:rsidR="008819AE" w:rsidRPr="00030413" w:rsidTr="00030413">
        <w:trPr>
          <w:trHeight w:val="289"/>
        </w:trPr>
        <w:tc>
          <w:tcPr>
            <w:tcW w:w="3970" w:type="dxa"/>
            <w:vAlign w:val="center"/>
            <w:hideMark/>
          </w:tcPr>
          <w:p w:rsidR="008819AE" w:rsidRPr="00030413" w:rsidRDefault="008819AE" w:rsidP="00030413">
            <w:pPr>
              <w:spacing w:after="0"/>
              <w:jc w:val="center"/>
              <w:rPr>
                <w:rFonts w:cs="Arial"/>
                <w:sz w:val="18"/>
                <w:szCs w:val="18"/>
              </w:rPr>
            </w:pPr>
            <w:r w:rsidRPr="00030413">
              <w:rPr>
                <w:rFonts w:cs="Arial"/>
                <w:sz w:val="18"/>
                <w:szCs w:val="18"/>
              </w:rPr>
              <w:t>Guía de Psicología</w:t>
            </w:r>
          </w:p>
        </w:tc>
        <w:tc>
          <w:tcPr>
            <w:tcW w:w="1412" w:type="dxa"/>
            <w:shd w:val="clear" w:color="auto" w:fill="auto"/>
            <w:noWrap/>
            <w:vAlign w:val="center"/>
            <w:hideMark/>
          </w:tcPr>
          <w:p w:rsidR="008819AE" w:rsidRPr="00030413" w:rsidRDefault="008819AE" w:rsidP="00476EF8">
            <w:pPr>
              <w:spacing w:after="0"/>
              <w:jc w:val="center"/>
              <w:rPr>
                <w:rFonts w:cs="Arial"/>
                <w:sz w:val="18"/>
                <w:szCs w:val="18"/>
              </w:rPr>
            </w:pPr>
            <w:r w:rsidRPr="00030413">
              <w:rPr>
                <w:rFonts w:cs="Arial"/>
                <w:sz w:val="18"/>
                <w:szCs w:val="18"/>
              </w:rPr>
              <w:t>67</w:t>
            </w:r>
          </w:p>
        </w:tc>
      </w:tr>
      <w:tr w:rsidR="008819AE" w:rsidRPr="00030413" w:rsidTr="00030413">
        <w:trPr>
          <w:trHeight w:val="289"/>
        </w:trPr>
        <w:tc>
          <w:tcPr>
            <w:tcW w:w="3970" w:type="dxa"/>
            <w:shd w:val="clear" w:color="auto" w:fill="E2EFDA"/>
            <w:noWrap/>
            <w:vAlign w:val="center"/>
            <w:hideMark/>
          </w:tcPr>
          <w:p w:rsidR="008819AE" w:rsidRPr="00030413" w:rsidRDefault="008819AE" w:rsidP="00476EF8">
            <w:pPr>
              <w:spacing w:after="0"/>
              <w:jc w:val="center"/>
              <w:rPr>
                <w:rFonts w:cs="Arial"/>
                <w:b/>
                <w:sz w:val="18"/>
                <w:szCs w:val="18"/>
              </w:rPr>
            </w:pPr>
            <w:r w:rsidRPr="00030413">
              <w:rPr>
                <w:rFonts w:cs="Arial"/>
                <w:b/>
                <w:sz w:val="18"/>
                <w:szCs w:val="18"/>
              </w:rPr>
              <w:t>Total</w:t>
            </w:r>
          </w:p>
        </w:tc>
        <w:tc>
          <w:tcPr>
            <w:tcW w:w="1412" w:type="dxa"/>
            <w:shd w:val="clear" w:color="auto" w:fill="E2EFDA"/>
            <w:noWrap/>
            <w:vAlign w:val="center"/>
            <w:hideMark/>
          </w:tcPr>
          <w:p w:rsidR="008819AE" w:rsidRPr="00030413" w:rsidRDefault="008819AE" w:rsidP="00476EF8">
            <w:pPr>
              <w:spacing w:after="0"/>
              <w:jc w:val="center"/>
              <w:rPr>
                <w:rFonts w:cs="Arial"/>
                <w:b/>
                <w:sz w:val="18"/>
                <w:szCs w:val="18"/>
              </w:rPr>
            </w:pPr>
            <w:r w:rsidRPr="00030413">
              <w:rPr>
                <w:rFonts w:cs="Arial"/>
                <w:b/>
                <w:sz w:val="18"/>
                <w:szCs w:val="18"/>
              </w:rPr>
              <w:t>177</w:t>
            </w:r>
          </w:p>
        </w:tc>
      </w:tr>
    </w:tbl>
    <w:p w:rsidR="008819AE" w:rsidRPr="007608C2" w:rsidRDefault="008819AE" w:rsidP="008819AE">
      <w:pPr>
        <w:rPr>
          <w:rFonts w:cs="Arial"/>
        </w:rPr>
      </w:pPr>
    </w:p>
    <w:p w:rsidR="008819AE" w:rsidRPr="007608C2" w:rsidRDefault="008819AE" w:rsidP="008819AE">
      <w:pPr>
        <w:rPr>
          <w:rFonts w:cs="Arial"/>
          <w:sz w:val="18"/>
        </w:rPr>
      </w:pPr>
    </w:p>
    <w:p w:rsidR="008819AE" w:rsidRPr="007608C2" w:rsidRDefault="008819AE" w:rsidP="008819AE">
      <w:pPr>
        <w:rPr>
          <w:rFonts w:cs="Arial"/>
          <w:sz w:val="18"/>
        </w:rPr>
      </w:pPr>
    </w:p>
    <w:p w:rsidR="008819AE" w:rsidRPr="007608C2" w:rsidRDefault="008819AE" w:rsidP="008819AE">
      <w:pPr>
        <w:rPr>
          <w:rFonts w:cs="Arial"/>
          <w:sz w:val="18"/>
        </w:rPr>
      </w:pPr>
    </w:p>
    <w:p w:rsidR="008819AE" w:rsidRPr="007608C2" w:rsidRDefault="008819AE" w:rsidP="008819AE">
      <w:pPr>
        <w:rPr>
          <w:rFonts w:cs="Arial"/>
          <w:sz w:val="18"/>
        </w:rPr>
      </w:pPr>
    </w:p>
    <w:p w:rsidR="008819AE" w:rsidRPr="00030413" w:rsidRDefault="008819AE" w:rsidP="004D09B2">
      <w:pPr>
        <w:jc w:val="center"/>
        <w:rPr>
          <w:rFonts w:cs="Arial"/>
          <w:b/>
          <w:sz w:val="16"/>
          <w:szCs w:val="16"/>
        </w:rPr>
      </w:pPr>
      <w:r w:rsidRPr="00030413">
        <w:rPr>
          <w:rFonts w:cs="Arial"/>
          <w:sz w:val="16"/>
          <w:szCs w:val="16"/>
        </w:rPr>
        <w:t>Fuente: Dirección de Protección – Instituto Colombiano de Bienestar Familiar</w:t>
      </w:r>
    </w:p>
    <w:p w:rsidR="008819AE" w:rsidRPr="007608C2" w:rsidRDefault="008819AE" w:rsidP="008819AE">
      <w:pPr>
        <w:rPr>
          <w:rFonts w:cs="Arial"/>
          <w:b/>
        </w:rPr>
      </w:pPr>
      <w:r w:rsidRPr="007608C2">
        <w:rPr>
          <w:rFonts w:cs="Arial"/>
          <w:b/>
        </w:rPr>
        <w:t>Codificación de las Guías Técnicas</w:t>
      </w:r>
    </w:p>
    <w:p w:rsidR="008819AE" w:rsidRPr="007608C2" w:rsidRDefault="008819AE" w:rsidP="008819AE">
      <w:pPr>
        <w:jc w:val="both"/>
        <w:rPr>
          <w:rFonts w:cs="Arial"/>
        </w:rPr>
      </w:pPr>
      <w:r w:rsidRPr="007608C2">
        <w:rPr>
          <w:rFonts w:cs="Arial"/>
        </w:rPr>
        <w:t xml:space="preserve">Posterior a la revisión de los tres documentos guías de Piscología, Trabajo Social y Nutrición, y a solicitud de la Sub Dirección de Mejoramiento Organizacional de la Dirección de Planeación, en 2017 se estableció la necesidad de consolidar un solo documento de guía interdisciplinaria de intervenciones en el PARD, que reuniera, tanto elementos transversales como aquellos aspectos particulares de las intervenciones de: Psicología, Trabajo Social y Nutrición. Esto implicó una serie de revisiones y ajustes por parte del equipo interdisciplinario de la Coordinación de Autoridades Administrativa, en articulación con la profesional EPICO de la Dirección de Protección y la profesional de Sub Dirección de Mejoramiento Organizacional. Como producto de este proceso, se realizaron adecuaciones al documento sobre su diseño y presentación para su posterior aprobación y codificación. Actualmente, se está realizando una armonización de los formatos contenidos en la guía interdisciplinaria conforme a las directrices estipuladas en el SIGE. </w:t>
      </w:r>
    </w:p>
    <w:p w:rsidR="008819AE" w:rsidRPr="007608C2" w:rsidRDefault="008819AE" w:rsidP="008819AE">
      <w:pPr>
        <w:jc w:val="both"/>
        <w:rPr>
          <w:rFonts w:cs="Arial"/>
        </w:rPr>
      </w:pPr>
      <w:r w:rsidRPr="007608C2">
        <w:rPr>
          <w:rFonts w:cs="Arial"/>
        </w:rPr>
        <w:t xml:space="preserve">La guía del equipo técnico interdisciplinario en el PARD, fue codificada y publicada en la intranet y puede ser consultada a través de la siguiente ruta: </w:t>
      </w:r>
      <w:bookmarkStart w:id="88" w:name="_Hlk504632465"/>
      <w:r w:rsidRPr="007608C2">
        <w:rPr>
          <w:rFonts w:cs="Arial"/>
        </w:rPr>
        <w:fldChar w:fldCharType="begin"/>
      </w:r>
      <w:r w:rsidRPr="007608C2">
        <w:rPr>
          <w:rFonts w:cs="Arial"/>
        </w:rPr>
        <w:instrText xml:space="preserve"> HYPERLINK "http://www.icbf.gov.co/portal/page/portal/PortalICBF/procesos/misionales/proteccion/restablecimiento-derechos" </w:instrText>
      </w:r>
      <w:r w:rsidRPr="007608C2">
        <w:rPr>
          <w:rFonts w:cs="Arial"/>
        </w:rPr>
        <w:fldChar w:fldCharType="separate"/>
      </w:r>
      <w:r w:rsidRPr="007608C2">
        <w:rPr>
          <w:rFonts w:cs="Arial"/>
        </w:rPr>
        <w:t>http://www.icbf.gov.co/portal/page/portal/PortalICBF/procesos/misionales/proteccion/restablecimiento-derechos</w:t>
      </w:r>
      <w:r w:rsidRPr="007608C2">
        <w:rPr>
          <w:rFonts w:cs="Arial"/>
        </w:rPr>
        <w:fldChar w:fldCharType="end"/>
      </w:r>
      <w:bookmarkEnd w:id="88"/>
    </w:p>
    <w:p w:rsidR="008819AE" w:rsidRPr="007608C2" w:rsidRDefault="008819AE" w:rsidP="008819AE">
      <w:pPr>
        <w:jc w:val="both"/>
        <w:rPr>
          <w:rFonts w:cs="Arial"/>
        </w:rPr>
      </w:pPr>
      <w:r w:rsidRPr="007608C2">
        <w:rPr>
          <w:rFonts w:cs="Arial"/>
        </w:rPr>
        <w:t xml:space="preserve">El 15 de septiembre de 2017, desde el correo de autoridades administrativas, se informó a los integrantes de los equipos técnicos interdisciplinarios que integran las defensorías de familia, sobre la publicación de la guía y de los respectivos formatos de: Psicología, Nutrición y Trabajo Social. Se invitó a los profesionales a elevar sus inquietudes y observaciones al equipo psicosocial y de nutrición de la Coordinación de Autoridades Administrativas para brindar la respectiva asistencia técnica por medio de los distintos canales de comunicación: Lynk, Outlook, vía telefónica y/ o personalmente de ser el caso. </w:t>
      </w:r>
    </w:p>
    <w:p w:rsidR="008819AE" w:rsidRPr="007608C2" w:rsidRDefault="008819AE" w:rsidP="008819AE">
      <w:pPr>
        <w:jc w:val="both"/>
        <w:rPr>
          <w:rFonts w:cs="Arial"/>
          <w:b/>
        </w:rPr>
      </w:pPr>
      <w:r w:rsidRPr="007608C2">
        <w:rPr>
          <w:rFonts w:cs="Arial"/>
          <w:b/>
        </w:rPr>
        <w:t>Asistencia técnica a Autoridades Administrativas y Equipos de Defensoría</w:t>
      </w:r>
    </w:p>
    <w:p w:rsidR="008819AE" w:rsidRPr="007608C2" w:rsidRDefault="008819AE" w:rsidP="008819AE">
      <w:pPr>
        <w:jc w:val="both"/>
        <w:rPr>
          <w:rFonts w:cs="Arial"/>
        </w:rPr>
      </w:pPr>
      <w:r w:rsidRPr="007608C2">
        <w:rPr>
          <w:rFonts w:cs="Arial"/>
        </w:rPr>
        <w:t xml:space="preserve">Al 31 de diciembre de 2017, mediante el convenio de Cooperación Internacional 1512, suscrito con la OIM, se dio continuidad al programa de formación dirigido a 130 Defensores de Familia de </w:t>
      </w:r>
      <w:r w:rsidRPr="007608C2">
        <w:rPr>
          <w:rFonts w:cs="Arial"/>
        </w:rPr>
        <w:lastRenderedPageBreak/>
        <w:t>las Regionales Antioquía, Cauca, Nariño y Tolima. Para el 2018 los Defensores estarán certificados por la Universidad Nacional de Colombia con 100 horas académicas, de las cuales 80 son presenciales y 20 horas corresponden al proceso de autoformación. Actualmente, se dio inicio a los 4 grupos así:</w:t>
      </w:r>
    </w:p>
    <w:tbl>
      <w:tblPr>
        <w:tblStyle w:val="Tablaconcuadrcula4"/>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ook w:val="04A0" w:firstRow="1" w:lastRow="0" w:firstColumn="1" w:lastColumn="0" w:noHBand="0" w:noVBand="1"/>
      </w:tblPr>
      <w:tblGrid>
        <w:gridCol w:w="1271"/>
        <w:gridCol w:w="1893"/>
        <w:gridCol w:w="1927"/>
      </w:tblGrid>
      <w:tr w:rsidR="008819AE" w:rsidRPr="00030413" w:rsidTr="00030413">
        <w:trPr>
          <w:trHeight w:val="317"/>
          <w:jc w:val="center"/>
        </w:trPr>
        <w:tc>
          <w:tcPr>
            <w:tcW w:w="1271" w:type="dxa"/>
            <w:shd w:val="clear" w:color="auto" w:fill="76922E"/>
            <w:vAlign w:val="center"/>
          </w:tcPr>
          <w:p w:rsidR="008819AE" w:rsidRPr="00030413" w:rsidRDefault="008819AE" w:rsidP="00476EF8">
            <w:pPr>
              <w:spacing w:after="0"/>
              <w:jc w:val="center"/>
              <w:rPr>
                <w:rFonts w:cs="Arial"/>
                <w:b/>
                <w:color w:val="FFFFFF" w:themeColor="background1"/>
                <w:sz w:val="18"/>
                <w:szCs w:val="18"/>
              </w:rPr>
            </w:pPr>
            <w:bookmarkStart w:id="89" w:name="_Hlk496682352"/>
            <w:r w:rsidRPr="00030413">
              <w:rPr>
                <w:rFonts w:cs="Arial"/>
                <w:b/>
                <w:color w:val="FFFFFF" w:themeColor="background1"/>
                <w:sz w:val="18"/>
                <w:szCs w:val="18"/>
              </w:rPr>
              <w:t>Regional</w:t>
            </w:r>
          </w:p>
        </w:tc>
        <w:tc>
          <w:tcPr>
            <w:tcW w:w="1893" w:type="dxa"/>
            <w:shd w:val="clear" w:color="auto" w:fill="76922E"/>
            <w:vAlign w:val="center"/>
          </w:tcPr>
          <w:p w:rsidR="008819AE" w:rsidRPr="00030413" w:rsidRDefault="008819AE" w:rsidP="00476EF8">
            <w:pPr>
              <w:spacing w:after="0"/>
              <w:jc w:val="center"/>
              <w:rPr>
                <w:rFonts w:cs="Arial"/>
                <w:b/>
                <w:color w:val="FFFFFF" w:themeColor="background1"/>
                <w:sz w:val="18"/>
                <w:szCs w:val="18"/>
              </w:rPr>
            </w:pPr>
            <w:r w:rsidRPr="00030413">
              <w:rPr>
                <w:rFonts w:cs="Arial"/>
                <w:b/>
                <w:color w:val="FFFFFF" w:themeColor="background1"/>
                <w:sz w:val="18"/>
                <w:szCs w:val="18"/>
              </w:rPr>
              <w:t>Número de Defensores</w:t>
            </w:r>
          </w:p>
        </w:tc>
        <w:tc>
          <w:tcPr>
            <w:tcW w:w="0" w:type="auto"/>
            <w:shd w:val="clear" w:color="auto" w:fill="76922E"/>
            <w:vAlign w:val="center"/>
          </w:tcPr>
          <w:p w:rsidR="008819AE" w:rsidRPr="00030413" w:rsidRDefault="008819AE" w:rsidP="00476EF8">
            <w:pPr>
              <w:spacing w:after="0"/>
              <w:jc w:val="center"/>
              <w:rPr>
                <w:rFonts w:cs="Arial"/>
                <w:b/>
                <w:color w:val="FFFFFF" w:themeColor="background1"/>
                <w:sz w:val="18"/>
                <w:szCs w:val="18"/>
              </w:rPr>
            </w:pPr>
            <w:r w:rsidRPr="00030413">
              <w:rPr>
                <w:rFonts w:cs="Arial"/>
                <w:b/>
                <w:color w:val="FFFFFF" w:themeColor="background1"/>
                <w:sz w:val="18"/>
                <w:szCs w:val="18"/>
              </w:rPr>
              <w:t>Sesiones realizadas</w:t>
            </w:r>
          </w:p>
        </w:tc>
      </w:tr>
      <w:tr w:rsidR="008819AE" w:rsidRPr="00030413" w:rsidTr="00030413">
        <w:trPr>
          <w:trHeight w:val="125"/>
          <w:jc w:val="center"/>
        </w:trPr>
        <w:tc>
          <w:tcPr>
            <w:tcW w:w="1271" w:type="dxa"/>
            <w:vAlign w:val="center"/>
          </w:tcPr>
          <w:p w:rsidR="008819AE" w:rsidRPr="00030413" w:rsidRDefault="008819AE" w:rsidP="00476EF8">
            <w:pPr>
              <w:spacing w:after="0"/>
              <w:jc w:val="both"/>
              <w:rPr>
                <w:rFonts w:cs="Arial"/>
                <w:sz w:val="18"/>
                <w:szCs w:val="18"/>
              </w:rPr>
            </w:pPr>
            <w:r w:rsidRPr="00030413">
              <w:rPr>
                <w:rFonts w:cs="Arial"/>
                <w:sz w:val="18"/>
                <w:szCs w:val="18"/>
              </w:rPr>
              <w:t>Antioquia</w:t>
            </w:r>
          </w:p>
        </w:tc>
        <w:tc>
          <w:tcPr>
            <w:tcW w:w="1893" w:type="dxa"/>
            <w:vAlign w:val="center"/>
          </w:tcPr>
          <w:p w:rsidR="008819AE" w:rsidRPr="00030413" w:rsidRDefault="008819AE" w:rsidP="00476EF8">
            <w:pPr>
              <w:spacing w:after="0"/>
              <w:jc w:val="center"/>
              <w:rPr>
                <w:rFonts w:cs="Arial"/>
                <w:sz w:val="18"/>
                <w:szCs w:val="18"/>
              </w:rPr>
            </w:pPr>
            <w:r w:rsidRPr="00030413">
              <w:rPr>
                <w:rFonts w:cs="Arial"/>
                <w:sz w:val="18"/>
                <w:szCs w:val="18"/>
              </w:rPr>
              <w:t>39</w:t>
            </w:r>
          </w:p>
        </w:tc>
        <w:tc>
          <w:tcPr>
            <w:tcW w:w="0" w:type="auto"/>
            <w:vAlign w:val="center"/>
          </w:tcPr>
          <w:p w:rsidR="008819AE" w:rsidRPr="00030413" w:rsidRDefault="008819AE" w:rsidP="00476EF8">
            <w:pPr>
              <w:spacing w:after="0"/>
              <w:jc w:val="center"/>
              <w:rPr>
                <w:rFonts w:cs="Arial"/>
                <w:sz w:val="18"/>
                <w:szCs w:val="18"/>
              </w:rPr>
            </w:pPr>
            <w:r w:rsidRPr="00030413">
              <w:rPr>
                <w:rFonts w:cs="Arial"/>
                <w:sz w:val="18"/>
                <w:szCs w:val="18"/>
              </w:rPr>
              <w:t>10</w:t>
            </w:r>
          </w:p>
        </w:tc>
      </w:tr>
      <w:tr w:rsidR="008819AE" w:rsidRPr="00030413" w:rsidTr="00030413">
        <w:trPr>
          <w:trHeight w:val="50"/>
          <w:jc w:val="center"/>
        </w:trPr>
        <w:tc>
          <w:tcPr>
            <w:tcW w:w="1271" w:type="dxa"/>
            <w:vAlign w:val="center"/>
          </w:tcPr>
          <w:p w:rsidR="008819AE" w:rsidRPr="00030413" w:rsidRDefault="008819AE" w:rsidP="00476EF8">
            <w:pPr>
              <w:spacing w:after="0"/>
              <w:jc w:val="both"/>
              <w:rPr>
                <w:rFonts w:cs="Arial"/>
                <w:sz w:val="18"/>
                <w:szCs w:val="18"/>
              </w:rPr>
            </w:pPr>
            <w:r w:rsidRPr="00030413">
              <w:rPr>
                <w:rFonts w:cs="Arial"/>
                <w:sz w:val="18"/>
                <w:szCs w:val="18"/>
              </w:rPr>
              <w:t>Tolima</w:t>
            </w:r>
          </w:p>
        </w:tc>
        <w:tc>
          <w:tcPr>
            <w:tcW w:w="1893" w:type="dxa"/>
            <w:vAlign w:val="center"/>
          </w:tcPr>
          <w:p w:rsidR="008819AE" w:rsidRPr="00030413" w:rsidRDefault="008819AE" w:rsidP="00476EF8">
            <w:pPr>
              <w:spacing w:after="0"/>
              <w:jc w:val="center"/>
              <w:rPr>
                <w:rFonts w:cs="Arial"/>
                <w:sz w:val="18"/>
                <w:szCs w:val="18"/>
              </w:rPr>
            </w:pPr>
            <w:r w:rsidRPr="00030413">
              <w:rPr>
                <w:rFonts w:cs="Arial"/>
                <w:sz w:val="18"/>
                <w:szCs w:val="18"/>
              </w:rPr>
              <w:t>32</w:t>
            </w:r>
          </w:p>
        </w:tc>
        <w:tc>
          <w:tcPr>
            <w:tcW w:w="0" w:type="auto"/>
            <w:vAlign w:val="center"/>
          </w:tcPr>
          <w:p w:rsidR="008819AE" w:rsidRPr="00030413" w:rsidRDefault="008819AE" w:rsidP="00476EF8">
            <w:pPr>
              <w:spacing w:after="0"/>
              <w:jc w:val="center"/>
              <w:rPr>
                <w:rFonts w:cs="Arial"/>
                <w:sz w:val="18"/>
                <w:szCs w:val="18"/>
              </w:rPr>
            </w:pPr>
            <w:r w:rsidRPr="00030413">
              <w:rPr>
                <w:rFonts w:cs="Arial"/>
                <w:sz w:val="18"/>
                <w:szCs w:val="18"/>
              </w:rPr>
              <w:t>9</w:t>
            </w:r>
          </w:p>
        </w:tc>
      </w:tr>
      <w:tr w:rsidR="008819AE" w:rsidRPr="00030413" w:rsidTr="00030413">
        <w:trPr>
          <w:trHeight w:val="50"/>
          <w:jc w:val="center"/>
        </w:trPr>
        <w:tc>
          <w:tcPr>
            <w:tcW w:w="1271" w:type="dxa"/>
            <w:vAlign w:val="center"/>
          </w:tcPr>
          <w:p w:rsidR="008819AE" w:rsidRPr="00030413" w:rsidRDefault="008819AE" w:rsidP="00476EF8">
            <w:pPr>
              <w:spacing w:after="0"/>
              <w:jc w:val="both"/>
              <w:rPr>
                <w:rFonts w:cs="Arial"/>
                <w:sz w:val="18"/>
                <w:szCs w:val="18"/>
              </w:rPr>
            </w:pPr>
            <w:r w:rsidRPr="00030413">
              <w:rPr>
                <w:rFonts w:cs="Arial"/>
                <w:sz w:val="18"/>
                <w:szCs w:val="18"/>
              </w:rPr>
              <w:t>Cauca</w:t>
            </w:r>
          </w:p>
        </w:tc>
        <w:tc>
          <w:tcPr>
            <w:tcW w:w="1893" w:type="dxa"/>
            <w:vAlign w:val="center"/>
          </w:tcPr>
          <w:p w:rsidR="008819AE" w:rsidRPr="00030413" w:rsidRDefault="008819AE" w:rsidP="00476EF8">
            <w:pPr>
              <w:spacing w:after="0"/>
              <w:jc w:val="center"/>
              <w:rPr>
                <w:rFonts w:cs="Arial"/>
                <w:sz w:val="18"/>
                <w:szCs w:val="18"/>
              </w:rPr>
            </w:pPr>
            <w:r w:rsidRPr="00030413">
              <w:rPr>
                <w:rFonts w:cs="Arial"/>
                <w:sz w:val="18"/>
                <w:szCs w:val="18"/>
              </w:rPr>
              <w:t>30</w:t>
            </w:r>
          </w:p>
        </w:tc>
        <w:tc>
          <w:tcPr>
            <w:tcW w:w="0" w:type="auto"/>
            <w:vAlign w:val="center"/>
          </w:tcPr>
          <w:p w:rsidR="008819AE" w:rsidRPr="00030413" w:rsidRDefault="008819AE" w:rsidP="00476EF8">
            <w:pPr>
              <w:spacing w:after="0"/>
              <w:jc w:val="center"/>
              <w:rPr>
                <w:rFonts w:cs="Arial"/>
                <w:sz w:val="18"/>
                <w:szCs w:val="18"/>
              </w:rPr>
            </w:pPr>
            <w:r w:rsidRPr="00030413">
              <w:rPr>
                <w:rFonts w:cs="Arial"/>
                <w:sz w:val="18"/>
                <w:szCs w:val="18"/>
              </w:rPr>
              <w:t>5</w:t>
            </w:r>
          </w:p>
        </w:tc>
      </w:tr>
      <w:tr w:rsidR="008819AE" w:rsidRPr="00030413" w:rsidTr="00030413">
        <w:trPr>
          <w:trHeight w:val="50"/>
          <w:jc w:val="center"/>
        </w:trPr>
        <w:tc>
          <w:tcPr>
            <w:tcW w:w="1271" w:type="dxa"/>
            <w:vAlign w:val="center"/>
          </w:tcPr>
          <w:p w:rsidR="008819AE" w:rsidRPr="00030413" w:rsidRDefault="008819AE" w:rsidP="00476EF8">
            <w:pPr>
              <w:spacing w:after="0"/>
              <w:jc w:val="both"/>
              <w:rPr>
                <w:rFonts w:cs="Arial"/>
                <w:sz w:val="18"/>
                <w:szCs w:val="18"/>
              </w:rPr>
            </w:pPr>
            <w:r w:rsidRPr="00030413">
              <w:rPr>
                <w:rFonts w:cs="Arial"/>
                <w:sz w:val="18"/>
                <w:szCs w:val="18"/>
              </w:rPr>
              <w:t>Nariño</w:t>
            </w:r>
          </w:p>
        </w:tc>
        <w:tc>
          <w:tcPr>
            <w:tcW w:w="1893" w:type="dxa"/>
            <w:vAlign w:val="center"/>
          </w:tcPr>
          <w:p w:rsidR="008819AE" w:rsidRPr="00030413" w:rsidRDefault="008819AE" w:rsidP="00476EF8">
            <w:pPr>
              <w:spacing w:after="0"/>
              <w:jc w:val="center"/>
              <w:rPr>
                <w:rFonts w:cs="Arial"/>
                <w:sz w:val="18"/>
                <w:szCs w:val="18"/>
              </w:rPr>
            </w:pPr>
            <w:r w:rsidRPr="00030413">
              <w:rPr>
                <w:rFonts w:cs="Arial"/>
                <w:sz w:val="18"/>
                <w:szCs w:val="18"/>
              </w:rPr>
              <w:t>29</w:t>
            </w:r>
          </w:p>
        </w:tc>
        <w:tc>
          <w:tcPr>
            <w:tcW w:w="0" w:type="auto"/>
            <w:vAlign w:val="center"/>
          </w:tcPr>
          <w:p w:rsidR="008819AE" w:rsidRPr="00030413" w:rsidRDefault="008819AE" w:rsidP="00476EF8">
            <w:pPr>
              <w:spacing w:after="0"/>
              <w:jc w:val="center"/>
              <w:rPr>
                <w:rFonts w:cs="Arial"/>
                <w:sz w:val="18"/>
                <w:szCs w:val="18"/>
              </w:rPr>
            </w:pPr>
            <w:r w:rsidRPr="00030413">
              <w:rPr>
                <w:rFonts w:cs="Arial"/>
                <w:sz w:val="18"/>
                <w:szCs w:val="18"/>
              </w:rPr>
              <w:t>6</w:t>
            </w:r>
          </w:p>
        </w:tc>
      </w:tr>
      <w:bookmarkEnd w:id="89"/>
    </w:tbl>
    <w:p w:rsidR="008819AE" w:rsidRPr="007608C2" w:rsidRDefault="008819AE" w:rsidP="008819AE">
      <w:pPr>
        <w:jc w:val="both"/>
        <w:rPr>
          <w:rFonts w:cs="Arial"/>
        </w:rPr>
      </w:pPr>
    </w:p>
    <w:p w:rsidR="008819AE" w:rsidRPr="007608C2" w:rsidRDefault="008819AE" w:rsidP="008819AE">
      <w:pPr>
        <w:jc w:val="both"/>
        <w:rPr>
          <w:rFonts w:cs="Arial"/>
          <w:b/>
        </w:rPr>
      </w:pPr>
      <w:r w:rsidRPr="007608C2">
        <w:rPr>
          <w:rFonts w:cs="Arial"/>
          <w:b/>
        </w:rPr>
        <w:t>Inducción a Defensores de Familia</w:t>
      </w:r>
    </w:p>
    <w:p w:rsidR="008819AE" w:rsidRPr="007608C2" w:rsidRDefault="008819AE" w:rsidP="008819AE">
      <w:pPr>
        <w:jc w:val="both"/>
        <w:rPr>
          <w:rFonts w:cs="Arial"/>
        </w:rPr>
      </w:pPr>
      <w:r w:rsidRPr="007608C2">
        <w:rPr>
          <w:rFonts w:cs="Arial"/>
        </w:rPr>
        <w:t>Al mes de octubre del 2017, se capacitaron 91 Defensores de Familia nuevos en temas propios del restablecimiento de derechos de niños, niñas o adolescentes, con sus derechos inobservados, amenazados o vulnerados.</w:t>
      </w:r>
    </w:p>
    <w:p w:rsidR="008819AE" w:rsidRPr="007608C2" w:rsidRDefault="008819AE" w:rsidP="008819AE">
      <w:pPr>
        <w:jc w:val="both"/>
        <w:rPr>
          <w:rFonts w:cs="Arial"/>
          <w:b/>
        </w:rPr>
      </w:pPr>
      <w:r w:rsidRPr="007608C2">
        <w:rPr>
          <w:rFonts w:cs="Arial"/>
          <w:b/>
        </w:rPr>
        <w:t>Asistencia Técnica solicitada por las Regionales</w:t>
      </w:r>
    </w:p>
    <w:p w:rsidR="008819AE" w:rsidRPr="007608C2" w:rsidRDefault="008819AE" w:rsidP="008819AE">
      <w:pPr>
        <w:jc w:val="both"/>
        <w:rPr>
          <w:rFonts w:cs="Arial"/>
        </w:rPr>
      </w:pPr>
      <w:r w:rsidRPr="007608C2">
        <w:rPr>
          <w:rFonts w:cs="Arial"/>
        </w:rPr>
        <w:t>En el año 2017 se capacitaron 233 Defensorías de Familia de las Regionales Santander, Quindío, Guainía, Risaralda, Cesar, Arauca, Atlántico, Santander, Cundinamarca, Vichada y Magdalena en temas relacionados al Proceso Administrativo de Restablecimiento de Derechos, víctimas del conflicto armado, enfoque diferencial y violencia sexual, entre otros.</w:t>
      </w:r>
    </w:p>
    <w:p w:rsidR="008819AE" w:rsidRPr="007608C2" w:rsidRDefault="008819AE" w:rsidP="008819AE">
      <w:pPr>
        <w:jc w:val="both"/>
        <w:rPr>
          <w:rFonts w:cs="Arial"/>
        </w:rPr>
      </w:pPr>
      <w:r w:rsidRPr="007608C2">
        <w:rPr>
          <w:rFonts w:cs="Arial"/>
        </w:rPr>
        <w:t xml:space="preserve">A continuación, se presenta las cifras de las capacitaciones antes mencionadas: </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4402"/>
        <w:gridCol w:w="1501"/>
      </w:tblGrid>
      <w:tr w:rsidR="008819AE" w:rsidRPr="00035B34" w:rsidTr="00035B34">
        <w:trPr>
          <w:trHeight w:val="324"/>
          <w:jc w:val="center"/>
        </w:trPr>
        <w:tc>
          <w:tcPr>
            <w:tcW w:w="0" w:type="auto"/>
            <w:shd w:val="clear" w:color="auto" w:fill="76922E"/>
            <w:noWrap/>
            <w:vAlign w:val="center"/>
            <w:hideMark/>
          </w:tcPr>
          <w:p w:rsidR="008819AE" w:rsidRPr="00035B34" w:rsidRDefault="008819AE" w:rsidP="00476EF8">
            <w:pPr>
              <w:spacing w:after="0"/>
              <w:jc w:val="center"/>
              <w:rPr>
                <w:rFonts w:cs="Arial"/>
                <w:b/>
                <w:color w:val="FFFFFF" w:themeColor="background1"/>
                <w:sz w:val="18"/>
                <w:szCs w:val="18"/>
              </w:rPr>
            </w:pPr>
            <w:bookmarkStart w:id="90" w:name="_Hlk504632509"/>
            <w:r w:rsidRPr="00035B34">
              <w:rPr>
                <w:rFonts w:cs="Arial"/>
                <w:b/>
                <w:color w:val="FFFFFF" w:themeColor="background1"/>
                <w:sz w:val="18"/>
                <w:szCs w:val="18"/>
              </w:rPr>
              <w:t>Capacitación</w:t>
            </w:r>
          </w:p>
        </w:tc>
        <w:tc>
          <w:tcPr>
            <w:tcW w:w="0" w:type="auto"/>
            <w:shd w:val="clear" w:color="auto" w:fill="76922E"/>
            <w:vAlign w:val="center"/>
            <w:hideMark/>
          </w:tcPr>
          <w:p w:rsidR="008819AE" w:rsidRPr="00035B34" w:rsidRDefault="008819AE" w:rsidP="00476EF8">
            <w:pPr>
              <w:spacing w:after="0"/>
              <w:jc w:val="center"/>
              <w:rPr>
                <w:rFonts w:cs="Arial"/>
                <w:b/>
                <w:color w:val="FFFFFF" w:themeColor="background1"/>
                <w:sz w:val="18"/>
                <w:szCs w:val="18"/>
              </w:rPr>
            </w:pPr>
            <w:r w:rsidRPr="00035B34">
              <w:rPr>
                <w:rFonts w:cs="Arial"/>
                <w:b/>
                <w:color w:val="FFFFFF" w:themeColor="background1"/>
                <w:sz w:val="18"/>
                <w:szCs w:val="18"/>
              </w:rPr>
              <w:t>Asistentes 2017</w:t>
            </w:r>
          </w:p>
        </w:tc>
      </w:tr>
      <w:tr w:rsidR="008819AE" w:rsidRPr="00035B34" w:rsidTr="00035B34">
        <w:trPr>
          <w:trHeight w:val="64"/>
          <w:jc w:val="center"/>
        </w:trPr>
        <w:tc>
          <w:tcPr>
            <w:tcW w:w="0" w:type="auto"/>
            <w:shd w:val="clear" w:color="auto" w:fill="auto"/>
            <w:vAlign w:val="center"/>
            <w:hideMark/>
          </w:tcPr>
          <w:p w:rsidR="008819AE" w:rsidRPr="00035B34" w:rsidRDefault="008819AE" w:rsidP="00476EF8">
            <w:pPr>
              <w:spacing w:after="0"/>
              <w:jc w:val="both"/>
              <w:rPr>
                <w:rFonts w:cs="Arial"/>
                <w:sz w:val="18"/>
                <w:szCs w:val="18"/>
              </w:rPr>
            </w:pPr>
            <w:r w:rsidRPr="00035B34">
              <w:rPr>
                <w:rFonts w:cs="Arial"/>
                <w:sz w:val="18"/>
                <w:szCs w:val="18"/>
              </w:rPr>
              <w:t>Inducción defensores de familia</w:t>
            </w:r>
          </w:p>
        </w:tc>
        <w:tc>
          <w:tcPr>
            <w:tcW w:w="0" w:type="auto"/>
            <w:shd w:val="clear" w:color="auto" w:fill="auto"/>
            <w:vAlign w:val="center"/>
            <w:hideMark/>
          </w:tcPr>
          <w:p w:rsidR="008819AE" w:rsidRPr="00035B34" w:rsidRDefault="008819AE" w:rsidP="00476EF8">
            <w:pPr>
              <w:spacing w:after="0"/>
              <w:jc w:val="center"/>
              <w:rPr>
                <w:rFonts w:cs="Arial"/>
                <w:sz w:val="18"/>
                <w:szCs w:val="18"/>
              </w:rPr>
            </w:pPr>
            <w:r w:rsidRPr="00035B34">
              <w:rPr>
                <w:rFonts w:cs="Arial"/>
                <w:sz w:val="18"/>
                <w:szCs w:val="18"/>
              </w:rPr>
              <w:t>91</w:t>
            </w:r>
          </w:p>
        </w:tc>
      </w:tr>
      <w:tr w:rsidR="008819AE" w:rsidRPr="00035B34" w:rsidTr="00035B34">
        <w:trPr>
          <w:trHeight w:val="95"/>
          <w:jc w:val="center"/>
        </w:trPr>
        <w:tc>
          <w:tcPr>
            <w:tcW w:w="0" w:type="auto"/>
            <w:shd w:val="clear" w:color="auto" w:fill="auto"/>
            <w:vAlign w:val="center"/>
            <w:hideMark/>
          </w:tcPr>
          <w:p w:rsidR="008819AE" w:rsidRPr="00035B34" w:rsidRDefault="008819AE" w:rsidP="00476EF8">
            <w:pPr>
              <w:spacing w:after="0"/>
              <w:jc w:val="both"/>
              <w:rPr>
                <w:rFonts w:cs="Arial"/>
                <w:sz w:val="18"/>
                <w:szCs w:val="18"/>
              </w:rPr>
            </w:pPr>
            <w:r w:rsidRPr="00035B34">
              <w:rPr>
                <w:rFonts w:cs="Arial"/>
                <w:sz w:val="18"/>
                <w:szCs w:val="18"/>
              </w:rPr>
              <w:t>Asistencia técnica defensorías de familia / comisarias</w:t>
            </w:r>
          </w:p>
        </w:tc>
        <w:tc>
          <w:tcPr>
            <w:tcW w:w="0" w:type="auto"/>
            <w:shd w:val="clear" w:color="auto" w:fill="auto"/>
            <w:vAlign w:val="center"/>
            <w:hideMark/>
          </w:tcPr>
          <w:p w:rsidR="008819AE" w:rsidRPr="00035B34" w:rsidRDefault="008819AE" w:rsidP="00476EF8">
            <w:pPr>
              <w:spacing w:after="0"/>
              <w:jc w:val="center"/>
              <w:rPr>
                <w:rFonts w:cs="Arial"/>
                <w:sz w:val="18"/>
                <w:szCs w:val="18"/>
              </w:rPr>
            </w:pPr>
            <w:r w:rsidRPr="00035B34">
              <w:rPr>
                <w:rFonts w:cs="Arial"/>
                <w:sz w:val="18"/>
                <w:szCs w:val="18"/>
              </w:rPr>
              <w:t>1.356</w:t>
            </w:r>
          </w:p>
        </w:tc>
      </w:tr>
      <w:tr w:rsidR="008819AE" w:rsidRPr="00035B34" w:rsidTr="00035B34">
        <w:trPr>
          <w:trHeight w:val="260"/>
          <w:jc w:val="center"/>
        </w:trPr>
        <w:tc>
          <w:tcPr>
            <w:tcW w:w="0" w:type="auto"/>
            <w:shd w:val="clear" w:color="auto" w:fill="auto"/>
            <w:vAlign w:val="center"/>
            <w:hideMark/>
          </w:tcPr>
          <w:p w:rsidR="008819AE" w:rsidRPr="00035B34" w:rsidRDefault="008819AE" w:rsidP="00476EF8">
            <w:pPr>
              <w:spacing w:after="0"/>
              <w:jc w:val="both"/>
              <w:rPr>
                <w:rFonts w:cs="Arial"/>
                <w:sz w:val="18"/>
                <w:szCs w:val="18"/>
              </w:rPr>
            </w:pPr>
            <w:r w:rsidRPr="00035B34">
              <w:rPr>
                <w:rFonts w:cs="Arial"/>
                <w:sz w:val="18"/>
                <w:szCs w:val="18"/>
              </w:rPr>
              <w:t xml:space="preserve">Diplomado para defensores de familia </w:t>
            </w:r>
          </w:p>
        </w:tc>
        <w:tc>
          <w:tcPr>
            <w:tcW w:w="0" w:type="auto"/>
            <w:shd w:val="clear" w:color="auto" w:fill="auto"/>
            <w:vAlign w:val="center"/>
            <w:hideMark/>
          </w:tcPr>
          <w:p w:rsidR="008819AE" w:rsidRPr="00035B34" w:rsidRDefault="008819AE" w:rsidP="00476EF8">
            <w:pPr>
              <w:spacing w:after="0"/>
              <w:jc w:val="center"/>
              <w:rPr>
                <w:rFonts w:cs="Arial"/>
                <w:sz w:val="18"/>
                <w:szCs w:val="18"/>
              </w:rPr>
            </w:pPr>
            <w:r w:rsidRPr="00035B34">
              <w:rPr>
                <w:rFonts w:cs="Arial"/>
                <w:sz w:val="18"/>
                <w:szCs w:val="18"/>
              </w:rPr>
              <w:t>130</w:t>
            </w:r>
          </w:p>
        </w:tc>
      </w:tr>
      <w:tr w:rsidR="008819AE" w:rsidRPr="00035B34" w:rsidTr="00035B34">
        <w:trPr>
          <w:trHeight w:val="50"/>
          <w:jc w:val="center"/>
        </w:trPr>
        <w:tc>
          <w:tcPr>
            <w:tcW w:w="0" w:type="auto"/>
            <w:shd w:val="clear" w:color="auto" w:fill="E2EFDA"/>
            <w:noWrap/>
            <w:vAlign w:val="center"/>
            <w:hideMark/>
          </w:tcPr>
          <w:p w:rsidR="008819AE" w:rsidRPr="00035B34" w:rsidRDefault="008819AE" w:rsidP="00476EF8">
            <w:pPr>
              <w:spacing w:after="0"/>
              <w:jc w:val="both"/>
              <w:rPr>
                <w:rFonts w:cs="Arial"/>
                <w:b/>
                <w:sz w:val="18"/>
                <w:szCs w:val="18"/>
              </w:rPr>
            </w:pPr>
            <w:r w:rsidRPr="00035B34">
              <w:rPr>
                <w:rFonts w:cs="Arial"/>
                <w:b/>
                <w:sz w:val="18"/>
                <w:szCs w:val="18"/>
              </w:rPr>
              <w:t>Total</w:t>
            </w:r>
          </w:p>
        </w:tc>
        <w:tc>
          <w:tcPr>
            <w:tcW w:w="0" w:type="auto"/>
            <w:shd w:val="clear" w:color="auto" w:fill="E2EFDA"/>
            <w:vAlign w:val="center"/>
            <w:hideMark/>
          </w:tcPr>
          <w:p w:rsidR="008819AE" w:rsidRPr="00035B34" w:rsidRDefault="008819AE" w:rsidP="00476EF8">
            <w:pPr>
              <w:spacing w:after="0"/>
              <w:jc w:val="center"/>
              <w:rPr>
                <w:rFonts w:cs="Arial"/>
                <w:b/>
                <w:sz w:val="18"/>
                <w:szCs w:val="18"/>
              </w:rPr>
            </w:pPr>
            <w:r w:rsidRPr="00035B34">
              <w:rPr>
                <w:rFonts w:cs="Arial"/>
                <w:b/>
                <w:sz w:val="18"/>
                <w:szCs w:val="18"/>
              </w:rPr>
              <w:t>1.577</w:t>
            </w:r>
          </w:p>
        </w:tc>
      </w:tr>
      <w:bookmarkEnd w:id="90"/>
    </w:tbl>
    <w:p w:rsidR="008819AE" w:rsidRPr="007608C2" w:rsidRDefault="008819AE" w:rsidP="008819AE">
      <w:pPr>
        <w:jc w:val="both"/>
        <w:rPr>
          <w:rFonts w:cs="Arial"/>
          <w:b/>
        </w:rPr>
      </w:pPr>
    </w:p>
    <w:p w:rsidR="008819AE" w:rsidRPr="007608C2" w:rsidRDefault="008819AE" w:rsidP="008819AE">
      <w:pPr>
        <w:jc w:val="both"/>
        <w:rPr>
          <w:rFonts w:cs="Arial"/>
          <w:b/>
        </w:rPr>
      </w:pPr>
      <w:r w:rsidRPr="007608C2">
        <w:rPr>
          <w:rFonts w:cs="Arial"/>
          <w:b/>
        </w:rPr>
        <w:t>Asistencia Técnica a Comisarios de Familia</w:t>
      </w:r>
    </w:p>
    <w:p w:rsidR="008819AE" w:rsidRPr="007608C2" w:rsidRDefault="008819AE" w:rsidP="008819AE">
      <w:pPr>
        <w:spacing w:after="160" w:line="259" w:lineRule="auto"/>
        <w:contextualSpacing/>
        <w:jc w:val="both"/>
        <w:rPr>
          <w:rFonts w:cs="Arial"/>
        </w:rPr>
      </w:pPr>
      <w:r w:rsidRPr="007608C2">
        <w:rPr>
          <w:rFonts w:cs="Arial"/>
        </w:rPr>
        <w:t xml:space="preserve">Durante el año 2017 se realizó asistencia técnica a 346 Comisarios de Familia de los 9 Departamentos que estaban programados: Caldas, Córdoba, Risaralda, Nariño, Norte de Santander, Quindío, Cundinamarca y los departamentos de la Orinoquía y Amazonía- Igualmente, participaron otras Regionales que solicitaron asistencia técnica y a donde asistieron Comisarios y Defensores de Familia. </w:t>
      </w:r>
    </w:p>
    <w:p w:rsidR="008819AE" w:rsidRPr="007608C2" w:rsidRDefault="008819AE" w:rsidP="008819AE">
      <w:pPr>
        <w:spacing w:after="160" w:line="259" w:lineRule="auto"/>
        <w:ind w:left="708"/>
        <w:contextualSpacing/>
        <w:jc w:val="both"/>
        <w:rPr>
          <w:rFonts w:cs="Arial"/>
        </w:rPr>
      </w:pP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712"/>
        <w:gridCol w:w="1302"/>
        <w:gridCol w:w="1121"/>
      </w:tblGrid>
      <w:tr w:rsidR="008819AE" w:rsidRPr="00035B34" w:rsidTr="00035B34">
        <w:trPr>
          <w:trHeight w:val="315"/>
          <w:tblHeader/>
          <w:jc w:val="center"/>
        </w:trPr>
        <w:tc>
          <w:tcPr>
            <w:tcW w:w="0" w:type="auto"/>
            <w:shd w:val="clear" w:color="auto" w:fill="76922E"/>
            <w:noWrap/>
            <w:vAlign w:val="center"/>
            <w:hideMark/>
          </w:tcPr>
          <w:p w:rsidR="008819AE" w:rsidRPr="00035B34" w:rsidRDefault="008819AE" w:rsidP="00476EF8">
            <w:pPr>
              <w:spacing w:after="0"/>
              <w:jc w:val="center"/>
              <w:rPr>
                <w:rFonts w:cs="Arial"/>
                <w:b/>
                <w:color w:val="FFFFFF" w:themeColor="background1"/>
                <w:sz w:val="18"/>
                <w:szCs w:val="18"/>
              </w:rPr>
            </w:pPr>
            <w:bookmarkStart w:id="91" w:name="_Hlk503885635"/>
            <w:r w:rsidRPr="00035B34">
              <w:rPr>
                <w:rFonts w:cs="Arial"/>
                <w:b/>
                <w:color w:val="FFFFFF" w:themeColor="background1"/>
                <w:sz w:val="18"/>
                <w:szCs w:val="18"/>
              </w:rPr>
              <w:lastRenderedPageBreak/>
              <w:t>Departamentos</w:t>
            </w:r>
          </w:p>
        </w:tc>
        <w:tc>
          <w:tcPr>
            <w:tcW w:w="0" w:type="auto"/>
            <w:shd w:val="clear" w:color="auto" w:fill="76922E"/>
            <w:noWrap/>
            <w:vAlign w:val="center"/>
            <w:hideMark/>
          </w:tcPr>
          <w:p w:rsidR="008819AE" w:rsidRPr="00035B34" w:rsidRDefault="008819AE" w:rsidP="00476EF8">
            <w:pPr>
              <w:spacing w:after="0"/>
              <w:jc w:val="center"/>
              <w:rPr>
                <w:rFonts w:cs="Arial"/>
                <w:b/>
                <w:color w:val="FFFFFF" w:themeColor="background1"/>
                <w:sz w:val="18"/>
                <w:szCs w:val="18"/>
              </w:rPr>
            </w:pPr>
            <w:r w:rsidRPr="00035B34">
              <w:rPr>
                <w:rFonts w:cs="Arial"/>
                <w:b/>
                <w:color w:val="FFFFFF" w:themeColor="background1"/>
                <w:sz w:val="18"/>
                <w:szCs w:val="18"/>
              </w:rPr>
              <w:t>Fecha</w:t>
            </w:r>
          </w:p>
        </w:tc>
        <w:tc>
          <w:tcPr>
            <w:tcW w:w="0" w:type="auto"/>
            <w:shd w:val="clear" w:color="auto" w:fill="76922E"/>
            <w:noWrap/>
            <w:vAlign w:val="center"/>
            <w:hideMark/>
          </w:tcPr>
          <w:p w:rsidR="008819AE" w:rsidRPr="00035B34" w:rsidRDefault="008819AE" w:rsidP="00476EF8">
            <w:pPr>
              <w:spacing w:after="0"/>
              <w:jc w:val="center"/>
              <w:rPr>
                <w:rFonts w:cs="Arial"/>
                <w:b/>
                <w:color w:val="FFFFFF" w:themeColor="background1"/>
                <w:sz w:val="18"/>
                <w:szCs w:val="18"/>
              </w:rPr>
            </w:pPr>
            <w:r w:rsidRPr="00035B34">
              <w:rPr>
                <w:rFonts w:cs="Arial"/>
                <w:b/>
                <w:color w:val="FFFFFF" w:themeColor="background1"/>
                <w:sz w:val="18"/>
                <w:szCs w:val="18"/>
              </w:rPr>
              <w:t>Comisarios</w:t>
            </w:r>
          </w:p>
        </w:tc>
      </w:tr>
      <w:tr w:rsidR="008819AE" w:rsidRPr="00035B34" w:rsidTr="00035B34">
        <w:trPr>
          <w:trHeight w:val="300"/>
          <w:jc w:val="center"/>
        </w:trPr>
        <w:tc>
          <w:tcPr>
            <w:tcW w:w="0" w:type="auto"/>
            <w:shd w:val="clear" w:color="auto" w:fill="FFFFFF"/>
            <w:noWrap/>
            <w:vAlign w:val="bottom"/>
            <w:hideMark/>
          </w:tcPr>
          <w:p w:rsidR="008819AE" w:rsidRPr="00035B34" w:rsidRDefault="008819AE" w:rsidP="00476EF8">
            <w:pPr>
              <w:spacing w:after="0"/>
              <w:rPr>
                <w:rFonts w:cs="Arial"/>
                <w:sz w:val="18"/>
                <w:szCs w:val="18"/>
              </w:rPr>
            </w:pPr>
            <w:r w:rsidRPr="00035B34">
              <w:rPr>
                <w:rFonts w:cs="Arial"/>
                <w:sz w:val="18"/>
                <w:szCs w:val="18"/>
              </w:rPr>
              <w:t>Cundinamarca</w:t>
            </w:r>
          </w:p>
        </w:tc>
        <w:tc>
          <w:tcPr>
            <w:tcW w:w="0" w:type="auto"/>
            <w:shd w:val="clear" w:color="auto" w:fill="FFFFFF"/>
            <w:noWrap/>
            <w:vAlign w:val="bottom"/>
            <w:hideMark/>
          </w:tcPr>
          <w:p w:rsidR="008819AE" w:rsidRPr="00035B34" w:rsidRDefault="008819AE" w:rsidP="00035B34">
            <w:pPr>
              <w:spacing w:after="0"/>
              <w:rPr>
                <w:rFonts w:cs="Arial"/>
                <w:sz w:val="18"/>
                <w:szCs w:val="18"/>
              </w:rPr>
            </w:pPr>
            <w:r w:rsidRPr="00035B34">
              <w:rPr>
                <w:rFonts w:cs="Arial"/>
                <w:sz w:val="18"/>
                <w:szCs w:val="18"/>
              </w:rPr>
              <w:t>22/02/2017</w:t>
            </w:r>
          </w:p>
        </w:tc>
        <w:tc>
          <w:tcPr>
            <w:tcW w:w="0" w:type="auto"/>
            <w:shd w:val="clear" w:color="auto" w:fill="FFFFFF"/>
            <w:noWrap/>
            <w:vAlign w:val="bottom"/>
            <w:hideMark/>
          </w:tcPr>
          <w:p w:rsidR="008819AE" w:rsidRPr="00035B34" w:rsidRDefault="008819AE" w:rsidP="00476EF8">
            <w:pPr>
              <w:spacing w:after="0"/>
              <w:jc w:val="center"/>
              <w:rPr>
                <w:rFonts w:cs="Arial"/>
                <w:sz w:val="18"/>
                <w:szCs w:val="18"/>
              </w:rPr>
            </w:pPr>
            <w:r w:rsidRPr="00035B34">
              <w:rPr>
                <w:rFonts w:cs="Arial"/>
                <w:sz w:val="18"/>
                <w:szCs w:val="18"/>
              </w:rPr>
              <w:t>44</w:t>
            </w:r>
          </w:p>
        </w:tc>
      </w:tr>
      <w:tr w:rsidR="008819AE" w:rsidRPr="00035B34" w:rsidTr="00035B34">
        <w:trPr>
          <w:trHeight w:val="300"/>
          <w:jc w:val="center"/>
        </w:trPr>
        <w:tc>
          <w:tcPr>
            <w:tcW w:w="0" w:type="auto"/>
            <w:shd w:val="clear" w:color="auto" w:fill="auto"/>
            <w:noWrap/>
            <w:vAlign w:val="bottom"/>
            <w:hideMark/>
          </w:tcPr>
          <w:p w:rsidR="008819AE" w:rsidRPr="00035B34" w:rsidRDefault="008819AE" w:rsidP="00476EF8">
            <w:pPr>
              <w:spacing w:after="0"/>
              <w:rPr>
                <w:rFonts w:cs="Arial"/>
                <w:sz w:val="18"/>
                <w:szCs w:val="18"/>
              </w:rPr>
            </w:pPr>
            <w:r w:rsidRPr="00035B34">
              <w:rPr>
                <w:rFonts w:cs="Arial"/>
                <w:sz w:val="18"/>
                <w:szCs w:val="18"/>
              </w:rPr>
              <w:t>Caldas</w:t>
            </w:r>
          </w:p>
        </w:tc>
        <w:tc>
          <w:tcPr>
            <w:tcW w:w="0" w:type="auto"/>
            <w:shd w:val="clear" w:color="auto" w:fill="auto"/>
            <w:noWrap/>
            <w:vAlign w:val="bottom"/>
            <w:hideMark/>
          </w:tcPr>
          <w:p w:rsidR="008819AE" w:rsidRPr="00035B34" w:rsidRDefault="008819AE" w:rsidP="00035B34">
            <w:pPr>
              <w:spacing w:after="0"/>
              <w:rPr>
                <w:rFonts w:cs="Arial"/>
                <w:sz w:val="18"/>
                <w:szCs w:val="18"/>
              </w:rPr>
            </w:pPr>
            <w:r w:rsidRPr="00035B34">
              <w:rPr>
                <w:rFonts w:cs="Arial"/>
                <w:sz w:val="18"/>
                <w:szCs w:val="18"/>
              </w:rPr>
              <w:t>2-3</w:t>
            </w:r>
            <w:r w:rsidR="00D255A6">
              <w:rPr>
                <w:rFonts w:cs="Arial"/>
                <w:sz w:val="18"/>
                <w:szCs w:val="18"/>
              </w:rPr>
              <w:t>/03/</w:t>
            </w:r>
            <w:r w:rsidRPr="00035B34">
              <w:rPr>
                <w:rFonts w:cs="Arial"/>
                <w:sz w:val="18"/>
                <w:szCs w:val="18"/>
              </w:rPr>
              <w:t>2017</w:t>
            </w:r>
          </w:p>
        </w:tc>
        <w:tc>
          <w:tcPr>
            <w:tcW w:w="0" w:type="auto"/>
            <w:shd w:val="clear" w:color="auto" w:fill="auto"/>
            <w:noWrap/>
            <w:vAlign w:val="bottom"/>
            <w:hideMark/>
          </w:tcPr>
          <w:p w:rsidR="008819AE" w:rsidRPr="00035B34" w:rsidRDefault="008819AE" w:rsidP="00476EF8">
            <w:pPr>
              <w:spacing w:after="0"/>
              <w:jc w:val="center"/>
              <w:rPr>
                <w:rFonts w:cs="Arial"/>
                <w:sz w:val="18"/>
                <w:szCs w:val="18"/>
              </w:rPr>
            </w:pPr>
            <w:r w:rsidRPr="00035B34">
              <w:rPr>
                <w:rFonts w:cs="Arial"/>
                <w:sz w:val="18"/>
                <w:szCs w:val="18"/>
              </w:rPr>
              <w:t>36</w:t>
            </w:r>
          </w:p>
        </w:tc>
      </w:tr>
      <w:tr w:rsidR="008819AE" w:rsidRPr="00035B34" w:rsidTr="00035B34">
        <w:trPr>
          <w:trHeight w:val="300"/>
          <w:jc w:val="center"/>
        </w:trPr>
        <w:tc>
          <w:tcPr>
            <w:tcW w:w="0" w:type="auto"/>
            <w:shd w:val="clear" w:color="auto" w:fill="auto"/>
            <w:noWrap/>
            <w:vAlign w:val="bottom"/>
            <w:hideMark/>
          </w:tcPr>
          <w:p w:rsidR="008819AE" w:rsidRPr="00035B34" w:rsidRDefault="008819AE" w:rsidP="00476EF8">
            <w:pPr>
              <w:spacing w:after="0"/>
              <w:rPr>
                <w:rFonts w:cs="Arial"/>
                <w:sz w:val="18"/>
                <w:szCs w:val="18"/>
              </w:rPr>
            </w:pPr>
            <w:r w:rsidRPr="00035B34">
              <w:rPr>
                <w:rFonts w:cs="Arial"/>
                <w:sz w:val="18"/>
                <w:szCs w:val="18"/>
              </w:rPr>
              <w:t>Córdoba</w:t>
            </w:r>
          </w:p>
        </w:tc>
        <w:tc>
          <w:tcPr>
            <w:tcW w:w="0" w:type="auto"/>
            <w:shd w:val="clear" w:color="auto" w:fill="auto"/>
            <w:noWrap/>
            <w:vAlign w:val="bottom"/>
            <w:hideMark/>
          </w:tcPr>
          <w:p w:rsidR="008819AE" w:rsidRPr="00035B34" w:rsidRDefault="008819AE" w:rsidP="00035B34">
            <w:pPr>
              <w:spacing w:after="0"/>
              <w:rPr>
                <w:rFonts w:cs="Arial"/>
                <w:sz w:val="18"/>
                <w:szCs w:val="18"/>
              </w:rPr>
            </w:pPr>
            <w:r w:rsidRPr="00035B34">
              <w:rPr>
                <w:rFonts w:cs="Arial"/>
                <w:sz w:val="18"/>
                <w:szCs w:val="18"/>
              </w:rPr>
              <w:t>30-31/03/2017</w:t>
            </w:r>
          </w:p>
        </w:tc>
        <w:tc>
          <w:tcPr>
            <w:tcW w:w="0" w:type="auto"/>
            <w:shd w:val="clear" w:color="auto" w:fill="auto"/>
            <w:noWrap/>
            <w:vAlign w:val="bottom"/>
            <w:hideMark/>
          </w:tcPr>
          <w:p w:rsidR="008819AE" w:rsidRPr="00035B34" w:rsidRDefault="008819AE" w:rsidP="00476EF8">
            <w:pPr>
              <w:spacing w:after="0"/>
              <w:jc w:val="center"/>
              <w:rPr>
                <w:rFonts w:cs="Arial"/>
                <w:sz w:val="18"/>
                <w:szCs w:val="18"/>
              </w:rPr>
            </w:pPr>
            <w:r w:rsidRPr="00035B34">
              <w:rPr>
                <w:rFonts w:cs="Arial"/>
                <w:sz w:val="18"/>
                <w:szCs w:val="18"/>
              </w:rPr>
              <w:t>30</w:t>
            </w:r>
          </w:p>
        </w:tc>
      </w:tr>
      <w:tr w:rsidR="008819AE" w:rsidRPr="00035B34" w:rsidTr="00035B34">
        <w:trPr>
          <w:trHeight w:val="300"/>
          <w:jc w:val="center"/>
        </w:trPr>
        <w:tc>
          <w:tcPr>
            <w:tcW w:w="0" w:type="auto"/>
            <w:shd w:val="clear" w:color="auto" w:fill="auto"/>
            <w:noWrap/>
            <w:vAlign w:val="bottom"/>
            <w:hideMark/>
          </w:tcPr>
          <w:p w:rsidR="008819AE" w:rsidRPr="00035B34" w:rsidRDefault="008819AE" w:rsidP="00476EF8">
            <w:pPr>
              <w:spacing w:after="0"/>
              <w:rPr>
                <w:rFonts w:cs="Arial"/>
                <w:sz w:val="18"/>
                <w:szCs w:val="18"/>
              </w:rPr>
            </w:pPr>
            <w:r w:rsidRPr="00035B34">
              <w:rPr>
                <w:rFonts w:cs="Arial"/>
                <w:sz w:val="18"/>
                <w:szCs w:val="18"/>
              </w:rPr>
              <w:t>Risaralda</w:t>
            </w:r>
          </w:p>
        </w:tc>
        <w:tc>
          <w:tcPr>
            <w:tcW w:w="0" w:type="auto"/>
            <w:shd w:val="clear" w:color="auto" w:fill="auto"/>
            <w:noWrap/>
            <w:vAlign w:val="bottom"/>
            <w:hideMark/>
          </w:tcPr>
          <w:p w:rsidR="008819AE" w:rsidRPr="00035B34" w:rsidRDefault="00035B34" w:rsidP="00035B34">
            <w:pPr>
              <w:spacing w:after="0"/>
              <w:rPr>
                <w:rFonts w:cs="Arial"/>
                <w:sz w:val="18"/>
                <w:szCs w:val="18"/>
              </w:rPr>
            </w:pPr>
            <w:r>
              <w:rPr>
                <w:rFonts w:cs="Arial"/>
                <w:sz w:val="18"/>
                <w:szCs w:val="18"/>
              </w:rPr>
              <w:t>20-21/</w:t>
            </w:r>
            <w:r w:rsidR="008819AE" w:rsidRPr="00035B34">
              <w:rPr>
                <w:rFonts w:cs="Arial"/>
                <w:sz w:val="18"/>
                <w:szCs w:val="18"/>
              </w:rPr>
              <w:t>04/2017</w:t>
            </w:r>
          </w:p>
        </w:tc>
        <w:tc>
          <w:tcPr>
            <w:tcW w:w="0" w:type="auto"/>
            <w:shd w:val="clear" w:color="auto" w:fill="auto"/>
            <w:noWrap/>
            <w:vAlign w:val="bottom"/>
            <w:hideMark/>
          </w:tcPr>
          <w:p w:rsidR="008819AE" w:rsidRPr="00035B34" w:rsidRDefault="008819AE" w:rsidP="00476EF8">
            <w:pPr>
              <w:spacing w:after="0"/>
              <w:jc w:val="center"/>
              <w:rPr>
                <w:rFonts w:cs="Arial"/>
                <w:sz w:val="18"/>
                <w:szCs w:val="18"/>
              </w:rPr>
            </w:pPr>
            <w:r w:rsidRPr="00035B34">
              <w:rPr>
                <w:rFonts w:cs="Arial"/>
                <w:sz w:val="18"/>
                <w:szCs w:val="18"/>
              </w:rPr>
              <w:t>32</w:t>
            </w:r>
          </w:p>
        </w:tc>
      </w:tr>
      <w:tr w:rsidR="008819AE" w:rsidRPr="00035B34" w:rsidTr="00035B34">
        <w:trPr>
          <w:trHeight w:val="300"/>
          <w:jc w:val="center"/>
        </w:trPr>
        <w:tc>
          <w:tcPr>
            <w:tcW w:w="0" w:type="auto"/>
            <w:shd w:val="clear" w:color="auto" w:fill="auto"/>
            <w:noWrap/>
            <w:vAlign w:val="bottom"/>
            <w:hideMark/>
          </w:tcPr>
          <w:p w:rsidR="008819AE" w:rsidRPr="00035B34" w:rsidRDefault="008819AE" w:rsidP="00476EF8">
            <w:pPr>
              <w:spacing w:after="0"/>
              <w:rPr>
                <w:rFonts w:cs="Arial"/>
                <w:sz w:val="18"/>
                <w:szCs w:val="18"/>
              </w:rPr>
            </w:pPr>
            <w:r w:rsidRPr="00035B34">
              <w:rPr>
                <w:rFonts w:cs="Arial"/>
                <w:sz w:val="18"/>
                <w:szCs w:val="18"/>
              </w:rPr>
              <w:t>Cundinamarca</w:t>
            </w:r>
          </w:p>
        </w:tc>
        <w:tc>
          <w:tcPr>
            <w:tcW w:w="0" w:type="auto"/>
            <w:shd w:val="clear" w:color="auto" w:fill="auto"/>
            <w:noWrap/>
            <w:vAlign w:val="bottom"/>
            <w:hideMark/>
          </w:tcPr>
          <w:p w:rsidR="008819AE" w:rsidRPr="00035B34" w:rsidRDefault="008819AE" w:rsidP="00035B34">
            <w:pPr>
              <w:spacing w:after="0"/>
              <w:rPr>
                <w:rFonts w:cs="Arial"/>
                <w:sz w:val="18"/>
                <w:szCs w:val="18"/>
              </w:rPr>
            </w:pPr>
            <w:r w:rsidRPr="00035B34">
              <w:rPr>
                <w:rFonts w:cs="Arial"/>
                <w:sz w:val="18"/>
                <w:szCs w:val="18"/>
              </w:rPr>
              <w:t>03/05/2017</w:t>
            </w:r>
          </w:p>
        </w:tc>
        <w:tc>
          <w:tcPr>
            <w:tcW w:w="0" w:type="auto"/>
            <w:shd w:val="clear" w:color="auto" w:fill="auto"/>
            <w:noWrap/>
            <w:vAlign w:val="bottom"/>
            <w:hideMark/>
          </w:tcPr>
          <w:p w:rsidR="008819AE" w:rsidRPr="00035B34" w:rsidRDefault="008819AE" w:rsidP="00476EF8">
            <w:pPr>
              <w:spacing w:after="0"/>
              <w:jc w:val="center"/>
              <w:rPr>
                <w:rFonts w:cs="Arial"/>
                <w:sz w:val="18"/>
                <w:szCs w:val="18"/>
              </w:rPr>
            </w:pPr>
            <w:r w:rsidRPr="00035B34">
              <w:rPr>
                <w:rFonts w:cs="Arial"/>
                <w:sz w:val="18"/>
                <w:szCs w:val="18"/>
              </w:rPr>
              <w:t>20</w:t>
            </w:r>
          </w:p>
        </w:tc>
      </w:tr>
      <w:tr w:rsidR="008819AE" w:rsidRPr="00035B34" w:rsidTr="00035B34">
        <w:trPr>
          <w:trHeight w:val="300"/>
          <w:jc w:val="center"/>
        </w:trPr>
        <w:tc>
          <w:tcPr>
            <w:tcW w:w="0" w:type="auto"/>
            <w:shd w:val="clear" w:color="auto" w:fill="auto"/>
            <w:noWrap/>
            <w:vAlign w:val="bottom"/>
            <w:hideMark/>
          </w:tcPr>
          <w:p w:rsidR="008819AE" w:rsidRPr="00035B34" w:rsidRDefault="008819AE" w:rsidP="00476EF8">
            <w:pPr>
              <w:spacing w:after="0"/>
              <w:rPr>
                <w:rFonts w:cs="Arial"/>
                <w:sz w:val="18"/>
                <w:szCs w:val="18"/>
              </w:rPr>
            </w:pPr>
            <w:r w:rsidRPr="00035B34">
              <w:rPr>
                <w:rFonts w:cs="Arial"/>
                <w:sz w:val="18"/>
                <w:szCs w:val="18"/>
              </w:rPr>
              <w:t>Nariño</w:t>
            </w:r>
          </w:p>
        </w:tc>
        <w:tc>
          <w:tcPr>
            <w:tcW w:w="0" w:type="auto"/>
            <w:shd w:val="clear" w:color="auto" w:fill="auto"/>
            <w:noWrap/>
            <w:vAlign w:val="bottom"/>
            <w:hideMark/>
          </w:tcPr>
          <w:p w:rsidR="008819AE" w:rsidRPr="00035B34" w:rsidRDefault="008819AE" w:rsidP="00035B34">
            <w:pPr>
              <w:spacing w:after="0"/>
              <w:rPr>
                <w:rFonts w:cs="Arial"/>
                <w:sz w:val="18"/>
                <w:szCs w:val="18"/>
              </w:rPr>
            </w:pPr>
            <w:r w:rsidRPr="00035B34">
              <w:rPr>
                <w:rFonts w:cs="Arial"/>
                <w:sz w:val="18"/>
                <w:szCs w:val="18"/>
              </w:rPr>
              <w:t>30-31/05</w:t>
            </w:r>
            <w:r w:rsidR="00035B34">
              <w:rPr>
                <w:rFonts w:cs="Arial"/>
                <w:sz w:val="18"/>
                <w:szCs w:val="18"/>
              </w:rPr>
              <w:t>/</w:t>
            </w:r>
            <w:r w:rsidRPr="00035B34">
              <w:rPr>
                <w:rFonts w:cs="Arial"/>
                <w:sz w:val="18"/>
                <w:szCs w:val="18"/>
              </w:rPr>
              <w:t>2017</w:t>
            </w:r>
          </w:p>
        </w:tc>
        <w:tc>
          <w:tcPr>
            <w:tcW w:w="0" w:type="auto"/>
            <w:shd w:val="clear" w:color="auto" w:fill="auto"/>
            <w:noWrap/>
            <w:vAlign w:val="bottom"/>
            <w:hideMark/>
          </w:tcPr>
          <w:p w:rsidR="008819AE" w:rsidRPr="00035B34" w:rsidRDefault="008819AE" w:rsidP="00476EF8">
            <w:pPr>
              <w:spacing w:after="0"/>
              <w:jc w:val="center"/>
              <w:rPr>
                <w:rFonts w:cs="Arial"/>
                <w:sz w:val="18"/>
                <w:szCs w:val="18"/>
              </w:rPr>
            </w:pPr>
            <w:r w:rsidRPr="00035B34">
              <w:rPr>
                <w:rFonts w:cs="Arial"/>
                <w:sz w:val="18"/>
                <w:szCs w:val="18"/>
              </w:rPr>
              <w:t>59</w:t>
            </w:r>
          </w:p>
        </w:tc>
      </w:tr>
      <w:tr w:rsidR="008819AE" w:rsidRPr="00035B34" w:rsidTr="00035B34">
        <w:trPr>
          <w:trHeight w:val="300"/>
          <w:jc w:val="center"/>
        </w:trPr>
        <w:tc>
          <w:tcPr>
            <w:tcW w:w="0" w:type="auto"/>
            <w:shd w:val="clear" w:color="auto" w:fill="auto"/>
            <w:noWrap/>
            <w:vAlign w:val="bottom"/>
            <w:hideMark/>
          </w:tcPr>
          <w:p w:rsidR="008819AE" w:rsidRPr="00035B34" w:rsidRDefault="008819AE" w:rsidP="00476EF8">
            <w:pPr>
              <w:spacing w:after="0"/>
              <w:rPr>
                <w:rFonts w:cs="Arial"/>
                <w:sz w:val="18"/>
                <w:szCs w:val="18"/>
              </w:rPr>
            </w:pPr>
            <w:r w:rsidRPr="00035B34">
              <w:rPr>
                <w:rFonts w:cs="Arial"/>
                <w:sz w:val="18"/>
                <w:szCs w:val="18"/>
              </w:rPr>
              <w:t>Norte de Santander</w:t>
            </w:r>
          </w:p>
        </w:tc>
        <w:tc>
          <w:tcPr>
            <w:tcW w:w="0" w:type="auto"/>
            <w:shd w:val="clear" w:color="auto" w:fill="auto"/>
            <w:noWrap/>
            <w:vAlign w:val="bottom"/>
            <w:hideMark/>
          </w:tcPr>
          <w:p w:rsidR="008819AE" w:rsidRPr="00035B34" w:rsidRDefault="008819AE" w:rsidP="00035B34">
            <w:pPr>
              <w:spacing w:after="0"/>
              <w:rPr>
                <w:rFonts w:cs="Arial"/>
                <w:sz w:val="18"/>
                <w:szCs w:val="18"/>
              </w:rPr>
            </w:pPr>
            <w:r w:rsidRPr="00035B34">
              <w:rPr>
                <w:rFonts w:cs="Arial"/>
                <w:sz w:val="18"/>
                <w:szCs w:val="18"/>
              </w:rPr>
              <w:t>13-14/07/2017</w:t>
            </w:r>
          </w:p>
        </w:tc>
        <w:tc>
          <w:tcPr>
            <w:tcW w:w="0" w:type="auto"/>
            <w:shd w:val="clear" w:color="auto" w:fill="auto"/>
            <w:noWrap/>
            <w:vAlign w:val="bottom"/>
            <w:hideMark/>
          </w:tcPr>
          <w:p w:rsidR="008819AE" w:rsidRPr="00035B34" w:rsidRDefault="008819AE" w:rsidP="00476EF8">
            <w:pPr>
              <w:spacing w:after="0"/>
              <w:jc w:val="center"/>
              <w:rPr>
                <w:rFonts w:cs="Arial"/>
                <w:sz w:val="18"/>
                <w:szCs w:val="18"/>
              </w:rPr>
            </w:pPr>
            <w:r w:rsidRPr="00035B34">
              <w:rPr>
                <w:rFonts w:cs="Arial"/>
                <w:sz w:val="18"/>
                <w:szCs w:val="18"/>
              </w:rPr>
              <w:t>50</w:t>
            </w:r>
          </w:p>
        </w:tc>
      </w:tr>
      <w:tr w:rsidR="008819AE" w:rsidRPr="00035B34" w:rsidTr="00035B34">
        <w:trPr>
          <w:trHeight w:val="300"/>
          <w:jc w:val="center"/>
        </w:trPr>
        <w:tc>
          <w:tcPr>
            <w:tcW w:w="0" w:type="auto"/>
            <w:shd w:val="clear" w:color="auto" w:fill="FFFFFF"/>
            <w:noWrap/>
            <w:vAlign w:val="bottom"/>
            <w:hideMark/>
          </w:tcPr>
          <w:p w:rsidR="008819AE" w:rsidRPr="00035B34" w:rsidRDefault="008819AE" w:rsidP="00476EF8">
            <w:pPr>
              <w:spacing w:after="0"/>
              <w:rPr>
                <w:rFonts w:cs="Arial"/>
                <w:sz w:val="18"/>
                <w:szCs w:val="18"/>
              </w:rPr>
            </w:pPr>
            <w:r w:rsidRPr="00035B34">
              <w:rPr>
                <w:rFonts w:cs="Arial"/>
                <w:sz w:val="18"/>
                <w:szCs w:val="18"/>
              </w:rPr>
              <w:t>Casanare</w:t>
            </w:r>
          </w:p>
        </w:tc>
        <w:tc>
          <w:tcPr>
            <w:tcW w:w="0" w:type="auto"/>
            <w:shd w:val="clear" w:color="auto" w:fill="FFFFFF"/>
            <w:noWrap/>
            <w:vAlign w:val="bottom"/>
            <w:hideMark/>
          </w:tcPr>
          <w:p w:rsidR="008819AE" w:rsidRPr="00035B34" w:rsidRDefault="00035B34" w:rsidP="00035B34">
            <w:pPr>
              <w:spacing w:after="0"/>
              <w:rPr>
                <w:rFonts w:cs="Arial"/>
                <w:sz w:val="18"/>
                <w:szCs w:val="18"/>
              </w:rPr>
            </w:pPr>
            <w:r>
              <w:rPr>
                <w:rFonts w:cs="Arial"/>
                <w:sz w:val="18"/>
                <w:szCs w:val="18"/>
              </w:rPr>
              <w:t>28-</w:t>
            </w:r>
            <w:r w:rsidR="008819AE" w:rsidRPr="00035B34">
              <w:rPr>
                <w:rFonts w:cs="Arial"/>
                <w:sz w:val="18"/>
                <w:szCs w:val="18"/>
              </w:rPr>
              <w:t>29/07/2017</w:t>
            </w:r>
          </w:p>
        </w:tc>
        <w:tc>
          <w:tcPr>
            <w:tcW w:w="0" w:type="auto"/>
            <w:shd w:val="clear" w:color="auto" w:fill="FFFFFF"/>
            <w:noWrap/>
            <w:vAlign w:val="bottom"/>
            <w:hideMark/>
          </w:tcPr>
          <w:p w:rsidR="008819AE" w:rsidRPr="00035B34" w:rsidRDefault="008819AE" w:rsidP="00476EF8">
            <w:pPr>
              <w:spacing w:after="0"/>
              <w:jc w:val="center"/>
              <w:rPr>
                <w:rFonts w:cs="Arial"/>
                <w:sz w:val="18"/>
                <w:szCs w:val="18"/>
              </w:rPr>
            </w:pPr>
            <w:r w:rsidRPr="00035B34">
              <w:rPr>
                <w:rFonts w:cs="Arial"/>
                <w:sz w:val="18"/>
                <w:szCs w:val="18"/>
              </w:rPr>
              <w:t>18</w:t>
            </w:r>
          </w:p>
        </w:tc>
      </w:tr>
      <w:tr w:rsidR="008819AE" w:rsidRPr="00035B34" w:rsidTr="00035B34">
        <w:trPr>
          <w:trHeight w:val="300"/>
          <w:jc w:val="center"/>
        </w:trPr>
        <w:tc>
          <w:tcPr>
            <w:tcW w:w="0" w:type="auto"/>
            <w:shd w:val="clear" w:color="auto" w:fill="auto"/>
            <w:noWrap/>
            <w:vAlign w:val="bottom"/>
            <w:hideMark/>
          </w:tcPr>
          <w:p w:rsidR="008819AE" w:rsidRPr="00035B34" w:rsidRDefault="008819AE" w:rsidP="00476EF8">
            <w:pPr>
              <w:spacing w:after="0"/>
              <w:rPr>
                <w:rFonts w:cs="Arial"/>
                <w:sz w:val="18"/>
                <w:szCs w:val="18"/>
              </w:rPr>
            </w:pPr>
            <w:r w:rsidRPr="00035B34">
              <w:rPr>
                <w:rFonts w:cs="Arial"/>
                <w:sz w:val="18"/>
                <w:szCs w:val="18"/>
              </w:rPr>
              <w:t>Quindío</w:t>
            </w:r>
          </w:p>
        </w:tc>
        <w:tc>
          <w:tcPr>
            <w:tcW w:w="0" w:type="auto"/>
            <w:shd w:val="clear" w:color="auto" w:fill="auto"/>
            <w:noWrap/>
            <w:vAlign w:val="bottom"/>
            <w:hideMark/>
          </w:tcPr>
          <w:p w:rsidR="008819AE" w:rsidRPr="00035B34" w:rsidRDefault="008819AE" w:rsidP="00035B34">
            <w:pPr>
              <w:spacing w:after="0"/>
              <w:rPr>
                <w:rFonts w:cs="Arial"/>
                <w:sz w:val="18"/>
                <w:szCs w:val="18"/>
              </w:rPr>
            </w:pPr>
            <w:r w:rsidRPr="00035B34">
              <w:rPr>
                <w:rFonts w:cs="Arial"/>
                <w:sz w:val="18"/>
                <w:szCs w:val="18"/>
              </w:rPr>
              <w:t>17-18/08/2017</w:t>
            </w:r>
          </w:p>
        </w:tc>
        <w:tc>
          <w:tcPr>
            <w:tcW w:w="0" w:type="auto"/>
            <w:shd w:val="clear" w:color="auto" w:fill="auto"/>
            <w:noWrap/>
            <w:vAlign w:val="bottom"/>
            <w:hideMark/>
          </w:tcPr>
          <w:p w:rsidR="008819AE" w:rsidRPr="00035B34" w:rsidRDefault="008819AE" w:rsidP="00476EF8">
            <w:pPr>
              <w:spacing w:after="0"/>
              <w:jc w:val="center"/>
              <w:rPr>
                <w:rFonts w:cs="Arial"/>
                <w:sz w:val="18"/>
                <w:szCs w:val="18"/>
              </w:rPr>
            </w:pPr>
            <w:r w:rsidRPr="00035B34">
              <w:rPr>
                <w:rFonts w:cs="Arial"/>
                <w:sz w:val="18"/>
                <w:szCs w:val="18"/>
              </w:rPr>
              <w:t>17</w:t>
            </w:r>
          </w:p>
        </w:tc>
      </w:tr>
      <w:tr w:rsidR="008819AE" w:rsidRPr="00035B34" w:rsidTr="00035B34">
        <w:trPr>
          <w:trHeight w:val="300"/>
          <w:jc w:val="center"/>
        </w:trPr>
        <w:tc>
          <w:tcPr>
            <w:tcW w:w="0" w:type="auto"/>
            <w:shd w:val="clear" w:color="auto" w:fill="auto"/>
            <w:noWrap/>
            <w:vAlign w:val="bottom"/>
            <w:hideMark/>
          </w:tcPr>
          <w:p w:rsidR="008819AE" w:rsidRPr="00035B34" w:rsidRDefault="008819AE" w:rsidP="00476EF8">
            <w:pPr>
              <w:spacing w:after="0"/>
              <w:rPr>
                <w:rFonts w:cs="Arial"/>
                <w:sz w:val="18"/>
                <w:szCs w:val="18"/>
              </w:rPr>
            </w:pPr>
            <w:r w:rsidRPr="00035B34">
              <w:rPr>
                <w:rFonts w:cs="Arial"/>
                <w:sz w:val="18"/>
                <w:szCs w:val="18"/>
              </w:rPr>
              <w:t>Cundinamarca</w:t>
            </w:r>
          </w:p>
        </w:tc>
        <w:tc>
          <w:tcPr>
            <w:tcW w:w="0" w:type="auto"/>
            <w:shd w:val="clear" w:color="auto" w:fill="auto"/>
            <w:noWrap/>
            <w:vAlign w:val="bottom"/>
            <w:hideMark/>
          </w:tcPr>
          <w:p w:rsidR="008819AE" w:rsidRPr="00035B34" w:rsidRDefault="00035B34" w:rsidP="00035B34">
            <w:pPr>
              <w:spacing w:after="0"/>
              <w:rPr>
                <w:rFonts w:cs="Arial"/>
                <w:sz w:val="18"/>
                <w:szCs w:val="18"/>
              </w:rPr>
            </w:pPr>
            <w:r>
              <w:rPr>
                <w:rFonts w:cs="Arial"/>
                <w:sz w:val="18"/>
                <w:szCs w:val="18"/>
              </w:rPr>
              <w:t>15</w:t>
            </w:r>
            <w:r w:rsidR="008819AE" w:rsidRPr="00035B34">
              <w:rPr>
                <w:rFonts w:cs="Arial"/>
                <w:sz w:val="18"/>
                <w:szCs w:val="18"/>
              </w:rPr>
              <w:t>-18/08/2017</w:t>
            </w:r>
          </w:p>
        </w:tc>
        <w:tc>
          <w:tcPr>
            <w:tcW w:w="0" w:type="auto"/>
            <w:shd w:val="clear" w:color="auto" w:fill="auto"/>
            <w:noWrap/>
            <w:vAlign w:val="bottom"/>
            <w:hideMark/>
          </w:tcPr>
          <w:p w:rsidR="008819AE" w:rsidRPr="00035B34" w:rsidRDefault="008819AE" w:rsidP="00476EF8">
            <w:pPr>
              <w:spacing w:after="0"/>
              <w:jc w:val="center"/>
              <w:rPr>
                <w:rFonts w:cs="Arial"/>
                <w:sz w:val="18"/>
                <w:szCs w:val="18"/>
              </w:rPr>
            </w:pPr>
            <w:r w:rsidRPr="00035B34">
              <w:rPr>
                <w:rFonts w:cs="Arial"/>
                <w:sz w:val="18"/>
                <w:szCs w:val="18"/>
              </w:rPr>
              <w:t>25</w:t>
            </w:r>
          </w:p>
        </w:tc>
      </w:tr>
      <w:tr w:rsidR="008819AE" w:rsidRPr="00035B34" w:rsidTr="00035B34">
        <w:trPr>
          <w:trHeight w:val="315"/>
          <w:jc w:val="center"/>
        </w:trPr>
        <w:tc>
          <w:tcPr>
            <w:tcW w:w="0" w:type="auto"/>
            <w:shd w:val="clear" w:color="auto" w:fill="auto"/>
            <w:noWrap/>
            <w:vAlign w:val="bottom"/>
            <w:hideMark/>
          </w:tcPr>
          <w:p w:rsidR="008819AE" w:rsidRPr="00035B34" w:rsidRDefault="008819AE" w:rsidP="00476EF8">
            <w:pPr>
              <w:spacing w:after="0"/>
              <w:rPr>
                <w:rFonts w:cs="Arial"/>
                <w:sz w:val="18"/>
                <w:szCs w:val="18"/>
              </w:rPr>
            </w:pPr>
            <w:r w:rsidRPr="00035B34">
              <w:rPr>
                <w:rFonts w:cs="Arial"/>
                <w:sz w:val="18"/>
                <w:szCs w:val="18"/>
              </w:rPr>
              <w:t>Amazonia</w:t>
            </w:r>
          </w:p>
        </w:tc>
        <w:tc>
          <w:tcPr>
            <w:tcW w:w="0" w:type="auto"/>
            <w:shd w:val="clear" w:color="auto" w:fill="auto"/>
            <w:noWrap/>
            <w:vAlign w:val="bottom"/>
            <w:hideMark/>
          </w:tcPr>
          <w:p w:rsidR="008819AE" w:rsidRPr="00035B34" w:rsidRDefault="008819AE" w:rsidP="00476EF8">
            <w:pPr>
              <w:spacing w:after="0"/>
              <w:jc w:val="center"/>
              <w:rPr>
                <w:rFonts w:cs="Arial"/>
                <w:sz w:val="18"/>
                <w:szCs w:val="18"/>
              </w:rPr>
            </w:pPr>
            <w:r w:rsidRPr="00035B34">
              <w:rPr>
                <w:rFonts w:cs="Arial"/>
                <w:sz w:val="18"/>
                <w:szCs w:val="18"/>
              </w:rPr>
              <w:t>19-20/10/2017</w:t>
            </w:r>
          </w:p>
        </w:tc>
        <w:tc>
          <w:tcPr>
            <w:tcW w:w="0" w:type="auto"/>
            <w:shd w:val="clear" w:color="auto" w:fill="auto"/>
            <w:noWrap/>
            <w:vAlign w:val="bottom"/>
            <w:hideMark/>
          </w:tcPr>
          <w:p w:rsidR="008819AE" w:rsidRPr="00035B34" w:rsidRDefault="008819AE" w:rsidP="00476EF8">
            <w:pPr>
              <w:spacing w:after="0"/>
              <w:jc w:val="center"/>
              <w:rPr>
                <w:rFonts w:cs="Arial"/>
                <w:sz w:val="18"/>
                <w:szCs w:val="18"/>
              </w:rPr>
            </w:pPr>
            <w:r w:rsidRPr="00035B34">
              <w:rPr>
                <w:rFonts w:cs="Arial"/>
                <w:sz w:val="18"/>
                <w:szCs w:val="18"/>
              </w:rPr>
              <w:t>15</w:t>
            </w:r>
          </w:p>
        </w:tc>
      </w:tr>
      <w:tr w:rsidR="008819AE" w:rsidRPr="00035B34" w:rsidTr="00FE1570">
        <w:trPr>
          <w:trHeight w:val="50"/>
          <w:jc w:val="center"/>
        </w:trPr>
        <w:tc>
          <w:tcPr>
            <w:tcW w:w="0" w:type="auto"/>
            <w:gridSpan w:val="2"/>
            <w:shd w:val="clear" w:color="auto" w:fill="E2EFDA"/>
            <w:vAlign w:val="center"/>
            <w:hideMark/>
          </w:tcPr>
          <w:p w:rsidR="008819AE" w:rsidRPr="00035B34" w:rsidRDefault="008819AE" w:rsidP="00476EF8">
            <w:pPr>
              <w:spacing w:after="0"/>
              <w:jc w:val="center"/>
              <w:rPr>
                <w:rFonts w:cs="Arial"/>
                <w:b/>
                <w:sz w:val="18"/>
                <w:szCs w:val="18"/>
              </w:rPr>
            </w:pPr>
            <w:r w:rsidRPr="00035B34">
              <w:rPr>
                <w:rFonts w:cs="Arial"/>
                <w:b/>
                <w:sz w:val="18"/>
                <w:szCs w:val="18"/>
              </w:rPr>
              <w:t>Total</w:t>
            </w:r>
          </w:p>
        </w:tc>
        <w:tc>
          <w:tcPr>
            <w:tcW w:w="0" w:type="auto"/>
            <w:shd w:val="clear" w:color="auto" w:fill="E2EFDA"/>
            <w:noWrap/>
            <w:vAlign w:val="bottom"/>
            <w:hideMark/>
          </w:tcPr>
          <w:p w:rsidR="008819AE" w:rsidRPr="00035B34" w:rsidRDefault="008819AE" w:rsidP="00476EF8">
            <w:pPr>
              <w:spacing w:after="0"/>
              <w:jc w:val="center"/>
              <w:rPr>
                <w:rFonts w:cs="Arial"/>
                <w:b/>
                <w:sz w:val="18"/>
                <w:szCs w:val="18"/>
              </w:rPr>
            </w:pPr>
            <w:r w:rsidRPr="00035B34">
              <w:rPr>
                <w:rFonts w:cs="Arial"/>
                <w:b/>
                <w:sz w:val="18"/>
                <w:szCs w:val="18"/>
              </w:rPr>
              <w:t>346</w:t>
            </w:r>
          </w:p>
        </w:tc>
      </w:tr>
      <w:bookmarkEnd w:id="91"/>
    </w:tbl>
    <w:p w:rsidR="008819AE" w:rsidRPr="007608C2" w:rsidRDefault="008819AE" w:rsidP="008819AE">
      <w:pPr>
        <w:rPr>
          <w:rFonts w:cs="Arial"/>
        </w:rPr>
      </w:pPr>
    </w:p>
    <w:p w:rsidR="008819AE" w:rsidRPr="007608C2" w:rsidRDefault="008819AE" w:rsidP="008819AE">
      <w:pPr>
        <w:rPr>
          <w:rFonts w:cs="Arial"/>
          <w:b/>
        </w:rPr>
      </w:pPr>
      <w:r w:rsidRPr="007608C2">
        <w:rPr>
          <w:rFonts w:cs="Arial"/>
          <w:b/>
        </w:rPr>
        <w:t>Asistencia técnica a equipos técnicos interdisciplinarios</w:t>
      </w:r>
    </w:p>
    <w:p w:rsidR="008819AE" w:rsidRPr="007608C2" w:rsidRDefault="008819AE" w:rsidP="008819AE">
      <w:pPr>
        <w:jc w:val="both"/>
        <w:rPr>
          <w:rFonts w:cs="Arial"/>
        </w:rPr>
      </w:pPr>
      <w:r w:rsidRPr="007608C2">
        <w:rPr>
          <w:rFonts w:cs="Arial"/>
        </w:rPr>
        <w:t>En el 2017, se realizaron capacitación a los equipos técnicos de las Defensorías de Familia en el tema del rol que ejerce cada uno de los perfiles dentro del Proceso Administrativo de Restablecimiento de Derechos. Las regionales a las cuales se ha realizado asistencia técnica son:</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721"/>
        <w:gridCol w:w="1352"/>
        <w:gridCol w:w="1051"/>
      </w:tblGrid>
      <w:tr w:rsidR="008819AE" w:rsidRPr="00D255A6" w:rsidTr="00D255A6">
        <w:trPr>
          <w:trHeight w:val="250"/>
          <w:jc w:val="center"/>
        </w:trPr>
        <w:tc>
          <w:tcPr>
            <w:tcW w:w="0" w:type="auto"/>
            <w:shd w:val="clear" w:color="auto" w:fill="76922E"/>
            <w:noWrap/>
            <w:vAlign w:val="bottom"/>
            <w:hideMark/>
          </w:tcPr>
          <w:p w:rsidR="008819AE" w:rsidRPr="00D255A6" w:rsidRDefault="008819AE" w:rsidP="00476EF8">
            <w:pPr>
              <w:spacing w:after="0"/>
              <w:jc w:val="center"/>
              <w:rPr>
                <w:rFonts w:eastAsia="Times New Roman" w:cs="Arial"/>
                <w:b/>
                <w:bCs/>
                <w:color w:val="FFFFFF" w:themeColor="background1"/>
                <w:sz w:val="18"/>
                <w:szCs w:val="18"/>
                <w:lang w:val="es-CO" w:eastAsia="es-CO"/>
              </w:rPr>
            </w:pPr>
            <w:r w:rsidRPr="00D255A6">
              <w:rPr>
                <w:rFonts w:eastAsia="Times New Roman" w:cs="Arial"/>
                <w:b/>
                <w:bCs/>
                <w:color w:val="FFFFFF" w:themeColor="background1"/>
                <w:sz w:val="18"/>
                <w:szCs w:val="18"/>
                <w:lang w:val="es-CO" w:eastAsia="es-CO"/>
              </w:rPr>
              <w:t>Regional</w:t>
            </w:r>
          </w:p>
        </w:tc>
        <w:tc>
          <w:tcPr>
            <w:tcW w:w="0" w:type="auto"/>
            <w:shd w:val="clear" w:color="auto" w:fill="76922E"/>
            <w:noWrap/>
            <w:vAlign w:val="bottom"/>
            <w:hideMark/>
          </w:tcPr>
          <w:p w:rsidR="008819AE" w:rsidRPr="00D255A6" w:rsidRDefault="008819AE" w:rsidP="00476EF8">
            <w:pPr>
              <w:spacing w:after="0"/>
              <w:jc w:val="center"/>
              <w:rPr>
                <w:rFonts w:eastAsia="Times New Roman" w:cs="Arial"/>
                <w:b/>
                <w:bCs/>
                <w:color w:val="FFFFFF" w:themeColor="background1"/>
                <w:sz w:val="18"/>
                <w:szCs w:val="18"/>
                <w:lang w:val="es-CO" w:eastAsia="es-CO"/>
              </w:rPr>
            </w:pPr>
            <w:r w:rsidRPr="00D255A6">
              <w:rPr>
                <w:rFonts w:eastAsia="Times New Roman" w:cs="Arial"/>
                <w:b/>
                <w:bCs/>
                <w:color w:val="FFFFFF" w:themeColor="background1"/>
                <w:sz w:val="18"/>
                <w:szCs w:val="18"/>
                <w:lang w:val="es-CO" w:eastAsia="es-CO"/>
              </w:rPr>
              <w:t>Fecha</w:t>
            </w:r>
          </w:p>
        </w:tc>
        <w:tc>
          <w:tcPr>
            <w:tcW w:w="0" w:type="auto"/>
            <w:shd w:val="clear" w:color="auto" w:fill="76922E"/>
          </w:tcPr>
          <w:p w:rsidR="008819AE" w:rsidRPr="00D255A6" w:rsidRDefault="008819AE" w:rsidP="00476EF8">
            <w:pPr>
              <w:spacing w:after="0"/>
              <w:jc w:val="center"/>
              <w:rPr>
                <w:rFonts w:eastAsia="Times New Roman" w:cs="Arial"/>
                <w:b/>
                <w:bCs/>
                <w:color w:val="FFFFFF" w:themeColor="background1"/>
                <w:sz w:val="18"/>
                <w:szCs w:val="18"/>
                <w:lang w:val="es-CO" w:eastAsia="es-CO"/>
              </w:rPr>
            </w:pPr>
            <w:r w:rsidRPr="00D255A6">
              <w:rPr>
                <w:rFonts w:eastAsia="Times New Roman" w:cs="Arial"/>
                <w:b/>
                <w:bCs/>
                <w:color w:val="FFFFFF" w:themeColor="background1"/>
                <w:sz w:val="18"/>
                <w:szCs w:val="18"/>
                <w:lang w:val="es-CO" w:eastAsia="es-CO"/>
              </w:rPr>
              <w:t>Asistentes</w:t>
            </w:r>
          </w:p>
        </w:tc>
      </w:tr>
      <w:tr w:rsidR="008819AE" w:rsidRPr="00D255A6" w:rsidTr="00D255A6">
        <w:trPr>
          <w:trHeight w:val="237"/>
          <w:jc w:val="center"/>
        </w:trPr>
        <w:tc>
          <w:tcPr>
            <w:tcW w:w="0" w:type="auto"/>
            <w:shd w:val="clear" w:color="000000" w:fill="FFFFFF"/>
            <w:vAlign w:val="center"/>
          </w:tcPr>
          <w:p w:rsidR="008819AE" w:rsidRPr="00D255A6" w:rsidRDefault="008819AE" w:rsidP="00476EF8">
            <w:pPr>
              <w:spacing w:after="0"/>
              <w:rPr>
                <w:rFonts w:eastAsia="Times New Roman" w:cs="Arial"/>
                <w:sz w:val="18"/>
                <w:szCs w:val="18"/>
                <w:lang w:val="es-CO" w:eastAsia="es-CO"/>
              </w:rPr>
            </w:pPr>
            <w:r w:rsidRPr="00D255A6">
              <w:rPr>
                <w:rFonts w:eastAsia="Times New Roman" w:cs="Arial"/>
                <w:sz w:val="18"/>
                <w:szCs w:val="18"/>
                <w:lang w:val="es-CO" w:eastAsia="es-CO"/>
              </w:rPr>
              <w:t>Bogotá</w:t>
            </w:r>
          </w:p>
        </w:tc>
        <w:tc>
          <w:tcPr>
            <w:tcW w:w="0" w:type="auto"/>
            <w:shd w:val="clear" w:color="auto" w:fill="auto"/>
            <w:noWrap/>
            <w:vAlign w:val="bottom"/>
          </w:tcPr>
          <w:p w:rsidR="008819AE" w:rsidRPr="00D255A6" w:rsidRDefault="008819AE" w:rsidP="00D255A6">
            <w:pPr>
              <w:spacing w:after="0"/>
              <w:rPr>
                <w:rFonts w:eastAsia="Times New Roman" w:cs="Arial"/>
                <w:sz w:val="18"/>
                <w:szCs w:val="18"/>
                <w:lang w:val="es-CO" w:eastAsia="es-CO"/>
              </w:rPr>
            </w:pPr>
            <w:r w:rsidRPr="00D255A6">
              <w:rPr>
                <w:rFonts w:eastAsia="Times New Roman" w:cs="Arial"/>
                <w:sz w:val="18"/>
                <w:szCs w:val="18"/>
                <w:lang w:val="es-CO" w:eastAsia="es-CO"/>
              </w:rPr>
              <w:t>10/03/2017</w:t>
            </w:r>
          </w:p>
        </w:tc>
        <w:tc>
          <w:tcPr>
            <w:tcW w:w="0" w:type="auto"/>
          </w:tcPr>
          <w:p w:rsidR="008819AE" w:rsidRPr="00D255A6" w:rsidRDefault="008819AE" w:rsidP="00476EF8">
            <w:pPr>
              <w:spacing w:after="0"/>
              <w:jc w:val="center"/>
              <w:rPr>
                <w:rFonts w:eastAsia="Times New Roman" w:cs="Arial"/>
                <w:sz w:val="18"/>
                <w:szCs w:val="18"/>
                <w:lang w:val="es-CO" w:eastAsia="es-CO"/>
              </w:rPr>
            </w:pPr>
            <w:r w:rsidRPr="00D255A6">
              <w:rPr>
                <w:rFonts w:eastAsia="Times New Roman" w:cs="Arial"/>
                <w:sz w:val="18"/>
                <w:szCs w:val="18"/>
                <w:lang w:val="es-CO" w:eastAsia="es-CO"/>
              </w:rPr>
              <w:t>29</w:t>
            </w:r>
          </w:p>
        </w:tc>
      </w:tr>
      <w:tr w:rsidR="008819AE" w:rsidRPr="00D255A6" w:rsidTr="00D255A6">
        <w:trPr>
          <w:trHeight w:val="237"/>
          <w:jc w:val="center"/>
        </w:trPr>
        <w:tc>
          <w:tcPr>
            <w:tcW w:w="0" w:type="auto"/>
            <w:shd w:val="clear" w:color="000000" w:fill="FFFFFF"/>
            <w:vAlign w:val="center"/>
          </w:tcPr>
          <w:p w:rsidR="008819AE" w:rsidRPr="00D255A6" w:rsidRDefault="008819AE" w:rsidP="00476EF8">
            <w:pPr>
              <w:spacing w:after="0"/>
              <w:rPr>
                <w:rFonts w:eastAsia="Times New Roman" w:cs="Arial"/>
                <w:sz w:val="18"/>
                <w:szCs w:val="18"/>
                <w:lang w:val="es-CO" w:eastAsia="es-CO"/>
              </w:rPr>
            </w:pPr>
            <w:r w:rsidRPr="00D255A6">
              <w:rPr>
                <w:rFonts w:eastAsia="Times New Roman" w:cs="Arial"/>
                <w:sz w:val="18"/>
                <w:szCs w:val="18"/>
                <w:lang w:val="es-CO" w:eastAsia="es-CO"/>
              </w:rPr>
              <w:t>Casanare</w:t>
            </w:r>
          </w:p>
        </w:tc>
        <w:tc>
          <w:tcPr>
            <w:tcW w:w="0" w:type="auto"/>
            <w:shd w:val="clear" w:color="auto" w:fill="auto"/>
            <w:noWrap/>
            <w:vAlign w:val="bottom"/>
          </w:tcPr>
          <w:p w:rsidR="008819AE" w:rsidRPr="00D255A6" w:rsidRDefault="00D255A6" w:rsidP="00D255A6">
            <w:pPr>
              <w:spacing w:after="0"/>
              <w:rPr>
                <w:rFonts w:eastAsia="Times New Roman" w:cs="Arial"/>
                <w:sz w:val="18"/>
                <w:szCs w:val="18"/>
                <w:lang w:val="es-CO" w:eastAsia="es-CO"/>
              </w:rPr>
            </w:pPr>
            <w:r>
              <w:rPr>
                <w:rFonts w:eastAsia="Times New Roman" w:cs="Arial"/>
                <w:sz w:val="18"/>
                <w:szCs w:val="18"/>
                <w:lang w:val="es-CO" w:eastAsia="es-CO"/>
              </w:rPr>
              <w:t>9-10/10/</w:t>
            </w:r>
            <w:r w:rsidR="008819AE" w:rsidRPr="00D255A6">
              <w:rPr>
                <w:rFonts w:eastAsia="Times New Roman" w:cs="Arial"/>
                <w:sz w:val="18"/>
                <w:szCs w:val="18"/>
                <w:lang w:val="es-CO" w:eastAsia="es-CO"/>
              </w:rPr>
              <w:t>2017</w:t>
            </w:r>
          </w:p>
        </w:tc>
        <w:tc>
          <w:tcPr>
            <w:tcW w:w="0" w:type="auto"/>
          </w:tcPr>
          <w:p w:rsidR="008819AE" w:rsidRPr="00D255A6" w:rsidRDefault="008819AE" w:rsidP="00476EF8">
            <w:pPr>
              <w:spacing w:after="0"/>
              <w:jc w:val="center"/>
              <w:rPr>
                <w:rFonts w:eastAsia="Times New Roman" w:cs="Arial"/>
                <w:sz w:val="18"/>
                <w:szCs w:val="18"/>
                <w:lang w:val="es-CO" w:eastAsia="es-CO"/>
              </w:rPr>
            </w:pPr>
            <w:r w:rsidRPr="00D255A6">
              <w:rPr>
                <w:rFonts w:eastAsia="Times New Roman" w:cs="Arial"/>
                <w:sz w:val="18"/>
                <w:szCs w:val="18"/>
                <w:lang w:val="es-CO" w:eastAsia="es-CO"/>
              </w:rPr>
              <w:t>29</w:t>
            </w:r>
          </w:p>
        </w:tc>
      </w:tr>
      <w:tr w:rsidR="008819AE" w:rsidRPr="00D255A6" w:rsidTr="00D255A6">
        <w:trPr>
          <w:trHeight w:val="237"/>
          <w:jc w:val="center"/>
        </w:trPr>
        <w:tc>
          <w:tcPr>
            <w:tcW w:w="0" w:type="auto"/>
            <w:shd w:val="clear" w:color="000000" w:fill="FFFFFF"/>
            <w:vAlign w:val="center"/>
          </w:tcPr>
          <w:p w:rsidR="008819AE" w:rsidRPr="00D255A6" w:rsidRDefault="008819AE" w:rsidP="00476EF8">
            <w:pPr>
              <w:spacing w:after="0"/>
              <w:rPr>
                <w:rFonts w:eastAsia="Times New Roman" w:cs="Arial"/>
                <w:sz w:val="18"/>
                <w:szCs w:val="18"/>
                <w:lang w:val="es-CO" w:eastAsia="es-CO"/>
              </w:rPr>
            </w:pPr>
            <w:r w:rsidRPr="00D255A6">
              <w:rPr>
                <w:rFonts w:eastAsia="Times New Roman" w:cs="Arial"/>
                <w:sz w:val="18"/>
                <w:szCs w:val="18"/>
                <w:lang w:val="es-CO" w:eastAsia="es-CO"/>
              </w:rPr>
              <w:t>Córdoba</w:t>
            </w:r>
          </w:p>
        </w:tc>
        <w:tc>
          <w:tcPr>
            <w:tcW w:w="0" w:type="auto"/>
            <w:shd w:val="clear" w:color="auto" w:fill="auto"/>
            <w:noWrap/>
            <w:vAlign w:val="bottom"/>
          </w:tcPr>
          <w:p w:rsidR="008819AE" w:rsidRPr="00D255A6" w:rsidRDefault="00D255A6" w:rsidP="00D255A6">
            <w:pPr>
              <w:spacing w:after="0"/>
              <w:rPr>
                <w:rFonts w:eastAsia="Times New Roman" w:cs="Arial"/>
                <w:sz w:val="18"/>
                <w:szCs w:val="18"/>
                <w:lang w:val="es-CO" w:eastAsia="es-CO"/>
              </w:rPr>
            </w:pPr>
            <w:r>
              <w:rPr>
                <w:rFonts w:eastAsia="Times New Roman" w:cs="Arial"/>
                <w:sz w:val="18"/>
                <w:szCs w:val="18"/>
                <w:lang w:val="es-CO" w:eastAsia="es-CO"/>
              </w:rPr>
              <w:t>26-27/10/</w:t>
            </w:r>
            <w:r w:rsidR="008819AE" w:rsidRPr="00D255A6">
              <w:rPr>
                <w:rFonts w:eastAsia="Times New Roman" w:cs="Arial"/>
                <w:sz w:val="18"/>
                <w:szCs w:val="18"/>
                <w:lang w:val="es-CO" w:eastAsia="es-CO"/>
              </w:rPr>
              <w:t>2017</w:t>
            </w:r>
          </w:p>
        </w:tc>
        <w:tc>
          <w:tcPr>
            <w:tcW w:w="0" w:type="auto"/>
          </w:tcPr>
          <w:p w:rsidR="008819AE" w:rsidRPr="00D255A6" w:rsidRDefault="008819AE" w:rsidP="00476EF8">
            <w:pPr>
              <w:spacing w:after="0"/>
              <w:jc w:val="center"/>
              <w:rPr>
                <w:rFonts w:eastAsia="Times New Roman" w:cs="Arial"/>
                <w:sz w:val="18"/>
                <w:szCs w:val="18"/>
                <w:lang w:val="es-CO" w:eastAsia="es-CO"/>
              </w:rPr>
            </w:pPr>
            <w:r w:rsidRPr="00D255A6">
              <w:rPr>
                <w:rFonts w:eastAsia="Times New Roman" w:cs="Arial"/>
                <w:sz w:val="18"/>
                <w:szCs w:val="18"/>
                <w:lang w:val="es-CO" w:eastAsia="es-CO"/>
              </w:rPr>
              <w:t>42</w:t>
            </w:r>
          </w:p>
        </w:tc>
      </w:tr>
      <w:tr w:rsidR="008819AE" w:rsidRPr="00D255A6" w:rsidTr="00D255A6">
        <w:trPr>
          <w:trHeight w:val="237"/>
          <w:jc w:val="center"/>
        </w:trPr>
        <w:tc>
          <w:tcPr>
            <w:tcW w:w="0" w:type="auto"/>
            <w:shd w:val="clear" w:color="000000" w:fill="FFFFFF"/>
            <w:vAlign w:val="center"/>
          </w:tcPr>
          <w:p w:rsidR="008819AE" w:rsidRPr="00D255A6" w:rsidRDefault="008819AE" w:rsidP="00476EF8">
            <w:pPr>
              <w:spacing w:after="0"/>
              <w:rPr>
                <w:rFonts w:eastAsia="Times New Roman" w:cs="Arial"/>
                <w:sz w:val="18"/>
                <w:szCs w:val="18"/>
                <w:lang w:val="es-CO" w:eastAsia="es-CO"/>
              </w:rPr>
            </w:pPr>
            <w:r w:rsidRPr="00D255A6">
              <w:rPr>
                <w:rFonts w:eastAsia="Times New Roman" w:cs="Arial"/>
                <w:sz w:val="18"/>
                <w:szCs w:val="18"/>
                <w:lang w:val="es-CO" w:eastAsia="es-CO"/>
              </w:rPr>
              <w:t>Norte de Santander</w:t>
            </w:r>
          </w:p>
        </w:tc>
        <w:tc>
          <w:tcPr>
            <w:tcW w:w="0" w:type="auto"/>
            <w:shd w:val="clear" w:color="auto" w:fill="auto"/>
            <w:noWrap/>
            <w:vAlign w:val="bottom"/>
          </w:tcPr>
          <w:p w:rsidR="008819AE" w:rsidRPr="00D255A6" w:rsidRDefault="00D255A6" w:rsidP="00D255A6">
            <w:pPr>
              <w:spacing w:after="0"/>
              <w:rPr>
                <w:rFonts w:eastAsia="Times New Roman" w:cs="Arial"/>
                <w:sz w:val="18"/>
                <w:szCs w:val="18"/>
                <w:lang w:val="es-CO" w:eastAsia="es-CO"/>
              </w:rPr>
            </w:pPr>
            <w:r>
              <w:rPr>
                <w:rFonts w:eastAsia="Times New Roman" w:cs="Arial"/>
                <w:sz w:val="18"/>
                <w:szCs w:val="18"/>
                <w:lang w:val="es-CO" w:eastAsia="es-CO"/>
              </w:rPr>
              <w:t>30-</w:t>
            </w:r>
            <w:r w:rsidR="008819AE" w:rsidRPr="00D255A6">
              <w:rPr>
                <w:rFonts w:eastAsia="Times New Roman" w:cs="Arial"/>
                <w:sz w:val="18"/>
                <w:szCs w:val="18"/>
                <w:lang w:val="es-CO" w:eastAsia="es-CO"/>
              </w:rPr>
              <w:t>31/10/2017</w:t>
            </w:r>
          </w:p>
        </w:tc>
        <w:tc>
          <w:tcPr>
            <w:tcW w:w="0" w:type="auto"/>
          </w:tcPr>
          <w:p w:rsidR="008819AE" w:rsidRPr="00D255A6" w:rsidRDefault="008819AE" w:rsidP="00476EF8">
            <w:pPr>
              <w:spacing w:after="0"/>
              <w:jc w:val="center"/>
              <w:rPr>
                <w:rFonts w:eastAsia="Times New Roman" w:cs="Arial"/>
                <w:sz w:val="18"/>
                <w:szCs w:val="18"/>
                <w:lang w:val="es-CO" w:eastAsia="es-CO"/>
              </w:rPr>
            </w:pPr>
            <w:r w:rsidRPr="00D255A6">
              <w:rPr>
                <w:rFonts w:eastAsia="Times New Roman" w:cs="Arial"/>
                <w:sz w:val="18"/>
                <w:szCs w:val="18"/>
                <w:lang w:val="es-CO" w:eastAsia="es-CO"/>
              </w:rPr>
              <w:t>47</w:t>
            </w:r>
          </w:p>
        </w:tc>
      </w:tr>
      <w:tr w:rsidR="008819AE" w:rsidRPr="00D255A6" w:rsidTr="00D255A6">
        <w:trPr>
          <w:trHeight w:val="237"/>
          <w:jc w:val="center"/>
        </w:trPr>
        <w:tc>
          <w:tcPr>
            <w:tcW w:w="0" w:type="auto"/>
            <w:shd w:val="clear" w:color="000000" w:fill="FFFFFF"/>
            <w:vAlign w:val="center"/>
          </w:tcPr>
          <w:p w:rsidR="008819AE" w:rsidRPr="00D255A6" w:rsidRDefault="008819AE" w:rsidP="00476EF8">
            <w:pPr>
              <w:spacing w:after="0"/>
              <w:rPr>
                <w:rFonts w:eastAsia="Times New Roman" w:cs="Arial"/>
                <w:sz w:val="18"/>
                <w:szCs w:val="18"/>
                <w:lang w:val="es-CO" w:eastAsia="es-CO"/>
              </w:rPr>
            </w:pPr>
            <w:r w:rsidRPr="00D255A6">
              <w:rPr>
                <w:rFonts w:eastAsia="Times New Roman" w:cs="Arial"/>
                <w:sz w:val="18"/>
                <w:szCs w:val="18"/>
                <w:lang w:val="es-CO" w:eastAsia="es-CO"/>
              </w:rPr>
              <w:t>Risaralda y Quindío</w:t>
            </w:r>
          </w:p>
        </w:tc>
        <w:tc>
          <w:tcPr>
            <w:tcW w:w="0" w:type="auto"/>
            <w:shd w:val="clear" w:color="auto" w:fill="auto"/>
            <w:noWrap/>
            <w:vAlign w:val="bottom"/>
          </w:tcPr>
          <w:p w:rsidR="008819AE" w:rsidRPr="00D255A6" w:rsidRDefault="00D255A6" w:rsidP="00D255A6">
            <w:pPr>
              <w:spacing w:after="0"/>
              <w:rPr>
                <w:rFonts w:eastAsia="Times New Roman" w:cs="Arial"/>
                <w:sz w:val="18"/>
                <w:szCs w:val="18"/>
                <w:lang w:val="es-CO" w:eastAsia="es-CO"/>
              </w:rPr>
            </w:pPr>
            <w:r>
              <w:rPr>
                <w:rFonts w:eastAsia="Times New Roman" w:cs="Arial"/>
                <w:sz w:val="18"/>
                <w:szCs w:val="18"/>
                <w:lang w:val="es-CO" w:eastAsia="es-CO"/>
              </w:rPr>
              <w:t>2-3</w:t>
            </w:r>
            <w:r w:rsidR="008819AE" w:rsidRPr="00D255A6">
              <w:rPr>
                <w:rFonts w:eastAsia="Times New Roman" w:cs="Arial"/>
                <w:sz w:val="18"/>
                <w:szCs w:val="18"/>
                <w:lang w:val="es-CO" w:eastAsia="es-CO"/>
              </w:rPr>
              <w:t>/11/2017</w:t>
            </w:r>
          </w:p>
        </w:tc>
        <w:tc>
          <w:tcPr>
            <w:tcW w:w="0" w:type="auto"/>
          </w:tcPr>
          <w:p w:rsidR="008819AE" w:rsidRPr="00D255A6" w:rsidRDefault="008819AE" w:rsidP="00476EF8">
            <w:pPr>
              <w:spacing w:after="0"/>
              <w:jc w:val="center"/>
              <w:rPr>
                <w:rFonts w:eastAsia="Times New Roman" w:cs="Arial"/>
                <w:sz w:val="18"/>
                <w:szCs w:val="18"/>
                <w:lang w:val="es-CO" w:eastAsia="es-CO"/>
              </w:rPr>
            </w:pPr>
            <w:r w:rsidRPr="00D255A6">
              <w:rPr>
                <w:rFonts w:eastAsia="Times New Roman" w:cs="Arial"/>
                <w:sz w:val="18"/>
                <w:szCs w:val="18"/>
                <w:lang w:val="es-CO" w:eastAsia="es-CO"/>
              </w:rPr>
              <w:t>81</w:t>
            </w:r>
          </w:p>
        </w:tc>
      </w:tr>
      <w:tr w:rsidR="008819AE" w:rsidRPr="00D255A6" w:rsidTr="00D255A6">
        <w:trPr>
          <w:trHeight w:val="237"/>
          <w:jc w:val="center"/>
        </w:trPr>
        <w:tc>
          <w:tcPr>
            <w:tcW w:w="0" w:type="auto"/>
            <w:shd w:val="clear" w:color="000000" w:fill="FFFFFF"/>
            <w:vAlign w:val="center"/>
          </w:tcPr>
          <w:p w:rsidR="008819AE" w:rsidRPr="00D255A6" w:rsidRDefault="008819AE" w:rsidP="00476EF8">
            <w:pPr>
              <w:spacing w:after="0"/>
              <w:rPr>
                <w:rFonts w:eastAsia="Times New Roman" w:cs="Arial"/>
                <w:sz w:val="18"/>
                <w:szCs w:val="18"/>
                <w:lang w:val="es-CO" w:eastAsia="es-CO"/>
              </w:rPr>
            </w:pPr>
            <w:r w:rsidRPr="00D255A6">
              <w:rPr>
                <w:rFonts w:eastAsia="Times New Roman" w:cs="Arial"/>
                <w:sz w:val="18"/>
                <w:szCs w:val="18"/>
                <w:lang w:val="es-CO" w:eastAsia="es-CO"/>
              </w:rPr>
              <w:t>Chocó y Putumayo</w:t>
            </w:r>
          </w:p>
        </w:tc>
        <w:tc>
          <w:tcPr>
            <w:tcW w:w="0" w:type="auto"/>
            <w:shd w:val="clear" w:color="auto" w:fill="auto"/>
            <w:noWrap/>
            <w:vAlign w:val="bottom"/>
          </w:tcPr>
          <w:p w:rsidR="008819AE" w:rsidRPr="00D255A6" w:rsidRDefault="00D255A6" w:rsidP="00D255A6">
            <w:pPr>
              <w:spacing w:after="0"/>
              <w:rPr>
                <w:rFonts w:eastAsia="Times New Roman" w:cs="Arial"/>
                <w:sz w:val="18"/>
                <w:szCs w:val="18"/>
                <w:lang w:val="es-CO" w:eastAsia="es-CO"/>
              </w:rPr>
            </w:pPr>
            <w:r>
              <w:rPr>
                <w:rFonts w:eastAsia="Times New Roman" w:cs="Arial"/>
                <w:sz w:val="18"/>
                <w:szCs w:val="18"/>
                <w:lang w:val="es-CO" w:eastAsia="es-CO"/>
              </w:rPr>
              <w:t>9-10/11/</w:t>
            </w:r>
            <w:r w:rsidR="008819AE" w:rsidRPr="00D255A6">
              <w:rPr>
                <w:rFonts w:eastAsia="Times New Roman" w:cs="Arial"/>
                <w:sz w:val="18"/>
                <w:szCs w:val="18"/>
                <w:lang w:val="es-CO" w:eastAsia="es-CO"/>
              </w:rPr>
              <w:t>2017</w:t>
            </w:r>
          </w:p>
        </w:tc>
        <w:tc>
          <w:tcPr>
            <w:tcW w:w="0" w:type="auto"/>
          </w:tcPr>
          <w:p w:rsidR="008819AE" w:rsidRPr="00D255A6" w:rsidRDefault="008819AE" w:rsidP="00476EF8">
            <w:pPr>
              <w:spacing w:after="0"/>
              <w:jc w:val="center"/>
              <w:rPr>
                <w:rFonts w:eastAsia="Times New Roman" w:cs="Arial"/>
                <w:sz w:val="18"/>
                <w:szCs w:val="18"/>
                <w:lang w:val="es-CO" w:eastAsia="es-CO"/>
              </w:rPr>
            </w:pPr>
            <w:r w:rsidRPr="00D255A6">
              <w:rPr>
                <w:rFonts w:eastAsia="Times New Roman" w:cs="Arial"/>
                <w:sz w:val="18"/>
                <w:szCs w:val="18"/>
                <w:lang w:val="es-CO" w:eastAsia="es-CO"/>
              </w:rPr>
              <w:t>24</w:t>
            </w:r>
          </w:p>
        </w:tc>
      </w:tr>
      <w:tr w:rsidR="008819AE" w:rsidRPr="00D255A6" w:rsidTr="00D255A6">
        <w:trPr>
          <w:trHeight w:val="237"/>
          <w:jc w:val="center"/>
        </w:trPr>
        <w:tc>
          <w:tcPr>
            <w:tcW w:w="0" w:type="auto"/>
            <w:shd w:val="clear" w:color="000000" w:fill="FFFFFF"/>
            <w:vAlign w:val="center"/>
            <w:hideMark/>
          </w:tcPr>
          <w:p w:rsidR="008819AE" w:rsidRPr="00D255A6" w:rsidRDefault="008819AE" w:rsidP="00476EF8">
            <w:pPr>
              <w:spacing w:after="0"/>
              <w:rPr>
                <w:rFonts w:eastAsia="Times New Roman" w:cs="Arial"/>
                <w:sz w:val="18"/>
                <w:szCs w:val="18"/>
                <w:lang w:val="es-CO" w:eastAsia="es-CO"/>
              </w:rPr>
            </w:pPr>
            <w:r w:rsidRPr="00D255A6">
              <w:rPr>
                <w:rFonts w:eastAsia="Times New Roman" w:cs="Arial"/>
                <w:sz w:val="18"/>
                <w:szCs w:val="18"/>
                <w:lang w:val="es-CO" w:eastAsia="es-CO"/>
              </w:rPr>
              <w:t>Valle</w:t>
            </w:r>
          </w:p>
        </w:tc>
        <w:tc>
          <w:tcPr>
            <w:tcW w:w="0" w:type="auto"/>
            <w:shd w:val="clear" w:color="auto" w:fill="auto"/>
            <w:noWrap/>
            <w:vAlign w:val="bottom"/>
            <w:hideMark/>
          </w:tcPr>
          <w:p w:rsidR="008819AE" w:rsidRPr="00D255A6" w:rsidRDefault="00D255A6" w:rsidP="00D255A6">
            <w:pPr>
              <w:spacing w:after="0"/>
              <w:rPr>
                <w:rFonts w:eastAsia="Times New Roman" w:cs="Arial"/>
                <w:sz w:val="18"/>
                <w:szCs w:val="18"/>
                <w:lang w:val="es-CO" w:eastAsia="es-CO"/>
              </w:rPr>
            </w:pPr>
            <w:r>
              <w:rPr>
                <w:rFonts w:eastAsia="Times New Roman" w:cs="Arial"/>
                <w:sz w:val="18"/>
                <w:szCs w:val="18"/>
                <w:lang w:val="es-CO" w:eastAsia="es-CO"/>
              </w:rPr>
              <w:t>16-17/11/</w:t>
            </w:r>
            <w:r w:rsidR="008819AE" w:rsidRPr="00D255A6">
              <w:rPr>
                <w:rFonts w:eastAsia="Times New Roman" w:cs="Arial"/>
                <w:sz w:val="18"/>
                <w:szCs w:val="18"/>
                <w:lang w:val="es-CO" w:eastAsia="es-CO"/>
              </w:rPr>
              <w:t>2017</w:t>
            </w:r>
          </w:p>
        </w:tc>
        <w:tc>
          <w:tcPr>
            <w:tcW w:w="0" w:type="auto"/>
          </w:tcPr>
          <w:p w:rsidR="008819AE" w:rsidRPr="00D255A6" w:rsidRDefault="008819AE" w:rsidP="00476EF8">
            <w:pPr>
              <w:spacing w:after="0"/>
              <w:jc w:val="center"/>
              <w:rPr>
                <w:rFonts w:eastAsia="Times New Roman" w:cs="Arial"/>
                <w:sz w:val="18"/>
                <w:szCs w:val="18"/>
                <w:lang w:val="es-CO" w:eastAsia="es-CO"/>
              </w:rPr>
            </w:pPr>
            <w:r w:rsidRPr="00D255A6">
              <w:rPr>
                <w:rFonts w:eastAsia="Times New Roman" w:cs="Arial"/>
                <w:sz w:val="18"/>
                <w:szCs w:val="18"/>
                <w:lang w:val="es-CO" w:eastAsia="es-CO"/>
              </w:rPr>
              <w:t>63</w:t>
            </w:r>
          </w:p>
        </w:tc>
      </w:tr>
      <w:tr w:rsidR="008819AE" w:rsidRPr="00D255A6" w:rsidTr="00D255A6">
        <w:trPr>
          <w:trHeight w:val="237"/>
          <w:jc w:val="center"/>
        </w:trPr>
        <w:tc>
          <w:tcPr>
            <w:tcW w:w="0" w:type="auto"/>
            <w:shd w:val="clear" w:color="000000" w:fill="FFFFFF"/>
            <w:vAlign w:val="center"/>
          </w:tcPr>
          <w:p w:rsidR="008819AE" w:rsidRPr="00D255A6" w:rsidRDefault="008819AE" w:rsidP="00476EF8">
            <w:pPr>
              <w:spacing w:after="0"/>
              <w:rPr>
                <w:rFonts w:eastAsia="Times New Roman" w:cs="Arial"/>
                <w:sz w:val="18"/>
                <w:szCs w:val="18"/>
                <w:lang w:val="es-CO" w:eastAsia="es-CO"/>
              </w:rPr>
            </w:pPr>
            <w:r w:rsidRPr="00D255A6">
              <w:rPr>
                <w:rFonts w:eastAsia="Times New Roman" w:cs="Arial"/>
                <w:sz w:val="18"/>
                <w:szCs w:val="18"/>
                <w:lang w:val="es-CO" w:eastAsia="es-CO"/>
              </w:rPr>
              <w:t>Caldas</w:t>
            </w:r>
          </w:p>
        </w:tc>
        <w:tc>
          <w:tcPr>
            <w:tcW w:w="0" w:type="auto"/>
            <w:shd w:val="clear" w:color="auto" w:fill="auto"/>
            <w:noWrap/>
            <w:vAlign w:val="bottom"/>
          </w:tcPr>
          <w:p w:rsidR="008819AE" w:rsidRPr="00D255A6" w:rsidRDefault="00D255A6" w:rsidP="00D255A6">
            <w:pPr>
              <w:spacing w:after="0"/>
              <w:rPr>
                <w:rFonts w:eastAsia="Times New Roman" w:cs="Arial"/>
                <w:sz w:val="18"/>
                <w:szCs w:val="18"/>
                <w:lang w:val="es-CO" w:eastAsia="es-CO"/>
              </w:rPr>
            </w:pPr>
            <w:r>
              <w:rPr>
                <w:rFonts w:eastAsia="Times New Roman" w:cs="Arial"/>
                <w:sz w:val="18"/>
                <w:szCs w:val="18"/>
                <w:lang w:val="es-CO" w:eastAsia="es-CO"/>
              </w:rPr>
              <w:t>14-15/</w:t>
            </w:r>
            <w:r w:rsidR="00A94721">
              <w:rPr>
                <w:rFonts w:eastAsia="Times New Roman" w:cs="Arial"/>
                <w:sz w:val="18"/>
                <w:szCs w:val="18"/>
                <w:lang w:val="es-CO" w:eastAsia="es-CO"/>
              </w:rPr>
              <w:t>11/</w:t>
            </w:r>
            <w:r w:rsidR="008819AE" w:rsidRPr="00D255A6">
              <w:rPr>
                <w:rFonts w:eastAsia="Times New Roman" w:cs="Arial"/>
                <w:sz w:val="18"/>
                <w:szCs w:val="18"/>
                <w:lang w:val="es-CO" w:eastAsia="es-CO"/>
              </w:rPr>
              <w:t>2017</w:t>
            </w:r>
          </w:p>
        </w:tc>
        <w:tc>
          <w:tcPr>
            <w:tcW w:w="0" w:type="auto"/>
          </w:tcPr>
          <w:p w:rsidR="008819AE" w:rsidRPr="00D255A6" w:rsidRDefault="008819AE" w:rsidP="00476EF8">
            <w:pPr>
              <w:spacing w:after="0"/>
              <w:jc w:val="center"/>
              <w:rPr>
                <w:rFonts w:eastAsia="Times New Roman" w:cs="Arial"/>
                <w:sz w:val="18"/>
                <w:szCs w:val="18"/>
                <w:lang w:val="es-CO" w:eastAsia="es-CO"/>
              </w:rPr>
            </w:pPr>
            <w:r w:rsidRPr="00D255A6">
              <w:rPr>
                <w:rFonts w:eastAsia="Times New Roman" w:cs="Arial"/>
                <w:sz w:val="18"/>
                <w:szCs w:val="18"/>
                <w:lang w:val="es-CO" w:eastAsia="es-CO"/>
              </w:rPr>
              <w:t>47</w:t>
            </w:r>
          </w:p>
        </w:tc>
      </w:tr>
      <w:tr w:rsidR="008819AE" w:rsidRPr="00D255A6" w:rsidTr="00D255A6">
        <w:trPr>
          <w:trHeight w:val="250"/>
          <w:jc w:val="center"/>
        </w:trPr>
        <w:tc>
          <w:tcPr>
            <w:tcW w:w="0" w:type="auto"/>
            <w:shd w:val="clear" w:color="000000" w:fill="FFFFFF"/>
            <w:vAlign w:val="center"/>
            <w:hideMark/>
          </w:tcPr>
          <w:p w:rsidR="008819AE" w:rsidRPr="00D255A6" w:rsidRDefault="008819AE" w:rsidP="00476EF8">
            <w:pPr>
              <w:spacing w:after="0"/>
              <w:rPr>
                <w:rFonts w:eastAsia="Times New Roman" w:cs="Arial"/>
                <w:sz w:val="18"/>
                <w:szCs w:val="18"/>
                <w:lang w:val="es-CO" w:eastAsia="es-CO"/>
              </w:rPr>
            </w:pPr>
            <w:r w:rsidRPr="00D255A6">
              <w:rPr>
                <w:rFonts w:eastAsia="Times New Roman" w:cs="Arial"/>
                <w:sz w:val="18"/>
                <w:szCs w:val="18"/>
                <w:lang w:val="es-CO" w:eastAsia="es-CO"/>
              </w:rPr>
              <w:t>Nariño</w:t>
            </w:r>
          </w:p>
        </w:tc>
        <w:tc>
          <w:tcPr>
            <w:tcW w:w="0" w:type="auto"/>
            <w:shd w:val="clear" w:color="auto" w:fill="auto"/>
            <w:noWrap/>
            <w:vAlign w:val="bottom"/>
            <w:hideMark/>
          </w:tcPr>
          <w:p w:rsidR="008819AE" w:rsidRPr="00D255A6" w:rsidRDefault="00D255A6" w:rsidP="00D255A6">
            <w:pPr>
              <w:spacing w:after="0"/>
              <w:rPr>
                <w:rFonts w:eastAsia="Times New Roman" w:cs="Arial"/>
                <w:sz w:val="18"/>
                <w:szCs w:val="18"/>
                <w:lang w:val="es-CO" w:eastAsia="es-CO"/>
              </w:rPr>
            </w:pPr>
            <w:r>
              <w:rPr>
                <w:rFonts w:eastAsia="Times New Roman" w:cs="Arial"/>
                <w:sz w:val="18"/>
                <w:szCs w:val="18"/>
                <w:lang w:val="es-CO" w:eastAsia="es-CO"/>
              </w:rPr>
              <w:t>27-28 /</w:t>
            </w:r>
            <w:r w:rsidR="00A94721">
              <w:rPr>
                <w:rFonts w:eastAsia="Times New Roman" w:cs="Arial"/>
                <w:sz w:val="18"/>
                <w:szCs w:val="18"/>
                <w:lang w:val="es-CO" w:eastAsia="es-CO"/>
              </w:rPr>
              <w:t>11</w:t>
            </w:r>
            <w:r>
              <w:rPr>
                <w:rFonts w:eastAsia="Times New Roman" w:cs="Arial"/>
                <w:sz w:val="18"/>
                <w:szCs w:val="18"/>
                <w:lang w:val="es-CO" w:eastAsia="es-CO"/>
              </w:rPr>
              <w:t>/</w:t>
            </w:r>
            <w:r w:rsidR="008819AE" w:rsidRPr="00D255A6">
              <w:rPr>
                <w:rFonts w:eastAsia="Times New Roman" w:cs="Arial"/>
                <w:sz w:val="18"/>
                <w:szCs w:val="18"/>
                <w:lang w:val="es-CO" w:eastAsia="es-CO"/>
              </w:rPr>
              <w:t>2017</w:t>
            </w:r>
          </w:p>
        </w:tc>
        <w:tc>
          <w:tcPr>
            <w:tcW w:w="0" w:type="auto"/>
          </w:tcPr>
          <w:p w:rsidR="008819AE" w:rsidRPr="00D255A6" w:rsidRDefault="008819AE" w:rsidP="00476EF8">
            <w:pPr>
              <w:spacing w:after="0"/>
              <w:jc w:val="center"/>
              <w:rPr>
                <w:rFonts w:eastAsia="Times New Roman" w:cs="Arial"/>
                <w:sz w:val="18"/>
                <w:szCs w:val="18"/>
                <w:lang w:val="es-CO" w:eastAsia="es-CO"/>
              </w:rPr>
            </w:pPr>
            <w:r w:rsidRPr="00D255A6">
              <w:rPr>
                <w:rFonts w:eastAsia="Times New Roman" w:cs="Arial"/>
                <w:sz w:val="18"/>
                <w:szCs w:val="18"/>
                <w:lang w:val="es-CO" w:eastAsia="es-CO"/>
              </w:rPr>
              <w:t>54</w:t>
            </w:r>
          </w:p>
        </w:tc>
      </w:tr>
      <w:tr w:rsidR="008819AE" w:rsidRPr="00D255A6" w:rsidTr="00D255A6">
        <w:trPr>
          <w:trHeight w:val="250"/>
          <w:jc w:val="center"/>
        </w:trPr>
        <w:tc>
          <w:tcPr>
            <w:tcW w:w="0" w:type="auto"/>
            <w:gridSpan w:val="2"/>
            <w:shd w:val="clear" w:color="auto" w:fill="E2EFDA"/>
            <w:vAlign w:val="center"/>
          </w:tcPr>
          <w:p w:rsidR="008819AE" w:rsidRPr="00D255A6" w:rsidRDefault="008819AE" w:rsidP="00476EF8">
            <w:pPr>
              <w:spacing w:after="0"/>
              <w:jc w:val="center"/>
              <w:rPr>
                <w:rFonts w:eastAsia="Times New Roman" w:cs="Arial"/>
                <w:b/>
                <w:sz w:val="18"/>
                <w:szCs w:val="18"/>
                <w:lang w:val="es-CO" w:eastAsia="es-CO"/>
              </w:rPr>
            </w:pPr>
            <w:r w:rsidRPr="00D255A6">
              <w:rPr>
                <w:rFonts w:eastAsia="Times New Roman" w:cs="Arial"/>
                <w:b/>
                <w:sz w:val="18"/>
                <w:szCs w:val="18"/>
                <w:lang w:val="es-CO" w:eastAsia="es-CO"/>
              </w:rPr>
              <w:t>Total</w:t>
            </w:r>
          </w:p>
        </w:tc>
        <w:tc>
          <w:tcPr>
            <w:tcW w:w="0" w:type="auto"/>
            <w:shd w:val="clear" w:color="auto" w:fill="E2EFDA"/>
          </w:tcPr>
          <w:p w:rsidR="008819AE" w:rsidRPr="00D255A6" w:rsidRDefault="008819AE" w:rsidP="00476EF8">
            <w:pPr>
              <w:spacing w:after="0"/>
              <w:jc w:val="center"/>
              <w:rPr>
                <w:rFonts w:eastAsia="Times New Roman" w:cs="Arial"/>
                <w:b/>
                <w:sz w:val="18"/>
                <w:szCs w:val="18"/>
                <w:lang w:val="es-CO" w:eastAsia="es-CO"/>
              </w:rPr>
            </w:pPr>
            <w:r w:rsidRPr="00D255A6">
              <w:rPr>
                <w:rFonts w:eastAsia="Times New Roman" w:cs="Arial"/>
                <w:b/>
                <w:sz w:val="18"/>
                <w:szCs w:val="18"/>
                <w:lang w:val="es-CO" w:eastAsia="es-CO"/>
              </w:rPr>
              <w:t>416</w:t>
            </w:r>
          </w:p>
        </w:tc>
      </w:tr>
    </w:tbl>
    <w:p w:rsidR="008819AE" w:rsidRPr="007608C2" w:rsidRDefault="008819AE" w:rsidP="008819AE">
      <w:pPr>
        <w:rPr>
          <w:rFonts w:cs="Arial"/>
        </w:rPr>
      </w:pPr>
    </w:p>
    <w:p w:rsidR="008819AE" w:rsidRPr="007608C2" w:rsidRDefault="008819AE" w:rsidP="008819AE">
      <w:pPr>
        <w:rPr>
          <w:rFonts w:cs="Arial"/>
          <w:b/>
        </w:rPr>
      </w:pPr>
      <w:r w:rsidRPr="007608C2">
        <w:rPr>
          <w:rFonts w:cs="Arial"/>
          <w:b/>
        </w:rPr>
        <w:t>Comité Técnico Consultivo Nacional y Regional para el Restablecimiento de Derechos</w:t>
      </w:r>
    </w:p>
    <w:p w:rsidR="008819AE" w:rsidRPr="007608C2" w:rsidRDefault="008819AE" w:rsidP="008819AE">
      <w:pPr>
        <w:jc w:val="both"/>
        <w:rPr>
          <w:rFonts w:cs="Arial"/>
        </w:rPr>
      </w:pPr>
      <w:r w:rsidRPr="007608C2">
        <w:rPr>
          <w:rFonts w:cs="Arial"/>
        </w:rPr>
        <w:t xml:space="preserve">Mediante la Resolución 7397 de 2017 fue modificada parcialmente la Resolución 9198 de 2015 respecto a los Comité Técnico Consultivo para el Restablecimiento de Derechos del nivel Regional y Zonal con el objetivo de dar continuidad a la estrategia implementada entre el 2015 y 2016. En el 2017 se llevó realizaron los Comités Técnicos Consultivos Regionales de manera presencial. En estos espacios se orientaron y brindaron recomendaciones frente a las actuaciones administrativas de las Defensorías de Familia, con el fin de garantizar el </w:t>
      </w:r>
      <w:r w:rsidRPr="007608C2">
        <w:rPr>
          <w:rFonts w:cs="Arial"/>
        </w:rPr>
        <w:lastRenderedPageBreak/>
        <w:t xml:space="preserve">restablecimiento de los derechos de niños, niñas y adolescentes. El seguimiento al cumplimiento de los compromisos surgidos en los Comités fue realizado por el grupo de seguimiento al PARD de la Subdirección de Restablecimiento de Derechos y por la Coordinación de Autoridades Administrativas en lo relativo a temas asociados al funcionamiento de las Defensorías de Familia y la asistencia técnico-jurídica en el PARD. Este último seguimiento se realizó, igualmente, respecto de los Comités adelantados a nivel nacional. </w:t>
      </w:r>
    </w:p>
    <w:p w:rsidR="008819AE" w:rsidRPr="007608C2" w:rsidRDefault="008819AE" w:rsidP="00D15C6F">
      <w:pPr>
        <w:jc w:val="both"/>
        <w:rPr>
          <w:rFonts w:cs="Arial"/>
        </w:rPr>
      </w:pPr>
      <w:r w:rsidRPr="007608C2">
        <w:rPr>
          <w:rFonts w:cs="Arial"/>
        </w:rPr>
        <w:t xml:space="preserve">En el marco del plan de descongestión – 2017, se revisaron 339 casos de niños, niñas y adolescentes en los comités técnicos consultivos. </w:t>
      </w:r>
    </w:p>
    <w:tbl>
      <w:tblPr>
        <w:tblW w:w="4531" w:type="dxa"/>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2268"/>
        <w:gridCol w:w="2263"/>
      </w:tblGrid>
      <w:tr w:rsidR="008819AE" w:rsidRPr="00D15C6F" w:rsidTr="00D15C6F">
        <w:trPr>
          <w:trHeight w:val="360"/>
          <w:tblHeader/>
          <w:jc w:val="center"/>
        </w:trPr>
        <w:tc>
          <w:tcPr>
            <w:tcW w:w="2268" w:type="dxa"/>
            <w:shd w:val="clear" w:color="auto" w:fill="76922E"/>
            <w:noWrap/>
            <w:vAlign w:val="bottom"/>
            <w:hideMark/>
          </w:tcPr>
          <w:p w:rsidR="008819AE" w:rsidRPr="00D15C6F" w:rsidRDefault="008819AE" w:rsidP="00476EF8">
            <w:pPr>
              <w:spacing w:after="0"/>
              <w:jc w:val="center"/>
              <w:rPr>
                <w:rFonts w:eastAsia="Times New Roman" w:cs="Arial"/>
                <w:b/>
                <w:bCs/>
                <w:color w:val="FFFFFF" w:themeColor="background1"/>
                <w:sz w:val="18"/>
                <w:szCs w:val="18"/>
                <w:lang w:val="es-CO" w:eastAsia="es-CO"/>
              </w:rPr>
            </w:pPr>
            <w:r w:rsidRPr="00D15C6F">
              <w:rPr>
                <w:rFonts w:eastAsia="Times New Roman" w:cs="Arial"/>
                <w:b/>
                <w:bCs/>
                <w:color w:val="FFFFFF" w:themeColor="background1"/>
                <w:sz w:val="18"/>
                <w:szCs w:val="18"/>
                <w:lang w:val="es-CO" w:eastAsia="es-CO"/>
              </w:rPr>
              <w:t>Regionales 2017</w:t>
            </w:r>
          </w:p>
        </w:tc>
        <w:tc>
          <w:tcPr>
            <w:tcW w:w="2263" w:type="dxa"/>
            <w:shd w:val="clear" w:color="auto" w:fill="76922E"/>
            <w:noWrap/>
            <w:vAlign w:val="bottom"/>
            <w:hideMark/>
          </w:tcPr>
          <w:p w:rsidR="008819AE" w:rsidRPr="00D15C6F" w:rsidRDefault="008819AE" w:rsidP="00476EF8">
            <w:pPr>
              <w:spacing w:after="0"/>
              <w:jc w:val="center"/>
              <w:rPr>
                <w:rFonts w:eastAsia="Times New Roman" w:cs="Arial"/>
                <w:b/>
                <w:bCs/>
                <w:color w:val="FFFFFF" w:themeColor="background1"/>
                <w:sz w:val="18"/>
                <w:szCs w:val="18"/>
                <w:lang w:val="es-CO" w:eastAsia="es-CO"/>
              </w:rPr>
            </w:pPr>
            <w:r w:rsidRPr="00D15C6F">
              <w:rPr>
                <w:rFonts w:eastAsia="Times New Roman" w:cs="Arial"/>
                <w:b/>
                <w:bCs/>
                <w:color w:val="FFFFFF" w:themeColor="background1"/>
                <w:sz w:val="18"/>
                <w:szCs w:val="18"/>
                <w:lang w:val="es-CO" w:eastAsia="es-CO"/>
              </w:rPr>
              <w:t>Casos analizados</w:t>
            </w:r>
          </w:p>
        </w:tc>
      </w:tr>
      <w:tr w:rsidR="008819AE" w:rsidRPr="00D15C6F" w:rsidTr="00D15C6F">
        <w:trPr>
          <w:trHeight w:val="37"/>
          <w:jc w:val="center"/>
        </w:trPr>
        <w:tc>
          <w:tcPr>
            <w:tcW w:w="2268" w:type="dxa"/>
            <w:shd w:val="clear" w:color="000000" w:fill="FFFFFF"/>
            <w:noWrap/>
            <w:vAlign w:val="center"/>
            <w:hideMark/>
          </w:tcPr>
          <w:p w:rsidR="008819AE" w:rsidRPr="00D15C6F" w:rsidRDefault="008819AE" w:rsidP="00476EF8">
            <w:pPr>
              <w:spacing w:after="0"/>
              <w:rPr>
                <w:rFonts w:eastAsia="Times New Roman" w:cs="Arial"/>
                <w:sz w:val="18"/>
                <w:szCs w:val="18"/>
                <w:lang w:val="es-CO" w:eastAsia="es-CO"/>
              </w:rPr>
            </w:pPr>
            <w:r w:rsidRPr="00D15C6F">
              <w:rPr>
                <w:rFonts w:eastAsia="Times New Roman" w:cs="Arial"/>
                <w:sz w:val="18"/>
                <w:szCs w:val="18"/>
                <w:lang w:val="es-CO" w:eastAsia="es-CO"/>
              </w:rPr>
              <w:t>Guaviare</w:t>
            </w:r>
          </w:p>
        </w:tc>
        <w:tc>
          <w:tcPr>
            <w:tcW w:w="2263" w:type="dxa"/>
            <w:shd w:val="clear" w:color="auto" w:fill="auto"/>
            <w:noWrap/>
            <w:vAlign w:val="bottom"/>
            <w:hideMark/>
          </w:tcPr>
          <w:p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54</w:t>
            </w:r>
          </w:p>
        </w:tc>
      </w:tr>
      <w:tr w:rsidR="008819AE" w:rsidRPr="00D15C6F" w:rsidTr="00D15C6F">
        <w:trPr>
          <w:trHeight w:val="46"/>
          <w:jc w:val="center"/>
        </w:trPr>
        <w:tc>
          <w:tcPr>
            <w:tcW w:w="2268" w:type="dxa"/>
            <w:shd w:val="clear" w:color="000000" w:fill="FFFFFF"/>
            <w:noWrap/>
            <w:vAlign w:val="center"/>
            <w:hideMark/>
          </w:tcPr>
          <w:p w:rsidR="008819AE" w:rsidRPr="00D15C6F" w:rsidRDefault="008819AE" w:rsidP="00476EF8">
            <w:pPr>
              <w:spacing w:after="0"/>
              <w:rPr>
                <w:rFonts w:eastAsia="Times New Roman" w:cs="Arial"/>
                <w:sz w:val="18"/>
                <w:szCs w:val="18"/>
                <w:lang w:val="es-CO" w:eastAsia="es-CO"/>
              </w:rPr>
            </w:pPr>
            <w:r w:rsidRPr="00D15C6F">
              <w:rPr>
                <w:rFonts w:eastAsia="Times New Roman" w:cs="Arial"/>
                <w:sz w:val="18"/>
                <w:szCs w:val="18"/>
                <w:lang w:val="es-CO" w:eastAsia="es-CO"/>
              </w:rPr>
              <w:t xml:space="preserve">Guainía </w:t>
            </w:r>
          </w:p>
        </w:tc>
        <w:tc>
          <w:tcPr>
            <w:tcW w:w="2263" w:type="dxa"/>
            <w:shd w:val="clear" w:color="auto" w:fill="auto"/>
            <w:noWrap/>
            <w:vAlign w:val="bottom"/>
            <w:hideMark/>
          </w:tcPr>
          <w:p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48</w:t>
            </w:r>
          </w:p>
        </w:tc>
      </w:tr>
      <w:tr w:rsidR="008819AE" w:rsidRPr="00D15C6F" w:rsidTr="00D15C6F">
        <w:trPr>
          <w:trHeight w:val="78"/>
          <w:jc w:val="center"/>
        </w:trPr>
        <w:tc>
          <w:tcPr>
            <w:tcW w:w="2268" w:type="dxa"/>
            <w:shd w:val="clear" w:color="000000" w:fill="FFFFFF"/>
            <w:noWrap/>
            <w:vAlign w:val="center"/>
            <w:hideMark/>
          </w:tcPr>
          <w:p w:rsidR="008819AE" w:rsidRPr="00D15C6F" w:rsidRDefault="008819AE" w:rsidP="00476EF8">
            <w:pPr>
              <w:spacing w:after="0"/>
              <w:rPr>
                <w:rFonts w:eastAsia="Times New Roman" w:cs="Arial"/>
                <w:sz w:val="18"/>
                <w:szCs w:val="18"/>
                <w:lang w:val="es-CO" w:eastAsia="es-CO"/>
              </w:rPr>
            </w:pPr>
            <w:r w:rsidRPr="00D15C6F">
              <w:rPr>
                <w:rFonts w:eastAsia="Times New Roman" w:cs="Arial"/>
                <w:sz w:val="18"/>
                <w:szCs w:val="18"/>
                <w:lang w:val="es-CO" w:eastAsia="es-CO"/>
              </w:rPr>
              <w:t xml:space="preserve">San Andrés </w:t>
            </w:r>
          </w:p>
        </w:tc>
        <w:tc>
          <w:tcPr>
            <w:tcW w:w="2263" w:type="dxa"/>
            <w:shd w:val="clear" w:color="auto" w:fill="auto"/>
            <w:noWrap/>
            <w:vAlign w:val="bottom"/>
            <w:hideMark/>
          </w:tcPr>
          <w:p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30</w:t>
            </w:r>
          </w:p>
        </w:tc>
      </w:tr>
      <w:tr w:rsidR="008819AE" w:rsidRPr="00D15C6F" w:rsidTr="00D15C6F">
        <w:trPr>
          <w:trHeight w:val="54"/>
          <w:jc w:val="center"/>
        </w:trPr>
        <w:tc>
          <w:tcPr>
            <w:tcW w:w="2268" w:type="dxa"/>
            <w:vMerge w:val="restart"/>
            <w:shd w:val="clear" w:color="000000" w:fill="FFFFFF"/>
            <w:noWrap/>
            <w:vAlign w:val="center"/>
            <w:hideMark/>
          </w:tcPr>
          <w:p w:rsidR="008819AE" w:rsidRPr="00D15C6F" w:rsidRDefault="008819AE" w:rsidP="00476EF8">
            <w:pPr>
              <w:spacing w:after="0"/>
              <w:rPr>
                <w:rFonts w:eastAsia="Times New Roman" w:cs="Arial"/>
                <w:sz w:val="18"/>
                <w:szCs w:val="18"/>
                <w:lang w:val="es-CO" w:eastAsia="es-CO"/>
              </w:rPr>
            </w:pPr>
            <w:r w:rsidRPr="00D15C6F">
              <w:rPr>
                <w:rFonts w:eastAsia="Times New Roman" w:cs="Arial"/>
                <w:sz w:val="18"/>
                <w:szCs w:val="18"/>
                <w:lang w:val="es-CO" w:eastAsia="es-CO"/>
              </w:rPr>
              <w:t>Bogotá</w:t>
            </w:r>
          </w:p>
        </w:tc>
        <w:tc>
          <w:tcPr>
            <w:tcW w:w="2263" w:type="dxa"/>
            <w:shd w:val="clear" w:color="auto" w:fill="auto"/>
            <w:noWrap/>
            <w:vAlign w:val="bottom"/>
            <w:hideMark/>
          </w:tcPr>
          <w:p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1</w:t>
            </w:r>
          </w:p>
        </w:tc>
      </w:tr>
      <w:tr w:rsidR="008819AE" w:rsidRPr="00D15C6F" w:rsidTr="00D15C6F">
        <w:trPr>
          <w:trHeight w:val="37"/>
          <w:jc w:val="center"/>
        </w:trPr>
        <w:tc>
          <w:tcPr>
            <w:tcW w:w="2268" w:type="dxa"/>
            <w:vMerge/>
            <w:vAlign w:val="center"/>
            <w:hideMark/>
          </w:tcPr>
          <w:p w:rsidR="008819AE" w:rsidRPr="00D15C6F" w:rsidRDefault="008819AE" w:rsidP="00476EF8">
            <w:pPr>
              <w:spacing w:after="0"/>
              <w:rPr>
                <w:rFonts w:eastAsia="Times New Roman" w:cs="Arial"/>
                <w:sz w:val="18"/>
                <w:szCs w:val="18"/>
                <w:lang w:val="es-CO" w:eastAsia="es-CO"/>
              </w:rPr>
            </w:pPr>
          </w:p>
        </w:tc>
        <w:tc>
          <w:tcPr>
            <w:tcW w:w="2263" w:type="dxa"/>
            <w:shd w:val="clear" w:color="auto" w:fill="auto"/>
            <w:noWrap/>
            <w:vAlign w:val="bottom"/>
            <w:hideMark/>
          </w:tcPr>
          <w:p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29</w:t>
            </w:r>
          </w:p>
        </w:tc>
      </w:tr>
      <w:tr w:rsidR="008819AE" w:rsidRPr="00D15C6F" w:rsidTr="00D15C6F">
        <w:trPr>
          <w:trHeight w:val="46"/>
          <w:jc w:val="center"/>
        </w:trPr>
        <w:tc>
          <w:tcPr>
            <w:tcW w:w="2268" w:type="dxa"/>
            <w:vMerge/>
            <w:vAlign w:val="center"/>
            <w:hideMark/>
          </w:tcPr>
          <w:p w:rsidR="008819AE" w:rsidRPr="00D15C6F" w:rsidRDefault="008819AE" w:rsidP="00476EF8">
            <w:pPr>
              <w:spacing w:after="0"/>
              <w:rPr>
                <w:rFonts w:eastAsia="Times New Roman" w:cs="Arial"/>
                <w:sz w:val="18"/>
                <w:szCs w:val="18"/>
                <w:lang w:val="es-CO" w:eastAsia="es-CO"/>
              </w:rPr>
            </w:pPr>
          </w:p>
        </w:tc>
        <w:tc>
          <w:tcPr>
            <w:tcW w:w="2263" w:type="dxa"/>
            <w:shd w:val="clear" w:color="auto" w:fill="auto"/>
            <w:noWrap/>
            <w:vAlign w:val="bottom"/>
            <w:hideMark/>
          </w:tcPr>
          <w:p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1</w:t>
            </w:r>
          </w:p>
        </w:tc>
      </w:tr>
      <w:tr w:rsidR="008819AE" w:rsidRPr="00D15C6F" w:rsidTr="00D15C6F">
        <w:trPr>
          <w:trHeight w:val="77"/>
          <w:jc w:val="center"/>
        </w:trPr>
        <w:tc>
          <w:tcPr>
            <w:tcW w:w="2268" w:type="dxa"/>
            <w:vMerge/>
            <w:vAlign w:val="center"/>
            <w:hideMark/>
          </w:tcPr>
          <w:p w:rsidR="008819AE" w:rsidRPr="00D15C6F" w:rsidRDefault="008819AE" w:rsidP="00476EF8">
            <w:pPr>
              <w:spacing w:after="0"/>
              <w:rPr>
                <w:rFonts w:eastAsia="Times New Roman" w:cs="Arial"/>
                <w:sz w:val="18"/>
                <w:szCs w:val="18"/>
                <w:lang w:val="es-CO" w:eastAsia="es-CO"/>
              </w:rPr>
            </w:pPr>
          </w:p>
        </w:tc>
        <w:tc>
          <w:tcPr>
            <w:tcW w:w="2263" w:type="dxa"/>
            <w:shd w:val="clear" w:color="auto" w:fill="auto"/>
            <w:noWrap/>
            <w:vAlign w:val="bottom"/>
            <w:hideMark/>
          </w:tcPr>
          <w:p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1</w:t>
            </w:r>
          </w:p>
        </w:tc>
      </w:tr>
      <w:tr w:rsidR="008819AE" w:rsidRPr="00D15C6F" w:rsidTr="00D15C6F">
        <w:trPr>
          <w:trHeight w:val="110"/>
          <w:jc w:val="center"/>
        </w:trPr>
        <w:tc>
          <w:tcPr>
            <w:tcW w:w="2268" w:type="dxa"/>
            <w:vMerge/>
            <w:vAlign w:val="center"/>
            <w:hideMark/>
          </w:tcPr>
          <w:p w:rsidR="008819AE" w:rsidRPr="00D15C6F" w:rsidRDefault="008819AE" w:rsidP="00476EF8">
            <w:pPr>
              <w:spacing w:after="0"/>
              <w:rPr>
                <w:rFonts w:eastAsia="Times New Roman" w:cs="Arial"/>
                <w:sz w:val="18"/>
                <w:szCs w:val="18"/>
                <w:lang w:val="es-CO" w:eastAsia="es-CO"/>
              </w:rPr>
            </w:pPr>
          </w:p>
        </w:tc>
        <w:tc>
          <w:tcPr>
            <w:tcW w:w="2263" w:type="dxa"/>
            <w:shd w:val="clear" w:color="auto" w:fill="auto"/>
            <w:noWrap/>
            <w:vAlign w:val="bottom"/>
            <w:hideMark/>
          </w:tcPr>
          <w:p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1</w:t>
            </w:r>
          </w:p>
        </w:tc>
      </w:tr>
      <w:tr w:rsidR="008819AE" w:rsidRPr="00D15C6F" w:rsidTr="00D15C6F">
        <w:trPr>
          <w:trHeight w:val="37"/>
          <w:jc w:val="center"/>
        </w:trPr>
        <w:tc>
          <w:tcPr>
            <w:tcW w:w="2268" w:type="dxa"/>
            <w:vMerge/>
            <w:vAlign w:val="center"/>
            <w:hideMark/>
          </w:tcPr>
          <w:p w:rsidR="008819AE" w:rsidRPr="00D15C6F" w:rsidRDefault="008819AE" w:rsidP="00476EF8">
            <w:pPr>
              <w:spacing w:after="0"/>
              <w:rPr>
                <w:rFonts w:eastAsia="Times New Roman" w:cs="Arial"/>
                <w:sz w:val="18"/>
                <w:szCs w:val="18"/>
                <w:lang w:val="es-CO" w:eastAsia="es-CO"/>
              </w:rPr>
            </w:pPr>
          </w:p>
        </w:tc>
        <w:tc>
          <w:tcPr>
            <w:tcW w:w="2263" w:type="dxa"/>
            <w:shd w:val="clear" w:color="auto" w:fill="auto"/>
            <w:noWrap/>
            <w:vAlign w:val="bottom"/>
            <w:hideMark/>
          </w:tcPr>
          <w:p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1</w:t>
            </w:r>
          </w:p>
        </w:tc>
      </w:tr>
      <w:tr w:rsidR="008819AE" w:rsidRPr="00D15C6F" w:rsidTr="00D15C6F">
        <w:trPr>
          <w:trHeight w:val="46"/>
          <w:jc w:val="center"/>
        </w:trPr>
        <w:tc>
          <w:tcPr>
            <w:tcW w:w="2268" w:type="dxa"/>
            <w:vMerge/>
            <w:vAlign w:val="center"/>
            <w:hideMark/>
          </w:tcPr>
          <w:p w:rsidR="008819AE" w:rsidRPr="00D15C6F" w:rsidRDefault="008819AE" w:rsidP="00476EF8">
            <w:pPr>
              <w:spacing w:after="0"/>
              <w:rPr>
                <w:rFonts w:eastAsia="Times New Roman" w:cs="Arial"/>
                <w:sz w:val="18"/>
                <w:szCs w:val="18"/>
                <w:lang w:val="es-CO" w:eastAsia="es-CO"/>
              </w:rPr>
            </w:pPr>
          </w:p>
        </w:tc>
        <w:tc>
          <w:tcPr>
            <w:tcW w:w="2263" w:type="dxa"/>
            <w:shd w:val="clear" w:color="auto" w:fill="auto"/>
            <w:noWrap/>
            <w:vAlign w:val="bottom"/>
            <w:hideMark/>
          </w:tcPr>
          <w:p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1</w:t>
            </w:r>
          </w:p>
        </w:tc>
      </w:tr>
      <w:tr w:rsidR="008819AE" w:rsidRPr="00D15C6F" w:rsidTr="00D15C6F">
        <w:trPr>
          <w:trHeight w:val="77"/>
          <w:jc w:val="center"/>
        </w:trPr>
        <w:tc>
          <w:tcPr>
            <w:tcW w:w="2268" w:type="dxa"/>
            <w:shd w:val="clear" w:color="000000" w:fill="FFFFFF"/>
            <w:noWrap/>
            <w:vAlign w:val="center"/>
            <w:hideMark/>
          </w:tcPr>
          <w:p w:rsidR="008819AE" w:rsidRPr="00D15C6F" w:rsidRDefault="008819AE" w:rsidP="00476EF8">
            <w:pPr>
              <w:spacing w:after="0"/>
              <w:rPr>
                <w:rFonts w:eastAsia="Times New Roman" w:cs="Arial"/>
                <w:sz w:val="18"/>
                <w:szCs w:val="18"/>
                <w:lang w:val="es-CO" w:eastAsia="es-CO"/>
              </w:rPr>
            </w:pPr>
            <w:r w:rsidRPr="00D15C6F">
              <w:rPr>
                <w:rFonts w:eastAsia="Times New Roman" w:cs="Arial"/>
                <w:sz w:val="18"/>
                <w:szCs w:val="18"/>
                <w:lang w:val="es-CO" w:eastAsia="es-CO"/>
              </w:rPr>
              <w:t xml:space="preserve">Vichada </w:t>
            </w:r>
          </w:p>
        </w:tc>
        <w:tc>
          <w:tcPr>
            <w:tcW w:w="2263" w:type="dxa"/>
            <w:shd w:val="clear" w:color="000000" w:fill="FFFFFF"/>
            <w:noWrap/>
            <w:vAlign w:val="center"/>
            <w:hideMark/>
          </w:tcPr>
          <w:p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22</w:t>
            </w:r>
          </w:p>
        </w:tc>
      </w:tr>
      <w:tr w:rsidR="008819AE" w:rsidRPr="00D15C6F" w:rsidTr="00D15C6F">
        <w:trPr>
          <w:trHeight w:val="124"/>
          <w:jc w:val="center"/>
        </w:trPr>
        <w:tc>
          <w:tcPr>
            <w:tcW w:w="2268" w:type="dxa"/>
            <w:shd w:val="clear" w:color="000000" w:fill="FFFFFF"/>
            <w:noWrap/>
            <w:vAlign w:val="center"/>
            <w:hideMark/>
          </w:tcPr>
          <w:p w:rsidR="008819AE" w:rsidRPr="00D15C6F" w:rsidRDefault="008819AE" w:rsidP="00476EF8">
            <w:pPr>
              <w:spacing w:after="0"/>
              <w:rPr>
                <w:rFonts w:eastAsia="Times New Roman" w:cs="Arial"/>
                <w:sz w:val="18"/>
                <w:szCs w:val="18"/>
                <w:lang w:val="es-CO" w:eastAsia="es-CO"/>
              </w:rPr>
            </w:pPr>
            <w:r w:rsidRPr="00D15C6F">
              <w:rPr>
                <w:rFonts w:eastAsia="Times New Roman" w:cs="Arial"/>
                <w:sz w:val="18"/>
                <w:szCs w:val="18"/>
                <w:lang w:val="es-CO" w:eastAsia="es-CO"/>
              </w:rPr>
              <w:t>Santander</w:t>
            </w:r>
          </w:p>
        </w:tc>
        <w:tc>
          <w:tcPr>
            <w:tcW w:w="2263" w:type="dxa"/>
            <w:shd w:val="clear" w:color="000000" w:fill="FFFFFF"/>
            <w:noWrap/>
            <w:vAlign w:val="center"/>
            <w:hideMark/>
          </w:tcPr>
          <w:p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24</w:t>
            </w:r>
          </w:p>
        </w:tc>
      </w:tr>
      <w:tr w:rsidR="008819AE" w:rsidRPr="00D15C6F" w:rsidTr="00D15C6F">
        <w:trPr>
          <w:trHeight w:val="156"/>
          <w:jc w:val="center"/>
        </w:trPr>
        <w:tc>
          <w:tcPr>
            <w:tcW w:w="2268" w:type="dxa"/>
            <w:shd w:val="clear" w:color="000000" w:fill="FFFFFF"/>
            <w:noWrap/>
            <w:vAlign w:val="center"/>
            <w:hideMark/>
          </w:tcPr>
          <w:p w:rsidR="008819AE" w:rsidRPr="00D15C6F" w:rsidRDefault="008819AE" w:rsidP="00476EF8">
            <w:pPr>
              <w:spacing w:after="0"/>
              <w:rPr>
                <w:rFonts w:eastAsia="Times New Roman" w:cs="Arial"/>
                <w:sz w:val="18"/>
                <w:szCs w:val="18"/>
                <w:lang w:val="es-CO" w:eastAsia="es-CO"/>
              </w:rPr>
            </w:pPr>
            <w:r w:rsidRPr="00D15C6F">
              <w:rPr>
                <w:rFonts w:eastAsia="Times New Roman" w:cs="Arial"/>
                <w:sz w:val="18"/>
                <w:szCs w:val="18"/>
                <w:lang w:val="es-CO" w:eastAsia="es-CO"/>
              </w:rPr>
              <w:t>Nariño</w:t>
            </w:r>
          </w:p>
        </w:tc>
        <w:tc>
          <w:tcPr>
            <w:tcW w:w="2263" w:type="dxa"/>
            <w:shd w:val="clear" w:color="000000" w:fill="FFFFFF"/>
            <w:noWrap/>
            <w:vAlign w:val="center"/>
            <w:hideMark/>
          </w:tcPr>
          <w:p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41</w:t>
            </w:r>
          </w:p>
        </w:tc>
      </w:tr>
      <w:tr w:rsidR="008819AE" w:rsidRPr="00D15C6F" w:rsidTr="00D15C6F">
        <w:trPr>
          <w:trHeight w:val="45"/>
          <w:jc w:val="center"/>
        </w:trPr>
        <w:tc>
          <w:tcPr>
            <w:tcW w:w="2268" w:type="dxa"/>
            <w:shd w:val="clear" w:color="000000" w:fill="FFFFFF"/>
            <w:noWrap/>
            <w:vAlign w:val="center"/>
            <w:hideMark/>
          </w:tcPr>
          <w:p w:rsidR="008819AE" w:rsidRPr="00D15C6F" w:rsidRDefault="008819AE" w:rsidP="00476EF8">
            <w:pPr>
              <w:spacing w:after="0"/>
              <w:rPr>
                <w:rFonts w:eastAsia="Times New Roman" w:cs="Arial"/>
                <w:sz w:val="18"/>
                <w:szCs w:val="18"/>
                <w:lang w:val="es-CO" w:eastAsia="es-CO"/>
              </w:rPr>
            </w:pPr>
            <w:r w:rsidRPr="00D15C6F">
              <w:rPr>
                <w:rFonts w:eastAsia="Times New Roman" w:cs="Arial"/>
                <w:sz w:val="18"/>
                <w:szCs w:val="18"/>
                <w:lang w:val="es-CO" w:eastAsia="es-CO"/>
              </w:rPr>
              <w:t xml:space="preserve">Vaupés </w:t>
            </w:r>
          </w:p>
        </w:tc>
        <w:tc>
          <w:tcPr>
            <w:tcW w:w="2263" w:type="dxa"/>
            <w:shd w:val="clear" w:color="000000" w:fill="FFFFFF"/>
            <w:noWrap/>
            <w:vAlign w:val="center"/>
            <w:hideMark/>
          </w:tcPr>
          <w:p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30</w:t>
            </w:r>
          </w:p>
        </w:tc>
      </w:tr>
      <w:tr w:rsidR="008819AE" w:rsidRPr="00D15C6F" w:rsidTr="00D15C6F">
        <w:trPr>
          <w:trHeight w:val="78"/>
          <w:jc w:val="center"/>
        </w:trPr>
        <w:tc>
          <w:tcPr>
            <w:tcW w:w="2268" w:type="dxa"/>
            <w:shd w:val="clear" w:color="000000" w:fill="FFFFFF"/>
            <w:noWrap/>
            <w:vAlign w:val="center"/>
            <w:hideMark/>
          </w:tcPr>
          <w:p w:rsidR="008819AE" w:rsidRPr="00D15C6F" w:rsidRDefault="008819AE" w:rsidP="00476EF8">
            <w:pPr>
              <w:spacing w:after="0"/>
              <w:rPr>
                <w:rFonts w:eastAsia="Times New Roman" w:cs="Arial"/>
                <w:sz w:val="18"/>
                <w:szCs w:val="18"/>
                <w:lang w:val="es-CO" w:eastAsia="es-CO"/>
              </w:rPr>
            </w:pPr>
            <w:r w:rsidRPr="00D15C6F">
              <w:rPr>
                <w:rFonts w:eastAsia="Times New Roman" w:cs="Arial"/>
                <w:sz w:val="18"/>
                <w:szCs w:val="18"/>
                <w:lang w:val="es-CO" w:eastAsia="es-CO"/>
              </w:rPr>
              <w:t>Atlántico- virtual</w:t>
            </w:r>
          </w:p>
        </w:tc>
        <w:tc>
          <w:tcPr>
            <w:tcW w:w="2263" w:type="dxa"/>
            <w:shd w:val="clear" w:color="000000" w:fill="FFFFFF"/>
            <w:noWrap/>
            <w:vAlign w:val="center"/>
            <w:hideMark/>
          </w:tcPr>
          <w:p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1</w:t>
            </w:r>
          </w:p>
        </w:tc>
      </w:tr>
      <w:tr w:rsidR="008819AE" w:rsidRPr="00D15C6F" w:rsidTr="00D15C6F">
        <w:trPr>
          <w:trHeight w:val="37"/>
          <w:jc w:val="center"/>
        </w:trPr>
        <w:tc>
          <w:tcPr>
            <w:tcW w:w="2268" w:type="dxa"/>
            <w:shd w:val="clear" w:color="000000" w:fill="FFFFFF"/>
            <w:noWrap/>
            <w:vAlign w:val="center"/>
            <w:hideMark/>
          </w:tcPr>
          <w:p w:rsidR="008819AE" w:rsidRPr="00D15C6F" w:rsidRDefault="008819AE" w:rsidP="00476EF8">
            <w:pPr>
              <w:spacing w:after="0"/>
              <w:rPr>
                <w:rFonts w:eastAsia="Times New Roman" w:cs="Arial"/>
                <w:sz w:val="18"/>
                <w:szCs w:val="18"/>
                <w:lang w:val="es-CO" w:eastAsia="es-CO"/>
              </w:rPr>
            </w:pPr>
            <w:r w:rsidRPr="00D15C6F">
              <w:rPr>
                <w:rFonts w:eastAsia="Times New Roman" w:cs="Arial"/>
                <w:sz w:val="18"/>
                <w:szCs w:val="18"/>
                <w:lang w:val="es-CO" w:eastAsia="es-CO"/>
              </w:rPr>
              <w:t>Sucre - virtual</w:t>
            </w:r>
          </w:p>
        </w:tc>
        <w:tc>
          <w:tcPr>
            <w:tcW w:w="2263" w:type="dxa"/>
            <w:shd w:val="clear" w:color="000000" w:fill="FFFFFF"/>
            <w:noWrap/>
            <w:vAlign w:val="center"/>
            <w:hideMark/>
          </w:tcPr>
          <w:p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2</w:t>
            </w:r>
          </w:p>
        </w:tc>
      </w:tr>
      <w:tr w:rsidR="008819AE" w:rsidRPr="00D15C6F" w:rsidTr="00D15C6F">
        <w:trPr>
          <w:trHeight w:val="156"/>
          <w:jc w:val="center"/>
        </w:trPr>
        <w:tc>
          <w:tcPr>
            <w:tcW w:w="2268" w:type="dxa"/>
            <w:shd w:val="clear" w:color="000000" w:fill="FFFFFF"/>
            <w:noWrap/>
            <w:vAlign w:val="center"/>
            <w:hideMark/>
          </w:tcPr>
          <w:p w:rsidR="008819AE" w:rsidRPr="00D15C6F" w:rsidRDefault="008819AE" w:rsidP="00476EF8">
            <w:pPr>
              <w:spacing w:after="0"/>
              <w:rPr>
                <w:rFonts w:eastAsia="Times New Roman" w:cs="Arial"/>
                <w:sz w:val="18"/>
                <w:szCs w:val="18"/>
                <w:lang w:val="es-CO" w:eastAsia="es-CO"/>
              </w:rPr>
            </w:pPr>
            <w:r w:rsidRPr="00D15C6F">
              <w:rPr>
                <w:rFonts w:eastAsia="Times New Roman" w:cs="Arial"/>
                <w:sz w:val="18"/>
                <w:szCs w:val="18"/>
                <w:lang w:val="es-CO" w:eastAsia="es-CO"/>
              </w:rPr>
              <w:t>Arauca - virtual</w:t>
            </w:r>
          </w:p>
        </w:tc>
        <w:tc>
          <w:tcPr>
            <w:tcW w:w="2263" w:type="dxa"/>
            <w:shd w:val="clear" w:color="000000" w:fill="FFFFFF"/>
            <w:noWrap/>
            <w:vAlign w:val="center"/>
            <w:hideMark/>
          </w:tcPr>
          <w:p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1</w:t>
            </w:r>
          </w:p>
        </w:tc>
      </w:tr>
      <w:tr w:rsidR="008819AE" w:rsidRPr="00D15C6F" w:rsidTr="00D15C6F">
        <w:trPr>
          <w:trHeight w:val="46"/>
          <w:jc w:val="center"/>
        </w:trPr>
        <w:tc>
          <w:tcPr>
            <w:tcW w:w="2268" w:type="dxa"/>
            <w:shd w:val="clear" w:color="000000" w:fill="FFFFFF"/>
            <w:noWrap/>
            <w:vAlign w:val="center"/>
            <w:hideMark/>
          </w:tcPr>
          <w:p w:rsidR="008819AE" w:rsidRPr="00D15C6F" w:rsidRDefault="008819AE" w:rsidP="00476EF8">
            <w:pPr>
              <w:spacing w:after="0"/>
              <w:rPr>
                <w:rFonts w:eastAsia="Times New Roman" w:cs="Arial"/>
                <w:sz w:val="18"/>
                <w:szCs w:val="18"/>
                <w:lang w:val="es-CO" w:eastAsia="es-CO"/>
              </w:rPr>
            </w:pPr>
            <w:r w:rsidRPr="00D15C6F">
              <w:rPr>
                <w:rFonts w:eastAsia="Times New Roman" w:cs="Arial"/>
                <w:sz w:val="18"/>
                <w:szCs w:val="18"/>
                <w:lang w:val="es-CO" w:eastAsia="es-CO"/>
              </w:rPr>
              <w:t>Cundinamarca</w:t>
            </w:r>
          </w:p>
        </w:tc>
        <w:tc>
          <w:tcPr>
            <w:tcW w:w="2263" w:type="dxa"/>
            <w:shd w:val="clear" w:color="000000" w:fill="FFFFFF"/>
            <w:noWrap/>
            <w:vAlign w:val="center"/>
            <w:hideMark/>
          </w:tcPr>
          <w:p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1</w:t>
            </w:r>
          </w:p>
        </w:tc>
      </w:tr>
      <w:tr w:rsidR="008819AE" w:rsidRPr="00D15C6F" w:rsidTr="00D15C6F">
        <w:trPr>
          <w:trHeight w:val="37"/>
          <w:jc w:val="center"/>
        </w:trPr>
        <w:tc>
          <w:tcPr>
            <w:tcW w:w="2268" w:type="dxa"/>
            <w:shd w:val="clear" w:color="000000" w:fill="FFFFFF"/>
            <w:vAlign w:val="center"/>
            <w:hideMark/>
          </w:tcPr>
          <w:p w:rsidR="008819AE" w:rsidRPr="00D15C6F" w:rsidRDefault="008819AE" w:rsidP="00476EF8">
            <w:pPr>
              <w:spacing w:after="0"/>
              <w:rPr>
                <w:rFonts w:eastAsia="Times New Roman" w:cs="Arial"/>
                <w:sz w:val="18"/>
                <w:szCs w:val="18"/>
                <w:lang w:val="es-CO" w:eastAsia="es-CO"/>
              </w:rPr>
            </w:pPr>
            <w:r w:rsidRPr="00D15C6F">
              <w:rPr>
                <w:rFonts w:eastAsia="Times New Roman" w:cs="Arial"/>
                <w:sz w:val="18"/>
                <w:szCs w:val="18"/>
                <w:lang w:val="es-CO" w:eastAsia="es-CO"/>
              </w:rPr>
              <w:t>Amazonas</w:t>
            </w:r>
          </w:p>
        </w:tc>
        <w:tc>
          <w:tcPr>
            <w:tcW w:w="2263" w:type="dxa"/>
            <w:shd w:val="clear" w:color="000000" w:fill="FFFFFF"/>
            <w:noWrap/>
            <w:vAlign w:val="center"/>
            <w:hideMark/>
          </w:tcPr>
          <w:p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22</w:t>
            </w:r>
          </w:p>
        </w:tc>
      </w:tr>
      <w:tr w:rsidR="008819AE" w:rsidRPr="00D15C6F" w:rsidTr="00D15C6F">
        <w:trPr>
          <w:trHeight w:val="37"/>
          <w:jc w:val="center"/>
        </w:trPr>
        <w:tc>
          <w:tcPr>
            <w:tcW w:w="2268" w:type="dxa"/>
            <w:shd w:val="clear" w:color="auto" w:fill="FFFFFF"/>
            <w:noWrap/>
            <w:vAlign w:val="bottom"/>
          </w:tcPr>
          <w:p w:rsidR="008819AE" w:rsidRPr="00D15C6F" w:rsidRDefault="008819AE" w:rsidP="00476EF8">
            <w:pPr>
              <w:spacing w:after="0"/>
              <w:rPr>
                <w:rFonts w:eastAsia="Times New Roman" w:cs="Arial"/>
                <w:sz w:val="18"/>
                <w:szCs w:val="18"/>
                <w:lang w:val="es-CO" w:eastAsia="es-CO"/>
              </w:rPr>
            </w:pPr>
            <w:r w:rsidRPr="00D15C6F">
              <w:rPr>
                <w:rFonts w:eastAsia="Times New Roman" w:cs="Arial"/>
                <w:sz w:val="18"/>
                <w:szCs w:val="18"/>
                <w:lang w:val="es-CO" w:eastAsia="es-CO"/>
              </w:rPr>
              <w:t>Risaralda</w:t>
            </w:r>
          </w:p>
        </w:tc>
        <w:tc>
          <w:tcPr>
            <w:tcW w:w="2263" w:type="dxa"/>
            <w:shd w:val="clear" w:color="auto" w:fill="FFFFFF"/>
            <w:noWrap/>
            <w:vAlign w:val="bottom"/>
          </w:tcPr>
          <w:p w:rsidR="008819AE" w:rsidRPr="00D15C6F" w:rsidRDefault="008819AE" w:rsidP="00476EF8">
            <w:pPr>
              <w:spacing w:after="0"/>
              <w:jc w:val="center"/>
              <w:rPr>
                <w:rFonts w:eastAsia="Times New Roman" w:cs="Arial"/>
                <w:sz w:val="18"/>
                <w:szCs w:val="18"/>
                <w:lang w:val="es-CO" w:eastAsia="es-CO"/>
              </w:rPr>
            </w:pPr>
            <w:r w:rsidRPr="00D15C6F">
              <w:rPr>
                <w:rFonts w:eastAsia="Times New Roman" w:cs="Arial"/>
                <w:sz w:val="18"/>
                <w:szCs w:val="18"/>
                <w:lang w:val="es-CO" w:eastAsia="es-CO"/>
              </w:rPr>
              <w:t>28</w:t>
            </w:r>
          </w:p>
        </w:tc>
      </w:tr>
      <w:tr w:rsidR="008819AE" w:rsidRPr="00D15C6F" w:rsidTr="00D15C6F">
        <w:trPr>
          <w:trHeight w:val="54"/>
          <w:jc w:val="center"/>
        </w:trPr>
        <w:tc>
          <w:tcPr>
            <w:tcW w:w="2268" w:type="dxa"/>
            <w:shd w:val="clear" w:color="auto" w:fill="E2EFDA"/>
            <w:noWrap/>
            <w:vAlign w:val="bottom"/>
            <w:hideMark/>
          </w:tcPr>
          <w:p w:rsidR="008819AE" w:rsidRPr="00D15C6F" w:rsidRDefault="008819AE" w:rsidP="00476EF8">
            <w:pPr>
              <w:spacing w:after="0"/>
              <w:jc w:val="center"/>
              <w:rPr>
                <w:rFonts w:eastAsia="Times New Roman" w:cs="Arial"/>
                <w:b/>
                <w:bCs/>
                <w:sz w:val="18"/>
                <w:szCs w:val="18"/>
                <w:lang w:val="es-CO" w:eastAsia="es-CO"/>
              </w:rPr>
            </w:pPr>
            <w:r w:rsidRPr="00D15C6F">
              <w:rPr>
                <w:rFonts w:eastAsia="Times New Roman" w:cs="Arial"/>
                <w:b/>
                <w:bCs/>
                <w:sz w:val="18"/>
                <w:szCs w:val="18"/>
                <w:lang w:val="es-CO" w:eastAsia="es-CO"/>
              </w:rPr>
              <w:t>Total</w:t>
            </w:r>
          </w:p>
        </w:tc>
        <w:tc>
          <w:tcPr>
            <w:tcW w:w="2263" w:type="dxa"/>
            <w:shd w:val="clear" w:color="auto" w:fill="E2EFDA"/>
            <w:noWrap/>
            <w:vAlign w:val="bottom"/>
            <w:hideMark/>
          </w:tcPr>
          <w:p w:rsidR="008819AE" w:rsidRPr="00D15C6F" w:rsidRDefault="008819AE" w:rsidP="00476EF8">
            <w:pPr>
              <w:spacing w:after="0"/>
              <w:jc w:val="center"/>
              <w:rPr>
                <w:rFonts w:eastAsia="Times New Roman" w:cs="Arial"/>
                <w:b/>
                <w:bCs/>
                <w:sz w:val="18"/>
                <w:szCs w:val="18"/>
                <w:lang w:val="es-CO" w:eastAsia="es-CO"/>
              </w:rPr>
            </w:pPr>
            <w:r w:rsidRPr="00D15C6F">
              <w:rPr>
                <w:rFonts w:eastAsia="Times New Roman" w:cs="Arial"/>
                <w:b/>
                <w:bCs/>
                <w:sz w:val="18"/>
                <w:szCs w:val="18"/>
                <w:lang w:val="es-CO" w:eastAsia="es-CO"/>
              </w:rPr>
              <w:t>339</w:t>
            </w:r>
          </w:p>
        </w:tc>
      </w:tr>
    </w:tbl>
    <w:p w:rsidR="008819AE" w:rsidRPr="007608C2" w:rsidRDefault="008819AE" w:rsidP="008819AE">
      <w:pPr>
        <w:spacing w:after="160" w:line="259" w:lineRule="auto"/>
        <w:contextualSpacing/>
        <w:rPr>
          <w:rFonts w:cs="Arial"/>
          <w:b/>
        </w:rPr>
      </w:pPr>
    </w:p>
    <w:p w:rsidR="008819AE" w:rsidRPr="00823A36" w:rsidRDefault="008819AE" w:rsidP="008819AE">
      <w:pPr>
        <w:spacing w:after="160" w:line="259" w:lineRule="auto"/>
        <w:contextualSpacing/>
        <w:rPr>
          <w:rFonts w:cs="Arial"/>
          <w:b/>
          <w:color w:val="FFFFFF" w:themeColor="background1"/>
        </w:rPr>
      </w:pPr>
    </w:p>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2"/>
        <w:gridCol w:w="1843"/>
      </w:tblGrid>
      <w:tr w:rsidR="00823A36" w:rsidRPr="00823A36" w:rsidTr="004D09B2">
        <w:trPr>
          <w:trHeight w:val="958"/>
          <w:jc w:val="center"/>
        </w:trPr>
        <w:tc>
          <w:tcPr>
            <w:tcW w:w="4252" w:type="dxa"/>
            <w:shd w:val="clear" w:color="auto" w:fill="76922E"/>
            <w:vAlign w:val="center"/>
            <w:hideMark/>
          </w:tcPr>
          <w:p w:rsidR="008819AE" w:rsidRPr="004D09B2" w:rsidRDefault="008819AE" w:rsidP="00476EF8">
            <w:pPr>
              <w:spacing w:after="0"/>
              <w:jc w:val="center"/>
              <w:rPr>
                <w:rFonts w:eastAsia="Times New Roman" w:cs="Arial"/>
                <w:b/>
                <w:bCs/>
                <w:color w:val="FFFFFF" w:themeColor="background1"/>
                <w:sz w:val="18"/>
                <w:szCs w:val="18"/>
                <w:lang w:val="es-CO" w:eastAsia="es-CO"/>
              </w:rPr>
            </w:pPr>
            <w:r w:rsidRPr="004D09B2">
              <w:rPr>
                <w:rFonts w:eastAsia="Times New Roman" w:cs="Arial"/>
                <w:b/>
                <w:bCs/>
                <w:color w:val="FFFFFF" w:themeColor="background1"/>
                <w:sz w:val="18"/>
                <w:szCs w:val="18"/>
                <w:lang w:val="es-CO" w:eastAsia="es-CO"/>
              </w:rPr>
              <w:t>Número de casos de NNA- revisados en los Comités Técnicos consultivos en el marco del plan de descongestión – 2017</w:t>
            </w:r>
          </w:p>
        </w:tc>
        <w:tc>
          <w:tcPr>
            <w:tcW w:w="1843" w:type="dxa"/>
            <w:shd w:val="clear" w:color="auto" w:fill="auto"/>
            <w:vAlign w:val="center"/>
          </w:tcPr>
          <w:p w:rsidR="008819AE" w:rsidRPr="004D09B2" w:rsidRDefault="008819AE" w:rsidP="00476EF8">
            <w:pPr>
              <w:spacing w:after="0"/>
              <w:jc w:val="center"/>
              <w:rPr>
                <w:rFonts w:eastAsia="Times New Roman" w:cs="Arial"/>
                <w:b/>
                <w:bCs/>
                <w:color w:val="FFFFFF" w:themeColor="background1"/>
                <w:sz w:val="18"/>
                <w:szCs w:val="18"/>
                <w:lang w:val="es-CO" w:eastAsia="es-CO"/>
              </w:rPr>
            </w:pPr>
            <w:r w:rsidRPr="004D09B2">
              <w:rPr>
                <w:rFonts w:eastAsia="Times New Roman" w:cs="Arial"/>
                <w:b/>
                <w:bCs/>
                <w:sz w:val="18"/>
                <w:szCs w:val="18"/>
                <w:lang w:val="es-CO" w:eastAsia="es-CO"/>
              </w:rPr>
              <w:t>2.028</w:t>
            </w:r>
          </w:p>
        </w:tc>
      </w:tr>
    </w:tbl>
    <w:p w:rsidR="008819AE" w:rsidRPr="007608C2" w:rsidRDefault="008819AE" w:rsidP="008819AE">
      <w:pPr>
        <w:rPr>
          <w:rFonts w:cs="Arial"/>
        </w:rPr>
      </w:pPr>
    </w:p>
    <w:p w:rsidR="008819AE" w:rsidRPr="007608C2" w:rsidRDefault="008819AE" w:rsidP="008819AE">
      <w:pPr>
        <w:rPr>
          <w:rFonts w:cs="Arial"/>
          <w:b/>
        </w:rPr>
      </w:pPr>
      <w:r w:rsidRPr="007608C2">
        <w:rPr>
          <w:rFonts w:cs="Arial"/>
          <w:b/>
        </w:rPr>
        <w:t>Grupo Estudio Trabajo (GET)</w:t>
      </w:r>
    </w:p>
    <w:p w:rsidR="008819AE" w:rsidRPr="007608C2" w:rsidRDefault="008819AE" w:rsidP="008819AE">
      <w:pPr>
        <w:jc w:val="both"/>
        <w:rPr>
          <w:rFonts w:cs="Arial"/>
        </w:rPr>
      </w:pPr>
      <w:r w:rsidRPr="007608C2">
        <w:rPr>
          <w:rFonts w:cs="Arial"/>
        </w:rPr>
        <w:t xml:space="preserve">En el año 2017 se realizaron 5 grupos de estudio de trabajo, en los cuales se trataron los siguientes temas: (i) atención de hijos e hijas menores de 18 años de la población interna en establecimientos de reclusión, (ii) trámite administrativo para el restablecimiento de derechos de </w:t>
      </w:r>
      <w:r w:rsidRPr="007608C2">
        <w:rPr>
          <w:rFonts w:cs="Arial"/>
        </w:rPr>
        <w:lastRenderedPageBreak/>
        <w:t>los niños, niñas y adolescentes pertenecientes a comunidades indígenas, (iii) atención a niños, niñas y adolescentes en el marco de la convivencia educativa, (iv) atención a mayores de 18 años con discapacidad mental absoluta y (v) restablecimiento de derechos de adolescentes o mujeres mayores de 18 años gestantes, puérperas o en período de lactancia.</w:t>
      </w:r>
    </w:p>
    <w:p w:rsidR="008819AE" w:rsidRPr="007608C2" w:rsidRDefault="008819AE" w:rsidP="008819AE">
      <w:pPr>
        <w:jc w:val="both"/>
        <w:rPr>
          <w:rFonts w:cs="Arial"/>
          <w:b/>
        </w:rPr>
      </w:pPr>
      <w:bookmarkStart w:id="92" w:name="_Hlk504468016"/>
      <w:r w:rsidRPr="007608C2">
        <w:rPr>
          <w:rFonts w:cs="Arial"/>
          <w:b/>
        </w:rPr>
        <w:t>Apoyo técnico jurídico y de gestión para el fortalecimiento de las Defensorías de Familia:</w:t>
      </w:r>
    </w:p>
    <w:p w:rsidR="008819AE" w:rsidRPr="007608C2" w:rsidRDefault="008819AE" w:rsidP="008819AE">
      <w:pPr>
        <w:jc w:val="both"/>
        <w:rPr>
          <w:rFonts w:cs="Arial"/>
          <w:b/>
        </w:rPr>
      </w:pPr>
      <w:r w:rsidRPr="007608C2">
        <w:rPr>
          <w:rFonts w:cs="Arial"/>
          <w:b/>
        </w:rPr>
        <w:t xml:space="preserve">Asistencia jurídica presencial: </w:t>
      </w:r>
    </w:p>
    <w:p w:rsidR="008819AE" w:rsidRDefault="008819AE" w:rsidP="00A44A2B">
      <w:pPr>
        <w:pStyle w:val="Prrafodelista"/>
        <w:numPr>
          <w:ilvl w:val="0"/>
          <w:numId w:val="110"/>
        </w:numPr>
        <w:spacing w:after="0"/>
        <w:jc w:val="both"/>
        <w:rPr>
          <w:rFonts w:cs="Arial"/>
        </w:rPr>
      </w:pPr>
      <w:r w:rsidRPr="007608C2">
        <w:rPr>
          <w:rFonts w:cs="Arial"/>
          <w:b/>
        </w:rPr>
        <w:t>Guainía:</w:t>
      </w:r>
      <w:r w:rsidRPr="007608C2">
        <w:rPr>
          <w:rFonts w:cs="Arial"/>
        </w:rPr>
        <w:t xml:space="preserve"> acompañamiento y apoyo técnico jurídico a una de las Defensorías de Familia de la Regional Guainía; se sustanciaron casos de alta complejidad y temas delicados suspendidos cuando un Defensor de Familia fue suspendido por el término de seis meses. Los casos que fueron detectados por la Coordinadora de Autoridades Administrativas quien realizó Gira de Pro</w:t>
      </w:r>
      <w:r w:rsidR="00823A36">
        <w:rPr>
          <w:rFonts w:cs="Arial"/>
        </w:rPr>
        <w:t>tección en la Regional Guainía.</w:t>
      </w:r>
    </w:p>
    <w:p w:rsidR="00823A36" w:rsidRPr="007608C2" w:rsidRDefault="00823A36" w:rsidP="00823A36">
      <w:pPr>
        <w:pStyle w:val="Prrafodelista"/>
        <w:spacing w:after="0"/>
        <w:ind w:left="360"/>
        <w:jc w:val="both"/>
        <w:rPr>
          <w:rFonts w:cs="Arial"/>
        </w:rPr>
      </w:pPr>
    </w:p>
    <w:p w:rsidR="008819AE" w:rsidRDefault="008819AE" w:rsidP="00A44A2B">
      <w:pPr>
        <w:pStyle w:val="Prrafodelista"/>
        <w:numPr>
          <w:ilvl w:val="0"/>
          <w:numId w:val="110"/>
        </w:numPr>
        <w:spacing w:after="0"/>
        <w:jc w:val="both"/>
        <w:rPr>
          <w:rFonts w:cs="Arial"/>
        </w:rPr>
      </w:pPr>
      <w:r w:rsidRPr="007608C2">
        <w:rPr>
          <w:rFonts w:cs="Arial"/>
          <w:b/>
        </w:rPr>
        <w:t>Amazonas</w:t>
      </w:r>
      <w:r w:rsidRPr="007608C2">
        <w:rPr>
          <w:rFonts w:cs="Arial"/>
        </w:rPr>
        <w:t>: la Dirección de Protección dispuso del apoyo de 3 nutricionistas, previa solicitud del director de la Regional, con el fin de atender peticiones que se encontraban pendientes de la verificación de garantía de derechos del área de salud y nutrición. Debido al alto número de peticiones sin verificación de derechos por parte del área de nutrición y salud, para la primera jornada se priorizaron las peticiones con motivo de ingreso relacionados con desnutrición, abuso sexual y consumo que pertenecen a niños niñas o adolescentes ubicados e</w:t>
      </w:r>
      <w:r w:rsidR="00823A36">
        <w:rPr>
          <w:rFonts w:cs="Arial"/>
        </w:rPr>
        <w:t>n Leticia casco urbano y rural.</w:t>
      </w:r>
    </w:p>
    <w:p w:rsidR="00823A36" w:rsidRPr="00823A36" w:rsidRDefault="00823A36" w:rsidP="00823A36">
      <w:pPr>
        <w:spacing w:after="0"/>
        <w:jc w:val="both"/>
        <w:rPr>
          <w:rFonts w:cs="Arial"/>
        </w:rPr>
      </w:pPr>
    </w:p>
    <w:p w:rsidR="008819AE" w:rsidRDefault="008819AE" w:rsidP="008819AE">
      <w:pPr>
        <w:spacing w:after="0"/>
        <w:ind w:left="360"/>
        <w:jc w:val="both"/>
        <w:rPr>
          <w:rFonts w:cs="Arial"/>
        </w:rPr>
      </w:pPr>
      <w:r w:rsidRPr="007608C2">
        <w:rPr>
          <w:rFonts w:cs="Arial"/>
        </w:rPr>
        <w:t>Durante la primera comisión se logró atender 49 casos de niños, niñas y adolescentes con la verificación de garantía de derechos. Posteriormente, en el mes de septiembre de 2017, teniendo en cuenta que aún no hay disponibilidad de profesionales nutricionistas para los equipos de las Defensorías de Familia, se realizó una segunda fase para apoyar la atención. En esta se priorizó la verificación de derechos y seguimientos a los niños, niñas y adolescentes ubicados en la modalidad hogar sustituto, así como, la verificación de derechos y seguimientos a los casos con motivo de ingreso de desnutrición, maltrato y víctimas de abuso sexual, lo que permitirá la emisión de un concepto para la toma de decisiones en la audiencia de fallo.</w:t>
      </w:r>
    </w:p>
    <w:p w:rsidR="00823A36" w:rsidRPr="007608C2" w:rsidRDefault="00823A36" w:rsidP="00823A36">
      <w:pPr>
        <w:spacing w:after="0"/>
        <w:jc w:val="both"/>
        <w:rPr>
          <w:rFonts w:cs="Arial"/>
        </w:rPr>
      </w:pPr>
    </w:p>
    <w:p w:rsidR="008819AE" w:rsidRDefault="008819AE" w:rsidP="008819AE">
      <w:pPr>
        <w:spacing w:after="0"/>
        <w:ind w:left="360"/>
        <w:jc w:val="both"/>
        <w:rPr>
          <w:rFonts w:cs="Arial"/>
        </w:rPr>
      </w:pPr>
      <w:r w:rsidRPr="007608C2">
        <w:rPr>
          <w:rFonts w:cs="Arial"/>
        </w:rPr>
        <w:t xml:space="preserve">Atendiendo a la dinámica regional, fue necesarios que los equipos completos se desplazaron hasta el lugar donde se encontraban los niños, niñas o adolescentes (hogar, vivienda de familiares, CDI, colegio, etc.) retrasando la meta propuesta por las Nutricionistas para la primera jornada. A esto se sumaron otras situaciones que afectaron la labor de los profesionales como los largos trayectos de desplazamiento a las viviendas, la deficiente nomenclatura de los predios y la altísima movilidad de las familias a otros lugares o zonas de frontera, las cuales no fue preciso ubicar todos los casos (visitas fallidas) y/o dificultó el contacto afectando la programación de visitas. En los lugares distantes sólo se pudo realizar </w:t>
      </w:r>
      <w:r w:rsidRPr="007608C2">
        <w:rPr>
          <w:rFonts w:cs="Arial"/>
        </w:rPr>
        <w:lastRenderedPageBreak/>
        <w:t xml:space="preserve">en una jornada 1 o 2 valoraciones. En la segunda comisión se realizó durante dos días desplazamiento por el río; sin embargo, por situaciones como climáticas (lluvia y bajo nivel del río) no fue posible acceder a todas las comunidades, ni realizar las valoraciones programadas. </w:t>
      </w:r>
    </w:p>
    <w:p w:rsidR="00823A36" w:rsidRPr="007608C2" w:rsidRDefault="00823A36" w:rsidP="00823A36">
      <w:pPr>
        <w:spacing w:after="0"/>
        <w:jc w:val="both"/>
        <w:rPr>
          <w:rFonts w:cs="Arial"/>
        </w:rPr>
      </w:pPr>
    </w:p>
    <w:p w:rsidR="008819AE" w:rsidRDefault="008819AE" w:rsidP="008819AE">
      <w:pPr>
        <w:spacing w:after="0"/>
        <w:ind w:left="360"/>
        <w:jc w:val="both"/>
        <w:rPr>
          <w:rFonts w:cs="Arial"/>
        </w:rPr>
      </w:pPr>
      <w:r w:rsidRPr="007608C2">
        <w:rPr>
          <w:rFonts w:cs="Arial"/>
        </w:rPr>
        <w:t>Durante las jornadas se identificaron estas situaciones que están afectando la optimización del tiempo de la profesional en nutrición quien estaba realizando seguimientos nutricionales mensuales, atendiendo la dinámica de los equipos psicosociales. Por lo anterior, se hizo la observación de retomar la periodicidad de los seguimientos según la guía del componente de alimentación y nutrición para los servicios misionales y dependiendo del estado nutricional del niño, niña o adolescente.</w:t>
      </w:r>
    </w:p>
    <w:p w:rsidR="00823A36" w:rsidRPr="007608C2" w:rsidRDefault="00823A36" w:rsidP="008819AE">
      <w:pPr>
        <w:spacing w:after="0"/>
        <w:ind w:left="360"/>
        <w:jc w:val="both"/>
        <w:rPr>
          <w:rFonts w:cs="Arial"/>
        </w:rPr>
      </w:pPr>
    </w:p>
    <w:p w:rsidR="008819AE" w:rsidRPr="007608C2" w:rsidRDefault="008819AE" w:rsidP="00A44A2B">
      <w:pPr>
        <w:pStyle w:val="Prrafodelista"/>
        <w:numPr>
          <w:ilvl w:val="0"/>
          <w:numId w:val="110"/>
        </w:numPr>
        <w:jc w:val="both"/>
        <w:rPr>
          <w:rFonts w:cs="Arial"/>
          <w:b/>
        </w:rPr>
      </w:pPr>
      <w:r w:rsidRPr="007608C2">
        <w:rPr>
          <w:rFonts w:cs="Arial"/>
          <w:b/>
        </w:rPr>
        <w:t>Antioquia</w:t>
      </w:r>
      <w:r w:rsidRPr="007608C2">
        <w:rPr>
          <w:rFonts w:cs="Arial"/>
        </w:rPr>
        <w:t xml:space="preserve">: teniendo en cuenta la información remitida por la Regional, frente a los más de 800 procesos encontrados en unas cajas de la Defensoría de Familia del CZ Noroccidental, se brindó apoyo técnico jurídico. Se realizó el desplazamiento a la ciudad de Medellín, con el objetivo de apoyar a la Defensora de Familia en la organización, depuración, diagnóstico y sugerirle algunas recomendaciones en cada uno de los casos encontrados. La labor de la abogada de la Coordinación de Autoridades Administrativas consintió en priorizar algunos casos con el objetivo de analizarlos, realizar observaciones y las respectivas recomendaciones para el efectivo restablecimiento de derechos de los niños, las niñas y adolescentes. Se analizaron en total 83 casos. </w:t>
      </w:r>
    </w:p>
    <w:bookmarkEnd w:id="92"/>
    <w:p w:rsidR="008819AE" w:rsidRPr="007608C2" w:rsidRDefault="008819AE" w:rsidP="008819AE">
      <w:pPr>
        <w:ind w:left="360"/>
        <w:jc w:val="both"/>
        <w:rPr>
          <w:rFonts w:cs="Arial"/>
          <w:b/>
        </w:rPr>
      </w:pPr>
      <w:r w:rsidRPr="007608C2">
        <w:rPr>
          <w:rFonts w:cs="Arial"/>
          <w:b/>
        </w:rPr>
        <w:t>Asistencia Técnica realizada a agentes del SNBF y otras entidades en el Proceso Administrativo de Restablecimiento de Derecho</w:t>
      </w:r>
    </w:p>
    <w:p w:rsidR="008819AE" w:rsidRPr="007608C2" w:rsidRDefault="008819AE" w:rsidP="008819AE">
      <w:pPr>
        <w:rPr>
          <w:rFonts w:cs="Arial"/>
        </w:rPr>
      </w:pPr>
      <w:r w:rsidRPr="007608C2">
        <w:rPr>
          <w:rFonts w:cs="Arial"/>
        </w:rPr>
        <w:t>A 31 de diciembre de 2017 se realizó la Asistencia técnica dirigida a:</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2052"/>
        <w:gridCol w:w="2469"/>
        <w:gridCol w:w="2455"/>
        <w:gridCol w:w="1052"/>
        <w:gridCol w:w="1367"/>
      </w:tblGrid>
      <w:tr w:rsidR="008819AE" w:rsidRPr="00823A36" w:rsidTr="00823A36">
        <w:trPr>
          <w:trHeight w:val="315"/>
          <w:tblHeader/>
          <w:jc w:val="center"/>
        </w:trPr>
        <w:tc>
          <w:tcPr>
            <w:tcW w:w="0" w:type="auto"/>
            <w:shd w:val="clear" w:color="auto" w:fill="76922E"/>
            <w:vAlign w:val="center"/>
            <w:hideMark/>
          </w:tcPr>
          <w:p w:rsidR="008819AE" w:rsidRPr="00823A36" w:rsidRDefault="008819AE" w:rsidP="00476EF8">
            <w:pPr>
              <w:spacing w:after="0"/>
              <w:ind w:firstLineChars="100" w:firstLine="180"/>
              <w:jc w:val="center"/>
              <w:rPr>
                <w:rFonts w:eastAsia="Times New Roman" w:cs="Arial"/>
                <w:b/>
                <w:bCs/>
                <w:color w:val="FFFFFF" w:themeColor="background1"/>
                <w:sz w:val="18"/>
                <w:szCs w:val="18"/>
                <w:lang w:val="es-CO" w:eastAsia="es-CO"/>
              </w:rPr>
            </w:pPr>
            <w:bookmarkStart w:id="93" w:name="_Hlk504632903"/>
            <w:r w:rsidRPr="00823A36">
              <w:rPr>
                <w:rFonts w:eastAsia="Times New Roman" w:cs="Arial"/>
                <w:b/>
                <w:bCs/>
                <w:color w:val="FFFFFF" w:themeColor="background1"/>
                <w:sz w:val="18"/>
                <w:szCs w:val="18"/>
                <w:lang w:val="es-CO" w:eastAsia="es-CO"/>
              </w:rPr>
              <w:t>Fecha</w:t>
            </w:r>
          </w:p>
        </w:tc>
        <w:tc>
          <w:tcPr>
            <w:tcW w:w="0" w:type="auto"/>
            <w:shd w:val="clear" w:color="auto" w:fill="76922E"/>
            <w:vAlign w:val="center"/>
            <w:hideMark/>
          </w:tcPr>
          <w:p w:rsidR="008819AE" w:rsidRPr="00823A36" w:rsidRDefault="008819AE" w:rsidP="00476EF8">
            <w:pPr>
              <w:spacing w:after="0"/>
              <w:ind w:firstLineChars="100" w:firstLine="180"/>
              <w:jc w:val="center"/>
              <w:rPr>
                <w:rFonts w:eastAsia="Times New Roman" w:cs="Arial"/>
                <w:b/>
                <w:bCs/>
                <w:color w:val="FFFFFF" w:themeColor="background1"/>
                <w:sz w:val="18"/>
                <w:szCs w:val="18"/>
                <w:lang w:val="es-CO" w:eastAsia="es-CO"/>
              </w:rPr>
            </w:pPr>
            <w:r w:rsidRPr="00823A36">
              <w:rPr>
                <w:rFonts w:eastAsia="Times New Roman" w:cs="Arial"/>
                <w:b/>
                <w:bCs/>
                <w:color w:val="FFFFFF" w:themeColor="background1"/>
                <w:sz w:val="18"/>
                <w:szCs w:val="18"/>
                <w:lang w:val="es-CO" w:eastAsia="es-CO"/>
              </w:rPr>
              <w:t>Tema</w:t>
            </w:r>
          </w:p>
        </w:tc>
        <w:tc>
          <w:tcPr>
            <w:tcW w:w="0" w:type="auto"/>
            <w:shd w:val="clear" w:color="auto" w:fill="76922E"/>
            <w:vAlign w:val="center"/>
            <w:hideMark/>
          </w:tcPr>
          <w:p w:rsidR="008819AE" w:rsidRPr="00823A36" w:rsidRDefault="008819AE" w:rsidP="00476EF8">
            <w:pPr>
              <w:spacing w:after="0"/>
              <w:ind w:firstLineChars="100" w:firstLine="180"/>
              <w:jc w:val="center"/>
              <w:rPr>
                <w:rFonts w:eastAsia="Times New Roman" w:cs="Arial"/>
                <w:b/>
                <w:bCs/>
                <w:color w:val="FFFFFF" w:themeColor="background1"/>
                <w:sz w:val="18"/>
                <w:szCs w:val="18"/>
                <w:lang w:val="es-CO" w:eastAsia="es-CO"/>
              </w:rPr>
            </w:pPr>
            <w:r w:rsidRPr="00823A36">
              <w:rPr>
                <w:rFonts w:eastAsia="Times New Roman" w:cs="Arial"/>
                <w:b/>
                <w:bCs/>
                <w:color w:val="FFFFFF" w:themeColor="background1"/>
                <w:sz w:val="18"/>
                <w:szCs w:val="18"/>
                <w:lang w:val="es-CO" w:eastAsia="es-CO"/>
              </w:rPr>
              <w:t>Dirigida</w:t>
            </w:r>
          </w:p>
        </w:tc>
        <w:tc>
          <w:tcPr>
            <w:tcW w:w="0" w:type="auto"/>
            <w:shd w:val="clear" w:color="auto" w:fill="76922E"/>
            <w:vAlign w:val="center"/>
            <w:hideMark/>
          </w:tcPr>
          <w:p w:rsidR="008819AE" w:rsidRPr="00823A36" w:rsidRDefault="008819AE" w:rsidP="00476EF8">
            <w:pPr>
              <w:spacing w:after="0"/>
              <w:ind w:leftChars="-3" w:left="-2" w:hangingChars="3" w:hanging="5"/>
              <w:jc w:val="center"/>
              <w:rPr>
                <w:rFonts w:eastAsia="Times New Roman" w:cs="Arial"/>
                <w:b/>
                <w:bCs/>
                <w:color w:val="FFFFFF" w:themeColor="background1"/>
                <w:sz w:val="18"/>
                <w:szCs w:val="18"/>
                <w:lang w:val="es-CO" w:eastAsia="es-CO"/>
              </w:rPr>
            </w:pPr>
            <w:r w:rsidRPr="00823A36">
              <w:rPr>
                <w:rFonts w:eastAsia="Times New Roman" w:cs="Arial"/>
                <w:b/>
                <w:bCs/>
                <w:color w:val="FFFFFF" w:themeColor="background1"/>
                <w:sz w:val="18"/>
                <w:szCs w:val="18"/>
                <w:lang w:val="es-CO" w:eastAsia="es-CO"/>
              </w:rPr>
              <w:t>Asistentes</w:t>
            </w:r>
          </w:p>
        </w:tc>
        <w:tc>
          <w:tcPr>
            <w:tcW w:w="0" w:type="auto"/>
            <w:shd w:val="clear" w:color="auto" w:fill="76922E"/>
            <w:vAlign w:val="center"/>
            <w:hideMark/>
          </w:tcPr>
          <w:p w:rsidR="008819AE" w:rsidRPr="00823A36" w:rsidRDefault="008819AE" w:rsidP="00476EF8">
            <w:pPr>
              <w:spacing w:after="0"/>
              <w:rPr>
                <w:rFonts w:eastAsia="Times New Roman" w:cs="Arial"/>
                <w:b/>
                <w:bCs/>
                <w:color w:val="FFFFFF" w:themeColor="background1"/>
                <w:sz w:val="18"/>
                <w:szCs w:val="18"/>
                <w:lang w:val="es-CO" w:eastAsia="es-CO"/>
              </w:rPr>
            </w:pPr>
            <w:r w:rsidRPr="00823A36">
              <w:rPr>
                <w:rFonts w:eastAsia="Times New Roman" w:cs="Arial"/>
                <w:b/>
                <w:bCs/>
                <w:color w:val="FFFFFF" w:themeColor="background1"/>
                <w:sz w:val="18"/>
                <w:szCs w:val="18"/>
                <w:lang w:val="es-CO" w:eastAsia="es-CO"/>
              </w:rPr>
              <w:t>Departamento</w:t>
            </w:r>
          </w:p>
        </w:tc>
      </w:tr>
      <w:tr w:rsidR="008819AE" w:rsidRPr="00823A36" w:rsidTr="00823A36">
        <w:trPr>
          <w:trHeight w:val="900"/>
          <w:jc w:val="center"/>
        </w:trPr>
        <w:tc>
          <w:tcPr>
            <w:tcW w:w="0" w:type="auto"/>
            <w:shd w:val="clear" w:color="000000" w:fill="FFFFFF"/>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Junio 14 del 2017</w:t>
            </w:r>
          </w:p>
        </w:tc>
        <w:tc>
          <w:tcPr>
            <w:tcW w:w="0" w:type="auto"/>
            <w:shd w:val="clear" w:color="000000" w:fill="FFFFFF"/>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Asistencia técnica en el proceso administrativo de restablecimiento de derechos de niños, niñas y adolescentes</w:t>
            </w:r>
          </w:p>
        </w:tc>
        <w:tc>
          <w:tcPr>
            <w:tcW w:w="0" w:type="auto"/>
            <w:shd w:val="clear" w:color="000000" w:fill="FFFFFF"/>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Asistencia técnica dirigida a los profesionales de familia de las Subdirecciones Locales de la Secretaría de Integración Social</w:t>
            </w:r>
          </w:p>
        </w:tc>
        <w:tc>
          <w:tcPr>
            <w:tcW w:w="0" w:type="auto"/>
            <w:shd w:val="clear" w:color="000000" w:fill="FFFFFF"/>
            <w:vAlign w:val="center"/>
            <w:hideMark/>
          </w:tcPr>
          <w:p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30</w:t>
            </w:r>
          </w:p>
        </w:tc>
        <w:tc>
          <w:tcPr>
            <w:tcW w:w="0" w:type="auto"/>
            <w:shd w:val="clear" w:color="000000" w:fill="FFFFFF"/>
            <w:vAlign w:val="center"/>
            <w:hideMark/>
          </w:tcPr>
          <w:p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Bogotá</w:t>
            </w:r>
          </w:p>
        </w:tc>
      </w:tr>
      <w:tr w:rsidR="008819AE" w:rsidRPr="00823A36" w:rsidTr="00823A36">
        <w:trPr>
          <w:trHeight w:val="675"/>
          <w:jc w:val="center"/>
        </w:trPr>
        <w:tc>
          <w:tcPr>
            <w:tcW w:w="0" w:type="auto"/>
            <w:shd w:val="clear" w:color="000000" w:fill="FFFFFF"/>
            <w:noWrap/>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Junio 10 del 2017</w:t>
            </w:r>
          </w:p>
        </w:tc>
        <w:tc>
          <w:tcPr>
            <w:tcW w:w="0" w:type="auto"/>
            <w:shd w:val="clear" w:color="000000" w:fill="FFFFFF"/>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Asistencia técnica en el PARD con niños, niñas y adolescentes víctimas del conflicto</w:t>
            </w:r>
          </w:p>
        </w:tc>
        <w:tc>
          <w:tcPr>
            <w:tcW w:w="0" w:type="auto"/>
            <w:shd w:val="clear" w:color="000000" w:fill="FFFFFF"/>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Profesionales del centro de contacto de la Dirección de servicios y atención</w:t>
            </w:r>
          </w:p>
        </w:tc>
        <w:tc>
          <w:tcPr>
            <w:tcW w:w="0" w:type="auto"/>
            <w:shd w:val="clear" w:color="000000" w:fill="FFFFFF"/>
            <w:noWrap/>
            <w:vAlign w:val="center"/>
            <w:hideMark/>
          </w:tcPr>
          <w:p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22</w:t>
            </w:r>
          </w:p>
        </w:tc>
        <w:tc>
          <w:tcPr>
            <w:tcW w:w="0" w:type="auto"/>
            <w:shd w:val="clear" w:color="000000" w:fill="FFFFFF"/>
            <w:vAlign w:val="center"/>
            <w:hideMark/>
          </w:tcPr>
          <w:p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Bogotá</w:t>
            </w:r>
          </w:p>
        </w:tc>
      </w:tr>
      <w:tr w:rsidR="008819AE" w:rsidRPr="00823A36" w:rsidTr="00823A36">
        <w:trPr>
          <w:trHeight w:val="450"/>
          <w:jc w:val="center"/>
        </w:trPr>
        <w:tc>
          <w:tcPr>
            <w:tcW w:w="0" w:type="auto"/>
            <w:shd w:val="clear" w:color="000000" w:fill="FFFFFF"/>
            <w:noWrap/>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Junio 15 del 2017</w:t>
            </w:r>
          </w:p>
        </w:tc>
        <w:tc>
          <w:tcPr>
            <w:tcW w:w="0" w:type="auto"/>
            <w:shd w:val="clear" w:color="000000" w:fill="FFFFFF"/>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Mesa Nacional Hogares Sustitutos</w:t>
            </w:r>
          </w:p>
        </w:tc>
        <w:tc>
          <w:tcPr>
            <w:tcW w:w="0" w:type="auto"/>
            <w:shd w:val="clear" w:color="000000" w:fill="FFFFFF"/>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 xml:space="preserve">Madres sustitutas y directores de 10 Regionales </w:t>
            </w:r>
          </w:p>
        </w:tc>
        <w:tc>
          <w:tcPr>
            <w:tcW w:w="0" w:type="auto"/>
            <w:shd w:val="clear" w:color="000000" w:fill="FFFFFF"/>
            <w:noWrap/>
            <w:vAlign w:val="center"/>
            <w:hideMark/>
          </w:tcPr>
          <w:p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40</w:t>
            </w:r>
          </w:p>
        </w:tc>
        <w:tc>
          <w:tcPr>
            <w:tcW w:w="0" w:type="auto"/>
            <w:shd w:val="clear" w:color="000000" w:fill="FFFFFF"/>
            <w:vAlign w:val="center"/>
            <w:hideMark/>
          </w:tcPr>
          <w:p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 xml:space="preserve">Yopal - Casanare </w:t>
            </w:r>
          </w:p>
        </w:tc>
      </w:tr>
      <w:tr w:rsidR="008819AE" w:rsidRPr="00823A36" w:rsidTr="00823A36">
        <w:trPr>
          <w:trHeight w:val="450"/>
          <w:jc w:val="center"/>
        </w:trPr>
        <w:tc>
          <w:tcPr>
            <w:tcW w:w="0" w:type="auto"/>
            <w:shd w:val="clear" w:color="000000" w:fill="FFFFFF"/>
            <w:noWrap/>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Julio 12 al 14 del 2017</w:t>
            </w:r>
          </w:p>
        </w:tc>
        <w:tc>
          <w:tcPr>
            <w:tcW w:w="0" w:type="auto"/>
            <w:shd w:val="clear" w:color="000000" w:fill="FFFFFF"/>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 xml:space="preserve">Inducción presencial </w:t>
            </w:r>
          </w:p>
        </w:tc>
        <w:tc>
          <w:tcPr>
            <w:tcW w:w="0" w:type="auto"/>
            <w:shd w:val="clear" w:color="000000" w:fill="FFFFFF"/>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Personal ICBF Sede Nacional</w:t>
            </w:r>
          </w:p>
        </w:tc>
        <w:tc>
          <w:tcPr>
            <w:tcW w:w="0" w:type="auto"/>
            <w:shd w:val="clear" w:color="000000" w:fill="FFFFFF"/>
            <w:noWrap/>
            <w:vAlign w:val="center"/>
            <w:hideMark/>
          </w:tcPr>
          <w:p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52</w:t>
            </w:r>
          </w:p>
        </w:tc>
        <w:tc>
          <w:tcPr>
            <w:tcW w:w="0" w:type="auto"/>
            <w:shd w:val="clear" w:color="000000" w:fill="FFFFFF"/>
            <w:vAlign w:val="center"/>
            <w:hideMark/>
          </w:tcPr>
          <w:p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Bogotá</w:t>
            </w:r>
          </w:p>
        </w:tc>
      </w:tr>
      <w:tr w:rsidR="008819AE" w:rsidRPr="00823A36" w:rsidTr="00823A36">
        <w:trPr>
          <w:trHeight w:val="514"/>
          <w:jc w:val="center"/>
        </w:trPr>
        <w:tc>
          <w:tcPr>
            <w:tcW w:w="0" w:type="auto"/>
            <w:shd w:val="clear" w:color="000000" w:fill="FFFFFF"/>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Agosto 26 del 2017</w:t>
            </w:r>
          </w:p>
        </w:tc>
        <w:tc>
          <w:tcPr>
            <w:tcW w:w="0" w:type="auto"/>
            <w:shd w:val="clear" w:color="000000" w:fill="FFFFFF"/>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PARD en el marco de la violencia sexual.</w:t>
            </w:r>
          </w:p>
        </w:tc>
        <w:tc>
          <w:tcPr>
            <w:tcW w:w="0" w:type="auto"/>
            <w:shd w:val="clear" w:color="000000" w:fill="FFFFFF"/>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 xml:space="preserve">Asistencia técnica dirigida a comisarios de familia y </w:t>
            </w:r>
            <w:r w:rsidRPr="00823A36">
              <w:rPr>
                <w:rFonts w:eastAsia="Times New Roman" w:cs="Arial"/>
                <w:sz w:val="18"/>
                <w:szCs w:val="18"/>
                <w:lang w:val="es-CO" w:eastAsia="es-CO"/>
              </w:rPr>
              <w:lastRenderedPageBreak/>
              <w:t>equipos interdisciplinarios de la Regional Tolima</w:t>
            </w:r>
          </w:p>
        </w:tc>
        <w:tc>
          <w:tcPr>
            <w:tcW w:w="0" w:type="auto"/>
            <w:shd w:val="clear" w:color="000000" w:fill="FFFFFF"/>
            <w:vAlign w:val="center"/>
            <w:hideMark/>
          </w:tcPr>
          <w:p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lastRenderedPageBreak/>
              <w:t>56</w:t>
            </w:r>
          </w:p>
        </w:tc>
        <w:tc>
          <w:tcPr>
            <w:tcW w:w="0" w:type="auto"/>
            <w:shd w:val="clear" w:color="000000" w:fill="FFFFFF"/>
            <w:vAlign w:val="center"/>
            <w:hideMark/>
          </w:tcPr>
          <w:p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Tolima</w:t>
            </w:r>
          </w:p>
        </w:tc>
      </w:tr>
      <w:bookmarkEnd w:id="93"/>
      <w:tr w:rsidR="008819AE" w:rsidRPr="00823A36" w:rsidTr="00823A36">
        <w:trPr>
          <w:trHeight w:val="1905"/>
          <w:jc w:val="center"/>
        </w:trPr>
        <w:tc>
          <w:tcPr>
            <w:tcW w:w="0" w:type="auto"/>
            <w:shd w:val="clear" w:color="000000" w:fill="FFFFFF"/>
            <w:noWrap/>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Agosto 04 del 2017</w:t>
            </w:r>
          </w:p>
        </w:tc>
        <w:tc>
          <w:tcPr>
            <w:tcW w:w="0" w:type="auto"/>
            <w:shd w:val="clear" w:color="000000" w:fill="FFFFFF"/>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 xml:space="preserve">Asistencia técnica e implementación de la ruta de promoción, orientación sobre la protección integral de niños, niñas y adolescentes y fortalecimiento familiar </w:t>
            </w:r>
          </w:p>
        </w:tc>
        <w:tc>
          <w:tcPr>
            <w:tcW w:w="0" w:type="auto"/>
            <w:shd w:val="clear" w:color="000000" w:fill="FFFFFF"/>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Enlaces municipales del programa Más Familias en Acción- referentes DPS</w:t>
            </w:r>
          </w:p>
        </w:tc>
        <w:tc>
          <w:tcPr>
            <w:tcW w:w="0" w:type="auto"/>
            <w:shd w:val="clear" w:color="000000" w:fill="FFFFFF"/>
            <w:noWrap/>
            <w:vAlign w:val="center"/>
            <w:hideMark/>
          </w:tcPr>
          <w:p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53</w:t>
            </w:r>
          </w:p>
        </w:tc>
        <w:tc>
          <w:tcPr>
            <w:tcW w:w="0" w:type="auto"/>
            <w:shd w:val="clear" w:color="000000" w:fill="FFFFFF"/>
            <w:vAlign w:val="center"/>
            <w:hideMark/>
          </w:tcPr>
          <w:p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Bogotá</w:t>
            </w:r>
          </w:p>
        </w:tc>
      </w:tr>
      <w:tr w:rsidR="008819AE" w:rsidRPr="00823A36" w:rsidTr="00823A36">
        <w:trPr>
          <w:trHeight w:val="1920"/>
          <w:jc w:val="center"/>
        </w:trPr>
        <w:tc>
          <w:tcPr>
            <w:tcW w:w="0" w:type="auto"/>
            <w:shd w:val="clear" w:color="000000" w:fill="FFFFFF"/>
            <w:noWrap/>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Agosto 10 del2017</w:t>
            </w:r>
          </w:p>
        </w:tc>
        <w:tc>
          <w:tcPr>
            <w:tcW w:w="0" w:type="auto"/>
            <w:shd w:val="clear" w:color="000000" w:fill="FFFFFF"/>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 xml:space="preserve">Asistencia técnica e implementación de la ruta de promoción, orientación sobre la protección integral de niños, niñas y adolescentes y fortalecimiento familiar </w:t>
            </w:r>
          </w:p>
        </w:tc>
        <w:tc>
          <w:tcPr>
            <w:tcW w:w="0" w:type="auto"/>
            <w:shd w:val="clear" w:color="000000" w:fill="FFFFFF"/>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Enlaces municipales del programa Más Familias en Acción- referentes DPS</w:t>
            </w:r>
          </w:p>
        </w:tc>
        <w:tc>
          <w:tcPr>
            <w:tcW w:w="0" w:type="auto"/>
            <w:shd w:val="clear" w:color="000000" w:fill="FFFFFF"/>
            <w:noWrap/>
            <w:vAlign w:val="center"/>
            <w:hideMark/>
          </w:tcPr>
          <w:p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42</w:t>
            </w:r>
          </w:p>
        </w:tc>
        <w:tc>
          <w:tcPr>
            <w:tcW w:w="0" w:type="auto"/>
            <w:shd w:val="clear" w:color="000000" w:fill="FFFFFF"/>
            <w:vAlign w:val="center"/>
            <w:hideMark/>
          </w:tcPr>
          <w:p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Pasto</w:t>
            </w:r>
          </w:p>
        </w:tc>
      </w:tr>
      <w:tr w:rsidR="008819AE" w:rsidRPr="00823A36" w:rsidTr="00823A36">
        <w:trPr>
          <w:trHeight w:val="372"/>
          <w:jc w:val="center"/>
        </w:trPr>
        <w:tc>
          <w:tcPr>
            <w:tcW w:w="0" w:type="auto"/>
            <w:shd w:val="clear" w:color="000000" w:fill="FFFFFF"/>
            <w:noWrap/>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Agosto 15 del 2017</w:t>
            </w:r>
          </w:p>
        </w:tc>
        <w:tc>
          <w:tcPr>
            <w:tcW w:w="0" w:type="auto"/>
            <w:shd w:val="clear" w:color="000000" w:fill="FFFFFF"/>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 xml:space="preserve">Capacitación a e implementación de la ruta de promoción, orientación sobre la protección integral de niños, niñas y adolescentes y fortalecimiento familiar </w:t>
            </w:r>
          </w:p>
        </w:tc>
        <w:tc>
          <w:tcPr>
            <w:tcW w:w="0" w:type="auto"/>
            <w:shd w:val="clear" w:color="000000" w:fill="FFFFFF"/>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Enlaces municipales del programa Más Familias en Acción- referentes DPS</w:t>
            </w:r>
          </w:p>
        </w:tc>
        <w:tc>
          <w:tcPr>
            <w:tcW w:w="0" w:type="auto"/>
            <w:shd w:val="clear" w:color="000000" w:fill="FFFFFF"/>
            <w:noWrap/>
            <w:vAlign w:val="center"/>
            <w:hideMark/>
          </w:tcPr>
          <w:p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58</w:t>
            </w:r>
          </w:p>
        </w:tc>
        <w:tc>
          <w:tcPr>
            <w:tcW w:w="0" w:type="auto"/>
            <w:shd w:val="clear" w:color="000000" w:fill="FFFFFF"/>
            <w:vAlign w:val="center"/>
            <w:hideMark/>
          </w:tcPr>
          <w:p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Bucaramanga</w:t>
            </w:r>
          </w:p>
        </w:tc>
      </w:tr>
      <w:tr w:rsidR="008819AE" w:rsidRPr="00823A36" w:rsidTr="00823A36">
        <w:trPr>
          <w:trHeight w:val="2250"/>
          <w:jc w:val="center"/>
        </w:trPr>
        <w:tc>
          <w:tcPr>
            <w:tcW w:w="0" w:type="auto"/>
            <w:shd w:val="clear" w:color="000000" w:fill="FFFFFF"/>
            <w:noWrap/>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Septiembre 08 del 2017</w:t>
            </w:r>
          </w:p>
        </w:tc>
        <w:tc>
          <w:tcPr>
            <w:tcW w:w="0" w:type="auto"/>
            <w:shd w:val="clear" w:color="000000" w:fill="FFFFFF"/>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 xml:space="preserve">Asistencia técnica e implementación de la ruta de promoción, orientación sobre la protección integral de niños, niñas y adolescentes y fortalecimiento familiar </w:t>
            </w:r>
          </w:p>
        </w:tc>
        <w:tc>
          <w:tcPr>
            <w:tcW w:w="0" w:type="auto"/>
            <w:shd w:val="clear" w:color="000000" w:fill="FFFFFF"/>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Enlaces municipales del programa Más Familias en Acción</w:t>
            </w:r>
          </w:p>
        </w:tc>
        <w:tc>
          <w:tcPr>
            <w:tcW w:w="0" w:type="auto"/>
            <w:shd w:val="clear" w:color="000000" w:fill="FFFFFF"/>
            <w:noWrap/>
            <w:vAlign w:val="center"/>
            <w:hideMark/>
          </w:tcPr>
          <w:p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46</w:t>
            </w:r>
          </w:p>
        </w:tc>
        <w:tc>
          <w:tcPr>
            <w:tcW w:w="0" w:type="auto"/>
            <w:shd w:val="clear" w:color="000000" w:fill="FFFFFF"/>
            <w:vAlign w:val="center"/>
            <w:hideMark/>
          </w:tcPr>
          <w:p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Medellín</w:t>
            </w:r>
          </w:p>
        </w:tc>
      </w:tr>
      <w:tr w:rsidR="008819AE" w:rsidRPr="00823A36" w:rsidTr="00823A36">
        <w:trPr>
          <w:trHeight w:val="1575"/>
          <w:jc w:val="center"/>
        </w:trPr>
        <w:tc>
          <w:tcPr>
            <w:tcW w:w="0" w:type="auto"/>
            <w:shd w:val="clear" w:color="000000" w:fill="FFFFFF"/>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Octubre 19 del 2017</w:t>
            </w:r>
          </w:p>
        </w:tc>
        <w:tc>
          <w:tcPr>
            <w:tcW w:w="0" w:type="auto"/>
            <w:shd w:val="clear" w:color="000000" w:fill="FFFFFF"/>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Participación Escuela de Formación- Consejo Distrital 2017</w:t>
            </w:r>
          </w:p>
        </w:tc>
        <w:tc>
          <w:tcPr>
            <w:tcW w:w="0" w:type="auto"/>
            <w:shd w:val="clear" w:color="000000" w:fill="FFFFFF"/>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Funcionarios y funcionarias del Consejo Distrital para la Atención Integral a Víctimas de la Violencia Intrafamiliar y Violencia y Explotación Sexual de Bogotá D.C</w:t>
            </w:r>
          </w:p>
        </w:tc>
        <w:tc>
          <w:tcPr>
            <w:tcW w:w="0" w:type="auto"/>
            <w:shd w:val="clear" w:color="000000" w:fill="FFFFFF"/>
            <w:noWrap/>
            <w:vAlign w:val="center"/>
            <w:hideMark/>
          </w:tcPr>
          <w:p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65</w:t>
            </w:r>
          </w:p>
        </w:tc>
        <w:tc>
          <w:tcPr>
            <w:tcW w:w="0" w:type="auto"/>
            <w:shd w:val="clear" w:color="000000" w:fill="FFFFFF"/>
            <w:vAlign w:val="center"/>
            <w:hideMark/>
          </w:tcPr>
          <w:p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Bogotá</w:t>
            </w:r>
          </w:p>
        </w:tc>
      </w:tr>
      <w:tr w:rsidR="008819AE" w:rsidRPr="00823A36" w:rsidTr="00823A36">
        <w:trPr>
          <w:trHeight w:val="656"/>
          <w:jc w:val="center"/>
        </w:trPr>
        <w:tc>
          <w:tcPr>
            <w:tcW w:w="0" w:type="auto"/>
            <w:shd w:val="clear" w:color="000000" w:fill="FFFFFF"/>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Noviembre 03 del 2017</w:t>
            </w:r>
          </w:p>
        </w:tc>
        <w:tc>
          <w:tcPr>
            <w:tcW w:w="0" w:type="auto"/>
            <w:shd w:val="clear" w:color="000000" w:fill="FFFFFF"/>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Fijación de custodia de NNA por parte de Autoridades Administrativas competentes</w:t>
            </w:r>
          </w:p>
        </w:tc>
        <w:tc>
          <w:tcPr>
            <w:tcW w:w="0" w:type="auto"/>
            <w:shd w:val="clear" w:color="000000" w:fill="FFFFFF"/>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Funcionarios del SNBF- Grupo de Pilotaje y Escalamiento de Proyectos</w:t>
            </w:r>
            <w:r w:rsidRPr="00823A36">
              <w:rPr>
                <w:rFonts w:eastAsia="Times New Roman" w:cs="Arial"/>
                <w:sz w:val="18"/>
                <w:szCs w:val="18"/>
                <w:lang w:val="es-CO" w:eastAsia="es-CO"/>
              </w:rPr>
              <w:br/>
              <w:t>Dirección de Transferencias Monetarias Condicionadas</w:t>
            </w:r>
          </w:p>
        </w:tc>
        <w:tc>
          <w:tcPr>
            <w:tcW w:w="0" w:type="auto"/>
            <w:shd w:val="clear" w:color="000000" w:fill="FFFFFF"/>
            <w:noWrap/>
            <w:vAlign w:val="center"/>
            <w:hideMark/>
          </w:tcPr>
          <w:p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6</w:t>
            </w:r>
          </w:p>
        </w:tc>
        <w:tc>
          <w:tcPr>
            <w:tcW w:w="0" w:type="auto"/>
            <w:shd w:val="clear" w:color="000000" w:fill="FFFFFF"/>
            <w:vAlign w:val="center"/>
            <w:hideMark/>
          </w:tcPr>
          <w:p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Bogotá</w:t>
            </w:r>
          </w:p>
        </w:tc>
      </w:tr>
      <w:tr w:rsidR="008819AE" w:rsidRPr="00823A36" w:rsidTr="00823A36">
        <w:trPr>
          <w:trHeight w:val="1350"/>
          <w:jc w:val="center"/>
        </w:trPr>
        <w:tc>
          <w:tcPr>
            <w:tcW w:w="0" w:type="auto"/>
            <w:shd w:val="clear" w:color="000000" w:fill="FFFFFF"/>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lastRenderedPageBreak/>
              <w:t>Noviembre 10 del 2017</w:t>
            </w:r>
          </w:p>
        </w:tc>
        <w:tc>
          <w:tcPr>
            <w:tcW w:w="0" w:type="auto"/>
            <w:shd w:val="clear" w:color="000000" w:fill="FFFFFF"/>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Capacitación brindada a profesionales de la Universidad Nacional, contratados para modelar la supervisión y brindar recomendaciones de mejora a la misma</w:t>
            </w:r>
          </w:p>
        </w:tc>
        <w:tc>
          <w:tcPr>
            <w:tcW w:w="0" w:type="auto"/>
            <w:shd w:val="clear" w:color="000000" w:fill="FFFFFF"/>
            <w:vAlign w:val="center"/>
            <w:hideMark/>
          </w:tcPr>
          <w:p w:rsidR="008819AE" w:rsidRPr="00823A36" w:rsidRDefault="008819AE" w:rsidP="00476EF8">
            <w:pPr>
              <w:spacing w:after="0"/>
              <w:rPr>
                <w:rFonts w:eastAsia="Times New Roman" w:cs="Arial"/>
                <w:sz w:val="18"/>
                <w:szCs w:val="18"/>
                <w:lang w:val="es-CO" w:eastAsia="es-CO"/>
              </w:rPr>
            </w:pPr>
            <w:r w:rsidRPr="00823A36">
              <w:rPr>
                <w:rFonts w:eastAsia="Times New Roman" w:cs="Arial"/>
                <w:sz w:val="18"/>
                <w:szCs w:val="18"/>
                <w:lang w:val="es-CO" w:eastAsia="es-CO"/>
              </w:rPr>
              <w:t>Profesionales de la Universidad Nacional</w:t>
            </w:r>
          </w:p>
        </w:tc>
        <w:tc>
          <w:tcPr>
            <w:tcW w:w="0" w:type="auto"/>
            <w:shd w:val="clear" w:color="000000" w:fill="FFFFFF"/>
            <w:noWrap/>
            <w:vAlign w:val="center"/>
            <w:hideMark/>
          </w:tcPr>
          <w:p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9</w:t>
            </w:r>
          </w:p>
        </w:tc>
        <w:tc>
          <w:tcPr>
            <w:tcW w:w="0" w:type="auto"/>
            <w:shd w:val="clear" w:color="000000" w:fill="FFFFFF"/>
            <w:vAlign w:val="center"/>
            <w:hideMark/>
          </w:tcPr>
          <w:p w:rsidR="008819AE" w:rsidRPr="00823A36" w:rsidRDefault="008819AE" w:rsidP="00476EF8">
            <w:pPr>
              <w:spacing w:after="0"/>
              <w:jc w:val="center"/>
              <w:rPr>
                <w:rFonts w:eastAsia="Times New Roman" w:cs="Arial"/>
                <w:sz w:val="18"/>
                <w:szCs w:val="18"/>
                <w:lang w:val="es-CO" w:eastAsia="es-CO"/>
              </w:rPr>
            </w:pPr>
            <w:r w:rsidRPr="00823A36">
              <w:rPr>
                <w:rFonts w:eastAsia="Times New Roman" w:cs="Arial"/>
                <w:sz w:val="18"/>
                <w:szCs w:val="18"/>
                <w:lang w:val="es-CO" w:eastAsia="es-CO"/>
              </w:rPr>
              <w:t>Bogotá</w:t>
            </w:r>
          </w:p>
        </w:tc>
      </w:tr>
      <w:tr w:rsidR="008819AE" w:rsidRPr="00823A36" w:rsidTr="00823A36">
        <w:trPr>
          <w:trHeight w:val="450"/>
          <w:jc w:val="center"/>
        </w:trPr>
        <w:tc>
          <w:tcPr>
            <w:tcW w:w="0" w:type="auto"/>
            <w:shd w:val="clear" w:color="000000" w:fill="FFFFFF"/>
            <w:vAlign w:val="center"/>
            <w:hideMark/>
          </w:tcPr>
          <w:p w:rsidR="008819AE" w:rsidRPr="00823A36" w:rsidRDefault="008819AE" w:rsidP="00476EF8">
            <w:pPr>
              <w:spacing w:after="0" w:line="240" w:lineRule="auto"/>
              <w:rPr>
                <w:rFonts w:eastAsia="Times New Roman" w:cs="Arial"/>
                <w:sz w:val="18"/>
                <w:szCs w:val="18"/>
                <w:lang w:val="es-CO" w:eastAsia="es-CO"/>
              </w:rPr>
            </w:pPr>
            <w:r w:rsidRPr="00823A36">
              <w:rPr>
                <w:rFonts w:eastAsia="Times New Roman" w:cs="Arial"/>
                <w:sz w:val="18"/>
                <w:szCs w:val="18"/>
                <w:lang w:val="es-CO" w:eastAsia="es-CO"/>
              </w:rPr>
              <w:t>Diciembre 01 del 2017</w:t>
            </w:r>
          </w:p>
        </w:tc>
        <w:tc>
          <w:tcPr>
            <w:tcW w:w="0" w:type="auto"/>
            <w:shd w:val="clear" w:color="000000" w:fill="FFFFFF"/>
            <w:vAlign w:val="center"/>
            <w:hideMark/>
          </w:tcPr>
          <w:p w:rsidR="008819AE" w:rsidRPr="00823A36" w:rsidRDefault="008819AE" w:rsidP="00476EF8">
            <w:pPr>
              <w:spacing w:after="0" w:line="240" w:lineRule="auto"/>
              <w:rPr>
                <w:rFonts w:eastAsia="Times New Roman" w:cs="Arial"/>
                <w:sz w:val="18"/>
                <w:szCs w:val="18"/>
                <w:lang w:val="es-CO" w:eastAsia="es-CO"/>
              </w:rPr>
            </w:pPr>
            <w:r w:rsidRPr="00823A36">
              <w:rPr>
                <w:rFonts w:eastAsia="Times New Roman" w:cs="Arial"/>
                <w:sz w:val="18"/>
                <w:szCs w:val="18"/>
                <w:lang w:val="es-CO" w:eastAsia="es-CO"/>
              </w:rPr>
              <w:t>Conversatorio virtual sobre la salida de menores de edad del país</w:t>
            </w:r>
          </w:p>
        </w:tc>
        <w:tc>
          <w:tcPr>
            <w:tcW w:w="0" w:type="auto"/>
            <w:shd w:val="clear" w:color="000000" w:fill="FFFFFF"/>
            <w:vAlign w:val="center"/>
            <w:hideMark/>
          </w:tcPr>
          <w:p w:rsidR="008819AE" w:rsidRPr="00823A36" w:rsidRDefault="008819AE" w:rsidP="00476EF8">
            <w:pPr>
              <w:spacing w:after="0" w:line="240" w:lineRule="auto"/>
              <w:rPr>
                <w:rFonts w:eastAsia="Times New Roman" w:cs="Arial"/>
                <w:sz w:val="18"/>
                <w:szCs w:val="18"/>
                <w:lang w:val="es-CO" w:eastAsia="es-CO"/>
              </w:rPr>
            </w:pPr>
            <w:r w:rsidRPr="00823A36">
              <w:rPr>
                <w:rFonts w:eastAsia="Times New Roman" w:cs="Arial"/>
                <w:sz w:val="18"/>
                <w:szCs w:val="18"/>
                <w:lang w:val="es-CO" w:eastAsia="es-CO"/>
              </w:rPr>
              <w:t>Participación ciudadana</w:t>
            </w:r>
          </w:p>
        </w:tc>
        <w:tc>
          <w:tcPr>
            <w:tcW w:w="0" w:type="auto"/>
            <w:shd w:val="clear" w:color="000000" w:fill="FFFFFF"/>
            <w:noWrap/>
            <w:vAlign w:val="center"/>
            <w:hideMark/>
          </w:tcPr>
          <w:p w:rsidR="008819AE" w:rsidRPr="00823A36" w:rsidRDefault="008819AE" w:rsidP="00476EF8">
            <w:pPr>
              <w:spacing w:after="0" w:line="240" w:lineRule="auto"/>
              <w:jc w:val="center"/>
              <w:rPr>
                <w:rFonts w:eastAsia="Times New Roman" w:cs="Arial"/>
                <w:sz w:val="18"/>
                <w:szCs w:val="18"/>
                <w:lang w:val="es-CO" w:eastAsia="es-CO"/>
              </w:rPr>
            </w:pPr>
            <w:r w:rsidRPr="00823A36">
              <w:rPr>
                <w:rFonts w:eastAsia="Times New Roman" w:cs="Arial"/>
                <w:sz w:val="18"/>
                <w:szCs w:val="18"/>
                <w:lang w:val="es-CO" w:eastAsia="es-CO"/>
              </w:rPr>
              <w:t> NA</w:t>
            </w:r>
          </w:p>
        </w:tc>
        <w:tc>
          <w:tcPr>
            <w:tcW w:w="0" w:type="auto"/>
            <w:shd w:val="clear" w:color="000000" w:fill="FFFFFF"/>
            <w:vAlign w:val="center"/>
            <w:hideMark/>
          </w:tcPr>
          <w:p w:rsidR="008819AE" w:rsidRPr="00823A36" w:rsidRDefault="008819AE" w:rsidP="00476EF8">
            <w:pPr>
              <w:spacing w:after="0" w:line="240" w:lineRule="auto"/>
              <w:jc w:val="center"/>
              <w:rPr>
                <w:rFonts w:eastAsia="Times New Roman" w:cs="Arial"/>
                <w:sz w:val="18"/>
                <w:szCs w:val="18"/>
                <w:lang w:val="es-CO" w:eastAsia="es-CO"/>
              </w:rPr>
            </w:pPr>
            <w:r w:rsidRPr="00823A36">
              <w:rPr>
                <w:rFonts w:eastAsia="Times New Roman" w:cs="Arial"/>
                <w:sz w:val="18"/>
                <w:szCs w:val="18"/>
                <w:lang w:val="es-CO" w:eastAsia="es-CO"/>
              </w:rPr>
              <w:t>Bogotá</w:t>
            </w:r>
          </w:p>
        </w:tc>
      </w:tr>
    </w:tbl>
    <w:p w:rsidR="008819AE" w:rsidRPr="009352BF" w:rsidRDefault="008819AE" w:rsidP="009352BF">
      <w:pPr>
        <w:spacing w:after="0"/>
        <w:jc w:val="both"/>
        <w:rPr>
          <w:rFonts w:cs="Arial"/>
          <w:sz w:val="16"/>
          <w:szCs w:val="16"/>
        </w:rPr>
      </w:pPr>
      <w:r w:rsidRPr="009352BF">
        <w:rPr>
          <w:rFonts w:cs="Arial"/>
          <w:sz w:val="16"/>
          <w:szCs w:val="16"/>
        </w:rPr>
        <w:t>Fuente: Dirección de Protección.</w:t>
      </w:r>
    </w:p>
    <w:p w:rsidR="008819AE" w:rsidRPr="007608C2" w:rsidRDefault="008819AE" w:rsidP="008819AE">
      <w:pPr>
        <w:spacing w:before="240"/>
        <w:rPr>
          <w:rFonts w:cs="Arial"/>
          <w:b/>
        </w:rPr>
      </w:pPr>
      <w:r w:rsidRPr="007608C2">
        <w:rPr>
          <w:rFonts w:cs="Arial"/>
          <w:b/>
        </w:rPr>
        <w:t>Reforma de ley 1098</w:t>
      </w:r>
    </w:p>
    <w:p w:rsidR="008819AE" w:rsidRPr="007608C2" w:rsidRDefault="008819AE" w:rsidP="008819AE">
      <w:pPr>
        <w:jc w:val="both"/>
        <w:rPr>
          <w:rFonts w:cs="Arial"/>
        </w:rPr>
      </w:pPr>
      <w:r w:rsidRPr="007608C2">
        <w:rPr>
          <w:rFonts w:cs="Arial"/>
        </w:rPr>
        <w:t xml:space="preserve">Teniendo en cuenta los vacíos jurídicos que actualmente se evidencian en la Ley 1098 de 2006 y como resultado de las mesas de trabajo con Defensores de Familia y profesionales de las Regionales del ICBF, en el año 2017 se elaboró una propuesta de reforma a la Ley que busca modificar parcialmente los artículos 52, 56, 87, 99, 100, 102, 103, 107, 108, 110, 124 y 126 de la Ley 1098 de 2006. Lo anterior con el fin de dotarlos de mayor claridad en su interpretación, superar vacíos jurídicos, definir legalmente medidas que permitan el restablecimiento material de los derechos de los niños, niñas y adolescentes, y así brindar seguridad jurídica a las decisiones definitivas que respecto de sus vidas determinan las distintas autoridades judiciales y administrativas competentes. </w:t>
      </w:r>
    </w:p>
    <w:p w:rsidR="008819AE" w:rsidRPr="007608C2" w:rsidRDefault="008819AE" w:rsidP="008819AE">
      <w:pPr>
        <w:jc w:val="both"/>
        <w:rPr>
          <w:rFonts w:cs="Arial"/>
        </w:rPr>
      </w:pPr>
      <w:r w:rsidRPr="007608C2">
        <w:rPr>
          <w:rFonts w:cs="Arial"/>
        </w:rPr>
        <w:t xml:space="preserve">La propuesta fue entregada al Senador Germán Varón Cotrino, quien lo radicó en el Senado de la República el día 4 de abril de 2017, con el número 225 (Proyecto de Ley 225 de 2017). El proyecto de Ley fue aprobado en Senado en primer debate el 23 de mayo y en segundo debate el 14 de junio de 2017, con algunas proposiciones. Posteriormente, fue recibido en Comisión en Cámara el 21 de julio de 2017 y se designó como ponente al Representante Telésforo Pedraza Ortega. Actualmente el proyecto fue conciliado en Cámara y Senado y se encuentra pendiente de sanción presidencial. </w:t>
      </w:r>
    </w:p>
    <w:p w:rsidR="008819AE" w:rsidRPr="007608C2" w:rsidRDefault="008819AE" w:rsidP="008819AE">
      <w:pPr>
        <w:jc w:val="both"/>
        <w:rPr>
          <w:rFonts w:cs="Arial"/>
        </w:rPr>
      </w:pPr>
      <w:r w:rsidRPr="007608C2">
        <w:rPr>
          <w:rFonts w:cs="Arial"/>
        </w:rPr>
        <w:t>Con este proyecto de Ley se buscó cualificar el Proceso Administrativo de Restablecimiento de Derechos y así garantizar los derechos de los niños, niñas y adolescentes.</w:t>
      </w:r>
    </w:p>
    <w:p w:rsidR="008819AE" w:rsidRPr="007608C2" w:rsidRDefault="008819AE" w:rsidP="009352BF">
      <w:pPr>
        <w:rPr>
          <w:rFonts w:cs="Arial"/>
        </w:rPr>
      </w:pPr>
      <w:r w:rsidRPr="007608C2">
        <w:rPr>
          <w:rFonts w:cs="Arial"/>
          <w:b/>
        </w:rPr>
        <w:t>Plan de Asistencia Técnica</w:t>
      </w:r>
      <w:r w:rsidRPr="007608C2">
        <w:rPr>
          <w:rFonts w:cs="Arial"/>
        </w:rPr>
        <w:t xml:space="preserve"> </w:t>
      </w:r>
    </w:p>
    <w:tbl>
      <w:tblPr>
        <w:tblW w:w="9929" w:type="dxa"/>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0" w:type="dxa"/>
          <w:right w:w="0" w:type="dxa"/>
        </w:tblCellMar>
        <w:tblLook w:val="04A0" w:firstRow="1" w:lastRow="0" w:firstColumn="1" w:lastColumn="0" w:noHBand="0" w:noVBand="1"/>
      </w:tblPr>
      <w:tblGrid>
        <w:gridCol w:w="1244"/>
        <w:gridCol w:w="2574"/>
        <w:gridCol w:w="1275"/>
        <w:gridCol w:w="4820"/>
        <w:gridCol w:w="16"/>
      </w:tblGrid>
      <w:tr w:rsidR="008819AE" w:rsidRPr="009352BF" w:rsidTr="009352BF">
        <w:trPr>
          <w:trHeight w:val="234"/>
          <w:jc w:val="center"/>
        </w:trPr>
        <w:tc>
          <w:tcPr>
            <w:tcW w:w="9913" w:type="dxa"/>
            <w:gridSpan w:val="4"/>
            <w:shd w:val="clear" w:color="auto" w:fill="76922E"/>
            <w:tcMar>
              <w:top w:w="0" w:type="dxa"/>
              <w:left w:w="70" w:type="dxa"/>
              <w:bottom w:w="0" w:type="dxa"/>
              <w:right w:w="70" w:type="dxa"/>
            </w:tcMar>
            <w:vAlign w:val="center"/>
            <w:hideMark/>
          </w:tcPr>
          <w:p w:rsidR="008819AE" w:rsidRPr="009352BF" w:rsidRDefault="008819AE" w:rsidP="00476EF8">
            <w:pPr>
              <w:spacing w:after="0"/>
              <w:jc w:val="center"/>
              <w:rPr>
                <w:rFonts w:cs="Arial"/>
                <w:b/>
                <w:color w:val="FFFFFF" w:themeColor="background1"/>
                <w:sz w:val="18"/>
                <w:szCs w:val="18"/>
                <w:lang w:val="es-CO"/>
              </w:rPr>
            </w:pPr>
            <w:r w:rsidRPr="009352BF">
              <w:rPr>
                <w:rFonts w:cs="Arial"/>
                <w:b/>
                <w:color w:val="FFFFFF" w:themeColor="background1"/>
                <w:sz w:val="18"/>
                <w:szCs w:val="18"/>
                <w:lang w:eastAsia="es-CO"/>
              </w:rPr>
              <w:t>Enero 1 – diciembre 31 de 2017</w:t>
            </w:r>
          </w:p>
        </w:tc>
        <w:tc>
          <w:tcPr>
            <w:tcW w:w="16" w:type="dxa"/>
            <w:vAlign w:val="center"/>
            <w:hideMark/>
          </w:tcPr>
          <w:p w:rsidR="008819AE" w:rsidRPr="009352BF" w:rsidRDefault="008819AE" w:rsidP="00476EF8">
            <w:pPr>
              <w:spacing w:after="0"/>
              <w:rPr>
                <w:rFonts w:cs="Arial"/>
                <w:sz w:val="18"/>
                <w:szCs w:val="18"/>
              </w:rPr>
            </w:pPr>
          </w:p>
        </w:tc>
      </w:tr>
      <w:tr w:rsidR="008819AE" w:rsidRPr="009352BF" w:rsidTr="009352BF">
        <w:trPr>
          <w:trHeight w:val="628"/>
          <w:jc w:val="center"/>
        </w:trPr>
        <w:tc>
          <w:tcPr>
            <w:tcW w:w="1244" w:type="dxa"/>
            <w:shd w:val="clear" w:color="auto" w:fill="76922E"/>
            <w:tcMar>
              <w:top w:w="0" w:type="dxa"/>
              <w:left w:w="70" w:type="dxa"/>
              <w:bottom w:w="0" w:type="dxa"/>
              <w:right w:w="70" w:type="dxa"/>
            </w:tcMar>
            <w:vAlign w:val="center"/>
            <w:hideMark/>
          </w:tcPr>
          <w:p w:rsidR="008819AE" w:rsidRPr="009352BF" w:rsidRDefault="00665D6A" w:rsidP="00476EF8">
            <w:pPr>
              <w:spacing w:after="0"/>
              <w:jc w:val="center"/>
              <w:rPr>
                <w:rFonts w:cs="Arial"/>
                <w:b/>
                <w:sz w:val="18"/>
                <w:szCs w:val="18"/>
              </w:rPr>
            </w:pPr>
            <w:r>
              <w:rPr>
                <w:rFonts w:cs="Arial"/>
                <w:b/>
                <w:color w:val="FFFFFF" w:themeColor="background1"/>
                <w:sz w:val="18"/>
                <w:szCs w:val="18"/>
                <w:lang w:eastAsia="es-CO"/>
              </w:rPr>
              <w:t>No. d</w:t>
            </w:r>
            <w:r w:rsidR="008819AE" w:rsidRPr="009352BF">
              <w:rPr>
                <w:rFonts w:cs="Arial"/>
                <w:b/>
                <w:color w:val="FFFFFF" w:themeColor="background1"/>
                <w:sz w:val="18"/>
                <w:szCs w:val="18"/>
                <w:lang w:eastAsia="es-CO"/>
              </w:rPr>
              <w:t>e Actividades Realizados</w:t>
            </w:r>
          </w:p>
        </w:tc>
        <w:tc>
          <w:tcPr>
            <w:tcW w:w="2574" w:type="dxa"/>
            <w:shd w:val="clear" w:color="auto" w:fill="76922E"/>
            <w:noWrap/>
            <w:tcMar>
              <w:top w:w="0" w:type="dxa"/>
              <w:left w:w="70" w:type="dxa"/>
              <w:bottom w:w="0" w:type="dxa"/>
              <w:right w:w="70" w:type="dxa"/>
            </w:tcMar>
            <w:vAlign w:val="center"/>
            <w:hideMark/>
          </w:tcPr>
          <w:p w:rsidR="008819AE" w:rsidRPr="009352BF" w:rsidRDefault="008819AE" w:rsidP="00476EF8">
            <w:pPr>
              <w:spacing w:after="0"/>
              <w:jc w:val="center"/>
              <w:rPr>
                <w:rFonts w:cs="Arial"/>
                <w:b/>
                <w:color w:val="FFFFFF" w:themeColor="background1"/>
                <w:sz w:val="18"/>
                <w:szCs w:val="18"/>
              </w:rPr>
            </w:pPr>
            <w:r w:rsidRPr="009352BF">
              <w:rPr>
                <w:rFonts w:cs="Arial"/>
                <w:b/>
                <w:color w:val="FFFFFF" w:themeColor="background1"/>
                <w:sz w:val="18"/>
                <w:szCs w:val="18"/>
                <w:lang w:eastAsia="es-CO"/>
              </w:rPr>
              <w:t>Ciudades</w:t>
            </w:r>
          </w:p>
        </w:tc>
        <w:tc>
          <w:tcPr>
            <w:tcW w:w="1275" w:type="dxa"/>
            <w:shd w:val="clear" w:color="auto" w:fill="76922E"/>
            <w:tcMar>
              <w:top w:w="0" w:type="dxa"/>
              <w:left w:w="70" w:type="dxa"/>
              <w:bottom w:w="0" w:type="dxa"/>
              <w:right w:w="70" w:type="dxa"/>
            </w:tcMar>
            <w:vAlign w:val="center"/>
            <w:hideMark/>
          </w:tcPr>
          <w:p w:rsidR="008819AE" w:rsidRPr="009352BF" w:rsidRDefault="009352BF" w:rsidP="00476EF8">
            <w:pPr>
              <w:spacing w:after="0"/>
              <w:jc w:val="center"/>
              <w:rPr>
                <w:rFonts w:cs="Arial"/>
                <w:b/>
                <w:color w:val="FFFFFF" w:themeColor="background1"/>
                <w:sz w:val="18"/>
                <w:szCs w:val="18"/>
              </w:rPr>
            </w:pPr>
            <w:r>
              <w:rPr>
                <w:rFonts w:cs="Arial"/>
                <w:b/>
                <w:color w:val="FFFFFF" w:themeColor="background1"/>
                <w:sz w:val="18"/>
                <w:szCs w:val="18"/>
                <w:lang w:eastAsia="es-CO"/>
              </w:rPr>
              <w:t>No. Personas A</w:t>
            </w:r>
            <w:r w:rsidR="008819AE" w:rsidRPr="009352BF">
              <w:rPr>
                <w:rFonts w:cs="Arial"/>
                <w:b/>
                <w:color w:val="FFFFFF" w:themeColor="background1"/>
                <w:sz w:val="18"/>
                <w:szCs w:val="18"/>
                <w:lang w:eastAsia="es-CO"/>
              </w:rPr>
              <w:t>tendidas</w:t>
            </w:r>
          </w:p>
        </w:tc>
        <w:tc>
          <w:tcPr>
            <w:tcW w:w="4820" w:type="dxa"/>
            <w:shd w:val="clear" w:color="auto" w:fill="76922E"/>
            <w:noWrap/>
            <w:tcMar>
              <w:top w:w="0" w:type="dxa"/>
              <w:left w:w="70" w:type="dxa"/>
              <w:bottom w:w="0" w:type="dxa"/>
              <w:right w:w="70" w:type="dxa"/>
            </w:tcMar>
            <w:vAlign w:val="center"/>
            <w:hideMark/>
          </w:tcPr>
          <w:p w:rsidR="008819AE" w:rsidRPr="009352BF" w:rsidRDefault="008819AE" w:rsidP="00476EF8">
            <w:pPr>
              <w:spacing w:after="0"/>
              <w:jc w:val="center"/>
              <w:rPr>
                <w:rFonts w:cs="Arial"/>
                <w:b/>
                <w:color w:val="FFFFFF" w:themeColor="background1"/>
                <w:sz w:val="18"/>
                <w:szCs w:val="18"/>
              </w:rPr>
            </w:pPr>
            <w:r w:rsidRPr="009352BF">
              <w:rPr>
                <w:rFonts w:cs="Arial"/>
                <w:b/>
                <w:color w:val="FFFFFF" w:themeColor="background1"/>
                <w:sz w:val="18"/>
                <w:szCs w:val="18"/>
                <w:lang w:eastAsia="es-CO"/>
              </w:rPr>
              <w:t>Temáticas</w:t>
            </w:r>
          </w:p>
        </w:tc>
        <w:tc>
          <w:tcPr>
            <w:tcW w:w="16" w:type="dxa"/>
            <w:vAlign w:val="center"/>
            <w:hideMark/>
          </w:tcPr>
          <w:p w:rsidR="008819AE" w:rsidRPr="009352BF" w:rsidRDefault="008819AE" w:rsidP="00476EF8">
            <w:pPr>
              <w:spacing w:after="0"/>
              <w:rPr>
                <w:rFonts w:cs="Arial"/>
                <w:sz w:val="18"/>
                <w:szCs w:val="18"/>
              </w:rPr>
            </w:pPr>
          </w:p>
        </w:tc>
      </w:tr>
      <w:tr w:rsidR="008819AE" w:rsidRPr="009352BF" w:rsidTr="009352BF">
        <w:trPr>
          <w:trHeight w:val="628"/>
          <w:jc w:val="center"/>
        </w:trPr>
        <w:tc>
          <w:tcPr>
            <w:tcW w:w="1244" w:type="dxa"/>
            <w:shd w:val="clear" w:color="auto" w:fill="auto"/>
            <w:tcMar>
              <w:top w:w="0" w:type="dxa"/>
              <w:left w:w="70" w:type="dxa"/>
              <w:bottom w:w="0" w:type="dxa"/>
              <w:right w:w="70" w:type="dxa"/>
            </w:tcMar>
            <w:vAlign w:val="center"/>
          </w:tcPr>
          <w:p w:rsidR="008819AE" w:rsidRPr="009352BF" w:rsidRDefault="008819AE" w:rsidP="00476EF8">
            <w:pPr>
              <w:spacing w:after="0"/>
              <w:jc w:val="center"/>
              <w:rPr>
                <w:rFonts w:cs="Arial"/>
                <w:b/>
                <w:sz w:val="18"/>
                <w:szCs w:val="18"/>
                <w:lang w:eastAsia="es-CO"/>
              </w:rPr>
            </w:pPr>
            <w:r w:rsidRPr="009352BF">
              <w:rPr>
                <w:rFonts w:cs="Arial"/>
                <w:sz w:val="18"/>
                <w:szCs w:val="18"/>
                <w:lang w:eastAsia="es-CO"/>
              </w:rPr>
              <w:t>1.003</w:t>
            </w:r>
          </w:p>
        </w:tc>
        <w:tc>
          <w:tcPr>
            <w:tcW w:w="2574" w:type="dxa"/>
            <w:shd w:val="clear" w:color="auto" w:fill="auto"/>
            <w:noWrap/>
            <w:tcMar>
              <w:top w:w="0" w:type="dxa"/>
              <w:left w:w="70" w:type="dxa"/>
              <w:bottom w:w="0" w:type="dxa"/>
              <w:right w:w="70" w:type="dxa"/>
            </w:tcMar>
            <w:vAlign w:val="center"/>
          </w:tcPr>
          <w:p w:rsidR="008819AE" w:rsidRPr="009352BF" w:rsidRDefault="008819AE" w:rsidP="009352BF">
            <w:pPr>
              <w:spacing w:after="0"/>
              <w:rPr>
                <w:rFonts w:cs="Arial"/>
                <w:sz w:val="18"/>
                <w:szCs w:val="18"/>
                <w:lang w:eastAsia="es-CO"/>
              </w:rPr>
            </w:pPr>
            <w:r w:rsidRPr="009352BF">
              <w:rPr>
                <w:rFonts w:cs="Arial"/>
                <w:sz w:val="18"/>
                <w:szCs w:val="18"/>
                <w:lang w:eastAsia="es-CO"/>
              </w:rPr>
              <w:t>Bogotá (Cundinamarca)</w:t>
            </w:r>
            <w:r w:rsidRPr="009352BF">
              <w:rPr>
                <w:rFonts w:cs="Arial"/>
                <w:sz w:val="18"/>
                <w:szCs w:val="18"/>
                <w:lang w:eastAsia="es-CO"/>
              </w:rPr>
              <w:br/>
              <w:t>Ibagué (Tolima)</w:t>
            </w:r>
            <w:r w:rsidRPr="009352BF">
              <w:rPr>
                <w:rFonts w:cs="Arial"/>
                <w:sz w:val="18"/>
                <w:szCs w:val="18"/>
                <w:lang w:eastAsia="es-CO"/>
              </w:rPr>
              <w:br/>
              <w:t>Pereira (Risaralda)</w:t>
            </w:r>
            <w:r w:rsidRPr="009352BF">
              <w:rPr>
                <w:rFonts w:cs="Arial"/>
                <w:sz w:val="18"/>
                <w:szCs w:val="18"/>
                <w:lang w:eastAsia="es-CO"/>
              </w:rPr>
              <w:br/>
              <w:t>Yopal (Casanare)</w:t>
            </w:r>
            <w:r w:rsidRPr="009352BF">
              <w:rPr>
                <w:rFonts w:cs="Arial"/>
                <w:sz w:val="18"/>
                <w:szCs w:val="18"/>
                <w:lang w:eastAsia="es-CO"/>
              </w:rPr>
              <w:br/>
            </w:r>
            <w:r w:rsidRPr="009352BF">
              <w:rPr>
                <w:rFonts w:cs="Arial"/>
                <w:sz w:val="18"/>
                <w:szCs w:val="18"/>
                <w:lang w:eastAsia="es-CO"/>
              </w:rPr>
              <w:lastRenderedPageBreak/>
              <w:t>Neiva (Huila))</w:t>
            </w:r>
            <w:r w:rsidRPr="009352BF">
              <w:rPr>
                <w:rFonts w:cs="Arial"/>
                <w:sz w:val="18"/>
                <w:szCs w:val="18"/>
                <w:lang w:eastAsia="es-CO"/>
              </w:rPr>
              <w:br/>
              <w:t>Medellín (Antioquia)</w:t>
            </w:r>
            <w:r w:rsidRPr="009352BF">
              <w:rPr>
                <w:rFonts w:cs="Arial"/>
                <w:sz w:val="18"/>
                <w:szCs w:val="18"/>
                <w:lang w:eastAsia="es-CO"/>
              </w:rPr>
              <w:br/>
              <w:t>Cali (Valle del Cauca)</w:t>
            </w:r>
            <w:r w:rsidRPr="009352BF">
              <w:rPr>
                <w:rFonts w:cs="Arial"/>
                <w:sz w:val="18"/>
                <w:szCs w:val="18"/>
                <w:lang w:eastAsia="es-CO"/>
              </w:rPr>
              <w:br/>
              <w:t>Bucaramanga (Santander)</w:t>
            </w:r>
            <w:r w:rsidRPr="009352BF">
              <w:rPr>
                <w:rFonts w:cs="Arial"/>
                <w:sz w:val="18"/>
                <w:szCs w:val="18"/>
                <w:lang w:eastAsia="es-CO"/>
              </w:rPr>
              <w:br/>
              <w:t>Barranquilla (Atlántico)</w:t>
            </w:r>
            <w:r w:rsidRPr="009352BF">
              <w:rPr>
                <w:rFonts w:cs="Arial"/>
                <w:sz w:val="18"/>
                <w:szCs w:val="18"/>
                <w:lang w:eastAsia="es-CO"/>
              </w:rPr>
              <w:br/>
              <w:t>Silvia (Cauca)</w:t>
            </w:r>
            <w:r w:rsidRPr="009352BF">
              <w:rPr>
                <w:rFonts w:cs="Arial"/>
                <w:sz w:val="18"/>
                <w:szCs w:val="18"/>
                <w:lang w:eastAsia="es-CO"/>
              </w:rPr>
              <w:br/>
              <w:t>Santa Marta (Magdalena)</w:t>
            </w:r>
            <w:r w:rsidRPr="009352BF">
              <w:rPr>
                <w:rFonts w:cs="Arial"/>
                <w:sz w:val="18"/>
                <w:szCs w:val="18"/>
                <w:lang w:eastAsia="es-CO"/>
              </w:rPr>
              <w:br/>
              <w:t>Manizales (Caldas)</w:t>
            </w:r>
            <w:r w:rsidRPr="009352BF">
              <w:rPr>
                <w:rFonts w:cs="Arial"/>
                <w:sz w:val="18"/>
                <w:szCs w:val="18"/>
                <w:lang w:eastAsia="es-CO"/>
              </w:rPr>
              <w:br/>
              <w:t>Cúcuta (Norte de Santander)</w:t>
            </w:r>
            <w:r w:rsidRPr="009352BF">
              <w:rPr>
                <w:rFonts w:cs="Arial"/>
                <w:sz w:val="18"/>
                <w:szCs w:val="18"/>
                <w:lang w:eastAsia="es-CO"/>
              </w:rPr>
              <w:br/>
              <w:t>Sincelejo (Sucre)</w:t>
            </w:r>
          </w:p>
          <w:p w:rsidR="008819AE" w:rsidRPr="009352BF" w:rsidRDefault="008819AE" w:rsidP="009352BF">
            <w:pPr>
              <w:spacing w:after="0"/>
              <w:rPr>
                <w:rFonts w:cs="Arial"/>
                <w:sz w:val="18"/>
                <w:szCs w:val="18"/>
                <w:lang w:eastAsia="es-CO"/>
              </w:rPr>
            </w:pPr>
            <w:r w:rsidRPr="009352BF">
              <w:rPr>
                <w:rFonts w:cs="Arial"/>
                <w:sz w:val="18"/>
                <w:szCs w:val="18"/>
                <w:lang w:eastAsia="es-CO"/>
              </w:rPr>
              <w:t>Florencia (Caquetá)</w:t>
            </w:r>
          </w:p>
          <w:p w:rsidR="008819AE" w:rsidRPr="009352BF" w:rsidRDefault="008819AE" w:rsidP="009352BF">
            <w:pPr>
              <w:spacing w:after="0"/>
              <w:rPr>
                <w:rFonts w:cs="Arial"/>
                <w:sz w:val="18"/>
                <w:szCs w:val="18"/>
                <w:lang w:eastAsia="es-CO"/>
              </w:rPr>
            </w:pPr>
            <w:r w:rsidRPr="009352BF">
              <w:rPr>
                <w:rFonts w:cs="Arial"/>
                <w:sz w:val="18"/>
                <w:szCs w:val="18"/>
                <w:lang w:eastAsia="es-CO"/>
              </w:rPr>
              <w:t>Montería(Córdoba)</w:t>
            </w:r>
          </w:p>
          <w:p w:rsidR="008819AE" w:rsidRPr="009352BF" w:rsidRDefault="008819AE" w:rsidP="009352BF">
            <w:pPr>
              <w:spacing w:after="0"/>
              <w:rPr>
                <w:rFonts w:cs="Arial"/>
                <w:sz w:val="18"/>
                <w:szCs w:val="18"/>
                <w:lang w:eastAsia="es-CO"/>
              </w:rPr>
            </w:pPr>
            <w:r w:rsidRPr="009352BF">
              <w:rPr>
                <w:rFonts w:cs="Arial"/>
                <w:sz w:val="18"/>
                <w:szCs w:val="18"/>
                <w:lang w:eastAsia="es-CO"/>
              </w:rPr>
              <w:t>Riohacha (Guajira)</w:t>
            </w:r>
          </w:p>
          <w:p w:rsidR="008819AE" w:rsidRPr="009352BF" w:rsidRDefault="008819AE" w:rsidP="009352BF">
            <w:pPr>
              <w:spacing w:after="0"/>
              <w:rPr>
                <w:rFonts w:cs="Arial"/>
                <w:sz w:val="18"/>
                <w:szCs w:val="18"/>
                <w:lang w:eastAsia="es-CO"/>
              </w:rPr>
            </w:pPr>
            <w:r w:rsidRPr="009352BF">
              <w:rPr>
                <w:rFonts w:cs="Arial"/>
                <w:sz w:val="18"/>
                <w:szCs w:val="18"/>
                <w:lang w:eastAsia="es-CO"/>
              </w:rPr>
              <w:t>Santander de Quilichao(Cauca)</w:t>
            </w:r>
          </w:p>
          <w:p w:rsidR="008819AE" w:rsidRPr="009352BF" w:rsidRDefault="008819AE" w:rsidP="009352BF">
            <w:pPr>
              <w:spacing w:after="0"/>
              <w:rPr>
                <w:rFonts w:cs="Arial"/>
                <w:sz w:val="18"/>
                <w:szCs w:val="18"/>
                <w:lang w:eastAsia="es-CO"/>
              </w:rPr>
            </w:pPr>
            <w:r w:rsidRPr="009352BF">
              <w:rPr>
                <w:rFonts w:cs="Arial"/>
                <w:sz w:val="18"/>
                <w:szCs w:val="18"/>
                <w:lang w:eastAsia="es-CO"/>
              </w:rPr>
              <w:t>Quibdó (choco)</w:t>
            </w:r>
          </w:p>
          <w:p w:rsidR="008819AE" w:rsidRPr="009352BF" w:rsidRDefault="008819AE" w:rsidP="009352BF">
            <w:pPr>
              <w:spacing w:after="0"/>
              <w:rPr>
                <w:rFonts w:cs="Arial"/>
                <w:sz w:val="18"/>
                <w:szCs w:val="18"/>
              </w:rPr>
            </w:pPr>
            <w:r w:rsidRPr="009352BF">
              <w:rPr>
                <w:rFonts w:cs="Arial"/>
                <w:sz w:val="18"/>
                <w:szCs w:val="18"/>
                <w:lang w:eastAsia="es-CO"/>
              </w:rPr>
              <w:t>Puerto Asís (putumayo)</w:t>
            </w:r>
          </w:p>
          <w:p w:rsidR="008819AE" w:rsidRPr="009352BF" w:rsidRDefault="008819AE" w:rsidP="009352BF">
            <w:pPr>
              <w:spacing w:after="0"/>
              <w:rPr>
                <w:rFonts w:cs="Arial"/>
                <w:sz w:val="18"/>
                <w:szCs w:val="18"/>
              </w:rPr>
            </w:pPr>
            <w:r w:rsidRPr="009352BF">
              <w:rPr>
                <w:rFonts w:cs="Arial"/>
                <w:sz w:val="18"/>
                <w:szCs w:val="18"/>
                <w:lang w:eastAsia="es-CO"/>
              </w:rPr>
              <w:t>Leticia (amazonas)</w:t>
            </w:r>
          </w:p>
          <w:p w:rsidR="008819AE" w:rsidRPr="009352BF" w:rsidRDefault="008819AE" w:rsidP="009352BF">
            <w:pPr>
              <w:spacing w:after="0"/>
              <w:rPr>
                <w:rFonts w:cs="Arial"/>
                <w:sz w:val="18"/>
                <w:szCs w:val="18"/>
                <w:lang w:eastAsia="es-CO"/>
              </w:rPr>
            </w:pPr>
            <w:r w:rsidRPr="009352BF">
              <w:rPr>
                <w:rFonts w:cs="Arial"/>
                <w:sz w:val="18"/>
                <w:szCs w:val="18"/>
                <w:lang w:eastAsia="es-CO"/>
              </w:rPr>
              <w:t>Valledupar(Cesar)</w:t>
            </w:r>
          </w:p>
          <w:p w:rsidR="008819AE" w:rsidRPr="009352BF" w:rsidRDefault="008819AE" w:rsidP="009352BF">
            <w:pPr>
              <w:spacing w:after="0"/>
              <w:rPr>
                <w:rFonts w:cs="Arial"/>
                <w:sz w:val="18"/>
                <w:szCs w:val="18"/>
                <w:lang w:eastAsia="es-CO"/>
              </w:rPr>
            </w:pPr>
            <w:r w:rsidRPr="009352BF">
              <w:rPr>
                <w:rFonts w:cs="Arial"/>
                <w:sz w:val="18"/>
                <w:szCs w:val="18"/>
                <w:lang w:eastAsia="es-CO"/>
              </w:rPr>
              <w:t>Quindío(armenia)</w:t>
            </w:r>
          </w:p>
          <w:p w:rsidR="008819AE" w:rsidRPr="009352BF" w:rsidRDefault="008819AE" w:rsidP="009352BF">
            <w:pPr>
              <w:spacing w:after="0"/>
              <w:rPr>
                <w:rFonts w:cs="Arial"/>
                <w:sz w:val="18"/>
                <w:szCs w:val="18"/>
                <w:lang w:eastAsia="es-CO"/>
              </w:rPr>
            </w:pPr>
            <w:r w:rsidRPr="009352BF">
              <w:rPr>
                <w:rFonts w:cs="Arial"/>
                <w:sz w:val="18"/>
                <w:szCs w:val="18"/>
                <w:lang w:eastAsia="es-CO"/>
              </w:rPr>
              <w:t>Meta(Villavicencio)</w:t>
            </w:r>
          </w:p>
          <w:p w:rsidR="008819AE" w:rsidRPr="009352BF" w:rsidRDefault="008819AE" w:rsidP="009352BF">
            <w:pPr>
              <w:spacing w:after="0"/>
              <w:rPr>
                <w:rFonts w:cs="Arial"/>
                <w:b/>
                <w:sz w:val="18"/>
                <w:szCs w:val="18"/>
                <w:lang w:eastAsia="es-CO"/>
              </w:rPr>
            </w:pPr>
            <w:r w:rsidRPr="009352BF">
              <w:rPr>
                <w:rFonts w:cs="Arial"/>
                <w:sz w:val="18"/>
                <w:szCs w:val="18"/>
                <w:lang w:eastAsia="es-CO"/>
              </w:rPr>
              <w:t>Santander (Vélez, Socorro, Málaga, San Gil, Floridablanca)</w:t>
            </w:r>
          </w:p>
        </w:tc>
        <w:tc>
          <w:tcPr>
            <w:tcW w:w="1275" w:type="dxa"/>
            <w:shd w:val="clear" w:color="auto" w:fill="auto"/>
            <w:tcMar>
              <w:top w:w="0" w:type="dxa"/>
              <w:left w:w="70" w:type="dxa"/>
              <w:bottom w:w="0" w:type="dxa"/>
              <w:right w:w="70" w:type="dxa"/>
            </w:tcMar>
            <w:vAlign w:val="center"/>
          </w:tcPr>
          <w:p w:rsidR="008819AE" w:rsidRPr="009352BF" w:rsidRDefault="008819AE" w:rsidP="00476EF8">
            <w:pPr>
              <w:spacing w:after="0"/>
              <w:jc w:val="center"/>
              <w:rPr>
                <w:rFonts w:cs="Arial"/>
                <w:b/>
                <w:sz w:val="18"/>
                <w:szCs w:val="18"/>
                <w:lang w:eastAsia="es-CO"/>
              </w:rPr>
            </w:pPr>
            <w:r w:rsidRPr="009352BF">
              <w:rPr>
                <w:rFonts w:cs="Arial"/>
                <w:sz w:val="18"/>
                <w:szCs w:val="18"/>
                <w:lang w:eastAsia="es-CO"/>
              </w:rPr>
              <w:lastRenderedPageBreak/>
              <w:t>27.372</w:t>
            </w:r>
          </w:p>
        </w:tc>
        <w:tc>
          <w:tcPr>
            <w:tcW w:w="4820" w:type="dxa"/>
            <w:shd w:val="clear" w:color="auto" w:fill="auto"/>
            <w:noWrap/>
            <w:tcMar>
              <w:top w:w="0" w:type="dxa"/>
              <w:left w:w="70" w:type="dxa"/>
              <w:bottom w:w="0" w:type="dxa"/>
              <w:right w:w="70" w:type="dxa"/>
            </w:tcMar>
            <w:vAlign w:val="center"/>
          </w:tcPr>
          <w:p w:rsidR="008819AE" w:rsidRPr="009352BF" w:rsidRDefault="008819AE" w:rsidP="008124A4">
            <w:pPr>
              <w:spacing w:after="0"/>
              <w:rPr>
                <w:rFonts w:cs="Arial"/>
                <w:sz w:val="18"/>
                <w:szCs w:val="18"/>
                <w:lang w:eastAsia="es-CO"/>
              </w:rPr>
            </w:pPr>
            <w:r w:rsidRPr="009352BF">
              <w:rPr>
                <w:rFonts w:cs="Arial"/>
                <w:sz w:val="18"/>
                <w:szCs w:val="18"/>
                <w:lang w:eastAsia="es-CO"/>
              </w:rPr>
              <w:t xml:space="preserve">Lineamientos de protección - Libretas militares e información para obtención de documentación de identidad - Prevención de consumo spa en adolescentes y jóvenes - Acompañamiento a comité técnico consultivo </w:t>
            </w:r>
            <w:r w:rsidRPr="009352BF">
              <w:rPr>
                <w:rFonts w:cs="Arial"/>
                <w:sz w:val="18"/>
                <w:szCs w:val="18"/>
                <w:lang w:eastAsia="es-CO"/>
              </w:rPr>
              <w:lastRenderedPageBreak/>
              <w:t>Regional - Grupo de Estudio Trabajo - Grupo de Estudio Trabajo virtual a las Regionales - seguimiento a las acciones de incidencia para la visibilizarían e impacto de la trata de niños, niñas y adolescentes en 16 departamentos de Colombia, organizadas en cinco macro regionales.</w:t>
            </w:r>
          </w:p>
          <w:p w:rsidR="008819AE" w:rsidRPr="009352BF" w:rsidRDefault="008819AE" w:rsidP="008124A4">
            <w:pPr>
              <w:spacing w:after="0"/>
              <w:rPr>
                <w:rFonts w:cs="Arial"/>
                <w:sz w:val="18"/>
                <w:szCs w:val="18"/>
                <w:lang w:eastAsia="es-CO"/>
              </w:rPr>
            </w:pPr>
            <w:r w:rsidRPr="009352BF">
              <w:rPr>
                <w:rFonts w:cs="Arial"/>
                <w:sz w:val="18"/>
                <w:szCs w:val="18"/>
                <w:lang w:eastAsia="es-CO"/>
              </w:rPr>
              <w:t>Modelo de atención en servicios privativos de libertad - Asistencia Técnica Integral en la implementación del modelo de atención privativos y no privativos de libertad - Prácticas restaurativas - Acompañamiento Técnico al desarrollo de convenios - Lineamientos Técnicos para la Atención de Menores de 14 años en Restablecimiento en Administración de Justicia - desarrollar el tercer encuentro nacional de prácticas restaurativas - encuentro regional 2017 con jóvenes que adelantan su proceso de formación en la educación superior o programas de FTYDH.</w:t>
            </w:r>
          </w:p>
          <w:p w:rsidR="008819AE" w:rsidRPr="009352BF" w:rsidRDefault="008819AE" w:rsidP="008124A4">
            <w:pPr>
              <w:spacing w:after="0"/>
              <w:rPr>
                <w:rFonts w:cs="Arial"/>
                <w:b/>
                <w:sz w:val="18"/>
                <w:szCs w:val="18"/>
                <w:lang w:eastAsia="es-CO"/>
              </w:rPr>
            </w:pPr>
            <w:r w:rsidRPr="009352BF">
              <w:rPr>
                <w:rFonts w:cs="Arial"/>
                <w:sz w:val="18"/>
                <w:szCs w:val="18"/>
                <w:lang w:eastAsia="es-CO"/>
              </w:rPr>
              <w:t>Sistema de información misional SIM - convivencia escolar – filiación - conocimientos básicos y herramientas de tamizaje, evaluación y atención del consumo de sustancias psicoactivas - Situación de vida en calle -I prevención de embarazo subsecuente y la atención especializada para los bebes recién nacidos y los hijos e hijas de cuidado temporal - pilotaje de ruta de articulación interinstitucional construida entre ICBF y fiscalía en el marco del convenio 990 del 2016.</w:t>
            </w:r>
          </w:p>
        </w:tc>
        <w:tc>
          <w:tcPr>
            <w:tcW w:w="16" w:type="dxa"/>
            <w:vAlign w:val="center"/>
          </w:tcPr>
          <w:p w:rsidR="008819AE" w:rsidRPr="009352BF" w:rsidRDefault="008819AE" w:rsidP="00476EF8">
            <w:pPr>
              <w:spacing w:after="0"/>
              <w:rPr>
                <w:rFonts w:cs="Arial"/>
                <w:sz w:val="18"/>
                <w:szCs w:val="18"/>
              </w:rPr>
            </w:pPr>
          </w:p>
        </w:tc>
      </w:tr>
    </w:tbl>
    <w:p w:rsidR="008819AE" w:rsidRPr="008124A4" w:rsidRDefault="008819AE" w:rsidP="006B2D87">
      <w:pPr>
        <w:jc w:val="center"/>
        <w:rPr>
          <w:rFonts w:cs="Arial"/>
          <w:sz w:val="16"/>
          <w:szCs w:val="16"/>
        </w:rPr>
      </w:pPr>
      <w:r w:rsidRPr="008124A4">
        <w:rPr>
          <w:rFonts w:cs="Arial"/>
          <w:sz w:val="16"/>
          <w:szCs w:val="16"/>
        </w:rPr>
        <w:t>Fuente: Elaboración: Instituto Colombiano de Bienestar Familiar – Dirección de Protección</w:t>
      </w:r>
    </w:p>
    <w:p w:rsidR="008819AE" w:rsidRPr="007608C2" w:rsidRDefault="008819AE" w:rsidP="008819AE">
      <w:pPr>
        <w:jc w:val="both"/>
        <w:rPr>
          <w:rFonts w:cs="Arial"/>
        </w:rPr>
      </w:pPr>
      <w:r w:rsidRPr="007608C2">
        <w:rPr>
          <w:rFonts w:cs="Arial"/>
        </w:rPr>
        <w:t>En el marco del desarrollo de actividades misionales de la Dirección de Protección, se continuó con la implementación de un Plan de Asistencia Técnica Integral para cualificar a Defensores de Familia, equipos de defensorías, operadores, equipos de centros zonales y profesionales del ICBF, cuyos inicios se remontan desde febrero de 2015.</w:t>
      </w:r>
    </w:p>
    <w:p w:rsidR="008819AE" w:rsidRPr="007608C2" w:rsidRDefault="008819AE" w:rsidP="008819AE">
      <w:pPr>
        <w:jc w:val="both"/>
        <w:rPr>
          <w:rFonts w:cs="Arial"/>
          <w:b/>
        </w:rPr>
      </w:pPr>
      <w:r w:rsidRPr="007608C2">
        <w:rPr>
          <w:rFonts w:cs="Arial"/>
          <w:b/>
        </w:rPr>
        <w:t>Plan de supervisión</w:t>
      </w:r>
    </w:p>
    <w:p w:rsidR="008819AE" w:rsidRPr="007608C2" w:rsidRDefault="008819AE" w:rsidP="008819AE">
      <w:pPr>
        <w:jc w:val="both"/>
        <w:rPr>
          <w:rFonts w:cs="Arial"/>
        </w:rPr>
      </w:pPr>
      <w:r w:rsidRPr="007608C2">
        <w:rPr>
          <w:rFonts w:cs="Arial"/>
        </w:rPr>
        <w:t>Con el fin de dar efectivo cumplimiento a lo establecido en los lineamientos técnicos de los servicios de protección, se estableció una estrategia que consistió en el diseño de unos instrumentos para dar cuenta del avance en la implementación los lineamientos. Para tal efecto:</w:t>
      </w:r>
    </w:p>
    <w:p w:rsidR="008819AE" w:rsidRDefault="008819AE" w:rsidP="00A44A2B">
      <w:pPr>
        <w:pStyle w:val="Prrafodelista"/>
        <w:numPr>
          <w:ilvl w:val="0"/>
          <w:numId w:val="110"/>
        </w:numPr>
        <w:spacing w:after="0"/>
        <w:jc w:val="both"/>
        <w:rPr>
          <w:rFonts w:cs="Arial"/>
        </w:rPr>
      </w:pPr>
      <w:r w:rsidRPr="007608C2">
        <w:rPr>
          <w:rFonts w:cs="Arial"/>
        </w:rPr>
        <w:t xml:space="preserve">En 2017 se mantiene la contratación 202 profesionales de los equipos de apoyo a la supervisión tanto a nivel nacional como regional, incluyendo los profesionales que generan asistencia técnica a centros zonales y entidades contratistas a partir de los resultados del seguimiento a la implementación de los lineamientos de Protección </w:t>
      </w:r>
      <w:r w:rsidR="00F85E94">
        <w:rPr>
          <w:rFonts w:cs="Arial"/>
        </w:rPr>
        <w:t>y del ejercicio de supervisión.</w:t>
      </w:r>
    </w:p>
    <w:p w:rsidR="00F85E94" w:rsidRPr="007608C2" w:rsidRDefault="00F85E94" w:rsidP="00F85E94">
      <w:pPr>
        <w:pStyle w:val="Prrafodelista"/>
        <w:spacing w:after="0"/>
        <w:ind w:left="360"/>
        <w:jc w:val="both"/>
        <w:rPr>
          <w:rFonts w:cs="Arial"/>
        </w:rPr>
      </w:pPr>
    </w:p>
    <w:p w:rsidR="008819AE" w:rsidRDefault="008819AE" w:rsidP="00A44A2B">
      <w:pPr>
        <w:pStyle w:val="Prrafodelista"/>
        <w:numPr>
          <w:ilvl w:val="0"/>
          <w:numId w:val="110"/>
        </w:numPr>
        <w:spacing w:after="0"/>
        <w:ind w:left="714" w:hanging="357"/>
        <w:jc w:val="both"/>
        <w:rPr>
          <w:rFonts w:cs="Arial"/>
        </w:rPr>
      </w:pPr>
      <w:r w:rsidRPr="007608C2">
        <w:rPr>
          <w:rFonts w:cs="Arial"/>
        </w:rPr>
        <w:lastRenderedPageBreak/>
        <w:t xml:space="preserve">Se realizó ajuste a todos los documentos que orientan el seguimiento a la implementación de lineamientos (1 guía, 26 instrumentos, 26 registros de observaciones, 5 formatos), considerando las modificaciones efectuadas en </w:t>
      </w:r>
      <w:r w:rsidR="00665D6A">
        <w:rPr>
          <w:rFonts w:cs="Arial"/>
        </w:rPr>
        <w:t>los lineamientos de Protección.</w:t>
      </w:r>
    </w:p>
    <w:p w:rsidR="00665D6A" w:rsidRPr="007608C2" w:rsidRDefault="00665D6A" w:rsidP="00665D6A">
      <w:pPr>
        <w:pStyle w:val="Prrafodelista"/>
        <w:spacing w:after="0"/>
        <w:ind w:left="714"/>
        <w:jc w:val="both"/>
        <w:rPr>
          <w:rFonts w:cs="Arial"/>
        </w:rPr>
      </w:pPr>
    </w:p>
    <w:p w:rsidR="008819AE" w:rsidRPr="007608C2" w:rsidRDefault="008819AE" w:rsidP="00A44A2B">
      <w:pPr>
        <w:pStyle w:val="Prrafodelista"/>
        <w:numPr>
          <w:ilvl w:val="0"/>
          <w:numId w:val="110"/>
        </w:numPr>
        <w:spacing w:after="0"/>
        <w:ind w:left="714" w:hanging="357"/>
        <w:jc w:val="both"/>
        <w:rPr>
          <w:rFonts w:cs="Arial"/>
        </w:rPr>
      </w:pPr>
      <w:r w:rsidRPr="007608C2">
        <w:rPr>
          <w:rFonts w:cs="Arial"/>
        </w:rPr>
        <w:t xml:space="preserve">Se adelantaron 6 jornadas de socialización de estos documentos en las que participaron 442 profesionales, entre ellos, coordinadores de grupo asistencia técnica o Protección, supervisores de contratos y equipos de apoyo, incluidos los profesionales de asistencia técnica de 32 regionales del ICBF. </w:t>
      </w:r>
    </w:p>
    <w:p w:rsidR="008819AE" w:rsidRPr="007608C2" w:rsidRDefault="008819AE" w:rsidP="008819AE">
      <w:pPr>
        <w:spacing w:before="240"/>
        <w:jc w:val="both"/>
        <w:rPr>
          <w:rFonts w:cs="Arial"/>
        </w:rPr>
      </w:pPr>
      <w:r w:rsidRPr="007608C2">
        <w:rPr>
          <w:rFonts w:cs="Arial"/>
        </w:rPr>
        <w:t>A 31 de diciembre de 2017, se efectuaron 4.469 visitas de seguimiento a la implementación de lineamientos así:</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top w:w="15" w:type="dxa"/>
          <w:left w:w="70" w:type="dxa"/>
          <w:bottom w:w="15" w:type="dxa"/>
          <w:right w:w="70" w:type="dxa"/>
        </w:tblCellMar>
        <w:tblLook w:val="04A0" w:firstRow="1" w:lastRow="0" w:firstColumn="1" w:lastColumn="0" w:noHBand="0" w:noVBand="1"/>
      </w:tblPr>
      <w:tblGrid>
        <w:gridCol w:w="1039"/>
        <w:gridCol w:w="816"/>
        <w:gridCol w:w="7540"/>
      </w:tblGrid>
      <w:tr w:rsidR="008819AE" w:rsidRPr="00665D6A" w:rsidTr="00665D6A">
        <w:trPr>
          <w:trHeight w:val="600"/>
          <w:tblHeader/>
          <w:jc w:val="center"/>
        </w:trPr>
        <w:tc>
          <w:tcPr>
            <w:tcW w:w="0" w:type="auto"/>
            <w:shd w:val="clear" w:color="auto" w:fill="76922E"/>
            <w:vAlign w:val="center"/>
            <w:hideMark/>
          </w:tcPr>
          <w:p w:rsidR="008819AE" w:rsidRPr="00665D6A" w:rsidRDefault="008819AE" w:rsidP="00476EF8">
            <w:pPr>
              <w:spacing w:after="0" w:line="240" w:lineRule="auto"/>
              <w:jc w:val="center"/>
              <w:rPr>
                <w:rFonts w:eastAsia="Times New Roman" w:cs="Arial"/>
                <w:b/>
                <w:bCs/>
                <w:color w:val="FFFFFF" w:themeColor="background1"/>
                <w:sz w:val="18"/>
                <w:szCs w:val="18"/>
                <w:lang w:val="es-CO" w:eastAsia="es-CO"/>
              </w:rPr>
            </w:pPr>
            <w:r w:rsidRPr="00665D6A">
              <w:rPr>
                <w:rFonts w:eastAsia="Times New Roman" w:cs="Arial"/>
                <w:b/>
                <w:bCs/>
                <w:color w:val="FFFFFF" w:themeColor="background1"/>
                <w:sz w:val="18"/>
                <w:szCs w:val="18"/>
                <w:lang w:val="es-CO" w:eastAsia="es-CO"/>
              </w:rPr>
              <w:t>Periodo de tiempo</w:t>
            </w:r>
          </w:p>
        </w:tc>
        <w:tc>
          <w:tcPr>
            <w:tcW w:w="0" w:type="auto"/>
            <w:shd w:val="clear" w:color="auto" w:fill="76922E"/>
            <w:vAlign w:val="center"/>
            <w:hideMark/>
          </w:tcPr>
          <w:p w:rsidR="008819AE" w:rsidRPr="00665D6A" w:rsidRDefault="008819AE" w:rsidP="00476EF8">
            <w:pPr>
              <w:spacing w:after="0" w:line="240" w:lineRule="auto"/>
              <w:jc w:val="center"/>
              <w:rPr>
                <w:rFonts w:eastAsia="Times New Roman" w:cs="Arial"/>
                <w:b/>
                <w:bCs/>
                <w:color w:val="FFFFFF" w:themeColor="background1"/>
                <w:sz w:val="18"/>
                <w:szCs w:val="18"/>
                <w:lang w:val="es-CO" w:eastAsia="es-CO"/>
              </w:rPr>
            </w:pPr>
            <w:r w:rsidRPr="00665D6A">
              <w:rPr>
                <w:rFonts w:eastAsia="Times New Roman" w:cs="Arial"/>
                <w:b/>
                <w:bCs/>
                <w:color w:val="FFFFFF" w:themeColor="background1"/>
                <w:sz w:val="18"/>
                <w:szCs w:val="18"/>
                <w:lang w:val="es-CO" w:eastAsia="es-CO"/>
              </w:rPr>
              <w:t>No. de visitas</w:t>
            </w:r>
          </w:p>
        </w:tc>
        <w:tc>
          <w:tcPr>
            <w:tcW w:w="0" w:type="auto"/>
            <w:shd w:val="clear" w:color="auto" w:fill="76922E"/>
            <w:vAlign w:val="center"/>
            <w:hideMark/>
          </w:tcPr>
          <w:p w:rsidR="008819AE" w:rsidRPr="00665D6A" w:rsidRDefault="008819AE" w:rsidP="00476EF8">
            <w:pPr>
              <w:spacing w:after="0" w:line="240" w:lineRule="auto"/>
              <w:jc w:val="center"/>
              <w:rPr>
                <w:rFonts w:eastAsia="Times New Roman" w:cs="Arial"/>
                <w:b/>
                <w:bCs/>
                <w:color w:val="FFFFFF" w:themeColor="background1"/>
                <w:sz w:val="18"/>
                <w:szCs w:val="18"/>
                <w:lang w:val="es-CO" w:eastAsia="es-CO"/>
              </w:rPr>
            </w:pPr>
            <w:r w:rsidRPr="00665D6A">
              <w:rPr>
                <w:rFonts w:eastAsia="Times New Roman" w:cs="Arial"/>
                <w:b/>
                <w:bCs/>
                <w:color w:val="FFFFFF" w:themeColor="background1"/>
                <w:sz w:val="18"/>
                <w:szCs w:val="18"/>
                <w:lang w:val="es-CO" w:eastAsia="es-CO"/>
              </w:rPr>
              <w:t>Distribución</w:t>
            </w:r>
          </w:p>
        </w:tc>
      </w:tr>
      <w:tr w:rsidR="008819AE" w:rsidRPr="00665D6A" w:rsidTr="00665D6A">
        <w:trPr>
          <w:trHeight w:val="1046"/>
          <w:jc w:val="center"/>
        </w:trPr>
        <w:tc>
          <w:tcPr>
            <w:tcW w:w="0" w:type="auto"/>
            <w:vAlign w:val="center"/>
            <w:hideMark/>
          </w:tcPr>
          <w:p w:rsidR="008819AE" w:rsidRPr="00665D6A" w:rsidRDefault="008819AE" w:rsidP="00476EF8">
            <w:pPr>
              <w:spacing w:after="0" w:line="240" w:lineRule="auto"/>
              <w:jc w:val="center"/>
              <w:rPr>
                <w:rFonts w:eastAsia="Times New Roman" w:cs="Arial"/>
                <w:color w:val="000000"/>
                <w:sz w:val="18"/>
                <w:szCs w:val="18"/>
                <w:lang w:val="es-CO" w:eastAsia="es-CO"/>
              </w:rPr>
            </w:pPr>
            <w:r w:rsidRPr="00665D6A">
              <w:rPr>
                <w:rFonts w:eastAsia="Times New Roman" w:cs="Arial"/>
                <w:color w:val="000000"/>
                <w:sz w:val="18"/>
                <w:szCs w:val="18"/>
                <w:lang w:val="es-CO" w:eastAsia="es-CO"/>
              </w:rPr>
              <w:t>Primer semestre</w:t>
            </w:r>
          </w:p>
        </w:tc>
        <w:tc>
          <w:tcPr>
            <w:tcW w:w="0" w:type="auto"/>
            <w:noWrap/>
            <w:vAlign w:val="center"/>
            <w:hideMark/>
          </w:tcPr>
          <w:p w:rsidR="008819AE" w:rsidRPr="00665D6A" w:rsidRDefault="008819AE" w:rsidP="00476EF8">
            <w:pPr>
              <w:spacing w:after="0" w:line="240" w:lineRule="auto"/>
              <w:jc w:val="center"/>
              <w:rPr>
                <w:rFonts w:eastAsia="Times New Roman" w:cs="Arial"/>
                <w:color w:val="000000"/>
                <w:sz w:val="18"/>
                <w:szCs w:val="18"/>
                <w:lang w:val="es-CO" w:eastAsia="es-CO"/>
              </w:rPr>
            </w:pPr>
            <w:r w:rsidRPr="00665D6A">
              <w:rPr>
                <w:rFonts w:eastAsia="Times New Roman" w:cs="Arial"/>
                <w:color w:val="000000"/>
                <w:sz w:val="18"/>
                <w:szCs w:val="18"/>
                <w:lang w:val="es-CO" w:eastAsia="es-CO"/>
              </w:rPr>
              <w:t xml:space="preserve"> 2.237 </w:t>
            </w:r>
          </w:p>
        </w:tc>
        <w:tc>
          <w:tcPr>
            <w:tcW w:w="0" w:type="auto"/>
            <w:vAlign w:val="center"/>
            <w:hideMark/>
          </w:tcPr>
          <w:p w:rsidR="008819AE" w:rsidRPr="00665D6A" w:rsidRDefault="008819AE" w:rsidP="00A44A2B">
            <w:pPr>
              <w:pStyle w:val="Prrafodelista"/>
              <w:numPr>
                <w:ilvl w:val="0"/>
                <w:numId w:val="112"/>
              </w:numPr>
              <w:spacing w:after="0" w:line="240" w:lineRule="auto"/>
              <w:ind w:left="381"/>
              <w:rPr>
                <w:rFonts w:eastAsia="Times New Roman" w:cs="Arial"/>
                <w:color w:val="000000"/>
                <w:sz w:val="18"/>
                <w:szCs w:val="18"/>
                <w:lang w:val="es-CO" w:eastAsia="es-CO"/>
              </w:rPr>
            </w:pPr>
            <w:r w:rsidRPr="00665D6A">
              <w:rPr>
                <w:rFonts w:eastAsia="Times New Roman" w:cs="Arial"/>
                <w:color w:val="000000"/>
                <w:sz w:val="18"/>
                <w:szCs w:val="18"/>
                <w:lang w:val="es-CO" w:eastAsia="es-CO"/>
              </w:rPr>
              <w:t xml:space="preserve">961 visitas a entidades contratistas alcanzando un 96% de cumplimiento según la meta que correspondía a 1.002 visitas. De estas: 653 visitas corresponden a sedes de operadores de restablecimiento de derechos, alcanzando un 95% de cumplimiento según la meta que correspondía a 687 visitas; y, 308 visitas corresponden a sedes de operadores del Sistema SRPA, alcanzando un 98% de cumplimiento según la meta que correspondía a 315 visitas. </w:t>
            </w:r>
          </w:p>
          <w:p w:rsidR="008819AE" w:rsidRPr="00665D6A" w:rsidRDefault="008819AE" w:rsidP="00A44A2B">
            <w:pPr>
              <w:pStyle w:val="Prrafodelista"/>
              <w:numPr>
                <w:ilvl w:val="0"/>
                <w:numId w:val="112"/>
              </w:numPr>
              <w:spacing w:after="0" w:line="240" w:lineRule="auto"/>
              <w:ind w:left="381"/>
              <w:rPr>
                <w:rFonts w:eastAsia="Times New Roman" w:cs="Arial"/>
                <w:color w:val="000000"/>
                <w:sz w:val="18"/>
                <w:szCs w:val="18"/>
                <w:lang w:val="es-CO" w:eastAsia="es-CO"/>
              </w:rPr>
            </w:pPr>
            <w:r w:rsidRPr="00665D6A">
              <w:rPr>
                <w:rFonts w:eastAsia="Times New Roman" w:cs="Arial"/>
                <w:color w:val="000000"/>
                <w:sz w:val="18"/>
                <w:szCs w:val="18"/>
                <w:lang w:val="es-CO" w:eastAsia="es-CO"/>
              </w:rPr>
              <w:t>1.255 visitas a hogares sustitutos</w:t>
            </w:r>
          </w:p>
          <w:p w:rsidR="008819AE" w:rsidRPr="00665D6A" w:rsidRDefault="008819AE" w:rsidP="00A44A2B">
            <w:pPr>
              <w:pStyle w:val="Prrafodelista"/>
              <w:numPr>
                <w:ilvl w:val="0"/>
                <w:numId w:val="112"/>
              </w:numPr>
              <w:spacing w:after="0" w:line="240" w:lineRule="auto"/>
              <w:ind w:left="381"/>
              <w:rPr>
                <w:rFonts w:eastAsia="Times New Roman" w:cs="Arial"/>
                <w:color w:val="000000"/>
                <w:sz w:val="18"/>
                <w:szCs w:val="18"/>
                <w:lang w:val="es-CO" w:eastAsia="es-CO"/>
              </w:rPr>
            </w:pPr>
            <w:r w:rsidRPr="00665D6A">
              <w:rPr>
                <w:rFonts w:eastAsia="Times New Roman" w:cs="Arial"/>
                <w:color w:val="000000"/>
                <w:sz w:val="18"/>
                <w:szCs w:val="18"/>
                <w:lang w:val="es-CO" w:eastAsia="es-CO"/>
              </w:rPr>
              <w:t>21 visit</w:t>
            </w:r>
            <w:r w:rsidR="00665D6A">
              <w:rPr>
                <w:rFonts w:eastAsia="Times New Roman" w:cs="Arial"/>
                <w:color w:val="000000"/>
                <w:sz w:val="18"/>
                <w:szCs w:val="18"/>
                <w:lang w:val="es-CO" w:eastAsia="es-CO"/>
              </w:rPr>
              <w:t>as a hogares sustitutos tutores</w:t>
            </w:r>
          </w:p>
        </w:tc>
      </w:tr>
      <w:tr w:rsidR="008819AE" w:rsidRPr="00665D6A" w:rsidTr="00665D6A">
        <w:trPr>
          <w:trHeight w:val="326"/>
          <w:jc w:val="center"/>
        </w:trPr>
        <w:tc>
          <w:tcPr>
            <w:tcW w:w="0" w:type="auto"/>
            <w:vAlign w:val="center"/>
            <w:hideMark/>
          </w:tcPr>
          <w:p w:rsidR="008819AE" w:rsidRPr="00665D6A" w:rsidRDefault="008819AE" w:rsidP="00476EF8">
            <w:pPr>
              <w:spacing w:after="0" w:line="240" w:lineRule="auto"/>
              <w:jc w:val="center"/>
              <w:rPr>
                <w:rFonts w:eastAsia="Times New Roman" w:cs="Arial"/>
                <w:color w:val="000000"/>
                <w:sz w:val="18"/>
                <w:szCs w:val="18"/>
                <w:lang w:val="es-CO" w:eastAsia="es-CO"/>
              </w:rPr>
            </w:pPr>
            <w:r w:rsidRPr="00665D6A">
              <w:rPr>
                <w:rFonts w:eastAsia="Times New Roman" w:cs="Arial"/>
                <w:color w:val="000000"/>
                <w:sz w:val="18"/>
                <w:szCs w:val="18"/>
                <w:lang w:val="es-CO" w:eastAsia="es-CO"/>
              </w:rPr>
              <w:t>Segundo semestre</w:t>
            </w:r>
          </w:p>
        </w:tc>
        <w:tc>
          <w:tcPr>
            <w:tcW w:w="0" w:type="auto"/>
            <w:noWrap/>
            <w:vAlign w:val="center"/>
            <w:hideMark/>
          </w:tcPr>
          <w:p w:rsidR="008819AE" w:rsidRPr="00665D6A" w:rsidRDefault="008819AE" w:rsidP="00476EF8">
            <w:pPr>
              <w:spacing w:after="0" w:line="240" w:lineRule="auto"/>
              <w:jc w:val="center"/>
              <w:rPr>
                <w:rFonts w:eastAsia="Times New Roman" w:cs="Arial"/>
                <w:color w:val="000000"/>
                <w:sz w:val="18"/>
                <w:szCs w:val="18"/>
                <w:lang w:val="es-CO" w:eastAsia="es-CO"/>
              </w:rPr>
            </w:pPr>
            <w:r w:rsidRPr="00665D6A">
              <w:rPr>
                <w:rFonts w:eastAsia="Times New Roman" w:cs="Arial"/>
                <w:color w:val="000000"/>
                <w:sz w:val="18"/>
                <w:szCs w:val="18"/>
                <w:lang w:val="es-CO" w:eastAsia="es-CO"/>
              </w:rPr>
              <w:t xml:space="preserve"> 2.232 </w:t>
            </w:r>
          </w:p>
        </w:tc>
        <w:tc>
          <w:tcPr>
            <w:tcW w:w="0" w:type="auto"/>
            <w:vAlign w:val="center"/>
            <w:hideMark/>
          </w:tcPr>
          <w:p w:rsidR="008819AE" w:rsidRPr="00665D6A" w:rsidRDefault="008819AE" w:rsidP="00A44A2B">
            <w:pPr>
              <w:pStyle w:val="Prrafodelista"/>
              <w:numPr>
                <w:ilvl w:val="0"/>
                <w:numId w:val="111"/>
              </w:numPr>
              <w:spacing w:after="0" w:line="240" w:lineRule="auto"/>
              <w:ind w:left="381"/>
              <w:jc w:val="both"/>
              <w:rPr>
                <w:rFonts w:eastAsia="Times New Roman" w:cs="Arial"/>
                <w:color w:val="000000"/>
                <w:sz w:val="18"/>
                <w:szCs w:val="18"/>
                <w:lang w:val="es-CO" w:eastAsia="es-CO"/>
              </w:rPr>
            </w:pPr>
            <w:r w:rsidRPr="00665D6A">
              <w:rPr>
                <w:rFonts w:eastAsia="Times New Roman" w:cs="Arial"/>
                <w:color w:val="000000"/>
                <w:sz w:val="18"/>
                <w:szCs w:val="18"/>
                <w:lang w:val="es-CO" w:eastAsia="es-CO"/>
              </w:rPr>
              <w:t xml:space="preserve">963 visitas a entidades contratistas alcanzando un 94% de cumplimiento según la meta que correspondía a 1.029 visitas. De estas: 665 visitas corresponden a sedes de operadores de restablecimiento de derechos, alcanzando un 92% de cumplimiento según la meta que correspondía a 721 visitas; y, 298 visitas corresponden a sedes de operadores del Sistema SRPA, alcanzando un 97% de cumplimiento según la meta que correspondía a 308 visitas. </w:t>
            </w:r>
          </w:p>
          <w:p w:rsidR="008819AE" w:rsidRPr="00665D6A" w:rsidRDefault="008819AE" w:rsidP="00A44A2B">
            <w:pPr>
              <w:pStyle w:val="Prrafodelista"/>
              <w:numPr>
                <w:ilvl w:val="0"/>
                <w:numId w:val="111"/>
              </w:numPr>
              <w:spacing w:after="0" w:line="240" w:lineRule="auto"/>
              <w:ind w:left="381"/>
              <w:jc w:val="both"/>
              <w:rPr>
                <w:rFonts w:eastAsia="Times New Roman" w:cs="Arial"/>
                <w:color w:val="000000"/>
                <w:sz w:val="18"/>
                <w:szCs w:val="18"/>
                <w:lang w:val="es-CO" w:eastAsia="es-CO"/>
              </w:rPr>
            </w:pPr>
            <w:r w:rsidRPr="00665D6A">
              <w:rPr>
                <w:rFonts w:eastAsia="Times New Roman" w:cs="Arial"/>
                <w:color w:val="000000"/>
                <w:sz w:val="18"/>
                <w:szCs w:val="18"/>
                <w:lang w:val="es-CO" w:eastAsia="es-CO"/>
              </w:rPr>
              <w:t xml:space="preserve">1.247 visitas a hogares sustitutos, alcanzando un 24% de cumplimiento, superando así la meta de visitas que correspondía al 20% de hogares sustitutos en el país (5.127 unidades de servicio). </w:t>
            </w:r>
          </w:p>
          <w:p w:rsidR="008819AE" w:rsidRPr="00665D6A" w:rsidRDefault="008819AE" w:rsidP="00A44A2B">
            <w:pPr>
              <w:pStyle w:val="Prrafodelista"/>
              <w:numPr>
                <w:ilvl w:val="0"/>
                <w:numId w:val="111"/>
              </w:numPr>
              <w:spacing w:after="0" w:line="240" w:lineRule="auto"/>
              <w:ind w:left="381"/>
              <w:jc w:val="both"/>
              <w:rPr>
                <w:rFonts w:eastAsia="Times New Roman" w:cs="Arial"/>
                <w:color w:val="000000"/>
                <w:sz w:val="18"/>
                <w:szCs w:val="18"/>
                <w:lang w:val="es-CO" w:eastAsia="es-CO"/>
              </w:rPr>
            </w:pPr>
            <w:r w:rsidRPr="00665D6A">
              <w:rPr>
                <w:rFonts w:eastAsia="Times New Roman" w:cs="Arial"/>
                <w:color w:val="000000"/>
                <w:sz w:val="18"/>
                <w:szCs w:val="18"/>
                <w:lang w:val="es-CO" w:eastAsia="es-CO"/>
              </w:rPr>
              <w:t xml:space="preserve">22 visitas a hogares sustitutos tutores alcanzando un 29% de cumplimiento, superando así la meta de visitas que correspondía al 20% de hogares sustitutos tutores en el </w:t>
            </w:r>
            <w:r w:rsidR="00665D6A">
              <w:rPr>
                <w:rFonts w:eastAsia="Times New Roman" w:cs="Arial"/>
                <w:color w:val="000000"/>
                <w:sz w:val="18"/>
                <w:szCs w:val="18"/>
                <w:lang w:val="es-CO" w:eastAsia="es-CO"/>
              </w:rPr>
              <w:t>país (77 unidades de servicio).</w:t>
            </w:r>
          </w:p>
        </w:tc>
      </w:tr>
    </w:tbl>
    <w:p w:rsidR="008819AE" w:rsidRPr="007608C2" w:rsidRDefault="008819AE" w:rsidP="008819AE">
      <w:pPr>
        <w:spacing w:after="120"/>
        <w:jc w:val="both"/>
        <w:rPr>
          <w:rFonts w:cs="Arial"/>
        </w:rPr>
      </w:pPr>
    </w:p>
    <w:p w:rsidR="008819AE" w:rsidRPr="007608C2" w:rsidRDefault="008819AE" w:rsidP="00A44A2B">
      <w:pPr>
        <w:numPr>
          <w:ilvl w:val="0"/>
          <w:numId w:val="63"/>
        </w:numPr>
        <w:spacing w:after="120"/>
        <w:jc w:val="both"/>
        <w:rPr>
          <w:rFonts w:cs="Arial"/>
        </w:rPr>
      </w:pPr>
      <w:r w:rsidRPr="007608C2">
        <w:rPr>
          <w:rFonts w:cs="Arial"/>
        </w:rPr>
        <w:t xml:space="preserve">Como cierre del primer semestre, se efectuó una jornada de balance llevada a cabo el 19 de julio, en la cual participaron 99 profesionales de 32 regionales. En este evento se presentaron resultados y se orientaron las acciones a desarrollar para el seguimiento en el segundo semestre del año. El balance del II semestre del año, se programa para el mes de febrero del año 2018. </w:t>
      </w:r>
    </w:p>
    <w:p w:rsidR="008819AE" w:rsidRPr="007608C2" w:rsidRDefault="008819AE" w:rsidP="00A44A2B">
      <w:pPr>
        <w:numPr>
          <w:ilvl w:val="0"/>
          <w:numId w:val="63"/>
        </w:numPr>
        <w:spacing w:after="120"/>
        <w:jc w:val="both"/>
        <w:rPr>
          <w:rFonts w:cs="Arial"/>
        </w:rPr>
      </w:pPr>
      <w:r w:rsidRPr="007608C2">
        <w:rPr>
          <w:rFonts w:cs="Arial"/>
        </w:rPr>
        <w:t>En el año 2017 se efectuaron 1.795 acciones o eventos de asistencia técnica a partir de los resultados de las visitas de seguimiento a la implementación de lineamientos de Protección; los cuales fueron reportados por 31 regionales (786 acciones en el primer semestre y 1.009 acciones en el segundo semestre).</w:t>
      </w:r>
    </w:p>
    <w:p w:rsidR="001C39BB" w:rsidRDefault="001C39BB" w:rsidP="008819AE">
      <w:pPr>
        <w:jc w:val="both"/>
        <w:rPr>
          <w:rFonts w:cs="Arial"/>
          <w:b/>
        </w:rPr>
      </w:pPr>
    </w:p>
    <w:p w:rsidR="008819AE" w:rsidRPr="007608C2" w:rsidRDefault="008819AE" w:rsidP="008819AE">
      <w:pPr>
        <w:jc w:val="both"/>
        <w:rPr>
          <w:rFonts w:cs="Arial"/>
          <w:b/>
        </w:rPr>
      </w:pPr>
      <w:r w:rsidRPr="007608C2">
        <w:rPr>
          <w:rFonts w:cs="Arial"/>
          <w:b/>
        </w:rPr>
        <w:lastRenderedPageBreak/>
        <w:t>Acciones para promover el derecho a la protección de niños, niñas y adolescentes</w:t>
      </w:r>
    </w:p>
    <w:p w:rsidR="008819AE" w:rsidRPr="007608C2" w:rsidRDefault="008819AE" w:rsidP="008819AE">
      <w:pPr>
        <w:jc w:val="both"/>
        <w:rPr>
          <w:rFonts w:cs="Arial"/>
        </w:rPr>
      </w:pPr>
      <w:r w:rsidRPr="007608C2">
        <w:rPr>
          <w:rFonts w:cs="Arial"/>
        </w:rPr>
        <w:t>Dando cumplimiento al desarrollo de acciones para la restauración de la dignidad e integridad de los niños, niñas, adolescentes como sujetos de derechos, y de su capacidad para disfrutar efectivamente de sus derechos que le han sido vulnerados dentro del contexto de la protección integral, la Dirección de Protección durante la vigencia 2017 ha desarrolló las siguientes acciones:</w:t>
      </w:r>
    </w:p>
    <w:p w:rsidR="008819AE" w:rsidRPr="007608C2" w:rsidRDefault="008819AE" w:rsidP="008819AE">
      <w:pPr>
        <w:jc w:val="both"/>
        <w:rPr>
          <w:rFonts w:cs="Arial"/>
          <w:b/>
        </w:rPr>
      </w:pPr>
      <w:r w:rsidRPr="007608C2">
        <w:rPr>
          <w:rFonts w:cs="Arial"/>
          <w:b/>
        </w:rPr>
        <w:t xml:space="preserve">Derecho a la identidad – elemento </w:t>
      </w:r>
      <w:r w:rsidRPr="007608C2">
        <w:rPr>
          <w:rFonts w:cs="Arial"/>
          <w:b/>
          <w:i/>
        </w:rPr>
        <w:t>Filiación</w:t>
      </w:r>
      <w:r w:rsidRPr="007608C2">
        <w:rPr>
          <w:rFonts w:cs="Arial"/>
          <w:b/>
        </w:rPr>
        <w:t xml:space="preserve"> para procesos de investigación de paternidad o maternidad: </w:t>
      </w:r>
    </w:p>
    <w:p w:rsidR="008819AE" w:rsidRDefault="008819AE" w:rsidP="00A44A2B">
      <w:pPr>
        <w:pStyle w:val="Prrafodelista"/>
        <w:numPr>
          <w:ilvl w:val="0"/>
          <w:numId w:val="122"/>
        </w:numPr>
        <w:spacing w:after="0"/>
        <w:jc w:val="both"/>
        <w:rPr>
          <w:rFonts w:cs="Arial"/>
        </w:rPr>
      </w:pPr>
      <w:r w:rsidRPr="007608C2">
        <w:rPr>
          <w:rFonts w:cs="Arial"/>
        </w:rPr>
        <w:t>Se atendieron 5.195 casos, con 16.080 muestras tomadas y 5.204 dictámenes emitidos. Esto se realizó en el marco del Contrato Interadministrativo N° 927 de 2017 con el Instituto Nacional de Medicina Legal y Ciencias Forenses, cuyo el objeto es la “Prestación de servicios de análisis y toma de muestra de sangre, saliva y restos óseos, así como el de emisión de dictámenes en los procesos de investigación biológica de paternidad o mat</w:t>
      </w:r>
      <w:r w:rsidR="003907FF">
        <w:rPr>
          <w:rFonts w:cs="Arial"/>
        </w:rPr>
        <w:t>ernidad con marcadores de ADN”.</w:t>
      </w:r>
    </w:p>
    <w:p w:rsidR="003907FF" w:rsidRPr="007608C2" w:rsidRDefault="003907FF" w:rsidP="003907FF">
      <w:pPr>
        <w:pStyle w:val="Prrafodelista"/>
        <w:spacing w:after="0"/>
        <w:ind w:left="360"/>
        <w:jc w:val="both"/>
        <w:rPr>
          <w:rFonts w:cs="Arial"/>
        </w:rPr>
      </w:pPr>
    </w:p>
    <w:p w:rsidR="008819AE" w:rsidRDefault="008819AE" w:rsidP="00A44A2B">
      <w:pPr>
        <w:pStyle w:val="Prrafodelista"/>
        <w:numPr>
          <w:ilvl w:val="0"/>
          <w:numId w:val="122"/>
        </w:numPr>
        <w:spacing w:after="0"/>
        <w:jc w:val="both"/>
        <w:rPr>
          <w:rFonts w:cs="Arial"/>
        </w:rPr>
      </w:pPr>
      <w:r w:rsidRPr="007608C2">
        <w:rPr>
          <w:rFonts w:cs="Arial"/>
        </w:rPr>
        <w:t>Se realizó seguimiento a 7.982 casos registrados en el SIM – Módulo Pruebas Genéticas con estado de Dictamen Enviado, y casos reportados de niños, niñas y adolescen</w:t>
      </w:r>
      <w:r w:rsidR="003907FF">
        <w:rPr>
          <w:rFonts w:cs="Arial"/>
        </w:rPr>
        <w:t>tes reconocidos posteriormente.</w:t>
      </w:r>
    </w:p>
    <w:p w:rsidR="003907FF" w:rsidRPr="003907FF" w:rsidRDefault="003907FF" w:rsidP="003907FF">
      <w:pPr>
        <w:spacing w:after="0"/>
        <w:jc w:val="both"/>
        <w:rPr>
          <w:rFonts w:cs="Arial"/>
        </w:rPr>
      </w:pPr>
    </w:p>
    <w:p w:rsidR="008819AE" w:rsidRPr="007608C2" w:rsidRDefault="008819AE" w:rsidP="00A44A2B">
      <w:pPr>
        <w:pStyle w:val="Prrafodelista"/>
        <w:numPr>
          <w:ilvl w:val="0"/>
          <w:numId w:val="122"/>
        </w:numPr>
        <w:spacing w:after="0"/>
        <w:jc w:val="both"/>
        <w:rPr>
          <w:rFonts w:cs="Arial"/>
        </w:rPr>
      </w:pPr>
      <w:r w:rsidRPr="007608C2">
        <w:rPr>
          <w:rFonts w:cs="Arial"/>
        </w:rPr>
        <w:t>Se verificó el restablecimiento del derecho a la identidad en su elemento Filiación vulnerado a los niños, niñas y adolescentes involucrados. En un total de 5.774 casos se actualizó la información pasando a estado de “solicitud resuelta”, y se oficiaron 2.208 casos a las autoridades para que informen el estado actual de los procesos en los que no se pudo establecer el restablecimiento del derecho vulnerado.</w:t>
      </w:r>
    </w:p>
    <w:p w:rsidR="008819AE" w:rsidRPr="007608C2" w:rsidRDefault="008819AE" w:rsidP="008819AE">
      <w:pPr>
        <w:spacing w:before="240"/>
        <w:jc w:val="both"/>
        <w:rPr>
          <w:rFonts w:cs="Arial"/>
        </w:rPr>
      </w:pPr>
      <w:r w:rsidRPr="007608C2">
        <w:rPr>
          <w:rFonts w:cs="Arial"/>
        </w:rPr>
        <w:t xml:space="preserve">Dentro de la gestión de Actas Complementarias se desarrollaron las siguientes acciones: </w:t>
      </w:r>
    </w:p>
    <w:p w:rsidR="008819AE" w:rsidRDefault="008819AE" w:rsidP="00A44A2B">
      <w:pPr>
        <w:pStyle w:val="Prrafodelista"/>
        <w:numPr>
          <w:ilvl w:val="0"/>
          <w:numId w:val="123"/>
        </w:numPr>
        <w:spacing w:after="0"/>
        <w:jc w:val="both"/>
        <w:rPr>
          <w:rFonts w:cs="Arial"/>
        </w:rPr>
      </w:pPr>
      <w:r w:rsidRPr="007608C2">
        <w:rPr>
          <w:rFonts w:cs="Arial"/>
        </w:rPr>
        <w:t xml:space="preserve">Se construyó y remitió el "Protocolo de Acta de visita a notarias para registro de </w:t>
      </w:r>
      <w:r w:rsidR="003907FF">
        <w:rPr>
          <w:rFonts w:cs="Arial"/>
        </w:rPr>
        <w:t>actas complementarias”.</w:t>
      </w:r>
    </w:p>
    <w:p w:rsidR="003907FF" w:rsidRPr="007608C2" w:rsidRDefault="003907FF" w:rsidP="003907FF">
      <w:pPr>
        <w:pStyle w:val="Prrafodelista"/>
        <w:spacing w:after="0"/>
        <w:ind w:left="360"/>
        <w:jc w:val="both"/>
        <w:rPr>
          <w:rFonts w:cs="Arial"/>
        </w:rPr>
      </w:pPr>
    </w:p>
    <w:p w:rsidR="003907FF" w:rsidRPr="003907FF" w:rsidRDefault="008819AE" w:rsidP="00A44A2B">
      <w:pPr>
        <w:pStyle w:val="Prrafodelista"/>
        <w:numPr>
          <w:ilvl w:val="0"/>
          <w:numId w:val="123"/>
        </w:numPr>
        <w:spacing w:after="0"/>
        <w:jc w:val="both"/>
        <w:rPr>
          <w:rFonts w:cs="Arial"/>
        </w:rPr>
      </w:pPr>
      <w:r w:rsidRPr="003907FF">
        <w:rPr>
          <w:rFonts w:cs="Arial"/>
        </w:rPr>
        <w:t>Se apoyó a la Superintendencia de Notariado y Registro para la elaboración de la Circular 1757 del 24 de abril de 2017, mediante la cual se reitera a las Notarías a nivel nacional, el cumplimiento de las Circulares 1535 y 1582 del 2015 que indican la nueva forma del reporte en el “Sistema de Información Actas Complementarias”.</w:t>
      </w:r>
    </w:p>
    <w:p w:rsidR="003907FF" w:rsidRPr="003907FF" w:rsidRDefault="003907FF" w:rsidP="003907FF">
      <w:pPr>
        <w:spacing w:after="0"/>
        <w:jc w:val="both"/>
        <w:rPr>
          <w:rFonts w:cs="Arial"/>
        </w:rPr>
      </w:pPr>
    </w:p>
    <w:p w:rsidR="008819AE" w:rsidRDefault="008819AE" w:rsidP="00A44A2B">
      <w:pPr>
        <w:pStyle w:val="Prrafodelista"/>
        <w:numPr>
          <w:ilvl w:val="0"/>
          <w:numId w:val="123"/>
        </w:numPr>
        <w:spacing w:after="0"/>
        <w:jc w:val="both"/>
        <w:rPr>
          <w:rFonts w:cs="Arial"/>
        </w:rPr>
      </w:pPr>
      <w:r w:rsidRPr="007608C2">
        <w:rPr>
          <w:rFonts w:cs="Arial"/>
        </w:rPr>
        <w:t>Se reporte en el sistema de información de Actas Complementarias, 179.157 de niños, niñas y adolescentes inscritos por primera vez en el registro civil, de los cuales 5.897 fueron reconocidos en fecha posterior a su registro (incluye registrados en años anteriores).</w:t>
      </w:r>
    </w:p>
    <w:p w:rsidR="003907FF" w:rsidRDefault="003907FF" w:rsidP="003907FF">
      <w:pPr>
        <w:pStyle w:val="Prrafodelista"/>
        <w:spacing w:after="0"/>
        <w:ind w:left="360"/>
        <w:jc w:val="both"/>
        <w:rPr>
          <w:rFonts w:cs="Arial"/>
        </w:rPr>
      </w:pPr>
    </w:p>
    <w:p w:rsidR="008819AE" w:rsidRDefault="008819AE" w:rsidP="00A44A2B">
      <w:pPr>
        <w:pStyle w:val="Prrafodelista"/>
        <w:numPr>
          <w:ilvl w:val="0"/>
          <w:numId w:val="123"/>
        </w:numPr>
        <w:spacing w:after="0"/>
        <w:jc w:val="both"/>
        <w:rPr>
          <w:rFonts w:cs="Arial"/>
        </w:rPr>
      </w:pPr>
      <w:r w:rsidRPr="007608C2">
        <w:rPr>
          <w:rFonts w:cs="Arial"/>
        </w:rPr>
        <w:lastRenderedPageBreak/>
        <w:t>Se llevaron a cabo las sesiones No. 71 y 72 de la Comisión de Acreditación y Vigilancia de los Laboratorios que practican pruebas de paternidad y maternidad con marcadores de ADN – CAV.</w:t>
      </w:r>
    </w:p>
    <w:p w:rsidR="003907FF" w:rsidRPr="003907FF" w:rsidRDefault="003907FF" w:rsidP="003907FF">
      <w:pPr>
        <w:spacing w:after="0"/>
        <w:jc w:val="both"/>
        <w:rPr>
          <w:rFonts w:cs="Arial"/>
        </w:rPr>
      </w:pPr>
    </w:p>
    <w:p w:rsidR="008819AE" w:rsidRPr="007608C2" w:rsidRDefault="008819AE" w:rsidP="00A44A2B">
      <w:pPr>
        <w:pStyle w:val="Prrafodelista"/>
        <w:numPr>
          <w:ilvl w:val="0"/>
          <w:numId w:val="123"/>
        </w:numPr>
        <w:spacing w:after="0"/>
        <w:jc w:val="both"/>
        <w:rPr>
          <w:rFonts w:cs="Arial"/>
        </w:rPr>
      </w:pPr>
      <w:r w:rsidRPr="007608C2">
        <w:rPr>
          <w:rFonts w:cs="Arial"/>
        </w:rPr>
        <w:t>Conforme a la estrategia comunicativa de la Dirección de Protección y la Oficina de Comunicaciones, en los meses de abril y mayo se socializó el tema Filiación a través de los programas radiales de Caracol y RCN y a través de vídeos desde las redes sociales.</w:t>
      </w:r>
    </w:p>
    <w:p w:rsidR="008819AE" w:rsidRPr="007608C2" w:rsidRDefault="008819AE" w:rsidP="008819AE">
      <w:pPr>
        <w:spacing w:before="240"/>
        <w:jc w:val="both"/>
        <w:rPr>
          <w:rFonts w:cs="Arial"/>
          <w:b/>
        </w:rPr>
      </w:pPr>
      <w:r w:rsidRPr="007608C2">
        <w:rPr>
          <w:rFonts w:cs="Arial"/>
          <w:b/>
        </w:rPr>
        <w:t>Salud</w:t>
      </w:r>
    </w:p>
    <w:p w:rsidR="008819AE" w:rsidRDefault="008819AE" w:rsidP="00A44A2B">
      <w:pPr>
        <w:pStyle w:val="Prrafodelista"/>
        <w:numPr>
          <w:ilvl w:val="0"/>
          <w:numId w:val="124"/>
        </w:numPr>
        <w:spacing w:after="0"/>
        <w:jc w:val="both"/>
        <w:rPr>
          <w:rFonts w:cs="Arial"/>
        </w:rPr>
      </w:pPr>
      <w:r w:rsidRPr="007608C2">
        <w:rPr>
          <w:rFonts w:cs="Arial"/>
        </w:rPr>
        <w:t xml:space="preserve">Dando continuidad a la estrategia de trabajo en red, entre las y los profesionales de las regionales y de los centros zonales, se contó con treinta y tres (33) profesionales Enlaces Regionales y doscientos tres </w:t>
      </w:r>
      <w:r w:rsidR="003907FF">
        <w:rPr>
          <w:rFonts w:cs="Arial"/>
        </w:rPr>
        <w:t>(203) Enlaces Zonales de Salud.</w:t>
      </w:r>
    </w:p>
    <w:p w:rsidR="003907FF" w:rsidRPr="007608C2" w:rsidRDefault="003907FF" w:rsidP="003907FF">
      <w:pPr>
        <w:pStyle w:val="Prrafodelista"/>
        <w:spacing w:after="0"/>
        <w:ind w:left="360"/>
        <w:jc w:val="both"/>
        <w:rPr>
          <w:rFonts w:cs="Arial"/>
        </w:rPr>
      </w:pPr>
    </w:p>
    <w:p w:rsidR="008819AE" w:rsidRDefault="008819AE" w:rsidP="00A44A2B">
      <w:pPr>
        <w:pStyle w:val="Prrafodelista"/>
        <w:numPr>
          <w:ilvl w:val="0"/>
          <w:numId w:val="124"/>
        </w:numPr>
        <w:spacing w:after="0"/>
        <w:jc w:val="both"/>
        <w:rPr>
          <w:rFonts w:cs="Arial"/>
        </w:rPr>
      </w:pPr>
      <w:r w:rsidRPr="007608C2">
        <w:rPr>
          <w:rFonts w:cs="Arial"/>
        </w:rPr>
        <w:t>Para la formulación del plan operativo y la asistencia técnica, se realizó un (1) encuentro nacional de enlaces de salud para un ejercicio de planeación conjunta, contando con la participación de treinta y un (31) Enlace</w:t>
      </w:r>
      <w:r w:rsidR="003907FF">
        <w:rPr>
          <w:rFonts w:cs="Arial"/>
        </w:rPr>
        <w:t>s Regionales de Salud.</w:t>
      </w:r>
    </w:p>
    <w:p w:rsidR="003907FF" w:rsidRPr="003907FF" w:rsidRDefault="003907FF" w:rsidP="003907FF">
      <w:pPr>
        <w:spacing w:after="0"/>
        <w:jc w:val="both"/>
        <w:rPr>
          <w:rFonts w:cs="Arial"/>
        </w:rPr>
      </w:pPr>
    </w:p>
    <w:p w:rsidR="008819AE" w:rsidRDefault="008819AE" w:rsidP="00A44A2B">
      <w:pPr>
        <w:pStyle w:val="Prrafodelista"/>
        <w:numPr>
          <w:ilvl w:val="0"/>
          <w:numId w:val="124"/>
        </w:numPr>
        <w:spacing w:after="0"/>
        <w:jc w:val="both"/>
        <w:rPr>
          <w:rFonts w:cs="Arial"/>
        </w:rPr>
      </w:pPr>
      <w:r w:rsidRPr="007608C2">
        <w:rPr>
          <w:rFonts w:cs="Arial"/>
        </w:rPr>
        <w:t>Se realizaron diez (10) asistencias técnicas en las que se abordaron las siguientes temáticas: Listado Censal; Auto 065; Modelo y Rutas de Atención Integral en Salud; Interrupción Voluntaria del Embarazo; VIH; y, Salud Mental. Esto se realizaron en las regionales Guajira, Sucre, Córdoba, Huila, Boyacá, Casanare, Valle, Cauca, Chocó y Caquetá. Se contó con la participación de doscientos (200) profesionales de los equipos del ICBF, incluyendo coordinadoras de Asistencia Técnica, enlaces del Sistema Nacional de Bienestar Familiar, defensores y defensoras de familia, comisarías de familia, enlaces</w:t>
      </w:r>
      <w:r w:rsidR="003907FF">
        <w:rPr>
          <w:rFonts w:cs="Arial"/>
        </w:rPr>
        <w:t xml:space="preserve"> regionales y zonales de salud.</w:t>
      </w:r>
    </w:p>
    <w:p w:rsidR="003907FF" w:rsidRPr="003907FF" w:rsidRDefault="003907FF" w:rsidP="003907FF">
      <w:pPr>
        <w:spacing w:after="0"/>
        <w:jc w:val="both"/>
        <w:rPr>
          <w:rFonts w:cs="Arial"/>
        </w:rPr>
      </w:pPr>
    </w:p>
    <w:p w:rsidR="008819AE" w:rsidRDefault="008819AE" w:rsidP="00A44A2B">
      <w:pPr>
        <w:pStyle w:val="Prrafodelista"/>
        <w:numPr>
          <w:ilvl w:val="0"/>
          <w:numId w:val="124"/>
        </w:numPr>
        <w:spacing w:after="0"/>
        <w:jc w:val="both"/>
        <w:rPr>
          <w:rFonts w:cs="Arial"/>
        </w:rPr>
      </w:pPr>
      <w:r w:rsidRPr="007608C2">
        <w:rPr>
          <w:rFonts w:cs="Arial"/>
        </w:rPr>
        <w:t>Se realizó el acompañamiento técnico a ocho (8) Mesas Intersectoriales de Salud, convocadas por las regionales Guajira, Sucre, Huila, Boyacá, Casanare, Valle, Cauca y Chocó. En estas participaron los equipos de ICBF y delegados de las entidades territoriales de salud, Empresas Administradoras del Plan de Beneficios, Prestadores de Servicios de Salud y operadores del ICBF.</w:t>
      </w:r>
    </w:p>
    <w:p w:rsidR="003907FF" w:rsidRPr="003907FF" w:rsidRDefault="003907FF" w:rsidP="003907FF">
      <w:pPr>
        <w:spacing w:after="0"/>
        <w:jc w:val="both"/>
        <w:rPr>
          <w:rFonts w:cs="Arial"/>
        </w:rPr>
      </w:pPr>
    </w:p>
    <w:p w:rsidR="008819AE" w:rsidRPr="007608C2" w:rsidRDefault="008819AE" w:rsidP="00A44A2B">
      <w:pPr>
        <w:pStyle w:val="Prrafodelista"/>
        <w:numPr>
          <w:ilvl w:val="0"/>
          <w:numId w:val="124"/>
        </w:numPr>
        <w:spacing w:after="0"/>
        <w:jc w:val="both"/>
        <w:rPr>
          <w:rFonts w:cs="Arial"/>
        </w:rPr>
      </w:pPr>
      <w:r w:rsidRPr="007608C2">
        <w:rPr>
          <w:rFonts w:cs="Arial"/>
        </w:rPr>
        <w:t xml:space="preserve">Se concertó entre el área de Aseguramiento del Ministerio de Salud y el equipo de Hogares Sustitutos del ICBF, el mecanismo para la inclusión en el listado censal nacional de quienes han dejado de ser madres sustitutas y son beneficiarias del Subsidio de la Subcuenta del Fondo de Solidaridad Pensional. A corte al 31 de octubre de 2017 se contó con ochenta y una (81) ex madres sustitutas incluidas como población especial, quienes ya pueden realizar el trámite correspondiente ante la Entidad Administradora de Planes de Beneficios (EAPB) de su elección. </w:t>
      </w:r>
    </w:p>
    <w:p w:rsidR="008819AE" w:rsidRPr="007608C2" w:rsidRDefault="008819AE" w:rsidP="00A44A2B">
      <w:pPr>
        <w:pStyle w:val="Prrafodelista"/>
        <w:numPr>
          <w:ilvl w:val="0"/>
          <w:numId w:val="124"/>
        </w:numPr>
        <w:spacing w:after="0"/>
        <w:jc w:val="both"/>
        <w:rPr>
          <w:rFonts w:cs="Arial"/>
        </w:rPr>
      </w:pPr>
      <w:r w:rsidRPr="007608C2">
        <w:rPr>
          <w:rFonts w:cs="Arial"/>
        </w:rPr>
        <w:lastRenderedPageBreak/>
        <w:t>Se avanzó en articulación con el Ministerio de Salud y Protección Social, alrededor de las necesidades planteadas por la Subdirección de Restablecimiento de Derechos, mediante mesas de trabajo para la formulación de rutas de atención especializada en los casos de niños, niñas y adolescentes con consumo de SPA y para los que viven con VIH. De igual manera, se realizaron dos (2) mesas de trabajo para la elaboración de orientaciones para la respuesta a episodios de agitación psicomotora, al interior de las modalidades de protección del ICBF.</w:t>
      </w:r>
    </w:p>
    <w:p w:rsidR="008819AE" w:rsidRPr="007608C2" w:rsidRDefault="008819AE" w:rsidP="008819AE">
      <w:pPr>
        <w:spacing w:before="240"/>
        <w:jc w:val="both"/>
        <w:rPr>
          <w:rFonts w:cs="Arial"/>
          <w:b/>
        </w:rPr>
      </w:pPr>
      <w:r w:rsidRPr="007608C2">
        <w:rPr>
          <w:rFonts w:cs="Arial"/>
          <w:b/>
        </w:rPr>
        <w:t>Centro de Emergencia</w:t>
      </w:r>
    </w:p>
    <w:p w:rsidR="008819AE" w:rsidRDefault="008819AE" w:rsidP="00A44A2B">
      <w:pPr>
        <w:pStyle w:val="Prrafodelista"/>
        <w:numPr>
          <w:ilvl w:val="0"/>
          <w:numId w:val="125"/>
        </w:numPr>
        <w:spacing w:after="0"/>
        <w:jc w:val="both"/>
        <w:rPr>
          <w:rFonts w:cs="Arial"/>
        </w:rPr>
      </w:pPr>
      <w:r w:rsidRPr="007608C2">
        <w:rPr>
          <w:rFonts w:cs="Arial"/>
        </w:rPr>
        <w:t>Se brindó acompañamiento y asistencia técnica a los 11 operadores de las regionales Bogotá, Caldas, Córdoba, La Guajira, Norte de Santander, Quindío, Risaralda y Tolima, en el fortalecimiento de aspectos como el proceso de atención, perfiles de ubicación, manejo adecuado de las historias de atención, elaboración de PLATIN y estudios de caso.</w:t>
      </w:r>
    </w:p>
    <w:p w:rsidR="003907FF" w:rsidRPr="007608C2" w:rsidRDefault="003907FF" w:rsidP="003907FF">
      <w:pPr>
        <w:pStyle w:val="Prrafodelista"/>
        <w:spacing w:after="0"/>
        <w:ind w:left="360"/>
        <w:jc w:val="both"/>
        <w:rPr>
          <w:rFonts w:cs="Arial"/>
        </w:rPr>
      </w:pPr>
    </w:p>
    <w:p w:rsidR="008819AE" w:rsidRDefault="008819AE" w:rsidP="00A44A2B">
      <w:pPr>
        <w:pStyle w:val="Prrafodelista"/>
        <w:numPr>
          <w:ilvl w:val="0"/>
          <w:numId w:val="125"/>
        </w:numPr>
        <w:spacing w:after="0"/>
        <w:jc w:val="both"/>
        <w:rPr>
          <w:rFonts w:cs="Arial"/>
        </w:rPr>
      </w:pPr>
      <w:r w:rsidRPr="007608C2">
        <w:rPr>
          <w:rFonts w:cs="Arial"/>
        </w:rPr>
        <w:t>Se elaboró el PAI y se brindó atención, entre otras.</w:t>
      </w:r>
    </w:p>
    <w:p w:rsidR="003907FF" w:rsidRPr="003907FF" w:rsidRDefault="003907FF" w:rsidP="003907FF">
      <w:pPr>
        <w:spacing w:after="0"/>
        <w:jc w:val="both"/>
        <w:rPr>
          <w:rFonts w:cs="Arial"/>
        </w:rPr>
      </w:pPr>
    </w:p>
    <w:p w:rsidR="008819AE" w:rsidRDefault="008819AE" w:rsidP="00A44A2B">
      <w:pPr>
        <w:pStyle w:val="Prrafodelista"/>
        <w:numPr>
          <w:ilvl w:val="0"/>
          <w:numId w:val="125"/>
        </w:numPr>
        <w:spacing w:after="0"/>
        <w:jc w:val="both"/>
        <w:rPr>
          <w:rFonts w:cs="Arial"/>
        </w:rPr>
      </w:pPr>
      <w:r w:rsidRPr="007608C2">
        <w:rPr>
          <w:rFonts w:cs="Arial"/>
        </w:rPr>
        <w:t>Fortalecimiento de la oferta institucional en las Regionales Boyacá, Meta y Nariño en las que no se cuenta con operadores para la ejecución de la modalidad.</w:t>
      </w:r>
    </w:p>
    <w:p w:rsidR="003907FF" w:rsidRPr="003907FF" w:rsidRDefault="003907FF" w:rsidP="003907FF">
      <w:pPr>
        <w:spacing w:after="0"/>
        <w:jc w:val="both"/>
        <w:rPr>
          <w:rFonts w:cs="Arial"/>
        </w:rPr>
      </w:pPr>
    </w:p>
    <w:p w:rsidR="008819AE" w:rsidRDefault="008819AE" w:rsidP="00A44A2B">
      <w:pPr>
        <w:pStyle w:val="Prrafodelista"/>
        <w:numPr>
          <w:ilvl w:val="0"/>
          <w:numId w:val="125"/>
        </w:numPr>
        <w:spacing w:after="0"/>
        <w:jc w:val="both"/>
        <w:rPr>
          <w:rFonts w:cs="Arial"/>
        </w:rPr>
      </w:pPr>
      <w:r w:rsidRPr="007608C2">
        <w:rPr>
          <w:rFonts w:cs="Arial"/>
        </w:rPr>
        <w:t>Se brindó asistencia técnica a 11 operadores de la regional Bogotá, Caldas, Córdoba, Cundinamarca, La Guajira, Quindío, Risaralda y Tolima para el fortalecimiento en aspectos como el proceso de atención, perfiles de ubicación, manejo adecuado de las historias de atención, elaboración de PLATIN y estudios de caso.</w:t>
      </w:r>
    </w:p>
    <w:p w:rsidR="003907FF" w:rsidRPr="003907FF" w:rsidRDefault="003907FF" w:rsidP="003907FF">
      <w:pPr>
        <w:spacing w:after="0"/>
        <w:jc w:val="both"/>
        <w:rPr>
          <w:rFonts w:cs="Arial"/>
        </w:rPr>
      </w:pPr>
    </w:p>
    <w:p w:rsidR="008819AE" w:rsidRPr="007608C2" w:rsidRDefault="008819AE" w:rsidP="00A44A2B">
      <w:pPr>
        <w:pStyle w:val="Prrafodelista"/>
        <w:numPr>
          <w:ilvl w:val="0"/>
          <w:numId w:val="125"/>
        </w:numPr>
        <w:spacing w:after="0"/>
        <w:jc w:val="both"/>
        <w:rPr>
          <w:rFonts w:cs="Arial"/>
        </w:rPr>
      </w:pPr>
      <w:r w:rsidRPr="007608C2">
        <w:rPr>
          <w:rFonts w:cs="Arial"/>
        </w:rPr>
        <w:t xml:space="preserve">Se realizó el Segundo Encuentro de Operadores de la modalidad Centro de Emergencia en el mes de junio, con la participación de 50 profesionales entre psicólogos, trabajadores sociales, formadores de vida de los 11 operadores de la modalidad a nivel nacional. Entre los temas trabajados se destacan: identificación de factores de generatividad y vulnerabilidad; atención especializada a la población gestantes y lactantes; orientaciones básicas para la construcción del PAI (Plan de Atención Institucional). </w:t>
      </w:r>
    </w:p>
    <w:p w:rsidR="008819AE" w:rsidRPr="007608C2" w:rsidRDefault="008819AE" w:rsidP="008819AE">
      <w:pPr>
        <w:spacing w:before="240"/>
        <w:jc w:val="both"/>
        <w:rPr>
          <w:rFonts w:cs="Arial"/>
          <w:b/>
        </w:rPr>
      </w:pPr>
      <w:r w:rsidRPr="007608C2">
        <w:rPr>
          <w:rFonts w:cs="Arial"/>
          <w:b/>
        </w:rPr>
        <w:t>Hogar de Paso – Implementación y ejecución a cargo de los entes territoriales con asistencia técnica del ICBF</w:t>
      </w:r>
    </w:p>
    <w:p w:rsidR="003907FF" w:rsidRPr="003907FF" w:rsidRDefault="008819AE" w:rsidP="00A44A2B">
      <w:pPr>
        <w:pStyle w:val="Prrafodelista"/>
        <w:numPr>
          <w:ilvl w:val="0"/>
          <w:numId w:val="113"/>
        </w:numPr>
        <w:spacing w:after="0"/>
        <w:jc w:val="both"/>
        <w:rPr>
          <w:rFonts w:cs="Arial"/>
        </w:rPr>
      </w:pPr>
      <w:r w:rsidRPr="003907FF">
        <w:rPr>
          <w:rFonts w:cs="Arial"/>
        </w:rPr>
        <w:t>Se construyó la base de datos de los Hogares de Paso a nivel nacional, se tiene la información de los 294 hogares de paso constituidos en sus dos (2) submodalidades.</w:t>
      </w:r>
    </w:p>
    <w:p w:rsidR="003907FF" w:rsidRPr="003907FF" w:rsidRDefault="003907FF" w:rsidP="003907FF">
      <w:pPr>
        <w:spacing w:after="0"/>
        <w:jc w:val="both"/>
        <w:rPr>
          <w:rFonts w:cs="Arial"/>
        </w:rPr>
      </w:pPr>
    </w:p>
    <w:p w:rsidR="008819AE" w:rsidRDefault="008819AE" w:rsidP="00A44A2B">
      <w:pPr>
        <w:pStyle w:val="Prrafodelista"/>
        <w:numPr>
          <w:ilvl w:val="0"/>
          <w:numId w:val="113"/>
        </w:numPr>
        <w:spacing w:after="0"/>
        <w:jc w:val="both"/>
        <w:rPr>
          <w:rFonts w:cs="Arial"/>
        </w:rPr>
      </w:pPr>
      <w:r w:rsidRPr="007608C2">
        <w:rPr>
          <w:rFonts w:cs="Arial"/>
        </w:rPr>
        <w:t>Se contó con enlaces o referentes de la modalidad en cada una de las 33 regionales.</w:t>
      </w:r>
    </w:p>
    <w:p w:rsidR="003907FF" w:rsidRPr="003907FF" w:rsidRDefault="003907FF" w:rsidP="003907FF">
      <w:pPr>
        <w:spacing w:after="0"/>
        <w:jc w:val="both"/>
        <w:rPr>
          <w:rFonts w:cs="Arial"/>
        </w:rPr>
      </w:pPr>
    </w:p>
    <w:p w:rsidR="008819AE" w:rsidRDefault="008819AE" w:rsidP="00A44A2B">
      <w:pPr>
        <w:pStyle w:val="Prrafodelista"/>
        <w:numPr>
          <w:ilvl w:val="0"/>
          <w:numId w:val="113"/>
        </w:numPr>
        <w:spacing w:after="0"/>
        <w:jc w:val="both"/>
        <w:rPr>
          <w:rFonts w:cs="Arial"/>
        </w:rPr>
      </w:pPr>
      <w:r w:rsidRPr="007608C2">
        <w:rPr>
          <w:rFonts w:cs="Arial"/>
        </w:rPr>
        <w:lastRenderedPageBreak/>
        <w:t>Se brindó asistencia técnica presencial a las entidades territoriales, con participación de gobernaciones, alcaldías, secretarías de gobierno y comisarías de familia en 19 regionales: Amazonas, Atlántico, Bolívar, Boyacá, Córdoba, Caldas, Cundinamarca, Choco, Guainía, Guaviare, La Guajira, Magdalena, Nariño, Norte de Santander, Quindío, Risaralda, Santander, Sucre y Tolima. Entre los temas tratados se abordó el proceso de atención y la obligatoriedad que tienen los entes territoriales frente a la conformación e implementación</w:t>
      </w:r>
      <w:r w:rsidR="003907FF">
        <w:rPr>
          <w:rFonts w:cs="Arial"/>
        </w:rPr>
        <w:t xml:space="preserve"> de la modalidad Hogar de Paso.</w:t>
      </w:r>
    </w:p>
    <w:p w:rsidR="003907FF" w:rsidRPr="003907FF" w:rsidRDefault="003907FF" w:rsidP="003907FF">
      <w:pPr>
        <w:spacing w:after="0"/>
        <w:jc w:val="both"/>
        <w:rPr>
          <w:rFonts w:cs="Arial"/>
        </w:rPr>
      </w:pPr>
    </w:p>
    <w:p w:rsidR="008819AE" w:rsidRDefault="008819AE" w:rsidP="00A44A2B">
      <w:pPr>
        <w:pStyle w:val="Prrafodelista"/>
        <w:numPr>
          <w:ilvl w:val="0"/>
          <w:numId w:val="113"/>
        </w:numPr>
        <w:spacing w:after="0"/>
        <w:jc w:val="both"/>
        <w:rPr>
          <w:rFonts w:cs="Arial"/>
        </w:rPr>
      </w:pPr>
      <w:r w:rsidRPr="007608C2">
        <w:rPr>
          <w:rFonts w:cs="Arial"/>
        </w:rPr>
        <w:t>Se realizaron 2 videoconferencias a las 33 regionales en articulación con SNBF donde se retomaron aspectos relacionados con el Lineamiento Técnico de Modalidades y el anexo 1 relacionado con los aspectos administrativos del Hogar de Paso.</w:t>
      </w:r>
    </w:p>
    <w:p w:rsidR="003907FF" w:rsidRPr="003907FF" w:rsidRDefault="003907FF" w:rsidP="003907FF">
      <w:pPr>
        <w:spacing w:after="0"/>
        <w:jc w:val="both"/>
        <w:rPr>
          <w:rFonts w:cs="Arial"/>
        </w:rPr>
      </w:pPr>
    </w:p>
    <w:p w:rsidR="008819AE" w:rsidRPr="007608C2" w:rsidRDefault="008819AE" w:rsidP="00A44A2B">
      <w:pPr>
        <w:pStyle w:val="Prrafodelista"/>
        <w:numPr>
          <w:ilvl w:val="0"/>
          <w:numId w:val="113"/>
        </w:numPr>
        <w:spacing w:after="0"/>
        <w:jc w:val="both"/>
        <w:rPr>
          <w:rFonts w:cs="Arial"/>
        </w:rPr>
      </w:pPr>
      <w:r w:rsidRPr="007608C2">
        <w:rPr>
          <w:rFonts w:cs="Arial"/>
        </w:rPr>
        <w:t>Se enviaron vía electrónica 123 memorandos a las alcaldías municipales enfatizando sobre la obligación de tienen los entes territoriales frente a la creación de los Hogares de Paso.</w:t>
      </w:r>
    </w:p>
    <w:p w:rsidR="008819AE" w:rsidRPr="007608C2" w:rsidRDefault="008819AE" w:rsidP="008819AE">
      <w:pPr>
        <w:spacing w:before="240"/>
        <w:jc w:val="both"/>
        <w:rPr>
          <w:rFonts w:cs="Arial"/>
          <w:b/>
        </w:rPr>
      </w:pPr>
      <w:r w:rsidRPr="007608C2">
        <w:rPr>
          <w:rFonts w:cs="Arial"/>
          <w:b/>
        </w:rPr>
        <w:t>Restablecimiento de derechos de niños, niñas y adolescentes con discapacidad</w:t>
      </w:r>
    </w:p>
    <w:p w:rsidR="008819AE" w:rsidRDefault="008819AE" w:rsidP="00A44A2B">
      <w:pPr>
        <w:pStyle w:val="Prrafodelista"/>
        <w:numPr>
          <w:ilvl w:val="0"/>
          <w:numId w:val="126"/>
        </w:numPr>
        <w:spacing w:after="0"/>
        <w:jc w:val="both"/>
        <w:rPr>
          <w:rFonts w:cs="Arial"/>
        </w:rPr>
      </w:pPr>
      <w:r w:rsidRPr="007608C2">
        <w:rPr>
          <w:rFonts w:cs="Arial"/>
        </w:rPr>
        <w:t>En el marco del Contrato de Consultoría N°1365 de 2017 firmado con la Unión Temporal Innovación Social para el fortalecimiento de 18 instituciones de internado para población con discapacidad en restablecimiento de derechos de las regionales Bogotá, Bolívar, Cauca, Risaralda, Santander, Tolima y Valle, se desarrolló la fase de planeación, a través de la cual se socializó el proyecto y se realizó la articulación de todos los actores involucrados. Así mismo, se realizó el diagnóstico institucional y la construcción de la propuesta metodológica para el fortalecimiento institucional, desarrollándose la fase de acompañamiento.</w:t>
      </w:r>
    </w:p>
    <w:p w:rsidR="003907FF" w:rsidRPr="007608C2" w:rsidRDefault="003907FF" w:rsidP="003907FF">
      <w:pPr>
        <w:pStyle w:val="Prrafodelista"/>
        <w:spacing w:after="0"/>
        <w:ind w:left="360"/>
        <w:jc w:val="both"/>
        <w:rPr>
          <w:rFonts w:cs="Arial"/>
        </w:rPr>
      </w:pPr>
    </w:p>
    <w:p w:rsidR="003907FF" w:rsidRPr="003907FF" w:rsidRDefault="008819AE" w:rsidP="00A44A2B">
      <w:pPr>
        <w:pStyle w:val="Prrafodelista"/>
        <w:numPr>
          <w:ilvl w:val="0"/>
          <w:numId w:val="126"/>
        </w:numPr>
        <w:spacing w:after="0"/>
        <w:jc w:val="both"/>
        <w:rPr>
          <w:rFonts w:cs="Arial"/>
        </w:rPr>
      </w:pPr>
      <w:r w:rsidRPr="003907FF">
        <w:rPr>
          <w:rFonts w:cs="Arial"/>
        </w:rPr>
        <w:t>Se brindó la asistencia técnica para el fortalecimiento y desarrollo de estrategias de atención a familias e inclusión social de la población con discapacidad, haciendo énfasis en el Lineamiento del Modelo de Atención en la modalidad Hogar Gestor Discapacidad. Se contó con la participación de referentes de la modalidad, defensorías de familia y asistencia técnica del nivel regional y zonal, de las 33 regionales. Así mismo, se brindó asistencia técnica en el marco de la implementación del Lineamiento de Discapacidad con la participación de equipos de asistencia técnica regional y equipos interdisciplinarios de operadores de las regionales: Atlántico, Bogotá, Cundinamarca, Norte de Santander, Santander, Sucre y Tolima.</w:t>
      </w:r>
    </w:p>
    <w:p w:rsidR="003907FF" w:rsidRPr="003907FF" w:rsidRDefault="003907FF" w:rsidP="003907FF">
      <w:pPr>
        <w:spacing w:after="0"/>
        <w:jc w:val="both"/>
        <w:rPr>
          <w:rFonts w:cs="Arial"/>
        </w:rPr>
      </w:pPr>
    </w:p>
    <w:p w:rsidR="008819AE" w:rsidRDefault="008819AE" w:rsidP="00A44A2B">
      <w:pPr>
        <w:pStyle w:val="Prrafodelista"/>
        <w:numPr>
          <w:ilvl w:val="0"/>
          <w:numId w:val="126"/>
        </w:numPr>
        <w:spacing w:after="0"/>
        <w:jc w:val="both"/>
        <w:rPr>
          <w:rFonts w:cs="Arial"/>
        </w:rPr>
      </w:pPr>
      <w:r w:rsidRPr="007608C2">
        <w:rPr>
          <w:rFonts w:cs="Arial"/>
        </w:rPr>
        <w:t>En el marco del Convenio Interadministrativo N° 2602 de 2012 firmado con el Instituto Nacional para Ciegos (INCI) se realizó sensibilización a referentes de Primera Infancia y de Discapacidad de las 33 regionales, en temas relacionados con atención e inclusión social de población con discapacidad y se elaboró un documento de sistematización de la experiencia de asistencia técnica a regionales en el marco del desarr</w:t>
      </w:r>
      <w:r w:rsidR="003907FF">
        <w:rPr>
          <w:rFonts w:cs="Arial"/>
        </w:rPr>
        <w:t>ollo de los programas del ICBF.</w:t>
      </w:r>
    </w:p>
    <w:p w:rsidR="003907FF" w:rsidRPr="007608C2" w:rsidRDefault="003907FF" w:rsidP="003907FF">
      <w:pPr>
        <w:pStyle w:val="Prrafodelista"/>
        <w:spacing w:after="0"/>
        <w:ind w:left="360"/>
        <w:jc w:val="both"/>
        <w:rPr>
          <w:rFonts w:cs="Arial"/>
        </w:rPr>
      </w:pPr>
    </w:p>
    <w:p w:rsidR="008819AE" w:rsidRDefault="008819AE" w:rsidP="00A44A2B">
      <w:pPr>
        <w:pStyle w:val="Prrafodelista"/>
        <w:numPr>
          <w:ilvl w:val="0"/>
          <w:numId w:val="126"/>
        </w:numPr>
        <w:spacing w:after="0"/>
        <w:jc w:val="both"/>
        <w:rPr>
          <w:rFonts w:cs="Arial"/>
        </w:rPr>
      </w:pPr>
      <w:r w:rsidRPr="007608C2">
        <w:rPr>
          <w:rFonts w:cs="Arial"/>
        </w:rPr>
        <w:lastRenderedPageBreak/>
        <w:t>En el marco del Contrato de Prestación de Servicios N° 1045 de 2017 firmado con la Federación Nacional de Sordos de Colombia (FENASCOL), se prestó el servicio de interpretación de lengua de señas por 211 horas con 55 minutos, beneficiando a 73 personas con discapacidad auditiva, con un 93% de ejecución con corte al 31 de octubre de 2017.</w:t>
      </w:r>
    </w:p>
    <w:p w:rsidR="003907FF" w:rsidRPr="003907FF" w:rsidRDefault="003907FF" w:rsidP="003907FF">
      <w:pPr>
        <w:spacing w:after="0"/>
        <w:jc w:val="both"/>
        <w:rPr>
          <w:rFonts w:cs="Arial"/>
        </w:rPr>
      </w:pPr>
    </w:p>
    <w:p w:rsidR="008819AE" w:rsidRDefault="008819AE" w:rsidP="00A44A2B">
      <w:pPr>
        <w:pStyle w:val="Prrafodelista"/>
        <w:numPr>
          <w:ilvl w:val="0"/>
          <w:numId w:val="126"/>
        </w:numPr>
        <w:spacing w:after="0"/>
        <w:jc w:val="both"/>
        <w:rPr>
          <w:rFonts w:cs="Arial"/>
        </w:rPr>
      </w:pPr>
      <w:r w:rsidRPr="007608C2">
        <w:rPr>
          <w:rFonts w:cs="Arial"/>
        </w:rPr>
        <w:t xml:space="preserve">Se caracterizaron cuidadores de Hogares Sustitutos y de instituciones de atención a población con discapacidad en PARD, gestionando con el SENA su vinculación al “Programa de Formación de Cuidado Básico de Personas con Dependencia Funcional”. Se evidenció su desarrollo en las regionales Atlántico, Bogotá, Boyacá, Caldas, Huila, Meta, Nariño, Quindío, Risaralda, Santander, </w:t>
      </w:r>
      <w:r w:rsidR="003907FF">
        <w:rPr>
          <w:rFonts w:cs="Arial"/>
        </w:rPr>
        <w:t>Tolima (2 cursos) y San Andrés.</w:t>
      </w:r>
    </w:p>
    <w:p w:rsidR="003907FF" w:rsidRPr="003907FF" w:rsidRDefault="003907FF" w:rsidP="003907FF">
      <w:pPr>
        <w:spacing w:after="0"/>
        <w:jc w:val="both"/>
        <w:rPr>
          <w:rFonts w:cs="Arial"/>
        </w:rPr>
      </w:pPr>
    </w:p>
    <w:p w:rsidR="008819AE" w:rsidRDefault="008819AE" w:rsidP="00A44A2B">
      <w:pPr>
        <w:pStyle w:val="Prrafodelista"/>
        <w:numPr>
          <w:ilvl w:val="0"/>
          <w:numId w:val="126"/>
        </w:numPr>
        <w:spacing w:after="0"/>
        <w:jc w:val="both"/>
        <w:rPr>
          <w:rFonts w:cs="Arial"/>
        </w:rPr>
      </w:pPr>
      <w:r w:rsidRPr="007608C2">
        <w:rPr>
          <w:rFonts w:cs="Arial"/>
        </w:rPr>
        <w:t>Se gestionó la solicitud de adición de un total de 409 cupos, correspondientes a: 117 hogar gestor; 18 externado jornada completa; 124 externado media jornada; 31 Internado discapacidad mental cognitiva y 119 internado discapacidad mental psicosocial; de las Regionales: Caldas, Cundinamarca, Bolívar, Cauca, Magdalena, Meta, Nariño, Quindío, Santander, Tolima y Valle.</w:t>
      </w:r>
    </w:p>
    <w:p w:rsidR="003907FF" w:rsidRPr="003907FF" w:rsidRDefault="003907FF" w:rsidP="003907FF">
      <w:pPr>
        <w:spacing w:after="0"/>
        <w:jc w:val="both"/>
        <w:rPr>
          <w:rFonts w:cs="Arial"/>
        </w:rPr>
      </w:pPr>
    </w:p>
    <w:p w:rsidR="008819AE" w:rsidRDefault="008819AE" w:rsidP="00A44A2B">
      <w:pPr>
        <w:pStyle w:val="Prrafodelista"/>
        <w:numPr>
          <w:ilvl w:val="0"/>
          <w:numId w:val="126"/>
        </w:numPr>
        <w:spacing w:after="0"/>
        <w:jc w:val="both"/>
        <w:rPr>
          <w:rFonts w:cs="Arial"/>
        </w:rPr>
      </w:pPr>
      <w:r w:rsidRPr="007608C2">
        <w:rPr>
          <w:rFonts w:cs="Arial"/>
        </w:rPr>
        <w:t>En coordinación con la Dirección de Familias y Comunidades, se realizó la asistencia técnica a las 33 regionales para fortalecer el desarrollo de estrategias de atención a familias e inclusión social de la población con discapacidad beneficiaria de Hogar Ges</w:t>
      </w:r>
      <w:r w:rsidR="003907FF">
        <w:rPr>
          <w:rFonts w:cs="Arial"/>
        </w:rPr>
        <w:t>tor y de la modalidad de UNAFA.</w:t>
      </w:r>
    </w:p>
    <w:p w:rsidR="003907FF" w:rsidRPr="003907FF" w:rsidRDefault="003907FF" w:rsidP="003907FF">
      <w:pPr>
        <w:spacing w:after="0"/>
        <w:jc w:val="both"/>
        <w:rPr>
          <w:rFonts w:cs="Arial"/>
        </w:rPr>
      </w:pPr>
    </w:p>
    <w:p w:rsidR="008819AE" w:rsidRDefault="008819AE" w:rsidP="00A44A2B">
      <w:pPr>
        <w:pStyle w:val="Prrafodelista"/>
        <w:numPr>
          <w:ilvl w:val="0"/>
          <w:numId w:val="126"/>
        </w:numPr>
        <w:spacing w:after="0"/>
        <w:jc w:val="both"/>
        <w:rPr>
          <w:rFonts w:cs="Arial"/>
        </w:rPr>
      </w:pPr>
      <w:r w:rsidRPr="007608C2">
        <w:rPr>
          <w:rFonts w:cs="Arial"/>
        </w:rPr>
        <w:t xml:space="preserve">Se </w:t>
      </w:r>
      <w:bookmarkStart w:id="94" w:name="_Hlk504483675"/>
      <w:r w:rsidRPr="007608C2">
        <w:rPr>
          <w:rFonts w:cs="Arial"/>
        </w:rPr>
        <w:t>construyó</w:t>
      </w:r>
      <w:bookmarkEnd w:id="94"/>
      <w:r w:rsidRPr="007608C2">
        <w:rPr>
          <w:rFonts w:cs="Arial"/>
        </w:rPr>
        <w:t>: i) la Guía de orientaciones para el egreso de mayores de 18 años que se encuentran en la modalidad externado discapacidad y; ii) En articulación con la Dirección de Gestión Humana se inició la virtualización de la “Guía práctica para implementar acciones de inclusión social y productiva, en la que se incluirá la guía de orientaciones p</w:t>
      </w:r>
      <w:r w:rsidR="003907FF">
        <w:rPr>
          <w:rFonts w:cs="Arial"/>
        </w:rPr>
        <w:t>ara la inclusión socio laboral.</w:t>
      </w:r>
    </w:p>
    <w:p w:rsidR="003907FF" w:rsidRPr="003907FF" w:rsidRDefault="003907FF" w:rsidP="003907FF">
      <w:pPr>
        <w:spacing w:after="0"/>
        <w:jc w:val="both"/>
        <w:rPr>
          <w:rFonts w:cs="Arial"/>
        </w:rPr>
      </w:pPr>
    </w:p>
    <w:p w:rsidR="008819AE" w:rsidRDefault="008819AE" w:rsidP="00A44A2B">
      <w:pPr>
        <w:pStyle w:val="Prrafodelista"/>
        <w:numPr>
          <w:ilvl w:val="0"/>
          <w:numId w:val="126"/>
        </w:numPr>
        <w:spacing w:after="0"/>
        <w:jc w:val="both"/>
        <w:rPr>
          <w:rFonts w:cs="Arial"/>
        </w:rPr>
      </w:pPr>
      <w:r w:rsidRPr="007608C2">
        <w:rPr>
          <w:rFonts w:cs="Arial"/>
        </w:rPr>
        <w:t>Se participó activamente en la implementación de políticas públicas de discapacidad, respondiendo a los compromisos establecidos en el marco del Grupo de Enlace Sectorial del nivel técnico del Sistema Nacional de Discapacidad (SND); destacándose la virtualización e inicio de un primer curso sobre la Guía de atención a las personas con discapacidad en el acceso a la Justicia, con la convocatoria a colaboradores ICBF y a funcionarios de la rama judicial a través de Ministerio de Justicia y del Derecho.</w:t>
      </w:r>
    </w:p>
    <w:p w:rsidR="003907FF" w:rsidRPr="003907FF" w:rsidRDefault="003907FF" w:rsidP="003907FF">
      <w:pPr>
        <w:spacing w:after="0"/>
        <w:jc w:val="both"/>
        <w:rPr>
          <w:rFonts w:cs="Arial"/>
        </w:rPr>
      </w:pPr>
    </w:p>
    <w:p w:rsidR="008819AE" w:rsidRDefault="008819AE" w:rsidP="00A44A2B">
      <w:pPr>
        <w:pStyle w:val="Prrafodelista"/>
        <w:numPr>
          <w:ilvl w:val="0"/>
          <w:numId w:val="126"/>
        </w:numPr>
        <w:spacing w:after="0"/>
        <w:jc w:val="both"/>
        <w:rPr>
          <w:rFonts w:cs="Arial"/>
        </w:rPr>
      </w:pPr>
      <w:r w:rsidRPr="007608C2">
        <w:rPr>
          <w:rFonts w:cs="Arial"/>
        </w:rPr>
        <w:t>En el marco de la mesa técnica de Enfoque Diferencial en Discapacidad para la implementación de la Política Pública de Discapacidad e Inclusión Social en los niveles Nacional, Regional y Zonal del ICBF</w:t>
      </w:r>
      <w:r w:rsidRPr="007608C2">
        <w:rPr>
          <w:rFonts w:cs="Arial"/>
          <w:vertAlign w:val="superscript"/>
        </w:rPr>
        <w:footnoteReference w:id="12"/>
      </w:r>
      <w:r w:rsidRPr="007608C2">
        <w:rPr>
          <w:rFonts w:cs="Arial"/>
        </w:rPr>
        <w:t xml:space="preserve">, se construyó el plan de acción nacional de </w:t>
      </w:r>
      <w:r w:rsidRPr="007608C2">
        <w:rPr>
          <w:rFonts w:cs="Arial"/>
        </w:rPr>
        <w:lastRenderedPageBreak/>
        <w:t>discapacidad y la “Guía para el registro de las variables de discapacidad en los sistemas de información del ICBF”, la cual fue socializada a través de dos videoconferencias, con la participación de las 33 regionales.</w:t>
      </w:r>
    </w:p>
    <w:p w:rsidR="003907FF" w:rsidRPr="003907FF" w:rsidRDefault="003907FF" w:rsidP="003907FF">
      <w:pPr>
        <w:spacing w:after="0"/>
        <w:jc w:val="both"/>
        <w:rPr>
          <w:rFonts w:cs="Arial"/>
        </w:rPr>
      </w:pPr>
    </w:p>
    <w:p w:rsidR="008819AE" w:rsidRPr="007608C2" w:rsidRDefault="008819AE" w:rsidP="00A44A2B">
      <w:pPr>
        <w:pStyle w:val="Prrafodelista"/>
        <w:numPr>
          <w:ilvl w:val="0"/>
          <w:numId w:val="126"/>
        </w:numPr>
        <w:spacing w:after="0"/>
        <w:jc w:val="both"/>
        <w:rPr>
          <w:rFonts w:cs="Arial"/>
        </w:rPr>
      </w:pPr>
      <w:r w:rsidRPr="007608C2">
        <w:rPr>
          <w:rFonts w:cs="Arial"/>
        </w:rPr>
        <w:t>Se llevó el proceso de selección por licitación pública ICBF LP-003-2017 para seleccionar mediante la modalidad de licitación pública una Sociedad Fiduciaria que administre los bienes de las personas declaradas en interdicción judicial por discapacidad mental absoluta</w:t>
      </w:r>
      <w:r w:rsidRPr="007608C2">
        <w:rPr>
          <w:rStyle w:val="Refdenotaalpie"/>
          <w:rFonts w:cs="Arial"/>
        </w:rPr>
        <w:footnoteReference w:id="13"/>
      </w:r>
      <w:r w:rsidRPr="007608C2">
        <w:rPr>
          <w:rFonts w:cs="Arial"/>
        </w:rPr>
        <w:t>. La licitación fue declarada desierta mediante Resolución N° 5419 del 10 de julio de 2017. De acuerdo con las normas contractuales que aplican al ICBF, se procedió a adelantar el proceso correspondiente a través del proceso de Selección Abreviada, de conformidad con lo establecido en el literal d) numeral 2 del artículo 2 de la Ley 1150 de 2007.</w:t>
      </w:r>
    </w:p>
    <w:p w:rsidR="008819AE" w:rsidRPr="007608C2" w:rsidRDefault="008819AE" w:rsidP="008819AE">
      <w:pPr>
        <w:spacing w:before="240"/>
        <w:jc w:val="both"/>
        <w:rPr>
          <w:rFonts w:cs="Arial"/>
          <w:b/>
        </w:rPr>
      </w:pPr>
      <w:r w:rsidRPr="007608C2">
        <w:rPr>
          <w:rFonts w:cs="Arial"/>
          <w:b/>
        </w:rPr>
        <w:t>Restablecimiento de derechos de niños, niñas y adolescentes víctimas de violencia</w:t>
      </w:r>
    </w:p>
    <w:p w:rsidR="008819AE" w:rsidRDefault="008819AE" w:rsidP="00A44A2B">
      <w:pPr>
        <w:pStyle w:val="Prrafodelista"/>
        <w:numPr>
          <w:ilvl w:val="0"/>
          <w:numId w:val="114"/>
        </w:numPr>
        <w:spacing w:after="0"/>
        <w:jc w:val="both"/>
        <w:rPr>
          <w:rFonts w:cs="Arial"/>
        </w:rPr>
      </w:pPr>
      <w:r w:rsidRPr="007608C2">
        <w:rPr>
          <w:rFonts w:cs="Arial"/>
        </w:rPr>
        <w:t>Se expidió el Lineamiento para la atención de niños, niñas y adolescentes con sus derechos, inobservados, amenazados y vulnerados por causa de la violencia, el cual permite una comprensión más amplia y operacional del concepto de maltrato infantil; aprobado mediante resolución 10666 del 26 de 2017.</w:t>
      </w:r>
    </w:p>
    <w:p w:rsidR="003907FF" w:rsidRPr="007608C2" w:rsidRDefault="003907FF" w:rsidP="003907FF">
      <w:pPr>
        <w:pStyle w:val="Prrafodelista"/>
        <w:spacing w:after="0"/>
        <w:ind w:left="360"/>
        <w:jc w:val="both"/>
        <w:rPr>
          <w:rFonts w:cs="Arial"/>
        </w:rPr>
      </w:pPr>
    </w:p>
    <w:p w:rsidR="008819AE" w:rsidRDefault="008819AE" w:rsidP="00A44A2B">
      <w:pPr>
        <w:pStyle w:val="Prrafodelista"/>
        <w:numPr>
          <w:ilvl w:val="0"/>
          <w:numId w:val="114"/>
        </w:numPr>
        <w:spacing w:after="0"/>
        <w:jc w:val="both"/>
        <w:rPr>
          <w:rFonts w:cs="Arial"/>
        </w:rPr>
      </w:pPr>
      <w:r w:rsidRPr="007608C2">
        <w:rPr>
          <w:rFonts w:cs="Arial"/>
        </w:rPr>
        <w:t>Atendiendo la recomendación del Comité de Derechos de los niños, sobre la abolición del castigo corporal se adelantaron reuniones con las distintas áreas misionales y la oficina de Asesoría Jurídica con el objeto de proponer un proyecto de ley orientado a la prohibición del Castigo Corporal y acciones pedagógicas orientadas a fortalecer la crianza y cuidado brindado por las familias libres de cualquier tipo de violencia.</w:t>
      </w:r>
    </w:p>
    <w:p w:rsidR="003907FF" w:rsidRPr="003907FF" w:rsidRDefault="003907FF" w:rsidP="003907FF">
      <w:pPr>
        <w:spacing w:after="0"/>
        <w:jc w:val="both"/>
        <w:rPr>
          <w:rFonts w:cs="Arial"/>
        </w:rPr>
      </w:pPr>
    </w:p>
    <w:p w:rsidR="008819AE" w:rsidRDefault="008819AE" w:rsidP="00A44A2B">
      <w:pPr>
        <w:pStyle w:val="Prrafodelista"/>
        <w:numPr>
          <w:ilvl w:val="0"/>
          <w:numId w:val="114"/>
        </w:numPr>
        <w:spacing w:after="0"/>
        <w:jc w:val="both"/>
        <w:rPr>
          <w:rFonts w:cs="Arial"/>
        </w:rPr>
      </w:pPr>
      <w:r w:rsidRPr="007608C2">
        <w:rPr>
          <w:rFonts w:cs="Arial"/>
        </w:rPr>
        <w:t>En concordancia con la Directiva de capacitación 2016 dirigida a las Fuerzas Militares y a la Policía Nacional y conforme a las funciones establecidas en el Decreto 987 de 2012 y la Resolución 60 de 2013 del ICBF, se realizaron 5 capacitaciones en Derechos de Infancia y Adolescencia y violencia contra niños, niñas y adolescentes a 300 personas miembros de las fuerzas militares y de Policía, en el marco de un proceso de formación en Derechos Humanos realizado desde el Ministerio de Defensa en las ciudades de Cúcuta, Leticia, Tumaco, Pasto y Carepa.</w:t>
      </w:r>
    </w:p>
    <w:p w:rsidR="003907FF" w:rsidRPr="003907FF" w:rsidRDefault="003907FF" w:rsidP="003907FF">
      <w:pPr>
        <w:spacing w:after="0"/>
        <w:jc w:val="both"/>
        <w:rPr>
          <w:rFonts w:cs="Arial"/>
        </w:rPr>
      </w:pPr>
    </w:p>
    <w:p w:rsidR="008819AE" w:rsidRDefault="008819AE" w:rsidP="00A44A2B">
      <w:pPr>
        <w:pStyle w:val="Prrafodelista"/>
        <w:numPr>
          <w:ilvl w:val="0"/>
          <w:numId w:val="114"/>
        </w:numPr>
        <w:spacing w:after="0"/>
        <w:jc w:val="both"/>
        <w:rPr>
          <w:rFonts w:cs="Arial"/>
        </w:rPr>
      </w:pPr>
      <w:r w:rsidRPr="007608C2">
        <w:rPr>
          <w:rFonts w:cs="Arial"/>
        </w:rPr>
        <w:t xml:space="preserve">De la misma forma en el marco de la Directiva Ministerial número 007 de 2017 referida a la Capacitación coyuntural y extracurricular del 2017, para las fuerzas militares y la policía Nacional en Derechos Humanos, DIH, Derecho internacional de los Derechos Humanos, se realizó capacitación en Derechos de Infancia y Adolescencia y violencia contra niños, niñas y </w:t>
      </w:r>
      <w:r w:rsidRPr="007608C2">
        <w:rPr>
          <w:rFonts w:cs="Arial"/>
        </w:rPr>
        <w:lastRenderedPageBreak/>
        <w:t>adolescentes en las ciudades de Arauca, Florencia, Cartagena, Tolemaida, Tulúa y Quibdó para un total aproximado de 400 miembros de las fuerzas militares y de policía, según lo dispuesto en el Anexo A de dicha directiva.</w:t>
      </w:r>
    </w:p>
    <w:p w:rsidR="003907FF" w:rsidRPr="003907FF" w:rsidRDefault="003907FF" w:rsidP="003907FF">
      <w:pPr>
        <w:spacing w:after="0"/>
        <w:jc w:val="both"/>
        <w:rPr>
          <w:rFonts w:cs="Arial"/>
        </w:rPr>
      </w:pPr>
    </w:p>
    <w:p w:rsidR="008819AE" w:rsidRDefault="008819AE" w:rsidP="00A44A2B">
      <w:pPr>
        <w:pStyle w:val="Prrafodelista"/>
        <w:numPr>
          <w:ilvl w:val="0"/>
          <w:numId w:val="114"/>
        </w:numPr>
        <w:spacing w:after="0"/>
        <w:jc w:val="both"/>
        <w:rPr>
          <w:rFonts w:cs="Arial"/>
        </w:rPr>
      </w:pPr>
      <w:bookmarkStart w:id="95" w:name="_Hlk504485206"/>
      <w:r w:rsidRPr="007608C2">
        <w:rPr>
          <w:rFonts w:cs="Arial"/>
        </w:rPr>
        <w:t xml:space="preserve">Con la finalidad de fortalecer la participación del ICBF en los comités de Convivencia Escolar a nivel Departamental, Distrital y Municipal </w:t>
      </w:r>
      <w:bookmarkEnd w:id="95"/>
      <w:r w:rsidRPr="007608C2">
        <w:rPr>
          <w:rFonts w:cs="Arial"/>
        </w:rPr>
        <w:t xml:space="preserve">en cumplimiento con lo establecido en el Artículo 24 de la Ley 1620 de 2013, la Subdirección de Restablecimiento de Derechos, con apoyo de la Subdirección de Gestión Técnica para la Atención a la Niñez y a la Adolescencia, realizó asistencia técnica a los profesionales que participan en dichos comités en el marco de las competencias del ICBF. De esta manera, se contó con la participación de 20 profesionales de la Regional Santander y CZ; 12 en la Regional Cesar y CZ; y, 43 en la Regional Valle y CZ. En total se contó con la </w:t>
      </w:r>
      <w:r w:rsidR="003907FF">
        <w:rPr>
          <w:rFonts w:cs="Arial"/>
        </w:rPr>
        <w:t>participación de 75 asistentes.</w:t>
      </w:r>
    </w:p>
    <w:p w:rsidR="003907FF" w:rsidRPr="003907FF" w:rsidRDefault="003907FF" w:rsidP="003907FF">
      <w:pPr>
        <w:spacing w:after="0"/>
        <w:jc w:val="both"/>
        <w:rPr>
          <w:rFonts w:cs="Arial"/>
        </w:rPr>
      </w:pPr>
    </w:p>
    <w:p w:rsidR="008819AE" w:rsidRDefault="008819AE" w:rsidP="008819AE">
      <w:pPr>
        <w:pStyle w:val="Prrafodelista"/>
        <w:spacing w:after="0"/>
        <w:ind w:left="360"/>
        <w:jc w:val="both"/>
        <w:rPr>
          <w:rFonts w:cs="Arial"/>
        </w:rPr>
      </w:pPr>
      <w:r w:rsidRPr="007608C2">
        <w:rPr>
          <w:rFonts w:cs="Arial"/>
        </w:rPr>
        <w:t>Se llevó a cabo asistencia técnica a los Comités Departamentales de Convivencia Escolar de las Regionales Santander, Cesar y Valle, de acuerdo con solicitud efectuada por las mismas, contando con la participación de 12, 11 y 13 asistentes respectivamente de las diferentes instituciones que conforman dichos comités, para un total de 36 profesionales.</w:t>
      </w:r>
    </w:p>
    <w:p w:rsidR="003907FF" w:rsidRPr="003907FF" w:rsidRDefault="003907FF" w:rsidP="003907FF">
      <w:pPr>
        <w:spacing w:after="0"/>
        <w:jc w:val="both"/>
        <w:rPr>
          <w:rFonts w:cs="Arial"/>
        </w:rPr>
      </w:pPr>
    </w:p>
    <w:p w:rsidR="008819AE" w:rsidRDefault="008819AE" w:rsidP="00A44A2B">
      <w:pPr>
        <w:pStyle w:val="Prrafodelista"/>
        <w:numPr>
          <w:ilvl w:val="0"/>
          <w:numId w:val="115"/>
        </w:numPr>
        <w:spacing w:after="0"/>
        <w:ind w:left="360"/>
        <w:jc w:val="both"/>
        <w:rPr>
          <w:rFonts w:cs="Arial"/>
        </w:rPr>
      </w:pPr>
      <w:r w:rsidRPr="007608C2">
        <w:rPr>
          <w:rFonts w:cs="Arial"/>
        </w:rPr>
        <w:t>En la Regional Cesar se llevó a cabo jornada de fortalecimiento en protocolos y rutas de atención en los casos de violencia escolar situaciones tipo II, dirigido a rectores, jefes de núcleo del Departamento y Municipio de Valledupar, contando con 40 asistentes.</w:t>
      </w:r>
    </w:p>
    <w:p w:rsidR="003907FF" w:rsidRPr="007608C2" w:rsidRDefault="003907FF" w:rsidP="003907FF">
      <w:pPr>
        <w:pStyle w:val="Prrafodelista"/>
        <w:spacing w:after="0"/>
        <w:ind w:left="360"/>
        <w:jc w:val="both"/>
        <w:rPr>
          <w:rFonts w:cs="Arial"/>
        </w:rPr>
      </w:pPr>
    </w:p>
    <w:p w:rsidR="008819AE" w:rsidRDefault="008819AE" w:rsidP="00A44A2B">
      <w:pPr>
        <w:pStyle w:val="Prrafodelista"/>
        <w:numPr>
          <w:ilvl w:val="0"/>
          <w:numId w:val="115"/>
        </w:numPr>
        <w:spacing w:after="0"/>
        <w:ind w:left="360"/>
        <w:jc w:val="both"/>
        <w:rPr>
          <w:rFonts w:cs="Arial"/>
        </w:rPr>
      </w:pPr>
      <w:r w:rsidRPr="007608C2">
        <w:rPr>
          <w:rFonts w:cs="Arial"/>
        </w:rPr>
        <w:t>Se desarrolló el ABC-Caja de Herramientas con la estructura definida como estrategia de aprehensión del Anexo N° 8 “Actuaciones especiales para la atención de niños, niñas y adolescentes en el marco de la Convivencia Educativa para las situaciones tipo II de agresión escolar, acoso escolar y ciberacoso y tipo III de agresión escolar que sean cons</w:t>
      </w:r>
      <w:r w:rsidR="003907FF">
        <w:rPr>
          <w:rFonts w:cs="Arial"/>
        </w:rPr>
        <w:t>titutivas de presuntos delitos”.</w:t>
      </w:r>
    </w:p>
    <w:p w:rsidR="003907FF" w:rsidRPr="003907FF" w:rsidRDefault="003907FF" w:rsidP="003907FF">
      <w:pPr>
        <w:spacing w:after="0"/>
        <w:jc w:val="both"/>
        <w:rPr>
          <w:rFonts w:cs="Arial"/>
        </w:rPr>
      </w:pPr>
    </w:p>
    <w:p w:rsidR="003907FF" w:rsidRPr="003907FF" w:rsidRDefault="008819AE" w:rsidP="00A44A2B">
      <w:pPr>
        <w:pStyle w:val="Prrafodelista"/>
        <w:numPr>
          <w:ilvl w:val="0"/>
          <w:numId w:val="115"/>
        </w:numPr>
        <w:spacing w:after="0"/>
        <w:ind w:left="360"/>
        <w:jc w:val="both"/>
        <w:rPr>
          <w:rFonts w:cs="Arial"/>
        </w:rPr>
      </w:pPr>
      <w:r w:rsidRPr="007608C2">
        <w:rPr>
          <w:rFonts w:cs="Arial"/>
        </w:rPr>
        <w:t>Se participó en la Mesa Técnica Nacional de Convivencia Escolar, con el objetivo de avanzar en la construcción de presentaciones conjuntas sobre las Competencias de las entidades que conforman el Sistema Nacional de Convivencia Escolar, respecto a lo establecido en la ruta de atención para las situaciones tipo II, así como construcción de metodología de acompañamiento a las entidades territoriales.</w:t>
      </w:r>
    </w:p>
    <w:p w:rsidR="003907FF" w:rsidRPr="003907FF" w:rsidRDefault="003907FF" w:rsidP="003907FF">
      <w:pPr>
        <w:spacing w:after="0"/>
        <w:jc w:val="both"/>
        <w:rPr>
          <w:rFonts w:cs="Arial"/>
        </w:rPr>
      </w:pPr>
    </w:p>
    <w:p w:rsidR="003907FF" w:rsidRDefault="008819AE" w:rsidP="00A44A2B">
      <w:pPr>
        <w:pStyle w:val="Prrafodelista"/>
        <w:numPr>
          <w:ilvl w:val="0"/>
          <w:numId w:val="115"/>
        </w:numPr>
        <w:spacing w:after="0"/>
        <w:ind w:left="360"/>
        <w:jc w:val="both"/>
        <w:rPr>
          <w:rFonts w:cs="Arial"/>
        </w:rPr>
      </w:pPr>
      <w:r w:rsidRPr="007608C2">
        <w:rPr>
          <w:rFonts w:cs="Arial"/>
        </w:rPr>
        <w:t>Se participó en la Mesa del Sistema Unificado de Información de Convivencia Escolar, con el objetivo de definir la información y categorías que podrían ser incluidas en el sistema, de acuerdo con los casos reportados al ICBF.</w:t>
      </w:r>
    </w:p>
    <w:p w:rsidR="003907FF" w:rsidRPr="003907FF" w:rsidRDefault="003907FF" w:rsidP="003907FF">
      <w:pPr>
        <w:pStyle w:val="Prrafodelista"/>
        <w:rPr>
          <w:rFonts w:cs="Arial"/>
        </w:rPr>
      </w:pPr>
    </w:p>
    <w:p w:rsidR="003907FF" w:rsidRPr="003907FF" w:rsidRDefault="003907FF" w:rsidP="003907FF">
      <w:pPr>
        <w:pStyle w:val="Prrafodelista"/>
        <w:spacing w:after="0"/>
        <w:ind w:left="360"/>
        <w:jc w:val="both"/>
        <w:rPr>
          <w:rFonts w:cs="Arial"/>
        </w:rPr>
      </w:pPr>
    </w:p>
    <w:p w:rsidR="008819AE" w:rsidRDefault="008819AE" w:rsidP="00A44A2B">
      <w:pPr>
        <w:pStyle w:val="Prrafodelista"/>
        <w:numPr>
          <w:ilvl w:val="0"/>
          <w:numId w:val="115"/>
        </w:numPr>
        <w:spacing w:after="0"/>
        <w:ind w:left="360"/>
        <w:jc w:val="both"/>
        <w:rPr>
          <w:rFonts w:cs="Arial"/>
        </w:rPr>
      </w:pPr>
      <w:r w:rsidRPr="007608C2">
        <w:rPr>
          <w:rFonts w:cs="Arial"/>
        </w:rPr>
        <w:lastRenderedPageBreak/>
        <w:t>Se brindó asistencia técnica permanente a las Regionales del ICBF para implementación y activación de la ruta de atención integral, desde el componente de atención y seguimiento.</w:t>
      </w:r>
    </w:p>
    <w:p w:rsidR="003907FF" w:rsidRPr="007608C2" w:rsidRDefault="003907FF" w:rsidP="003907FF">
      <w:pPr>
        <w:pStyle w:val="Prrafodelista"/>
        <w:spacing w:after="0"/>
        <w:ind w:left="360"/>
        <w:jc w:val="both"/>
        <w:rPr>
          <w:rFonts w:cs="Arial"/>
        </w:rPr>
      </w:pPr>
    </w:p>
    <w:p w:rsidR="008819AE" w:rsidRDefault="008819AE" w:rsidP="00A44A2B">
      <w:pPr>
        <w:pStyle w:val="Prrafodelista"/>
        <w:numPr>
          <w:ilvl w:val="0"/>
          <w:numId w:val="115"/>
        </w:numPr>
        <w:spacing w:after="0"/>
        <w:ind w:left="360"/>
        <w:jc w:val="both"/>
        <w:rPr>
          <w:rFonts w:cs="Arial"/>
        </w:rPr>
      </w:pPr>
      <w:r w:rsidRPr="007608C2">
        <w:rPr>
          <w:rFonts w:cs="Arial"/>
        </w:rPr>
        <w:t>Se desarrolló el ABC-Caja de Herramientas, con la estructura definida para el objetivo de la estrategia de aprehensión del Anexo N° 2 “Atención de los hijos e hijas menores de 18 años de edad de la población interna en los establecimientos de reclusión, cuyos derechos se encuentran inobservados, amenazados o vulnerados el cual hace parte del lineamiento Técnico Administrativo de Ruta de actuaciones para el restablecimiento de derechos de niños, niñas y adolescentes con sus derechos inobservados, amenazado</w:t>
      </w:r>
      <w:r w:rsidR="003907FF">
        <w:rPr>
          <w:rFonts w:cs="Arial"/>
        </w:rPr>
        <w:t>s o vulnerados”.</w:t>
      </w:r>
    </w:p>
    <w:p w:rsidR="003907FF" w:rsidRPr="003907FF" w:rsidRDefault="003907FF" w:rsidP="003907FF">
      <w:pPr>
        <w:spacing w:after="0"/>
        <w:jc w:val="both"/>
        <w:rPr>
          <w:rFonts w:cs="Arial"/>
        </w:rPr>
      </w:pPr>
    </w:p>
    <w:p w:rsidR="008819AE" w:rsidRDefault="008819AE" w:rsidP="00A44A2B">
      <w:pPr>
        <w:pStyle w:val="Prrafodelista"/>
        <w:numPr>
          <w:ilvl w:val="0"/>
          <w:numId w:val="115"/>
        </w:numPr>
        <w:spacing w:after="0"/>
        <w:ind w:left="360"/>
        <w:jc w:val="both"/>
        <w:rPr>
          <w:rFonts w:cs="Arial"/>
        </w:rPr>
      </w:pPr>
      <w:r w:rsidRPr="007608C2">
        <w:rPr>
          <w:rFonts w:cs="Arial"/>
        </w:rPr>
        <w:t>Se requirió al Sistema Nacional de Bienestar Familiar que solicitara a los entes territoriales la participación del INPEC en los Consejos de Política Social Territorial para la atención de los hijos e hijas de la población privada de libertad.</w:t>
      </w:r>
    </w:p>
    <w:p w:rsidR="003907FF" w:rsidRPr="003907FF" w:rsidRDefault="003907FF" w:rsidP="003907FF">
      <w:pPr>
        <w:spacing w:after="0"/>
        <w:jc w:val="both"/>
        <w:rPr>
          <w:rFonts w:cs="Arial"/>
        </w:rPr>
      </w:pPr>
    </w:p>
    <w:p w:rsidR="008819AE" w:rsidRDefault="008819AE" w:rsidP="00A44A2B">
      <w:pPr>
        <w:pStyle w:val="Prrafodelista"/>
        <w:numPr>
          <w:ilvl w:val="0"/>
          <w:numId w:val="115"/>
        </w:numPr>
        <w:spacing w:after="0"/>
        <w:ind w:left="360"/>
        <w:jc w:val="both"/>
        <w:rPr>
          <w:rFonts w:cs="Arial"/>
        </w:rPr>
      </w:pPr>
      <w:r w:rsidRPr="007608C2">
        <w:rPr>
          <w:rFonts w:cs="Arial"/>
        </w:rPr>
        <w:t>Se brindó asistencia técnica conjunta entre las Direcciones de Protección y Primera Infancia a profesionales de las Regionales y Centros Zonales del ICBF, en donde se encuentra la modalidad de atención de Primera Infancia y seguimiento a lo dispuesto en el anexo No 2. Se contó con la participación de 19 profesionales de Bogotá; 7 de Tolima; 11 de Santander; 7 de Cauca; 10 de Antioquia; 19 de Norte de Santander; 9 de Valle del Cauca; y, 5 de Risaralda. Par</w:t>
      </w:r>
      <w:r w:rsidR="003907FF">
        <w:rPr>
          <w:rFonts w:cs="Arial"/>
        </w:rPr>
        <w:t>a un total de 87 profesionales.</w:t>
      </w:r>
    </w:p>
    <w:p w:rsidR="003907FF" w:rsidRPr="003907FF" w:rsidRDefault="003907FF" w:rsidP="003907FF">
      <w:pPr>
        <w:spacing w:after="0"/>
        <w:jc w:val="both"/>
        <w:rPr>
          <w:rFonts w:cs="Arial"/>
        </w:rPr>
      </w:pPr>
    </w:p>
    <w:p w:rsidR="008819AE" w:rsidRDefault="008819AE" w:rsidP="00A44A2B">
      <w:pPr>
        <w:pStyle w:val="Prrafodelista"/>
        <w:numPr>
          <w:ilvl w:val="0"/>
          <w:numId w:val="116"/>
        </w:numPr>
        <w:spacing w:after="0"/>
        <w:ind w:left="360"/>
        <w:jc w:val="both"/>
        <w:rPr>
          <w:rFonts w:cs="Arial"/>
        </w:rPr>
      </w:pPr>
      <w:r w:rsidRPr="007608C2">
        <w:rPr>
          <w:rFonts w:cs="Arial"/>
        </w:rPr>
        <w:t>Se realizaron visitas conjuntas con la Dirección de Primera Infancia a los establecimientos de reclusión de mujeres de Bogotá, Ibagué, Bucaramanga, Popayán, Medellín, Dos Quebradas y Jamundí, con el objetivo de aplicar lista de chequeo de cumplimiento de las acciones definidas en anexo N° 2, seguimiento a la activación de rutas de atención por parte del ICBF e INPEC y seguimiento a la atención brindada a los niños y niñas menores de tres años de edad que permanecen junto con sus progenitoras dentro de los establecimiento.</w:t>
      </w:r>
    </w:p>
    <w:p w:rsidR="003907FF" w:rsidRPr="003907FF" w:rsidRDefault="003907FF" w:rsidP="003907FF">
      <w:pPr>
        <w:spacing w:after="0"/>
        <w:jc w:val="both"/>
        <w:rPr>
          <w:rFonts w:cs="Arial"/>
        </w:rPr>
      </w:pPr>
    </w:p>
    <w:p w:rsidR="008819AE" w:rsidRDefault="008819AE" w:rsidP="00A44A2B">
      <w:pPr>
        <w:pStyle w:val="Prrafodelista"/>
        <w:numPr>
          <w:ilvl w:val="0"/>
          <w:numId w:val="116"/>
        </w:numPr>
        <w:spacing w:after="0"/>
        <w:ind w:left="360"/>
        <w:jc w:val="both"/>
        <w:rPr>
          <w:rFonts w:cs="Arial"/>
        </w:rPr>
      </w:pPr>
      <w:r w:rsidRPr="007608C2">
        <w:rPr>
          <w:rFonts w:cs="Arial"/>
        </w:rPr>
        <w:t>Se construyó con la Dirección de Primera Infancia del documento que establece la atención para la permanencia de niños y niñas menores de tres años en establecimientos de reclusión, en donde no se encuentra la</w:t>
      </w:r>
      <w:r w:rsidR="003907FF">
        <w:rPr>
          <w:rFonts w:cs="Arial"/>
        </w:rPr>
        <w:t xml:space="preserve"> Modalidad de Primera Infancia.</w:t>
      </w:r>
    </w:p>
    <w:p w:rsidR="003907FF" w:rsidRPr="003907FF" w:rsidRDefault="003907FF" w:rsidP="003907FF">
      <w:pPr>
        <w:spacing w:after="0"/>
        <w:jc w:val="both"/>
        <w:rPr>
          <w:rFonts w:cs="Arial"/>
        </w:rPr>
      </w:pPr>
    </w:p>
    <w:p w:rsidR="008819AE" w:rsidRPr="007608C2" w:rsidRDefault="008819AE" w:rsidP="00A44A2B">
      <w:pPr>
        <w:pStyle w:val="Prrafodelista"/>
        <w:numPr>
          <w:ilvl w:val="0"/>
          <w:numId w:val="116"/>
        </w:numPr>
        <w:spacing w:after="0"/>
        <w:ind w:left="360"/>
        <w:jc w:val="both"/>
        <w:rPr>
          <w:rFonts w:cs="Arial"/>
        </w:rPr>
      </w:pPr>
      <w:r w:rsidRPr="007608C2">
        <w:rPr>
          <w:rFonts w:cs="Arial"/>
        </w:rPr>
        <w:t>Se vinculó a la Subdirección de Restablecimiento de Derechos en la organización y desarrollo del “Encuentro Académico Reflexiones y Desafíos de la Acción de la Política sobre la Garantía de Derechos de la Primera Infancia en Centros de Reclusión de Mujeres”. Este tuvo como objetivo desarrollar un encuentro académico para reflexionar y analizar los desafíos y logros de la Política para el Desarrollo Integral de la Primera Infancia “De Cero a Siempre” frente a la garantía de derechos de niñas y niños menores de tres años atendidos en las reclusiones de mujeres del País. Dicho encuentro contó con la participación de las Defensorías de Familia de los centros zonales que garantizan la atención a dicha población.</w:t>
      </w:r>
    </w:p>
    <w:p w:rsidR="008819AE" w:rsidRPr="007608C2" w:rsidRDefault="008819AE" w:rsidP="008819AE">
      <w:pPr>
        <w:spacing w:before="240"/>
        <w:jc w:val="both"/>
        <w:rPr>
          <w:rFonts w:cs="Arial"/>
          <w:b/>
        </w:rPr>
      </w:pPr>
      <w:r w:rsidRPr="007608C2">
        <w:rPr>
          <w:rFonts w:cs="Arial"/>
          <w:b/>
        </w:rPr>
        <w:lastRenderedPageBreak/>
        <w:t>Modalidades de Vulneración</w:t>
      </w:r>
    </w:p>
    <w:p w:rsidR="008819AE" w:rsidRDefault="008819AE" w:rsidP="00A44A2B">
      <w:pPr>
        <w:pStyle w:val="Prrafodelista"/>
        <w:numPr>
          <w:ilvl w:val="0"/>
          <w:numId w:val="116"/>
        </w:numPr>
        <w:spacing w:after="0"/>
        <w:ind w:left="360"/>
        <w:jc w:val="both"/>
        <w:rPr>
          <w:rFonts w:cs="Arial"/>
        </w:rPr>
      </w:pPr>
      <w:r w:rsidRPr="007608C2">
        <w:rPr>
          <w:rFonts w:cs="Arial"/>
        </w:rPr>
        <w:t>Se fortaleció la implementación y aprehensión de los Lineamientos Técnicos de las Modalidades Externado Media Jornada y Jornada Completa y el Lineamiento del Modelo de Atención, en las Regionales de Tolima (Asociación Cristina de Jóvenes ACJ - Externado Media Jornada); Boyacá (Amparo del Niño Tunja -Externado Media Jornada y Jornada Completa); Bolívar (Renacer -Externado Media Jornada); Huila (Albergue Infantil Mercedes Perdomo de Liévano -Externado Media Jornada y Jornada Completa); Caldas (Cruzadas Social - Externado Media Jornada); y Guajira (Secretariado Pastoral Social y Minicol - Externado Media Jornada). En total se Visitaron seis (6) Operadores d</w:t>
      </w:r>
      <w:r w:rsidR="003907FF">
        <w:rPr>
          <w:rFonts w:cs="Arial"/>
        </w:rPr>
        <w:t>e las modalidades de Externado.</w:t>
      </w:r>
    </w:p>
    <w:p w:rsidR="003907FF" w:rsidRPr="007608C2" w:rsidRDefault="003907FF" w:rsidP="003907FF">
      <w:pPr>
        <w:pStyle w:val="Prrafodelista"/>
        <w:spacing w:after="0"/>
        <w:ind w:left="360"/>
        <w:jc w:val="both"/>
        <w:rPr>
          <w:rFonts w:cs="Arial"/>
        </w:rPr>
      </w:pPr>
    </w:p>
    <w:p w:rsidR="008819AE" w:rsidRDefault="008819AE" w:rsidP="00A44A2B">
      <w:pPr>
        <w:pStyle w:val="Prrafodelista"/>
        <w:numPr>
          <w:ilvl w:val="0"/>
          <w:numId w:val="116"/>
        </w:numPr>
        <w:spacing w:after="0"/>
        <w:ind w:left="360"/>
        <w:jc w:val="both"/>
        <w:rPr>
          <w:rFonts w:cs="Arial"/>
        </w:rPr>
      </w:pPr>
      <w:r w:rsidRPr="007608C2">
        <w:rPr>
          <w:rFonts w:cs="Arial"/>
        </w:rPr>
        <w:t>De las 12 Regionales del ICBF que tenían contratadas en el primer semestre del año las modalidades de atención Externado-Media Jornada y Externado Jornada Completa Vulneración, se priorizaron 6 Regionales. Durante el mes de marzo se llevaron a cabo las jornadas de asistencia técnica con seis (6) operadores Externado Media Jornada (25 asistentes) de a Regional Tolima; dos (2) operadores, uno con las dos modalidades de Externado y otro con Externado Jornada Completa (20 asistentes) de Boyacá; dos (2) operadores de Modalidad Externado Jornada Completa (8 asistentes) Bolívar; dos (2) operadores, uno con las dos modalidades de Externado y otro con Externado Media Jornada (11 Asistentes) de Huila; cuatro (4) operadores de Modalidad Externado Media Jornada (11 Asistentes) de Caldas; y dos (2) operadores de Modalidad Externado Media Jornada (14 Asistentes). Para un total de</w:t>
      </w:r>
      <w:r w:rsidR="003907FF">
        <w:rPr>
          <w:rFonts w:cs="Arial"/>
        </w:rPr>
        <w:t xml:space="preserve"> 89 asistentes.</w:t>
      </w:r>
    </w:p>
    <w:p w:rsidR="003907FF" w:rsidRPr="003907FF" w:rsidRDefault="003907FF" w:rsidP="003907FF">
      <w:pPr>
        <w:spacing w:after="0"/>
        <w:jc w:val="both"/>
        <w:rPr>
          <w:rFonts w:cs="Arial"/>
        </w:rPr>
      </w:pPr>
    </w:p>
    <w:p w:rsidR="008819AE" w:rsidRDefault="003907FF" w:rsidP="00A44A2B">
      <w:pPr>
        <w:pStyle w:val="Prrafodelista"/>
        <w:numPr>
          <w:ilvl w:val="0"/>
          <w:numId w:val="117"/>
        </w:numPr>
        <w:spacing w:after="0"/>
        <w:ind w:left="360"/>
        <w:jc w:val="both"/>
        <w:rPr>
          <w:rFonts w:cs="Arial"/>
        </w:rPr>
      </w:pPr>
      <w:r>
        <w:rPr>
          <w:rFonts w:cs="Arial"/>
        </w:rPr>
        <w:t>S</w:t>
      </w:r>
      <w:r w:rsidR="008819AE" w:rsidRPr="007608C2">
        <w:rPr>
          <w:rFonts w:cs="Arial"/>
        </w:rPr>
        <w:t>e visitaron cinco (5) Operadores de las modalidades Internado en Bogotá (Fundación Laudes); Risaralda (Jesús de la Buena Esperanza, Moi Pour Toi y Fundacion Nuestro Hogar); y Norte de Sant</w:t>
      </w:r>
      <w:r>
        <w:rPr>
          <w:rFonts w:cs="Arial"/>
        </w:rPr>
        <w:t>ander (ONG- Crecer en Familia).</w:t>
      </w:r>
    </w:p>
    <w:p w:rsidR="003907FF" w:rsidRPr="007608C2" w:rsidRDefault="003907FF" w:rsidP="003907FF">
      <w:pPr>
        <w:pStyle w:val="Prrafodelista"/>
        <w:spacing w:after="0"/>
        <w:ind w:left="360"/>
        <w:jc w:val="both"/>
        <w:rPr>
          <w:rFonts w:cs="Arial"/>
        </w:rPr>
      </w:pPr>
    </w:p>
    <w:p w:rsidR="008819AE" w:rsidRDefault="008819AE" w:rsidP="00A44A2B">
      <w:pPr>
        <w:pStyle w:val="Prrafodelista"/>
        <w:numPr>
          <w:ilvl w:val="0"/>
          <w:numId w:val="117"/>
        </w:numPr>
        <w:spacing w:after="0"/>
        <w:ind w:left="360"/>
        <w:jc w:val="both"/>
        <w:rPr>
          <w:rFonts w:cs="Arial"/>
        </w:rPr>
      </w:pPr>
      <w:r w:rsidRPr="007608C2">
        <w:rPr>
          <w:rFonts w:cs="Arial"/>
        </w:rPr>
        <w:t>Se adelantaron mesas de trabajo con profesionales de las Regionales del ICBF (Bogotá, Risaralda y Norte de Santander) pertenecientes a los Grupos de Asistencia Técnica, con el objetivo de generar acciones conjuntas con las regionales para fortalecer el proceso de atención, basados en los hallazgos de la matriz de los Comités de Inspección, Vigilancia y Control – IVC</w:t>
      </w:r>
      <w:r w:rsidR="003907FF">
        <w:rPr>
          <w:rFonts w:cs="Arial"/>
        </w:rPr>
        <w:t>.</w:t>
      </w:r>
    </w:p>
    <w:p w:rsidR="006B2D87" w:rsidRPr="003907FF" w:rsidRDefault="006B2D87" w:rsidP="003907FF">
      <w:pPr>
        <w:spacing w:after="0"/>
        <w:jc w:val="both"/>
        <w:rPr>
          <w:rFonts w:cs="Arial"/>
        </w:rPr>
      </w:pPr>
    </w:p>
    <w:p w:rsidR="008819AE" w:rsidRDefault="008819AE" w:rsidP="00A44A2B">
      <w:pPr>
        <w:pStyle w:val="Prrafodelista"/>
        <w:numPr>
          <w:ilvl w:val="0"/>
          <w:numId w:val="117"/>
        </w:numPr>
        <w:spacing w:after="0"/>
        <w:ind w:left="360"/>
        <w:jc w:val="both"/>
        <w:rPr>
          <w:rFonts w:cs="Arial"/>
        </w:rPr>
      </w:pPr>
      <w:r w:rsidRPr="007608C2">
        <w:rPr>
          <w:rFonts w:cs="Arial"/>
        </w:rPr>
        <w:t>Se elaboró memorando dirigido a las 33 Regionales del ICBF impartiendo directrices relacionadas con el tema de Evasiones y solicitando diligenciamiento de matriz elaborada para registro de evasiones de las modalidades Internado y Casa hogar Vulneración.</w:t>
      </w:r>
    </w:p>
    <w:p w:rsidR="006B2D87" w:rsidRPr="006B2D87" w:rsidRDefault="006B2D87" w:rsidP="006B2D87">
      <w:pPr>
        <w:spacing w:after="0"/>
        <w:jc w:val="both"/>
        <w:rPr>
          <w:rFonts w:cs="Arial"/>
        </w:rPr>
      </w:pPr>
    </w:p>
    <w:p w:rsidR="008819AE" w:rsidRDefault="008819AE" w:rsidP="00A44A2B">
      <w:pPr>
        <w:pStyle w:val="Prrafodelista"/>
        <w:numPr>
          <w:ilvl w:val="0"/>
          <w:numId w:val="117"/>
        </w:numPr>
        <w:spacing w:after="0"/>
        <w:ind w:left="360"/>
        <w:jc w:val="both"/>
        <w:rPr>
          <w:rFonts w:cs="Arial"/>
        </w:rPr>
      </w:pPr>
      <w:r w:rsidRPr="007608C2">
        <w:rPr>
          <w:rFonts w:cs="Arial"/>
        </w:rPr>
        <w:lastRenderedPageBreak/>
        <w:t>Se efectuó de manera mensual seguimiento a la información reportada por las Regionales frente a las evasiones de las modalidades internado vulneración y casa hogar vulneración y cruce con lo registrado en el Sistema de Información Misional-SIM.</w:t>
      </w:r>
    </w:p>
    <w:p w:rsidR="003907FF" w:rsidRPr="007608C2" w:rsidRDefault="003907FF" w:rsidP="003907FF">
      <w:pPr>
        <w:pStyle w:val="Prrafodelista"/>
        <w:spacing w:after="0"/>
        <w:ind w:left="360"/>
        <w:jc w:val="both"/>
        <w:rPr>
          <w:rFonts w:cs="Arial"/>
        </w:rPr>
      </w:pPr>
    </w:p>
    <w:p w:rsidR="008819AE" w:rsidRDefault="008819AE" w:rsidP="00A44A2B">
      <w:pPr>
        <w:pStyle w:val="Prrafodelista"/>
        <w:numPr>
          <w:ilvl w:val="0"/>
          <w:numId w:val="117"/>
        </w:numPr>
        <w:spacing w:after="0"/>
        <w:ind w:left="360"/>
        <w:jc w:val="both"/>
        <w:rPr>
          <w:rFonts w:cs="Arial"/>
        </w:rPr>
      </w:pPr>
      <w:r w:rsidRPr="007608C2">
        <w:rPr>
          <w:rFonts w:cs="Arial"/>
        </w:rPr>
        <w:t>Se elaboró segundo memorando relacionado con los aspectos para tener en cuenta respecto a las evasiones de niños, niñas y adolescentes ubicados en las Modalidades de Casa Hogar Vulneración e Internados Vulneración, así como el cruce de la información reportada por las regionales frente a lo registrado en el SIM, remitiendo el mismo a las Regionales que presentaron inconsistencia en el cruce de dicha información.</w:t>
      </w:r>
    </w:p>
    <w:p w:rsidR="003907FF" w:rsidRPr="003907FF" w:rsidRDefault="003907FF" w:rsidP="003907FF">
      <w:pPr>
        <w:spacing w:after="0"/>
        <w:jc w:val="both"/>
        <w:rPr>
          <w:rFonts w:cs="Arial"/>
        </w:rPr>
      </w:pPr>
    </w:p>
    <w:p w:rsidR="008819AE" w:rsidRDefault="008819AE" w:rsidP="00A44A2B">
      <w:pPr>
        <w:pStyle w:val="Prrafodelista"/>
        <w:numPr>
          <w:ilvl w:val="0"/>
          <w:numId w:val="117"/>
        </w:numPr>
        <w:spacing w:after="0"/>
        <w:ind w:left="360"/>
        <w:jc w:val="both"/>
        <w:rPr>
          <w:rFonts w:cs="Arial"/>
        </w:rPr>
      </w:pPr>
      <w:r w:rsidRPr="007608C2">
        <w:rPr>
          <w:rFonts w:cs="Arial"/>
        </w:rPr>
        <w:t>Se articuló con el equipo de la Subdirección de Restablecimiento de Derechos para la revisión y ajustes a la “Guía de orientaciones para la seguridad y prevención de situaciones de riesgo de los niños, niñas y adolescentes”, documento que ya fue revisado y retroalimentado por las Regionales del ICBF, los Operadores de las Modalidades de Restablecimiento de Derechos, la Dirección de Primera Infancia y la Oficina de Aseguramiento a la Calidad. La Guía fue validada por la Subdirección de Mejoramiento Organizacional y se publicó en la intranet.</w:t>
      </w:r>
    </w:p>
    <w:p w:rsidR="003907FF" w:rsidRPr="003907FF" w:rsidRDefault="003907FF" w:rsidP="003907FF">
      <w:pPr>
        <w:spacing w:after="0"/>
        <w:jc w:val="both"/>
        <w:rPr>
          <w:rFonts w:cs="Arial"/>
        </w:rPr>
      </w:pPr>
    </w:p>
    <w:p w:rsidR="008819AE" w:rsidRPr="007608C2" w:rsidRDefault="008819AE" w:rsidP="00A44A2B">
      <w:pPr>
        <w:pStyle w:val="Prrafodelista"/>
        <w:numPr>
          <w:ilvl w:val="0"/>
          <w:numId w:val="117"/>
        </w:numPr>
        <w:spacing w:after="0"/>
        <w:ind w:left="360"/>
        <w:jc w:val="both"/>
        <w:rPr>
          <w:rFonts w:cs="Arial"/>
        </w:rPr>
      </w:pPr>
      <w:r w:rsidRPr="007608C2">
        <w:rPr>
          <w:rFonts w:cs="Arial"/>
        </w:rPr>
        <w:t>Se llevó a cabo asistencia técnica a dos operadores de Boyacá (Fundación Baudilio Acero Sogamoso y Casa Hogar Madre Elisa Siervas De La Madre De Dios) y profesionales regionales de Risaralda priorizados que desarrollan la modalidad internado para niños, niñas y adolescentes con derechos inobservados, amenazados o vulnerados que obtuvieron calificación por debajo del 70% en el componente técnico, en las visitas de segu</w:t>
      </w:r>
      <w:r w:rsidR="003907FF">
        <w:rPr>
          <w:rFonts w:cs="Arial"/>
        </w:rPr>
        <w:t>imiento a la implementación de l</w:t>
      </w:r>
      <w:r w:rsidRPr="007608C2">
        <w:rPr>
          <w:rFonts w:cs="Arial"/>
        </w:rPr>
        <w:t>ineamientos.</w:t>
      </w:r>
    </w:p>
    <w:p w:rsidR="008819AE" w:rsidRPr="007608C2" w:rsidRDefault="008819AE" w:rsidP="008819AE">
      <w:pPr>
        <w:spacing w:before="240"/>
        <w:jc w:val="both"/>
        <w:rPr>
          <w:rFonts w:cs="Arial"/>
          <w:b/>
        </w:rPr>
      </w:pPr>
      <w:r w:rsidRPr="007608C2">
        <w:rPr>
          <w:rFonts w:cs="Arial"/>
          <w:b/>
        </w:rPr>
        <w:t>Hogares Sustitutos</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0" w:type="dxa"/>
          <w:right w:w="0" w:type="dxa"/>
        </w:tblCellMar>
        <w:tblLook w:val="04A0" w:firstRow="1" w:lastRow="0" w:firstColumn="1" w:lastColumn="0" w:noHBand="0" w:noVBand="1"/>
      </w:tblPr>
      <w:tblGrid>
        <w:gridCol w:w="2472"/>
        <w:gridCol w:w="1470"/>
        <w:gridCol w:w="1120"/>
        <w:gridCol w:w="1291"/>
      </w:tblGrid>
      <w:tr w:rsidR="008819AE" w:rsidRPr="007608C2" w:rsidTr="004D7C88">
        <w:trPr>
          <w:trHeight w:val="255"/>
          <w:tblHeader/>
          <w:jc w:val="center"/>
        </w:trPr>
        <w:tc>
          <w:tcPr>
            <w:tcW w:w="0" w:type="auto"/>
            <w:vMerge w:val="restart"/>
            <w:shd w:val="clear" w:color="auto" w:fill="76922E"/>
            <w:noWrap/>
            <w:tcMar>
              <w:top w:w="0" w:type="dxa"/>
              <w:left w:w="70" w:type="dxa"/>
              <w:bottom w:w="0" w:type="dxa"/>
              <w:right w:w="70" w:type="dxa"/>
            </w:tcMar>
            <w:vAlign w:val="center"/>
            <w:hideMark/>
          </w:tcPr>
          <w:p w:rsidR="008819AE" w:rsidRPr="003907FF" w:rsidRDefault="008819AE" w:rsidP="00476EF8">
            <w:pPr>
              <w:spacing w:after="0" w:line="240" w:lineRule="auto"/>
              <w:jc w:val="center"/>
              <w:rPr>
                <w:rFonts w:cs="Arial"/>
                <w:color w:val="FFFFFF" w:themeColor="background1"/>
                <w:sz w:val="18"/>
                <w:szCs w:val="20"/>
                <w:lang w:val="es-CO" w:eastAsia="es-CO"/>
              </w:rPr>
            </w:pPr>
            <w:r w:rsidRPr="003907FF">
              <w:rPr>
                <w:rFonts w:cs="Arial"/>
                <w:color w:val="FFFFFF" w:themeColor="background1"/>
                <w:sz w:val="18"/>
                <w:szCs w:val="20"/>
                <w:lang w:eastAsia="es-CO"/>
              </w:rPr>
              <w:t> </w:t>
            </w:r>
          </w:p>
          <w:p w:rsidR="008819AE" w:rsidRPr="003907FF" w:rsidRDefault="008819AE" w:rsidP="00476EF8">
            <w:pPr>
              <w:spacing w:after="0" w:line="240" w:lineRule="auto"/>
              <w:jc w:val="center"/>
              <w:rPr>
                <w:rFonts w:cs="Arial"/>
                <w:color w:val="FFFFFF" w:themeColor="background1"/>
                <w:sz w:val="18"/>
                <w:szCs w:val="20"/>
                <w:lang w:val="es-CO" w:eastAsia="es-CO"/>
              </w:rPr>
            </w:pPr>
            <w:r w:rsidRPr="003907FF">
              <w:rPr>
                <w:rFonts w:cs="Arial"/>
                <w:b/>
                <w:bCs/>
                <w:color w:val="FFFFFF" w:themeColor="background1"/>
                <w:sz w:val="18"/>
                <w:szCs w:val="20"/>
                <w:lang w:eastAsia="es-CO"/>
              </w:rPr>
              <w:t>Regional</w:t>
            </w:r>
          </w:p>
        </w:tc>
        <w:tc>
          <w:tcPr>
            <w:tcW w:w="0" w:type="auto"/>
            <w:gridSpan w:val="2"/>
            <w:shd w:val="clear" w:color="auto" w:fill="76922E"/>
            <w:tcMar>
              <w:top w:w="0" w:type="dxa"/>
              <w:left w:w="70" w:type="dxa"/>
              <w:bottom w:w="0" w:type="dxa"/>
              <w:right w:w="70" w:type="dxa"/>
            </w:tcMar>
            <w:vAlign w:val="center"/>
            <w:hideMark/>
          </w:tcPr>
          <w:p w:rsidR="008819AE" w:rsidRPr="003907FF" w:rsidRDefault="008819AE" w:rsidP="00476EF8">
            <w:pPr>
              <w:spacing w:after="0" w:line="240" w:lineRule="auto"/>
              <w:jc w:val="center"/>
              <w:rPr>
                <w:rFonts w:cs="Arial"/>
                <w:b/>
                <w:bCs/>
                <w:color w:val="FFFFFF" w:themeColor="background1"/>
                <w:sz w:val="18"/>
                <w:szCs w:val="20"/>
                <w:lang w:eastAsia="es-CO"/>
              </w:rPr>
            </w:pPr>
            <w:r w:rsidRPr="003907FF">
              <w:rPr>
                <w:rFonts w:cs="Arial"/>
                <w:b/>
                <w:bCs/>
                <w:color w:val="FFFFFF" w:themeColor="background1"/>
                <w:sz w:val="18"/>
                <w:szCs w:val="20"/>
                <w:lang w:eastAsia="es-CO"/>
              </w:rPr>
              <w:t>Tipo de hogar</w:t>
            </w:r>
          </w:p>
        </w:tc>
        <w:tc>
          <w:tcPr>
            <w:tcW w:w="0" w:type="auto"/>
            <w:vMerge w:val="restart"/>
            <w:shd w:val="clear" w:color="auto" w:fill="76922E"/>
            <w:noWrap/>
            <w:tcMar>
              <w:top w:w="0" w:type="dxa"/>
              <w:left w:w="70" w:type="dxa"/>
              <w:bottom w:w="0" w:type="dxa"/>
              <w:right w:w="70" w:type="dxa"/>
            </w:tcMar>
            <w:vAlign w:val="center"/>
            <w:hideMark/>
          </w:tcPr>
          <w:p w:rsidR="008819AE" w:rsidRPr="003907FF" w:rsidRDefault="008819AE" w:rsidP="00476EF8">
            <w:pPr>
              <w:spacing w:after="0" w:line="240" w:lineRule="auto"/>
              <w:jc w:val="center"/>
              <w:rPr>
                <w:rFonts w:cs="Arial"/>
                <w:color w:val="FFFFFF" w:themeColor="background1"/>
                <w:sz w:val="18"/>
                <w:szCs w:val="20"/>
                <w:lang w:eastAsia="es-CO"/>
              </w:rPr>
            </w:pPr>
            <w:r w:rsidRPr="003907FF">
              <w:rPr>
                <w:rFonts w:cs="Arial"/>
                <w:color w:val="FFFFFF" w:themeColor="background1"/>
                <w:sz w:val="18"/>
                <w:szCs w:val="20"/>
                <w:lang w:eastAsia="es-CO"/>
              </w:rPr>
              <w:t> </w:t>
            </w:r>
          </w:p>
          <w:p w:rsidR="008819AE" w:rsidRPr="003907FF" w:rsidRDefault="003907FF" w:rsidP="00476EF8">
            <w:pPr>
              <w:spacing w:after="0" w:line="240" w:lineRule="auto"/>
              <w:jc w:val="center"/>
              <w:rPr>
                <w:rFonts w:cs="Arial"/>
                <w:color w:val="FFFFFF" w:themeColor="background1"/>
                <w:sz w:val="18"/>
                <w:szCs w:val="20"/>
                <w:lang w:eastAsia="es-CO"/>
              </w:rPr>
            </w:pPr>
            <w:r>
              <w:rPr>
                <w:rFonts w:cs="Arial"/>
                <w:b/>
                <w:bCs/>
                <w:color w:val="FFFFFF" w:themeColor="background1"/>
                <w:sz w:val="18"/>
                <w:szCs w:val="20"/>
                <w:lang w:eastAsia="es-CO"/>
              </w:rPr>
              <w:t>Total G</w:t>
            </w:r>
            <w:r w:rsidR="008819AE" w:rsidRPr="003907FF">
              <w:rPr>
                <w:rFonts w:cs="Arial"/>
                <w:b/>
                <w:bCs/>
                <w:color w:val="FFFFFF" w:themeColor="background1"/>
                <w:sz w:val="18"/>
                <w:szCs w:val="20"/>
                <w:lang w:eastAsia="es-CO"/>
              </w:rPr>
              <w:t>eneral</w:t>
            </w:r>
          </w:p>
        </w:tc>
      </w:tr>
      <w:tr w:rsidR="008819AE" w:rsidRPr="007608C2" w:rsidTr="004D7C88">
        <w:trPr>
          <w:trHeight w:val="510"/>
          <w:tblHeader/>
          <w:jc w:val="center"/>
        </w:trPr>
        <w:tc>
          <w:tcPr>
            <w:tcW w:w="0" w:type="auto"/>
            <w:vMerge/>
            <w:shd w:val="clear" w:color="auto" w:fill="92D050"/>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b/>
                <w:bCs/>
                <w:sz w:val="18"/>
                <w:szCs w:val="20"/>
                <w:lang w:eastAsia="es-CO"/>
              </w:rPr>
            </w:pPr>
          </w:p>
        </w:tc>
        <w:tc>
          <w:tcPr>
            <w:tcW w:w="0" w:type="auto"/>
            <w:shd w:val="clear" w:color="auto" w:fill="76922E"/>
            <w:tcMar>
              <w:top w:w="0" w:type="dxa"/>
              <w:left w:w="70" w:type="dxa"/>
              <w:bottom w:w="0" w:type="dxa"/>
              <w:right w:w="70" w:type="dxa"/>
            </w:tcMar>
            <w:vAlign w:val="center"/>
            <w:hideMark/>
          </w:tcPr>
          <w:p w:rsidR="008819AE" w:rsidRPr="003907FF" w:rsidRDefault="008819AE" w:rsidP="00476EF8">
            <w:pPr>
              <w:spacing w:after="0" w:line="240" w:lineRule="auto"/>
              <w:jc w:val="center"/>
              <w:rPr>
                <w:rFonts w:cs="Arial"/>
                <w:b/>
                <w:bCs/>
                <w:color w:val="FFFFFF" w:themeColor="background1"/>
                <w:sz w:val="18"/>
                <w:szCs w:val="20"/>
                <w:lang w:eastAsia="es-CO"/>
              </w:rPr>
            </w:pPr>
            <w:r w:rsidRPr="003907FF">
              <w:rPr>
                <w:rFonts w:cs="Arial"/>
                <w:b/>
                <w:bCs/>
                <w:color w:val="FFFFFF" w:themeColor="background1"/>
                <w:sz w:val="18"/>
                <w:szCs w:val="20"/>
                <w:lang w:eastAsia="es-CO"/>
              </w:rPr>
              <w:t>Hogar sustituto</w:t>
            </w:r>
          </w:p>
        </w:tc>
        <w:tc>
          <w:tcPr>
            <w:tcW w:w="0" w:type="auto"/>
            <w:shd w:val="clear" w:color="auto" w:fill="76922E"/>
            <w:tcMar>
              <w:top w:w="0" w:type="dxa"/>
              <w:left w:w="70" w:type="dxa"/>
              <w:bottom w:w="0" w:type="dxa"/>
              <w:right w:w="70" w:type="dxa"/>
            </w:tcMar>
            <w:vAlign w:val="center"/>
            <w:hideMark/>
          </w:tcPr>
          <w:p w:rsidR="008819AE" w:rsidRPr="003907FF" w:rsidRDefault="008819AE" w:rsidP="00476EF8">
            <w:pPr>
              <w:spacing w:after="0" w:line="240" w:lineRule="auto"/>
              <w:jc w:val="center"/>
              <w:rPr>
                <w:rFonts w:cs="Arial"/>
                <w:b/>
                <w:bCs/>
                <w:color w:val="FFFFFF" w:themeColor="background1"/>
                <w:sz w:val="18"/>
                <w:szCs w:val="20"/>
                <w:lang w:eastAsia="es-CO"/>
              </w:rPr>
            </w:pPr>
            <w:r w:rsidRPr="003907FF">
              <w:rPr>
                <w:rFonts w:cs="Arial"/>
                <w:b/>
                <w:bCs/>
                <w:color w:val="FFFFFF" w:themeColor="background1"/>
                <w:sz w:val="18"/>
                <w:szCs w:val="20"/>
                <w:lang w:eastAsia="es-CO"/>
              </w:rPr>
              <w:t>Hogar tutor</w:t>
            </w:r>
          </w:p>
        </w:tc>
        <w:tc>
          <w:tcPr>
            <w:tcW w:w="0" w:type="auto"/>
            <w:vMerge/>
            <w:shd w:val="clear" w:color="auto" w:fill="92D050"/>
            <w:tcMar>
              <w:top w:w="0" w:type="dxa"/>
              <w:left w:w="70" w:type="dxa"/>
              <w:bottom w:w="0" w:type="dxa"/>
              <w:right w:w="70" w:type="dxa"/>
            </w:tcMar>
            <w:vAlign w:val="center"/>
            <w:hideMark/>
          </w:tcPr>
          <w:p w:rsidR="008819AE" w:rsidRPr="003907FF" w:rsidRDefault="008819AE" w:rsidP="00476EF8">
            <w:pPr>
              <w:spacing w:after="0" w:line="240" w:lineRule="auto"/>
              <w:jc w:val="center"/>
              <w:rPr>
                <w:rFonts w:cs="Arial"/>
                <w:b/>
                <w:bCs/>
                <w:color w:val="FFFFFF" w:themeColor="background1"/>
                <w:sz w:val="18"/>
                <w:szCs w:val="20"/>
                <w:lang w:eastAsia="es-CO"/>
              </w:rPr>
            </w:pP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Amazonas</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12</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12</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Antioquia</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1204</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1204</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Arauca</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69</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69</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Atlántico</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177</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177</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Bogotá</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180</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23</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203</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Bolívar</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135</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135</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Boyacá</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148</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148</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Caldas</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396</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22</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418</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Caquetá</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84</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84</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Casanare</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105</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105</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Cauca</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240</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240</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Cesar</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55</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55</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Chocó</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43</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43</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lastRenderedPageBreak/>
              <w:t>Regional Córdoba</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82</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82</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Cundinamarca</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260</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260</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Guainía</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5</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5</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Guaviare</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13</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13</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Huila</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114</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114</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La Guajira</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15</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15</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Magdalena</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77</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77</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Meta</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270</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19</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289</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Nariño</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309</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309</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Norte de Santander</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147</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147</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Putumayo</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47</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47</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Quindío</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169</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27</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196</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Risaralda</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127</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127</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San Andrés</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Santander</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189</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189</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Sucre</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62</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62</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Tolima</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319</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319</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Valle</w:t>
            </w:r>
            <w:r w:rsidR="004D7C88">
              <w:rPr>
                <w:rFonts w:cs="Arial"/>
                <w:sz w:val="18"/>
                <w:szCs w:val="20"/>
                <w:lang w:eastAsia="es-CO"/>
              </w:rPr>
              <w:t xml:space="preserve"> </w:t>
            </w:r>
            <w:r w:rsidRPr="007608C2">
              <w:rPr>
                <w:rFonts w:cs="Arial"/>
                <w:sz w:val="18"/>
                <w:szCs w:val="20"/>
                <w:lang w:eastAsia="es-CO"/>
              </w:rPr>
              <w:t>del Cauca</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349</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349</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Vaupés</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8</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8</w:t>
            </w:r>
          </w:p>
        </w:tc>
      </w:tr>
      <w:tr w:rsidR="008819AE" w:rsidRPr="007608C2" w:rsidTr="004D7C88">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Vichada</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19</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 </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19</w:t>
            </w:r>
          </w:p>
        </w:tc>
      </w:tr>
      <w:tr w:rsidR="008819AE" w:rsidRPr="007608C2" w:rsidTr="004D7C88">
        <w:trPr>
          <w:trHeight w:val="255"/>
          <w:jc w:val="center"/>
        </w:trPr>
        <w:tc>
          <w:tcPr>
            <w:tcW w:w="0" w:type="auto"/>
            <w:shd w:val="clear" w:color="auto" w:fill="E2EFDA"/>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b/>
                <w:bCs/>
                <w:sz w:val="18"/>
                <w:szCs w:val="20"/>
                <w:lang w:eastAsia="es-CO"/>
              </w:rPr>
            </w:pPr>
            <w:r w:rsidRPr="007608C2">
              <w:rPr>
                <w:rFonts w:cs="Arial"/>
                <w:b/>
                <w:bCs/>
                <w:sz w:val="18"/>
                <w:szCs w:val="20"/>
                <w:lang w:eastAsia="es-CO"/>
              </w:rPr>
              <w:t>Total General</w:t>
            </w:r>
          </w:p>
        </w:tc>
        <w:tc>
          <w:tcPr>
            <w:tcW w:w="0" w:type="auto"/>
            <w:shd w:val="clear" w:color="auto" w:fill="E2EFDA"/>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b/>
                <w:bCs/>
                <w:sz w:val="18"/>
                <w:szCs w:val="20"/>
                <w:lang w:eastAsia="es-CO"/>
              </w:rPr>
            </w:pPr>
            <w:r w:rsidRPr="007608C2">
              <w:rPr>
                <w:rFonts w:cs="Arial"/>
                <w:b/>
                <w:bCs/>
                <w:sz w:val="18"/>
                <w:szCs w:val="20"/>
                <w:lang w:eastAsia="es-CO"/>
              </w:rPr>
              <w:t>5432</w:t>
            </w:r>
          </w:p>
        </w:tc>
        <w:tc>
          <w:tcPr>
            <w:tcW w:w="0" w:type="auto"/>
            <w:shd w:val="clear" w:color="auto" w:fill="E2EFDA"/>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b/>
                <w:bCs/>
                <w:sz w:val="18"/>
                <w:szCs w:val="20"/>
                <w:lang w:eastAsia="es-CO"/>
              </w:rPr>
            </w:pPr>
            <w:r w:rsidRPr="007608C2">
              <w:rPr>
                <w:rFonts w:cs="Arial"/>
                <w:b/>
                <w:bCs/>
                <w:sz w:val="18"/>
                <w:szCs w:val="20"/>
                <w:lang w:eastAsia="es-CO"/>
              </w:rPr>
              <w:t>91</w:t>
            </w:r>
          </w:p>
        </w:tc>
        <w:tc>
          <w:tcPr>
            <w:tcW w:w="0" w:type="auto"/>
            <w:shd w:val="clear" w:color="auto" w:fill="E2EFDA"/>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b/>
                <w:bCs/>
                <w:sz w:val="18"/>
                <w:szCs w:val="20"/>
                <w:lang w:eastAsia="es-CO"/>
              </w:rPr>
            </w:pPr>
            <w:r w:rsidRPr="007608C2">
              <w:rPr>
                <w:rFonts w:cs="Arial"/>
                <w:b/>
                <w:bCs/>
                <w:sz w:val="18"/>
                <w:szCs w:val="20"/>
                <w:lang w:eastAsia="es-CO"/>
              </w:rPr>
              <w:t>5.523</w:t>
            </w:r>
          </w:p>
        </w:tc>
      </w:tr>
    </w:tbl>
    <w:p w:rsidR="008819AE" w:rsidRPr="007608C2" w:rsidRDefault="008819AE" w:rsidP="00D32F4B">
      <w:pPr>
        <w:jc w:val="center"/>
        <w:rPr>
          <w:rFonts w:cs="Arial"/>
          <w:sz w:val="16"/>
        </w:rPr>
      </w:pPr>
      <w:r w:rsidRPr="007608C2">
        <w:rPr>
          <w:rFonts w:cs="Arial"/>
          <w:sz w:val="16"/>
        </w:rPr>
        <w:t>Fuente: Base de datos SRD de SGSSS madres sustitutas con corte a noviembre 30 de 2017</w:t>
      </w:r>
    </w:p>
    <w:p w:rsidR="00D32F4B" w:rsidRDefault="00D32F4B" w:rsidP="00D32F4B">
      <w:pPr>
        <w:spacing w:after="0"/>
        <w:ind w:firstLine="708"/>
        <w:rPr>
          <w:rFonts w:cs="Arial"/>
          <w:b/>
        </w:rPr>
      </w:pPr>
    </w:p>
    <w:p w:rsidR="008819AE" w:rsidRPr="007608C2" w:rsidRDefault="008819AE" w:rsidP="008819AE">
      <w:pPr>
        <w:ind w:firstLine="708"/>
        <w:rPr>
          <w:rFonts w:cs="Arial"/>
          <w:b/>
        </w:rPr>
      </w:pPr>
      <w:r w:rsidRPr="007608C2">
        <w:rPr>
          <w:rFonts w:cs="Arial"/>
          <w:b/>
        </w:rPr>
        <w:t>Cálculo Actuarial</w:t>
      </w:r>
    </w:p>
    <w:p w:rsidR="008819AE" w:rsidRPr="007608C2" w:rsidRDefault="008819AE" w:rsidP="008819AE">
      <w:pPr>
        <w:jc w:val="both"/>
        <w:rPr>
          <w:rFonts w:cs="Arial"/>
        </w:rPr>
      </w:pPr>
      <w:r w:rsidRPr="007608C2">
        <w:rPr>
          <w:rFonts w:cs="Arial"/>
        </w:rPr>
        <w:t xml:space="preserve">Para el 2017 se expidieron 200 certificados de cálculo actuarial, para un total de 1.082 certificados teniendo en cuenta los 882 de 2016. </w:t>
      </w:r>
    </w:p>
    <w:p w:rsidR="008819AE" w:rsidRPr="007608C2" w:rsidRDefault="008819AE" w:rsidP="008819AE">
      <w:pPr>
        <w:ind w:firstLine="708"/>
        <w:rPr>
          <w:rFonts w:cs="Arial"/>
          <w:b/>
        </w:rPr>
      </w:pPr>
      <w:r w:rsidRPr="007608C2">
        <w:rPr>
          <w:rFonts w:cs="Arial"/>
          <w:b/>
        </w:rPr>
        <w:t xml:space="preserve">Acceso al Subsidio de la Subcuenta del Fondo de Solidaridad Pensional </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2472"/>
        <w:gridCol w:w="906"/>
        <w:gridCol w:w="906"/>
        <w:gridCol w:w="1291"/>
      </w:tblGrid>
      <w:tr w:rsidR="008819AE" w:rsidRPr="004D7C88" w:rsidTr="004D7C88">
        <w:trPr>
          <w:trHeight w:val="255"/>
          <w:jc w:val="center"/>
        </w:trPr>
        <w:tc>
          <w:tcPr>
            <w:tcW w:w="0" w:type="auto"/>
            <w:vMerge w:val="restart"/>
            <w:shd w:val="clear" w:color="auto" w:fill="76922E"/>
            <w:noWrap/>
            <w:vAlign w:val="center"/>
            <w:hideMark/>
          </w:tcPr>
          <w:p w:rsidR="008819AE" w:rsidRPr="004D7C88" w:rsidRDefault="008819AE" w:rsidP="00476EF8">
            <w:pPr>
              <w:spacing w:after="0"/>
              <w:jc w:val="center"/>
              <w:rPr>
                <w:rFonts w:cs="Arial"/>
                <w:b/>
                <w:color w:val="FFFFFF" w:themeColor="background1"/>
                <w:sz w:val="18"/>
                <w:szCs w:val="18"/>
              </w:rPr>
            </w:pPr>
            <w:r w:rsidRPr="004D7C88">
              <w:rPr>
                <w:rFonts w:cs="Arial"/>
                <w:b/>
                <w:color w:val="FFFFFF" w:themeColor="background1"/>
                <w:sz w:val="18"/>
                <w:szCs w:val="18"/>
              </w:rPr>
              <w:t>Regional</w:t>
            </w:r>
          </w:p>
        </w:tc>
        <w:tc>
          <w:tcPr>
            <w:tcW w:w="0" w:type="auto"/>
            <w:gridSpan w:val="2"/>
            <w:shd w:val="clear" w:color="auto" w:fill="76922E"/>
            <w:noWrap/>
            <w:vAlign w:val="center"/>
            <w:hideMark/>
          </w:tcPr>
          <w:p w:rsidR="008819AE" w:rsidRPr="004D7C88" w:rsidRDefault="008819AE" w:rsidP="00476EF8">
            <w:pPr>
              <w:spacing w:after="0"/>
              <w:jc w:val="center"/>
              <w:rPr>
                <w:rFonts w:cs="Arial"/>
                <w:b/>
                <w:color w:val="FFFFFF" w:themeColor="background1"/>
                <w:sz w:val="18"/>
                <w:szCs w:val="18"/>
              </w:rPr>
            </w:pPr>
            <w:r w:rsidRPr="004D7C88">
              <w:rPr>
                <w:rFonts w:cs="Arial"/>
                <w:b/>
                <w:color w:val="FFFFFF" w:themeColor="background1"/>
                <w:sz w:val="18"/>
                <w:szCs w:val="18"/>
              </w:rPr>
              <w:t>Año de postulación</w:t>
            </w:r>
          </w:p>
        </w:tc>
        <w:tc>
          <w:tcPr>
            <w:tcW w:w="0" w:type="auto"/>
            <w:vMerge w:val="restart"/>
            <w:shd w:val="clear" w:color="auto" w:fill="76922E"/>
            <w:noWrap/>
            <w:vAlign w:val="center"/>
            <w:hideMark/>
          </w:tcPr>
          <w:p w:rsidR="008819AE" w:rsidRPr="004D7C88" w:rsidRDefault="00D32F4B" w:rsidP="00476EF8">
            <w:pPr>
              <w:spacing w:after="0"/>
              <w:jc w:val="center"/>
              <w:rPr>
                <w:rFonts w:cs="Arial"/>
                <w:b/>
                <w:color w:val="FFFFFF" w:themeColor="background1"/>
                <w:sz w:val="18"/>
                <w:szCs w:val="18"/>
              </w:rPr>
            </w:pPr>
            <w:r>
              <w:rPr>
                <w:rFonts w:cs="Arial"/>
                <w:b/>
                <w:color w:val="FFFFFF" w:themeColor="background1"/>
                <w:sz w:val="18"/>
                <w:szCs w:val="18"/>
              </w:rPr>
              <w:t>Total G</w:t>
            </w:r>
            <w:r w:rsidR="008819AE" w:rsidRPr="004D7C88">
              <w:rPr>
                <w:rFonts w:cs="Arial"/>
                <w:b/>
                <w:color w:val="FFFFFF" w:themeColor="background1"/>
                <w:sz w:val="18"/>
                <w:szCs w:val="18"/>
              </w:rPr>
              <w:t>eneral</w:t>
            </w:r>
          </w:p>
        </w:tc>
      </w:tr>
      <w:tr w:rsidR="008819AE" w:rsidRPr="004D7C88" w:rsidTr="004D7C88">
        <w:trPr>
          <w:trHeight w:val="255"/>
          <w:jc w:val="center"/>
        </w:trPr>
        <w:tc>
          <w:tcPr>
            <w:tcW w:w="0" w:type="auto"/>
            <w:vMerge/>
            <w:shd w:val="clear" w:color="auto" w:fill="92D050"/>
            <w:noWrap/>
            <w:vAlign w:val="center"/>
            <w:hideMark/>
          </w:tcPr>
          <w:p w:rsidR="008819AE" w:rsidRPr="004D7C88" w:rsidRDefault="008819AE" w:rsidP="00476EF8">
            <w:pPr>
              <w:spacing w:after="0"/>
              <w:jc w:val="center"/>
              <w:rPr>
                <w:rFonts w:cs="Arial"/>
                <w:b/>
                <w:sz w:val="18"/>
                <w:szCs w:val="18"/>
              </w:rPr>
            </w:pPr>
          </w:p>
        </w:tc>
        <w:tc>
          <w:tcPr>
            <w:tcW w:w="0" w:type="auto"/>
            <w:shd w:val="clear" w:color="auto" w:fill="76922E"/>
            <w:noWrap/>
            <w:vAlign w:val="center"/>
            <w:hideMark/>
          </w:tcPr>
          <w:p w:rsidR="008819AE" w:rsidRPr="004D7C88" w:rsidRDefault="008819AE" w:rsidP="00476EF8">
            <w:pPr>
              <w:spacing w:after="0"/>
              <w:jc w:val="center"/>
              <w:rPr>
                <w:rFonts w:cs="Arial"/>
                <w:b/>
                <w:color w:val="FFFFFF" w:themeColor="background1"/>
                <w:sz w:val="18"/>
                <w:szCs w:val="18"/>
              </w:rPr>
            </w:pPr>
            <w:r w:rsidRPr="004D7C88">
              <w:rPr>
                <w:rFonts w:cs="Arial"/>
                <w:b/>
                <w:color w:val="FFFFFF" w:themeColor="background1"/>
                <w:sz w:val="18"/>
                <w:szCs w:val="18"/>
              </w:rPr>
              <w:t>2016</w:t>
            </w:r>
          </w:p>
        </w:tc>
        <w:tc>
          <w:tcPr>
            <w:tcW w:w="0" w:type="auto"/>
            <w:shd w:val="clear" w:color="auto" w:fill="76922E"/>
            <w:noWrap/>
            <w:vAlign w:val="center"/>
            <w:hideMark/>
          </w:tcPr>
          <w:p w:rsidR="008819AE" w:rsidRPr="004D7C88" w:rsidRDefault="008819AE" w:rsidP="00476EF8">
            <w:pPr>
              <w:spacing w:after="0"/>
              <w:jc w:val="center"/>
              <w:rPr>
                <w:rFonts w:cs="Arial"/>
                <w:b/>
                <w:color w:val="FFFFFF" w:themeColor="background1"/>
                <w:sz w:val="18"/>
                <w:szCs w:val="18"/>
              </w:rPr>
            </w:pPr>
            <w:r w:rsidRPr="004D7C88">
              <w:rPr>
                <w:rFonts w:cs="Arial"/>
                <w:b/>
                <w:color w:val="FFFFFF" w:themeColor="background1"/>
                <w:sz w:val="18"/>
                <w:szCs w:val="18"/>
              </w:rPr>
              <w:t>2017</w:t>
            </w:r>
          </w:p>
        </w:tc>
        <w:tc>
          <w:tcPr>
            <w:tcW w:w="0" w:type="auto"/>
            <w:vMerge/>
            <w:shd w:val="clear" w:color="auto" w:fill="76922E"/>
            <w:noWrap/>
            <w:vAlign w:val="center"/>
            <w:hideMark/>
          </w:tcPr>
          <w:p w:rsidR="008819AE" w:rsidRPr="004D7C88" w:rsidRDefault="008819AE" w:rsidP="00476EF8">
            <w:pPr>
              <w:spacing w:after="0"/>
              <w:rPr>
                <w:rFonts w:cs="Arial"/>
                <w:b/>
                <w:color w:val="FFFFFF" w:themeColor="background1"/>
                <w:sz w:val="18"/>
                <w:szCs w:val="18"/>
              </w:rPr>
            </w:pPr>
          </w:p>
        </w:tc>
      </w:tr>
      <w:tr w:rsidR="008819AE" w:rsidRPr="004D7C88" w:rsidTr="004D7C88">
        <w:trPr>
          <w:trHeight w:val="255"/>
          <w:jc w:val="center"/>
        </w:trPr>
        <w:tc>
          <w:tcPr>
            <w:tcW w:w="0" w:type="auto"/>
            <w:shd w:val="clear" w:color="auto" w:fill="auto"/>
            <w:noWrap/>
            <w:vAlign w:val="center"/>
            <w:hideMark/>
          </w:tcPr>
          <w:p w:rsidR="008819AE" w:rsidRPr="004D7C88" w:rsidRDefault="008819AE" w:rsidP="00476EF8">
            <w:pPr>
              <w:spacing w:after="0"/>
              <w:rPr>
                <w:rFonts w:cs="Arial"/>
                <w:sz w:val="18"/>
                <w:szCs w:val="18"/>
              </w:rPr>
            </w:pPr>
            <w:r w:rsidRPr="004D7C88">
              <w:rPr>
                <w:rFonts w:cs="Arial"/>
                <w:sz w:val="18"/>
                <w:szCs w:val="18"/>
              </w:rPr>
              <w:t>Regional Tolima</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13</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3</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16</w:t>
            </w:r>
          </w:p>
        </w:tc>
      </w:tr>
      <w:tr w:rsidR="008819AE" w:rsidRPr="004D7C88" w:rsidTr="004D7C88">
        <w:trPr>
          <w:trHeight w:val="255"/>
          <w:jc w:val="center"/>
        </w:trPr>
        <w:tc>
          <w:tcPr>
            <w:tcW w:w="0" w:type="auto"/>
            <w:shd w:val="clear" w:color="auto" w:fill="auto"/>
            <w:noWrap/>
            <w:vAlign w:val="center"/>
            <w:hideMark/>
          </w:tcPr>
          <w:p w:rsidR="008819AE" w:rsidRPr="004D7C88" w:rsidRDefault="008819AE" w:rsidP="00476EF8">
            <w:pPr>
              <w:spacing w:after="0"/>
              <w:rPr>
                <w:rFonts w:cs="Arial"/>
                <w:sz w:val="18"/>
                <w:szCs w:val="18"/>
              </w:rPr>
            </w:pPr>
            <w:r w:rsidRPr="004D7C88">
              <w:rPr>
                <w:rFonts w:cs="Arial"/>
                <w:sz w:val="18"/>
                <w:szCs w:val="18"/>
              </w:rPr>
              <w:t>Regional Antioquia</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8</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6</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14</w:t>
            </w:r>
          </w:p>
        </w:tc>
      </w:tr>
      <w:tr w:rsidR="008819AE" w:rsidRPr="004D7C88" w:rsidTr="004D7C88">
        <w:trPr>
          <w:trHeight w:val="255"/>
          <w:jc w:val="center"/>
        </w:trPr>
        <w:tc>
          <w:tcPr>
            <w:tcW w:w="0" w:type="auto"/>
            <w:shd w:val="clear" w:color="auto" w:fill="auto"/>
            <w:noWrap/>
            <w:vAlign w:val="center"/>
            <w:hideMark/>
          </w:tcPr>
          <w:p w:rsidR="008819AE" w:rsidRPr="004D7C88" w:rsidRDefault="008819AE" w:rsidP="00476EF8">
            <w:pPr>
              <w:spacing w:after="0"/>
              <w:rPr>
                <w:rFonts w:cs="Arial"/>
                <w:sz w:val="18"/>
                <w:szCs w:val="18"/>
              </w:rPr>
            </w:pPr>
            <w:r w:rsidRPr="004D7C88">
              <w:rPr>
                <w:rFonts w:cs="Arial"/>
                <w:sz w:val="18"/>
                <w:szCs w:val="18"/>
              </w:rPr>
              <w:t>Regional Santander</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9</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1</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10</w:t>
            </w:r>
          </w:p>
        </w:tc>
      </w:tr>
      <w:tr w:rsidR="008819AE" w:rsidRPr="004D7C88" w:rsidTr="004D7C88">
        <w:trPr>
          <w:trHeight w:val="255"/>
          <w:jc w:val="center"/>
        </w:trPr>
        <w:tc>
          <w:tcPr>
            <w:tcW w:w="0" w:type="auto"/>
            <w:shd w:val="clear" w:color="auto" w:fill="auto"/>
            <w:noWrap/>
            <w:vAlign w:val="center"/>
            <w:hideMark/>
          </w:tcPr>
          <w:p w:rsidR="008819AE" w:rsidRPr="004D7C88" w:rsidRDefault="008819AE" w:rsidP="00476EF8">
            <w:pPr>
              <w:spacing w:after="0"/>
              <w:rPr>
                <w:rFonts w:cs="Arial"/>
                <w:sz w:val="18"/>
                <w:szCs w:val="18"/>
              </w:rPr>
            </w:pPr>
            <w:r w:rsidRPr="004D7C88">
              <w:rPr>
                <w:rFonts w:cs="Arial"/>
                <w:sz w:val="18"/>
                <w:szCs w:val="18"/>
              </w:rPr>
              <w:t>Regional Cauca</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7</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1</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8</w:t>
            </w:r>
          </w:p>
        </w:tc>
      </w:tr>
      <w:tr w:rsidR="008819AE" w:rsidRPr="004D7C88" w:rsidTr="004D7C88">
        <w:trPr>
          <w:trHeight w:val="255"/>
          <w:jc w:val="center"/>
        </w:trPr>
        <w:tc>
          <w:tcPr>
            <w:tcW w:w="0" w:type="auto"/>
            <w:shd w:val="clear" w:color="auto" w:fill="auto"/>
            <w:noWrap/>
            <w:vAlign w:val="center"/>
            <w:hideMark/>
          </w:tcPr>
          <w:p w:rsidR="008819AE" w:rsidRPr="004D7C88" w:rsidRDefault="008819AE" w:rsidP="00476EF8">
            <w:pPr>
              <w:spacing w:after="0"/>
              <w:rPr>
                <w:rFonts w:cs="Arial"/>
                <w:sz w:val="18"/>
                <w:szCs w:val="18"/>
              </w:rPr>
            </w:pPr>
            <w:r w:rsidRPr="004D7C88">
              <w:rPr>
                <w:rFonts w:cs="Arial"/>
                <w:sz w:val="18"/>
                <w:szCs w:val="18"/>
              </w:rPr>
              <w:t>Regional Cundinamarca</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4</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2</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6</w:t>
            </w:r>
          </w:p>
        </w:tc>
      </w:tr>
      <w:tr w:rsidR="008819AE" w:rsidRPr="004D7C88" w:rsidTr="004D7C88">
        <w:trPr>
          <w:trHeight w:val="255"/>
          <w:jc w:val="center"/>
        </w:trPr>
        <w:tc>
          <w:tcPr>
            <w:tcW w:w="0" w:type="auto"/>
            <w:shd w:val="clear" w:color="auto" w:fill="auto"/>
            <w:noWrap/>
            <w:vAlign w:val="center"/>
            <w:hideMark/>
          </w:tcPr>
          <w:p w:rsidR="008819AE" w:rsidRPr="004D7C88" w:rsidRDefault="008819AE" w:rsidP="00476EF8">
            <w:pPr>
              <w:spacing w:after="0"/>
              <w:rPr>
                <w:rFonts w:cs="Arial"/>
                <w:sz w:val="18"/>
                <w:szCs w:val="18"/>
              </w:rPr>
            </w:pPr>
            <w:r w:rsidRPr="004D7C88">
              <w:rPr>
                <w:rFonts w:cs="Arial"/>
                <w:sz w:val="18"/>
                <w:szCs w:val="18"/>
              </w:rPr>
              <w:t>Regional Atlántico</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3</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2</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5</w:t>
            </w:r>
          </w:p>
        </w:tc>
      </w:tr>
      <w:tr w:rsidR="008819AE" w:rsidRPr="004D7C88" w:rsidTr="004D7C88">
        <w:trPr>
          <w:trHeight w:val="255"/>
          <w:jc w:val="center"/>
        </w:trPr>
        <w:tc>
          <w:tcPr>
            <w:tcW w:w="0" w:type="auto"/>
            <w:shd w:val="clear" w:color="auto" w:fill="auto"/>
            <w:noWrap/>
            <w:vAlign w:val="center"/>
            <w:hideMark/>
          </w:tcPr>
          <w:p w:rsidR="008819AE" w:rsidRPr="004D7C88" w:rsidRDefault="008819AE" w:rsidP="00476EF8">
            <w:pPr>
              <w:spacing w:after="0"/>
              <w:rPr>
                <w:rFonts w:cs="Arial"/>
                <w:sz w:val="18"/>
                <w:szCs w:val="18"/>
              </w:rPr>
            </w:pPr>
            <w:r w:rsidRPr="004D7C88">
              <w:rPr>
                <w:rFonts w:cs="Arial"/>
                <w:sz w:val="18"/>
                <w:szCs w:val="18"/>
              </w:rPr>
              <w:t>Regional Quindío</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2</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2</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4</w:t>
            </w:r>
          </w:p>
        </w:tc>
      </w:tr>
      <w:tr w:rsidR="008819AE" w:rsidRPr="004D7C88" w:rsidTr="004D7C88">
        <w:trPr>
          <w:trHeight w:val="255"/>
          <w:jc w:val="center"/>
        </w:trPr>
        <w:tc>
          <w:tcPr>
            <w:tcW w:w="0" w:type="auto"/>
            <w:shd w:val="clear" w:color="auto" w:fill="auto"/>
            <w:noWrap/>
            <w:vAlign w:val="center"/>
            <w:hideMark/>
          </w:tcPr>
          <w:p w:rsidR="008819AE" w:rsidRPr="004D7C88" w:rsidRDefault="008819AE" w:rsidP="00476EF8">
            <w:pPr>
              <w:spacing w:after="0"/>
              <w:rPr>
                <w:rFonts w:cs="Arial"/>
                <w:sz w:val="18"/>
                <w:szCs w:val="18"/>
              </w:rPr>
            </w:pPr>
            <w:r w:rsidRPr="004D7C88">
              <w:rPr>
                <w:rFonts w:cs="Arial"/>
                <w:sz w:val="18"/>
                <w:szCs w:val="18"/>
              </w:rPr>
              <w:t>Regional Boyacá</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4</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4</w:t>
            </w:r>
          </w:p>
        </w:tc>
      </w:tr>
      <w:tr w:rsidR="008819AE" w:rsidRPr="004D7C88" w:rsidTr="004D7C88">
        <w:trPr>
          <w:trHeight w:val="255"/>
          <w:jc w:val="center"/>
        </w:trPr>
        <w:tc>
          <w:tcPr>
            <w:tcW w:w="0" w:type="auto"/>
            <w:shd w:val="clear" w:color="auto" w:fill="auto"/>
            <w:noWrap/>
            <w:vAlign w:val="center"/>
            <w:hideMark/>
          </w:tcPr>
          <w:p w:rsidR="008819AE" w:rsidRPr="004D7C88" w:rsidRDefault="008819AE" w:rsidP="00476EF8">
            <w:pPr>
              <w:spacing w:after="0"/>
              <w:rPr>
                <w:rFonts w:cs="Arial"/>
                <w:sz w:val="18"/>
                <w:szCs w:val="18"/>
              </w:rPr>
            </w:pPr>
            <w:r w:rsidRPr="004D7C88">
              <w:rPr>
                <w:rFonts w:cs="Arial"/>
                <w:sz w:val="18"/>
                <w:szCs w:val="18"/>
              </w:rPr>
              <w:t>Regional Bogotá</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3</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3</w:t>
            </w:r>
          </w:p>
        </w:tc>
      </w:tr>
      <w:tr w:rsidR="008819AE" w:rsidRPr="004D7C88" w:rsidTr="004D7C88">
        <w:trPr>
          <w:trHeight w:val="255"/>
          <w:jc w:val="center"/>
        </w:trPr>
        <w:tc>
          <w:tcPr>
            <w:tcW w:w="0" w:type="auto"/>
            <w:shd w:val="clear" w:color="auto" w:fill="auto"/>
            <w:noWrap/>
            <w:vAlign w:val="center"/>
            <w:hideMark/>
          </w:tcPr>
          <w:p w:rsidR="008819AE" w:rsidRPr="004D7C88" w:rsidRDefault="008819AE" w:rsidP="00476EF8">
            <w:pPr>
              <w:spacing w:after="0"/>
              <w:rPr>
                <w:rFonts w:cs="Arial"/>
                <w:sz w:val="18"/>
                <w:szCs w:val="18"/>
              </w:rPr>
            </w:pPr>
            <w:r w:rsidRPr="004D7C88">
              <w:rPr>
                <w:rFonts w:cs="Arial"/>
                <w:sz w:val="18"/>
                <w:szCs w:val="18"/>
              </w:rPr>
              <w:lastRenderedPageBreak/>
              <w:t>Regional Caldas</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3</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3</w:t>
            </w:r>
          </w:p>
        </w:tc>
      </w:tr>
      <w:tr w:rsidR="008819AE" w:rsidRPr="004D7C88" w:rsidTr="004D7C88">
        <w:trPr>
          <w:trHeight w:val="255"/>
          <w:jc w:val="center"/>
        </w:trPr>
        <w:tc>
          <w:tcPr>
            <w:tcW w:w="0" w:type="auto"/>
            <w:shd w:val="clear" w:color="auto" w:fill="auto"/>
            <w:noWrap/>
            <w:vAlign w:val="center"/>
            <w:hideMark/>
          </w:tcPr>
          <w:p w:rsidR="008819AE" w:rsidRPr="004D7C88" w:rsidRDefault="008819AE" w:rsidP="00476EF8">
            <w:pPr>
              <w:spacing w:after="0"/>
              <w:rPr>
                <w:rFonts w:cs="Arial"/>
                <w:sz w:val="18"/>
                <w:szCs w:val="18"/>
              </w:rPr>
            </w:pPr>
            <w:r w:rsidRPr="004D7C88">
              <w:rPr>
                <w:rFonts w:cs="Arial"/>
                <w:sz w:val="18"/>
                <w:szCs w:val="18"/>
              </w:rPr>
              <w:t>Regional Norte de Santander</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3</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3</w:t>
            </w:r>
          </w:p>
        </w:tc>
      </w:tr>
      <w:tr w:rsidR="008819AE" w:rsidRPr="004D7C88" w:rsidTr="004D7C88">
        <w:trPr>
          <w:trHeight w:val="255"/>
          <w:jc w:val="center"/>
        </w:trPr>
        <w:tc>
          <w:tcPr>
            <w:tcW w:w="0" w:type="auto"/>
            <w:shd w:val="clear" w:color="auto" w:fill="auto"/>
            <w:noWrap/>
            <w:vAlign w:val="center"/>
            <w:hideMark/>
          </w:tcPr>
          <w:p w:rsidR="008819AE" w:rsidRPr="004D7C88" w:rsidRDefault="008819AE" w:rsidP="00476EF8">
            <w:pPr>
              <w:spacing w:after="0"/>
              <w:rPr>
                <w:rFonts w:cs="Arial"/>
                <w:sz w:val="18"/>
                <w:szCs w:val="18"/>
              </w:rPr>
            </w:pPr>
            <w:r w:rsidRPr="004D7C88">
              <w:rPr>
                <w:rFonts w:cs="Arial"/>
                <w:sz w:val="18"/>
                <w:szCs w:val="18"/>
              </w:rPr>
              <w:t>Regional Risaralda</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1</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1</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2</w:t>
            </w:r>
          </w:p>
        </w:tc>
      </w:tr>
      <w:tr w:rsidR="008819AE" w:rsidRPr="004D7C88" w:rsidTr="004D7C88">
        <w:trPr>
          <w:trHeight w:val="255"/>
          <w:jc w:val="center"/>
        </w:trPr>
        <w:tc>
          <w:tcPr>
            <w:tcW w:w="0" w:type="auto"/>
            <w:shd w:val="clear" w:color="auto" w:fill="auto"/>
            <w:noWrap/>
            <w:vAlign w:val="center"/>
            <w:hideMark/>
          </w:tcPr>
          <w:p w:rsidR="008819AE" w:rsidRPr="004D7C88" w:rsidRDefault="008819AE" w:rsidP="00476EF8">
            <w:pPr>
              <w:spacing w:after="0"/>
              <w:rPr>
                <w:rFonts w:cs="Arial"/>
                <w:sz w:val="18"/>
                <w:szCs w:val="18"/>
              </w:rPr>
            </w:pPr>
            <w:r w:rsidRPr="004D7C88">
              <w:rPr>
                <w:rFonts w:cs="Arial"/>
                <w:sz w:val="18"/>
                <w:szCs w:val="18"/>
              </w:rPr>
              <w:t>Regional Vichada</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1</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1</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2</w:t>
            </w:r>
          </w:p>
        </w:tc>
      </w:tr>
      <w:tr w:rsidR="008819AE" w:rsidRPr="004D7C88" w:rsidTr="004D7C88">
        <w:trPr>
          <w:trHeight w:val="255"/>
          <w:jc w:val="center"/>
        </w:trPr>
        <w:tc>
          <w:tcPr>
            <w:tcW w:w="0" w:type="auto"/>
            <w:shd w:val="clear" w:color="auto" w:fill="auto"/>
            <w:noWrap/>
            <w:vAlign w:val="center"/>
            <w:hideMark/>
          </w:tcPr>
          <w:p w:rsidR="008819AE" w:rsidRPr="004D7C88" w:rsidRDefault="008819AE" w:rsidP="00476EF8">
            <w:pPr>
              <w:spacing w:after="0"/>
              <w:rPr>
                <w:rFonts w:cs="Arial"/>
                <w:sz w:val="18"/>
                <w:szCs w:val="18"/>
              </w:rPr>
            </w:pPr>
            <w:r w:rsidRPr="004D7C88">
              <w:rPr>
                <w:rFonts w:cs="Arial"/>
                <w:sz w:val="18"/>
                <w:szCs w:val="18"/>
              </w:rPr>
              <w:t>Regional Chocó</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2</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2</w:t>
            </w:r>
          </w:p>
        </w:tc>
      </w:tr>
      <w:tr w:rsidR="008819AE" w:rsidRPr="004D7C88" w:rsidTr="004D7C88">
        <w:trPr>
          <w:trHeight w:val="255"/>
          <w:jc w:val="center"/>
        </w:trPr>
        <w:tc>
          <w:tcPr>
            <w:tcW w:w="0" w:type="auto"/>
            <w:shd w:val="clear" w:color="auto" w:fill="auto"/>
            <w:noWrap/>
            <w:vAlign w:val="center"/>
            <w:hideMark/>
          </w:tcPr>
          <w:p w:rsidR="008819AE" w:rsidRPr="004D7C88" w:rsidRDefault="008819AE" w:rsidP="00476EF8">
            <w:pPr>
              <w:spacing w:after="0"/>
              <w:rPr>
                <w:rFonts w:cs="Arial"/>
                <w:sz w:val="18"/>
                <w:szCs w:val="18"/>
              </w:rPr>
            </w:pPr>
            <w:r w:rsidRPr="004D7C88">
              <w:rPr>
                <w:rFonts w:cs="Arial"/>
                <w:sz w:val="18"/>
                <w:szCs w:val="18"/>
              </w:rPr>
              <w:t>Regional Valle del Cauca</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1</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1</w:t>
            </w:r>
          </w:p>
        </w:tc>
      </w:tr>
      <w:tr w:rsidR="008819AE" w:rsidRPr="004D7C88" w:rsidTr="004D7C88">
        <w:trPr>
          <w:trHeight w:val="255"/>
          <w:jc w:val="center"/>
        </w:trPr>
        <w:tc>
          <w:tcPr>
            <w:tcW w:w="0" w:type="auto"/>
            <w:shd w:val="clear" w:color="auto" w:fill="auto"/>
            <w:noWrap/>
            <w:vAlign w:val="center"/>
            <w:hideMark/>
          </w:tcPr>
          <w:p w:rsidR="008819AE" w:rsidRPr="004D7C88" w:rsidRDefault="008819AE" w:rsidP="00476EF8">
            <w:pPr>
              <w:spacing w:after="0"/>
              <w:rPr>
                <w:rFonts w:cs="Arial"/>
                <w:sz w:val="18"/>
                <w:szCs w:val="18"/>
              </w:rPr>
            </w:pPr>
            <w:r w:rsidRPr="004D7C88">
              <w:rPr>
                <w:rFonts w:cs="Arial"/>
                <w:sz w:val="18"/>
                <w:szCs w:val="18"/>
              </w:rPr>
              <w:t>Regional Arauca</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1</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1</w:t>
            </w:r>
          </w:p>
        </w:tc>
      </w:tr>
      <w:tr w:rsidR="008819AE" w:rsidRPr="004D7C88" w:rsidTr="004D7C88">
        <w:trPr>
          <w:trHeight w:val="255"/>
          <w:jc w:val="center"/>
        </w:trPr>
        <w:tc>
          <w:tcPr>
            <w:tcW w:w="0" w:type="auto"/>
            <w:shd w:val="clear" w:color="auto" w:fill="auto"/>
            <w:noWrap/>
            <w:vAlign w:val="center"/>
            <w:hideMark/>
          </w:tcPr>
          <w:p w:rsidR="008819AE" w:rsidRPr="004D7C88" w:rsidRDefault="008819AE" w:rsidP="00476EF8">
            <w:pPr>
              <w:spacing w:after="0"/>
              <w:rPr>
                <w:rFonts w:cs="Arial"/>
                <w:sz w:val="18"/>
                <w:szCs w:val="18"/>
              </w:rPr>
            </w:pPr>
            <w:r w:rsidRPr="004D7C88">
              <w:rPr>
                <w:rFonts w:cs="Arial"/>
                <w:sz w:val="18"/>
                <w:szCs w:val="18"/>
              </w:rPr>
              <w:t>Regional Meta</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1</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1</w:t>
            </w:r>
          </w:p>
        </w:tc>
      </w:tr>
      <w:tr w:rsidR="008819AE" w:rsidRPr="004D7C88" w:rsidTr="004D7C88">
        <w:trPr>
          <w:trHeight w:val="255"/>
          <w:jc w:val="center"/>
        </w:trPr>
        <w:tc>
          <w:tcPr>
            <w:tcW w:w="0" w:type="auto"/>
            <w:shd w:val="clear" w:color="auto" w:fill="auto"/>
            <w:noWrap/>
            <w:vAlign w:val="center"/>
            <w:hideMark/>
          </w:tcPr>
          <w:p w:rsidR="008819AE" w:rsidRPr="004D7C88" w:rsidRDefault="008819AE" w:rsidP="00476EF8">
            <w:pPr>
              <w:spacing w:after="0"/>
              <w:rPr>
                <w:rFonts w:cs="Arial"/>
                <w:sz w:val="18"/>
                <w:szCs w:val="18"/>
              </w:rPr>
            </w:pPr>
            <w:r w:rsidRPr="004D7C88">
              <w:rPr>
                <w:rFonts w:cs="Arial"/>
                <w:sz w:val="18"/>
                <w:szCs w:val="18"/>
              </w:rPr>
              <w:t>Regional Cesar</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1</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1</w:t>
            </w:r>
          </w:p>
        </w:tc>
      </w:tr>
      <w:tr w:rsidR="008819AE" w:rsidRPr="004D7C88" w:rsidTr="004D7C88">
        <w:trPr>
          <w:trHeight w:val="255"/>
          <w:jc w:val="center"/>
        </w:trPr>
        <w:tc>
          <w:tcPr>
            <w:tcW w:w="0" w:type="auto"/>
            <w:shd w:val="clear" w:color="auto" w:fill="auto"/>
            <w:noWrap/>
            <w:vAlign w:val="center"/>
            <w:hideMark/>
          </w:tcPr>
          <w:p w:rsidR="008819AE" w:rsidRPr="004D7C88" w:rsidRDefault="008819AE" w:rsidP="00476EF8">
            <w:pPr>
              <w:spacing w:after="0"/>
              <w:rPr>
                <w:rFonts w:cs="Arial"/>
                <w:sz w:val="18"/>
                <w:szCs w:val="18"/>
              </w:rPr>
            </w:pPr>
            <w:r w:rsidRPr="004D7C88">
              <w:rPr>
                <w:rFonts w:cs="Arial"/>
                <w:sz w:val="18"/>
                <w:szCs w:val="18"/>
              </w:rPr>
              <w:t>Regional Córdoba</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1</w:t>
            </w:r>
          </w:p>
        </w:tc>
        <w:tc>
          <w:tcPr>
            <w:tcW w:w="0" w:type="auto"/>
            <w:shd w:val="clear" w:color="auto" w:fill="auto"/>
            <w:noWrap/>
            <w:vAlign w:val="center"/>
            <w:hideMark/>
          </w:tcPr>
          <w:p w:rsidR="008819AE" w:rsidRPr="004D7C88" w:rsidRDefault="008819AE" w:rsidP="00476EF8">
            <w:pPr>
              <w:spacing w:after="0"/>
              <w:jc w:val="center"/>
              <w:rPr>
                <w:rFonts w:cs="Arial"/>
                <w:sz w:val="18"/>
                <w:szCs w:val="18"/>
              </w:rPr>
            </w:pPr>
            <w:r w:rsidRPr="004D7C88">
              <w:rPr>
                <w:rFonts w:cs="Arial"/>
                <w:sz w:val="18"/>
                <w:szCs w:val="18"/>
              </w:rPr>
              <w:t>1</w:t>
            </w:r>
          </w:p>
        </w:tc>
      </w:tr>
      <w:tr w:rsidR="008819AE" w:rsidRPr="004D7C88" w:rsidTr="00D32F4B">
        <w:trPr>
          <w:trHeight w:val="255"/>
          <w:jc w:val="center"/>
        </w:trPr>
        <w:tc>
          <w:tcPr>
            <w:tcW w:w="0" w:type="auto"/>
            <w:shd w:val="clear" w:color="auto" w:fill="E2EFDA"/>
            <w:noWrap/>
            <w:vAlign w:val="center"/>
            <w:hideMark/>
          </w:tcPr>
          <w:p w:rsidR="008819AE" w:rsidRPr="004D7C88" w:rsidRDefault="008819AE" w:rsidP="00476EF8">
            <w:pPr>
              <w:spacing w:after="0"/>
              <w:rPr>
                <w:rFonts w:cs="Arial"/>
                <w:b/>
                <w:sz w:val="18"/>
                <w:szCs w:val="18"/>
              </w:rPr>
            </w:pPr>
            <w:r w:rsidRPr="004D7C88">
              <w:rPr>
                <w:rFonts w:cs="Arial"/>
                <w:b/>
                <w:sz w:val="18"/>
                <w:szCs w:val="18"/>
              </w:rPr>
              <w:t>Total general</w:t>
            </w:r>
          </w:p>
        </w:tc>
        <w:tc>
          <w:tcPr>
            <w:tcW w:w="0" w:type="auto"/>
            <w:shd w:val="clear" w:color="auto" w:fill="E2EFDA"/>
            <w:noWrap/>
            <w:vAlign w:val="center"/>
            <w:hideMark/>
          </w:tcPr>
          <w:p w:rsidR="008819AE" w:rsidRPr="004D7C88" w:rsidRDefault="008819AE" w:rsidP="00476EF8">
            <w:pPr>
              <w:spacing w:after="0"/>
              <w:jc w:val="center"/>
              <w:rPr>
                <w:rFonts w:cs="Arial"/>
                <w:b/>
                <w:sz w:val="18"/>
                <w:szCs w:val="18"/>
              </w:rPr>
            </w:pPr>
            <w:r w:rsidRPr="004D7C88">
              <w:rPr>
                <w:rFonts w:cs="Arial"/>
                <w:b/>
                <w:sz w:val="18"/>
                <w:szCs w:val="18"/>
              </w:rPr>
              <w:t>58</w:t>
            </w:r>
          </w:p>
        </w:tc>
        <w:tc>
          <w:tcPr>
            <w:tcW w:w="0" w:type="auto"/>
            <w:shd w:val="clear" w:color="auto" w:fill="E2EFDA"/>
            <w:noWrap/>
            <w:vAlign w:val="center"/>
            <w:hideMark/>
          </w:tcPr>
          <w:p w:rsidR="008819AE" w:rsidRPr="004D7C88" w:rsidRDefault="008819AE" w:rsidP="00476EF8">
            <w:pPr>
              <w:spacing w:after="0"/>
              <w:jc w:val="center"/>
              <w:rPr>
                <w:rFonts w:cs="Arial"/>
                <w:b/>
                <w:sz w:val="18"/>
                <w:szCs w:val="18"/>
              </w:rPr>
            </w:pPr>
            <w:r w:rsidRPr="004D7C88">
              <w:rPr>
                <w:rFonts w:cs="Arial"/>
                <w:b/>
                <w:sz w:val="18"/>
                <w:szCs w:val="18"/>
              </w:rPr>
              <w:t>29</w:t>
            </w:r>
          </w:p>
        </w:tc>
        <w:tc>
          <w:tcPr>
            <w:tcW w:w="0" w:type="auto"/>
            <w:shd w:val="clear" w:color="auto" w:fill="E2EFDA"/>
            <w:noWrap/>
            <w:vAlign w:val="center"/>
            <w:hideMark/>
          </w:tcPr>
          <w:p w:rsidR="008819AE" w:rsidRPr="004D7C88" w:rsidRDefault="008819AE" w:rsidP="00476EF8">
            <w:pPr>
              <w:spacing w:after="0"/>
              <w:jc w:val="center"/>
              <w:rPr>
                <w:rFonts w:cs="Arial"/>
                <w:b/>
                <w:sz w:val="18"/>
                <w:szCs w:val="18"/>
              </w:rPr>
            </w:pPr>
            <w:r w:rsidRPr="004D7C88">
              <w:rPr>
                <w:rFonts w:cs="Arial"/>
                <w:b/>
                <w:sz w:val="18"/>
                <w:szCs w:val="18"/>
              </w:rPr>
              <w:t>87</w:t>
            </w:r>
          </w:p>
        </w:tc>
      </w:tr>
    </w:tbl>
    <w:p w:rsidR="008819AE" w:rsidRPr="007608C2" w:rsidRDefault="008819AE" w:rsidP="00D32F4B">
      <w:pPr>
        <w:jc w:val="center"/>
        <w:rPr>
          <w:rFonts w:cs="Arial"/>
          <w:sz w:val="16"/>
        </w:rPr>
      </w:pPr>
      <w:r w:rsidRPr="007608C2">
        <w:rPr>
          <w:rFonts w:cs="Arial"/>
          <w:sz w:val="16"/>
        </w:rPr>
        <w:t>Fuente: Base de datos SRD de SGSSS madres sustitutas con corte a noviembre 30 de 2017</w:t>
      </w:r>
    </w:p>
    <w:p w:rsidR="0010031F" w:rsidRDefault="0010031F" w:rsidP="0010031F">
      <w:pPr>
        <w:spacing w:after="0"/>
        <w:ind w:firstLine="708"/>
        <w:rPr>
          <w:rFonts w:cs="Arial"/>
          <w:b/>
        </w:rPr>
      </w:pPr>
    </w:p>
    <w:p w:rsidR="008819AE" w:rsidRPr="007608C2" w:rsidRDefault="008819AE" w:rsidP="008819AE">
      <w:pPr>
        <w:ind w:firstLine="708"/>
        <w:rPr>
          <w:rFonts w:cs="Arial"/>
          <w:b/>
        </w:rPr>
      </w:pPr>
      <w:r w:rsidRPr="007608C2">
        <w:rPr>
          <w:rFonts w:cs="Arial"/>
          <w:b/>
        </w:rPr>
        <w:t>SGSSS Madres sustitutas</w:t>
      </w:r>
    </w:p>
    <w:p w:rsidR="008819AE" w:rsidRPr="007608C2" w:rsidRDefault="008819AE" w:rsidP="008819AE">
      <w:pPr>
        <w:rPr>
          <w:rFonts w:cs="Arial"/>
        </w:rPr>
      </w:pPr>
      <w:r w:rsidRPr="007608C2">
        <w:rPr>
          <w:rFonts w:cs="Arial"/>
        </w:rPr>
        <w:t>El 68% de las madres se encuentran afiliadas al Sistema general de seguridad social en salud -SGSSS-:</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0" w:type="dxa"/>
          <w:right w:w="0" w:type="dxa"/>
        </w:tblCellMar>
        <w:tblLook w:val="04A0" w:firstRow="1" w:lastRow="0" w:firstColumn="1" w:lastColumn="0" w:noHBand="0" w:noVBand="1"/>
      </w:tblPr>
      <w:tblGrid>
        <w:gridCol w:w="2472"/>
        <w:gridCol w:w="791"/>
        <w:gridCol w:w="1051"/>
        <w:gridCol w:w="1291"/>
      </w:tblGrid>
      <w:tr w:rsidR="008819AE" w:rsidRPr="007608C2" w:rsidTr="0010031F">
        <w:trPr>
          <w:trHeight w:val="255"/>
          <w:tblHeader/>
          <w:jc w:val="center"/>
        </w:trPr>
        <w:tc>
          <w:tcPr>
            <w:tcW w:w="0" w:type="auto"/>
            <w:vMerge w:val="restart"/>
            <w:shd w:val="clear" w:color="auto" w:fill="76922E"/>
            <w:noWrap/>
            <w:tcMar>
              <w:top w:w="0" w:type="dxa"/>
              <w:left w:w="70" w:type="dxa"/>
              <w:bottom w:w="0" w:type="dxa"/>
              <w:right w:w="70" w:type="dxa"/>
            </w:tcMar>
            <w:vAlign w:val="center"/>
            <w:hideMark/>
          </w:tcPr>
          <w:p w:rsidR="008819AE" w:rsidRPr="0010031F" w:rsidRDefault="008819AE" w:rsidP="00476EF8">
            <w:pPr>
              <w:spacing w:after="0" w:line="240" w:lineRule="auto"/>
              <w:jc w:val="center"/>
              <w:rPr>
                <w:rFonts w:cs="Arial"/>
                <w:color w:val="FFFFFF" w:themeColor="background1"/>
                <w:sz w:val="18"/>
                <w:szCs w:val="20"/>
                <w:lang w:val="es-CO" w:eastAsia="es-CO"/>
              </w:rPr>
            </w:pPr>
            <w:r w:rsidRPr="0010031F">
              <w:rPr>
                <w:rFonts w:cs="Arial"/>
                <w:b/>
                <w:bCs/>
                <w:color w:val="FFFFFF" w:themeColor="background1"/>
                <w:sz w:val="18"/>
                <w:szCs w:val="20"/>
                <w:lang w:eastAsia="es-CO"/>
              </w:rPr>
              <w:t>Regional</w:t>
            </w:r>
          </w:p>
        </w:tc>
        <w:tc>
          <w:tcPr>
            <w:tcW w:w="0" w:type="auto"/>
            <w:gridSpan w:val="2"/>
            <w:shd w:val="clear" w:color="auto" w:fill="76922E"/>
            <w:tcMar>
              <w:top w:w="0" w:type="dxa"/>
              <w:left w:w="70" w:type="dxa"/>
              <w:bottom w:w="0" w:type="dxa"/>
              <w:right w:w="70" w:type="dxa"/>
            </w:tcMar>
            <w:vAlign w:val="center"/>
            <w:hideMark/>
          </w:tcPr>
          <w:p w:rsidR="008819AE" w:rsidRPr="0010031F" w:rsidRDefault="008819AE" w:rsidP="00476EF8">
            <w:pPr>
              <w:spacing w:after="0" w:line="240" w:lineRule="auto"/>
              <w:jc w:val="center"/>
              <w:rPr>
                <w:rFonts w:eastAsiaTheme="minorHAnsi" w:cs="Arial"/>
                <w:b/>
                <w:bCs/>
                <w:color w:val="FFFFFF" w:themeColor="background1"/>
                <w:sz w:val="18"/>
                <w:szCs w:val="20"/>
                <w:lang w:eastAsia="es-CO"/>
              </w:rPr>
            </w:pPr>
            <w:r w:rsidRPr="0010031F">
              <w:rPr>
                <w:rFonts w:cs="Arial"/>
                <w:b/>
                <w:bCs/>
                <w:color w:val="FFFFFF" w:themeColor="background1"/>
                <w:sz w:val="18"/>
                <w:szCs w:val="20"/>
                <w:lang w:eastAsia="es-CO"/>
              </w:rPr>
              <w:t>Estado de afiliación</w:t>
            </w:r>
          </w:p>
        </w:tc>
        <w:tc>
          <w:tcPr>
            <w:tcW w:w="0" w:type="auto"/>
            <w:vMerge w:val="restart"/>
            <w:shd w:val="clear" w:color="auto" w:fill="76922E"/>
            <w:noWrap/>
            <w:tcMar>
              <w:top w:w="0" w:type="dxa"/>
              <w:left w:w="70" w:type="dxa"/>
              <w:bottom w:w="0" w:type="dxa"/>
              <w:right w:w="70" w:type="dxa"/>
            </w:tcMar>
            <w:vAlign w:val="center"/>
            <w:hideMark/>
          </w:tcPr>
          <w:p w:rsidR="008819AE" w:rsidRPr="0010031F" w:rsidRDefault="0010031F" w:rsidP="00476EF8">
            <w:pPr>
              <w:spacing w:after="0" w:line="240" w:lineRule="auto"/>
              <w:jc w:val="center"/>
              <w:rPr>
                <w:rFonts w:cs="Arial"/>
                <w:b/>
                <w:bCs/>
                <w:color w:val="FFFFFF" w:themeColor="background1"/>
                <w:sz w:val="18"/>
                <w:szCs w:val="20"/>
                <w:lang w:eastAsia="es-CO"/>
              </w:rPr>
            </w:pPr>
            <w:r>
              <w:rPr>
                <w:rFonts w:cs="Arial"/>
                <w:b/>
                <w:bCs/>
                <w:color w:val="FFFFFF" w:themeColor="background1"/>
                <w:sz w:val="18"/>
                <w:szCs w:val="20"/>
                <w:lang w:eastAsia="es-CO"/>
              </w:rPr>
              <w:t>Total G</w:t>
            </w:r>
            <w:r w:rsidR="008819AE" w:rsidRPr="0010031F">
              <w:rPr>
                <w:rFonts w:cs="Arial"/>
                <w:b/>
                <w:bCs/>
                <w:color w:val="FFFFFF" w:themeColor="background1"/>
                <w:sz w:val="18"/>
                <w:szCs w:val="20"/>
                <w:lang w:eastAsia="es-CO"/>
              </w:rPr>
              <w:t>eneral</w:t>
            </w:r>
          </w:p>
        </w:tc>
      </w:tr>
      <w:tr w:rsidR="008819AE" w:rsidRPr="007608C2" w:rsidTr="0010031F">
        <w:trPr>
          <w:trHeight w:val="510"/>
          <w:tblHeader/>
          <w:jc w:val="center"/>
        </w:trPr>
        <w:tc>
          <w:tcPr>
            <w:tcW w:w="0" w:type="auto"/>
            <w:vMerge/>
            <w:shd w:val="clear" w:color="auto" w:fill="92D050"/>
            <w:tcMar>
              <w:top w:w="0" w:type="dxa"/>
              <w:left w:w="70" w:type="dxa"/>
              <w:bottom w:w="0" w:type="dxa"/>
              <w:right w:w="70" w:type="dxa"/>
            </w:tcMar>
            <w:vAlign w:val="center"/>
            <w:hideMark/>
          </w:tcPr>
          <w:p w:rsidR="008819AE" w:rsidRPr="007608C2" w:rsidRDefault="008819AE" w:rsidP="00476EF8">
            <w:pPr>
              <w:spacing w:after="0" w:line="240" w:lineRule="auto"/>
              <w:rPr>
                <w:rFonts w:eastAsiaTheme="minorHAnsi" w:cs="Arial"/>
                <w:b/>
                <w:bCs/>
                <w:sz w:val="18"/>
                <w:szCs w:val="20"/>
                <w:lang w:eastAsia="es-CO"/>
              </w:rPr>
            </w:pPr>
          </w:p>
        </w:tc>
        <w:tc>
          <w:tcPr>
            <w:tcW w:w="0" w:type="auto"/>
            <w:shd w:val="clear" w:color="auto" w:fill="76922E"/>
            <w:tcMar>
              <w:top w:w="0" w:type="dxa"/>
              <w:left w:w="70" w:type="dxa"/>
              <w:bottom w:w="0" w:type="dxa"/>
              <w:right w:w="70" w:type="dxa"/>
            </w:tcMar>
            <w:vAlign w:val="center"/>
            <w:hideMark/>
          </w:tcPr>
          <w:p w:rsidR="008819AE" w:rsidRPr="0010031F" w:rsidRDefault="008819AE" w:rsidP="00476EF8">
            <w:pPr>
              <w:spacing w:after="0" w:line="240" w:lineRule="auto"/>
              <w:jc w:val="center"/>
              <w:rPr>
                <w:rFonts w:cs="Arial"/>
                <w:b/>
                <w:bCs/>
                <w:color w:val="FFFFFF" w:themeColor="background1"/>
                <w:sz w:val="18"/>
                <w:szCs w:val="20"/>
                <w:lang w:eastAsia="es-CO"/>
              </w:rPr>
            </w:pPr>
            <w:r w:rsidRPr="0010031F">
              <w:rPr>
                <w:rFonts w:cs="Arial"/>
                <w:b/>
                <w:bCs/>
                <w:color w:val="FFFFFF" w:themeColor="background1"/>
                <w:sz w:val="18"/>
                <w:szCs w:val="20"/>
                <w:lang w:eastAsia="es-CO"/>
              </w:rPr>
              <w:t>Afiliada</w:t>
            </w:r>
          </w:p>
        </w:tc>
        <w:tc>
          <w:tcPr>
            <w:tcW w:w="0" w:type="auto"/>
            <w:shd w:val="clear" w:color="auto" w:fill="76922E"/>
            <w:tcMar>
              <w:top w:w="0" w:type="dxa"/>
              <w:left w:w="70" w:type="dxa"/>
              <w:bottom w:w="0" w:type="dxa"/>
              <w:right w:w="70" w:type="dxa"/>
            </w:tcMar>
            <w:vAlign w:val="center"/>
            <w:hideMark/>
          </w:tcPr>
          <w:p w:rsidR="008819AE" w:rsidRPr="0010031F" w:rsidRDefault="008819AE" w:rsidP="00476EF8">
            <w:pPr>
              <w:spacing w:after="0" w:line="240" w:lineRule="auto"/>
              <w:jc w:val="center"/>
              <w:rPr>
                <w:rFonts w:cs="Arial"/>
                <w:b/>
                <w:bCs/>
                <w:color w:val="FFFFFF" w:themeColor="background1"/>
                <w:sz w:val="18"/>
                <w:szCs w:val="20"/>
                <w:lang w:eastAsia="es-CO"/>
              </w:rPr>
            </w:pPr>
            <w:r w:rsidRPr="0010031F">
              <w:rPr>
                <w:rFonts w:cs="Arial"/>
                <w:b/>
                <w:bCs/>
                <w:color w:val="FFFFFF" w:themeColor="background1"/>
                <w:sz w:val="18"/>
                <w:szCs w:val="20"/>
                <w:lang w:eastAsia="es-CO"/>
              </w:rPr>
              <w:t>No afiliada</w:t>
            </w:r>
          </w:p>
        </w:tc>
        <w:tc>
          <w:tcPr>
            <w:tcW w:w="0" w:type="auto"/>
            <w:vMerge/>
            <w:shd w:val="clear" w:color="auto" w:fill="92D050"/>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b/>
                <w:bCs/>
                <w:sz w:val="18"/>
                <w:szCs w:val="20"/>
                <w:lang w:eastAsia="es-CO"/>
              </w:rPr>
            </w:pP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Amazonas</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9</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12</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Antioquia</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1015</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189</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1204</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Arauca</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63</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6</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69</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Atlántico</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105</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72</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177</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Bogotá</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134</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69</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203</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Bolívar</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109</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26</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135</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Boyacá</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139</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9</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148</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Caldas</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349</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69</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418</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Caquetá</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63</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21</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84</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Casanare</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67</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38</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105</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Cauca</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158</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82</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240</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Cesar</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37</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18</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55</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Chocó</w:t>
            </w:r>
          </w:p>
        </w:tc>
        <w:tc>
          <w:tcPr>
            <w:tcW w:w="0" w:type="auto"/>
            <w:noWrap/>
            <w:tcMar>
              <w:top w:w="0" w:type="dxa"/>
              <w:left w:w="70" w:type="dxa"/>
              <w:bottom w:w="0" w:type="dxa"/>
              <w:right w:w="70" w:type="dxa"/>
            </w:tcMar>
            <w:vAlign w:val="center"/>
            <w:hideMark/>
          </w:tcPr>
          <w:p w:rsidR="008819AE" w:rsidRPr="007608C2" w:rsidRDefault="008819AE" w:rsidP="00476EF8">
            <w:pPr>
              <w:spacing w:after="0"/>
              <w:rPr>
                <w:rFonts w:cs="Arial"/>
                <w:sz w:val="18"/>
                <w:szCs w:val="20"/>
                <w:lang w:eastAsia="es-CO"/>
              </w:rPr>
            </w:pP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eastAsiaTheme="minorHAnsi" w:cs="Arial"/>
                <w:sz w:val="18"/>
                <w:szCs w:val="20"/>
                <w:lang w:eastAsia="es-CO"/>
              </w:rPr>
            </w:pPr>
            <w:r w:rsidRPr="007608C2">
              <w:rPr>
                <w:rFonts w:cs="Arial"/>
                <w:sz w:val="18"/>
                <w:szCs w:val="20"/>
                <w:lang w:eastAsia="es-CO"/>
              </w:rPr>
              <w:t>43</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43</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Córdoba</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45</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37</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82</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Cundinamarca</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192</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68</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260</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Guainía</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4</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5</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Guaviare</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11</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13</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Huila</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107</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7</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114</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La Guajira</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4</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11</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15</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Magdalena</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27</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50</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77</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Meta</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188</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101</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289</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Nariño</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271</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38</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309</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Norte de Santander</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130</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17</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147</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lastRenderedPageBreak/>
              <w:t>Regional Putumayo</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46</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47</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Quindío</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170</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26</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196</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Risaralda</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125</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127</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San Andrés</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w:t>
            </w:r>
          </w:p>
        </w:tc>
        <w:tc>
          <w:tcPr>
            <w:tcW w:w="0" w:type="auto"/>
            <w:noWrap/>
            <w:tcMar>
              <w:top w:w="0" w:type="dxa"/>
              <w:left w:w="70" w:type="dxa"/>
              <w:bottom w:w="0" w:type="dxa"/>
              <w:right w:w="70" w:type="dxa"/>
            </w:tcMar>
            <w:vAlign w:val="center"/>
            <w:hideMark/>
          </w:tcPr>
          <w:p w:rsidR="008819AE" w:rsidRPr="007608C2" w:rsidRDefault="008819AE" w:rsidP="00476EF8">
            <w:pPr>
              <w:spacing w:after="0"/>
              <w:rPr>
                <w:rFonts w:cs="Arial"/>
                <w:sz w:val="18"/>
                <w:szCs w:val="20"/>
                <w:lang w:eastAsia="es-CO"/>
              </w:rPr>
            </w:pP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eastAsiaTheme="minorHAnsi" w:cs="Arial"/>
                <w:sz w:val="18"/>
                <w:szCs w:val="20"/>
                <w:lang w:eastAsia="es-CO"/>
              </w:rPr>
            </w:pPr>
            <w:r w:rsidRPr="007608C2">
              <w:rPr>
                <w:rFonts w:cs="Arial"/>
                <w:sz w:val="18"/>
                <w:szCs w:val="20"/>
                <w:lang w:eastAsia="es-CO"/>
              </w:rPr>
              <w:t>3</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Santander</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148</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41</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189</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Sucre</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53</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9</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62</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Tolima</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277</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42</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319</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Valle del Cauca</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311</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38</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349</w:t>
            </w:r>
          </w:p>
        </w:tc>
      </w:tr>
      <w:tr w:rsidR="008819AE" w:rsidRPr="007608C2" w:rsidTr="0010031F">
        <w:trPr>
          <w:trHeight w:val="255"/>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Vaupés</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2</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6</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8</w:t>
            </w:r>
          </w:p>
        </w:tc>
      </w:tr>
      <w:tr w:rsidR="008819AE" w:rsidRPr="007608C2" w:rsidTr="0010031F">
        <w:trPr>
          <w:trHeight w:val="70"/>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rPr>
                <w:rFonts w:cs="Arial"/>
                <w:sz w:val="18"/>
                <w:szCs w:val="20"/>
                <w:lang w:eastAsia="es-CO"/>
              </w:rPr>
            </w:pPr>
            <w:r w:rsidRPr="007608C2">
              <w:rPr>
                <w:rFonts w:cs="Arial"/>
                <w:sz w:val="18"/>
                <w:szCs w:val="20"/>
                <w:lang w:eastAsia="es-CO"/>
              </w:rPr>
              <w:t>Regional Vichada</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6</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13</w:t>
            </w:r>
          </w:p>
        </w:tc>
        <w:tc>
          <w:tcPr>
            <w:tcW w:w="0" w:type="auto"/>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sz w:val="18"/>
                <w:szCs w:val="20"/>
                <w:lang w:eastAsia="es-CO"/>
              </w:rPr>
            </w:pPr>
            <w:r w:rsidRPr="007608C2">
              <w:rPr>
                <w:rFonts w:cs="Arial"/>
                <w:sz w:val="18"/>
                <w:szCs w:val="20"/>
                <w:lang w:eastAsia="es-CO"/>
              </w:rPr>
              <w:t>19</w:t>
            </w:r>
          </w:p>
        </w:tc>
      </w:tr>
      <w:tr w:rsidR="008819AE" w:rsidRPr="007608C2" w:rsidTr="0010031F">
        <w:trPr>
          <w:trHeight w:val="255"/>
          <w:jc w:val="center"/>
        </w:trPr>
        <w:tc>
          <w:tcPr>
            <w:tcW w:w="0" w:type="auto"/>
            <w:shd w:val="clear" w:color="auto" w:fill="E2EFDA"/>
            <w:noWrap/>
            <w:tcMar>
              <w:top w:w="0" w:type="dxa"/>
              <w:left w:w="70" w:type="dxa"/>
              <w:bottom w:w="0" w:type="dxa"/>
              <w:right w:w="70" w:type="dxa"/>
            </w:tcMar>
            <w:vAlign w:val="center"/>
            <w:hideMark/>
          </w:tcPr>
          <w:p w:rsidR="008819AE" w:rsidRPr="007608C2" w:rsidRDefault="008819AE" w:rsidP="00476EF8">
            <w:pPr>
              <w:spacing w:after="0" w:line="240" w:lineRule="auto"/>
              <w:rPr>
                <w:rFonts w:cs="Arial"/>
                <w:b/>
                <w:bCs/>
                <w:sz w:val="18"/>
                <w:szCs w:val="20"/>
                <w:lang w:eastAsia="es-CO"/>
              </w:rPr>
            </w:pPr>
            <w:r w:rsidRPr="007608C2">
              <w:rPr>
                <w:rFonts w:cs="Arial"/>
                <w:b/>
                <w:bCs/>
                <w:sz w:val="18"/>
                <w:szCs w:val="20"/>
                <w:lang w:eastAsia="es-CO"/>
              </w:rPr>
              <w:t>Total general</w:t>
            </w:r>
          </w:p>
        </w:tc>
        <w:tc>
          <w:tcPr>
            <w:tcW w:w="0" w:type="auto"/>
            <w:shd w:val="clear" w:color="auto" w:fill="E2EFDA"/>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b/>
                <w:bCs/>
                <w:sz w:val="18"/>
                <w:szCs w:val="20"/>
                <w:lang w:eastAsia="es-CO"/>
              </w:rPr>
            </w:pPr>
            <w:r w:rsidRPr="007608C2">
              <w:rPr>
                <w:rFonts w:cs="Arial"/>
                <w:b/>
                <w:bCs/>
                <w:sz w:val="18"/>
                <w:szCs w:val="20"/>
                <w:lang w:eastAsia="es-CO"/>
              </w:rPr>
              <w:t>4368</w:t>
            </w:r>
          </w:p>
        </w:tc>
        <w:tc>
          <w:tcPr>
            <w:tcW w:w="0" w:type="auto"/>
            <w:shd w:val="clear" w:color="auto" w:fill="E2EFDA"/>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b/>
                <w:bCs/>
                <w:sz w:val="18"/>
                <w:szCs w:val="20"/>
                <w:lang w:eastAsia="es-CO"/>
              </w:rPr>
            </w:pPr>
            <w:r w:rsidRPr="007608C2">
              <w:rPr>
                <w:rFonts w:cs="Arial"/>
                <w:b/>
                <w:bCs/>
                <w:sz w:val="18"/>
                <w:szCs w:val="20"/>
                <w:lang w:eastAsia="es-CO"/>
              </w:rPr>
              <w:t>1.155</w:t>
            </w:r>
          </w:p>
        </w:tc>
        <w:tc>
          <w:tcPr>
            <w:tcW w:w="0" w:type="auto"/>
            <w:shd w:val="clear" w:color="auto" w:fill="E2EFDA"/>
            <w:noWrap/>
            <w:tcMar>
              <w:top w:w="0" w:type="dxa"/>
              <w:left w:w="70" w:type="dxa"/>
              <w:bottom w:w="0" w:type="dxa"/>
              <w:right w:w="70" w:type="dxa"/>
            </w:tcMar>
            <w:vAlign w:val="center"/>
            <w:hideMark/>
          </w:tcPr>
          <w:p w:rsidR="008819AE" w:rsidRPr="007608C2" w:rsidRDefault="008819AE" w:rsidP="00476EF8">
            <w:pPr>
              <w:spacing w:after="0" w:line="240" w:lineRule="auto"/>
              <w:jc w:val="center"/>
              <w:rPr>
                <w:rFonts w:cs="Arial"/>
                <w:b/>
                <w:bCs/>
                <w:sz w:val="18"/>
                <w:szCs w:val="20"/>
                <w:lang w:eastAsia="es-CO"/>
              </w:rPr>
            </w:pPr>
            <w:r w:rsidRPr="007608C2">
              <w:rPr>
                <w:rFonts w:cs="Arial"/>
                <w:b/>
                <w:bCs/>
                <w:sz w:val="18"/>
                <w:szCs w:val="20"/>
                <w:lang w:eastAsia="es-CO"/>
              </w:rPr>
              <w:t>5.523</w:t>
            </w:r>
          </w:p>
        </w:tc>
      </w:tr>
    </w:tbl>
    <w:p w:rsidR="008819AE" w:rsidRPr="007608C2" w:rsidRDefault="008819AE" w:rsidP="0010031F">
      <w:pPr>
        <w:jc w:val="center"/>
        <w:rPr>
          <w:rFonts w:cs="Arial"/>
          <w:sz w:val="16"/>
        </w:rPr>
      </w:pPr>
      <w:r w:rsidRPr="007608C2">
        <w:rPr>
          <w:rFonts w:cs="Arial"/>
          <w:sz w:val="16"/>
        </w:rPr>
        <w:t>Fuente: Base de datos SRD de SGSSS madres sustitutas con corte a noviembre 30 de 2017</w:t>
      </w:r>
    </w:p>
    <w:p w:rsidR="0010031F" w:rsidRDefault="0010031F" w:rsidP="0010031F">
      <w:pPr>
        <w:spacing w:after="0"/>
        <w:ind w:firstLine="708"/>
        <w:rPr>
          <w:rFonts w:cs="Arial"/>
          <w:b/>
        </w:rPr>
      </w:pPr>
    </w:p>
    <w:p w:rsidR="008819AE" w:rsidRPr="007608C2" w:rsidRDefault="008819AE" w:rsidP="008819AE">
      <w:pPr>
        <w:ind w:firstLine="708"/>
        <w:rPr>
          <w:rFonts w:cs="Arial"/>
          <w:b/>
        </w:rPr>
      </w:pPr>
      <w:r w:rsidRPr="007608C2">
        <w:rPr>
          <w:rFonts w:cs="Arial"/>
          <w:b/>
        </w:rPr>
        <w:t xml:space="preserve">Asistencia Técnica </w:t>
      </w:r>
    </w:p>
    <w:p w:rsidR="008819AE" w:rsidRPr="007608C2" w:rsidRDefault="008819AE" w:rsidP="008819AE">
      <w:pPr>
        <w:rPr>
          <w:rFonts w:cs="Arial"/>
        </w:rPr>
      </w:pPr>
      <w:r w:rsidRPr="007608C2">
        <w:rPr>
          <w:rFonts w:cs="Arial"/>
        </w:rPr>
        <w:t>Se visitaron 30 regionales ICBF y se llevaron a cabo las siguientes actividades:</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ook w:val="04A0" w:firstRow="1" w:lastRow="0" w:firstColumn="1" w:lastColumn="0" w:noHBand="0" w:noVBand="1"/>
      </w:tblPr>
      <w:tblGrid>
        <w:gridCol w:w="517"/>
        <w:gridCol w:w="8878"/>
      </w:tblGrid>
      <w:tr w:rsidR="008819AE" w:rsidRPr="00072D6F" w:rsidTr="00072D6F">
        <w:trPr>
          <w:tblHeader/>
          <w:jc w:val="center"/>
        </w:trPr>
        <w:tc>
          <w:tcPr>
            <w:tcW w:w="0" w:type="auto"/>
            <w:shd w:val="clear" w:color="auto" w:fill="76922E"/>
          </w:tcPr>
          <w:p w:rsidR="008819AE" w:rsidRPr="00072D6F" w:rsidRDefault="008819AE" w:rsidP="00476EF8">
            <w:pPr>
              <w:spacing w:after="0"/>
              <w:jc w:val="center"/>
              <w:rPr>
                <w:rFonts w:cs="Arial"/>
                <w:b/>
                <w:color w:val="FFFFFF" w:themeColor="background1"/>
                <w:sz w:val="18"/>
                <w:szCs w:val="18"/>
              </w:rPr>
            </w:pPr>
            <w:r w:rsidRPr="00072D6F">
              <w:rPr>
                <w:rFonts w:cs="Arial"/>
                <w:b/>
                <w:color w:val="FFFFFF" w:themeColor="background1"/>
                <w:sz w:val="18"/>
                <w:szCs w:val="18"/>
              </w:rPr>
              <w:t>No.</w:t>
            </w:r>
          </w:p>
        </w:tc>
        <w:tc>
          <w:tcPr>
            <w:tcW w:w="0" w:type="auto"/>
            <w:shd w:val="clear" w:color="auto" w:fill="76922E"/>
          </w:tcPr>
          <w:p w:rsidR="008819AE" w:rsidRPr="00072D6F" w:rsidRDefault="008819AE" w:rsidP="00476EF8">
            <w:pPr>
              <w:spacing w:after="0"/>
              <w:jc w:val="center"/>
              <w:rPr>
                <w:rFonts w:cs="Arial"/>
                <w:b/>
                <w:color w:val="FFFFFF" w:themeColor="background1"/>
                <w:sz w:val="18"/>
                <w:szCs w:val="18"/>
              </w:rPr>
            </w:pPr>
            <w:r w:rsidRPr="00072D6F">
              <w:rPr>
                <w:rFonts w:cs="Arial"/>
                <w:b/>
                <w:color w:val="FFFFFF" w:themeColor="background1"/>
                <w:sz w:val="18"/>
                <w:szCs w:val="18"/>
              </w:rPr>
              <w:t>Actividad</w:t>
            </w:r>
          </w:p>
        </w:tc>
      </w:tr>
      <w:tr w:rsidR="008819AE" w:rsidRPr="00072D6F" w:rsidTr="00072D6F">
        <w:trPr>
          <w:jc w:val="center"/>
        </w:trPr>
        <w:tc>
          <w:tcPr>
            <w:tcW w:w="0" w:type="auto"/>
            <w:shd w:val="clear" w:color="auto" w:fill="auto"/>
          </w:tcPr>
          <w:p w:rsidR="008819AE" w:rsidRPr="00072D6F" w:rsidRDefault="008819AE" w:rsidP="00476EF8">
            <w:pPr>
              <w:spacing w:after="0"/>
              <w:jc w:val="center"/>
              <w:rPr>
                <w:rFonts w:cs="Arial"/>
                <w:sz w:val="18"/>
                <w:szCs w:val="18"/>
              </w:rPr>
            </w:pPr>
            <w:r w:rsidRPr="00072D6F">
              <w:rPr>
                <w:rFonts w:cs="Arial"/>
                <w:sz w:val="18"/>
                <w:szCs w:val="18"/>
              </w:rPr>
              <w:t>5</w:t>
            </w:r>
          </w:p>
        </w:tc>
        <w:tc>
          <w:tcPr>
            <w:tcW w:w="0" w:type="auto"/>
            <w:shd w:val="clear" w:color="auto" w:fill="auto"/>
          </w:tcPr>
          <w:p w:rsidR="008819AE" w:rsidRPr="00072D6F" w:rsidRDefault="008819AE" w:rsidP="00476EF8">
            <w:pPr>
              <w:spacing w:after="0"/>
              <w:rPr>
                <w:rFonts w:cs="Arial"/>
                <w:sz w:val="18"/>
                <w:szCs w:val="18"/>
              </w:rPr>
            </w:pPr>
            <w:r w:rsidRPr="00072D6F">
              <w:rPr>
                <w:rFonts w:cs="Arial"/>
                <w:sz w:val="18"/>
                <w:szCs w:val="18"/>
              </w:rPr>
              <w:t>Mesas macro regionales de madres sustitutas</w:t>
            </w:r>
          </w:p>
        </w:tc>
      </w:tr>
      <w:tr w:rsidR="008819AE" w:rsidRPr="00072D6F" w:rsidTr="00072D6F">
        <w:trPr>
          <w:jc w:val="center"/>
        </w:trPr>
        <w:tc>
          <w:tcPr>
            <w:tcW w:w="0" w:type="auto"/>
            <w:shd w:val="clear" w:color="auto" w:fill="auto"/>
          </w:tcPr>
          <w:p w:rsidR="008819AE" w:rsidRPr="00072D6F" w:rsidRDefault="008819AE" w:rsidP="00476EF8">
            <w:pPr>
              <w:spacing w:after="0"/>
              <w:jc w:val="center"/>
              <w:rPr>
                <w:rFonts w:cs="Arial"/>
                <w:sz w:val="18"/>
                <w:szCs w:val="18"/>
              </w:rPr>
            </w:pPr>
            <w:r w:rsidRPr="00072D6F">
              <w:rPr>
                <w:rFonts w:cs="Arial"/>
                <w:sz w:val="18"/>
                <w:szCs w:val="18"/>
              </w:rPr>
              <w:t>5</w:t>
            </w:r>
          </w:p>
        </w:tc>
        <w:tc>
          <w:tcPr>
            <w:tcW w:w="0" w:type="auto"/>
            <w:shd w:val="clear" w:color="auto" w:fill="auto"/>
          </w:tcPr>
          <w:p w:rsidR="008819AE" w:rsidRPr="00072D6F" w:rsidRDefault="008819AE" w:rsidP="00476EF8">
            <w:pPr>
              <w:spacing w:after="0"/>
              <w:rPr>
                <w:rFonts w:cs="Arial"/>
                <w:sz w:val="18"/>
                <w:szCs w:val="18"/>
              </w:rPr>
            </w:pPr>
            <w:r w:rsidRPr="00072D6F">
              <w:rPr>
                <w:rFonts w:cs="Arial"/>
                <w:sz w:val="18"/>
                <w:szCs w:val="18"/>
              </w:rPr>
              <w:t>Video conferencias nacionales de hogares sustitutos con regionales en temas: Asistencia Técnica; y Contrato 1808/16 Unión Temporal Hogares 2016</w:t>
            </w:r>
          </w:p>
        </w:tc>
      </w:tr>
      <w:tr w:rsidR="008819AE" w:rsidRPr="00072D6F" w:rsidTr="00072D6F">
        <w:trPr>
          <w:jc w:val="center"/>
        </w:trPr>
        <w:tc>
          <w:tcPr>
            <w:tcW w:w="0" w:type="auto"/>
            <w:shd w:val="clear" w:color="auto" w:fill="auto"/>
          </w:tcPr>
          <w:p w:rsidR="008819AE" w:rsidRPr="00072D6F" w:rsidRDefault="008819AE" w:rsidP="00476EF8">
            <w:pPr>
              <w:spacing w:after="0"/>
              <w:jc w:val="center"/>
              <w:rPr>
                <w:rFonts w:cs="Arial"/>
                <w:sz w:val="18"/>
                <w:szCs w:val="18"/>
              </w:rPr>
            </w:pPr>
            <w:r w:rsidRPr="00072D6F">
              <w:rPr>
                <w:rFonts w:cs="Arial"/>
                <w:sz w:val="18"/>
                <w:szCs w:val="18"/>
              </w:rPr>
              <w:t>1</w:t>
            </w:r>
          </w:p>
        </w:tc>
        <w:tc>
          <w:tcPr>
            <w:tcW w:w="0" w:type="auto"/>
            <w:shd w:val="clear" w:color="auto" w:fill="auto"/>
          </w:tcPr>
          <w:p w:rsidR="008819AE" w:rsidRPr="00072D6F" w:rsidRDefault="008819AE" w:rsidP="00476EF8">
            <w:pPr>
              <w:spacing w:after="0"/>
              <w:rPr>
                <w:rFonts w:cs="Arial"/>
                <w:sz w:val="18"/>
                <w:szCs w:val="18"/>
              </w:rPr>
            </w:pPr>
            <w:r w:rsidRPr="00072D6F">
              <w:rPr>
                <w:rFonts w:cs="Arial"/>
                <w:sz w:val="18"/>
                <w:szCs w:val="18"/>
              </w:rPr>
              <w:t>Encuentro Nacional de asistencia técnica de hogares sustitutos con la asistencia de 200 personas: Referentes técnicos regionales de Hogares; Referentes zonales de hogares sustitutos; Representantes legales de 38 entidades administradoras; Coordinadores de asistencia técnica; Coordinadores de Centros zonales; Defensorías de Familia</w:t>
            </w:r>
          </w:p>
        </w:tc>
      </w:tr>
      <w:tr w:rsidR="008819AE" w:rsidRPr="00072D6F" w:rsidTr="00072D6F">
        <w:trPr>
          <w:jc w:val="center"/>
        </w:trPr>
        <w:tc>
          <w:tcPr>
            <w:tcW w:w="0" w:type="auto"/>
            <w:shd w:val="clear" w:color="auto" w:fill="auto"/>
          </w:tcPr>
          <w:p w:rsidR="008819AE" w:rsidRPr="00072D6F" w:rsidRDefault="008819AE" w:rsidP="00476EF8">
            <w:pPr>
              <w:spacing w:after="0"/>
              <w:jc w:val="center"/>
              <w:rPr>
                <w:rFonts w:cs="Arial"/>
                <w:sz w:val="18"/>
                <w:szCs w:val="18"/>
              </w:rPr>
            </w:pPr>
            <w:r w:rsidRPr="00072D6F">
              <w:rPr>
                <w:rFonts w:cs="Arial"/>
                <w:sz w:val="18"/>
                <w:szCs w:val="18"/>
              </w:rPr>
              <w:t>10</w:t>
            </w:r>
          </w:p>
        </w:tc>
        <w:tc>
          <w:tcPr>
            <w:tcW w:w="0" w:type="auto"/>
            <w:shd w:val="clear" w:color="auto" w:fill="auto"/>
          </w:tcPr>
          <w:p w:rsidR="008819AE" w:rsidRPr="00072D6F" w:rsidRDefault="008819AE" w:rsidP="00476EF8">
            <w:pPr>
              <w:spacing w:after="0"/>
              <w:rPr>
                <w:rFonts w:cs="Arial"/>
                <w:sz w:val="18"/>
                <w:szCs w:val="18"/>
              </w:rPr>
            </w:pPr>
            <w:r w:rsidRPr="00072D6F">
              <w:rPr>
                <w:rFonts w:cs="Arial"/>
                <w:sz w:val="18"/>
                <w:szCs w:val="18"/>
              </w:rPr>
              <w:t>Video links con regionales para apoyo: con casos de madres sustitutas; con casos de niños, niñas y adolescentes; y orientación en el manejo presupuestal</w:t>
            </w:r>
          </w:p>
        </w:tc>
      </w:tr>
      <w:tr w:rsidR="008819AE" w:rsidRPr="00072D6F" w:rsidTr="00072D6F">
        <w:trPr>
          <w:jc w:val="center"/>
        </w:trPr>
        <w:tc>
          <w:tcPr>
            <w:tcW w:w="0" w:type="auto"/>
            <w:shd w:val="clear" w:color="auto" w:fill="auto"/>
          </w:tcPr>
          <w:p w:rsidR="008819AE" w:rsidRPr="00072D6F" w:rsidRDefault="008819AE" w:rsidP="00476EF8">
            <w:pPr>
              <w:spacing w:after="0"/>
              <w:jc w:val="center"/>
              <w:rPr>
                <w:rFonts w:cs="Arial"/>
                <w:sz w:val="18"/>
                <w:szCs w:val="18"/>
              </w:rPr>
            </w:pPr>
            <w:r w:rsidRPr="00072D6F">
              <w:rPr>
                <w:rFonts w:cs="Arial"/>
                <w:sz w:val="18"/>
                <w:szCs w:val="18"/>
              </w:rPr>
              <w:t>1</w:t>
            </w:r>
          </w:p>
        </w:tc>
        <w:tc>
          <w:tcPr>
            <w:tcW w:w="0" w:type="auto"/>
            <w:shd w:val="clear" w:color="auto" w:fill="auto"/>
          </w:tcPr>
          <w:p w:rsidR="008819AE" w:rsidRPr="00072D6F" w:rsidRDefault="008819AE" w:rsidP="00476EF8">
            <w:pPr>
              <w:spacing w:after="0"/>
              <w:rPr>
                <w:rFonts w:cs="Arial"/>
                <w:sz w:val="18"/>
                <w:szCs w:val="18"/>
              </w:rPr>
            </w:pPr>
            <w:r w:rsidRPr="00072D6F">
              <w:rPr>
                <w:rFonts w:cs="Arial"/>
                <w:sz w:val="18"/>
                <w:szCs w:val="18"/>
              </w:rPr>
              <w:t>Encuentro Nacional de referentes financieros de Hogares Sustitutos en Medellín: 120 personas</w:t>
            </w:r>
          </w:p>
        </w:tc>
      </w:tr>
      <w:tr w:rsidR="008819AE" w:rsidRPr="00072D6F" w:rsidTr="00072D6F">
        <w:trPr>
          <w:jc w:val="center"/>
        </w:trPr>
        <w:tc>
          <w:tcPr>
            <w:tcW w:w="0" w:type="auto"/>
            <w:shd w:val="clear" w:color="auto" w:fill="auto"/>
          </w:tcPr>
          <w:p w:rsidR="008819AE" w:rsidRPr="00072D6F" w:rsidRDefault="008819AE" w:rsidP="00476EF8">
            <w:pPr>
              <w:spacing w:after="0"/>
              <w:jc w:val="center"/>
              <w:rPr>
                <w:rFonts w:cs="Arial"/>
                <w:sz w:val="18"/>
                <w:szCs w:val="18"/>
              </w:rPr>
            </w:pPr>
            <w:r w:rsidRPr="00072D6F">
              <w:rPr>
                <w:rFonts w:cs="Arial"/>
                <w:sz w:val="18"/>
                <w:szCs w:val="18"/>
              </w:rPr>
              <w:t>1</w:t>
            </w:r>
          </w:p>
        </w:tc>
        <w:tc>
          <w:tcPr>
            <w:tcW w:w="0" w:type="auto"/>
            <w:shd w:val="clear" w:color="auto" w:fill="auto"/>
          </w:tcPr>
          <w:p w:rsidR="008819AE" w:rsidRPr="00072D6F" w:rsidRDefault="008819AE" w:rsidP="00476EF8">
            <w:pPr>
              <w:spacing w:after="0"/>
              <w:rPr>
                <w:rFonts w:cs="Arial"/>
                <w:sz w:val="18"/>
                <w:szCs w:val="18"/>
              </w:rPr>
            </w:pPr>
            <w:r w:rsidRPr="00072D6F">
              <w:rPr>
                <w:rFonts w:cs="Arial"/>
                <w:sz w:val="18"/>
                <w:szCs w:val="18"/>
              </w:rPr>
              <w:t>Reunión con coordinadores jurídicos para revisar la expedición de certificaciones a madres sustitutas</w:t>
            </w:r>
          </w:p>
        </w:tc>
      </w:tr>
      <w:tr w:rsidR="008819AE" w:rsidRPr="00072D6F" w:rsidTr="00072D6F">
        <w:trPr>
          <w:jc w:val="center"/>
        </w:trPr>
        <w:tc>
          <w:tcPr>
            <w:tcW w:w="0" w:type="auto"/>
            <w:shd w:val="clear" w:color="auto" w:fill="auto"/>
          </w:tcPr>
          <w:p w:rsidR="008819AE" w:rsidRPr="00072D6F" w:rsidRDefault="008819AE" w:rsidP="00476EF8">
            <w:pPr>
              <w:spacing w:after="0"/>
              <w:jc w:val="center"/>
              <w:rPr>
                <w:rFonts w:cs="Arial"/>
                <w:sz w:val="18"/>
                <w:szCs w:val="18"/>
              </w:rPr>
            </w:pPr>
            <w:r w:rsidRPr="00072D6F">
              <w:rPr>
                <w:rFonts w:cs="Arial"/>
                <w:sz w:val="18"/>
                <w:szCs w:val="18"/>
              </w:rPr>
              <w:t>1</w:t>
            </w:r>
          </w:p>
        </w:tc>
        <w:tc>
          <w:tcPr>
            <w:tcW w:w="0" w:type="auto"/>
            <w:shd w:val="clear" w:color="auto" w:fill="auto"/>
          </w:tcPr>
          <w:p w:rsidR="008819AE" w:rsidRPr="00072D6F" w:rsidRDefault="008819AE" w:rsidP="00476EF8">
            <w:pPr>
              <w:spacing w:after="0"/>
              <w:rPr>
                <w:rFonts w:cs="Arial"/>
                <w:sz w:val="18"/>
                <w:szCs w:val="18"/>
              </w:rPr>
            </w:pPr>
            <w:r w:rsidRPr="00072D6F">
              <w:rPr>
                <w:rFonts w:cs="Arial"/>
                <w:sz w:val="18"/>
                <w:szCs w:val="18"/>
              </w:rPr>
              <w:t>Asistencia mensual de los niños, niñas y adolescentes ubicados en hogares sustituto a actividades de Cine Colombia y teatro la castellana.</w:t>
            </w:r>
          </w:p>
        </w:tc>
      </w:tr>
      <w:tr w:rsidR="008819AE" w:rsidRPr="00072D6F" w:rsidTr="00072D6F">
        <w:trPr>
          <w:jc w:val="center"/>
        </w:trPr>
        <w:tc>
          <w:tcPr>
            <w:tcW w:w="0" w:type="auto"/>
            <w:shd w:val="clear" w:color="auto" w:fill="auto"/>
          </w:tcPr>
          <w:p w:rsidR="008819AE" w:rsidRPr="00072D6F" w:rsidRDefault="008819AE" w:rsidP="00476EF8">
            <w:pPr>
              <w:spacing w:after="0"/>
              <w:jc w:val="center"/>
              <w:rPr>
                <w:rFonts w:cs="Arial"/>
                <w:sz w:val="18"/>
                <w:szCs w:val="18"/>
              </w:rPr>
            </w:pPr>
            <w:r w:rsidRPr="00072D6F">
              <w:rPr>
                <w:rFonts w:cs="Arial"/>
                <w:sz w:val="18"/>
                <w:szCs w:val="18"/>
              </w:rPr>
              <w:t>25</w:t>
            </w:r>
          </w:p>
        </w:tc>
        <w:tc>
          <w:tcPr>
            <w:tcW w:w="0" w:type="auto"/>
            <w:shd w:val="clear" w:color="auto" w:fill="auto"/>
          </w:tcPr>
          <w:p w:rsidR="008819AE" w:rsidRPr="00072D6F" w:rsidRDefault="008819AE" w:rsidP="00476EF8">
            <w:pPr>
              <w:spacing w:after="0"/>
              <w:rPr>
                <w:rFonts w:cs="Arial"/>
                <w:sz w:val="18"/>
                <w:szCs w:val="18"/>
              </w:rPr>
            </w:pPr>
            <w:r w:rsidRPr="00072D6F">
              <w:rPr>
                <w:rFonts w:cs="Arial"/>
                <w:sz w:val="18"/>
                <w:szCs w:val="18"/>
              </w:rPr>
              <w:t>Madres sustitutas graduadas en la primera promoción de la formación del curso “cuidado de personas con dependencia funcional” del SENA y Min salud: Bogotá; Santander; y Cundinamarca</w:t>
            </w:r>
          </w:p>
        </w:tc>
      </w:tr>
      <w:tr w:rsidR="008819AE" w:rsidRPr="00072D6F" w:rsidTr="00072D6F">
        <w:trPr>
          <w:jc w:val="center"/>
        </w:trPr>
        <w:tc>
          <w:tcPr>
            <w:tcW w:w="0" w:type="auto"/>
            <w:shd w:val="clear" w:color="auto" w:fill="auto"/>
          </w:tcPr>
          <w:p w:rsidR="008819AE" w:rsidRPr="00072D6F" w:rsidRDefault="008819AE" w:rsidP="00476EF8">
            <w:pPr>
              <w:spacing w:after="0"/>
              <w:jc w:val="center"/>
              <w:rPr>
                <w:rFonts w:cs="Arial"/>
                <w:sz w:val="18"/>
                <w:szCs w:val="18"/>
              </w:rPr>
            </w:pPr>
            <w:r w:rsidRPr="00072D6F">
              <w:rPr>
                <w:rFonts w:cs="Arial"/>
                <w:sz w:val="18"/>
                <w:szCs w:val="18"/>
              </w:rPr>
              <w:t>200</w:t>
            </w:r>
          </w:p>
        </w:tc>
        <w:tc>
          <w:tcPr>
            <w:tcW w:w="0" w:type="auto"/>
            <w:shd w:val="clear" w:color="auto" w:fill="auto"/>
          </w:tcPr>
          <w:p w:rsidR="008819AE" w:rsidRPr="00072D6F" w:rsidRDefault="008819AE" w:rsidP="00476EF8">
            <w:pPr>
              <w:spacing w:after="0"/>
              <w:rPr>
                <w:rFonts w:cs="Arial"/>
                <w:sz w:val="18"/>
                <w:szCs w:val="18"/>
              </w:rPr>
            </w:pPr>
            <w:r w:rsidRPr="00072D6F">
              <w:rPr>
                <w:rFonts w:cs="Arial"/>
                <w:sz w:val="18"/>
                <w:szCs w:val="18"/>
              </w:rPr>
              <w:t xml:space="preserve">Madres sustitutas en proceso de formación del curso “cuidado de personas con dependencia funcional” del SENA y Min salud: Bogotá; Antioquía; Atlántico; Cundinamarca; Boyacá; Caldas; Magdalena; Meta; Quindío; y Tolima. </w:t>
            </w:r>
          </w:p>
        </w:tc>
      </w:tr>
      <w:tr w:rsidR="008819AE" w:rsidRPr="00072D6F" w:rsidTr="00072D6F">
        <w:trPr>
          <w:jc w:val="center"/>
        </w:trPr>
        <w:tc>
          <w:tcPr>
            <w:tcW w:w="0" w:type="auto"/>
            <w:shd w:val="clear" w:color="auto" w:fill="auto"/>
          </w:tcPr>
          <w:p w:rsidR="008819AE" w:rsidRPr="00072D6F" w:rsidRDefault="008819AE" w:rsidP="00476EF8">
            <w:pPr>
              <w:spacing w:after="0"/>
              <w:jc w:val="center"/>
              <w:rPr>
                <w:rFonts w:cs="Arial"/>
                <w:sz w:val="18"/>
                <w:szCs w:val="18"/>
              </w:rPr>
            </w:pPr>
            <w:r w:rsidRPr="00072D6F">
              <w:rPr>
                <w:rFonts w:cs="Arial"/>
                <w:sz w:val="18"/>
                <w:szCs w:val="18"/>
              </w:rPr>
              <w:t>602</w:t>
            </w:r>
          </w:p>
        </w:tc>
        <w:tc>
          <w:tcPr>
            <w:tcW w:w="0" w:type="auto"/>
            <w:shd w:val="clear" w:color="auto" w:fill="auto"/>
          </w:tcPr>
          <w:p w:rsidR="008819AE" w:rsidRPr="00072D6F" w:rsidRDefault="008819AE" w:rsidP="00476EF8">
            <w:pPr>
              <w:spacing w:after="0"/>
              <w:rPr>
                <w:rFonts w:cs="Arial"/>
                <w:sz w:val="18"/>
                <w:szCs w:val="18"/>
              </w:rPr>
            </w:pPr>
            <w:r w:rsidRPr="00072D6F">
              <w:rPr>
                <w:rFonts w:cs="Arial"/>
                <w:sz w:val="18"/>
                <w:szCs w:val="18"/>
              </w:rPr>
              <w:t>Se consolidó la información de contrato 1808/16, se elaboró memorando y se está en proceso de envío de la información a todas las regionales: se realizó un video conferencia el 15 de septiembre para resolver inquietudes frente a la información enviada.</w:t>
            </w:r>
          </w:p>
        </w:tc>
      </w:tr>
      <w:tr w:rsidR="008819AE" w:rsidRPr="00072D6F" w:rsidTr="00072D6F">
        <w:trPr>
          <w:jc w:val="center"/>
        </w:trPr>
        <w:tc>
          <w:tcPr>
            <w:tcW w:w="0" w:type="auto"/>
            <w:shd w:val="clear" w:color="auto" w:fill="auto"/>
          </w:tcPr>
          <w:p w:rsidR="008819AE" w:rsidRPr="00072D6F" w:rsidRDefault="008819AE" w:rsidP="00476EF8">
            <w:pPr>
              <w:spacing w:after="0"/>
              <w:jc w:val="center"/>
              <w:rPr>
                <w:rFonts w:cs="Arial"/>
                <w:sz w:val="18"/>
                <w:szCs w:val="18"/>
              </w:rPr>
            </w:pPr>
            <w:r w:rsidRPr="00072D6F">
              <w:rPr>
                <w:rFonts w:cs="Arial"/>
                <w:sz w:val="18"/>
                <w:szCs w:val="18"/>
              </w:rPr>
              <w:t>2</w:t>
            </w:r>
          </w:p>
        </w:tc>
        <w:tc>
          <w:tcPr>
            <w:tcW w:w="0" w:type="auto"/>
            <w:shd w:val="clear" w:color="auto" w:fill="auto"/>
          </w:tcPr>
          <w:p w:rsidR="008819AE" w:rsidRPr="00072D6F" w:rsidRDefault="008819AE" w:rsidP="00476EF8">
            <w:pPr>
              <w:spacing w:after="0"/>
              <w:rPr>
                <w:rFonts w:cs="Arial"/>
                <w:sz w:val="18"/>
                <w:szCs w:val="18"/>
              </w:rPr>
            </w:pPr>
            <w:r w:rsidRPr="00072D6F">
              <w:rPr>
                <w:rFonts w:cs="Arial"/>
                <w:sz w:val="18"/>
                <w:szCs w:val="18"/>
              </w:rPr>
              <w:t>Comités de supervisión con la entidad Unión Temporal Hogares 2016 con la asistencia de la supervisora Dra. Lisa Gómez, Erika Mora y Sandra Camacho. Se realizó el segundo desembolso del contrato 1808/16 y se adelantó la fase III del proceso en las 30 regionales.</w:t>
            </w:r>
          </w:p>
        </w:tc>
      </w:tr>
    </w:tbl>
    <w:p w:rsidR="008819AE" w:rsidRPr="007608C2" w:rsidRDefault="008819AE" w:rsidP="008819AE">
      <w:pPr>
        <w:spacing w:before="240"/>
        <w:jc w:val="both"/>
        <w:rPr>
          <w:rFonts w:cs="Arial"/>
          <w:b/>
        </w:rPr>
      </w:pPr>
      <w:r w:rsidRPr="007608C2">
        <w:rPr>
          <w:rFonts w:cs="Arial"/>
          <w:b/>
        </w:rPr>
        <w:lastRenderedPageBreak/>
        <w:t>Restablecimiento de derechos de niños, niñas y adolescentes víctimas de violencia sexual</w:t>
      </w:r>
    </w:p>
    <w:p w:rsidR="008819AE" w:rsidRDefault="008819AE" w:rsidP="00A44A2B">
      <w:pPr>
        <w:pStyle w:val="Prrafodelista"/>
        <w:numPr>
          <w:ilvl w:val="0"/>
          <w:numId w:val="127"/>
        </w:numPr>
        <w:spacing w:after="0"/>
        <w:jc w:val="both"/>
        <w:rPr>
          <w:rFonts w:cs="Arial"/>
        </w:rPr>
      </w:pPr>
      <w:r w:rsidRPr="007608C2">
        <w:rPr>
          <w:rFonts w:cs="Arial"/>
        </w:rPr>
        <w:t>Se implementó la campaña “Violencia Sexual: la importancia de las primeras 72 horas”, cuyo objetivo fue generar el fortalecimiento de capacidades y competencias en los defensores y defensoras de familia y los equipos interdisciplinarios, profesionales de servicios y atención en los aspectos normativos, respecto a la activación de la ruta de atención integral para la protección de los niños, niñas y adolescentes víctimas de violencia sexual y articular de manera oportuna e integral las acciones pertinentes con los sectores salud y justicia.</w:t>
      </w:r>
    </w:p>
    <w:p w:rsidR="006B2D87" w:rsidRPr="007608C2" w:rsidRDefault="006B2D87" w:rsidP="006B2D87">
      <w:pPr>
        <w:pStyle w:val="Prrafodelista"/>
        <w:spacing w:after="0"/>
        <w:ind w:left="360"/>
        <w:jc w:val="both"/>
        <w:rPr>
          <w:rFonts w:cs="Arial"/>
        </w:rPr>
      </w:pPr>
    </w:p>
    <w:p w:rsidR="008819AE" w:rsidRPr="007608C2" w:rsidRDefault="008819AE" w:rsidP="008819AE">
      <w:pPr>
        <w:pStyle w:val="Prrafodelista"/>
        <w:spacing w:after="0"/>
        <w:ind w:left="360"/>
        <w:jc w:val="both"/>
        <w:rPr>
          <w:rFonts w:cs="Arial"/>
        </w:rPr>
      </w:pPr>
      <w:r w:rsidRPr="007608C2">
        <w:rPr>
          <w:rFonts w:cs="Arial"/>
        </w:rPr>
        <w:t>Durante esta vigencia se han capacitado 1.110 profesionales en 42 jornadas en 31 departamentos, logrando asistencia técnica a 230 municipios distribuidos de la siguiente manera:</w:t>
      </w:r>
    </w:p>
    <w:p w:rsidR="008819AE" w:rsidRPr="007608C2" w:rsidRDefault="008819AE" w:rsidP="008819AE">
      <w:pPr>
        <w:pStyle w:val="Prrafodelista"/>
        <w:spacing w:after="0"/>
        <w:ind w:left="714"/>
        <w:jc w:val="both"/>
        <w:rPr>
          <w:rFonts w:cs="Arial"/>
        </w:rPr>
      </w:pPr>
    </w:p>
    <w:tbl>
      <w:tblPr>
        <w:tblStyle w:val="Tabladecuadrcula6concolores"/>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ook w:val="04A0" w:firstRow="1" w:lastRow="0" w:firstColumn="1" w:lastColumn="0" w:noHBand="0" w:noVBand="1"/>
      </w:tblPr>
      <w:tblGrid>
        <w:gridCol w:w="1867"/>
        <w:gridCol w:w="1197"/>
        <w:gridCol w:w="636"/>
        <w:gridCol w:w="797"/>
        <w:gridCol w:w="1847"/>
      </w:tblGrid>
      <w:tr w:rsidR="008819AE" w:rsidRPr="007D68E7" w:rsidTr="007D68E7">
        <w:trPr>
          <w:cnfStyle w:val="100000000000" w:firstRow="1" w:lastRow="0" w:firstColumn="0" w:lastColumn="0" w:oddVBand="0" w:evenVBand="0" w:oddHBand="0" w:evenHBand="0" w:firstRowFirstColumn="0" w:firstRowLastColumn="0" w:lastRowFirstColumn="0" w:lastRowLastColumn="0"/>
          <w:trHeight w:val="600"/>
          <w:tblHeade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76922E"/>
            <w:noWrap/>
            <w:vAlign w:val="center"/>
            <w:hideMark/>
          </w:tcPr>
          <w:p w:rsidR="008819AE" w:rsidRPr="007D68E7" w:rsidRDefault="008819AE" w:rsidP="00476EF8">
            <w:pPr>
              <w:spacing w:after="0"/>
              <w:jc w:val="center"/>
              <w:rPr>
                <w:rFonts w:cs="Arial"/>
                <w:color w:val="FFFFFF" w:themeColor="background1"/>
                <w:sz w:val="18"/>
                <w:szCs w:val="18"/>
              </w:rPr>
            </w:pPr>
            <w:r w:rsidRPr="007D68E7">
              <w:rPr>
                <w:rFonts w:cs="Arial"/>
                <w:color w:val="FFFFFF" w:themeColor="background1"/>
                <w:sz w:val="18"/>
                <w:szCs w:val="18"/>
              </w:rPr>
              <w:t>Departamento</w:t>
            </w:r>
          </w:p>
        </w:tc>
        <w:tc>
          <w:tcPr>
            <w:tcW w:w="0" w:type="auto"/>
            <w:tcBorders>
              <w:bottom w:val="none" w:sz="0" w:space="0" w:color="auto"/>
            </w:tcBorders>
            <w:shd w:val="clear" w:color="auto" w:fill="76922E"/>
            <w:noWrap/>
            <w:vAlign w:val="center"/>
            <w:hideMark/>
          </w:tcPr>
          <w:p w:rsidR="008819AE" w:rsidRPr="007D68E7" w:rsidRDefault="008819AE" w:rsidP="00476EF8">
            <w:pPr>
              <w:spacing w:after="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7D68E7">
              <w:rPr>
                <w:rFonts w:cs="Arial"/>
                <w:color w:val="FFFFFF" w:themeColor="background1"/>
                <w:sz w:val="18"/>
                <w:szCs w:val="18"/>
              </w:rPr>
              <w:t>Comisarios</w:t>
            </w:r>
          </w:p>
        </w:tc>
        <w:tc>
          <w:tcPr>
            <w:tcW w:w="0" w:type="auto"/>
            <w:tcBorders>
              <w:bottom w:val="none" w:sz="0" w:space="0" w:color="auto"/>
            </w:tcBorders>
            <w:shd w:val="clear" w:color="auto" w:fill="76922E"/>
            <w:noWrap/>
            <w:vAlign w:val="center"/>
            <w:hideMark/>
          </w:tcPr>
          <w:p w:rsidR="008819AE" w:rsidRPr="007D68E7" w:rsidRDefault="008819AE" w:rsidP="00476EF8">
            <w:pPr>
              <w:spacing w:after="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7D68E7">
              <w:rPr>
                <w:rFonts w:cs="Arial"/>
                <w:color w:val="FFFFFF" w:themeColor="background1"/>
                <w:sz w:val="18"/>
                <w:szCs w:val="18"/>
              </w:rPr>
              <w:t>ICBF</w:t>
            </w:r>
          </w:p>
        </w:tc>
        <w:tc>
          <w:tcPr>
            <w:tcW w:w="0" w:type="auto"/>
            <w:tcBorders>
              <w:bottom w:val="none" w:sz="0" w:space="0" w:color="auto"/>
            </w:tcBorders>
            <w:shd w:val="clear" w:color="auto" w:fill="76922E"/>
            <w:noWrap/>
            <w:vAlign w:val="center"/>
            <w:hideMark/>
          </w:tcPr>
          <w:p w:rsidR="008819AE" w:rsidRPr="007D68E7" w:rsidRDefault="008819AE" w:rsidP="00476EF8">
            <w:pPr>
              <w:spacing w:after="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7D68E7">
              <w:rPr>
                <w:rFonts w:cs="Arial"/>
                <w:color w:val="FFFFFF" w:themeColor="background1"/>
                <w:sz w:val="18"/>
                <w:szCs w:val="18"/>
              </w:rPr>
              <w:t>Policía</w:t>
            </w:r>
          </w:p>
        </w:tc>
        <w:tc>
          <w:tcPr>
            <w:tcW w:w="0" w:type="auto"/>
            <w:tcBorders>
              <w:bottom w:val="none" w:sz="0" w:space="0" w:color="auto"/>
            </w:tcBorders>
            <w:shd w:val="clear" w:color="auto" w:fill="76922E"/>
            <w:vAlign w:val="center"/>
            <w:hideMark/>
          </w:tcPr>
          <w:p w:rsidR="008819AE" w:rsidRPr="007D68E7" w:rsidRDefault="008819AE" w:rsidP="00476EF8">
            <w:pPr>
              <w:spacing w:after="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7D68E7">
              <w:rPr>
                <w:rFonts w:cs="Arial"/>
                <w:color w:val="FFFFFF" w:themeColor="background1"/>
                <w:sz w:val="18"/>
                <w:szCs w:val="18"/>
              </w:rPr>
              <w:t>Otras Instituciones</w:t>
            </w:r>
          </w:p>
        </w:tc>
      </w:tr>
      <w:tr w:rsidR="008819AE" w:rsidRPr="007D68E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Amazonas</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33</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r>
      <w:tr w:rsidR="008819AE" w:rsidRPr="007D68E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Antioquia</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12</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33</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r>
      <w:tr w:rsidR="008819AE" w:rsidRPr="007D68E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Arauca</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r>
      <w:tr w:rsidR="008819AE" w:rsidRPr="007D68E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Atlántico</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3</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r>
      <w:tr w:rsidR="008819AE" w:rsidRPr="007D68E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Bogotá</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13</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23</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r>
      <w:tr w:rsidR="008819AE" w:rsidRPr="007D68E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Bolívar</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47</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r>
      <w:tr w:rsidR="008819AE" w:rsidRPr="007D68E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Boyacá</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3</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12</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21</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r>
      <w:tr w:rsidR="008819AE" w:rsidRPr="007D68E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Caldas</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31</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5</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r>
      <w:tr w:rsidR="008819AE" w:rsidRPr="007D68E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Caquetá</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7</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r>
      <w:tr w:rsidR="008819AE" w:rsidRPr="007D68E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Casanare</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21</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r>
      <w:tr w:rsidR="008819AE" w:rsidRPr="007D68E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Cauca</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20</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r>
      <w:tr w:rsidR="008819AE" w:rsidRPr="007D68E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Cesar</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3</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r>
      <w:tr w:rsidR="008819AE" w:rsidRPr="007D68E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Choco</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29</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5</w:t>
            </w:r>
          </w:p>
        </w:tc>
      </w:tr>
      <w:tr w:rsidR="008819AE" w:rsidRPr="007D68E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Córdoba</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26</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84</w:t>
            </w:r>
          </w:p>
        </w:tc>
      </w:tr>
      <w:tr w:rsidR="008819AE" w:rsidRPr="007D68E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Cundinamarca</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4</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6</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r>
      <w:tr w:rsidR="008819AE" w:rsidRPr="007D68E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Guainía</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r>
      <w:tr w:rsidR="008819AE" w:rsidRPr="007D68E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Guaviare</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2</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70</w:t>
            </w:r>
          </w:p>
        </w:tc>
      </w:tr>
      <w:tr w:rsidR="008819AE" w:rsidRPr="007D68E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Huila</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14</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29</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4</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5</w:t>
            </w:r>
          </w:p>
        </w:tc>
      </w:tr>
      <w:tr w:rsidR="008819AE" w:rsidRPr="007D68E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La Guajira</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r>
      <w:tr w:rsidR="008819AE" w:rsidRPr="007D68E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Magdalena</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r>
      <w:tr w:rsidR="008819AE" w:rsidRPr="007D68E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Meta</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10</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r>
      <w:tr w:rsidR="008819AE" w:rsidRPr="007D68E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Comisarios Nacional</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78</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r>
      <w:tr w:rsidR="008819AE" w:rsidRPr="007D68E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Nariño</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52</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r>
      <w:tr w:rsidR="008819AE" w:rsidRPr="007D68E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Norte de Santander</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51</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2</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r>
      <w:tr w:rsidR="008819AE" w:rsidRPr="007D68E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lastRenderedPageBreak/>
              <w:t>Putumayo</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36</w:t>
            </w:r>
          </w:p>
        </w:tc>
      </w:tr>
      <w:tr w:rsidR="008819AE" w:rsidRPr="007D68E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Quindío</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26</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2</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r>
      <w:tr w:rsidR="008819AE" w:rsidRPr="007D68E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Risaralda</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27</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2</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r>
      <w:tr w:rsidR="008819AE" w:rsidRPr="007D68E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San Andres</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r>
      <w:tr w:rsidR="008819AE" w:rsidRPr="007D68E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Santander</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24</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8</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23</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r>
      <w:tr w:rsidR="008819AE" w:rsidRPr="007D68E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Tolima</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56</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57</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6</w:t>
            </w:r>
          </w:p>
        </w:tc>
      </w:tr>
      <w:tr w:rsidR="008819AE" w:rsidRPr="007D68E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Valle del Cauca</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10</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34</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r>
      <w:tr w:rsidR="008819AE" w:rsidRPr="007D68E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Vaupés</w:t>
            </w: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0" w:type="auto"/>
            <w:shd w:val="clear" w:color="auto" w:fill="auto"/>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7D68E7">
              <w:rPr>
                <w:rFonts w:cs="Arial"/>
                <w:color w:val="auto"/>
                <w:sz w:val="18"/>
                <w:szCs w:val="18"/>
              </w:rPr>
              <w:t>20</w:t>
            </w:r>
          </w:p>
        </w:tc>
      </w:tr>
      <w:tr w:rsidR="008819AE" w:rsidRPr="007D68E7" w:rsidTr="007D68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8819AE" w:rsidRPr="007D68E7" w:rsidRDefault="008819AE" w:rsidP="00476EF8">
            <w:pPr>
              <w:spacing w:after="0"/>
              <w:rPr>
                <w:rFonts w:cs="Arial"/>
                <w:b w:val="0"/>
                <w:color w:val="auto"/>
                <w:sz w:val="18"/>
                <w:szCs w:val="18"/>
              </w:rPr>
            </w:pPr>
            <w:r w:rsidRPr="007D68E7">
              <w:rPr>
                <w:rFonts w:cs="Arial"/>
                <w:b w:val="0"/>
                <w:color w:val="auto"/>
                <w:sz w:val="18"/>
                <w:szCs w:val="18"/>
              </w:rPr>
              <w:t>Vichada</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2</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7D68E7">
              <w:rPr>
                <w:rFonts w:cs="Arial"/>
                <w:color w:val="auto"/>
                <w:sz w:val="18"/>
                <w:szCs w:val="18"/>
              </w:rPr>
              <w:t>1</w:t>
            </w:r>
          </w:p>
        </w:tc>
        <w:tc>
          <w:tcPr>
            <w:tcW w:w="0" w:type="auto"/>
            <w:shd w:val="clear" w:color="auto" w:fill="auto"/>
            <w:noWrap/>
            <w:hideMark/>
          </w:tcPr>
          <w:p w:rsidR="008819AE" w:rsidRPr="007D68E7" w:rsidRDefault="008819AE" w:rsidP="00476EF8">
            <w:pPr>
              <w:spacing w:after="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r>
      <w:tr w:rsidR="008819AE" w:rsidRPr="007D68E7" w:rsidTr="007D68E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2EFDA"/>
            <w:noWrap/>
            <w:hideMark/>
          </w:tcPr>
          <w:p w:rsidR="008819AE" w:rsidRPr="007D68E7" w:rsidRDefault="008819AE" w:rsidP="00476EF8">
            <w:pPr>
              <w:spacing w:after="0"/>
              <w:rPr>
                <w:rFonts w:cs="Arial"/>
                <w:color w:val="auto"/>
                <w:sz w:val="18"/>
                <w:szCs w:val="18"/>
              </w:rPr>
            </w:pPr>
            <w:r w:rsidRPr="007D68E7">
              <w:rPr>
                <w:rFonts w:cs="Arial"/>
                <w:color w:val="auto"/>
                <w:sz w:val="18"/>
                <w:szCs w:val="18"/>
              </w:rPr>
              <w:t>Total</w:t>
            </w:r>
          </w:p>
        </w:tc>
        <w:tc>
          <w:tcPr>
            <w:tcW w:w="0" w:type="auto"/>
            <w:shd w:val="clear" w:color="auto" w:fill="E2EFDA"/>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b/>
                <w:color w:val="auto"/>
                <w:sz w:val="18"/>
                <w:szCs w:val="18"/>
              </w:rPr>
            </w:pPr>
            <w:r w:rsidRPr="007D68E7">
              <w:rPr>
                <w:rFonts w:cs="Arial"/>
                <w:b/>
                <w:color w:val="auto"/>
                <w:sz w:val="18"/>
                <w:szCs w:val="18"/>
              </w:rPr>
              <w:t>402</w:t>
            </w:r>
          </w:p>
        </w:tc>
        <w:tc>
          <w:tcPr>
            <w:tcW w:w="0" w:type="auto"/>
            <w:shd w:val="clear" w:color="auto" w:fill="E2EFDA"/>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b/>
                <w:color w:val="auto"/>
                <w:sz w:val="18"/>
                <w:szCs w:val="18"/>
              </w:rPr>
            </w:pPr>
            <w:r w:rsidRPr="007D68E7">
              <w:rPr>
                <w:rFonts w:cs="Arial"/>
                <w:b/>
                <w:color w:val="auto"/>
                <w:sz w:val="18"/>
                <w:szCs w:val="18"/>
              </w:rPr>
              <w:t>231</w:t>
            </w:r>
          </w:p>
        </w:tc>
        <w:tc>
          <w:tcPr>
            <w:tcW w:w="0" w:type="auto"/>
            <w:shd w:val="clear" w:color="auto" w:fill="E2EFDA"/>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b/>
                <w:color w:val="auto"/>
                <w:sz w:val="18"/>
                <w:szCs w:val="18"/>
              </w:rPr>
            </w:pPr>
            <w:r w:rsidRPr="007D68E7">
              <w:rPr>
                <w:rFonts w:cs="Arial"/>
                <w:b/>
                <w:color w:val="auto"/>
                <w:sz w:val="18"/>
                <w:szCs w:val="18"/>
              </w:rPr>
              <w:t>251</w:t>
            </w:r>
          </w:p>
        </w:tc>
        <w:tc>
          <w:tcPr>
            <w:tcW w:w="0" w:type="auto"/>
            <w:shd w:val="clear" w:color="auto" w:fill="E2EFDA"/>
            <w:noWrap/>
            <w:hideMark/>
          </w:tcPr>
          <w:p w:rsidR="008819AE" w:rsidRPr="007D68E7" w:rsidRDefault="008819AE" w:rsidP="00476EF8">
            <w:pPr>
              <w:spacing w:after="0"/>
              <w:jc w:val="center"/>
              <w:cnfStyle w:val="000000000000" w:firstRow="0" w:lastRow="0" w:firstColumn="0" w:lastColumn="0" w:oddVBand="0" w:evenVBand="0" w:oddHBand="0" w:evenHBand="0" w:firstRowFirstColumn="0" w:firstRowLastColumn="0" w:lastRowFirstColumn="0" w:lastRowLastColumn="0"/>
              <w:rPr>
                <w:rFonts w:cs="Arial"/>
                <w:b/>
                <w:color w:val="auto"/>
                <w:sz w:val="18"/>
                <w:szCs w:val="18"/>
              </w:rPr>
            </w:pPr>
            <w:r w:rsidRPr="007D68E7">
              <w:rPr>
                <w:rFonts w:cs="Arial"/>
                <w:b/>
                <w:color w:val="auto"/>
                <w:sz w:val="18"/>
                <w:szCs w:val="18"/>
              </w:rPr>
              <w:t>226</w:t>
            </w:r>
          </w:p>
        </w:tc>
      </w:tr>
    </w:tbl>
    <w:p w:rsidR="008819AE" w:rsidRPr="007608C2" w:rsidRDefault="008819AE" w:rsidP="008819AE">
      <w:pPr>
        <w:jc w:val="both"/>
        <w:rPr>
          <w:rFonts w:cs="Arial"/>
        </w:rPr>
      </w:pPr>
    </w:p>
    <w:p w:rsidR="008819AE" w:rsidRDefault="008819AE" w:rsidP="00A44A2B">
      <w:pPr>
        <w:pStyle w:val="Prrafodelista"/>
        <w:numPr>
          <w:ilvl w:val="0"/>
          <w:numId w:val="127"/>
        </w:numPr>
        <w:spacing w:after="0"/>
        <w:jc w:val="both"/>
        <w:rPr>
          <w:rFonts w:cs="Arial"/>
        </w:rPr>
      </w:pPr>
      <w:r w:rsidRPr="007608C2">
        <w:rPr>
          <w:rFonts w:cs="Arial"/>
        </w:rPr>
        <w:t>En cumplimiento de normatividad en materia de explotación sexual (Leyes 679 de 2001 y 1336 de 2009), Durante la Vigencia 2016, el ICBF gestionó la suscripción del Decreto No. 087 del 23 de enero de 2017, por medio del cual se reglamenta el funcionamiento del Fondo contra la Explotación Sexual de Niños, Niñas y Adolescentes, adscrito al ICBF. En este sentido, se creó en el año 2016 la cuenta corriente para recaudo de multas previstas en la Ley 679 de 2001 y Ley 1336 de 2009 por explotación sexual de niños, niñas y adolescentes (Bancolombia No. 188-582328-04). De acuerdo con la información suministrada por la Dirección Financiera, a la fecha se ha recaudado la suma de $331.062.987, provenientes de las multas impuestas por Ministerio de Tecnologías de la Información y las Comunicaciones por a</w:t>
      </w:r>
      <w:r w:rsidR="007D68E7">
        <w:rPr>
          <w:rFonts w:cs="Arial"/>
        </w:rPr>
        <w:t>suntos de pornografía infantil.</w:t>
      </w:r>
    </w:p>
    <w:p w:rsidR="007D68E7" w:rsidRPr="007608C2" w:rsidRDefault="007D68E7" w:rsidP="007D68E7">
      <w:pPr>
        <w:pStyle w:val="Prrafodelista"/>
        <w:spacing w:after="0"/>
        <w:ind w:left="360"/>
        <w:jc w:val="both"/>
        <w:rPr>
          <w:rFonts w:cs="Arial"/>
        </w:rPr>
      </w:pPr>
    </w:p>
    <w:p w:rsidR="008819AE" w:rsidRPr="007608C2" w:rsidRDefault="008819AE" w:rsidP="00A44A2B">
      <w:pPr>
        <w:pStyle w:val="Prrafodelista"/>
        <w:numPr>
          <w:ilvl w:val="0"/>
          <w:numId w:val="127"/>
        </w:numPr>
        <w:spacing w:after="0"/>
        <w:jc w:val="both"/>
        <w:rPr>
          <w:rFonts w:cs="Arial"/>
        </w:rPr>
      </w:pPr>
      <w:r w:rsidRPr="007608C2">
        <w:rPr>
          <w:rFonts w:cs="Arial"/>
        </w:rPr>
        <w:t xml:space="preserve">Actualmente estamos a la espera que la Dirección Financiera, en articulación con la Aeronáutica civil, definan el procedimiento para el cobro y recaudo del impuesto de salida de extranjeros del territorio colombiano. </w:t>
      </w:r>
      <w:r w:rsidR="006B2D87" w:rsidRPr="007608C2">
        <w:rPr>
          <w:rFonts w:cs="Arial"/>
        </w:rPr>
        <w:t>Igualmente,</w:t>
      </w:r>
      <w:r w:rsidRPr="007608C2">
        <w:rPr>
          <w:rFonts w:cs="Arial"/>
        </w:rPr>
        <w:t xml:space="preserve"> desde la Dirección de Protección y la oficina asesora jurídica se adelantó las gestiones con la Sociedad de Activos Especiales para avanzar en el procedimiento del recaudo de los bienes, rendimientos y frutos que generen los inmuebles que hayan sido utilizados para la comisión de actividades de utilización sexual de niños, niñas y adolescentes, y cuya extinción de dominio se haya decretado, así como los recaudos generados en virtud la destinación provisional de tales bienes. Adicionalmente, en septiembre de 2017 se construyó un documento que contiene los antecedentes del Fondo, justificación y actividades específicas a desarrollar en el marco de las cuatro líneas de acción</w:t>
      </w:r>
      <w:r w:rsidRPr="007608C2">
        <w:rPr>
          <w:rFonts w:cs="Arial"/>
        </w:rPr>
        <w:footnoteReference w:id="14"/>
      </w:r>
      <w:r w:rsidRPr="007608C2">
        <w:rPr>
          <w:rFonts w:cs="Arial"/>
        </w:rPr>
        <w:t xml:space="preserve"> propuestas para la inversión de los recursos del Fondo contra la explotación sexual de niños, niñas y adolescentes, presentadas y aprobadas en el Consejo Directivo del ICBF.</w:t>
      </w:r>
    </w:p>
    <w:p w:rsidR="008819AE" w:rsidRDefault="008819AE" w:rsidP="00A44A2B">
      <w:pPr>
        <w:pStyle w:val="Prrafodelista"/>
        <w:numPr>
          <w:ilvl w:val="0"/>
          <w:numId w:val="127"/>
        </w:numPr>
        <w:spacing w:after="0"/>
        <w:jc w:val="both"/>
        <w:rPr>
          <w:rFonts w:cs="Arial"/>
        </w:rPr>
      </w:pPr>
      <w:r w:rsidRPr="007608C2">
        <w:rPr>
          <w:rFonts w:cs="Arial"/>
        </w:rPr>
        <w:lastRenderedPageBreak/>
        <w:t>En el marco de la Ley 1146 de 2007, por medio de la cual se expiden normas para la prevención de la violencia sexual y atención integral de los niños, niñas y adolescentes abusados sexualmente, se ha dado cumplimiento a lo establecido en el numeral 9, artículo 5° de la ley 1146 de 2007, presentando semestralmente informe acerca de las acciones adelantadas en torno al objeto de la presente ley y los resultados de las mismas.</w:t>
      </w:r>
    </w:p>
    <w:p w:rsidR="007D68E7" w:rsidRPr="007608C2" w:rsidRDefault="007D68E7" w:rsidP="007D68E7">
      <w:pPr>
        <w:pStyle w:val="Prrafodelista"/>
        <w:spacing w:after="0"/>
        <w:ind w:left="360"/>
        <w:jc w:val="both"/>
        <w:rPr>
          <w:rFonts w:cs="Arial"/>
        </w:rPr>
      </w:pPr>
    </w:p>
    <w:p w:rsidR="008819AE" w:rsidRDefault="008819AE" w:rsidP="00A44A2B">
      <w:pPr>
        <w:pStyle w:val="Prrafodelista"/>
        <w:numPr>
          <w:ilvl w:val="0"/>
          <w:numId w:val="127"/>
        </w:numPr>
        <w:spacing w:after="0"/>
        <w:jc w:val="both"/>
        <w:rPr>
          <w:rFonts w:cs="Arial"/>
        </w:rPr>
      </w:pPr>
      <w:r w:rsidRPr="007608C2">
        <w:rPr>
          <w:rFonts w:cs="Arial"/>
        </w:rPr>
        <w:t xml:space="preserve">Se llevó a cabo la primera sesión del año del Comité Nacional Intersectorial de la ley 1146, en la cual se aprobó el funcionamiento del Mecanismo Articulador para el abordaje de las violencias de género, establecido en las bases del plan nacional de desarrollo 2014-2018, como propuesta de implementación de política pública para el abordaje integral de las violencias de género con énfasis de violencia sexual, especialmente </w:t>
      </w:r>
      <w:r w:rsidR="007D68E7">
        <w:rPr>
          <w:rFonts w:cs="Arial"/>
        </w:rPr>
        <w:t>en niños, niñas y adolescentes.</w:t>
      </w:r>
    </w:p>
    <w:p w:rsidR="007D68E7" w:rsidRPr="007D68E7" w:rsidRDefault="007D68E7" w:rsidP="007D68E7">
      <w:pPr>
        <w:spacing w:after="0"/>
        <w:jc w:val="both"/>
        <w:rPr>
          <w:rFonts w:cs="Arial"/>
        </w:rPr>
      </w:pPr>
    </w:p>
    <w:p w:rsidR="007D68E7" w:rsidRPr="007D68E7" w:rsidRDefault="008819AE" w:rsidP="00A44A2B">
      <w:pPr>
        <w:pStyle w:val="Prrafodelista"/>
        <w:numPr>
          <w:ilvl w:val="0"/>
          <w:numId w:val="127"/>
        </w:numPr>
        <w:spacing w:after="0"/>
        <w:jc w:val="both"/>
        <w:rPr>
          <w:rFonts w:cs="Arial"/>
        </w:rPr>
      </w:pPr>
      <w:r w:rsidRPr="007D68E7">
        <w:rPr>
          <w:rFonts w:cs="Arial"/>
        </w:rPr>
        <w:t>El subcomité de atención del Mecanismos Articulador, liderado por el ICBF, sesionó en los meses de febrero, marzo, abril, mayo, junio y agosto, reuniones en las que se ha venido adelantando la construcción de la ruta intersectorial para atención de víctimas de violencia de género, con énfasis en violencia sexual en niñas, niños y adolescentes, el modelo de decreto para la creación de los Comités Intersectoriales territoriales y la construcción del documento para la implementación del Mecanismo articulador para el aborda</w:t>
      </w:r>
      <w:r w:rsidR="007D68E7" w:rsidRPr="007D68E7">
        <w:rPr>
          <w:rFonts w:cs="Arial"/>
        </w:rPr>
        <w:t>je de las violencias de género.</w:t>
      </w:r>
    </w:p>
    <w:p w:rsidR="007D68E7" w:rsidRPr="007D68E7" w:rsidRDefault="007D68E7" w:rsidP="007D68E7">
      <w:pPr>
        <w:spacing w:after="0"/>
        <w:jc w:val="both"/>
        <w:rPr>
          <w:rFonts w:cs="Arial"/>
        </w:rPr>
      </w:pPr>
    </w:p>
    <w:p w:rsidR="008819AE" w:rsidRDefault="008819AE" w:rsidP="00A44A2B">
      <w:pPr>
        <w:pStyle w:val="Prrafodelista"/>
        <w:numPr>
          <w:ilvl w:val="0"/>
          <w:numId w:val="127"/>
        </w:numPr>
        <w:spacing w:after="0"/>
        <w:jc w:val="both"/>
        <w:rPr>
          <w:rFonts w:cs="Arial"/>
        </w:rPr>
      </w:pPr>
      <w:r w:rsidRPr="007608C2">
        <w:rPr>
          <w:rFonts w:cs="Arial"/>
        </w:rPr>
        <w:t>Se emitió el memorando No S-2017-468009-0101, con el propósito de brindar línea técnica en todas las regionales para la conformación de los Comités Intersectoriales de la ley 1146 de 2007 en los territorios y socializar la propuesta del Mecanismo Articulador para el abordaje de las violencias de género. Por otra parte, se contempló el fortalecimiento y la creación de los Comités territoriales Interinstitucionales consultivos para la Prevención de la Violencia Sexual y Atención Integral de las Niñas, los Niños y Adolescentes Víctimas de Abuso Sexual. En este sentido, se iniciaron jornadas de Asistencia Técnica presencial a las regionales en la implementación y fortalecimiento de dicho Comité. Se ha brindado asistencia técnica a los Comités Distritales de Cartagena Neiva, y Bucaramanga, a los Comités Departamentales de Boyacá, Tolima, Córdoba, Santander, Cauca, Huila y al Comité municipal de Floridablanca, Guadalupe, El Agrado, El Pital, Gigante, Villa Vieja, Tarqui, La Argentina, La Plata, Nataga, Tesalia, Isnos, Santa María, San Agustín, Iquira, Terue</w:t>
      </w:r>
      <w:r w:rsidR="007D68E7">
        <w:rPr>
          <w:rFonts w:cs="Arial"/>
        </w:rPr>
        <w:t>l, Tello, Algeciras y Pitalito.</w:t>
      </w:r>
    </w:p>
    <w:p w:rsidR="007D68E7" w:rsidRPr="007D68E7" w:rsidRDefault="007D68E7" w:rsidP="007D68E7">
      <w:pPr>
        <w:spacing w:after="0"/>
        <w:jc w:val="both"/>
        <w:rPr>
          <w:rFonts w:cs="Arial"/>
        </w:rPr>
      </w:pPr>
    </w:p>
    <w:p w:rsidR="008819AE" w:rsidRDefault="008819AE" w:rsidP="00A44A2B">
      <w:pPr>
        <w:pStyle w:val="Prrafodelista"/>
        <w:numPr>
          <w:ilvl w:val="0"/>
          <w:numId w:val="127"/>
        </w:numPr>
        <w:spacing w:after="0"/>
        <w:jc w:val="both"/>
        <w:rPr>
          <w:rFonts w:cs="Arial"/>
        </w:rPr>
      </w:pPr>
      <w:r w:rsidRPr="007608C2">
        <w:rPr>
          <w:rFonts w:cs="Arial"/>
        </w:rPr>
        <w:lastRenderedPageBreak/>
        <w:t xml:space="preserve">Para la prevención de la violencia sexual y otras situaciones de las cuales son víctimas los niños, niñas y adolescentes, se lograron bloquear 2.368 páginas web con contenido de material de explotación sexual en contra de niñas, niños y adolescentes (Pornografía con personas menores de 18 años), lo que permite dar un paso más hacia la erradicación de este delito, protegiendo sobre todo la dignidad y el desarrollo psicosocial y sexual de los niños y las niñas. Esto a través la línea virtual ‘Te Protejo’, </w:t>
      </w:r>
      <w:hyperlink r:id="rId22" w:history="1">
        <w:r w:rsidRPr="007608C2">
          <w:rPr>
            <w:rFonts w:cs="Arial"/>
          </w:rPr>
          <w:t>www.teprotejo.org</w:t>
        </w:r>
      </w:hyperlink>
      <w:r w:rsidRPr="007608C2">
        <w:rPr>
          <w:rFonts w:cs="Arial"/>
        </w:rPr>
        <w:t>, de la cual es administrador Red PaPaz.</w:t>
      </w:r>
    </w:p>
    <w:p w:rsidR="007D68E7" w:rsidRPr="007D68E7" w:rsidRDefault="007D68E7" w:rsidP="007D68E7">
      <w:pPr>
        <w:spacing w:after="0"/>
        <w:jc w:val="both"/>
        <w:rPr>
          <w:rFonts w:cs="Arial"/>
        </w:rPr>
      </w:pPr>
    </w:p>
    <w:p w:rsidR="008819AE" w:rsidRDefault="008819AE" w:rsidP="00A44A2B">
      <w:pPr>
        <w:pStyle w:val="Prrafodelista"/>
        <w:numPr>
          <w:ilvl w:val="0"/>
          <w:numId w:val="127"/>
        </w:numPr>
        <w:spacing w:after="0"/>
        <w:jc w:val="both"/>
        <w:rPr>
          <w:rFonts w:cs="Arial"/>
        </w:rPr>
      </w:pPr>
      <w:r w:rsidRPr="007608C2">
        <w:rPr>
          <w:rFonts w:cs="Arial"/>
        </w:rPr>
        <w:t>Se emitieron desde la línea virtual ‘Te Protejo’ 1.285 peticiones de todas las formas de vulneración de derechos, las cuales han sido tramitadas en el Sistema de Información Misional – SIM – y direccionadas a las áreas, centros zonales y regionales de competencia del ICBF. Desde allí las autoridades competentes han realizo la verificación de derechos respectiva, a favor de los niños, niñas y adolescentes que se encuentran en alguna situación de amenaza, riesgo o vulneración de sus derechos.</w:t>
      </w:r>
    </w:p>
    <w:p w:rsidR="007D68E7" w:rsidRPr="007D68E7" w:rsidRDefault="007D68E7" w:rsidP="007D68E7">
      <w:pPr>
        <w:spacing w:after="0"/>
        <w:jc w:val="both"/>
        <w:rPr>
          <w:rFonts w:cs="Arial"/>
        </w:rPr>
      </w:pPr>
    </w:p>
    <w:p w:rsidR="008819AE" w:rsidRDefault="008819AE" w:rsidP="00A44A2B">
      <w:pPr>
        <w:pStyle w:val="Prrafodelista"/>
        <w:numPr>
          <w:ilvl w:val="0"/>
          <w:numId w:val="127"/>
        </w:numPr>
        <w:spacing w:after="0"/>
        <w:jc w:val="both"/>
        <w:rPr>
          <w:rFonts w:cs="Arial"/>
        </w:rPr>
      </w:pPr>
      <w:r w:rsidRPr="007608C2">
        <w:rPr>
          <w:rFonts w:cs="Arial"/>
        </w:rPr>
        <w:t>En el marco del Convenio 990 de 2016, firmado entre el Instituto Colombiano de Bienestar Familiar y la Fiscalía General de la Nación, se creó una ruta especializada dirigida a los y las funcionarias de la Fiscalía, para la atención de niñas, niños y adolescentes víctimas. Debido a lo anterior, se realizó el pilotaje de la ruta en las ciudades de Santa Marta, Quibdó, Cali, Medellín, Ibagué y en municipios intermedios como Puerto Asís, Santander d</w:t>
      </w:r>
      <w:r w:rsidR="007D68E7">
        <w:rPr>
          <w:rFonts w:cs="Arial"/>
        </w:rPr>
        <w:t>e Quilichao, y Barrancabermeja.</w:t>
      </w:r>
    </w:p>
    <w:p w:rsidR="007D68E7" w:rsidRPr="007D68E7" w:rsidRDefault="007D68E7" w:rsidP="007D68E7">
      <w:pPr>
        <w:spacing w:after="0"/>
        <w:jc w:val="both"/>
        <w:rPr>
          <w:rFonts w:cs="Arial"/>
        </w:rPr>
      </w:pPr>
    </w:p>
    <w:p w:rsidR="008819AE" w:rsidRDefault="008819AE" w:rsidP="00A44A2B">
      <w:pPr>
        <w:pStyle w:val="Prrafodelista"/>
        <w:numPr>
          <w:ilvl w:val="0"/>
          <w:numId w:val="127"/>
        </w:numPr>
        <w:spacing w:after="0"/>
        <w:jc w:val="both"/>
        <w:rPr>
          <w:rFonts w:cs="Arial"/>
        </w:rPr>
      </w:pPr>
      <w:r w:rsidRPr="007608C2">
        <w:rPr>
          <w:rFonts w:cs="Arial"/>
        </w:rPr>
        <w:t>Además, se creó un instrumento para medir la efectividad del piloto de implementación de la ruta. A la fecha se encuentra pendiente la sistematización de la información recaudada con el instrumento, para poder realizar</w:t>
      </w:r>
      <w:r w:rsidR="007D68E7">
        <w:rPr>
          <w:rFonts w:cs="Arial"/>
        </w:rPr>
        <w:t xml:space="preserve"> el balance final del pilotaje.</w:t>
      </w:r>
    </w:p>
    <w:p w:rsidR="007D68E7" w:rsidRPr="007D68E7" w:rsidRDefault="007D68E7" w:rsidP="007D68E7">
      <w:pPr>
        <w:spacing w:after="0"/>
        <w:jc w:val="both"/>
        <w:rPr>
          <w:rFonts w:cs="Arial"/>
        </w:rPr>
      </w:pPr>
    </w:p>
    <w:p w:rsidR="008819AE" w:rsidRPr="007608C2" w:rsidRDefault="008819AE" w:rsidP="00A44A2B">
      <w:pPr>
        <w:pStyle w:val="Prrafodelista"/>
        <w:numPr>
          <w:ilvl w:val="0"/>
          <w:numId w:val="127"/>
        </w:numPr>
        <w:spacing w:after="0"/>
        <w:jc w:val="both"/>
        <w:rPr>
          <w:rFonts w:cs="Arial"/>
        </w:rPr>
      </w:pPr>
      <w:r w:rsidRPr="007608C2">
        <w:rPr>
          <w:rFonts w:cs="Arial"/>
        </w:rPr>
        <w:t>Se realizó requerimiento a las Regionales mediante memorando enviado en octubre de 2017 para dar respuesta a los casos de violencia sexual reportados por la línea 141 en estado “Direccionado sin Gestión”, es decir de aquellos que han sido direccionados desde el Centro de Contacto a las Regionales, sin que se evidencie alguna actuación por parte de la autoridad administrativa o de su equipo. De esta manera se solicitó, revisar a cada Regional revisar las actuaciones adelantadas a los casos relacionados y actualizar lo pertinente en el SIM.</w:t>
      </w:r>
    </w:p>
    <w:p w:rsidR="008819AE" w:rsidRPr="007608C2" w:rsidRDefault="008819AE" w:rsidP="008819AE">
      <w:pPr>
        <w:spacing w:before="240"/>
        <w:jc w:val="both"/>
        <w:rPr>
          <w:rFonts w:cs="Arial"/>
          <w:b/>
        </w:rPr>
      </w:pPr>
      <w:r w:rsidRPr="007608C2">
        <w:rPr>
          <w:rFonts w:cs="Arial"/>
          <w:b/>
        </w:rPr>
        <w:t>Restablecimiento de derechos de niños, niñas y adolescentes víctimas de Trata</w:t>
      </w:r>
    </w:p>
    <w:p w:rsidR="008819AE" w:rsidRPr="007608C2" w:rsidRDefault="008819AE" w:rsidP="008819AE">
      <w:pPr>
        <w:spacing w:after="0"/>
        <w:jc w:val="both"/>
        <w:rPr>
          <w:rFonts w:cs="Arial"/>
        </w:rPr>
      </w:pPr>
      <w:r w:rsidRPr="007608C2">
        <w:rPr>
          <w:rFonts w:cs="Arial"/>
        </w:rPr>
        <w:t xml:space="preserve">Durante el 2017 el ICBF ha dado continuidad a las acciones de posicionamiento frente al riesgo y ocurrencia de casos de trata de personas en niños, niñas y adolescentes. Para ello, además de participar de manera efectiva en los espacios de coordinación y articulación definidos por la Ley 985 de 2005, y garantizar por medio de las autoridades administrativas el restablecimiento de derechos de las víctimas, se han adelantado las siguientes líneas de trabajo: </w:t>
      </w:r>
    </w:p>
    <w:p w:rsidR="008819AE" w:rsidRDefault="008819AE" w:rsidP="008819AE">
      <w:pPr>
        <w:spacing w:after="0"/>
        <w:jc w:val="both"/>
        <w:rPr>
          <w:rFonts w:cs="Arial"/>
        </w:rPr>
      </w:pPr>
      <w:r w:rsidRPr="007608C2">
        <w:rPr>
          <w:rFonts w:cs="Arial"/>
        </w:rPr>
        <w:lastRenderedPageBreak/>
        <w:t>Implementación de planes de incidencia territorial para la visibilidad e impacto de la trata de niños, niñas, y adolescentes en diecisiete (17) entes territoriales:</w:t>
      </w:r>
    </w:p>
    <w:p w:rsidR="007D68E7" w:rsidRPr="007608C2" w:rsidRDefault="007D68E7" w:rsidP="008819AE">
      <w:pPr>
        <w:spacing w:after="0"/>
        <w:jc w:val="both"/>
        <w:rPr>
          <w:rFonts w:cs="Arial"/>
        </w:rPr>
      </w:pPr>
    </w:p>
    <w:p w:rsidR="008819AE" w:rsidRDefault="008819AE" w:rsidP="00A44A2B">
      <w:pPr>
        <w:pStyle w:val="Prrafodelista"/>
        <w:numPr>
          <w:ilvl w:val="0"/>
          <w:numId w:val="128"/>
        </w:numPr>
        <w:spacing w:after="0"/>
        <w:jc w:val="both"/>
        <w:rPr>
          <w:rFonts w:cs="Arial"/>
        </w:rPr>
      </w:pPr>
      <w:r w:rsidRPr="007608C2">
        <w:rPr>
          <w:rFonts w:cs="Arial"/>
        </w:rPr>
        <w:t>Con base en el trabajo desarrollado durante el 2016, la Dirección de Protección, con el apoyo de la Organización de las Naciones Unidas contra la Droga y el Delito – UNODC- en el marco del " Plan de Acción Global para Prevenir y Combatir la Trata de Personas y el Tráfico Ilícito de Migrantes - GLOACT en Colombia", ha desarrollado el seguimiento a los entes territoriales con el fin de orientar e impulsar la concreción de las líneas de trabajo registradas en los 17 pactos. Para ello durante el primer semestre del año se adelantaron las acciones tendientes a la concreción metodológica que permitió el efectivo cumplimiento de este objetivo en las cinco macro regiones: i) Caribe (Bolívar, Atlántico, Guajira y San Andrés); ii) Centro (Cundinamarca, Bogotá, Meta y Antioquia); iii Oriente (Norte de Santander, Santander y Arauca); iv) Sur (Nariño, Amazonas y Putumayo); y v) Occidente (Valle del Cauca, Risaralda y Caldas).</w:t>
      </w:r>
    </w:p>
    <w:p w:rsidR="007D68E7" w:rsidRPr="007608C2" w:rsidRDefault="007D68E7" w:rsidP="007D68E7">
      <w:pPr>
        <w:pStyle w:val="Prrafodelista"/>
        <w:spacing w:after="0"/>
        <w:ind w:left="360"/>
        <w:jc w:val="both"/>
        <w:rPr>
          <w:rFonts w:cs="Arial"/>
        </w:rPr>
      </w:pPr>
    </w:p>
    <w:p w:rsidR="008819AE" w:rsidRPr="007608C2" w:rsidRDefault="008819AE" w:rsidP="00A44A2B">
      <w:pPr>
        <w:pStyle w:val="Prrafodelista"/>
        <w:numPr>
          <w:ilvl w:val="0"/>
          <w:numId w:val="128"/>
        </w:numPr>
        <w:spacing w:after="0"/>
        <w:jc w:val="both"/>
        <w:rPr>
          <w:rFonts w:cs="Arial"/>
        </w:rPr>
      </w:pPr>
      <w:r w:rsidRPr="007608C2">
        <w:rPr>
          <w:rFonts w:cs="Arial"/>
        </w:rPr>
        <w:t xml:space="preserve">En este componente de trabajo se contó con un documento de identificación de factores de riesgo frente a la trata de personas de niños, niñas y adolescentes en los 17 territorios, que constituye uno de los insumos sobre los cuales se orientó la construcción de acciones en los departamentos y en el Distrito Capital. Igualmente, es el producto de la sistematización de las principales discusiones dadas el año inmediatamente anterior en el marco de la construcción de los compromisos que fueron registrados en los pactos. A 31 de diciembre de 2017, los 17 Departamentos cuentan con acciones diseñadas para niños, niñas y adolescentes y armonizadas con los planes de acción de los Comités Departamentales de Lucha contra la Trata de Personas. </w:t>
      </w:r>
    </w:p>
    <w:p w:rsidR="008819AE" w:rsidRPr="007608C2" w:rsidRDefault="008819AE" w:rsidP="008819AE">
      <w:pPr>
        <w:spacing w:before="240"/>
        <w:jc w:val="both"/>
        <w:rPr>
          <w:rFonts w:cs="Arial"/>
        </w:rPr>
      </w:pPr>
      <w:r w:rsidRPr="007608C2">
        <w:rPr>
          <w:rFonts w:cs="Arial"/>
        </w:rPr>
        <w:t>Formulación de documento del lineamiento de atención especializada para niños, niñas y adolescentes víctimas de trata de personas en todas sus finalidades de explotación:</w:t>
      </w:r>
    </w:p>
    <w:p w:rsidR="008819AE" w:rsidRPr="007608C2" w:rsidRDefault="008819AE" w:rsidP="00A44A2B">
      <w:pPr>
        <w:pStyle w:val="Prrafodelista"/>
        <w:numPr>
          <w:ilvl w:val="0"/>
          <w:numId w:val="128"/>
        </w:numPr>
        <w:spacing w:after="0"/>
        <w:jc w:val="both"/>
        <w:rPr>
          <w:rFonts w:cs="Arial"/>
        </w:rPr>
      </w:pPr>
      <w:r w:rsidRPr="007608C2">
        <w:rPr>
          <w:rFonts w:cs="Arial"/>
        </w:rPr>
        <w:t xml:space="preserve">Se reactivó el trabajo de la mesa intersectorial para la construcción del lineamiento conformada en 2016. Se realizaron tres mesas de trabajo para abordar aspectos técnicos dirigidos al restablecimiento de los derechos de los niños, niñas y adolescentes víctimas de trata, en las que participaron todas las instituciones competentes, funcionarios y funcionarias del ICBF, defensores de familia, y organizaciones de la sociedad civil, quienes retroalimentaron el documento propuesto, tanto en lo que respecta a Anexo de la Ruta PARD, como a las acciones de atención especializada. Lo anterior, con el objetivo que el lineamiento pueda efectivamente fortalecer la capacidad de las autoridades administrativas y operadores del sistema nacional de bienestar familiar para garantizar la atención integral e intersectorial de las víctimas de trata de personas, con enfoque diferencial y de género. Actualmente el documento de lineamiento surte el proceso de validación dispuesto por la Dirección de Planeación y Control de la Gestión del ICBF, estando en este momento en ajuste antes de la etapa de Consulta Ciudadana y revisión de la Oficina Jurídica del Instituto.  </w:t>
      </w:r>
    </w:p>
    <w:p w:rsidR="008819AE" w:rsidRPr="007608C2" w:rsidRDefault="008819AE" w:rsidP="008819AE">
      <w:pPr>
        <w:spacing w:before="240"/>
        <w:jc w:val="both"/>
        <w:rPr>
          <w:rFonts w:cs="Arial"/>
        </w:rPr>
      </w:pPr>
      <w:r w:rsidRPr="007608C2">
        <w:rPr>
          <w:rFonts w:cs="Arial"/>
        </w:rPr>
        <w:lastRenderedPageBreak/>
        <w:t xml:space="preserve">Guía orientadora para autoridades en casos de niños, niñas y adolescentes migrantes no acompañados en riesgo de trata de personas: </w:t>
      </w:r>
    </w:p>
    <w:p w:rsidR="008819AE" w:rsidRDefault="008819AE" w:rsidP="00A44A2B">
      <w:pPr>
        <w:pStyle w:val="Prrafodelista"/>
        <w:numPr>
          <w:ilvl w:val="0"/>
          <w:numId w:val="128"/>
        </w:numPr>
        <w:spacing w:after="0"/>
        <w:jc w:val="both"/>
        <w:rPr>
          <w:rFonts w:cs="Arial"/>
        </w:rPr>
      </w:pPr>
      <w:r w:rsidRPr="007608C2">
        <w:rPr>
          <w:rFonts w:cs="Arial"/>
        </w:rPr>
        <w:t xml:space="preserve">Con el instrumento diseñado y distribuido a las 33 regionales del ICBF durante el 2017, se realizó socialización para la efectiva implementación de la guía, de manera que los equipos territoriales y los comités de lucha contra la trata de personas conozcan y puedan operar las recomendaciones para la identificación y abordaje de los casos de niños, niñas </w:t>
      </w:r>
      <w:r w:rsidR="007D68E7">
        <w:rPr>
          <w:rFonts w:cs="Arial"/>
        </w:rPr>
        <w:t>y adolescentes migrantes solos.</w:t>
      </w:r>
    </w:p>
    <w:p w:rsidR="007D68E7" w:rsidRPr="007608C2" w:rsidRDefault="007D68E7" w:rsidP="007D68E7">
      <w:pPr>
        <w:pStyle w:val="Prrafodelista"/>
        <w:spacing w:after="0"/>
        <w:ind w:left="360"/>
        <w:jc w:val="both"/>
        <w:rPr>
          <w:rFonts w:cs="Arial"/>
        </w:rPr>
      </w:pPr>
    </w:p>
    <w:p w:rsidR="008819AE" w:rsidRPr="007608C2" w:rsidRDefault="008819AE" w:rsidP="00A44A2B">
      <w:pPr>
        <w:pStyle w:val="Prrafodelista"/>
        <w:numPr>
          <w:ilvl w:val="0"/>
          <w:numId w:val="128"/>
        </w:numPr>
        <w:spacing w:after="0"/>
        <w:jc w:val="both"/>
        <w:rPr>
          <w:rFonts w:cs="Arial"/>
        </w:rPr>
      </w:pPr>
      <w:r w:rsidRPr="007608C2">
        <w:rPr>
          <w:rFonts w:cs="Arial"/>
        </w:rPr>
        <w:t xml:space="preserve">Entre marzo y mayo se desarrolló la asistencia técnica en la guía orientadora a las Regionales del ICBF, priorizando las zonas fronterizas: La Guajira, Nariño, San Andrés, Putumayo, Norte de Santander, Bogotá y Amazonas. Esta actividad, se desarrolló con el acompañamiento de UNODC, en el marco del Programa GLO.ACT </w:t>
      </w:r>
    </w:p>
    <w:p w:rsidR="008819AE" w:rsidRPr="007608C2" w:rsidRDefault="008819AE" w:rsidP="008819AE">
      <w:pPr>
        <w:spacing w:before="240" w:after="0"/>
        <w:jc w:val="both"/>
        <w:rPr>
          <w:rFonts w:cs="Arial"/>
        </w:rPr>
      </w:pPr>
      <w:r w:rsidRPr="007608C2">
        <w:rPr>
          <w:rFonts w:cs="Arial"/>
        </w:rPr>
        <w:t xml:space="preserve">Finalmente, en el marco de sus competencias, y dando cumplimiento a las acciones del ICBF dentro del Plan de Trabajo del Comité Interinstitucional de Lucha contra la Trata de Personas, el ICBF ha realizado de manera efectiva la verificación de estado de cumplimiento de derechos a 14 víctimas directas y 26 víctimas indirectas de trata de personas, reportadas a través del Centro Operativo Anti trata de Personas, dando cumplimiento al 100% del indicador descrito. </w:t>
      </w:r>
    </w:p>
    <w:p w:rsidR="008819AE" w:rsidRPr="007608C2" w:rsidRDefault="008819AE" w:rsidP="008819AE">
      <w:pPr>
        <w:spacing w:before="240"/>
        <w:jc w:val="both"/>
        <w:rPr>
          <w:rFonts w:cs="Arial"/>
          <w:b/>
        </w:rPr>
      </w:pPr>
      <w:r w:rsidRPr="007608C2">
        <w:rPr>
          <w:rFonts w:cs="Arial"/>
          <w:b/>
        </w:rPr>
        <w:t>Restablecimiento de derechos de niños, niñas y adolescentes en situación de vida en calle o alta permanencia en calle</w:t>
      </w:r>
    </w:p>
    <w:p w:rsidR="008819AE" w:rsidRDefault="008819AE" w:rsidP="00A44A2B">
      <w:pPr>
        <w:pStyle w:val="Prrafodelista"/>
        <w:numPr>
          <w:ilvl w:val="0"/>
          <w:numId w:val="129"/>
        </w:numPr>
        <w:spacing w:after="0"/>
        <w:jc w:val="both"/>
        <w:rPr>
          <w:rFonts w:cs="Arial"/>
        </w:rPr>
      </w:pPr>
      <w:r w:rsidRPr="007608C2">
        <w:rPr>
          <w:rFonts w:cs="Arial"/>
        </w:rPr>
        <w:t>Se desarrollaron acciones de asistencia técnica dirigida al fortalecimiento técnico de los profesionales de los equipos psicosociales de las defensorías de familia y operadores de las modalidades de situación y alta permanencia en calle, y del grupo de asistencia técnica de 14 Regionales ICBF: Caldas, Guajira, Huila, Córdoba, Sucre, Cundinamarca, Guainía, Guaviare, Bogotá, Amazonas, Arauca, S</w:t>
      </w:r>
      <w:r w:rsidR="007D68E7">
        <w:rPr>
          <w:rFonts w:cs="Arial"/>
        </w:rPr>
        <w:t>an Andrés, Quindío y Santander.</w:t>
      </w:r>
    </w:p>
    <w:p w:rsidR="007D68E7" w:rsidRPr="007608C2" w:rsidRDefault="007D68E7" w:rsidP="007D68E7">
      <w:pPr>
        <w:pStyle w:val="Prrafodelista"/>
        <w:spacing w:after="0"/>
        <w:ind w:left="360"/>
        <w:jc w:val="both"/>
        <w:rPr>
          <w:rFonts w:cs="Arial"/>
        </w:rPr>
      </w:pPr>
    </w:p>
    <w:p w:rsidR="008819AE" w:rsidRDefault="008819AE" w:rsidP="00A44A2B">
      <w:pPr>
        <w:pStyle w:val="Prrafodelista"/>
        <w:numPr>
          <w:ilvl w:val="0"/>
          <w:numId w:val="129"/>
        </w:numPr>
        <w:spacing w:after="0"/>
        <w:jc w:val="both"/>
        <w:rPr>
          <w:rFonts w:cs="Arial"/>
        </w:rPr>
      </w:pPr>
      <w:r w:rsidRPr="007608C2">
        <w:rPr>
          <w:rFonts w:cs="Arial"/>
        </w:rPr>
        <w:t>Dichas asistencias fueron dirigidas a fortalecer técnicamente a 226 profesionales en el abordaje del fenómeno de situación de vida en calle y alta permanencia en calle, su relación con el consumo de sustancias psicoactivas, utilización de herramientas de tamizaje para la detección del consumo de sustancias psicoactivas, y la implementación del lineamiento técnico para la atención de niños, niñas y adolescentes, con derechos inobservados, amenazados o vulnerados, con alta permanencia en calle o en situación de vida en calle.</w:t>
      </w:r>
    </w:p>
    <w:p w:rsidR="007D68E7" w:rsidRPr="007D68E7" w:rsidRDefault="007D68E7" w:rsidP="007D68E7">
      <w:pPr>
        <w:spacing w:after="0"/>
        <w:jc w:val="both"/>
        <w:rPr>
          <w:rFonts w:cs="Arial"/>
        </w:rPr>
      </w:pPr>
    </w:p>
    <w:p w:rsidR="008819AE" w:rsidRPr="007608C2" w:rsidRDefault="008819AE" w:rsidP="00A44A2B">
      <w:pPr>
        <w:pStyle w:val="Prrafodelista"/>
        <w:numPr>
          <w:ilvl w:val="0"/>
          <w:numId w:val="129"/>
        </w:numPr>
        <w:spacing w:after="0"/>
        <w:jc w:val="both"/>
        <w:rPr>
          <w:rFonts w:cs="Arial"/>
        </w:rPr>
      </w:pPr>
      <w:r w:rsidRPr="007608C2">
        <w:rPr>
          <w:rFonts w:cs="Arial"/>
        </w:rPr>
        <w:t>Se elaboró un video institucional para visibilizar el fenómeno de situación y alta permanencia en calle a nivel nacional, brindando orientaciones para el desarrollo de acciones de prevención y atención a niños, niñas y adolescentes con alta permanencia o en situación de vida en calle.</w:t>
      </w:r>
    </w:p>
    <w:p w:rsidR="008819AE" w:rsidRDefault="008819AE" w:rsidP="00A44A2B">
      <w:pPr>
        <w:pStyle w:val="Prrafodelista"/>
        <w:numPr>
          <w:ilvl w:val="0"/>
          <w:numId w:val="129"/>
        </w:numPr>
        <w:spacing w:after="0"/>
        <w:jc w:val="both"/>
        <w:rPr>
          <w:rFonts w:cs="Arial"/>
        </w:rPr>
      </w:pPr>
      <w:r w:rsidRPr="007608C2">
        <w:rPr>
          <w:rFonts w:cs="Arial"/>
        </w:rPr>
        <w:lastRenderedPageBreak/>
        <w:t xml:space="preserve">Se participó en la Mesa Técnica de Política Pública Social para las Personas Habitantes de la Calle (PPSHC), en cuyo espacio se realizó la construcción conjunta </w:t>
      </w:r>
      <w:r w:rsidR="007D68E7">
        <w:rPr>
          <w:rFonts w:cs="Arial"/>
        </w:rPr>
        <w:t>del documento base de la PPSHC.</w:t>
      </w:r>
    </w:p>
    <w:p w:rsidR="007D68E7" w:rsidRPr="007608C2" w:rsidRDefault="007D68E7" w:rsidP="007D68E7">
      <w:pPr>
        <w:pStyle w:val="Prrafodelista"/>
        <w:spacing w:after="0"/>
        <w:ind w:left="360"/>
        <w:jc w:val="both"/>
        <w:rPr>
          <w:rFonts w:cs="Arial"/>
        </w:rPr>
      </w:pPr>
    </w:p>
    <w:p w:rsidR="008819AE" w:rsidRPr="007608C2" w:rsidRDefault="008819AE" w:rsidP="00A44A2B">
      <w:pPr>
        <w:pStyle w:val="Prrafodelista"/>
        <w:numPr>
          <w:ilvl w:val="0"/>
          <w:numId w:val="129"/>
        </w:numPr>
        <w:spacing w:after="0"/>
        <w:jc w:val="both"/>
        <w:rPr>
          <w:rFonts w:cs="Arial"/>
        </w:rPr>
      </w:pPr>
      <w:r w:rsidRPr="007608C2">
        <w:rPr>
          <w:rFonts w:cs="Arial"/>
        </w:rPr>
        <w:t>Desde la Subdirección de Restablecimiento de Derechos, en articulación con la Dirección de Niñez y Adolescencia, la Dirección de Familias y Comunidades y el Sistema Nacional de Bienestar Familiar, se realizó la revisión y ajuste del documento base de la Política Pública Social para Habitantes de la Calle -PPSHC-, incluyéndole el capítulo de Infancia y Adolescencia. Esto con la finalidad de brindar orientaciones específicas para esta población, incluyendo también orientaciones desde el enfoque diferencial étnico teniendo en cuenta que esta problemática se encuentra exacerbada en niños, niñas y adolescentes pertenecientes a comunidades indígenas.</w:t>
      </w:r>
    </w:p>
    <w:p w:rsidR="008819AE" w:rsidRPr="007608C2" w:rsidRDefault="008819AE" w:rsidP="008819AE">
      <w:pPr>
        <w:spacing w:before="240"/>
        <w:jc w:val="both"/>
        <w:rPr>
          <w:rFonts w:cs="Arial"/>
          <w:b/>
        </w:rPr>
      </w:pPr>
      <w:r w:rsidRPr="007608C2">
        <w:rPr>
          <w:rFonts w:cs="Arial"/>
          <w:b/>
        </w:rPr>
        <w:t>Restablecimiento de derechos de niños, niñas y adolescentes con consumo de sustancias psicoactivas</w:t>
      </w:r>
    </w:p>
    <w:p w:rsidR="008819AE" w:rsidRDefault="008819AE" w:rsidP="00A44A2B">
      <w:pPr>
        <w:pStyle w:val="Prrafodelista"/>
        <w:numPr>
          <w:ilvl w:val="0"/>
          <w:numId w:val="130"/>
        </w:numPr>
        <w:spacing w:after="0"/>
        <w:jc w:val="both"/>
        <w:rPr>
          <w:rFonts w:cs="Arial"/>
        </w:rPr>
      </w:pPr>
      <w:r w:rsidRPr="007608C2">
        <w:rPr>
          <w:rFonts w:cs="Arial"/>
        </w:rPr>
        <w:t>Se desarrollaron acciones de asistencia técnica dirigida al fortalecimiento técnico de los profesionales de los equipos psicosociales de las defensorías de familia y operadores de las modalidades de situación y alta permanencia en calle, y del grupo de asistencia técnica de 14 Regionales ICBF: Caldas, Guajira, Huila, Córdoba, Sucre, Cundinamarca, Guainía, Guaviare, Bogotá, Amazonas, Arauca, San Andrés, Quindío y Santander. Dichas asistencias fueron dirigidas a fortalecer técnicamente a 226 profesionales en el abordaje de la problemática de consumo de sustancias psicoactivas, utilización de herramientas de tamizaje para la detección, prevención y tratamiento del consumo de sustancias psicoactivas, y la implementación del lineamiento técnico para la atención de niños, niñas y adolescentes, con derechos inobservados, amenazados o vulnerados, con consumo de sustancias psicoactivas.</w:t>
      </w:r>
    </w:p>
    <w:p w:rsidR="007D68E7" w:rsidRPr="007608C2" w:rsidRDefault="007D68E7" w:rsidP="007D68E7">
      <w:pPr>
        <w:pStyle w:val="Prrafodelista"/>
        <w:spacing w:after="0"/>
        <w:ind w:left="360"/>
        <w:jc w:val="both"/>
        <w:rPr>
          <w:rFonts w:cs="Arial"/>
        </w:rPr>
      </w:pPr>
    </w:p>
    <w:p w:rsidR="008819AE" w:rsidRDefault="008819AE" w:rsidP="00A44A2B">
      <w:pPr>
        <w:pStyle w:val="Prrafodelista"/>
        <w:numPr>
          <w:ilvl w:val="0"/>
          <w:numId w:val="130"/>
        </w:numPr>
        <w:spacing w:after="0"/>
        <w:jc w:val="both"/>
        <w:rPr>
          <w:rFonts w:cs="Arial"/>
        </w:rPr>
      </w:pPr>
      <w:r w:rsidRPr="007608C2">
        <w:rPr>
          <w:rFonts w:cs="Arial"/>
        </w:rPr>
        <w:t>Se participó activamente en las mesas de trabajo de la Comisión Técnica Nacional de Reducción de la Demanda de Drogas, para la revisión y ajuste del Plan Nacional para la Promoción de la Salud, la Prevención, la Atención del Consumo de Sustancias Psicoactivas 2014 – 2021, visibilizando la población de niños, niñas y adolescentes, en pro de la atención prioritaria a los mismos.</w:t>
      </w:r>
    </w:p>
    <w:p w:rsidR="007D68E7" w:rsidRPr="007D68E7" w:rsidRDefault="007D68E7" w:rsidP="007D68E7">
      <w:pPr>
        <w:spacing w:after="0"/>
        <w:jc w:val="both"/>
        <w:rPr>
          <w:rFonts w:cs="Arial"/>
        </w:rPr>
      </w:pPr>
    </w:p>
    <w:p w:rsidR="007D68E7" w:rsidRDefault="008819AE" w:rsidP="00A44A2B">
      <w:pPr>
        <w:pStyle w:val="Prrafodelista"/>
        <w:numPr>
          <w:ilvl w:val="0"/>
          <w:numId w:val="130"/>
        </w:numPr>
        <w:spacing w:after="0"/>
        <w:jc w:val="both"/>
        <w:rPr>
          <w:rFonts w:cs="Arial"/>
        </w:rPr>
      </w:pPr>
      <w:r w:rsidRPr="007608C2">
        <w:rPr>
          <w:rFonts w:cs="Arial"/>
        </w:rPr>
        <w:t>Se realizaron mesas de trabajo conjuntas con el Ministerio de Salud, para la construcción y ajuste de la ruta de atención en salud para los niños, niñas y adolescentes con problemas de consumo de sustancias psicoactivas a nivel nacional.</w:t>
      </w:r>
    </w:p>
    <w:p w:rsidR="007D68E7" w:rsidRPr="007D68E7" w:rsidRDefault="007D68E7" w:rsidP="007D68E7">
      <w:pPr>
        <w:spacing w:after="0"/>
        <w:jc w:val="both"/>
        <w:rPr>
          <w:rFonts w:cs="Arial"/>
        </w:rPr>
      </w:pPr>
    </w:p>
    <w:p w:rsidR="008819AE" w:rsidRPr="007608C2" w:rsidRDefault="008819AE" w:rsidP="00A44A2B">
      <w:pPr>
        <w:pStyle w:val="Prrafodelista"/>
        <w:numPr>
          <w:ilvl w:val="0"/>
          <w:numId w:val="130"/>
        </w:numPr>
        <w:spacing w:after="0"/>
        <w:jc w:val="both"/>
        <w:rPr>
          <w:rFonts w:cs="Arial"/>
        </w:rPr>
      </w:pPr>
      <w:r w:rsidRPr="007608C2">
        <w:rPr>
          <w:rFonts w:cs="Arial"/>
        </w:rPr>
        <w:t xml:space="preserve">Se implementó y culminación del programa piloto en liderazgo, habilidades para la vida y proyecto de vida como factores protectores para la prevención de recaídas, dirigido a niñas, niños y adolescentes en los que se encuentran bajo PARD por consumo de sustancias psicoactivas en las instituciones de protección de la Regional Risaralda, en el marco del </w:t>
      </w:r>
      <w:r w:rsidRPr="007608C2">
        <w:rPr>
          <w:rFonts w:cs="Arial"/>
        </w:rPr>
        <w:lastRenderedPageBreak/>
        <w:t xml:space="preserve">convenio 1286 de 2016 con UNODC y la Sección de Asuntos Antinarcóticos de la Embajada de los Estados Unidos – INL. </w:t>
      </w:r>
    </w:p>
    <w:p w:rsidR="008819AE" w:rsidRPr="007608C2" w:rsidRDefault="008819AE" w:rsidP="008819AE">
      <w:pPr>
        <w:spacing w:before="240"/>
        <w:jc w:val="both"/>
        <w:rPr>
          <w:rFonts w:cs="Arial"/>
          <w:b/>
        </w:rPr>
      </w:pPr>
      <w:r w:rsidRPr="007608C2">
        <w:rPr>
          <w:rFonts w:cs="Arial"/>
          <w:b/>
        </w:rPr>
        <w:t>Restablecimiento de derechos de niños, niñas y adolescentes víctimas del conflicto armado</w:t>
      </w:r>
    </w:p>
    <w:p w:rsidR="008819AE" w:rsidRDefault="008819AE" w:rsidP="00A44A2B">
      <w:pPr>
        <w:pStyle w:val="Prrafodelista"/>
        <w:numPr>
          <w:ilvl w:val="0"/>
          <w:numId w:val="131"/>
        </w:numPr>
        <w:spacing w:after="0"/>
        <w:jc w:val="both"/>
        <w:rPr>
          <w:rFonts w:cs="Arial"/>
        </w:rPr>
      </w:pPr>
      <w:r w:rsidRPr="007608C2">
        <w:rPr>
          <w:rFonts w:cs="Arial"/>
        </w:rPr>
        <w:t>Se atendieron en las diferentes modalidades del programa especializado 585 niños, niñas, adolescentes y jóvenes, víctimas de reclutamiento ilícito, que se han desvinculado de los grupos armados organizados al margen de la ley. Durante dicho periodo de tiempo, igualmente, el Comité Operativo para la Dejación de Armas- CODA tomó decisión con relación a 317 casos presentados a esa instancia. El Alto Comisionado para la Paz certificó la pertenencia al grupo armado en el marco de los acuerdos de paz con las FARC a 124 adolescentes y jóvenes atendidos con medida de restablecimiento de derechos en el marco del Progr</w:t>
      </w:r>
      <w:r w:rsidR="007D68E7">
        <w:rPr>
          <w:rFonts w:cs="Arial"/>
        </w:rPr>
        <w:t>ama Camino Diferencial de Vida.</w:t>
      </w:r>
    </w:p>
    <w:p w:rsidR="007D68E7" w:rsidRPr="007608C2" w:rsidRDefault="007D68E7" w:rsidP="007D68E7">
      <w:pPr>
        <w:pStyle w:val="Prrafodelista"/>
        <w:spacing w:after="0"/>
        <w:ind w:left="360"/>
        <w:jc w:val="both"/>
        <w:rPr>
          <w:rFonts w:cs="Arial"/>
        </w:rPr>
      </w:pPr>
    </w:p>
    <w:p w:rsidR="008819AE" w:rsidRDefault="008819AE" w:rsidP="00A44A2B">
      <w:pPr>
        <w:pStyle w:val="Prrafodelista"/>
        <w:numPr>
          <w:ilvl w:val="0"/>
          <w:numId w:val="131"/>
        </w:numPr>
        <w:spacing w:after="0"/>
        <w:jc w:val="both"/>
        <w:rPr>
          <w:rFonts w:cs="Arial"/>
        </w:rPr>
      </w:pPr>
      <w:r w:rsidRPr="007608C2">
        <w:rPr>
          <w:rFonts w:cs="Arial"/>
        </w:rPr>
        <w:t>A 31 de diciembre de 2017 se han restablecido los derechos a 1.271 niños, niñas y adolescentes huérfanos como consecuencia del conflicto armado, los cuáles han sido atendidos a través de las modalidades de Hogar Gestor y Hogar Sustituto y acompañados en su proceso de reparación integral, en 18 regionales del país; de los cuales 1.034 se encuentran con procesos de restablecimiento activos.</w:t>
      </w:r>
    </w:p>
    <w:p w:rsidR="007D68E7" w:rsidRPr="007D68E7" w:rsidRDefault="007D68E7" w:rsidP="007D68E7">
      <w:pPr>
        <w:spacing w:after="0"/>
        <w:jc w:val="both"/>
        <w:rPr>
          <w:rFonts w:cs="Arial"/>
        </w:rPr>
      </w:pPr>
    </w:p>
    <w:p w:rsidR="008819AE" w:rsidRDefault="008819AE" w:rsidP="00A44A2B">
      <w:pPr>
        <w:pStyle w:val="Prrafodelista"/>
        <w:numPr>
          <w:ilvl w:val="0"/>
          <w:numId w:val="131"/>
        </w:numPr>
        <w:spacing w:after="0"/>
        <w:jc w:val="both"/>
        <w:rPr>
          <w:rFonts w:cs="Arial"/>
        </w:rPr>
      </w:pPr>
      <w:r w:rsidRPr="007608C2">
        <w:rPr>
          <w:rFonts w:cs="Arial"/>
        </w:rPr>
        <w:t>Se atendieron a 371 niños, niñas y adolescentes víctimas de Minas Antipersonal- MAP, Municiones sin Explotar- MUSE, Artefacto Explosivo Improvisado- AEI a través de las modalidades de Hogar Gestor, Hogar Sustituto y Seminternado con Discapacidad; de los cuales a octubre de 2017, 240 continúan con proceso de restab</w:t>
      </w:r>
      <w:r w:rsidR="007D68E7">
        <w:rPr>
          <w:rFonts w:cs="Arial"/>
        </w:rPr>
        <w:t>lecimiento de derechos abierto.</w:t>
      </w:r>
    </w:p>
    <w:p w:rsidR="007D68E7" w:rsidRPr="007D68E7" w:rsidRDefault="007D68E7" w:rsidP="007D68E7">
      <w:pPr>
        <w:spacing w:after="0"/>
        <w:jc w:val="both"/>
        <w:rPr>
          <w:rFonts w:cs="Arial"/>
        </w:rPr>
      </w:pPr>
    </w:p>
    <w:p w:rsidR="008819AE" w:rsidRDefault="008819AE" w:rsidP="00A44A2B">
      <w:pPr>
        <w:pStyle w:val="Prrafodelista"/>
        <w:numPr>
          <w:ilvl w:val="0"/>
          <w:numId w:val="131"/>
        </w:numPr>
        <w:spacing w:after="0"/>
        <w:jc w:val="both"/>
        <w:rPr>
          <w:rFonts w:cs="Arial"/>
        </w:rPr>
      </w:pPr>
      <w:r w:rsidRPr="007608C2">
        <w:rPr>
          <w:rFonts w:cs="Arial"/>
        </w:rPr>
        <w:t>Implementación del “Procedimiento para el tránsito de los jóvenes del ICBF a la Agencia Colombiana para la reintegración (ACR) y la continuidad en el proceso de reparación integral a cargo de la Unidad para las Víctimas”, mediante el cual se articularon acciones entre las tres entidades, con el fin de implementar conjuntamente herramientas e instrumentos que faciliten la comprensión de la información sobre los procesos de reparación y de reintegración que cada una de las entidades realiza y para generar mayor confianza en los jóvenes hacia la institucionalidad. Durante el año 2017, en el marco de la mesa conjunta entre las tres entidades se procedió a iniciar el ajuste al procedimiento en el marco de la nueva normativi</w:t>
      </w:r>
      <w:r w:rsidR="007D68E7">
        <w:rPr>
          <w:rFonts w:cs="Arial"/>
        </w:rPr>
        <w:t>dad y del acuerdo final de paz.</w:t>
      </w:r>
    </w:p>
    <w:p w:rsidR="007D68E7" w:rsidRPr="007D68E7" w:rsidRDefault="007D68E7" w:rsidP="007D68E7">
      <w:pPr>
        <w:spacing w:after="0"/>
        <w:jc w:val="both"/>
        <w:rPr>
          <w:rFonts w:cs="Arial"/>
        </w:rPr>
      </w:pPr>
    </w:p>
    <w:p w:rsidR="008819AE" w:rsidRDefault="008819AE" w:rsidP="00A44A2B">
      <w:pPr>
        <w:pStyle w:val="Prrafodelista"/>
        <w:numPr>
          <w:ilvl w:val="0"/>
          <w:numId w:val="131"/>
        </w:numPr>
        <w:spacing w:after="0"/>
        <w:jc w:val="both"/>
        <w:rPr>
          <w:rFonts w:cs="Arial"/>
        </w:rPr>
      </w:pPr>
      <w:r w:rsidRPr="007608C2">
        <w:rPr>
          <w:rFonts w:cs="Arial"/>
        </w:rPr>
        <w:t xml:space="preserve">Se adelantó el proceso administrativo de restablecimiento de derechos a los y las 124 adolescentes y jóvenes (56 mujeres y 68 hombres) entregados por la FARC desde el 10 de septiembre de 2016 al Comité Internacional de la Cruz Roja- CICR, en el marco del acuerdo final para la paz, firmado el 24 de noviembre de 2016. Se brindó asistencia técnica y </w:t>
      </w:r>
      <w:r w:rsidRPr="007608C2">
        <w:rPr>
          <w:rFonts w:cs="Arial"/>
        </w:rPr>
        <w:lastRenderedPageBreak/>
        <w:t>acompañamiento presencial y por medios virtuales, a Comisarios y Defensores de Familia, sus equipos psicosociales, a operadores y equipos profesionales involucrados en el proceso de restablecimiento de derechos.</w:t>
      </w:r>
    </w:p>
    <w:p w:rsidR="007D68E7" w:rsidRPr="007D68E7" w:rsidRDefault="007D68E7" w:rsidP="007D68E7">
      <w:pPr>
        <w:spacing w:after="0"/>
        <w:jc w:val="both"/>
        <w:rPr>
          <w:rFonts w:cs="Arial"/>
        </w:rPr>
      </w:pPr>
    </w:p>
    <w:p w:rsidR="008819AE" w:rsidRDefault="008819AE" w:rsidP="00A44A2B">
      <w:pPr>
        <w:pStyle w:val="Prrafodelista"/>
        <w:numPr>
          <w:ilvl w:val="0"/>
          <w:numId w:val="131"/>
        </w:numPr>
        <w:spacing w:after="0"/>
        <w:jc w:val="both"/>
        <w:rPr>
          <w:rFonts w:cs="Arial"/>
        </w:rPr>
      </w:pPr>
      <w:r w:rsidRPr="007608C2">
        <w:rPr>
          <w:rFonts w:cs="Arial"/>
        </w:rPr>
        <w:t>Se ha participado en espacios de articulación con nuevos actores como el Consejo Nacional para la Reincorporación- CNR, la Consejería Presidencial para los Derechos Humanos- CPDH (coordinadora del proceso en el marco del Programa Camino Diferencial de Vida), la Agencia de Reintegración y Normalización- ARN, y la Unidad de Atención y Reparación Integral a las Víctimas- UARIV para el desarrollo e implementación de los lineamientos del Programa Camino Diferencial de Vida, Jornadas de acompañamiento a los defensores y partici</w:t>
      </w:r>
      <w:r w:rsidR="007D68E7">
        <w:rPr>
          <w:rFonts w:cs="Arial"/>
        </w:rPr>
        <w:t>pación en las sesiones del CNR.</w:t>
      </w:r>
    </w:p>
    <w:p w:rsidR="007D68E7" w:rsidRPr="007D68E7" w:rsidRDefault="007D68E7" w:rsidP="007D68E7">
      <w:pPr>
        <w:spacing w:after="0"/>
        <w:jc w:val="both"/>
        <w:rPr>
          <w:rFonts w:cs="Arial"/>
        </w:rPr>
      </w:pPr>
    </w:p>
    <w:p w:rsidR="007D68E7" w:rsidRDefault="008819AE" w:rsidP="00A44A2B">
      <w:pPr>
        <w:pStyle w:val="Prrafodelista"/>
        <w:numPr>
          <w:ilvl w:val="0"/>
          <w:numId w:val="131"/>
        </w:numPr>
        <w:spacing w:after="0"/>
        <w:jc w:val="both"/>
        <w:rPr>
          <w:rFonts w:cs="Arial"/>
        </w:rPr>
      </w:pPr>
      <w:r w:rsidRPr="007608C2">
        <w:rPr>
          <w:rFonts w:cs="Arial"/>
        </w:rPr>
        <w:t>En el marco del Programa especializado se realizaron 14 encuentros familiares colectivos los cuales posibilitan el trabajo con las familias, generar un nuevo sistema a partir del reconocimiento de habilidades, solidaridades, rituales cotidianos, mitos e ideas acerca de la vida en donde a través de la intervención visualicen los posibles efectos que tendrán los cambios deseados en las relaciones y en el entorno significativo de la familia y/o la red vincular. A esta actividad se han vinculado a 175 niños, niñas y adolescentes desvinculados, con la participación de 365 miembros de las familias y/o red vincular de apoyo de 6 regionales. Este proceso fue acompañado a través de asistencia.</w:t>
      </w:r>
    </w:p>
    <w:p w:rsidR="008819AE" w:rsidRPr="007D68E7" w:rsidRDefault="008819AE" w:rsidP="007D68E7">
      <w:pPr>
        <w:spacing w:after="0"/>
        <w:jc w:val="both"/>
        <w:rPr>
          <w:rFonts w:cs="Arial"/>
        </w:rPr>
      </w:pPr>
      <w:r w:rsidRPr="007D68E7">
        <w:rPr>
          <w:rFonts w:cs="Arial"/>
        </w:rPr>
        <w:t xml:space="preserve"> </w:t>
      </w:r>
    </w:p>
    <w:p w:rsidR="008819AE" w:rsidRDefault="008819AE" w:rsidP="00A44A2B">
      <w:pPr>
        <w:pStyle w:val="Prrafodelista"/>
        <w:numPr>
          <w:ilvl w:val="0"/>
          <w:numId w:val="131"/>
        </w:numPr>
        <w:spacing w:after="0"/>
        <w:jc w:val="both"/>
        <w:rPr>
          <w:rFonts w:cs="Arial"/>
        </w:rPr>
      </w:pPr>
      <w:r w:rsidRPr="007608C2">
        <w:rPr>
          <w:rFonts w:cs="Arial"/>
        </w:rPr>
        <w:t>En el marco del plan de asistencia técnica, se desarrollaron diez (10) video conferencias en temas relacionados con la atención a niños, niñas y adolescentes víctimas del conflicto armado, con la asistencia de referentes para víctimas, equipos defensoriales, operadores y unidades de apoyo, con la participación de 17 region</w:t>
      </w:r>
      <w:r w:rsidR="007D68E7">
        <w:rPr>
          <w:rFonts w:cs="Arial"/>
        </w:rPr>
        <w:t>ales y un total 848 asistentes.</w:t>
      </w:r>
    </w:p>
    <w:p w:rsidR="007D68E7" w:rsidRPr="007D68E7" w:rsidRDefault="007D68E7" w:rsidP="007D68E7">
      <w:pPr>
        <w:spacing w:after="0"/>
        <w:jc w:val="both"/>
        <w:rPr>
          <w:rFonts w:cs="Arial"/>
        </w:rPr>
      </w:pPr>
    </w:p>
    <w:p w:rsidR="008819AE" w:rsidRDefault="008819AE" w:rsidP="00A44A2B">
      <w:pPr>
        <w:pStyle w:val="Prrafodelista"/>
        <w:numPr>
          <w:ilvl w:val="0"/>
          <w:numId w:val="131"/>
        </w:numPr>
        <w:spacing w:after="0"/>
        <w:jc w:val="both"/>
        <w:rPr>
          <w:rFonts w:cs="Arial"/>
        </w:rPr>
      </w:pPr>
      <w:r w:rsidRPr="007608C2">
        <w:rPr>
          <w:rFonts w:cs="Arial"/>
        </w:rPr>
        <w:t>Se desarrolló un encuentro Nacional de Unidades de Apoyo, al cual asistieron 40 personas de los equipos de unidades de apoyo y coordinadores de asistencia técnica de 13 regionales. En este evento se Fortaleció la capacidad técnica de las unidades de apoyo a partir de la experiencia vivida y de las lecciones aprendidas de los profesionales en el territorio.</w:t>
      </w:r>
    </w:p>
    <w:p w:rsidR="007D68E7" w:rsidRPr="007D68E7" w:rsidRDefault="007D68E7" w:rsidP="007D68E7">
      <w:pPr>
        <w:spacing w:after="0"/>
        <w:jc w:val="both"/>
        <w:rPr>
          <w:rFonts w:cs="Arial"/>
        </w:rPr>
      </w:pPr>
    </w:p>
    <w:p w:rsidR="008819AE" w:rsidRDefault="008819AE" w:rsidP="00A44A2B">
      <w:pPr>
        <w:pStyle w:val="Prrafodelista"/>
        <w:numPr>
          <w:ilvl w:val="0"/>
          <w:numId w:val="131"/>
        </w:numPr>
        <w:spacing w:after="0"/>
        <w:jc w:val="both"/>
        <w:rPr>
          <w:rFonts w:cs="Arial"/>
        </w:rPr>
      </w:pPr>
      <w:r w:rsidRPr="007608C2">
        <w:rPr>
          <w:rFonts w:cs="Arial"/>
        </w:rPr>
        <w:t>Con la Oficina de Reclutamiento del Ejército Nacional, el Ministerio de Defensa y la Consejería Presidencial para los Derechos Humanos se desarrolló el procedimiento para expedición de libretas militares de jóvenes que se desvincularon de los grupos armados organizados al margen de la ley que se encuentran en proceso de restablecimiento de derechos con el ICBF, el cual asegura el no pago de gastos de expedición.</w:t>
      </w:r>
    </w:p>
    <w:p w:rsidR="007D68E7" w:rsidRPr="007D68E7" w:rsidRDefault="007D68E7" w:rsidP="007D68E7">
      <w:pPr>
        <w:spacing w:after="0"/>
        <w:jc w:val="both"/>
        <w:rPr>
          <w:rFonts w:cs="Arial"/>
        </w:rPr>
      </w:pPr>
    </w:p>
    <w:p w:rsidR="008819AE" w:rsidRDefault="008819AE" w:rsidP="00A44A2B">
      <w:pPr>
        <w:pStyle w:val="Prrafodelista"/>
        <w:numPr>
          <w:ilvl w:val="0"/>
          <w:numId w:val="131"/>
        </w:numPr>
        <w:spacing w:after="0"/>
        <w:jc w:val="both"/>
        <w:rPr>
          <w:rFonts w:cs="Arial"/>
        </w:rPr>
      </w:pPr>
      <w:r w:rsidRPr="007608C2">
        <w:rPr>
          <w:rFonts w:cs="Arial"/>
        </w:rPr>
        <w:t xml:space="preserve">En Articulación con la Oficina de Cooperación y Convenios del ICBF, la Agencia Presidencial para la Cooperación- APC y la Unión Europea- UE, se adelantan acciones de concertación </w:t>
      </w:r>
      <w:r w:rsidRPr="007608C2">
        <w:rPr>
          <w:rFonts w:cs="Arial"/>
        </w:rPr>
        <w:lastRenderedPageBreak/>
        <w:t>en la ruta de atención a niños, niñas y adolescentes desvinculados que figuran como población sujeta de tres proyectos financiados por la UE.</w:t>
      </w:r>
    </w:p>
    <w:p w:rsidR="007D68E7" w:rsidRPr="007D68E7" w:rsidRDefault="007D68E7" w:rsidP="007D68E7">
      <w:pPr>
        <w:spacing w:after="0"/>
        <w:jc w:val="both"/>
        <w:rPr>
          <w:rFonts w:cs="Arial"/>
        </w:rPr>
      </w:pPr>
    </w:p>
    <w:p w:rsidR="008819AE" w:rsidRDefault="008819AE" w:rsidP="00A44A2B">
      <w:pPr>
        <w:pStyle w:val="Prrafodelista"/>
        <w:numPr>
          <w:ilvl w:val="0"/>
          <w:numId w:val="131"/>
        </w:numPr>
        <w:spacing w:after="0"/>
        <w:jc w:val="both"/>
        <w:rPr>
          <w:rFonts w:cs="Arial"/>
        </w:rPr>
      </w:pPr>
      <w:r w:rsidRPr="007608C2">
        <w:rPr>
          <w:rFonts w:cs="Arial"/>
        </w:rPr>
        <w:t>Participación en el proceso de inducción a los Defensores y Comisarios de Familia, presentando la ruta de actuaciones, modalidades y lineamientos especializados para el Proceso Administrativo de Restablecimiento de Derechos de los niños, niñas y adolescentes víctimas del conflicto armado. En este proceso participaron 338 autoridad</w:t>
      </w:r>
      <w:r w:rsidR="007D68E7">
        <w:rPr>
          <w:rFonts w:cs="Arial"/>
        </w:rPr>
        <w:t>es administrativas competentes.</w:t>
      </w:r>
    </w:p>
    <w:p w:rsidR="007D68E7" w:rsidRPr="007D68E7" w:rsidRDefault="007D68E7" w:rsidP="007D68E7">
      <w:pPr>
        <w:spacing w:after="0"/>
        <w:jc w:val="both"/>
        <w:rPr>
          <w:rFonts w:cs="Arial"/>
        </w:rPr>
      </w:pPr>
    </w:p>
    <w:p w:rsidR="008819AE" w:rsidRDefault="008819AE" w:rsidP="00A44A2B">
      <w:pPr>
        <w:pStyle w:val="Prrafodelista"/>
        <w:numPr>
          <w:ilvl w:val="0"/>
          <w:numId w:val="131"/>
        </w:numPr>
        <w:spacing w:after="0"/>
        <w:jc w:val="both"/>
        <w:rPr>
          <w:rFonts w:cs="Arial"/>
        </w:rPr>
      </w:pPr>
      <w:r w:rsidRPr="007608C2">
        <w:rPr>
          <w:rFonts w:cs="Arial"/>
        </w:rPr>
        <w:t>Se realizan acciones articuladas y de carácter permanente con la Dirección para la Acción Integral contra Minas Antipersonal, en el marco de la Ruta de asistencia, atención y reparación integral para niños, niñas y adolescentes víctimas de MAP, las cuales han activado procesos de atención en el marco del restablecimiento de derechos y acompañamiento a la reparación integral por parte del ICBF.</w:t>
      </w:r>
    </w:p>
    <w:p w:rsidR="007D68E7" w:rsidRPr="007D68E7" w:rsidRDefault="007D68E7" w:rsidP="007D68E7">
      <w:pPr>
        <w:spacing w:after="0"/>
        <w:jc w:val="both"/>
        <w:rPr>
          <w:rFonts w:cs="Arial"/>
        </w:rPr>
      </w:pPr>
    </w:p>
    <w:p w:rsidR="008819AE" w:rsidRDefault="008819AE" w:rsidP="00A44A2B">
      <w:pPr>
        <w:pStyle w:val="Prrafodelista"/>
        <w:numPr>
          <w:ilvl w:val="0"/>
          <w:numId w:val="131"/>
        </w:numPr>
        <w:spacing w:after="0"/>
        <w:jc w:val="both"/>
        <w:rPr>
          <w:rFonts w:cs="Arial"/>
        </w:rPr>
      </w:pPr>
      <w:r w:rsidRPr="007608C2">
        <w:rPr>
          <w:rFonts w:cs="Arial"/>
        </w:rPr>
        <w:t>A 31 de octubre de 2017 se socializó la “Ruta para el restablecimiento de derechos, atención, asistencia y reparación integral a niños, niñas y adolescentes víctimas del conflicto armado” construida junto con la Unidad para la Atención y Reparación Integral a las Víctimas (UARIV), en los diferentes espacios de asistencia técnica.</w:t>
      </w:r>
    </w:p>
    <w:p w:rsidR="007D68E7" w:rsidRPr="007D68E7" w:rsidRDefault="007D68E7" w:rsidP="007D68E7">
      <w:pPr>
        <w:spacing w:after="0"/>
        <w:jc w:val="both"/>
        <w:rPr>
          <w:rFonts w:cs="Arial"/>
        </w:rPr>
      </w:pPr>
    </w:p>
    <w:p w:rsidR="008819AE" w:rsidRDefault="008819AE" w:rsidP="00A44A2B">
      <w:pPr>
        <w:pStyle w:val="Prrafodelista"/>
        <w:numPr>
          <w:ilvl w:val="0"/>
          <w:numId w:val="131"/>
        </w:numPr>
        <w:spacing w:after="0"/>
        <w:jc w:val="both"/>
        <w:rPr>
          <w:rFonts w:cs="Arial"/>
        </w:rPr>
      </w:pPr>
      <w:r w:rsidRPr="007608C2">
        <w:rPr>
          <w:rFonts w:cs="Arial"/>
        </w:rPr>
        <w:t>A 31 de octubre de 2017, junto con el Ministerio de Salud se dio inició a la construcción de un procedimiento para la atención psicosocial y en salud integral a niños, niñas y adolescentes víctimas del conflicto armado en el marco de la medida de rehabilitación, implementando como pilotaje el procedimiento especializado para niños, niñas y adolescentes que se han desvinculado y participan en la modalidad Hogar Sustituto Tutor en Bogotá.</w:t>
      </w:r>
    </w:p>
    <w:p w:rsidR="007D68E7" w:rsidRPr="007D68E7" w:rsidRDefault="007D68E7" w:rsidP="007D68E7">
      <w:pPr>
        <w:spacing w:after="0"/>
        <w:jc w:val="both"/>
        <w:rPr>
          <w:rFonts w:cs="Arial"/>
        </w:rPr>
      </w:pPr>
    </w:p>
    <w:p w:rsidR="008819AE" w:rsidRDefault="008819AE" w:rsidP="00A44A2B">
      <w:pPr>
        <w:pStyle w:val="Prrafodelista"/>
        <w:numPr>
          <w:ilvl w:val="0"/>
          <w:numId w:val="131"/>
        </w:numPr>
        <w:spacing w:after="0"/>
        <w:jc w:val="both"/>
        <w:rPr>
          <w:rFonts w:cs="Arial"/>
        </w:rPr>
      </w:pPr>
      <w:r w:rsidRPr="007608C2">
        <w:rPr>
          <w:rFonts w:cs="Arial"/>
        </w:rPr>
        <w:t>Con corte a 31 de diciembre de 2017 se han atendido 121.080 personas víctimas de desplazamiento forzado, por conflicto armado, en riesgo inminente de desplazamiento o afectados por situación de desastre, de los cuales 68.431 corresponden a niños, niñas y adolescentes, equivalentes al 128.44% de la meta programada. Lo anterior, en el marco del restablecimiento de derechos de niños, niñas y adolescentes víctimas de desplazamiento forzado / Unidades Móviles (UM)</w:t>
      </w:r>
      <w:r w:rsidRPr="007608C2">
        <w:rPr>
          <w:rFonts w:cs="Arial"/>
          <w:vertAlign w:val="superscript"/>
        </w:rPr>
        <w:footnoteReference w:id="15"/>
      </w:r>
      <w:r w:rsidRPr="007608C2">
        <w:rPr>
          <w:rFonts w:cs="Arial"/>
        </w:rPr>
        <w:t>.</w:t>
      </w:r>
    </w:p>
    <w:p w:rsidR="007D68E7" w:rsidRPr="007D68E7" w:rsidRDefault="007D68E7" w:rsidP="007D68E7">
      <w:pPr>
        <w:spacing w:after="0"/>
        <w:jc w:val="both"/>
        <w:rPr>
          <w:rFonts w:cs="Arial"/>
        </w:rPr>
      </w:pPr>
    </w:p>
    <w:p w:rsidR="008819AE" w:rsidRDefault="008819AE" w:rsidP="00A44A2B">
      <w:pPr>
        <w:pStyle w:val="Prrafodelista"/>
        <w:numPr>
          <w:ilvl w:val="0"/>
          <w:numId w:val="131"/>
        </w:numPr>
        <w:spacing w:after="0"/>
        <w:jc w:val="both"/>
        <w:rPr>
          <w:rFonts w:cs="Arial"/>
        </w:rPr>
      </w:pPr>
      <w:r w:rsidRPr="007608C2">
        <w:rPr>
          <w:rFonts w:cs="Arial"/>
        </w:rPr>
        <w:t>Puesta en operación de 113 Unidades Móviles de atención a población víctima del desplazamiento forzado, con 461 profesionales contratados.</w:t>
      </w:r>
    </w:p>
    <w:p w:rsidR="007D68E7" w:rsidRPr="007D68E7" w:rsidRDefault="007D68E7" w:rsidP="007D68E7">
      <w:pPr>
        <w:spacing w:after="0"/>
        <w:jc w:val="both"/>
        <w:rPr>
          <w:rFonts w:cs="Arial"/>
        </w:rPr>
      </w:pPr>
    </w:p>
    <w:p w:rsidR="008819AE" w:rsidRDefault="008819AE" w:rsidP="00A44A2B">
      <w:pPr>
        <w:pStyle w:val="Prrafodelista"/>
        <w:numPr>
          <w:ilvl w:val="0"/>
          <w:numId w:val="131"/>
        </w:numPr>
        <w:spacing w:after="0"/>
        <w:jc w:val="both"/>
        <w:rPr>
          <w:rFonts w:cs="Arial"/>
        </w:rPr>
      </w:pPr>
      <w:r w:rsidRPr="007608C2">
        <w:rPr>
          <w:rFonts w:cs="Arial"/>
        </w:rPr>
        <w:t xml:space="preserve">Se atendió la emergencia humanitaria en la Guajira con 11 Unidades Móviles (10 fijas - 1 itinerante) con un total de 12.381 personas atendidas en 375 rancherías de Albania, </w:t>
      </w:r>
      <w:r w:rsidRPr="007608C2">
        <w:rPr>
          <w:rFonts w:cs="Arial"/>
        </w:rPr>
        <w:lastRenderedPageBreak/>
        <w:t>Barrancas, Fonseca, Maicao, Manaure, Riohacha, San Juan del Cesar y Uribía, de las cuales 7.945 son niños, niñas y adolescentes. Adicionalmente se han distribuido 98.599 unidades de galletas, 239.403 unidades de bienestarina líquida (200 ml), así como 17.172 b</w:t>
      </w:r>
      <w:r w:rsidR="007D68E7">
        <w:rPr>
          <w:rFonts w:cs="Arial"/>
        </w:rPr>
        <w:t>olsas de bienestarina en polvo.</w:t>
      </w:r>
    </w:p>
    <w:p w:rsidR="007D68E7" w:rsidRPr="007D68E7" w:rsidRDefault="007D68E7" w:rsidP="007D68E7">
      <w:pPr>
        <w:spacing w:after="0"/>
        <w:jc w:val="both"/>
        <w:rPr>
          <w:rFonts w:cs="Arial"/>
        </w:rPr>
      </w:pPr>
    </w:p>
    <w:p w:rsidR="008819AE" w:rsidRDefault="008819AE" w:rsidP="00A44A2B">
      <w:pPr>
        <w:pStyle w:val="Prrafodelista"/>
        <w:numPr>
          <w:ilvl w:val="0"/>
          <w:numId w:val="131"/>
        </w:numPr>
        <w:spacing w:after="0"/>
        <w:jc w:val="both"/>
        <w:rPr>
          <w:rFonts w:cs="Arial"/>
        </w:rPr>
      </w:pPr>
      <w:r w:rsidRPr="007608C2">
        <w:rPr>
          <w:rFonts w:cs="Arial"/>
        </w:rPr>
        <w:t>Se brindó atención a 375 comunidades de la etnia Wayuu en el departamento de La Guajira, conformadas por 12.381 personas, concentradas en 3.129 grupos familiares de los cuales 7.945 son niños, niñas y adolescentes, 322 mujeres en periodo de gestación y 765 madres en periodo de lactancia. La atención se viene prestando en el marco de la emergencia Humanitaria, a través de 11 Unidades Móviles.</w:t>
      </w:r>
    </w:p>
    <w:p w:rsidR="007D68E7" w:rsidRPr="007D68E7" w:rsidRDefault="007D68E7" w:rsidP="007D68E7">
      <w:pPr>
        <w:spacing w:after="0"/>
        <w:jc w:val="both"/>
        <w:rPr>
          <w:rFonts w:cs="Arial"/>
        </w:rPr>
      </w:pPr>
    </w:p>
    <w:p w:rsidR="008819AE" w:rsidRDefault="008819AE" w:rsidP="00A44A2B">
      <w:pPr>
        <w:pStyle w:val="Prrafodelista"/>
        <w:numPr>
          <w:ilvl w:val="0"/>
          <w:numId w:val="131"/>
        </w:numPr>
        <w:spacing w:after="0"/>
        <w:jc w:val="both"/>
        <w:rPr>
          <w:rFonts w:cs="Arial"/>
        </w:rPr>
      </w:pPr>
      <w:r w:rsidRPr="007608C2">
        <w:rPr>
          <w:rFonts w:cs="Arial"/>
        </w:rPr>
        <w:t>Se brindó atención a 632 personas pertenecientes a las FARC-EP ubicadas en las Zonas Veredales Transitorias de Normalización (ZVTN), de las cuales 131 son mujeres gestantes, 67 madres en periodo de lactancia y 240 niños, niñas y adolescentes. De los 240 niños, niñas y adolescentes, 183 están en edades entre los 0 y 5 años, 32 entre los 6 y 12 años y 25 entre los 13 y 17 años. La atención en las ZVTN se realizó con 27 Unidades Móviles (108 profesionales) en los departamentos de Antioquia, Arauca, Caquetá, Cauca, Cesar, Córdoba, Meta, Nariño, Norte de Santander, Tolima, Chocó, Guaviare y Put</w:t>
      </w:r>
      <w:r w:rsidR="007D68E7">
        <w:rPr>
          <w:rFonts w:cs="Arial"/>
        </w:rPr>
        <w:t>umayo.</w:t>
      </w:r>
    </w:p>
    <w:p w:rsidR="007D68E7" w:rsidRPr="007D68E7" w:rsidRDefault="007D68E7" w:rsidP="007D68E7">
      <w:pPr>
        <w:spacing w:after="0"/>
        <w:jc w:val="both"/>
        <w:rPr>
          <w:rFonts w:cs="Arial"/>
        </w:rPr>
      </w:pPr>
    </w:p>
    <w:p w:rsidR="008819AE" w:rsidRPr="007608C2" w:rsidRDefault="008819AE" w:rsidP="00A44A2B">
      <w:pPr>
        <w:pStyle w:val="Prrafodelista"/>
        <w:numPr>
          <w:ilvl w:val="0"/>
          <w:numId w:val="131"/>
        </w:numPr>
        <w:spacing w:after="0"/>
        <w:jc w:val="both"/>
        <w:rPr>
          <w:rFonts w:cs="Arial"/>
        </w:rPr>
      </w:pPr>
      <w:r w:rsidRPr="007608C2">
        <w:rPr>
          <w:rFonts w:cs="Arial"/>
        </w:rPr>
        <w:t>Se brindó atención a la población civil ubicada en las veredas aledañas a las Zonas Veredales Transitorias de Normalización ZVTN. Se atendieron 15.499 personas de las cuales 8.104 son niños, niñas y adolescentes.</w:t>
      </w:r>
    </w:p>
    <w:p w:rsidR="008819AE" w:rsidRPr="007608C2" w:rsidRDefault="008819AE" w:rsidP="008819AE">
      <w:pPr>
        <w:spacing w:before="240" w:after="0"/>
        <w:jc w:val="both"/>
        <w:rPr>
          <w:rFonts w:cs="Arial"/>
          <w:b/>
        </w:rPr>
      </w:pPr>
      <w:r w:rsidRPr="007608C2">
        <w:rPr>
          <w:rFonts w:cs="Arial"/>
          <w:b/>
        </w:rPr>
        <w:t>Restablecimiento de derechos de niños, niñas y adolescentes pertenecientes a pueblos indígenas</w:t>
      </w:r>
    </w:p>
    <w:p w:rsidR="008819AE" w:rsidRPr="007608C2" w:rsidRDefault="008819AE" w:rsidP="008819AE">
      <w:pPr>
        <w:spacing w:before="240"/>
        <w:jc w:val="both"/>
        <w:rPr>
          <w:rFonts w:cs="Arial"/>
        </w:rPr>
      </w:pPr>
      <w:r w:rsidRPr="007608C2">
        <w:rPr>
          <w:rFonts w:cs="Arial"/>
        </w:rPr>
        <w:t>Indicador: “Porcentaje de casos de niños, niñas y adolescentes pertenecientes a comunidades indígenas que ingresan a PARD y en los cuales se ha realizado articulación con las autoridades indígenas”</w:t>
      </w:r>
    </w:p>
    <w:p w:rsidR="008819AE" w:rsidRPr="007608C2" w:rsidRDefault="008819AE" w:rsidP="00A44A2B">
      <w:pPr>
        <w:pStyle w:val="Prrafodelista"/>
        <w:numPr>
          <w:ilvl w:val="0"/>
          <w:numId w:val="132"/>
        </w:numPr>
        <w:spacing w:after="0"/>
        <w:jc w:val="both"/>
        <w:rPr>
          <w:rFonts w:cs="Arial"/>
        </w:rPr>
      </w:pPr>
      <w:r w:rsidRPr="007608C2">
        <w:rPr>
          <w:rFonts w:cs="Arial"/>
        </w:rPr>
        <w:t>De conformidad con el compromiso asumido por el Instituto Colombiano de Bienestar Familiar-ICBF en el Plan Nacional de Desarrollo 2014-2018 contemplado en la Ley 1753 de 2015, la Dirección de Protección ha venido liderado diferentes espacios de trabajo con los profesionales delegados por las Organizaciones Indígenas de la Mesa Permanente de Concertación- MPC desde el año 2016, cuyo objetivo principal es revisar y ajustar el trámite para el restablecimiento de derechos de niños, niñas y adolescentes indígenas, estipulado por el Anexo 7 del Lineamiento técnico administrativo de ruta de actuaciones para el restablecimiento de derechos de niños, niñas y adolescentes con sus derechos inobservados, amenazados o vulnerados, aprobado mediante Resolución No.1526 de 23 de febrero de 2016, modificada por la Resolución 7547 de 2016.</w:t>
      </w:r>
    </w:p>
    <w:p w:rsidR="008819AE" w:rsidRPr="007608C2" w:rsidRDefault="008819AE" w:rsidP="008819AE">
      <w:pPr>
        <w:pStyle w:val="Prrafodelista"/>
        <w:spacing w:after="0"/>
        <w:ind w:left="360"/>
        <w:jc w:val="both"/>
        <w:rPr>
          <w:rFonts w:cs="Arial"/>
        </w:rPr>
      </w:pPr>
      <w:r w:rsidRPr="007608C2">
        <w:rPr>
          <w:rFonts w:cs="Arial"/>
        </w:rPr>
        <w:lastRenderedPageBreak/>
        <w:t xml:space="preserve">Para su cumplimiento, a través de la Mesa Permanente de Concertación-MPC se acordaron dos indicadores para el seguimiento y monitoreo de los acuerdos suscritos, en este sentido, la Dirección de Protección del ICBF estableció las siguientes acciones para: </w:t>
      </w:r>
    </w:p>
    <w:p w:rsidR="008819AE" w:rsidRPr="007608C2" w:rsidRDefault="008819AE" w:rsidP="008819AE">
      <w:pPr>
        <w:pStyle w:val="Prrafodelista"/>
        <w:spacing w:after="0"/>
        <w:ind w:left="720"/>
        <w:jc w:val="both"/>
        <w:rPr>
          <w:rFonts w:cs="Arial"/>
        </w:rPr>
      </w:pPr>
    </w:p>
    <w:p w:rsidR="008819AE" w:rsidRPr="007608C2" w:rsidRDefault="008819AE" w:rsidP="008819AE">
      <w:pPr>
        <w:pStyle w:val="Prrafodelista"/>
        <w:spacing w:after="0"/>
        <w:ind w:left="720"/>
        <w:jc w:val="both"/>
        <w:rPr>
          <w:rFonts w:cs="Arial"/>
          <w:i/>
        </w:rPr>
      </w:pPr>
      <w:r w:rsidRPr="007608C2">
        <w:rPr>
          <w:rFonts w:cs="Arial"/>
          <w:i/>
        </w:rPr>
        <w:t>‘Concertación del instrumento normativo que específica el enfoque diferencial de la ruta PARD (Proceso Administrativo de Restablecimiento de Derechos)’:</w:t>
      </w:r>
    </w:p>
    <w:tbl>
      <w:tblPr>
        <w:tblpPr w:leftFromText="141" w:rightFromText="141" w:bottomFromText="160" w:vertAnchor="text" w:horzAnchor="margin" w:tblpY="82"/>
        <w:tblOverlap w:val="never"/>
        <w:tblW w:w="5127" w:type="pct"/>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5807"/>
        <w:gridCol w:w="3827"/>
      </w:tblGrid>
      <w:tr w:rsidR="008819AE" w:rsidRPr="007D68E7" w:rsidTr="007D68E7">
        <w:trPr>
          <w:trHeight w:val="157"/>
          <w:tblHeader/>
        </w:trPr>
        <w:tc>
          <w:tcPr>
            <w:tcW w:w="3014" w:type="pct"/>
            <w:shd w:val="clear" w:color="auto" w:fill="76922E"/>
            <w:vAlign w:val="center"/>
            <w:hideMark/>
          </w:tcPr>
          <w:p w:rsidR="008819AE" w:rsidRPr="007D68E7" w:rsidRDefault="008819AE" w:rsidP="00476EF8">
            <w:pPr>
              <w:spacing w:after="0"/>
              <w:jc w:val="center"/>
              <w:rPr>
                <w:rFonts w:cs="Arial"/>
                <w:b/>
                <w:color w:val="FFFFFF" w:themeColor="background1"/>
                <w:sz w:val="18"/>
                <w:szCs w:val="18"/>
              </w:rPr>
            </w:pPr>
            <w:r w:rsidRPr="007D68E7">
              <w:rPr>
                <w:rFonts w:cs="Arial"/>
                <w:b/>
                <w:color w:val="FFFFFF" w:themeColor="background1"/>
                <w:sz w:val="18"/>
                <w:szCs w:val="18"/>
              </w:rPr>
              <w:t>Acción</w:t>
            </w:r>
          </w:p>
        </w:tc>
        <w:tc>
          <w:tcPr>
            <w:tcW w:w="1986" w:type="pct"/>
            <w:shd w:val="clear" w:color="auto" w:fill="76922E"/>
            <w:vAlign w:val="center"/>
            <w:hideMark/>
          </w:tcPr>
          <w:p w:rsidR="008819AE" w:rsidRPr="007D68E7" w:rsidRDefault="008819AE" w:rsidP="00476EF8">
            <w:pPr>
              <w:spacing w:after="0"/>
              <w:jc w:val="center"/>
              <w:rPr>
                <w:rFonts w:cs="Arial"/>
                <w:b/>
                <w:color w:val="FFFFFF" w:themeColor="background1"/>
                <w:sz w:val="18"/>
                <w:szCs w:val="18"/>
              </w:rPr>
            </w:pPr>
            <w:r w:rsidRPr="007D68E7">
              <w:rPr>
                <w:rFonts w:cs="Arial"/>
                <w:b/>
                <w:color w:val="FFFFFF" w:themeColor="background1"/>
                <w:sz w:val="18"/>
                <w:szCs w:val="18"/>
              </w:rPr>
              <w:t>Fecha</w:t>
            </w:r>
          </w:p>
        </w:tc>
      </w:tr>
      <w:tr w:rsidR="008819AE" w:rsidRPr="007D68E7" w:rsidTr="007D68E7">
        <w:trPr>
          <w:trHeight w:val="488"/>
        </w:trPr>
        <w:tc>
          <w:tcPr>
            <w:tcW w:w="3014" w:type="pct"/>
            <w:vAlign w:val="center"/>
            <w:hideMark/>
          </w:tcPr>
          <w:p w:rsidR="008819AE" w:rsidRPr="007D68E7" w:rsidRDefault="008819AE" w:rsidP="00476EF8">
            <w:pPr>
              <w:spacing w:after="0"/>
              <w:rPr>
                <w:rFonts w:cs="Arial"/>
                <w:sz w:val="18"/>
                <w:szCs w:val="18"/>
              </w:rPr>
            </w:pPr>
            <w:r w:rsidRPr="007D68E7">
              <w:rPr>
                <w:rFonts w:cs="Arial"/>
                <w:sz w:val="18"/>
                <w:szCs w:val="18"/>
              </w:rPr>
              <w:t>Discusión de la actual ruta del Proceso Administrativo de Restablecimiento de Derechos con las 33 regionales del Instituto.</w:t>
            </w:r>
          </w:p>
        </w:tc>
        <w:tc>
          <w:tcPr>
            <w:tcW w:w="1986" w:type="pct"/>
            <w:vAlign w:val="center"/>
            <w:hideMark/>
          </w:tcPr>
          <w:p w:rsidR="008819AE" w:rsidRPr="007D68E7" w:rsidRDefault="008819AE" w:rsidP="00476EF8">
            <w:pPr>
              <w:spacing w:after="0"/>
              <w:rPr>
                <w:rFonts w:cs="Arial"/>
                <w:sz w:val="18"/>
                <w:szCs w:val="18"/>
              </w:rPr>
            </w:pPr>
            <w:r w:rsidRPr="007D68E7">
              <w:rPr>
                <w:rFonts w:cs="Arial"/>
                <w:sz w:val="18"/>
                <w:szCs w:val="18"/>
              </w:rPr>
              <w:t>Agosto-septiembre de 2016.</w:t>
            </w:r>
          </w:p>
        </w:tc>
      </w:tr>
      <w:tr w:rsidR="008819AE" w:rsidRPr="007D68E7" w:rsidTr="007D68E7">
        <w:trPr>
          <w:trHeight w:val="9"/>
        </w:trPr>
        <w:tc>
          <w:tcPr>
            <w:tcW w:w="3014" w:type="pct"/>
            <w:vAlign w:val="center"/>
            <w:hideMark/>
          </w:tcPr>
          <w:p w:rsidR="008819AE" w:rsidRPr="007D68E7" w:rsidRDefault="008819AE" w:rsidP="00476EF8">
            <w:pPr>
              <w:spacing w:after="0"/>
              <w:rPr>
                <w:rFonts w:cs="Arial"/>
                <w:sz w:val="18"/>
                <w:szCs w:val="18"/>
              </w:rPr>
            </w:pPr>
            <w:r w:rsidRPr="007D68E7">
              <w:rPr>
                <w:rFonts w:cs="Arial"/>
                <w:sz w:val="18"/>
                <w:szCs w:val="18"/>
              </w:rPr>
              <w:t>Encuentro con los Defensores de Familia del ICBF para discutir la propuesta de modificación.</w:t>
            </w:r>
          </w:p>
        </w:tc>
        <w:tc>
          <w:tcPr>
            <w:tcW w:w="1986" w:type="pct"/>
            <w:vAlign w:val="center"/>
            <w:hideMark/>
          </w:tcPr>
          <w:p w:rsidR="008819AE" w:rsidRPr="007D68E7" w:rsidRDefault="008819AE" w:rsidP="00476EF8">
            <w:pPr>
              <w:spacing w:after="0"/>
              <w:rPr>
                <w:rFonts w:cs="Arial"/>
                <w:sz w:val="18"/>
                <w:szCs w:val="18"/>
              </w:rPr>
            </w:pPr>
            <w:r w:rsidRPr="007D68E7">
              <w:rPr>
                <w:rFonts w:cs="Arial"/>
                <w:sz w:val="18"/>
                <w:szCs w:val="18"/>
              </w:rPr>
              <w:t>21 de octubre de 2016</w:t>
            </w:r>
          </w:p>
        </w:tc>
      </w:tr>
      <w:tr w:rsidR="008819AE" w:rsidRPr="007D68E7" w:rsidTr="007D68E7">
        <w:trPr>
          <w:trHeight w:val="312"/>
        </w:trPr>
        <w:tc>
          <w:tcPr>
            <w:tcW w:w="3014" w:type="pct"/>
            <w:vAlign w:val="center"/>
            <w:hideMark/>
          </w:tcPr>
          <w:p w:rsidR="008819AE" w:rsidRPr="007D68E7" w:rsidRDefault="008819AE" w:rsidP="00476EF8">
            <w:pPr>
              <w:spacing w:after="0"/>
              <w:rPr>
                <w:rFonts w:cs="Arial"/>
                <w:sz w:val="18"/>
                <w:szCs w:val="18"/>
              </w:rPr>
            </w:pPr>
            <w:r w:rsidRPr="007D68E7">
              <w:rPr>
                <w:rFonts w:cs="Arial"/>
                <w:sz w:val="18"/>
                <w:szCs w:val="18"/>
              </w:rPr>
              <w:t>Cuatro mesas técnicas con la Subcomisión Técnica de Niñez delegada de la Mesa Permanente de Concertación-MPC.</w:t>
            </w:r>
          </w:p>
        </w:tc>
        <w:tc>
          <w:tcPr>
            <w:tcW w:w="1986" w:type="pct"/>
            <w:vAlign w:val="center"/>
            <w:hideMark/>
          </w:tcPr>
          <w:p w:rsidR="008819AE" w:rsidRPr="007D68E7" w:rsidRDefault="008819AE" w:rsidP="00476EF8">
            <w:pPr>
              <w:spacing w:after="0"/>
              <w:rPr>
                <w:rFonts w:cs="Arial"/>
                <w:sz w:val="18"/>
                <w:szCs w:val="18"/>
              </w:rPr>
            </w:pPr>
            <w:r w:rsidRPr="007D68E7">
              <w:rPr>
                <w:rFonts w:cs="Arial"/>
                <w:sz w:val="18"/>
                <w:szCs w:val="18"/>
              </w:rPr>
              <w:t>Primera mesa: 29 y 30 de noviembre de 2016</w:t>
            </w:r>
          </w:p>
          <w:p w:rsidR="008819AE" w:rsidRPr="007D68E7" w:rsidRDefault="008819AE" w:rsidP="00476EF8">
            <w:pPr>
              <w:spacing w:after="0"/>
              <w:rPr>
                <w:rFonts w:cs="Arial"/>
                <w:sz w:val="18"/>
                <w:szCs w:val="18"/>
              </w:rPr>
            </w:pPr>
            <w:r w:rsidRPr="007D68E7">
              <w:rPr>
                <w:rFonts w:cs="Arial"/>
                <w:sz w:val="18"/>
                <w:szCs w:val="18"/>
              </w:rPr>
              <w:t>Segunda mesa: 5 y 6 de diciembre de 2016</w:t>
            </w:r>
          </w:p>
          <w:p w:rsidR="008819AE" w:rsidRPr="007D68E7" w:rsidRDefault="008819AE" w:rsidP="00476EF8">
            <w:pPr>
              <w:spacing w:after="0"/>
              <w:rPr>
                <w:rFonts w:cs="Arial"/>
                <w:sz w:val="18"/>
                <w:szCs w:val="18"/>
              </w:rPr>
            </w:pPr>
            <w:r w:rsidRPr="007D68E7">
              <w:rPr>
                <w:rFonts w:cs="Arial"/>
                <w:sz w:val="18"/>
                <w:szCs w:val="18"/>
              </w:rPr>
              <w:t>Tercera mesa: 6, 7, 8 y 9 de febrero de 2017</w:t>
            </w:r>
          </w:p>
          <w:p w:rsidR="008819AE" w:rsidRPr="007D68E7" w:rsidRDefault="008819AE" w:rsidP="00476EF8">
            <w:pPr>
              <w:spacing w:after="0"/>
              <w:rPr>
                <w:rFonts w:cs="Arial"/>
                <w:sz w:val="18"/>
                <w:szCs w:val="18"/>
              </w:rPr>
            </w:pPr>
            <w:r w:rsidRPr="007D68E7">
              <w:rPr>
                <w:rFonts w:cs="Arial"/>
                <w:sz w:val="18"/>
                <w:szCs w:val="18"/>
              </w:rPr>
              <w:t>Cuarta mesa: 13, 14, 15, 16 y 17 de marzo de 2017</w:t>
            </w:r>
          </w:p>
        </w:tc>
      </w:tr>
      <w:tr w:rsidR="008819AE" w:rsidRPr="007D68E7" w:rsidTr="007D68E7">
        <w:trPr>
          <w:trHeight w:val="60"/>
        </w:trPr>
        <w:tc>
          <w:tcPr>
            <w:tcW w:w="3014" w:type="pct"/>
            <w:vAlign w:val="center"/>
            <w:hideMark/>
          </w:tcPr>
          <w:p w:rsidR="008819AE" w:rsidRPr="007D68E7" w:rsidRDefault="008819AE" w:rsidP="00476EF8">
            <w:pPr>
              <w:spacing w:after="0"/>
              <w:rPr>
                <w:rFonts w:cs="Arial"/>
                <w:sz w:val="18"/>
                <w:szCs w:val="18"/>
              </w:rPr>
            </w:pPr>
            <w:r w:rsidRPr="007D68E7">
              <w:rPr>
                <w:rFonts w:cs="Arial"/>
                <w:sz w:val="18"/>
                <w:szCs w:val="18"/>
              </w:rPr>
              <w:t>Acercamiento con la Secretaría Técnica de la Mesa Permanente de Concertación de los Pueblos y Organizaciones Indígenas- MPC para el seguimiento a los compromisos asumidos en las mesas técnicas.</w:t>
            </w:r>
          </w:p>
        </w:tc>
        <w:tc>
          <w:tcPr>
            <w:tcW w:w="1986" w:type="pct"/>
            <w:vAlign w:val="center"/>
            <w:hideMark/>
          </w:tcPr>
          <w:p w:rsidR="008819AE" w:rsidRPr="007D68E7" w:rsidRDefault="008819AE" w:rsidP="00476EF8">
            <w:pPr>
              <w:spacing w:after="0"/>
              <w:rPr>
                <w:rFonts w:cs="Arial"/>
                <w:sz w:val="18"/>
                <w:szCs w:val="18"/>
              </w:rPr>
            </w:pPr>
            <w:r w:rsidRPr="007D68E7">
              <w:rPr>
                <w:rFonts w:cs="Arial"/>
                <w:sz w:val="18"/>
                <w:szCs w:val="18"/>
              </w:rPr>
              <w:t>9 de mayo de 2017.</w:t>
            </w:r>
          </w:p>
        </w:tc>
      </w:tr>
      <w:tr w:rsidR="008819AE" w:rsidRPr="007D68E7" w:rsidTr="007D68E7">
        <w:trPr>
          <w:trHeight w:val="60"/>
        </w:trPr>
        <w:tc>
          <w:tcPr>
            <w:tcW w:w="3014" w:type="pct"/>
            <w:vAlign w:val="center"/>
            <w:hideMark/>
          </w:tcPr>
          <w:p w:rsidR="008819AE" w:rsidRPr="007D68E7" w:rsidRDefault="008819AE" w:rsidP="00476EF8">
            <w:pPr>
              <w:spacing w:after="0"/>
              <w:rPr>
                <w:rFonts w:cs="Arial"/>
                <w:sz w:val="18"/>
                <w:szCs w:val="18"/>
              </w:rPr>
            </w:pPr>
            <w:r w:rsidRPr="007D68E7">
              <w:rPr>
                <w:rFonts w:cs="Arial"/>
                <w:sz w:val="18"/>
                <w:szCs w:val="18"/>
              </w:rPr>
              <w:t>Seguimiento al cumplimiento de los compromisos asumidos por los delegados indígenas a través de correo electrónico, dirigido a MPC, Organizaciones Indígenas y Dirección de Asuntos Indígenas, Rom y Minorías del Ministerio del Interior.</w:t>
            </w:r>
          </w:p>
        </w:tc>
        <w:tc>
          <w:tcPr>
            <w:tcW w:w="1986" w:type="pct"/>
            <w:vAlign w:val="center"/>
            <w:hideMark/>
          </w:tcPr>
          <w:p w:rsidR="008819AE" w:rsidRPr="007D68E7" w:rsidRDefault="008819AE" w:rsidP="00476EF8">
            <w:pPr>
              <w:spacing w:after="0"/>
              <w:rPr>
                <w:rFonts w:cs="Arial"/>
                <w:sz w:val="18"/>
                <w:szCs w:val="18"/>
              </w:rPr>
            </w:pPr>
            <w:r w:rsidRPr="007D68E7">
              <w:rPr>
                <w:rFonts w:cs="Arial"/>
                <w:sz w:val="18"/>
                <w:szCs w:val="18"/>
              </w:rPr>
              <w:t>13 de junio de 2017.</w:t>
            </w:r>
          </w:p>
        </w:tc>
      </w:tr>
    </w:tbl>
    <w:p w:rsidR="008819AE" w:rsidRPr="007608C2" w:rsidRDefault="008819AE" w:rsidP="008819AE">
      <w:pPr>
        <w:rPr>
          <w:rFonts w:cs="Arial"/>
        </w:rPr>
      </w:pPr>
      <w:r w:rsidRPr="007608C2">
        <w:rPr>
          <w:rFonts w:cs="Arial"/>
          <w:sz w:val="16"/>
        </w:rPr>
        <w:t>Fuente: Dirección de Protección – Instituto Colombiano de Bienestar Familiar ICBF</w:t>
      </w:r>
    </w:p>
    <w:p w:rsidR="008819AE" w:rsidRPr="007608C2" w:rsidRDefault="008819AE" w:rsidP="008819AE">
      <w:pPr>
        <w:pStyle w:val="Prrafodelista"/>
        <w:ind w:left="0"/>
        <w:jc w:val="both"/>
        <w:rPr>
          <w:rFonts w:cs="Arial"/>
        </w:rPr>
      </w:pPr>
      <w:r w:rsidRPr="007608C2">
        <w:rPr>
          <w:rFonts w:cs="Arial"/>
        </w:rPr>
        <w:t>En el marco del compromiso el ICBF garantizó el desarrollo de los espacios técnicos con los delegados de la Subcomisión de niñez indígena de la MPC para construir el documento que especifica las acciones de coordinación entre las Autoridades Administrativas y las Autoridades Tradicionales Indígenas. No obstante, a la fecha el documento se encuentra en revisión final por parte de las Organizaciones Indígenas, antes de ser llevado a concertación en el espacio ampliado de la Mesa Permanente de Concertación de los Pueblos y Organizaciones Indígenas- MPC. Teniendo en cuenta que los delegados indígenas de la Confederación Indígena Tayrona-CIT se encontraban en Minga no se pudo adelantar el proceso de consolidación final del documento. Por lo anterior, se tiene planeado realizar en el primer semestre del año 2018:</w:t>
      </w:r>
    </w:p>
    <w:p w:rsidR="008819AE" w:rsidRPr="007608C2" w:rsidRDefault="008819AE" w:rsidP="008819AE">
      <w:pPr>
        <w:pStyle w:val="Prrafodelista"/>
        <w:spacing w:after="120"/>
        <w:ind w:left="720"/>
        <w:jc w:val="both"/>
        <w:rPr>
          <w:rFonts w:cs="Arial"/>
          <w:i/>
        </w:rPr>
      </w:pPr>
      <w:r w:rsidRPr="007608C2">
        <w:rPr>
          <w:rFonts w:cs="Arial"/>
          <w:i/>
        </w:rPr>
        <w:t xml:space="preserve">‘Número de Procesos PARD para niños, niñas y adolescentes (NNA) en los cuales se involucran a las autoridades indígenas/ Número de procesos PARD para NNA indígenas’: </w:t>
      </w:r>
    </w:p>
    <w:tbl>
      <w:tblPr>
        <w:tblpPr w:leftFromText="141" w:rightFromText="141" w:bottomFromText="160" w:vertAnchor="text" w:horzAnchor="margin" w:tblpY="202"/>
        <w:tblOverlap w:val="never"/>
        <w:tblW w:w="4977" w:type="pct"/>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6232"/>
        <w:gridCol w:w="3120"/>
      </w:tblGrid>
      <w:tr w:rsidR="008819AE" w:rsidRPr="007D68E7" w:rsidTr="00F655E0">
        <w:trPr>
          <w:trHeight w:val="157"/>
          <w:tblHeader/>
        </w:trPr>
        <w:tc>
          <w:tcPr>
            <w:tcW w:w="3332" w:type="pct"/>
            <w:shd w:val="clear" w:color="auto" w:fill="76922E"/>
            <w:vAlign w:val="center"/>
            <w:hideMark/>
          </w:tcPr>
          <w:p w:rsidR="008819AE" w:rsidRPr="007D68E7" w:rsidRDefault="008819AE" w:rsidP="00476EF8">
            <w:pPr>
              <w:spacing w:after="0"/>
              <w:jc w:val="center"/>
              <w:rPr>
                <w:rFonts w:cs="Arial"/>
                <w:b/>
                <w:color w:val="FFFFFF" w:themeColor="background1"/>
                <w:sz w:val="18"/>
                <w:szCs w:val="18"/>
              </w:rPr>
            </w:pPr>
            <w:bookmarkStart w:id="96" w:name="_Hlk498421977"/>
            <w:r w:rsidRPr="007D68E7">
              <w:rPr>
                <w:rFonts w:cs="Arial"/>
                <w:b/>
                <w:color w:val="FFFFFF" w:themeColor="background1"/>
                <w:sz w:val="18"/>
                <w:szCs w:val="18"/>
              </w:rPr>
              <w:t>Acción</w:t>
            </w:r>
          </w:p>
        </w:tc>
        <w:tc>
          <w:tcPr>
            <w:tcW w:w="1668" w:type="pct"/>
            <w:shd w:val="clear" w:color="auto" w:fill="76922E"/>
            <w:vAlign w:val="center"/>
            <w:hideMark/>
          </w:tcPr>
          <w:p w:rsidR="008819AE" w:rsidRPr="007D68E7" w:rsidRDefault="008819AE" w:rsidP="00476EF8">
            <w:pPr>
              <w:spacing w:after="0"/>
              <w:jc w:val="center"/>
              <w:rPr>
                <w:rFonts w:cs="Arial"/>
                <w:b/>
                <w:color w:val="FFFFFF" w:themeColor="background1"/>
                <w:sz w:val="18"/>
                <w:szCs w:val="18"/>
              </w:rPr>
            </w:pPr>
            <w:r w:rsidRPr="007D68E7">
              <w:rPr>
                <w:rFonts w:cs="Arial"/>
                <w:b/>
                <w:color w:val="FFFFFF" w:themeColor="background1"/>
                <w:sz w:val="18"/>
                <w:szCs w:val="18"/>
              </w:rPr>
              <w:t>Fecha</w:t>
            </w:r>
          </w:p>
        </w:tc>
      </w:tr>
      <w:tr w:rsidR="008819AE" w:rsidRPr="007D68E7" w:rsidTr="00F655E0">
        <w:trPr>
          <w:trHeight w:val="888"/>
        </w:trPr>
        <w:tc>
          <w:tcPr>
            <w:tcW w:w="3332" w:type="pct"/>
            <w:vAlign w:val="center"/>
            <w:hideMark/>
          </w:tcPr>
          <w:p w:rsidR="008819AE" w:rsidRPr="007D68E7" w:rsidRDefault="008819AE" w:rsidP="00476EF8">
            <w:pPr>
              <w:spacing w:after="0"/>
              <w:rPr>
                <w:rFonts w:cs="Arial"/>
                <w:sz w:val="18"/>
                <w:szCs w:val="18"/>
              </w:rPr>
            </w:pPr>
            <w:r w:rsidRPr="007D68E7">
              <w:rPr>
                <w:rFonts w:cs="Arial"/>
                <w:sz w:val="18"/>
                <w:szCs w:val="18"/>
              </w:rPr>
              <w:t xml:space="preserve">Ajuste de la herramienta Sistema de Información Misional –SIM-, que contiene los datos a partir de los cuales es posible obtener el resultado del indicador, se incluye la actuación: PRD 720: Articulación con Autoridad Tradicional Indígena y las plantillas: Notificación de Caso/ Estudio de Caso con la Autoridad Tradicional Indígena/ Definición de competencia en cabeza </w:t>
            </w:r>
            <w:r w:rsidRPr="007D68E7">
              <w:rPr>
                <w:rFonts w:cs="Arial"/>
                <w:sz w:val="18"/>
                <w:szCs w:val="18"/>
              </w:rPr>
              <w:lastRenderedPageBreak/>
              <w:t>de la Autoridad Tradicional Indígena/ Definición de competencia en cabeza de la Autoridad Administrativa/ Seguimiento Proceso de Articulación / Solicitud Proceso de Consulta Previa.</w:t>
            </w:r>
          </w:p>
        </w:tc>
        <w:tc>
          <w:tcPr>
            <w:tcW w:w="1668" w:type="pct"/>
            <w:shd w:val="clear" w:color="auto" w:fill="FFFFFF" w:themeFill="background1"/>
            <w:vAlign w:val="center"/>
            <w:hideMark/>
          </w:tcPr>
          <w:p w:rsidR="008819AE" w:rsidRPr="007D68E7" w:rsidRDefault="008819AE" w:rsidP="00476EF8">
            <w:pPr>
              <w:spacing w:after="0"/>
              <w:rPr>
                <w:rFonts w:cs="Arial"/>
                <w:sz w:val="18"/>
                <w:szCs w:val="18"/>
              </w:rPr>
            </w:pPr>
            <w:r w:rsidRPr="007D68E7">
              <w:rPr>
                <w:rFonts w:cs="Arial"/>
                <w:sz w:val="18"/>
                <w:szCs w:val="18"/>
              </w:rPr>
              <w:lastRenderedPageBreak/>
              <w:t>Junio de 2016</w:t>
            </w:r>
          </w:p>
        </w:tc>
      </w:tr>
      <w:tr w:rsidR="008819AE" w:rsidRPr="007D68E7" w:rsidTr="00F655E0">
        <w:trPr>
          <w:trHeight w:val="9"/>
        </w:trPr>
        <w:tc>
          <w:tcPr>
            <w:tcW w:w="3332" w:type="pct"/>
            <w:vAlign w:val="center"/>
            <w:hideMark/>
          </w:tcPr>
          <w:p w:rsidR="008819AE" w:rsidRPr="007D68E7" w:rsidRDefault="008819AE" w:rsidP="00476EF8">
            <w:pPr>
              <w:spacing w:after="0"/>
              <w:rPr>
                <w:rFonts w:cs="Arial"/>
                <w:sz w:val="18"/>
                <w:szCs w:val="18"/>
              </w:rPr>
            </w:pPr>
            <w:r w:rsidRPr="007D68E7">
              <w:rPr>
                <w:rFonts w:cs="Arial"/>
                <w:sz w:val="18"/>
                <w:szCs w:val="18"/>
              </w:rPr>
              <w:t>Memorando orientando el registro de la actuación PRD 720 y sus plantillas.</w:t>
            </w:r>
          </w:p>
        </w:tc>
        <w:tc>
          <w:tcPr>
            <w:tcW w:w="1668" w:type="pct"/>
            <w:shd w:val="clear" w:color="auto" w:fill="FFFFFF" w:themeFill="background1"/>
            <w:vAlign w:val="center"/>
            <w:hideMark/>
          </w:tcPr>
          <w:p w:rsidR="008819AE" w:rsidRPr="007D68E7" w:rsidRDefault="008819AE" w:rsidP="00476EF8">
            <w:pPr>
              <w:spacing w:after="0"/>
              <w:rPr>
                <w:rFonts w:cs="Arial"/>
                <w:sz w:val="18"/>
                <w:szCs w:val="18"/>
              </w:rPr>
            </w:pPr>
            <w:r w:rsidRPr="007D68E7">
              <w:rPr>
                <w:rFonts w:cs="Arial"/>
                <w:sz w:val="18"/>
                <w:szCs w:val="18"/>
              </w:rPr>
              <w:t>S-2016-288317-0101 del 15 de junio de 2016.</w:t>
            </w:r>
          </w:p>
        </w:tc>
      </w:tr>
      <w:tr w:rsidR="008819AE" w:rsidRPr="007D68E7" w:rsidTr="00F655E0">
        <w:trPr>
          <w:trHeight w:val="312"/>
        </w:trPr>
        <w:tc>
          <w:tcPr>
            <w:tcW w:w="3332" w:type="pct"/>
            <w:vAlign w:val="center"/>
            <w:hideMark/>
          </w:tcPr>
          <w:p w:rsidR="008819AE" w:rsidRPr="007D68E7" w:rsidRDefault="008819AE" w:rsidP="00476EF8">
            <w:pPr>
              <w:spacing w:after="0"/>
              <w:rPr>
                <w:rFonts w:cs="Arial"/>
                <w:sz w:val="18"/>
                <w:szCs w:val="18"/>
              </w:rPr>
            </w:pPr>
            <w:r w:rsidRPr="007D68E7">
              <w:rPr>
                <w:rFonts w:cs="Arial"/>
                <w:sz w:val="18"/>
                <w:szCs w:val="18"/>
              </w:rPr>
              <w:t>Videoconferencia con las 33 Regionales del ICBF para el seguimiento al registro de la actuación PRD 720.</w:t>
            </w:r>
          </w:p>
        </w:tc>
        <w:tc>
          <w:tcPr>
            <w:tcW w:w="1668" w:type="pct"/>
            <w:shd w:val="clear" w:color="auto" w:fill="FFFFFF" w:themeFill="background1"/>
            <w:vAlign w:val="center"/>
            <w:hideMark/>
          </w:tcPr>
          <w:p w:rsidR="008819AE" w:rsidRPr="007D68E7" w:rsidRDefault="008819AE" w:rsidP="00476EF8">
            <w:pPr>
              <w:spacing w:after="0"/>
              <w:rPr>
                <w:rFonts w:cs="Arial"/>
                <w:sz w:val="18"/>
                <w:szCs w:val="18"/>
              </w:rPr>
            </w:pPr>
            <w:r w:rsidRPr="007D68E7">
              <w:rPr>
                <w:rFonts w:cs="Arial"/>
                <w:sz w:val="18"/>
                <w:szCs w:val="18"/>
              </w:rPr>
              <w:t>28 de marzo de 2017, 26 de julio de 2017 y 27 de septiembre de 2017</w:t>
            </w:r>
          </w:p>
        </w:tc>
      </w:tr>
      <w:tr w:rsidR="008819AE" w:rsidRPr="007D68E7" w:rsidTr="00F655E0">
        <w:trPr>
          <w:trHeight w:val="60"/>
        </w:trPr>
        <w:tc>
          <w:tcPr>
            <w:tcW w:w="3332" w:type="pct"/>
            <w:vAlign w:val="center"/>
            <w:hideMark/>
          </w:tcPr>
          <w:p w:rsidR="008819AE" w:rsidRPr="007D68E7" w:rsidRDefault="008819AE" w:rsidP="00476EF8">
            <w:pPr>
              <w:spacing w:after="0"/>
              <w:rPr>
                <w:rFonts w:cs="Arial"/>
                <w:sz w:val="18"/>
                <w:szCs w:val="18"/>
              </w:rPr>
            </w:pPr>
            <w:r w:rsidRPr="007D68E7">
              <w:rPr>
                <w:rFonts w:cs="Arial"/>
                <w:sz w:val="18"/>
                <w:szCs w:val="18"/>
              </w:rPr>
              <w:t>Memorando seguimiento al avance del registro de la actuación PRD 720 y sus respectivas plantillas.</w:t>
            </w:r>
          </w:p>
        </w:tc>
        <w:tc>
          <w:tcPr>
            <w:tcW w:w="1668" w:type="pct"/>
            <w:shd w:val="clear" w:color="auto" w:fill="FFFFFF" w:themeFill="background1"/>
            <w:vAlign w:val="center"/>
            <w:hideMark/>
          </w:tcPr>
          <w:p w:rsidR="008819AE" w:rsidRPr="007D68E7" w:rsidRDefault="008819AE" w:rsidP="00476EF8">
            <w:pPr>
              <w:spacing w:after="0"/>
              <w:rPr>
                <w:rFonts w:cs="Arial"/>
                <w:sz w:val="18"/>
                <w:szCs w:val="18"/>
              </w:rPr>
            </w:pPr>
            <w:r w:rsidRPr="007D68E7">
              <w:rPr>
                <w:rFonts w:cs="Arial"/>
                <w:sz w:val="18"/>
                <w:szCs w:val="18"/>
              </w:rPr>
              <w:t>S-2017-370267-0101 del 17 de junio de 2017.</w:t>
            </w:r>
          </w:p>
        </w:tc>
      </w:tr>
      <w:tr w:rsidR="008819AE" w:rsidRPr="007D68E7" w:rsidTr="00F655E0">
        <w:trPr>
          <w:trHeight w:val="60"/>
        </w:trPr>
        <w:tc>
          <w:tcPr>
            <w:tcW w:w="3332" w:type="pct"/>
            <w:vAlign w:val="center"/>
            <w:hideMark/>
          </w:tcPr>
          <w:p w:rsidR="008819AE" w:rsidRPr="007D68E7" w:rsidRDefault="008819AE" w:rsidP="00476EF8">
            <w:pPr>
              <w:spacing w:after="0"/>
              <w:rPr>
                <w:rFonts w:cs="Arial"/>
                <w:sz w:val="18"/>
                <w:szCs w:val="18"/>
              </w:rPr>
            </w:pPr>
            <w:r w:rsidRPr="007D68E7">
              <w:rPr>
                <w:rFonts w:cs="Arial"/>
                <w:sz w:val="18"/>
                <w:szCs w:val="18"/>
              </w:rPr>
              <w:t>Revisión y análisis para la construcción del Semáforo PARD indígena.</w:t>
            </w:r>
          </w:p>
        </w:tc>
        <w:tc>
          <w:tcPr>
            <w:tcW w:w="1668" w:type="pct"/>
            <w:shd w:val="clear" w:color="auto" w:fill="FFFFFF" w:themeFill="background1"/>
            <w:vAlign w:val="center"/>
            <w:hideMark/>
          </w:tcPr>
          <w:p w:rsidR="008819AE" w:rsidRPr="007D68E7" w:rsidRDefault="008819AE" w:rsidP="00476EF8">
            <w:pPr>
              <w:spacing w:after="0"/>
              <w:rPr>
                <w:rFonts w:cs="Arial"/>
                <w:sz w:val="18"/>
                <w:szCs w:val="18"/>
              </w:rPr>
            </w:pPr>
            <w:r w:rsidRPr="007D68E7">
              <w:rPr>
                <w:rFonts w:cs="Arial"/>
                <w:sz w:val="18"/>
                <w:szCs w:val="18"/>
              </w:rPr>
              <w:t>8 de noviembre de 2017</w:t>
            </w:r>
          </w:p>
        </w:tc>
      </w:tr>
    </w:tbl>
    <w:bookmarkEnd w:id="96"/>
    <w:p w:rsidR="008819AE" w:rsidRPr="007608C2" w:rsidRDefault="008819AE" w:rsidP="008819AE">
      <w:pPr>
        <w:rPr>
          <w:rFonts w:cs="Arial"/>
          <w:sz w:val="16"/>
          <w:szCs w:val="16"/>
        </w:rPr>
      </w:pPr>
      <w:r w:rsidRPr="007608C2">
        <w:rPr>
          <w:rFonts w:cs="Arial"/>
          <w:sz w:val="16"/>
          <w:szCs w:val="16"/>
        </w:rPr>
        <w:t>Fuente: Dirección de Protección – Instituto Colombiano de Bienestar Familiar ICBF</w:t>
      </w:r>
    </w:p>
    <w:p w:rsidR="008819AE" w:rsidRPr="007608C2" w:rsidRDefault="008819AE" w:rsidP="008819AE">
      <w:pPr>
        <w:jc w:val="both"/>
        <w:rPr>
          <w:rFonts w:cs="Arial"/>
        </w:rPr>
      </w:pPr>
      <w:r w:rsidRPr="007608C2">
        <w:rPr>
          <w:rFonts w:cs="Arial"/>
        </w:rPr>
        <w:t>Programa concertado e implementado para la recuperación de la armonía a través del retorno digno y con garantía de derechos de los niños, niña y adolescentes desvinculados de los actores armados al margen de la ley pertenecientes a comunidades indígenas:</w:t>
      </w:r>
    </w:p>
    <w:p w:rsidR="008819AE" w:rsidRPr="007608C2" w:rsidRDefault="008819AE" w:rsidP="008819AE">
      <w:pPr>
        <w:pStyle w:val="Prrafodelista"/>
        <w:ind w:left="0"/>
        <w:jc w:val="both"/>
        <w:rPr>
          <w:rFonts w:cs="Arial"/>
        </w:rPr>
      </w:pPr>
      <w:r w:rsidRPr="007608C2">
        <w:rPr>
          <w:rFonts w:cs="Arial"/>
        </w:rPr>
        <w:t>En atención al compromiso relacionado con la atención a niños, niñas y adolescentes indígenas desvinculados, y de acuerdo a la priorización realizada por los delegados de las Organizaciones Indígenas de la Mesa Permanente de Concertación, desde el ámbito de sus competencias la Dirección de Protección ha adelantado las acciones que se describen a continuación con cuatro pueblos indígenas priorizados: Nasa, en el departamento del Cauca, Wounnan Nounan, en Valle del Cauca, Embera Chamí, en Putumayo y Awá, en Nariño.</w:t>
      </w:r>
    </w:p>
    <w:tbl>
      <w:tblPr>
        <w:tblpPr w:leftFromText="141" w:rightFromText="141" w:bottomFromText="160" w:vertAnchor="text" w:horzAnchor="margin" w:tblpX="-147" w:tblpY="6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8"/>
        <w:gridCol w:w="2597"/>
      </w:tblGrid>
      <w:tr w:rsidR="008819AE" w:rsidRPr="007D68E7" w:rsidTr="00F655E0">
        <w:trPr>
          <w:trHeight w:val="157"/>
          <w:tblHeader/>
        </w:trPr>
        <w:tc>
          <w:tcPr>
            <w:tcW w:w="3618" w:type="pct"/>
            <w:shd w:val="clear" w:color="auto" w:fill="76922E"/>
            <w:vAlign w:val="center"/>
            <w:hideMark/>
          </w:tcPr>
          <w:p w:rsidR="008819AE" w:rsidRPr="007D68E7" w:rsidRDefault="008819AE" w:rsidP="00476EF8">
            <w:pPr>
              <w:spacing w:after="0"/>
              <w:jc w:val="center"/>
              <w:rPr>
                <w:rFonts w:cs="Arial"/>
                <w:b/>
                <w:color w:val="FFFFFF" w:themeColor="background1"/>
                <w:sz w:val="18"/>
              </w:rPr>
            </w:pPr>
            <w:r w:rsidRPr="007D68E7">
              <w:rPr>
                <w:rFonts w:cs="Arial"/>
                <w:b/>
                <w:color w:val="FFFFFF" w:themeColor="background1"/>
                <w:sz w:val="18"/>
              </w:rPr>
              <w:t>Acción</w:t>
            </w:r>
          </w:p>
        </w:tc>
        <w:tc>
          <w:tcPr>
            <w:tcW w:w="1382" w:type="pct"/>
            <w:shd w:val="clear" w:color="auto" w:fill="76922E"/>
            <w:vAlign w:val="center"/>
            <w:hideMark/>
          </w:tcPr>
          <w:p w:rsidR="008819AE" w:rsidRPr="007D68E7" w:rsidRDefault="008819AE" w:rsidP="00476EF8">
            <w:pPr>
              <w:spacing w:after="0"/>
              <w:jc w:val="center"/>
              <w:rPr>
                <w:rFonts w:cs="Arial"/>
                <w:b/>
                <w:color w:val="FFFFFF" w:themeColor="background1"/>
                <w:sz w:val="18"/>
              </w:rPr>
            </w:pPr>
            <w:r w:rsidRPr="007D68E7">
              <w:rPr>
                <w:rFonts w:cs="Arial"/>
                <w:b/>
                <w:color w:val="FFFFFF" w:themeColor="background1"/>
                <w:sz w:val="18"/>
              </w:rPr>
              <w:t>Fecha</w:t>
            </w:r>
          </w:p>
        </w:tc>
      </w:tr>
      <w:tr w:rsidR="008819AE" w:rsidRPr="007D68E7" w:rsidTr="00F655E0">
        <w:trPr>
          <w:trHeight w:val="488"/>
        </w:trPr>
        <w:tc>
          <w:tcPr>
            <w:tcW w:w="3618" w:type="pct"/>
            <w:vAlign w:val="center"/>
            <w:hideMark/>
          </w:tcPr>
          <w:p w:rsidR="008819AE" w:rsidRPr="007D68E7" w:rsidRDefault="008819AE" w:rsidP="00476EF8">
            <w:pPr>
              <w:spacing w:after="0"/>
              <w:jc w:val="both"/>
              <w:rPr>
                <w:rFonts w:cs="Arial"/>
                <w:sz w:val="18"/>
              </w:rPr>
            </w:pPr>
            <w:r w:rsidRPr="007D68E7">
              <w:rPr>
                <w:rFonts w:cs="Arial"/>
                <w:sz w:val="18"/>
              </w:rPr>
              <w:t xml:space="preserve">Ejecución del Convenio 1557 de 2016 con la Corporación de Juristas Akubadabra con el objeto de fortalecer los mecanismos de atención propios de cada pueblo y generar espacios de diálogo y articulación intercultural e interinstitucional para la atención de niños, niñas y adolescentes desvinculados de grupos armados organizados al margen de la ley. </w:t>
            </w:r>
          </w:p>
        </w:tc>
        <w:tc>
          <w:tcPr>
            <w:tcW w:w="1382" w:type="pct"/>
            <w:vAlign w:val="center"/>
            <w:hideMark/>
          </w:tcPr>
          <w:p w:rsidR="008819AE" w:rsidRPr="007D68E7" w:rsidRDefault="008819AE" w:rsidP="00476EF8">
            <w:pPr>
              <w:spacing w:after="0"/>
              <w:jc w:val="both"/>
              <w:rPr>
                <w:rFonts w:cs="Arial"/>
                <w:sz w:val="18"/>
              </w:rPr>
            </w:pPr>
            <w:r w:rsidRPr="007D68E7">
              <w:rPr>
                <w:rFonts w:cs="Arial"/>
                <w:sz w:val="18"/>
              </w:rPr>
              <w:t>Septiembre - diciembre de 2016.</w:t>
            </w:r>
          </w:p>
        </w:tc>
      </w:tr>
      <w:tr w:rsidR="008819AE" w:rsidRPr="007D68E7" w:rsidTr="00F655E0">
        <w:trPr>
          <w:trHeight w:val="9"/>
        </w:trPr>
        <w:tc>
          <w:tcPr>
            <w:tcW w:w="3618" w:type="pct"/>
            <w:vAlign w:val="center"/>
            <w:hideMark/>
          </w:tcPr>
          <w:p w:rsidR="008819AE" w:rsidRPr="007D68E7" w:rsidRDefault="008819AE" w:rsidP="00476EF8">
            <w:pPr>
              <w:spacing w:after="0"/>
              <w:jc w:val="both"/>
              <w:rPr>
                <w:rFonts w:cs="Arial"/>
                <w:sz w:val="18"/>
              </w:rPr>
            </w:pPr>
            <w:r w:rsidRPr="007D68E7">
              <w:rPr>
                <w:rFonts w:cs="Arial"/>
                <w:sz w:val="18"/>
              </w:rPr>
              <w:t>Socialización de los resultados del Convenio 1557 de 2016 a la Comisión Intersectorial para la Prevención del Reclutamiento la utilización y la violencia sexual contra niños, niñas, adolescentes por grupos armados al margen de la ley y por grupos delictivos organizados</w:t>
            </w:r>
          </w:p>
        </w:tc>
        <w:tc>
          <w:tcPr>
            <w:tcW w:w="1382" w:type="pct"/>
            <w:vAlign w:val="center"/>
            <w:hideMark/>
          </w:tcPr>
          <w:p w:rsidR="008819AE" w:rsidRPr="007D68E7" w:rsidRDefault="008819AE" w:rsidP="00476EF8">
            <w:pPr>
              <w:spacing w:after="0"/>
              <w:jc w:val="both"/>
              <w:rPr>
                <w:rFonts w:cs="Arial"/>
                <w:sz w:val="18"/>
              </w:rPr>
            </w:pPr>
            <w:r w:rsidRPr="007D68E7">
              <w:rPr>
                <w:rFonts w:cs="Arial"/>
                <w:sz w:val="18"/>
              </w:rPr>
              <w:t>2 de mayo de 2017</w:t>
            </w:r>
          </w:p>
        </w:tc>
      </w:tr>
      <w:tr w:rsidR="008819AE" w:rsidRPr="007D68E7" w:rsidTr="00F655E0">
        <w:trPr>
          <w:trHeight w:val="312"/>
        </w:trPr>
        <w:tc>
          <w:tcPr>
            <w:tcW w:w="3618" w:type="pct"/>
            <w:vAlign w:val="center"/>
            <w:hideMark/>
          </w:tcPr>
          <w:p w:rsidR="008819AE" w:rsidRPr="007D68E7" w:rsidRDefault="008819AE" w:rsidP="00476EF8">
            <w:pPr>
              <w:spacing w:after="0"/>
              <w:jc w:val="both"/>
              <w:rPr>
                <w:rFonts w:cs="Arial"/>
                <w:sz w:val="18"/>
              </w:rPr>
            </w:pPr>
            <w:r w:rsidRPr="007D68E7">
              <w:rPr>
                <w:rFonts w:cs="Arial"/>
                <w:sz w:val="18"/>
              </w:rPr>
              <w:t>Encuentro Intercultural para para el intercambio de experiencias exitosas en la atención de niños, niñas y adolescentes que se desvinculan de grupos armados organizados al margen de la ley en Santander de Quilichao</w:t>
            </w:r>
          </w:p>
        </w:tc>
        <w:tc>
          <w:tcPr>
            <w:tcW w:w="1382" w:type="pct"/>
            <w:vAlign w:val="center"/>
            <w:hideMark/>
          </w:tcPr>
          <w:p w:rsidR="008819AE" w:rsidRPr="007D68E7" w:rsidRDefault="008819AE" w:rsidP="00476EF8">
            <w:pPr>
              <w:spacing w:after="0"/>
              <w:jc w:val="both"/>
              <w:rPr>
                <w:rFonts w:cs="Arial"/>
                <w:sz w:val="18"/>
              </w:rPr>
            </w:pPr>
            <w:r w:rsidRPr="007D68E7">
              <w:rPr>
                <w:rFonts w:cs="Arial"/>
                <w:sz w:val="18"/>
              </w:rPr>
              <w:t>26 y 27 de junio de 2017</w:t>
            </w:r>
          </w:p>
        </w:tc>
      </w:tr>
    </w:tbl>
    <w:p w:rsidR="008819AE" w:rsidRPr="00F655E0" w:rsidRDefault="008819AE" w:rsidP="008819AE">
      <w:pPr>
        <w:jc w:val="both"/>
        <w:rPr>
          <w:rFonts w:cs="Arial"/>
          <w:sz w:val="16"/>
          <w:szCs w:val="16"/>
        </w:rPr>
      </w:pPr>
      <w:r w:rsidRPr="00F655E0">
        <w:rPr>
          <w:rFonts w:cs="Arial"/>
          <w:sz w:val="16"/>
          <w:szCs w:val="16"/>
        </w:rPr>
        <w:t>Fuente: Dirección de Protección – Instituto Colombiano de Bienestar Familiar ICBF</w:t>
      </w:r>
    </w:p>
    <w:p w:rsidR="008819AE" w:rsidRPr="007608C2" w:rsidRDefault="008819AE" w:rsidP="008819AE">
      <w:pPr>
        <w:pStyle w:val="Prrafodelista"/>
        <w:ind w:left="0"/>
        <w:jc w:val="both"/>
        <w:rPr>
          <w:rFonts w:cs="Arial"/>
        </w:rPr>
      </w:pPr>
      <w:r w:rsidRPr="007608C2">
        <w:rPr>
          <w:rFonts w:cs="Arial"/>
        </w:rPr>
        <w:t>Por otra parte, de conformidad con los compromisos derivados del Auto 174 de 2011, en el marco del Plan de Salvaguarda del Pueblo Awá, se han adelantado acciones para la generación de los espacios de concertación con cada organización del dicho pueblo, que permitan avanzan en la construcción de la propuesta piloto de la ruta de atención a niños, niñas y adolescentes desvinculados partiendo de los insumos generados a través del Convenio 1557 de 2016. Dichos espacios han sido programados de la siguiente manera:</w:t>
      </w:r>
    </w:p>
    <w:tbl>
      <w:tblPr>
        <w:tblpPr w:leftFromText="141" w:rightFromText="141" w:bottomFromText="160" w:vertAnchor="text" w:horzAnchor="margin" w:tblpXSpec="center" w:tblpY="60"/>
        <w:tblOverlap w:val="never"/>
        <w:tblW w:w="4738" w:type="pct"/>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6091"/>
        <w:gridCol w:w="2812"/>
      </w:tblGrid>
      <w:tr w:rsidR="008819AE" w:rsidRPr="00F655E0" w:rsidTr="00F655E0">
        <w:trPr>
          <w:cantSplit/>
          <w:trHeight w:val="157"/>
          <w:tblHeader/>
        </w:trPr>
        <w:tc>
          <w:tcPr>
            <w:tcW w:w="3421" w:type="pct"/>
            <w:shd w:val="clear" w:color="auto" w:fill="76922E"/>
            <w:vAlign w:val="center"/>
            <w:hideMark/>
          </w:tcPr>
          <w:p w:rsidR="008819AE" w:rsidRPr="00F655E0" w:rsidRDefault="008819AE" w:rsidP="00476EF8">
            <w:pPr>
              <w:spacing w:after="0"/>
              <w:jc w:val="center"/>
              <w:rPr>
                <w:rFonts w:cs="Arial"/>
                <w:b/>
                <w:color w:val="FFFFFF" w:themeColor="background1"/>
                <w:sz w:val="18"/>
                <w:szCs w:val="18"/>
              </w:rPr>
            </w:pPr>
            <w:r w:rsidRPr="00F655E0">
              <w:rPr>
                <w:rFonts w:cs="Arial"/>
                <w:b/>
                <w:color w:val="FFFFFF" w:themeColor="background1"/>
                <w:sz w:val="18"/>
                <w:szCs w:val="18"/>
              </w:rPr>
              <w:lastRenderedPageBreak/>
              <w:t>Acción</w:t>
            </w:r>
          </w:p>
        </w:tc>
        <w:tc>
          <w:tcPr>
            <w:tcW w:w="1579" w:type="pct"/>
            <w:shd w:val="clear" w:color="auto" w:fill="76922E"/>
            <w:vAlign w:val="center"/>
            <w:hideMark/>
          </w:tcPr>
          <w:p w:rsidR="008819AE" w:rsidRPr="00F655E0" w:rsidRDefault="008819AE" w:rsidP="00476EF8">
            <w:pPr>
              <w:spacing w:after="0"/>
              <w:jc w:val="center"/>
              <w:rPr>
                <w:rFonts w:cs="Arial"/>
                <w:b/>
                <w:color w:val="FFFFFF" w:themeColor="background1"/>
                <w:sz w:val="18"/>
                <w:szCs w:val="18"/>
              </w:rPr>
            </w:pPr>
            <w:r w:rsidRPr="00F655E0">
              <w:rPr>
                <w:rFonts w:cs="Arial"/>
                <w:b/>
                <w:color w:val="FFFFFF" w:themeColor="background1"/>
                <w:sz w:val="18"/>
                <w:szCs w:val="18"/>
              </w:rPr>
              <w:t>Fecha</w:t>
            </w:r>
          </w:p>
        </w:tc>
      </w:tr>
      <w:tr w:rsidR="008819AE" w:rsidRPr="00F655E0" w:rsidTr="00F655E0">
        <w:trPr>
          <w:trHeight w:val="488"/>
        </w:trPr>
        <w:tc>
          <w:tcPr>
            <w:tcW w:w="3421" w:type="pct"/>
            <w:hideMark/>
          </w:tcPr>
          <w:p w:rsidR="008819AE" w:rsidRPr="00F655E0" w:rsidRDefault="008819AE" w:rsidP="00476EF8">
            <w:pPr>
              <w:spacing w:after="0"/>
              <w:rPr>
                <w:rFonts w:cs="Arial"/>
                <w:sz w:val="18"/>
                <w:szCs w:val="18"/>
              </w:rPr>
            </w:pPr>
            <w:r w:rsidRPr="00F655E0">
              <w:rPr>
                <w:rFonts w:cs="Arial"/>
                <w:sz w:val="18"/>
                <w:szCs w:val="18"/>
              </w:rPr>
              <w:t xml:space="preserve">Encuentro con la Asociación de Cabildos indígenas del Pueblo Awá del Putumayo ACIPAP </w:t>
            </w:r>
          </w:p>
        </w:tc>
        <w:tc>
          <w:tcPr>
            <w:tcW w:w="1579" w:type="pct"/>
            <w:hideMark/>
          </w:tcPr>
          <w:p w:rsidR="008819AE" w:rsidRPr="00F655E0" w:rsidRDefault="008819AE" w:rsidP="00476EF8">
            <w:pPr>
              <w:spacing w:after="0"/>
              <w:rPr>
                <w:rFonts w:cs="Arial"/>
                <w:sz w:val="18"/>
                <w:szCs w:val="18"/>
              </w:rPr>
            </w:pPr>
            <w:r w:rsidRPr="00F655E0">
              <w:rPr>
                <w:rFonts w:cs="Arial"/>
                <w:sz w:val="18"/>
                <w:szCs w:val="18"/>
              </w:rPr>
              <w:t>18 de noviembre de 2017</w:t>
            </w:r>
          </w:p>
        </w:tc>
      </w:tr>
      <w:tr w:rsidR="008819AE" w:rsidRPr="00F655E0" w:rsidTr="00F655E0">
        <w:trPr>
          <w:trHeight w:val="9"/>
        </w:trPr>
        <w:tc>
          <w:tcPr>
            <w:tcW w:w="3421" w:type="pct"/>
            <w:hideMark/>
          </w:tcPr>
          <w:p w:rsidR="008819AE" w:rsidRPr="00F655E0" w:rsidRDefault="008819AE" w:rsidP="00476EF8">
            <w:pPr>
              <w:spacing w:after="0"/>
              <w:rPr>
                <w:rFonts w:cs="Arial"/>
                <w:sz w:val="18"/>
                <w:szCs w:val="18"/>
              </w:rPr>
            </w:pPr>
            <w:r w:rsidRPr="00F655E0">
              <w:rPr>
                <w:rFonts w:cs="Arial"/>
                <w:sz w:val="18"/>
                <w:szCs w:val="18"/>
              </w:rPr>
              <w:t>Encuentro con la Unidad Indígena del Pueblo Awá UNIPA</w:t>
            </w:r>
          </w:p>
        </w:tc>
        <w:tc>
          <w:tcPr>
            <w:tcW w:w="1579" w:type="pct"/>
            <w:hideMark/>
          </w:tcPr>
          <w:p w:rsidR="008819AE" w:rsidRPr="00F655E0" w:rsidRDefault="008819AE" w:rsidP="00476EF8">
            <w:pPr>
              <w:spacing w:after="0"/>
              <w:rPr>
                <w:rFonts w:cs="Arial"/>
                <w:sz w:val="18"/>
                <w:szCs w:val="18"/>
              </w:rPr>
            </w:pPr>
            <w:r w:rsidRPr="00F655E0">
              <w:rPr>
                <w:rFonts w:cs="Arial"/>
                <w:sz w:val="18"/>
                <w:szCs w:val="18"/>
              </w:rPr>
              <w:t>21 de noviembre de 2017</w:t>
            </w:r>
          </w:p>
        </w:tc>
      </w:tr>
      <w:tr w:rsidR="008819AE" w:rsidRPr="00F655E0" w:rsidTr="00F655E0">
        <w:trPr>
          <w:trHeight w:val="312"/>
        </w:trPr>
        <w:tc>
          <w:tcPr>
            <w:tcW w:w="3421" w:type="pct"/>
            <w:vAlign w:val="center"/>
            <w:hideMark/>
          </w:tcPr>
          <w:p w:rsidR="008819AE" w:rsidRPr="00F655E0" w:rsidRDefault="008819AE" w:rsidP="00476EF8">
            <w:pPr>
              <w:spacing w:after="0"/>
              <w:rPr>
                <w:rFonts w:cs="Arial"/>
                <w:sz w:val="18"/>
                <w:szCs w:val="18"/>
              </w:rPr>
            </w:pPr>
            <w:r w:rsidRPr="00F655E0">
              <w:rPr>
                <w:rFonts w:cs="Arial"/>
                <w:sz w:val="18"/>
                <w:szCs w:val="18"/>
              </w:rPr>
              <w:t xml:space="preserve">Encuentro con el Cabildo Mayor Awá de Ricaurte </w:t>
            </w:r>
          </w:p>
        </w:tc>
        <w:tc>
          <w:tcPr>
            <w:tcW w:w="1579" w:type="pct"/>
            <w:vAlign w:val="center"/>
            <w:hideMark/>
          </w:tcPr>
          <w:p w:rsidR="008819AE" w:rsidRPr="00F655E0" w:rsidRDefault="008819AE" w:rsidP="00476EF8">
            <w:pPr>
              <w:spacing w:after="0"/>
              <w:rPr>
                <w:rFonts w:cs="Arial"/>
                <w:sz w:val="18"/>
                <w:szCs w:val="18"/>
              </w:rPr>
            </w:pPr>
            <w:r w:rsidRPr="00F655E0">
              <w:rPr>
                <w:rFonts w:cs="Arial"/>
                <w:sz w:val="18"/>
                <w:szCs w:val="18"/>
              </w:rPr>
              <w:t>22 de noviembre de 2017</w:t>
            </w:r>
          </w:p>
        </w:tc>
      </w:tr>
    </w:tbl>
    <w:p w:rsidR="008819AE" w:rsidRPr="007608C2" w:rsidRDefault="008819AE" w:rsidP="008819AE">
      <w:pPr>
        <w:rPr>
          <w:rFonts w:cs="Arial"/>
          <w:sz w:val="16"/>
        </w:rPr>
      </w:pPr>
      <w:r w:rsidRPr="007608C2">
        <w:rPr>
          <w:rFonts w:cs="Arial"/>
          <w:sz w:val="16"/>
        </w:rPr>
        <w:t>Fuente: Dirección de Protección – Instituto Colombiano de Bienestar Familiar ICBF</w:t>
      </w:r>
    </w:p>
    <w:p w:rsidR="008819AE" w:rsidRPr="007608C2" w:rsidRDefault="008819AE" w:rsidP="008819AE">
      <w:pPr>
        <w:jc w:val="both"/>
        <w:rPr>
          <w:rFonts w:cs="Arial"/>
          <w:b/>
        </w:rPr>
      </w:pPr>
      <w:r w:rsidRPr="007608C2">
        <w:rPr>
          <w:rFonts w:cs="Arial"/>
          <w:b/>
        </w:rPr>
        <w:t xml:space="preserve">Estrategia de articulación intersectorial e intercultural para el abordaje de la violencia sexual y violencias basadas en género que afecta a niños, niñas, adolescentes y mujeres pertenecientes a comunidades indígenas. </w:t>
      </w:r>
    </w:p>
    <w:p w:rsidR="008819AE" w:rsidRPr="007608C2" w:rsidRDefault="008819AE" w:rsidP="00A44A2B">
      <w:pPr>
        <w:pStyle w:val="Prrafodelista"/>
        <w:numPr>
          <w:ilvl w:val="0"/>
          <w:numId w:val="132"/>
        </w:numPr>
        <w:jc w:val="both"/>
        <w:rPr>
          <w:rFonts w:cs="Arial"/>
        </w:rPr>
      </w:pPr>
      <w:r w:rsidRPr="007608C2">
        <w:rPr>
          <w:rFonts w:cs="Arial"/>
        </w:rPr>
        <w:t xml:space="preserve">En el ámbito de las competencias de la Dirección de Protección, se han realizado acciones para el cumplimiento del indicador del Plan Nacional de Desarrollo 2014-2018, relacionado con la “formulación concertada con las autoridades y organizaciones indígenas de las acciones de prevención de explotación sexual y comercial de niños, niñas y adolescentes, y prevención de otras vulneraciones (abuso sexual)” que lidera el Sistema Nacional de Bienestar Familiar. </w:t>
      </w:r>
    </w:p>
    <w:tbl>
      <w:tblPr>
        <w:tblpPr w:leftFromText="141" w:rightFromText="141" w:bottomFromText="160" w:vertAnchor="text" w:horzAnchor="margin" w:tblpY="6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1"/>
        <w:gridCol w:w="3304"/>
      </w:tblGrid>
      <w:tr w:rsidR="008819AE" w:rsidRPr="00F655E0" w:rsidTr="00F655E0">
        <w:trPr>
          <w:trHeight w:val="157"/>
          <w:tblHeader/>
        </w:trPr>
        <w:tc>
          <w:tcPr>
            <w:tcW w:w="6091" w:type="dxa"/>
            <w:shd w:val="clear" w:color="auto" w:fill="76922E"/>
            <w:vAlign w:val="center"/>
            <w:hideMark/>
          </w:tcPr>
          <w:p w:rsidR="008819AE" w:rsidRPr="00F655E0" w:rsidRDefault="008819AE" w:rsidP="00476EF8">
            <w:pPr>
              <w:spacing w:after="0"/>
              <w:jc w:val="center"/>
              <w:rPr>
                <w:rFonts w:cs="Arial"/>
                <w:b/>
                <w:color w:val="FFFFFF" w:themeColor="background1"/>
                <w:sz w:val="18"/>
                <w:szCs w:val="18"/>
              </w:rPr>
            </w:pPr>
            <w:r w:rsidRPr="00F655E0">
              <w:rPr>
                <w:rFonts w:cs="Arial"/>
                <w:b/>
                <w:color w:val="FFFFFF" w:themeColor="background1"/>
                <w:sz w:val="18"/>
                <w:szCs w:val="18"/>
              </w:rPr>
              <w:t>Acción</w:t>
            </w:r>
          </w:p>
        </w:tc>
        <w:tc>
          <w:tcPr>
            <w:tcW w:w="3304" w:type="dxa"/>
            <w:shd w:val="clear" w:color="auto" w:fill="76922E"/>
            <w:vAlign w:val="center"/>
            <w:hideMark/>
          </w:tcPr>
          <w:p w:rsidR="008819AE" w:rsidRPr="00F655E0" w:rsidRDefault="008819AE" w:rsidP="00476EF8">
            <w:pPr>
              <w:spacing w:after="0"/>
              <w:jc w:val="center"/>
              <w:rPr>
                <w:rFonts w:cs="Arial"/>
                <w:b/>
                <w:color w:val="FFFFFF" w:themeColor="background1"/>
                <w:sz w:val="18"/>
                <w:szCs w:val="18"/>
              </w:rPr>
            </w:pPr>
            <w:r w:rsidRPr="00F655E0">
              <w:rPr>
                <w:rFonts w:cs="Arial"/>
                <w:b/>
                <w:color w:val="FFFFFF" w:themeColor="background1"/>
                <w:sz w:val="18"/>
                <w:szCs w:val="18"/>
              </w:rPr>
              <w:t>Fecha</w:t>
            </w:r>
          </w:p>
        </w:tc>
      </w:tr>
      <w:tr w:rsidR="008819AE" w:rsidRPr="00F655E0" w:rsidTr="00F655E0">
        <w:trPr>
          <w:trHeight w:val="488"/>
        </w:trPr>
        <w:tc>
          <w:tcPr>
            <w:tcW w:w="6091" w:type="dxa"/>
            <w:vAlign w:val="center"/>
            <w:hideMark/>
          </w:tcPr>
          <w:p w:rsidR="008819AE" w:rsidRPr="00F655E0" w:rsidRDefault="008819AE" w:rsidP="00476EF8">
            <w:pPr>
              <w:spacing w:after="0"/>
              <w:jc w:val="both"/>
              <w:rPr>
                <w:rFonts w:cs="Arial"/>
                <w:sz w:val="18"/>
                <w:szCs w:val="18"/>
              </w:rPr>
            </w:pPr>
            <w:r w:rsidRPr="00F655E0">
              <w:rPr>
                <w:rFonts w:cs="Arial"/>
                <w:sz w:val="18"/>
                <w:szCs w:val="18"/>
              </w:rPr>
              <w:t xml:space="preserve">Ejecución del Convenio 1447 de 2016 con la Corporación Opción Legal para la construcción de rutas de atención a niños, niñas y adolescentes indígenas pertenecientes al pueblo Emberá Katío, en las comunidades de Nejondó y Chimiandó en Córdoba y al pueblo Totoró en Cauca. </w:t>
            </w:r>
          </w:p>
        </w:tc>
        <w:tc>
          <w:tcPr>
            <w:tcW w:w="3304" w:type="dxa"/>
            <w:vAlign w:val="center"/>
            <w:hideMark/>
          </w:tcPr>
          <w:p w:rsidR="008819AE" w:rsidRPr="00F655E0" w:rsidRDefault="008819AE" w:rsidP="00476EF8">
            <w:pPr>
              <w:spacing w:after="0"/>
              <w:rPr>
                <w:rFonts w:cs="Arial"/>
                <w:sz w:val="18"/>
                <w:szCs w:val="18"/>
              </w:rPr>
            </w:pPr>
            <w:r w:rsidRPr="00F655E0">
              <w:rPr>
                <w:rFonts w:cs="Arial"/>
                <w:sz w:val="18"/>
                <w:szCs w:val="18"/>
              </w:rPr>
              <w:t>Septiembre-diciembre de 2016.</w:t>
            </w:r>
          </w:p>
        </w:tc>
      </w:tr>
      <w:tr w:rsidR="008819AE" w:rsidRPr="00F655E0" w:rsidTr="00F655E0">
        <w:trPr>
          <w:trHeight w:val="9"/>
        </w:trPr>
        <w:tc>
          <w:tcPr>
            <w:tcW w:w="6091" w:type="dxa"/>
            <w:vAlign w:val="center"/>
            <w:hideMark/>
          </w:tcPr>
          <w:p w:rsidR="008819AE" w:rsidRPr="00F655E0" w:rsidRDefault="008819AE" w:rsidP="00476EF8">
            <w:pPr>
              <w:spacing w:after="0"/>
              <w:jc w:val="both"/>
              <w:rPr>
                <w:rFonts w:cs="Arial"/>
                <w:sz w:val="18"/>
                <w:szCs w:val="18"/>
              </w:rPr>
            </w:pPr>
            <w:r w:rsidRPr="00F655E0">
              <w:rPr>
                <w:rFonts w:cs="Arial"/>
                <w:sz w:val="18"/>
                <w:szCs w:val="18"/>
              </w:rPr>
              <w:t xml:space="preserve">Encuentro intercultural e interinstitucional para el seguimiento a las rutas de atención formuladas en el marco del Convenio 1447 de 2016 en Tierralta, Córdoba </w:t>
            </w:r>
          </w:p>
        </w:tc>
        <w:tc>
          <w:tcPr>
            <w:tcW w:w="3304" w:type="dxa"/>
            <w:vAlign w:val="center"/>
            <w:hideMark/>
          </w:tcPr>
          <w:p w:rsidR="008819AE" w:rsidRPr="00F655E0" w:rsidRDefault="008819AE" w:rsidP="00476EF8">
            <w:pPr>
              <w:spacing w:after="0"/>
              <w:rPr>
                <w:rFonts w:cs="Arial"/>
                <w:sz w:val="18"/>
                <w:szCs w:val="18"/>
              </w:rPr>
            </w:pPr>
            <w:r w:rsidRPr="00F655E0">
              <w:rPr>
                <w:rFonts w:cs="Arial"/>
                <w:sz w:val="18"/>
                <w:szCs w:val="18"/>
              </w:rPr>
              <w:t>31 de julio – 4 de agosto de 2017</w:t>
            </w:r>
          </w:p>
        </w:tc>
      </w:tr>
    </w:tbl>
    <w:p w:rsidR="008819AE" w:rsidRPr="007608C2" w:rsidRDefault="008819AE" w:rsidP="008819AE">
      <w:pPr>
        <w:rPr>
          <w:rFonts w:cs="Arial"/>
        </w:rPr>
      </w:pPr>
      <w:r w:rsidRPr="007608C2">
        <w:rPr>
          <w:rFonts w:cs="Arial"/>
          <w:sz w:val="16"/>
        </w:rPr>
        <w:t>Fuente: Dirección de Protección – Instituto Colombiano de Bienestar Familiar ICBF</w:t>
      </w:r>
    </w:p>
    <w:p w:rsidR="008819AE" w:rsidRPr="007608C2" w:rsidRDefault="008819AE" w:rsidP="00A44A2B">
      <w:pPr>
        <w:pStyle w:val="Prrafodelista"/>
        <w:numPr>
          <w:ilvl w:val="0"/>
          <w:numId w:val="132"/>
        </w:numPr>
        <w:jc w:val="both"/>
        <w:rPr>
          <w:rFonts w:cs="Arial"/>
        </w:rPr>
      </w:pPr>
      <w:r w:rsidRPr="007608C2">
        <w:rPr>
          <w:rFonts w:cs="Arial"/>
        </w:rPr>
        <w:t xml:space="preserve">Respecto a los compromisos que el Instituto Colombiano de Bienestar Familiar tiene dentro del Plan de Salvaguarda del Resguardo Indígena de Caño Mochuelo -Casanare-, se han adelantado acciones correspondientes al fortalecimiento de la asistencia técnica de las Defensorías de Familia del Centro Zonal Paz de Ariporo de dicha Regional entre los meses de octubre y noviembre de 2017. En ese sentido, se han realizado acciones de articulación interinstitucional en apoyo a procesos de restablecimiento de derechos. </w:t>
      </w:r>
    </w:p>
    <w:p w:rsidR="008819AE" w:rsidRPr="007608C2" w:rsidRDefault="008819AE" w:rsidP="008819AE">
      <w:pPr>
        <w:jc w:val="both"/>
        <w:rPr>
          <w:rFonts w:cs="Arial"/>
        </w:rPr>
      </w:pPr>
      <w:r w:rsidRPr="007608C2">
        <w:rPr>
          <w:rFonts w:cs="Arial"/>
          <w:b/>
        </w:rPr>
        <w:t>Acompañamiento para el Restablecimiento de Derechos</w:t>
      </w:r>
    </w:p>
    <w:p w:rsidR="008819AE" w:rsidRPr="007608C2" w:rsidRDefault="008819AE" w:rsidP="008819AE">
      <w:pPr>
        <w:jc w:val="both"/>
        <w:rPr>
          <w:rFonts w:cs="Arial"/>
        </w:rPr>
      </w:pPr>
      <w:r w:rsidRPr="007608C2">
        <w:rPr>
          <w:rFonts w:cs="Arial"/>
        </w:rPr>
        <w:t xml:space="preserve"> A partir de diferentes estrategias planteadas por el Equipo de Enfoque Diferencial se acompañaron diferentes procesos especiales de restablecimiento de derechos de niños, niñas y adolescentes indígenas: participación de Comités Consultivos Regionales y/o Nacionales, videoconferencias, videollamadas, asistencia técnica presencial y a través de respuesta a consultas electrónicas y telefónicas.</w:t>
      </w:r>
    </w:p>
    <w:p w:rsidR="008819AE" w:rsidRPr="007608C2" w:rsidRDefault="008819AE" w:rsidP="008819AE">
      <w:pPr>
        <w:jc w:val="both"/>
        <w:rPr>
          <w:rFonts w:cs="Arial"/>
          <w:b/>
        </w:rPr>
      </w:pPr>
      <w:r w:rsidRPr="007608C2">
        <w:rPr>
          <w:rFonts w:cs="Arial"/>
          <w:b/>
        </w:rPr>
        <w:lastRenderedPageBreak/>
        <w:t>Respuesta a requerimientos e inquietudes técnico – jurídicas</w:t>
      </w:r>
    </w:p>
    <w:p w:rsidR="008819AE" w:rsidRPr="007608C2" w:rsidRDefault="008819AE" w:rsidP="008819AE">
      <w:pPr>
        <w:jc w:val="both"/>
        <w:rPr>
          <w:rFonts w:cs="Arial"/>
        </w:rPr>
      </w:pPr>
      <w:r w:rsidRPr="007608C2">
        <w:rPr>
          <w:rFonts w:cs="Arial"/>
        </w:rPr>
        <w:t>Por solicitud de las Autoridades Administrativas y demás profesionales, durante la vigencia del presente año se brindó asistencia técnica a 100 procesos especiales de restablecimiento de derechos de niños, niñas y adolescentes indígenas. Debido a la complejidad de algunos casos se articuló con la Coordinación de Autoridades Administrativas para proyectar la respuesta.</w:t>
      </w:r>
    </w:p>
    <w:p w:rsidR="008819AE" w:rsidRPr="007608C2" w:rsidRDefault="008819AE" w:rsidP="008819AE">
      <w:pPr>
        <w:jc w:val="both"/>
        <w:rPr>
          <w:rFonts w:cs="Arial"/>
          <w:b/>
        </w:rPr>
      </w:pPr>
      <w:r w:rsidRPr="007608C2">
        <w:rPr>
          <w:rFonts w:cs="Arial"/>
          <w:b/>
        </w:rPr>
        <w:t>Videoconferencias</w:t>
      </w:r>
    </w:p>
    <w:p w:rsidR="008819AE" w:rsidRPr="007608C2" w:rsidRDefault="008819AE" w:rsidP="008819AE">
      <w:pPr>
        <w:jc w:val="both"/>
        <w:rPr>
          <w:rFonts w:cs="Arial"/>
        </w:rPr>
      </w:pPr>
      <w:r w:rsidRPr="007608C2">
        <w:rPr>
          <w:rFonts w:cs="Arial"/>
        </w:rPr>
        <w:t>A través del espacio asignado en la sala de videoconferencias se realizó un proceso de orientaciones técnicas y normativas a las Regionales sobre las actuaciones de interlocución con las Autoridades Tradicionales Indígenas y el proceso de restablecimiento de acuerdo con el enfoque diferencial indígena.</w:t>
      </w:r>
    </w:p>
    <w:tbl>
      <w:tblPr>
        <w:tblW w:w="5000" w:type="pct"/>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1291"/>
        <w:gridCol w:w="3781"/>
        <w:gridCol w:w="1095"/>
        <w:gridCol w:w="3228"/>
      </w:tblGrid>
      <w:tr w:rsidR="008819AE" w:rsidRPr="00F655E0" w:rsidTr="00F655E0">
        <w:trPr>
          <w:cantSplit/>
          <w:trHeight w:val="373"/>
          <w:tblHeader/>
        </w:trPr>
        <w:tc>
          <w:tcPr>
            <w:tcW w:w="687" w:type="pct"/>
            <w:shd w:val="clear" w:color="auto" w:fill="76922E"/>
            <w:vAlign w:val="center"/>
            <w:hideMark/>
          </w:tcPr>
          <w:p w:rsidR="008819AE" w:rsidRPr="00F655E0" w:rsidRDefault="008819AE" w:rsidP="00476EF8">
            <w:pPr>
              <w:spacing w:after="0"/>
              <w:jc w:val="center"/>
              <w:rPr>
                <w:rFonts w:cs="Arial"/>
                <w:b/>
                <w:color w:val="FFFFFF" w:themeColor="background1"/>
                <w:sz w:val="18"/>
                <w:szCs w:val="18"/>
              </w:rPr>
            </w:pPr>
            <w:r w:rsidRPr="00F655E0">
              <w:rPr>
                <w:rFonts w:cs="Arial"/>
                <w:b/>
                <w:color w:val="FFFFFF" w:themeColor="background1"/>
                <w:sz w:val="18"/>
                <w:szCs w:val="18"/>
              </w:rPr>
              <w:t>Regional</w:t>
            </w:r>
          </w:p>
        </w:tc>
        <w:tc>
          <w:tcPr>
            <w:tcW w:w="2012" w:type="pct"/>
            <w:shd w:val="clear" w:color="auto" w:fill="76922E"/>
            <w:vAlign w:val="center"/>
            <w:hideMark/>
          </w:tcPr>
          <w:p w:rsidR="008819AE" w:rsidRPr="00F655E0" w:rsidRDefault="008819AE" w:rsidP="00476EF8">
            <w:pPr>
              <w:spacing w:after="0"/>
              <w:jc w:val="center"/>
              <w:rPr>
                <w:rFonts w:cs="Arial"/>
                <w:b/>
                <w:color w:val="FFFFFF" w:themeColor="background1"/>
                <w:sz w:val="18"/>
                <w:szCs w:val="18"/>
              </w:rPr>
            </w:pPr>
            <w:r w:rsidRPr="00F655E0">
              <w:rPr>
                <w:rFonts w:cs="Arial"/>
                <w:b/>
                <w:color w:val="FFFFFF" w:themeColor="background1"/>
                <w:sz w:val="18"/>
                <w:szCs w:val="18"/>
              </w:rPr>
              <w:t>Contenido</w:t>
            </w:r>
          </w:p>
        </w:tc>
        <w:tc>
          <w:tcPr>
            <w:tcW w:w="583" w:type="pct"/>
            <w:shd w:val="clear" w:color="auto" w:fill="76922E"/>
            <w:vAlign w:val="center"/>
            <w:hideMark/>
          </w:tcPr>
          <w:p w:rsidR="008819AE" w:rsidRPr="00F655E0" w:rsidRDefault="008819AE" w:rsidP="00476EF8">
            <w:pPr>
              <w:spacing w:after="0"/>
              <w:jc w:val="center"/>
              <w:rPr>
                <w:rFonts w:cs="Arial"/>
                <w:b/>
                <w:color w:val="FFFFFF" w:themeColor="background1"/>
                <w:sz w:val="18"/>
                <w:szCs w:val="18"/>
              </w:rPr>
            </w:pPr>
            <w:r w:rsidRPr="00F655E0">
              <w:rPr>
                <w:rFonts w:cs="Arial"/>
                <w:b/>
                <w:color w:val="FFFFFF" w:themeColor="background1"/>
                <w:sz w:val="18"/>
                <w:szCs w:val="18"/>
              </w:rPr>
              <w:t>Fecha</w:t>
            </w:r>
          </w:p>
        </w:tc>
        <w:tc>
          <w:tcPr>
            <w:tcW w:w="1718" w:type="pct"/>
            <w:shd w:val="clear" w:color="auto" w:fill="76922E"/>
            <w:vAlign w:val="center"/>
            <w:hideMark/>
          </w:tcPr>
          <w:p w:rsidR="008819AE" w:rsidRPr="00F655E0" w:rsidRDefault="008819AE" w:rsidP="00476EF8">
            <w:pPr>
              <w:spacing w:after="0"/>
              <w:jc w:val="center"/>
              <w:rPr>
                <w:rFonts w:cs="Arial"/>
                <w:b/>
                <w:color w:val="FFFFFF" w:themeColor="background1"/>
                <w:sz w:val="18"/>
                <w:szCs w:val="18"/>
              </w:rPr>
            </w:pPr>
            <w:r w:rsidRPr="00F655E0">
              <w:rPr>
                <w:rFonts w:cs="Arial"/>
                <w:b/>
                <w:color w:val="FFFFFF" w:themeColor="background1"/>
                <w:sz w:val="18"/>
                <w:szCs w:val="18"/>
              </w:rPr>
              <w:t>Regionales que asistieron</w:t>
            </w:r>
          </w:p>
        </w:tc>
      </w:tr>
      <w:tr w:rsidR="008819AE" w:rsidRPr="00F655E0" w:rsidTr="00F655E0">
        <w:trPr>
          <w:trHeight w:val="291"/>
        </w:trPr>
        <w:tc>
          <w:tcPr>
            <w:tcW w:w="687" w:type="pct"/>
            <w:vAlign w:val="center"/>
            <w:hideMark/>
          </w:tcPr>
          <w:p w:rsidR="008819AE" w:rsidRPr="00F655E0" w:rsidRDefault="008819AE" w:rsidP="00476EF8">
            <w:pPr>
              <w:spacing w:after="0"/>
              <w:rPr>
                <w:rFonts w:cs="Arial"/>
                <w:sz w:val="18"/>
                <w:szCs w:val="18"/>
              </w:rPr>
            </w:pPr>
            <w:r w:rsidRPr="00F655E0">
              <w:rPr>
                <w:rFonts w:cs="Arial"/>
                <w:sz w:val="18"/>
                <w:szCs w:val="18"/>
              </w:rPr>
              <w:t>33 regionales del ICBF</w:t>
            </w:r>
          </w:p>
        </w:tc>
        <w:tc>
          <w:tcPr>
            <w:tcW w:w="2012" w:type="pct"/>
            <w:vAlign w:val="center"/>
            <w:hideMark/>
          </w:tcPr>
          <w:p w:rsidR="008819AE" w:rsidRPr="00F655E0" w:rsidRDefault="008819AE" w:rsidP="00A44A2B">
            <w:pPr>
              <w:numPr>
                <w:ilvl w:val="0"/>
                <w:numId w:val="64"/>
              </w:numPr>
              <w:spacing w:after="0"/>
              <w:ind w:left="173" w:hanging="173"/>
              <w:rPr>
                <w:rFonts w:cs="Arial"/>
                <w:sz w:val="18"/>
                <w:szCs w:val="18"/>
              </w:rPr>
            </w:pPr>
            <w:r w:rsidRPr="00F655E0">
              <w:rPr>
                <w:rFonts w:cs="Arial"/>
                <w:sz w:val="18"/>
                <w:szCs w:val="18"/>
              </w:rPr>
              <w:t xml:space="preserve">Trámite solicitud del certificado de pertenencia étnica. </w:t>
            </w:r>
          </w:p>
          <w:p w:rsidR="008819AE" w:rsidRPr="00F655E0" w:rsidRDefault="008819AE" w:rsidP="00476EF8">
            <w:pPr>
              <w:spacing w:after="0"/>
              <w:rPr>
                <w:rFonts w:cs="Arial"/>
                <w:sz w:val="18"/>
                <w:szCs w:val="18"/>
              </w:rPr>
            </w:pPr>
            <w:r w:rsidRPr="00F655E0">
              <w:rPr>
                <w:rFonts w:cs="Arial"/>
                <w:sz w:val="18"/>
                <w:szCs w:val="18"/>
              </w:rPr>
              <w:t xml:space="preserve">2. Trámite solicitud Consulta Previa. </w:t>
            </w:r>
          </w:p>
          <w:p w:rsidR="008819AE" w:rsidRPr="00F655E0" w:rsidRDefault="008819AE" w:rsidP="00476EF8">
            <w:pPr>
              <w:spacing w:after="0"/>
              <w:rPr>
                <w:rFonts w:cs="Arial"/>
                <w:sz w:val="18"/>
                <w:szCs w:val="18"/>
              </w:rPr>
            </w:pPr>
            <w:r w:rsidRPr="00F655E0">
              <w:rPr>
                <w:rFonts w:cs="Arial"/>
                <w:sz w:val="18"/>
                <w:szCs w:val="18"/>
              </w:rPr>
              <w:t>3. Registro de la actuación PRD 720: Articulación con Autoridad Tradicional Indígena y sus respectivas plantillas: Notificación de Caso, Estudio de Caso con la Autoridad Tradicional Indígena, Definición de competencia en cabeza de la Autoridad Tradicional Indígena, Definición de competencia en cabeza de la Autoridad Administrativa, Seguimiento al proceso de articulación y Solicitud Proceso de Consulta Previa.</w:t>
            </w:r>
          </w:p>
          <w:p w:rsidR="008819AE" w:rsidRPr="00F655E0" w:rsidRDefault="008819AE" w:rsidP="00476EF8">
            <w:pPr>
              <w:spacing w:after="0"/>
              <w:rPr>
                <w:rFonts w:cs="Arial"/>
                <w:sz w:val="18"/>
                <w:szCs w:val="18"/>
              </w:rPr>
            </w:pPr>
            <w:r w:rsidRPr="00F655E0">
              <w:rPr>
                <w:rFonts w:cs="Arial"/>
                <w:sz w:val="18"/>
                <w:szCs w:val="18"/>
              </w:rPr>
              <w:t>4. Seguimiento registro actuación PRD 720.</w:t>
            </w:r>
          </w:p>
        </w:tc>
        <w:tc>
          <w:tcPr>
            <w:tcW w:w="583" w:type="pct"/>
            <w:vAlign w:val="center"/>
            <w:hideMark/>
          </w:tcPr>
          <w:p w:rsidR="008819AE" w:rsidRPr="00F655E0" w:rsidRDefault="008819AE" w:rsidP="00476EF8">
            <w:pPr>
              <w:spacing w:after="0"/>
              <w:rPr>
                <w:rFonts w:cs="Arial"/>
                <w:sz w:val="18"/>
                <w:szCs w:val="18"/>
              </w:rPr>
            </w:pPr>
            <w:r w:rsidRPr="00F655E0">
              <w:rPr>
                <w:rFonts w:cs="Arial"/>
                <w:sz w:val="18"/>
                <w:szCs w:val="18"/>
              </w:rPr>
              <w:t>28/03/2017</w:t>
            </w:r>
          </w:p>
        </w:tc>
        <w:tc>
          <w:tcPr>
            <w:tcW w:w="1718" w:type="pct"/>
            <w:vAlign w:val="center"/>
            <w:hideMark/>
          </w:tcPr>
          <w:p w:rsidR="008819AE" w:rsidRPr="00F655E0" w:rsidRDefault="008819AE" w:rsidP="00476EF8">
            <w:pPr>
              <w:spacing w:after="0"/>
              <w:rPr>
                <w:rFonts w:cs="Arial"/>
                <w:sz w:val="18"/>
                <w:szCs w:val="18"/>
              </w:rPr>
            </w:pPr>
            <w:r w:rsidRPr="00F655E0">
              <w:rPr>
                <w:rFonts w:cs="Arial"/>
                <w:sz w:val="18"/>
                <w:szCs w:val="18"/>
              </w:rPr>
              <w:t>Guainía, Tolima, Norte de Santander, Nariño, Caldas, Amazonas, Bogotá, Cesar, Sucre, Atlántico, Arauca, Vichada, Magdalena, Risaralda, Guainía.</w:t>
            </w:r>
          </w:p>
        </w:tc>
      </w:tr>
      <w:tr w:rsidR="008819AE" w:rsidRPr="00F655E0" w:rsidTr="00F655E0">
        <w:trPr>
          <w:trHeight w:val="291"/>
        </w:trPr>
        <w:tc>
          <w:tcPr>
            <w:tcW w:w="687" w:type="pct"/>
            <w:vAlign w:val="center"/>
            <w:hideMark/>
          </w:tcPr>
          <w:p w:rsidR="008819AE" w:rsidRPr="00F655E0" w:rsidRDefault="008819AE" w:rsidP="00476EF8">
            <w:pPr>
              <w:spacing w:after="0"/>
              <w:rPr>
                <w:rFonts w:cs="Arial"/>
                <w:sz w:val="18"/>
                <w:szCs w:val="18"/>
              </w:rPr>
            </w:pPr>
            <w:r w:rsidRPr="00F655E0">
              <w:rPr>
                <w:rFonts w:cs="Arial"/>
                <w:sz w:val="18"/>
                <w:szCs w:val="18"/>
              </w:rPr>
              <w:t>33 regionales del ICBF</w:t>
            </w:r>
          </w:p>
        </w:tc>
        <w:tc>
          <w:tcPr>
            <w:tcW w:w="2012" w:type="pct"/>
            <w:vAlign w:val="center"/>
            <w:hideMark/>
          </w:tcPr>
          <w:p w:rsidR="008819AE" w:rsidRPr="00F655E0" w:rsidRDefault="008819AE" w:rsidP="00476EF8">
            <w:pPr>
              <w:spacing w:after="0"/>
              <w:rPr>
                <w:rFonts w:cs="Arial"/>
                <w:sz w:val="18"/>
                <w:szCs w:val="18"/>
              </w:rPr>
            </w:pPr>
            <w:r w:rsidRPr="00F655E0">
              <w:rPr>
                <w:rFonts w:cs="Arial"/>
                <w:sz w:val="18"/>
                <w:szCs w:val="18"/>
              </w:rPr>
              <w:t>Seguimiento compromiso Plan Nacional de Desarrollo: Porcentaje de casos de niños, niñas y adolescentes pertenecientes a comunidades indígenas que ingresan a PARD y en los cuales se ha realizado articulación con las autoridades indígenas.</w:t>
            </w:r>
          </w:p>
        </w:tc>
        <w:tc>
          <w:tcPr>
            <w:tcW w:w="583" w:type="pct"/>
            <w:vAlign w:val="center"/>
            <w:hideMark/>
          </w:tcPr>
          <w:p w:rsidR="008819AE" w:rsidRPr="00F655E0" w:rsidRDefault="008819AE" w:rsidP="00476EF8">
            <w:pPr>
              <w:spacing w:after="0"/>
              <w:rPr>
                <w:rFonts w:cs="Arial"/>
                <w:sz w:val="18"/>
                <w:szCs w:val="18"/>
              </w:rPr>
            </w:pPr>
            <w:r w:rsidRPr="00F655E0">
              <w:rPr>
                <w:rFonts w:cs="Arial"/>
                <w:sz w:val="18"/>
                <w:szCs w:val="18"/>
              </w:rPr>
              <w:t>26/07/2017</w:t>
            </w:r>
          </w:p>
        </w:tc>
        <w:tc>
          <w:tcPr>
            <w:tcW w:w="1718" w:type="pct"/>
            <w:vAlign w:val="center"/>
            <w:hideMark/>
          </w:tcPr>
          <w:p w:rsidR="008819AE" w:rsidRPr="00F655E0" w:rsidRDefault="008819AE" w:rsidP="00476EF8">
            <w:pPr>
              <w:spacing w:after="0"/>
              <w:rPr>
                <w:rFonts w:cs="Arial"/>
                <w:sz w:val="18"/>
                <w:szCs w:val="18"/>
              </w:rPr>
            </w:pPr>
            <w:r w:rsidRPr="00F655E0">
              <w:rPr>
                <w:rFonts w:cs="Arial"/>
                <w:sz w:val="18"/>
                <w:szCs w:val="18"/>
              </w:rPr>
              <w:t>Convocados: Defensor/as de Familia del Grupo de Asistencia Técnica o Protección</w:t>
            </w:r>
          </w:p>
          <w:p w:rsidR="008819AE" w:rsidRPr="00F655E0" w:rsidRDefault="008819AE" w:rsidP="00476EF8">
            <w:pPr>
              <w:spacing w:after="0"/>
              <w:rPr>
                <w:rFonts w:cs="Arial"/>
                <w:sz w:val="18"/>
                <w:szCs w:val="18"/>
              </w:rPr>
            </w:pPr>
            <w:r w:rsidRPr="00F655E0">
              <w:rPr>
                <w:rFonts w:cs="Arial"/>
                <w:sz w:val="18"/>
                <w:szCs w:val="18"/>
              </w:rPr>
              <w:t>Profesional de apoyo a los procesos de protección de los niños, niñas y adolescentes indígenas</w:t>
            </w:r>
          </w:p>
          <w:p w:rsidR="008819AE" w:rsidRPr="00F655E0" w:rsidRDefault="008819AE" w:rsidP="00476EF8">
            <w:pPr>
              <w:spacing w:after="0"/>
              <w:rPr>
                <w:rFonts w:cs="Arial"/>
                <w:sz w:val="18"/>
                <w:szCs w:val="18"/>
              </w:rPr>
            </w:pPr>
            <w:r w:rsidRPr="00F655E0">
              <w:rPr>
                <w:rFonts w:cs="Arial"/>
                <w:sz w:val="18"/>
                <w:szCs w:val="18"/>
              </w:rPr>
              <w:t>Responsable de servicios y atención</w:t>
            </w:r>
          </w:p>
          <w:p w:rsidR="008819AE" w:rsidRPr="00F655E0" w:rsidRDefault="008819AE" w:rsidP="00476EF8">
            <w:pPr>
              <w:spacing w:after="0"/>
              <w:rPr>
                <w:rFonts w:cs="Arial"/>
                <w:sz w:val="18"/>
                <w:szCs w:val="18"/>
              </w:rPr>
            </w:pPr>
            <w:r w:rsidRPr="00F655E0">
              <w:rPr>
                <w:rFonts w:cs="Arial"/>
                <w:sz w:val="18"/>
                <w:szCs w:val="18"/>
              </w:rPr>
              <w:t>Líder de SIM y demás profesionales que consideren pertinente.</w:t>
            </w:r>
          </w:p>
        </w:tc>
      </w:tr>
      <w:tr w:rsidR="008819AE" w:rsidRPr="00F655E0" w:rsidTr="00F655E0">
        <w:trPr>
          <w:trHeight w:val="291"/>
        </w:trPr>
        <w:tc>
          <w:tcPr>
            <w:tcW w:w="687" w:type="pct"/>
            <w:vAlign w:val="center"/>
            <w:hideMark/>
          </w:tcPr>
          <w:p w:rsidR="008819AE" w:rsidRPr="00F655E0" w:rsidRDefault="008819AE" w:rsidP="00476EF8">
            <w:pPr>
              <w:spacing w:after="0"/>
              <w:rPr>
                <w:rFonts w:cs="Arial"/>
                <w:sz w:val="18"/>
                <w:szCs w:val="18"/>
              </w:rPr>
            </w:pPr>
            <w:r w:rsidRPr="00F655E0">
              <w:rPr>
                <w:rFonts w:cs="Arial"/>
                <w:sz w:val="18"/>
                <w:szCs w:val="18"/>
              </w:rPr>
              <w:t>ICBF Regional Arauca</w:t>
            </w:r>
          </w:p>
        </w:tc>
        <w:tc>
          <w:tcPr>
            <w:tcW w:w="2012" w:type="pct"/>
            <w:vAlign w:val="center"/>
            <w:hideMark/>
          </w:tcPr>
          <w:p w:rsidR="008819AE" w:rsidRPr="00F655E0" w:rsidRDefault="008819AE" w:rsidP="00476EF8">
            <w:pPr>
              <w:spacing w:after="0"/>
              <w:rPr>
                <w:rFonts w:cs="Arial"/>
                <w:sz w:val="18"/>
                <w:szCs w:val="18"/>
              </w:rPr>
            </w:pPr>
            <w:r w:rsidRPr="00F655E0">
              <w:rPr>
                <w:rFonts w:cs="Arial"/>
                <w:sz w:val="18"/>
                <w:szCs w:val="18"/>
              </w:rPr>
              <w:t>Seguimiento Trámite para el restablecimiento de Derechos de niños, niñas y adolescentes indígenas-PRD 720, certificado de pertenencia étnica, consulta previa</w:t>
            </w:r>
          </w:p>
        </w:tc>
        <w:tc>
          <w:tcPr>
            <w:tcW w:w="583" w:type="pct"/>
            <w:vAlign w:val="center"/>
            <w:hideMark/>
          </w:tcPr>
          <w:p w:rsidR="008819AE" w:rsidRPr="00F655E0" w:rsidRDefault="008819AE" w:rsidP="00476EF8">
            <w:pPr>
              <w:spacing w:after="0"/>
              <w:rPr>
                <w:rFonts w:cs="Arial"/>
                <w:sz w:val="18"/>
                <w:szCs w:val="18"/>
              </w:rPr>
            </w:pPr>
            <w:r w:rsidRPr="00F655E0">
              <w:rPr>
                <w:rFonts w:cs="Arial"/>
                <w:sz w:val="18"/>
                <w:szCs w:val="18"/>
              </w:rPr>
              <w:t>27/10/2017</w:t>
            </w:r>
          </w:p>
        </w:tc>
        <w:tc>
          <w:tcPr>
            <w:tcW w:w="1718" w:type="pct"/>
            <w:hideMark/>
          </w:tcPr>
          <w:p w:rsidR="008819AE" w:rsidRPr="00F655E0" w:rsidRDefault="008819AE" w:rsidP="00476EF8">
            <w:pPr>
              <w:spacing w:after="0"/>
              <w:rPr>
                <w:rFonts w:cs="Arial"/>
                <w:sz w:val="18"/>
                <w:szCs w:val="18"/>
              </w:rPr>
            </w:pPr>
            <w:r w:rsidRPr="00F655E0">
              <w:rPr>
                <w:rFonts w:cs="Arial"/>
                <w:sz w:val="18"/>
                <w:szCs w:val="18"/>
              </w:rPr>
              <w:t xml:space="preserve">Defensores de Familia, Encargado del SIM en la Regional y Coordinadora del Grupo de Asistencia Técnica y Defensor de Familia de la Regional.          </w:t>
            </w:r>
          </w:p>
        </w:tc>
      </w:tr>
      <w:tr w:rsidR="008819AE" w:rsidRPr="00F655E0" w:rsidTr="00F655E0">
        <w:trPr>
          <w:trHeight w:val="291"/>
        </w:trPr>
        <w:tc>
          <w:tcPr>
            <w:tcW w:w="687" w:type="pct"/>
            <w:vAlign w:val="center"/>
            <w:hideMark/>
          </w:tcPr>
          <w:p w:rsidR="008819AE" w:rsidRPr="00F655E0" w:rsidRDefault="008819AE" w:rsidP="00476EF8">
            <w:pPr>
              <w:spacing w:after="0"/>
              <w:rPr>
                <w:rFonts w:cs="Arial"/>
                <w:sz w:val="18"/>
                <w:szCs w:val="18"/>
              </w:rPr>
            </w:pPr>
            <w:r w:rsidRPr="00F655E0">
              <w:rPr>
                <w:rFonts w:cs="Arial"/>
                <w:sz w:val="18"/>
                <w:szCs w:val="18"/>
              </w:rPr>
              <w:t xml:space="preserve">ICBF </w:t>
            </w:r>
          </w:p>
          <w:p w:rsidR="008819AE" w:rsidRPr="00F655E0" w:rsidRDefault="008819AE" w:rsidP="00476EF8">
            <w:pPr>
              <w:spacing w:after="0"/>
              <w:rPr>
                <w:rFonts w:cs="Arial"/>
                <w:sz w:val="18"/>
                <w:szCs w:val="18"/>
              </w:rPr>
            </w:pPr>
            <w:r w:rsidRPr="00F655E0">
              <w:rPr>
                <w:rFonts w:cs="Arial"/>
                <w:sz w:val="18"/>
                <w:szCs w:val="18"/>
              </w:rPr>
              <w:t>Regional Vaupés</w:t>
            </w:r>
          </w:p>
        </w:tc>
        <w:tc>
          <w:tcPr>
            <w:tcW w:w="2012" w:type="pct"/>
            <w:vAlign w:val="center"/>
            <w:hideMark/>
          </w:tcPr>
          <w:p w:rsidR="008819AE" w:rsidRPr="00F655E0" w:rsidRDefault="008819AE" w:rsidP="00476EF8">
            <w:pPr>
              <w:spacing w:after="0"/>
              <w:rPr>
                <w:rFonts w:cs="Arial"/>
                <w:sz w:val="18"/>
                <w:szCs w:val="18"/>
              </w:rPr>
            </w:pPr>
            <w:r w:rsidRPr="00F655E0">
              <w:rPr>
                <w:rFonts w:cs="Arial"/>
                <w:sz w:val="18"/>
                <w:szCs w:val="18"/>
              </w:rPr>
              <w:t>Seguimiento Trámite para el restablecimiento de Derechos de niños, niñas y adolescentes indígenas-PRD 720, certificado de pertenencia étnica, consulta previa</w:t>
            </w:r>
          </w:p>
        </w:tc>
        <w:tc>
          <w:tcPr>
            <w:tcW w:w="583" w:type="pct"/>
            <w:vAlign w:val="center"/>
            <w:hideMark/>
          </w:tcPr>
          <w:p w:rsidR="008819AE" w:rsidRPr="00F655E0" w:rsidRDefault="008819AE" w:rsidP="00476EF8">
            <w:pPr>
              <w:spacing w:after="0"/>
              <w:rPr>
                <w:rFonts w:cs="Arial"/>
                <w:sz w:val="18"/>
                <w:szCs w:val="18"/>
              </w:rPr>
            </w:pPr>
            <w:r w:rsidRPr="00F655E0">
              <w:rPr>
                <w:rFonts w:cs="Arial"/>
                <w:sz w:val="18"/>
                <w:szCs w:val="18"/>
              </w:rPr>
              <w:t>25/04/2017</w:t>
            </w:r>
          </w:p>
        </w:tc>
        <w:tc>
          <w:tcPr>
            <w:tcW w:w="1718" w:type="pct"/>
            <w:hideMark/>
          </w:tcPr>
          <w:p w:rsidR="008819AE" w:rsidRPr="00F655E0" w:rsidRDefault="008819AE" w:rsidP="00476EF8">
            <w:pPr>
              <w:spacing w:after="0"/>
              <w:rPr>
                <w:rFonts w:cs="Arial"/>
                <w:sz w:val="18"/>
                <w:szCs w:val="18"/>
              </w:rPr>
            </w:pPr>
            <w:r w:rsidRPr="00F655E0">
              <w:rPr>
                <w:rFonts w:cs="Arial"/>
                <w:sz w:val="18"/>
                <w:szCs w:val="18"/>
              </w:rPr>
              <w:t>Defensores de Familia, Encargado del SIM en la Regional y Coordinadora del Grupo de Asistencia Técnica y Defensor de Familia de la Regional</w:t>
            </w:r>
          </w:p>
        </w:tc>
      </w:tr>
      <w:tr w:rsidR="008819AE" w:rsidRPr="00F655E0" w:rsidTr="00F655E0">
        <w:trPr>
          <w:trHeight w:val="291"/>
        </w:trPr>
        <w:tc>
          <w:tcPr>
            <w:tcW w:w="687" w:type="pct"/>
            <w:vAlign w:val="center"/>
            <w:hideMark/>
          </w:tcPr>
          <w:p w:rsidR="008819AE" w:rsidRPr="00F655E0" w:rsidRDefault="008819AE" w:rsidP="00476EF8">
            <w:pPr>
              <w:spacing w:after="0"/>
              <w:rPr>
                <w:rFonts w:cs="Arial"/>
                <w:sz w:val="18"/>
                <w:szCs w:val="18"/>
              </w:rPr>
            </w:pPr>
            <w:r w:rsidRPr="00F655E0">
              <w:rPr>
                <w:rFonts w:cs="Arial"/>
                <w:sz w:val="18"/>
                <w:szCs w:val="18"/>
              </w:rPr>
              <w:lastRenderedPageBreak/>
              <w:t>ICBF Regional Casanare</w:t>
            </w:r>
          </w:p>
        </w:tc>
        <w:tc>
          <w:tcPr>
            <w:tcW w:w="2012" w:type="pct"/>
            <w:vAlign w:val="center"/>
            <w:hideMark/>
          </w:tcPr>
          <w:p w:rsidR="008819AE" w:rsidRPr="00F655E0" w:rsidRDefault="008819AE" w:rsidP="00476EF8">
            <w:pPr>
              <w:spacing w:after="0"/>
              <w:rPr>
                <w:rFonts w:cs="Arial"/>
                <w:sz w:val="18"/>
                <w:szCs w:val="18"/>
              </w:rPr>
            </w:pPr>
            <w:r w:rsidRPr="00F655E0">
              <w:rPr>
                <w:rFonts w:cs="Arial"/>
                <w:sz w:val="18"/>
                <w:szCs w:val="18"/>
              </w:rPr>
              <w:t>Seguimiento Trámite para el restablecimiento de Derechos de niños, niñas y adolescentes indígenas-PRD 720, certificado de pertenencia étnica, consulta previa, violencia sexual</w:t>
            </w:r>
          </w:p>
        </w:tc>
        <w:tc>
          <w:tcPr>
            <w:tcW w:w="583" w:type="pct"/>
            <w:vAlign w:val="center"/>
            <w:hideMark/>
          </w:tcPr>
          <w:p w:rsidR="008819AE" w:rsidRPr="00F655E0" w:rsidRDefault="008819AE" w:rsidP="00476EF8">
            <w:pPr>
              <w:spacing w:after="0"/>
              <w:rPr>
                <w:rFonts w:cs="Arial"/>
                <w:sz w:val="18"/>
                <w:szCs w:val="18"/>
              </w:rPr>
            </w:pPr>
            <w:r w:rsidRPr="00F655E0">
              <w:rPr>
                <w:rFonts w:cs="Arial"/>
                <w:sz w:val="18"/>
                <w:szCs w:val="18"/>
              </w:rPr>
              <w:t>25/10/2017</w:t>
            </w:r>
          </w:p>
        </w:tc>
        <w:tc>
          <w:tcPr>
            <w:tcW w:w="1718" w:type="pct"/>
            <w:hideMark/>
          </w:tcPr>
          <w:p w:rsidR="008819AE" w:rsidRPr="00F655E0" w:rsidRDefault="008819AE" w:rsidP="00476EF8">
            <w:pPr>
              <w:spacing w:after="0"/>
              <w:rPr>
                <w:rFonts w:cs="Arial"/>
                <w:sz w:val="18"/>
                <w:szCs w:val="18"/>
              </w:rPr>
            </w:pPr>
            <w:r w:rsidRPr="00F655E0">
              <w:rPr>
                <w:rFonts w:cs="Arial"/>
                <w:sz w:val="18"/>
                <w:szCs w:val="18"/>
              </w:rPr>
              <w:t>Defensores de Familia, Coordinadora del Centro Zonal Paz de Ariporo, equipos técnicos</w:t>
            </w:r>
          </w:p>
        </w:tc>
      </w:tr>
    </w:tbl>
    <w:p w:rsidR="00F655E0" w:rsidRDefault="00F655E0" w:rsidP="001C39BB">
      <w:pPr>
        <w:spacing w:after="0"/>
        <w:jc w:val="both"/>
        <w:rPr>
          <w:rFonts w:cs="Arial"/>
        </w:rPr>
      </w:pPr>
    </w:p>
    <w:p w:rsidR="008819AE" w:rsidRDefault="008819AE" w:rsidP="00F655E0">
      <w:pPr>
        <w:spacing w:after="0"/>
        <w:jc w:val="both"/>
        <w:rPr>
          <w:rFonts w:cs="Arial"/>
        </w:rPr>
      </w:pPr>
      <w:r w:rsidRPr="007608C2">
        <w:rPr>
          <w:rFonts w:cs="Arial"/>
        </w:rPr>
        <w:t>De acuerdo con lo estipulado en el Plan Indicativo PA-37 Porcentaje de Autoridades Administrativas, Equipos Técnicos, capacitados en la Ruta de Restablecimiento de Derechos con Enfoque Diferencial Étnico, en el año 2017, se priorizaron siete (7) Regionales para brindar asistencia técnica sobre el marco normativo y jurídico de los pueblos indígenas y su articulación con la Ruta PARD indígena.</w:t>
      </w:r>
    </w:p>
    <w:p w:rsidR="00F655E0" w:rsidRPr="007608C2" w:rsidRDefault="00F655E0" w:rsidP="00F655E0">
      <w:pPr>
        <w:spacing w:after="0"/>
        <w:jc w:val="both"/>
        <w:rPr>
          <w:rFonts w:cs="Arial"/>
        </w:rPr>
      </w:pP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2352"/>
        <w:gridCol w:w="1031"/>
        <w:gridCol w:w="1651"/>
      </w:tblGrid>
      <w:tr w:rsidR="008819AE" w:rsidRPr="00F655E0" w:rsidTr="00F655E0">
        <w:trPr>
          <w:cantSplit/>
          <w:trHeight w:val="373"/>
          <w:tblHeader/>
          <w:jc w:val="center"/>
        </w:trPr>
        <w:tc>
          <w:tcPr>
            <w:tcW w:w="0" w:type="auto"/>
            <w:shd w:val="clear" w:color="auto" w:fill="76922E"/>
            <w:vAlign w:val="center"/>
            <w:hideMark/>
          </w:tcPr>
          <w:p w:rsidR="008819AE" w:rsidRPr="00F655E0" w:rsidRDefault="008819AE" w:rsidP="00476EF8">
            <w:pPr>
              <w:spacing w:after="0"/>
              <w:jc w:val="center"/>
              <w:rPr>
                <w:rFonts w:cs="Arial"/>
                <w:b/>
                <w:color w:val="FFFFFF" w:themeColor="background1"/>
                <w:sz w:val="18"/>
                <w:szCs w:val="18"/>
              </w:rPr>
            </w:pPr>
            <w:bookmarkStart w:id="97" w:name="_Hlk498436655"/>
            <w:r w:rsidRPr="00F655E0">
              <w:rPr>
                <w:rFonts w:cs="Arial"/>
                <w:b/>
                <w:color w:val="FFFFFF" w:themeColor="background1"/>
                <w:sz w:val="18"/>
                <w:szCs w:val="18"/>
              </w:rPr>
              <w:t>Regional</w:t>
            </w:r>
          </w:p>
        </w:tc>
        <w:tc>
          <w:tcPr>
            <w:tcW w:w="0" w:type="auto"/>
            <w:shd w:val="clear" w:color="auto" w:fill="76922E"/>
            <w:vAlign w:val="center"/>
            <w:hideMark/>
          </w:tcPr>
          <w:p w:rsidR="008819AE" w:rsidRPr="00F655E0" w:rsidRDefault="008819AE" w:rsidP="00476EF8">
            <w:pPr>
              <w:spacing w:after="0"/>
              <w:jc w:val="center"/>
              <w:rPr>
                <w:rFonts w:cs="Arial"/>
                <w:b/>
                <w:color w:val="FFFFFF" w:themeColor="background1"/>
                <w:sz w:val="18"/>
                <w:szCs w:val="18"/>
              </w:rPr>
            </w:pPr>
            <w:r w:rsidRPr="00F655E0">
              <w:rPr>
                <w:rFonts w:cs="Arial"/>
                <w:b/>
                <w:color w:val="FFFFFF" w:themeColor="background1"/>
                <w:sz w:val="18"/>
                <w:szCs w:val="18"/>
              </w:rPr>
              <w:t>Fecha</w:t>
            </w:r>
          </w:p>
        </w:tc>
        <w:tc>
          <w:tcPr>
            <w:tcW w:w="0" w:type="auto"/>
            <w:shd w:val="clear" w:color="auto" w:fill="76922E"/>
            <w:vAlign w:val="center"/>
            <w:hideMark/>
          </w:tcPr>
          <w:p w:rsidR="008819AE" w:rsidRPr="00F655E0" w:rsidRDefault="008819AE" w:rsidP="00476EF8">
            <w:pPr>
              <w:spacing w:after="0"/>
              <w:jc w:val="center"/>
              <w:rPr>
                <w:rFonts w:cs="Arial"/>
                <w:b/>
                <w:color w:val="FFFFFF" w:themeColor="background1"/>
                <w:sz w:val="18"/>
                <w:szCs w:val="18"/>
              </w:rPr>
            </w:pPr>
            <w:r w:rsidRPr="00F655E0">
              <w:rPr>
                <w:rFonts w:cs="Arial"/>
                <w:b/>
                <w:color w:val="FFFFFF" w:themeColor="background1"/>
                <w:sz w:val="18"/>
                <w:szCs w:val="18"/>
              </w:rPr>
              <w:t>No. de Asistentes</w:t>
            </w:r>
          </w:p>
        </w:tc>
      </w:tr>
      <w:tr w:rsidR="008819AE" w:rsidRPr="00F655E0" w:rsidTr="00F655E0">
        <w:trPr>
          <w:trHeight w:val="291"/>
          <w:jc w:val="center"/>
        </w:trPr>
        <w:tc>
          <w:tcPr>
            <w:tcW w:w="0" w:type="auto"/>
            <w:hideMark/>
          </w:tcPr>
          <w:p w:rsidR="008819AE" w:rsidRPr="00F655E0" w:rsidRDefault="008819AE" w:rsidP="00476EF8">
            <w:pPr>
              <w:spacing w:after="0"/>
              <w:rPr>
                <w:rFonts w:cs="Arial"/>
                <w:sz w:val="18"/>
                <w:szCs w:val="18"/>
              </w:rPr>
            </w:pPr>
            <w:r w:rsidRPr="00F655E0">
              <w:rPr>
                <w:rFonts w:cs="Arial"/>
                <w:sz w:val="18"/>
                <w:szCs w:val="18"/>
              </w:rPr>
              <w:t>4 y 5 de abril</w:t>
            </w:r>
          </w:p>
        </w:tc>
        <w:tc>
          <w:tcPr>
            <w:tcW w:w="0" w:type="auto"/>
            <w:hideMark/>
          </w:tcPr>
          <w:p w:rsidR="008819AE" w:rsidRPr="00F655E0" w:rsidRDefault="008819AE" w:rsidP="00476EF8">
            <w:pPr>
              <w:spacing w:after="0"/>
              <w:rPr>
                <w:rFonts w:cs="Arial"/>
                <w:sz w:val="18"/>
                <w:szCs w:val="18"/>
              </w:rPr>
            </w:pPr>
            <w:r w:rsidRPr="00F655E0">
              <w:rPr>
                <w:rFonts w:cs="Arial"/>
                <w:sz w:val="18"/>
                <w:szCs w:val="18"/>
              </w:rPr>
              <w:t>Cauca</w:t>
            </w:r>
          </w:p>
        </w:tc>
        <w:tc>
          <w:tcPr>
            <w:tcW w:w="0" w:type="auto"/>
            <w:vAlign w:val="center"/>
            <w:hideMark/>
          </w:tcPr>
          <w:p w:rsidR="008819AE" w:rsidRPr="00F655E0" w:rsidRDefault="008819AE" w:rsidP="00476EF8">
            <w:pPr>
              <w:spacing w:after="0"/>
              <w:jc w:val="center"/>
              <w:rPr>
                <w:rFonts w:cs="Arial"/>
                <w:sz w:val="18"/>
                <w:szCs w:val="18"/>
              </w:rPr>
            </w:pPr>
            <w:r w:rsidRPr="00F655E0">
              <w:rPr>
                <w:rFonts w:cs="Arial"/>
                <w:sz w:val="18"/>
                <w:szCs w:val="18"/>
              </w:rPr>
              <w:t>70</w:t>
            </w:r>
          </w:p>
        </w:tc>
      </w:tr>
      <w:tr w:rsidR="008819AE" w:rsidRPr="00F655E0" w:rsidTr="00F655E0">
        <w:trPr>
          <w:trHeight w:val="291"/>
          <w:jc w:val="center"/>
        </w:trPr>
        <w:tc>
          <w:tcPr>
            <w:tcW w:w="0" w:type="auto"/>
            <w:hideMark/>
          </w:tcPr>
          <w:p w:rsidR="008819AE" w:rsidRPr="00F655E0" w:rsidRDefault="008819AE" w:rsidP="00476EF8">
            <w:pPr>
              <w:spacing w:after="0"/>
              <w:rPr>
                <w:rFonts w:cs="Arial"/>
                <w:sz w:val="18"/>
                <w:szCs w:val="18"/>
              </w:rPr>
            </w:pPr>
            <w:r w:rsidRPr="00F655E0">
              <w:rPr>
                <w:rFonts w:cs="Arial"/>
                <w:sz w:val="18"/>
                <w:szCs w:val="18"/>
              </w:rPr>
              <w:t>28 de abril</w:t>
            </w:r>
          </w:p>
        </w:tc>
        <w:tc>
          <w:tcPr>
            <w:tcW w:w="0" w:type="auto"/>
            <w:hideMark/>
          </w:tcPr>
          <w:p w:rsidR="008819AE" w:rsidRPr="00F655E0" w:rsidRDefault="008819AE" w:rsidP="00476EF8">
            <w:pPr>
              <w:spacing w:after="0"/>
              <w:rPr>
                <w:rFonts w:cs="Arial"/>
                <w:sz w:val="18"/>
                <w:szCs w:val="18"/>
              </w:rPr>
            </w:pPr>
            <w:r w:rsidRPr="00F655E0">
              <w:rPr>
                <w:rFonts w:cs="Arial"/>
                <w:sz w:val="18"/>
                <w:szCs w:val="18"/>
              </w:rPr>
              <w:t>Caldas</w:t>
            </w:r>
          </w:p>
        </w:tc>
        <w:tc>
          <w:tcPr>
            <w:tcW w:w="0" w:type="auto"/>
            <w:vAlign w:val="center"/>
            <w:hideMark/>
          </w:tcPr>
          <w:p w:rsidR="008819AE" w:rsidRPr="00F655E0" w:rsidRDefault="008819AE" w:rsidP="00476EF8">
            <w:pPr>
              <w:spacing w:after="0"/>
              <w:jc w:val="center"/>
              <w:rPr>
                <w:rFonts w:cs="Arial"/>
                <w:sz w:val="18"/>
                <w:szCs w:val="18"/>
              </w:rPr>
            </w:pPr>
            <w:r w:rsidRPr="00F655E0">
              <w:rPr>
                <w:rFonts w:cs="Arial"/>
                <w:sz w:val="18"/>
                <w:szCs w:val="18"/>
              </w:rPr>
              <w:t>27</w:t>
            </w:r>
          </w:p>
        </w:tc>
      </w:tr>
      <w:tr w:rsidR="008819AE" w:rsidRPr="00F655E0" w:rsidTr="00F655E0">
        <w:trPr>
          <w:trHeight w:val="291"/>
          <w:jc w:val="center"/>
        </w:trPr>
        <w:tc>
          <w:tcPr>
            <w:tcW w:w="0" w:type="auto"/>
            <w:hideMark/>
          </w:tcPr>
          <w:p w:rsidR="008819AE" w:rsidRPr="00F655E0" w:rsidRDefault="008819AE" w:rsidP="00476EF8">
            <w:pPr>
              <w:spacing w:after="0"/>
              <w:rPr>
                <w:rFonts w:cs="Arial"/>
                <w:sz w:val="18"/>
                <w:szCs w:val="18"/>
              </w:rPr>
            </w:pPr>
            <w:r w:rsidRPr="00F655E0">
              <w:rPr>
                <w:rFonts w:cs="Arial"/>
                <w:sz w:val="18"/>
                <w:szCs w:val="18"/>
              </w:rPr>
              <w:t>11 de mayo</w:t>
            </w:r>
          </w:p>
        </w:tc>
        <w:tc>
          <w:tcPr>
            <w:tcW w:w="0" w:type="auto"/>
            <w:hideMark/>
          </w:tcPr>
          <w:p w:rsidR="008819AE" w:rsidRPr="00F655E0" w:rsidRDefault="008819AE" w:rsidP="00476EF8">
            <w:pPr>
              <w:spacing w:after="0"/>
              <w:rPr>
                <w:rFonts w:cs="Arial"/>
                <w:sz w:val="18"/>
                <w:szCs w:val="18"/>
              </w:rPr>
            </w:pPr>
            <w:r w:rsidRPr="00F655E0">
              <w:rPr>
                <w:rFonts w:cs="Arial"/>
                <w:sz w:val="18"/>
                <w:szCs w:val="18"/>
              </w:rPr>
              <w:t>Cesar</w:t>
            </w:r>
          </w:p>
        </w:tc>
        <w:tc>
          <w:tcPr>
            <w:tcW w:w="0" w:type="auto"/>
            <w:vAlign w:val="center"/>
            <w:hideMark/>
          </w:tcPr>
          <w:p w:rsidR="008819AE" w:rsidRPr="00F655E0" w:rsidRDefault="008819AE" w:rsidP="00476EF8">
            <w:pPr>
              <w:spacing w:after="0"/>
              <w:jc w:val="center"/>
              <w:rPr>
                <w:rFonts w:cs="Arial"/>
                <w:sz w:val="18"/>
                <w:szCs w:val="18"/>
              </w:rPr>
            </w:pPr>
            <w:r w:rsidRPr="00F655E0">
              <w:rPr>
                <w:rFonts w:cs="Arial"/>
                <w:sz w:val="18"/>
                <w:szCs w:val="18"/>
              </w:rPr>
              <w:t>49</w:t>
            </w:r>
          </w:p>
        </w:tc>
      </w:tr>
      <w:tr w:rsidR="008819AE" w:rsidRPr="00F655E0" w:rsidTr="00F655E0">
        <w:trPr>
          <w:trHeight w:val="291"/>
          <w:jc w:val="center"/>
        </w:trPr>
        <w:tc>
          <w:tcPr>
            <w:tcW w:w="0" w:type="auto"/>
            <w:hideMark/>
          </w:tcPr>
          <w:p w:rsidR="008819AE" w:rsidRPr="00F655E0" w:rsidRDefault="008819AE" w:rsidP="00476EF8">
            <w:pPr>
              <w:spacing w:after="0"/>
              <w:rPr>
                <w:rFonts w:cs="Arial"/>
                <w:sz w:val="18"/>
                <w:szCs w:val="18"/>
              </w:rPr>
            </w:pPr>
            <w:r w:rsidRPr="00F655E0">
              <w:rPr>
                <w:rFonts w:cs="Arial"/>
                <w:sz w:val="18"/>
                <w:szCs w:val="18"/>
              </w:rPr>
              <w:t>22 y 23 de junio</w:t>
            </w:r>
          </w:p>
        </w:tc>
        <w:tc>
          <w:tcPr>
            <w:tcW w:w="0" w:type="auto"/>
            <w:hideMark/>
          </w:tcPr>
          <w:p w:rsidR="008819AE" w:rsidRPr="00F655E0" w:rsidRDefault="008819AE" w:rsidP="00476EF8">
            <w:pPr>
              <w:spacing w:after="0"/>
              <w:rPr>
                <w:rFonts w:cs="Arial"/>
                <w:sz w:val="18"/>
                <w:szCs w:val="18"/>
              </w:rPr>
            </w:pPr>
            <w:r w:rsidRPr="00F655E0">
              <w:rPr>
                <w:rFonts w:cs="Arial"/>
                <w:sz w:val="18"/>
                <w:szCs w:val="18"/>
              </w:rPr>
              <w:t>Santander</w:t>
            </w:r>
          </w:p>
        </w:tc>
        <w:tc>
          <w:tcPr>
            <w:tcW w:w="0" w:type="auto"/>
            <w:vAlign w:val="center"/>
            <w:hideMark/>
          </w:tcPr>
          <w:p w:rsidR="008819AE" w:rsidRPr="00F655E0" w:rsidRDefault="008819AE" w:rsidP="00476EF8">
            <w:pPr>
              <w:spacing w:after="0"/>
              <w:jc w:val="center"/>
              <w:rPr>
                <w:rFonts w:cs="Arial"/>
                <w:sz w:val="18"/>
                <w:szCs w:val="18"/>
              </w:rPr>
            </w:pPr>
            <w:r w:rsidRPr="00F655E0">
              <w:rPr>
                <w:rFonts w:cs="Arial"/>
                <w:sz w:val="18"/>
                <w:szCs w:val="18"/>
              </w:rPr>
              <w:t>66</w:t>
            </w:r>
          </w:p>
        </w:tc>
      </w:tr>
      <w:tr w:rsidR="008819AE" w:rsidRPr="00F655E0" w:rsidTr="00F655E0">
        <w:trPr>
          <w:trHeight w:val="291"/>
          <w:jc w:val="center"/>
        </w:trPr>
        <w:tc>
          <w:tcPr>
            <w:tcW w:w="0" w:type="auto"/>
            <w:hideMark/>
          </w:tcPr>
          <w:p w:rsidR="008819AE" w:rsidRPr="00F655E0" w:rsidRDefault="008819AE" w:rsidP="00476EF8">
            <w:pPr>
              <w:spacing w:after="0"/>
              <w:rPr>
                <w:rFonts w:cs="Arial"/>
                <w:sz w:val="18"/>
                <w:szCs w:val="18"/>
              </w:rPr>
            </w:pPr>
            <w:r w:rsidRPr="00F655E0">
              <w:rPr>
                <w:rFonts w:cs="Arial"/>
                <w:sz w:val="18"/>
                <w:szCs w:val="18"/>
              </w:rPr>
              <w:t>16 al 19 de agosto</w:t>
            </w:r>
          </w:p>
        </w:tc>
        <w:tc>
          <w:tcPr>
            <w:tcW w:w="0" w:type="auto"/>
            <w:hideMark/>
          </w:tcPr>
          <w:p w:rsidR="008819AE" w:rsidRPr="00F655E0" w:rsidRDefault="008819AE" w:rsidP="00476EF8">
            <w:pPr>
              <w:spacing w:after="0"/>
              <w:rPr>
                <w:rFonts w:cs="Arial"/>
                <w:sz w:val="18"/>
                <w:szCs w:val="18"/>
              </w:rPr>
            </w:pPr>
            <w:r w:rsidRPr="00F655E0">
              <w:rPr>
                <w:rFonts w:cs="Arial"/>
                <w:sz w:val="18"/>
                <w:szCs w:val="18"/>
              </w:rPr>
              <w:t>Guaviare</w:t>
            </w:r>
          </w:p>
        </w:tc>
        <w:tc>
          <w:tcPr>
            <w:tcW w:w="0" w:type="auto"/>
            <w:vAlign w:val="center"/>
            <w:hideMark/>
          </w:tcPr>
          <w:p w:rsidR="008819AE" w:rsidRPr="00F655E0" w:rsidRDefault="008819AE" w:rsidP="00476EF8">
            <w:pPr>
              <w:spacing w:after="0"/>
              <w:jc w:val="center"/>
              <w:rPr>
                <w:rFonts w:cs="Arial"/>
                <w:sz w:val="18"/>
                <w:szCs w:val="18"/>
              </w:rPr>
            </w:pPr>
            <w:r w:rsidRPr="00F655E0">
              <w:rPr>
                <w:rFonts w:cs="Arial"/>
                <w:sz w:val="18"/>
                <w:szCs w:val="18"/>
              </w:rPr>
              <w:t>49</w:t>
            </w:r>
          </w:p>
        </w:tc>
      </w:tr>
      <w:tr w:rsidR="008819AE" w:rsidRPr="00F655E0" w:rsidTr="00F655E0">
        <w:trPr>
          <w:trHeight w:val="291"/>
          <w:jc w:val="center"/>
        </w:trPr>
        <w:tc>
          <w:tcPr>
            <w:tcW w:w="0" w:type="auto"/>
            <w:hideMark/>
          </w:tcPr>
          <w:p w:rsidR="008819AE" w:rsidRPr="00F655E0" w:rsidRDefault="008819AE" w:rsidP="00476EF8">
            <w:pPr>
              <w:spacing w:after="0"/>
              <w:rPr>
                <w:rFonts w:cs="Arial"/>
                <w:sz w:val="18"/>
                <w:szCs w:val="18"/>
              </w:rPr>
            </w:pPr>
            <w:r w:rsidRPr="00F655E0">
              <w:rPr>
                <w:rFonts w:cs="Arial"/>
                <w:sz w:val="18"/>
                <w:szCs w:val="18"/>
              </w:rPr>
              <w:t>6 de octubre</w:t>
            </w:r>
          </w:p>
        </w:tc>
        <w:tc>
          <w:tcPr>
            <w:tcW w:w="0" w:type="auto"/>
            <w:hideMark/>
          </w:tcPr>
          <w:p w:rsidR="008819AE" w:rsidRPr="00F655E0" w:rsidRDefault="008819AE" w:rsidP="00476EF8">
            <w:pPr>
              <w:spacing w:after="0"/>
              <w:rPr>
                <w:rFonts w:cs="Arial"/>
                <w:sz w:val="18"/>
                <w:szCs w:val="18"/>
              </w:rPr>
            </w:pPr>
            <w:r w:rsidRPr="00F655E0">
              <w:rPr>
                <w:rFonts w:cs="Arial"/>
                <w:sz w:val="18"/>
                <w:szCs w:val="18"/>
              </w:rPr>
              <w:t>Quindío</w:t>
            </w:r>
          </w:p>
        </w:tc>
        <w:tc>
          <w:tcPr>
            <w:tcW w:w="0" w:type="auto"/>
            <w:vAlign w:val="center"/>
            <w:hideMark/>
          </w:tcPr>
          <w:p w:rsidR="008819AE" w:rsidRPr="00F655E0" w:rsidRDefault="008819AE" w:rsidP="00476EF8">
            <w:pPr>
              <w:spacing w:after="0"/>
              <w:jc w:val="center"/>
              <w:rPr>
                <w:rFonts w:cs="Arial"/>
                <w:sz w:val="18"/>
                <w:szCs w:val="18"/>
              </w:rPr>
            </w:pPr>
            <w:r w:rsidRPr="00F655E0">
              <w:rPr>
                <w:rFonts w:cs="Arial"/>
                <w:sz w:val="18"/>
                <w:szCs w:val="18"/>
              </w:rPr>
              <w:t>26</w:t>
            </w:r>
          </w:p>
        </w:tc>
      </w:tr>
      <w:tr w:rsidR="008819AE" w:rsidRPr="00F655E0" w:rsidTr="00F655E0">
        <w:trPr>
          <w:trHeight w:val="291"/>
          <w:jc w:val="center"/>
        </w:trPr>
        <w:tc>
          <w:tcPr>
            <w:tcW w:w="0" w:type="auto"/>
            <w:hideMark/>
          </w:tcPr>
          <w:p w:rsidR="008819AE" w:rsidRPr="00F655E0" w:rsidRDefault="008819AE" w:rsidP="00476EF8">
            <w:pPr>
              <w:spacing w:after="0"/>
              <w:rPr>
                <w:rFonts w:cs="Arial"/>
                <w:sz w:val="18"/>
                <w:szCs w:val="18"/>
              </w:rPr>
            </w:pPr>
            <w:r w:rsidRPr="00F655E0">
              <w:rPr>
                <w:rFonts w:cs="Arial"/>
                <w:sz w:val="18"/>
                <w:szCs w:val="18"/>
              </w:rPr>
              <w:t xml:space="preserve">30 noviembre y 1 diciembre </w:t>
            </w:r>
          </w:p>
        </w:tc>
        <w:tc>
          <w:tcPr>
            <w:tcW w:w="0" w:type="auto"/>
            <w:hideMark/>
          </w:tcPr>
          <w:p w:rsidR="008819AE" w:rsidRPr="00F655E0" w:rsidRDefault="008819AE" w:rsidP="00476EF8">
            <w:pPr>
              <w:spacing w:after="0"/>
              <w:rPr>
                <w:rFonts w:cs="Arial"/>
                <w:sz w:val="18"/>
                <w:szCs w:val="18"/>
              </w:rPr>
            </w:pPr>
            <w:r w:rsidRPr="00F655E0">
              <w:rPr>
                <w:rFonts w:cs="Arial"/>
                <w:sz w:val="18"/>
                <w:szCs w:val="18"/>
              </w:rPr>
              <w:t>Magdalena</w:t>
            </w:r>
          </w:p>
        </w:tc>
        <w:tc>
          <w:tcPr>
            <w:tcW w:w="0" w:type="auto"/>
            <w:vAlign w:val="center"/>
            <w:hideMark/>
          </w:tcPr>
          <w:p w:rsidR="008819AE" w:rsidRPr="00F655E0" w:rsidRDefault="008819AE" w:rsidP="00476EF8">
            <w:pPr>
              <w:spacing w:after="0"/>
              <w:jc w:val="center"/>
              <w:rPr>
                <w:rFonts w:cs="Arial"/>
                <w:sz w:val="18"/>
                <w:szCs w:val="18"/>
              </w:rPr>
            </w:pPr>
            <w:r w:rsidRPr="00F655E0">
              <w:rPr>
                <w:rFonts w:cs="Arial"/>
                <w:sz w:val="18"/>
                <w:szCs w:val="18"/>
              </w:rPr>
              <w:t>66</w:t>
            </w:r>
          </w:p>
        </w:tc>
      </w:tr>
    </w:tbl>
    <w:bookmarkEnd w:id="97"/>
    <w:p w:rsidR="008819AE" w:rsidRPr="007608C2" w:rsidRDefault="008819AE" w:rsidP="008819AE">
      <w:pPr>
        <w:spacing w:before="240"/>
        <w:jc w:val="both"/>
        <w:rPr>
          <w:rFonts w:cs="Arial"/>
        </w:rPr>
      </w:pPr>
      <w:r w:rsidRPr="007608C2">
        <w:rPr>
          <w:rFonts w:cs="Arial"/>
        </w:rPr>
        <w:t>De igual forma, con la Coordinación de Administrativas se realizó encuentro en el ICBF Regional Meta el día 6 de marzo de 2017 para realizar seguimiento al trámite para el restablecimiento de derechos de los niños, niñas y adolescentes indígenas bajo protección de las Regionales Meta y Bogotá, procedentes de los departamentos de Guainía, Vichada y Guaviare. Participó la Defensora de Familia y Trabajadora Social del ICBF Regional Guainía, 29 Defensores de Familia de ICBF Regional Meta, un Defensor de Familia del ICBF Regional Guaviare y una profesional Especializado del ICBF Regional Vichada.</w:t>
      </w:r>
    </w:p>
    <w:p w:rsidR="008819AE" w:rsidRPr="007608C2" w:rsidRDefault="008819AE" w:rsidP="008819AE">
      <w:pPr>
        <w:jc w:val="both"/>
        <w:rPr>
          <w:rFonts w:cs="Arial"/>
          <w:b/>
        </w:rPr>
      </w:pPr>
      <w:r w:rsidRPr="007608C2">
        <w:rPr>
          <w:rFonts w:cs="Arial"/>
          <w:b/>
        </w:rPr>
        <w:t>Inducción Defensores de Familia y asistencia técnica Comisarios de Familia</w:t>
      </w:r>
    </w:p>
    <w:p w:rsidR="008819AE" w:rsidRPr="007608C2" w:rsidRDefault="008819AE" w:rsidP="008819AE">
      <w:pPr>
        <w:jc w:val="both"/>
        <w:rPr>
          <w:rFonts w:cs="Arial"/>
        </w:rPr>
      </w:pPr>
      <w:r w:rsidRPr="007608C2">
        <w:rPr>
          <w:rFonts w:cs="Arial"/>
        </w:rPr>
        <w:t xml:space="preserve"> En el marco de los encuentros realizados por la Coordinación de Autoridades Administrativas se participó de los dos (2) escenarios de asistencia técnicas con el objetivo de socializar el ‘Trámite Administrativo para el Restablecimiento de Derechos de Niños, niñas y adolescentes pertenecientes a comunidades indígenas’ y los argumentos jurídicos para el proceso de articulación con las respectivas Autoridades Tradicionales Indígenas.</w:t>
      </w:r>
    </w:p>
    <w:p w:rsidR="008819AE" w:rsidRPr="00F655E0" w:rsidRDefault="008819AE" w:rsidP="008819AE">
      <w:pPr>
        <w:pStyle w:val="Prrafodelista"/>
        <w:jc w:val="center"/>
        <w:rPr>
          <w:rFonts w:cs="Arial"/>
          <w:b/>
        </w:rPr>
      </w:pPr>
      <w:bookmarkStart w:id="98" w:name="_Hlk504633678"/>
      <w:r w:rsidRPr="00F655E0">
        <w:rPr>
          <w:rFonts w:cs="Arial"/>
          <w:b/>
          <w:noProof/>
          <w:lang w:val="es-CO" w:eastAsia="es-CO"/>
        </w:rPr>
        <w:lastRenderedPageBreak/>
        <w:drawing>
          <wp:anchor distT="0" distB="0" distL="114300" distR="114300" simplePos="0" relativeHeight="251821568" behindDoc="0" locked="0" layoutInCell="1" allowOverlap="1" wp14:anchorId="41337546" wp14:editId="6E26C935">
            <wp:simplePos x="0" y="0"/>
            <wp:positionH relativeFrom="page">
              <wp:align>center</wp:align>
            </wp:positionH>
            <wp:positionV relativeFrom="paragraph">
              <wp:posOffset>398145</wp:posOffset>
            </wp:positionV>
            <wp:extent cx="5355590" cy="3068955"/>
            <wp:effectExtent l="0" t="0" r="0" b="0"/>
            <wp:wrapThrough wrapText="bothSides">
              <wp:wrapPolygon edited="0">
                <wp:start x="1152" y="670"/>
                <wp:lineTo x="307" y="3084"/>
                <wp:lineTo x="999" y="5229"/>
                <wp:lineTo x="1229" y="7508"/>
                <wp:lineTo x="1690" y="9520"/>
                <wp:lineTo x="999" y="11665"/>
                <wp:lineTo x="999" y="12737"/>
                <wp:lineTo x="1460" y="13810"/>
                <wp:lineTo x="1921" y="13810"/>
                <wp:lineTo x="5071" y="15955"/>
                <wp:lineTo x="6915" y="18369"/>
                <wp:lineTo x="13676" y="20246"/>
                <wp:lineTo x="14521" y="20648"/>
                <wp:lineTo x="17134" y="20648"/>
                <wp:lineTo x="18055" y="18101"/>
                <wp:lineTo x="20284" y="18101"/>
                <wp:lineTo x="21359" y="17430"/>
                <wp:lineTo x="21436" y="15955"/>
                <wp:lineTo x="20898" y="13542"/>
                <wp:lineTo x="16288" y="11665"/>
                <wp:lineTo x="18747" y="11665"/>
                <wp:lineTo x="20821" y="10726"/>
                <wp:lineTo x="20745" y="9520"/>
                <wp:lineTo x="21052" y="9385"/>
                <wp:lineTo x="20975" y="8715"/>
                <wp:lineTo x="20591" y="6972"/>
                <wp:lineTo x="18670" y="4827"/>
                <wp:lineTo x="17902" y="4291"/>
                <wp:lineTo x="15059" y="3084"/>
                <wp:lineTo x="15213" y="2413"/>
                <wp:lineTo x="13676" y="2145"/>
                <wp:lineTo x="3842" y="670"/>
                <wp:lineTo x="1152" y="67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5590" cy="3068955"/>
                    </a:xfrm>
                    <a:prstGeom prst="rect">
                      <a:avLst/>
                    </a:prstGeom>
                    <a:noFill/>
                  </pic:spPr>
                </pic:pic>
              </a:graphicData>
            </a:graphic>
            <wp14:sizeRelH relativeFrom="page">
              <wp14:pctWidth>0</wp14:pctWidth>
            </wp14:sizeRelH>
            <wp14:sizeRelV relativeFrom="page">
              <wp14:pctHeight>0</wp14:pctHeight>
            </wp14:sizeRelV>
          </wp:anchor>
        </w:drawing>
      </w:r>
      <w:r w:rsidRPr="00F655E0">
        <w:rPr>
          <w:rFonts w:cs="Arial"/>
          <w:b/>
        </w:rPr>
        <w:t xml:space="preserve">Trámite Administrativo para el Restablecimiento de Derechos de Niños, niñas y adolescentes pertenecientes a comunidades indígenas </w:t>
      </w:r>
      <w:bookmarkEnd w:id="98"/>
    </w:p>
    <w:p w:rsidR="008819AE" w:rsidRPr="007608C2" w:rsidRDefault="008819AE" w:rsidP="008819AE">
      <w:pPr>
        <w:rPr>
          <w:rFonts w:cs="Arial"/>
        </w:rPr>
      </w:pPr>
    </w:p>
    <w:p w:rsidR="008819AE" w:rsidRPr="007608C2" w:rsidRDefault="008819AE" w:rsidP="008819AE">
      <w:pPr>
        <w:rPr>
          <w:rFonts w:cs="Arial"/>
        </w:rPr>
      </w:pPr>
    </w:p>
    <w:p w:rsidR="008819AE" w:rsidRPr="007608C2" w:rsidRDefault="008819AE" w:rsidP="008819AE">
      <w:pPr>
        <w:rPr>
          <w:rFonts w:cs="Arial"/>
        </w:rPr>
      </w:pPr>
    </w:p>
    <w:p w:rsidR="008819AE" w:rsidRPr="007608C2" w:rsidRDefault="008819AE" w:rsidP="008819AE">
      <w:pPr>
        <w:rPr>
          <w:rFonts w:cs="Arial"/>
        </w:rPr>
      </w:pPr>
    </w:p>
    <w:p w:rsidR="008819AE" w:rsidRPr="007608C2" w:rsidRDefault="008819AE" w:rsidP="008819AE">
      <w:pPr>
        <w:rPr>
          <w:rFonts w:cs="Arial"/>
        </w:rPr>
      </w:pPr>
    </w:p>
    <w:p w:rsidR="008819AE" w:rsidRPr="007608C2" w:rsidRDefault="008819AE" w:rsidP="008819AE">
      <w:pPr>
        <w:rPr>
          <w:rFonts w:cs="Arial"/>
        </w:rPr>
      </w:pPr>
    </w:p>
    <w:p w:rsidR="008819AE" w:rsidRPr="007608C2" w:rsidRDefault="008819AE" w:rsidP="008819AE">
      <w:pPr>
        <w:rPr>
          <w:rFonts w:cs="Arial"/>
        </w:rPr>
      </w:pPr>
    </w:p>
    <w:p w:rsidR="008819AE" w:rsidRPr="007608C2" w:rsidRDefault="008819AE" w:rsidP="008819AE">
      <w:pPr>
        <w:rPr>
          <w:rFonts w:cs="Arial"/>
        </w:rPr>
      </w:pPr>
    </w:p>
    <w:p w:rsidR="008819AE" w:rsidRPr="007608C2" w:rsidRDefault="008819AE" w:rsidP="008819AE">
      <w:pPr>
        <w:rPr>
          <w:rFonts w:cs="Arial"/>
        </w:rPr>
      </w:pPr>
    </w:p>
    <w:p w:rsidR="008819AE" w:rsidRPr="007608C2" w:rsidRDefault="008819AE" w:rsidP="008819AE">
      <w:pPr>
        <w:rPr>
          <w:rFonts w:cs="Arial"/>
        </w:rPr>
      </w:pPr>
      <w:r w:rsidRPr="007608C2">
        <w:rPr>
          <w:rFonts w:cs="Arial"/>
          <w:sz w:val="16"/>
        </w:rPr>
        <w:t>Fuente: Dirección de Protección – Instituto Colombiano de Bienestar Familiar ICBF</w:t>
      </w:r>
    </w:p>
    <w:p w:rsidR="008819AE" w:rsidRPr="007608C2" w:rsidRDefault="008819AE" w:rsidP="008819AE">
      <w:pPr>
        <w:jc w:val="both"/>
        <w:rPr>
          <w:rFonts w:cs="Arial"/>
        </w:rPr>
      </w:pPr>
      <w:r w:rsidRPr="007608C2">
        <w:rPr>
          <w:rFonts w:cs="Arial"/>
        </w:rPr>
        <w:t xml:space="preserve">Se realizaron tres (3) inducciones a 91 defensores de familia, distribuidos de la siguiente manera: 39 defensores en marzo 10; 25 en abril; 27 en septiembre 29. </w:t>
      </w:r>
    </w:p>
    <w:p w:rsidR="008819AE" w:rsidRPr="007608C2" w:rsidRDefault="008819AE" w:rsidP="008819AE">
      <w:pPr>
        <w:jc w:val="both"/>
        <w:rPr>
          <w:rFonts w:cs="Arial"/>
          <w:b/>
        </w:rPr>
      </w:pPr>
      <w:r w:rsidRPr="007608C2">
        <w:rPr>
          <w:rFonts w:cs="Arial"/>
          <w:b/>
        </w:rPr>
        <w:t>Restablecimiento de derechos de niños, niñas y adolescentes pertenecientes a comunidades negras, afrocolombianas, raizales y palenqueras</w:t>
      </w:r>
    </w:p>
    <w:p w:rsidR="008819AE" w:rsidRPr="007608C2" w:rsidRDefault="008819AE" w:rsidP="00A44A2B">
      <w:pPr>
        <w:pStyle w:val="Prrafodelista"/>
        <w:numPr>
          <w:ilvl w:val="0"/>
          <w:numId w:val="132"/>
        </w:numPr>
        <w:jc w:val="both"/>
        <w:rPr>
          <w:rFonts w:cs="Arial"/>
        </w:rPr>
      </w:pPr>
      <w:r w:rsidRPr="007608C2">
        <w:rPr>
          <w:rFonts w:cs="Arial"/>
        </w:rPr>
        <w:t xml:space="preserve">Se emitió un Memorando ‘Registro en la realización del PARD con comunidades afrocolombianas, raizales y palenqueras’ (S-2017-468118-0101 del 1 de septiembre de 2017) a las 33 regionales y sus centros zonales, con el fin de realizar un análisis diferenciado de la atención que se está brindando a los niños, niñas y adolescentes pertenecientes a estas comunidades, que se encuentran en protección con el ICBF. </w:t>
      </w:r>
    </w:p>
    <w:p w:rsidR="008819AE" w:rsidRPr="007608C2" w:rsidRDefault="008819AE" w:rsidP="00A44A2B">
      <w:pPr>
        <w:pStyle w:val="Prrafodelista"/>
        <w:numPr>
          <w:ilvl w:val="0"/>
          <w:numId w:val="132"/>
        </w:numPr>
        <w:jc w:val="both"/>
        <w:rPr>
          <w:rFonts w:cs="Arial"/>
        </w:rPr>
      </w:pPr>
      <w:r w:rsidRPr="007608C2">
        <w:rPr>
          <w:rFonts w:cs="Arial"/>
        </w:rPr>
        <w:t xml:space="preserve">Actualmente se encuentra en proceso de consolidación los diagnósticos remitidos por las regionales sobre el proceso de atención de la población Afrocolombianas, Raizales y Palenqueras y así articular iniciativas y acciones para la atención diferencial étnica y de esta manera llegar a la elaboración de un ‘ABC’ que brinde orientaciones técnicas para la atención a los niños, niñas y adolescentes que pertenecen a estas comunidades. </w:t>
      </w:r>
    </w:p>
    <w:p w:rsidR="008819AE" w:rsidRPr="007608C2" w:rsidRDefault="008819AE" w:rsidP="008819AE">
      <w:pPr>
        <w:jc w:val="both"/>
        <w:rPr>
          <w:rFonts w:cs="Arial"/>
          <w:b/>
        </w:rPr>
      </w:pPr>
      <w:r w:rsidRPr="007608C2">
        <w:rPr>
          <w:rFonts w:cs="Arial"/>
          <w:b/>
        </w:rPr>
        <w:t>Restablecimiento de derechos de adolescentes y mujeres mayores de 18 años, gestantes o en periodo de lactancia</w:t>
      </w:r>
    </w:p>
    <w:p w:rsidR="008819AE" w:rsidRDefault="008819AE" w:rsidP="00A44A2B">
      <w:pPr>
        <w:pStyle w:val="Prrafodelista"/>
        <w:numPr>
          <w:ilvl w:val="0"/>
          <w:numId w:val="118"/>
        </w:numPr>
        <w:spacing w:after="0"/>
        <w:jc w:val="both"/>
        <w:rPr>
          <w:rFonts w:cs="Arial"/>
        </w:rPr>
      </w:pPr>
      <w:r w:rsidRPr="007608C2">
        <w:rPr>
          <w:rFonts w:cs="Arial"/>
        </w:rPr>
        <w:lastRenderedPageBreak/>
        <w:t>Se aprobó y revisó 19 proyectos de atención institucional PAI, donde se brindó asistencia técnica para su elaboración, y se definieron las estrategias del proceso de atención y desarrollo de los niños niñas y adolescentes dentro del programa especializado.</w:t>
      </w:r>
    </w:p>
    <w:p w:rsidR="00F655E0" w:rsidRPr="007608C2" w:rsidRDefault="00F655E0" w:rsidP="00F655E0">
      <w:pPr>
        <w:pStyle w:val="Prrafodelista"/>
        <w:spacing w:after="0"/>
        <w:ind w:left="36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Se realizaron nueve (9) visitas a operadores que tienen el programa de atención especializada para mujeres gestantes y/o en periodo de lactancia de las Regionales de Bogotá, Antioquia Bolívar, Caldas, Boyacá, donde se verifico el componente técnico, como un requerimiento para otorgar la licencia de funcionamiento de acuerdo con lo establecido en el numeral 1 del artículo 22 de la resolución No 3899 de 2010.</w:t>
      </w:r>
    </w:p>
    <w:p w:rsidR="00F655E0" w:rsidRPr="00F655E0" w:rsidRDefault="00F655E0" w:rsidP="00F655E0">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Se realizó asistencia técnica a las Regionales ICBF Bogotá, Valle del Cauca, Barranquilla, Boyacá y Antioquia con la participación de los operadores y profesionales del grupo de asistencia técnica, frente a la implementación de los lineamientos, plan de atención institucional PAI, atención en derechos sexuales y reproductivos, prevención de embarazo subsecuente y la atención especializada para los bebes recién nacidos y los hijos e hijas de cuidado temporal.</w:t>
      </w:r>
    </w:p>
    <w:p w:rsidR="00F655E0" w:rsidRPr="00F655E0" w:rsidRDefault="00F655E0" w:rsidP="00F655E0">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Se realizó orientación y acompañamiento a cinco (5) operadores interesados en dar apertura al programa especializado para mujeres gestantes y/o en periodo de lactancia de la Regional Bogotá, Caldas y Tolima.</w:t>
      </w:r>
    </w:p>
    <w:p w:rsidR="00F655E0" w:rsidRPr="00F655E0" w:rsidRDefault="00F655E0" w:rsidP="00F655E0">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Se brindó asistencia técnica para fortalecer el proceso de atención de los operadores de la modalidad de hogares sustitutos, frente a la atención especializadas de las mujeres gestantes y/o en periodo de lactancia con sus derechos inobservados, amenazados o vulnerados que son ubicadas en esta modalidad. Esta asistencia se realizó en las tres (3) mesas Nacionales de Hogares Sustitutos, donde asistieron las Regionales ICBF de Bogotá, Caquetá, Tolima, Boyacá, Huila, Cundinamarca, Putumayo Arauca, Amazonas, Guaviare, Guainía, Santander, Meta, Casanare Vaupés, Vichada y Norte de Santander, Valle del Cauca, Cauca y Nariño y en dos (2) encuentros macro de Hogares Sustitutos; el primero se realizó en la Regional Norte de Santander, con la asistencia de Santander, Vaupés, Casanare, Meta y Amazonas y, el segundo, en Bogotá, donde asistieron las Regionales ICBF de Quindío, Tolima, Cundinamarca, Bogotá, Boyacá. Finalmente, se asistió al encuentro Nacional de Hogares Sustitutos, realizado en la ciudad de Bogotá donde participaron las 33 Regionales.</w:t>
      </w:r>
    </w:p>
    <w:p w:rsidR="00F655E0" w:rsidRPr="00F655E0" w:rsidRDefault="00F655E0" w:rsidP="00F655E0">
      <w:pPr>
        <w:spacing w:after="0"/>
        <w:jc w:val="both"/>
        <w:rPr>
          <w:rFonts w:cs="Arial"/>
        </w:rPr>
      </w:pPr>
    </w:p>
    <w:p w:rsidR="008819AE" w:rsidRPr="007608C2" w:rsidRDefault="008819AE" w:rsidP="00A44A2B">
      <w:pPr>
        <w:pStyle w:val="Prrafodelista"/>
        <w:numPr>
          <w:ilvl w:val="0"/>
          <w:numId w:val="118"/>
        </w:numPr>
        <w:spacing w:after="0"/>
        <w:jc w:val="both"/>
        <w:rPr>
          <w:rFonts w:cs="Arial"/>
        </w:rPr>
      </w:pPr>
      <w:bookmarkStart w:id="99" w:name="_Hlk504633749"/>
      <w:r w:rsidRPr="007608C2">
        <w:rPr>
          <w:rFonts w:cs="Arial"/>
        </w:rPr>
        <w:t xml:space="preserve">Se realizó asistencia técnica con respecto al cumplimiento de la cláusula contractual “Asegurar que como mínimo el 80% de los equipos interdisciplinarios de la modalidad realice el proceso de formación virtual en derechos sexuales y reproductivos, de acuerdo con las indicaciones dadas por el ICBF”, la cual se incluyó en las minutas contractuales de las modalidades de restablecimiento de derechos a nivel nacional, como resultado de la </w:t>
      </w:r>
      <w:r w:rsidRPr="007608C2">
        <w:rPr>
          <w:rFonts w:cs="Arial"/>
        </w:rPr>
        <w:lastRenderedPageBreak/>
        <w:t>articulación con la Dirección de Niñez y Adolescencia, frente al curso virtual en Derechos Sexuales y reproductivos”.</w:t>
      </w:r>
    </w:p>
    <w:p w:rsidR="008819AE" w:rsidRPr="007608C2" w:rsidRDefault="008819AE" w:rsidP="008819AE">
      <w:pPr>
        <w:spacing w:before="240"/>
        <w:jc w:val="both"/>
        <w:rPr>
          <w:rFonts w:cs="Arial"/>
          <w:b/>
        </w:rPr>
      </w:pPr>
      <w:bookmarkStart w:id="100" w:name="_Toc473581429"/>
      <w:bookmarkEnd w:id="99"/>
      <w:r w:rsidRPr="007608C2">
        <w:rPr>
          <w:rFonts w:cs="Arial"/>
          <w:b/>
        </w:rPr>
        <w:t xml:space="preserve">Trabajo Infantil </w:t>
      </w:r>
    </w:p>
    <w:p w:rsidR="008819AE" w:rsidRDefault="008819AE" w:rsidP="00A44A2B">
      <w:pPr>
        <w:pStyle w:val="Prrafodelista"/>
        <w:numPr>
          <w:ilvl w:val="0"/>
          <w:numId w:val="118"/>
        </w:numPr>
        <w:spacing w:after="0"/>
        <w:jc w:val="both"/>
        <w:rPr>
          <w:rFonts w:cs="Arial"/>
        </w:rPr>
      </w:pPr>
      <w:r w:rsidRPr="007608C2">
        <w:rPr>
          <w:rFonts w:cs="Arial"/>
        </w:rPr>
        <w:t>La actualización al lineamiento técnico para la atención de niños, niñas y adolescentes, con derechos inobservados, amenazados o vulnerados, en situación de trabajo infantil, realizada en la vigencia de 2016, permitió centrar la atención de acuerdo con lo definido en el literal d) del Convenio 182 de la OIT, adoptado por Colombia a través de la Ley 704 del 2001. Asimismo, se incluyó en el lineamiento el contexto de la problemática del trabajo infantil, actualización del marco normativo y las características y particularidades para la atención a esta población en el territorio.</w:t>
      </w:r>
    </w:p>
    <w:p w:rsidR="00F655E0" w:rsidRPr="007608C2" w:rsidRDefault="00F655E0" w:rsidP="00F655E0">
      <w:pPr>
        <w:pStyle w:val="Prrafodelista"/>
        <w:spacing w:after="0"/>
        <w:ind w:left="360"/>
        <w:jc w:val="both"/>
        <w:rPr>
          <w:rFonts w:cs="Arial"/>
        </w:rPr>
      </w:pPr>
    </w:p>
    <w:p w:rsidR="008819AE" w:rsidRPr="007608C2" w:rsidRDefault="008819AE" w:rsidP="00A44A2B">
      <w:pPr>
        <w:pStyle w:val="Prrafodelista"/>
        <w:numPr>
          <w:ilvl w:val="0"/>
          <w:numId w:val="118"/>
        </w:numPr>
        <w:spacing w:after="0"/>
        <w:jc w:val="both"/>
        <w:rPr>
          <w:rFonts w:cs="Arial"/>
        </w:rPr>
      </w:pPr>
      <w:r w:rsidRPr="007608C2">
        <w:rPr>
          <w:rFonts w:cs="Arial"/>
        </w:rPr>
        <w:t xml:space="preserve">A 31 de diciembre del 2016, se atendió en el Proceso Administrativo de Restablecimiento de Derechos – PARD, 3.792 niñas, niños y adolescentes en situación de trabajo infantil. </w:t>
      </w:r>
    </w:p>
    <w:p w:rsidR="008819AE" w:rsidRPr="007608C2" w:rsidRDefault="008819AE" w:rsidP="008819AE">
      <w:pPr>
        <w:spacing w:before="240"/>
        <w:jc w:val="both"/>
        <w:rPr>
          <w:rFonts w:cs="Arial"/>
          <w:b/>
        </w:rPr>
      </w:pPr>
      <w:r w:rsidRPr="007608C2">
        <w:rPr>
          <w:rFonts w:cs="Arial"/>
          <w:b/>
        </w:rPr>
        <w:t>Operadores de Atención Especializada</w:t>
      </w:r>
    </w:p>
    <w:p w:rsidR="008819AE" w:rsidRPr="007608C2" w:rsidRDefault="008819AE" w:rsidP="00A44A2B">
      <w:pPr>
        <w:pStyle w:val="Prrafodelista"/>
        <w:numPr>
          <w:ilvl w:val="0"/>
          <w:numId w:val="118"/>
        </w:numPr>
        <w:jc w:val="both"/>
        <w:rPr>
          <w:rFonts w:cs="Arial"/>
        </w:rPr>
      </w:pPr>
      <w:r w:rsidRPr="007608C2">
        <w:rPr>
          <w:rFonts w:cs="Arial"/>
        </w:rPr>
        <w:t>Se brindó asistencia técnica a los equipos psicosociales de los 21 operadores que implementan las modalidades de atención especializada Intervención de Apoyo – Apoyo Psicosocial y Externado, los cuales se encuentran ubicados en las Regionales de: Atlántico, Bolívar, Caldas, Cesar, Córdoba, Norte de Santander, Quindío, Tolima y Valle. Este proceso se fortaleció a partir de los resultados de las visitas de seguimiento a la implementación de los lineamientos realizada por la Dirección de Protección.</w:t>
      </w:r>
    </w:p>
    <w:bookmarkEnd w:id="100"/>
    <w:p w:rsidR="008819AE" w:rsidRPr="007608C2" w:rsidRDefault="008819AE" w:rsidP="008819AE">
      <w:pPr>
        <w:jc w:val="both"/>
        <w:rPr>
          <w:rFonts w:cs="Arial"/>
          <w:b/>
        </w:rPr>
      </w:pPr>
      <w:r w:rsidRPr="007608C2">
        <w:rPr>
          <w:rFonts w:cs="Arial"/>
          <w:b/>
        </w:rPr>
        <w:t>Equipos Móviles de Protección Integral – EMPI – Trabajo Infantil.</w:t>
      </w:r>
    </w:p>
    <w:p w:rsidR="008819AE" w:rsidRDefault="008819AE" w:rsidP="00A44A2B">
      <w:pPr>
        <w:pStyle w:val="Prrafodelista"/>
        <w:numPr>
          <w:ilvl w:val="0"/>
          <w:numId w:val="118"/>
        </w:numPr>
        <w:spacing w:after="0"/>
        <w:jc w:val="both"/>
        <w:rPr>
          <w:rFonts w:cs="Arial"/>
        </w:rPr>
      </w:pPr>
      <w:r w:rsidRPr="007608C2">
        <w:rPr>
          <w:rFonts w:cs="Arial"/>
        </w:rPr>
        <w:t>Se continuó con la estrategia de Equipos Móviles de Protección Integral - EMPI – Trabajo infantil, la cual tiene como objetivo desarrollar acciones coordinadas con los Entes Territoriales, para promover el restablecimiento de los derechos de los niños, niñas y adolescentes en situación de trabajo infantil, con sus derechos inobservados, amenazados o vulnerados. Se enfocó en la atención directa con la familia, la comunidad y las Autoridades Locales, en el marco de la protección integral y teniendo en cuenta las características y particularidades del territorio. Así mismo, dirigió su intervención para identificar y atender de manera articulada la participación de menores de edad en actividades realizadas en diferentes sectores de la economía, en zona rural y rural dispersa en la región (agricultura, minería) y en áreas urbanas (plazas de mercado, ventas ambulantes, terminales de transporte y oficios del hogar), identificados en municipios focalizados, según el diagnóstico const</w:t>
      </w:r>
      <w:r w:rsidR="00F655E0">
        <w:rPr>
          <w:rFonts w:cs="Arial"/>
        </w:rPr>
        <w:t>ruido con la institucionalidad.</w:t>
      </w:r>
    </w:p>
    <w:p w:rsidR="00F655E0" w:rsidRPr="007608C2" w:rsidRDefault="00F655E0" w:rsidP="00F655E0">
      <w:pPr>
        <w:pStyle w:val="Prrafodelista"/>
        <w:spacing w:after="0"/>
        <w:ind w:left="360"/>
        <w:jc w:val="both"/>
        <w:rPr>
          <w:rFonts w:cs="Arial"/>
        </w:rPr>
      </w:pPr>
    </w:p>
    <w:p w:rsidR="008819AE" w:rsidRPr="007608C2" w:rsidRDefault="008819AE" w:rsidP="00A44A2B">
      <w:pPr>
        <w:pStyle w:val="Prrafodelista"/>
        <w:numPr>
          <w:ilvl w:val="0"/>
          <w:numId w:val="118"/>
        </w:numPr>
        <w:jc w:val="both"/>
        <w:rPr>
          <w:rFonts w:cs="Arial"/>
        </w:rPr>
      </w:pPr>
      <w:r w:rsidRPr="007608C2">
        <w:rPr>
          <w:rFonts w:cs="Arial"/>
        </w:rPr>
        <w:t xml:space="preserve">Los 39 Equipos EMPI – Trabajo Infantil se distribuyeron en las 33 Regionales de ICBF y lo integraron 117 profesionales, entre ellos psicólogos, trabajadores social y un tercer </w:t>
      </w:r>
      <w:r w:rsidRPr="007608C2">
        <w:rPr>
          <w:rFonts w:cs="Arial"/>
        </w:rPr>
        <w:lastRenderedPageBreak/>
        <w:t>profesional antropólogo, sociólogo o pedagogo, según las necesidades del territorio. Los profesionales se desplazaron a los municipios focalizados por departamento y ciudad capital, previo diagnóstico construido para dirigir la atención en los territorios con mayor tasa de trabajo infantil. Dadas las características de las Regionales de Antioquia, Cundinamarca, La Guajira y Valle se cuenta con dos (2) Equipos y la Regional Bogotá con tres (3), las demás cuentan con un (1) equipo EMPI. Para implementar la estrategia Equipos Móviles de Protección Integral – EMPI – Trabajo Infantil la Dirección de Protección programó una inversión $3.673.784.439 para la contratación de 117 profesionales.</w:t>
      </w:r>
    </w:p>
    <w:p w:rsidR="008819AE" w:rsidRDefault="008819AE" w:rsidP="00A44A2B">
      <w:pPr>
        <w:pStyle w:val="Prrafodelista"/>
        <w:numPr>
          <w:ilvl w:val="0"/>
          <w:numId w:val="118"/>
        </w:numPr>
        <w:spacing w:after="0"/>
        <w:jc w:val="both"/>
        <w:rPr>
          <w:rFonts w:cs="Arial"/>
        </w:rPr>
      </w:pPr>
      <w:r w:rsidRPr="007608C2">
        <w:rPr>
          <w:rFonts w:cs="Arial"/>
        </w:rPr>
        <w:t>Para disponer de procesos coordinados y planificados, la estrategia Equipos Móviles de Protección Integral – EMPI – Trabajo Infantil, contaron con el procedimiento y los instrumentos técnicos necesarios para su implementación en el territorio, documentos que fueron ajustados, según las experiencias en los territorios. Estos fueron avalados por la Dirección de Planeación y Control de Gestión.</w:t>
      </w:r>
    </w:p>
    <w:p w:rsidR="00F655E0" w:rsidRPr="007608C2" w:rsidRDefault="00F655E0" w:rsidP="00F655E0">
      <w:pPr>
        <w:pStyle w:val="Prrafodelista"/>
        <w:spacing w:after="0"/>
        <w:ind w:left="36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Con el objetivo de fortalecer las competencias y habilidades técnicas de los profesionales integrantes de los EMPI – trabajo infantil, la Dirección de Protección realizó dos convocatorias macro regionales, en la ciudad de Bogotá, en los meses de mayo y junio del 2017. Estos ejercicios permitieron la socialización de los lineamientos de Protección, el procedimiento EMPI, los instrumentos necesarios para su intervención en territorio y las problemáticas atendidas en la Subdirección de Restablecimiento de Derechos. Igualmente, se contó con la participación de las áreas misionales de Direcciones de Familia y Comunidades, Niñez y Adolescencia, el SNBF, Primera Infancia y la OIT, frente al quehacer por los niños, niñas, adolescentes y sus familias. A estos dos eventos participaron en total 160 colaboradores del ICBF provenientes de 29 direcciones regionales del país.</w:t>
      </w:r>
    </w:p>
    <w:p w:rsidR="00F655E0" w:rsidRPr="00F655E0" w:rsidRDefault="00F655E0" w:rsidP="00F655E0">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La atención brindada por los Equipos EMPI – Trabajo Infantil la desarrollan en tres (3) componentes principales: Atención directa a las familias con niños, niñas y adolescentes en situación de trabajo infantil; con la comunidad para lograr cambiar y modificar los patrones culturales y sociales sobre la problemática; y con los agentes del SNBF para movilizar y gestionar la oferta y los servici</w:t>
      </w:r>
      <w:r w:rsidR="00F655E0">
        <w:rPr>
          <w:rFonts w:cs="Arial"/>
        </w:rPr>
        <w:t>os que garanticen sus derechos.</w:t>
      </w:r>
    </w:p>
    <w:p w:rsidR="00F655E0" w:rsidRPr="00F655E0" w:rsidRDefault="00F655E0" w:rsidP="00F655E0">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 xml:space="preserve">En el 2017, los Equipos Móviles de Protección Integral – EMPI trabajo infantil continuaron con las jornadas contra el trabajo infantil, ejercicios coordinados y articulados con la Policía de Infancia y Adolescencia a nivel nacional y las alcaldías municipales. Para realizar estas jornadas, se elaboró el protocolo para su implementación. Las actividades fueron programadas de manera importante en plazas de mercado, terminales de transporte, áreas comerciales y otros puntos donde se </w:t>
      </w:r>
      <w:r w:rsidR="00F655E0">
        <w:rPr>
          <w:rFonts w:cs="Arial"/>
        </w:rPr>
        <w:t>identifica el trabajo infantil.</w:t>
      </w:r>
    </w:p>
    <w:p w:rsidR="00F655E0" w:rsidRPr="00F655E0" w:rsidRDefault="00F655E0" w:rsidP="00F655E0">
      <w:pPr>
        <w:spacing w:after="0"/>
        <w:jc w:val="both"/>
        <w:rPr>
          <w:rFonts w:cs="Arial"/>
        </w:rPr>
      </w:pPr>
    </w:p>
    <w:p w:rsidR="008819AE" w:rsidRPr="007608C2" w:rsidRDefault="008819AE" w:rsidP="00A44A2B">
      <w:pPr>
        <w:pStyle w:val="Prrafodelista"/>
        <w:numPr>
          <w:ilvl w:val="0"/>
          <w:numId w:val="118"/>
        </w:numPr>
        <w:jc w:val="both"/>
        <w:rPr>
          <w:rFonts w:cs="Arial"/>
        </w:rPr>
      </w:pPr>
      <w:r w:rsidRPr="007608C2">
        <w:rPr>
          <w:rFonts w:cs="Arial"/>
        </w:rPr>
        <w:lastRenderedPageBreak/>
        <w:t>Se atendieron 1.403 niños, niñas y adolescentes identificados en situación de trabajo infantil y 988 familias sensibilizadas y atendidas a través del procedimiento EMPI – trabajo infantil.</w:t>
      </w:r>
    </w:p>
    <w:p w:rsidR="008819AE" w:rsidRPr="007608C2" w:rsidRDefault="008819AE" w:rsidP="00A44A2B">
      <w:pPr>
        <w:pStyle w:val="Prrafodelista"/>
        <w:numPr>
          <w:ilvl w:val="0"/>
          <w:numId w:val="118"/>
        </w:numPr>
        <w:jc w:val="both"/>
        <w:rPr>
          <w:rFonts w:cs="Arial"/>
        </w:rPr>
      </w:pPr>
      <w:r w:rsidRPr="007608C2">
        <w:rPr>
          <w:rFonts w:cs="Arial"/>
        </w:rPr>
        <w:t xml:space="preserve">Frente a los casos de amenaza y vulneración identificados por los profesionales EMPI – Trabajo Infantil, la situación fue reportada ante la autoridad administrativa en el territorio a través del Sistema de Información Misional – SIM, en total se direccionaron 589 peticiones. </w:t>
      </w:r>
    </w:p>
    <w:p w:rsidR="008819AE" w:rsidRPr="007608C2" w:rsidRDefault="008819AE" w:rsidP="00A44A2B">
      <w:pPr>
        <w:pStyle w:val="Prrafodelista"/>
        <w:numPr>
          <w:ilvl w:val="0"/>
          <w:numId w:val="118"/>
        </w:numPr>
        <w:jc w:val="both"/>
        <w:rPr>
          <w:rFonts w:cs="Arial"/>
        </w:rPr>
      </w:pPr>
      <w:r w:rsidRPr="007608C2">
        <w:rPr>
          <w:rFonts w:cs="Arial"/>
        </w:rPr>
        <w:t>En lo que respecta a los casos de inobservancia de derechos a niños, niñas y adolescentes en situación de trabajo infantil, los equipos desarrollaron un trabajo de gestión para identificar la oferta, a través de la cual se garanticen sus derechos y la atención a sus familias. La estrategia logró brindar una atención especializada a 2.802 niños, niñas y adolescentes en el país.</w:t>
      </w:r>
    </w:p>
    <w:p w:rsidR="008819AE" w:rsidRPr="007608C2" w:rsidRDefault="008819AE" w:rsidP="008819AE">
      <w:pPr>
        <w:jc w:val="both"/>
        <w:rPr>
          <w:rFonts w:cs="Arial"/>
          <w:b/>
        </w:rPr>
      </w:pPr>
      <w:r w:rsidRPr="007608C2">
        <w:rPr>
          <w:rFonts w:cs="Arial"/>
          <w:b/>
        </w:rPr>
        <w:t>Construcción participativa de la línea de política de prevención y erradicación de trabajo infantil y protección al adolescente trabajador</w:t>
      </w:r>
    </w:p>
    <w:p w:rsidR="008819AE" w:rsidRDefault="008819AE" w:rsidP="00A44A2B">
      <w:pPr>
        <w:pStyle w:val="Prrafodelista"/>
        <w:numPr>
          <w:ilvl w:val="0"/>
          <w:numId w:val="118"/>
        </w:numPr>
        <w:spacing w:after="0"/>
        <w:jc w:val="both"/>
        <w:rPr>
          <w:rFonts w:cs="Arial"/>
        </w:rPr>
      </w:pPr>
      <w:r w:rsidRPr="007608C2">
        <w:rPr>
          <w:rFonts w:cs="Arial"/>
        </w:rPr>
        <w:t>Desde la vigencia del 2015 el Comité Interinstitucional para la erradicación del Trabajo Infantil y la Protección del Menor Trabajador - CIETI-, asumió el reto de diseñar una política enfocada a la prevención y erradicación del trabajo infantil y la protección a las y los adolescentes trabajadores, definiendo la herramienta de política y hoja ruta de implementación para los próximos años, como lo indica el Plan Nacional de Desarrollo 2015-2018 “Todos por un nuevo País”.</w:t>
      </w:r>
    </w:p>
    <w:p w:rsidR="00F655E0" w:rsidRPr="007608C2" w:rsidRDefault="00F655E0" w:rsidP="00F655E0">
      <w:pPr>
        <w:pStyle w:val="Prrafodelista"/>
        <w:spacing w:after="0"/>
        <w:ind w:left="36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 xml:space="preserve">El equipo técnico integrado por el Ministerio de Trabajo, el Departamento Nacional de Planeación y el ICBF (Direcciones de Protección, SNBF y Niñez y Adolescencia), y el apoyo técnico de la OIT, a través de ejercicios de construcción participativa con el territorio, formuló la línea de política pública para la prevención y erradicación del trabajo infantil y la protección integral al adolescente trabajador; documento que fue aprobado por el </w:t>
      </w:r>
      <w:r w:rsidRPr="007608C2">
        <w:rPr>
          <w:rFonts w:cs="Arial"/>
          <w:color w:val="545454"/>
          <w:shd w:val="clear" w:color="auto" w:fill="FFFFFF"/>
        </w:rPr>
        <w:t>Comité Interinstitucional para la Prevención y Erradicación del Trabajo Infantil</w:t>
      </w:r>
      <w:r w:rsidRPr="007608C2">
        <w:rPr>
          <w:rFonts w:cs="Arial"/>
        </w:rPr>
        <w:t xml:space="preserve"> -CIETI- Nacional y po</w:t>
      </w:r>
      <w:r w:rsidR="00F655E0">
        <w:rPr>
          <w:rFonts w:cs="Arial"/>
        </w:rPr>
        <w:t>r el Comité Ejecutivo del SNBF.</w:t>
      </w:r>
    </w:p>
    <w:p w:rsidR="00F655E0" w:rsidRPr="00F655E0" w:rsidRDefault="00F655E0" w:rsidP="00F655E0">
      <w:pPr>
        <w:spacing w:after="0"/>
        <w:jc w:val="both"/>
        <w:rPr>
          <w:rFonts w:cs="Arial"/>
        </w:rPr>
      </w:pPr>
    </w:p>
    <w:p w:rsidR="008819AE" w:rsidRPr="007608C2" w:rsidRDefault="008819AE" w:rsidP="00A44A2B">
      <w:pPr>
        <w:pStyle w:val="Prrafodelista"/>
        <w:numPr>
          <w:ilvl w:val="0"/>
          <w:numId w:val="118"/>
        </w:numPr>
        <w:spacing w:after="0"/>
        <w:jc w:val="both"/>
        <w:rPr>
          <w:rFonts w:cs="Arial"/>
        </w:rPr>
      </w:pPr>
      <w:r w:rsidRPr="007608C2">
        <w:rPr>
          <w:rFonts w:cs="Arial"/>
        </w:rPr>
        <w:t>De igual manera, en la instancia del CIETI, se presentó y aprobó el decreto que crea el Comité Intersectorial para la prevención y erradicación del trabajo infantil y la protección integral al adolescente trabajador; documento que se encuentra a la espera de ser retroalimentado con las observaciones de las instituciones y por parte del Ministerio de Trabajo. En este mismo sentido, se entregó al Ministerio de Trabajo, la propuesta para ajuste y modificación del instrumento del Sistema de Información Integrado para la Identificación, Registro y Caracterización del Trabajo Infantil y sus Peores Formas -SIRITI-, instrumentos esenciales para la efectiva implementación de la Política Pública.</w:t>
      </w:r>
    </w:p>
    <w:p w:rsidR="008819AE" w:rsidRPr="007608C2" w:rsidRDefault="008819AE" w:rsidP="008819AE">
      <w:pPr>
        <w:spacing w:before="240"/>
        <w:jc w:val="both"/>
        <w:rPr>
          <w:rFonts w:cs="Arial"/>
          <w:b/>
        </w:rPr>
      </w:pPr>
      <w:r w:rsidRPr="007608C2">
        <w:rPr>
          <w:rFonts w:cs="Arial"/>
          <w:b/>
        </w:rPr>
        <w:t xml:space="preserve">Convenio Interadministrativo Ministerio de Minas y Energía y el Instituto Colombiano de Bienestar Familiar - ICBF </w:t>
      </w:r>
    </w:p>
    <w:p w:rsidR="008819AE" w:rsidRPr="007608C2" w:rsidRDefault="008819AE" w:rsidP="008819AE">
      <w:pPr>
        <w:jc w:val="both"/>
        <w:rPr>
          <w:rFonts w:cs="Arial"/>
        </w:rPr>
      </w:pPr>
      <w:r w:rsidRPr="007608C2">
        <w:rPr>
          <w:rFonts w:cs="Arial"/>
        </w:rPr>
        <w:lastRenderedPageBreak/>
        <w:t xml:space="preserve">Para el 2017 se suscribió un convenio interadministrativo entre el Ministerio de Minas y Energía y el ICBF con el objetivo de “Aunar esfuerzos técnicos, administrativos y humanos para generar acciones que permitan fortalecer e implementar las políticas y directrices en la prevención y erradicación del trabajo infantil en la minería”. Esta alianza interinstitucional, se consolidó a través de un plan de acción, el cual se encuentra estructurado en función de los tres grupos poblacionales objetivo de esta alianza: familias que desarrollan la minería de subsistencia; familias que se encuentran desarrollando actividad minera en áreas de reserva; y familias que se encuentran desarrollando actividad minera bajo un título minero. </w:t>
      </w:r>
    </w:p>
    <w:p w:rsidR="008819AE" w:rsidRPr="007608C2" w:rsidRDefault="008819AE" w:rsidP="008819AE">
      <w:pPr>
        <w:jc w:val="both"/>
        <w:rPr>
          <w:rFonts w:cs="Arial"/>
        </w:rPr>
      </w:pPr>
      <w:r w:rsidRPr="007608C2">
        <w:rPr>
          <w:rFonts w:cs="Arial"/>
        </w:rPr>
        <w:t>A continuación, se presentan las principales actividades en el marco del convenio, clasificadas por sus componentes de implementación:</w:t>
      </w:r>
    </w:p>
    <w:p w:rsidR="008819AE" w:rsidRPr="00F655E0" w:rsidRDefault="008819AE" w:rsidP="008819AE">
      <w:pPr>
        <w:jc w:val="both"/>
        <w:rPr>
          <w:rFonts w:cs="Arial"/>
          <w:b/>
          <w:i/>
        </w:rPr>
      </w:pPr>
      <w:r w:rsidRPr="00F655E0">
        <w:rPr>
          <w:rFonts w:cs="Arial"/>
          <w:b/>
          <w:i/>
        </w:rPr>
        <w:t>Componente Identificación, focalización y coordinación interinstitucional en el ingreso a unidades de producción minera</w:t>
      </w:r>
    </w:p>
    <w:p w:rsidR="008819AE" w:rsidRPr="007608C2" w:rsidRDefault="008819AE" w:rsidP="00A44A2B">
      <w:pPr>
        <w:pStyle w:val="Prrafodelista"/>
        <w:numPr>
          <w:ilvl w:val="0"/>
          <w:numId w:val="118"/>
        </w:numPr>
        <w:jc w:val="both"/>
        <w:rPr>
          <w:rFonts w:cs="Arial"/>
        </w:rPr>
      </w:pPr>
      <w:r w:rsidRPr="007608C2">
        <w:rPr>
          <w:rFonts w:cs="Arial"/>
        </w:rPr>
        <w:t>Se cuenta con una focalización confirmada para las Unidades de Producción Minera - UPM regularizadas y de áreas de reserva ubicadas en los departamentos de Chocó (Cértegui, Condoto e Istmina), Cesar (Valledupar), La Guajira (Villanueva y Manaure), Cundinamarca (Nemocón y Cucunubá), Nariño (La Llanada y Andes Sotomayor)</w:t>
      </w:r>
    </w:p>
    <w:p w:rsidR="008819AE" w:rsidRPr="007608C2" w:rsidRDefault="008819AE" w:rsidP="00A44A2B">
      <w:pPr>
        <w:pStyle w:val="Prrafodelista"/>
        <w:numPr>
          <w:ilvl w:val="0"/>
          <w:numId w:val="118"/>
        </w:numPr>
        <w:jc w:val="both"/>
        <w:rPr>
          <w:rFonts w:cs="Arial"/>
        </w:rPr>
      </w:pPr>
      <w:r w:rsidRPr="007608C2">
        <w:rPr>
          <w:rFonts w:cs="Arial"/>
        </w:rPr>
        <w:t>Estos ejercicios de fortalecimiento técnico a funcionarios del Ministerio, titulares mineros y familias ya iniciaron en los departamentos de Chocó, Cesar y La Guajira.</w:t>
      </w:r>
    </w:p>
    <w:p w:rsidR="008819AE" w:rsidRPr="007608C2" w:rsidRDefault="008819AE" w:rsidP="00A44A2B">
      <w:pPr>
        <w:pStyle w:val="Prrafodelista"/>
        <w:numPr>
          <w:ilvl w:val="0"/>
          <w:numId w:val="118"/>
        </w:numPr>
        <w:jc w:val="both"/>
        <w:rPr>
          <w:rFonts w:cs="Arial"/>
        </w:rPr>
      </w:pPr>
      <w:r w:rsidRPr="007608C2">
        <w:rPr>
          <w:rFonts w:cs="Arial"/>
        </w:rPr>
        <w:t>En lo que respecta a las UPM de subsistencia, el Ministerio y el ICBF realizaron la siguiente focalización para 2017 y el 2018:</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ook w:val="04A0" w:firstRow="1" w:lastRow="0" w:firstColumn="1" w:lastColumn="0" w:noHBand="0" w:noVBand="1"/>
      </w:tblPr>
      <w:tblGrid>
        <w:gridCol w:w="977"/>
        <w:gridCol w:w="2098"/>
        <w:gridCol w:w="3348"/>
      </w:tblGrid>
      <w:tr w:rsidR="008819AE" w:rsidRPr="00F655E0" w:rsidTr="00F655E0">
        <w:trPr>
          <w:trHeight w:val="115"/>
          <w:jc w:val="center"/>
        </w:trPr>
        <w:tc>
          <w:tcPr>
            <w:tcW w:w="0" w:type="auto"/>
            <w:shd w:val="clear" w:color="auto" w:fill="76922E"/>
          </w:tcPr>
          <w:p w:rsidR="008819AE" w:rsidRPr="00F655E0" w:rsidRDefault="008819AE" w:rsidP="00476EF8">
            <w:pPr>
              <w:spacing w:after="0"/>
              <w:jc w:val="center"/>
              <w:rPr>
                <w:rFonts w:cs="Arial"/>
                <w:b/>
                <w:color w:val="FFFFFF" w:themeColor="background1"/>
                <w:sz w:val="18"/>
                <w:szCs w:val="18"/>
              </w:rPr>
            </w:pPr>
            <w:r w:rsidRPr="00F655E0">
              <w:rPr>
                <w:rFonts w:cs="Arial"/>
                <w:b/>
                <w:color w:val="FFFFFF" w:themeColor="background1"/>
                <w:sz w:val="18"/>
                <w:szCs w:val="18"/>
              </w:rPr>
              <w:t>Regional</w:t>
            </w:r>
          </w:p>
        </w:tc>
        <w:tc>
          <w:tcPr>
            <w:tcW w:w="0" w:type="auto"/>
            <w:shd w:val="clear" w:color="auto" w:fill="76922E"/>
          </w:tcPr>
          <w:p w:rsidR="008819AE" w:rsidRPr="00F655E0" w:rsidRDefault="008819AE" w:rsidP="00476EF8">
            <w:pPr>
              <w:spacing w:after="0"/>
              <w:jc w:val="center"/>
              <w:rPr>
                <w:rFonts w:cs="Arial"/>
                <w:b/>
                <w:color w:val="FFFFFF" w:themeColor="background1"/>
                <w:sz w:val="18"/>
                <w:szCs w:val="18"/>
              </w:rPr>
            </w:pPr>
            <w:r w:rsidRPr="00F655E0">
              <w:rPr>
                <w:rFonts w:cs="Arial"/>
                <w:b/>
                <w:color w:val="FFFFFF" w:themeColor="background1"/>
                <w:sz w:val="18"/>
                <w:szCs w:val="18"/>
              </w:rPr>
              <w:t>Municipios 2017</w:t>
            </w:r>
          </w:p>
        </w:tc>
        <w:tc>
          <w:tcPr>
            <w:tcW w:w="0" w:type="auto"/>
            <w:shd w:val="clear" w:color="auto" w:fill="76922E"/>
          </w:tcPr>
          <w:p w:rsidR="008819AE" w:rsidRPr="00F655E0" w:rsidRDefault="008819AE" w:rsidP="00476EF8">
            <w:pPr>
              <w:spacing w:after="0"/>
              <w:jc w:val="center"/>
              <w:rPr>
                <w:rFonts w:cs="Arial"/>
                <w:b/>
                <w:color w:val="FFFFFF" w:themeColor="background1"/>
                <w:sz w:val="18"/>
                <w:szCs w:val="18"/>
              </w:rPr>
            </w:pPr>
            <w:r w:rsidRPr="00F655E0">
              <w:rPr>
                <w:rFonts w:cs="Arial"/>
                <w:b/>
                <w:color w:val="FFFFFF" w:themeColor="background1"/>
                <w:sz w:val="18"/>
                <w:szCs w:val="18"/>
              </w:rPr>
              <w:t>Municipios 2018</w:t>
            </w:r>
          </w:p>
        </w:tc>
      </w:tr>
      <w:tr w:rsidR="008819AE" w:rsidRPr="00F655E0" w:rsidTr="00F655E0">
        <w:trPr>
          <w:jc w:val="center"/>
        </w:trPr>
        <w:tc>
          <w:tcPr>
            <w:tcW w:w="0" w:type="auto"/>
            <w:shd w:val="clear" w:color="auto" w:fill="auto"/>
          </w:tcPr>
          <w:p w:rsidR="008819AE" w:rsidRPr="00F655E0" w:rsidRDefault="008819AE" w:rsidP="00476EF8">
            <w:pPr>
              <w:spacing w:after="0"/>
              <w:jc w:val="both"/>
              <w:rPr>
                <w:rFonts w:cs="Arial"/>
                <w:sz w:val="18"/>
                <w:szCs w:val="18"/>
              </w:rPr>
            </w:pPr>
            <w:r w:rsidRPr="00F655E0">
              <w:rPr>
                <w:rFonts w:cs="Arial"/>
                <w:sz w:val="18"/>
                <w:szCs w:val="18"/>
              </w:rPr>
              <w:t>Tolima</w:t>
            </w:r>
          </w:p>
        </w:tc>
        <w:tc>
          <w:tcPr>
            <w:tcW w:w="0" w:type="auto"/>
            <w:shd w:val="clear" w:color="auto" w:fill="auto"/>
          </w:tcPr>
          <w:p w:rsidR="008819AE" w:rsidRPr="00F655E0" w:rsidRDefault="008819AE" w:rsidP="00476EF8">
            <w:pPr>
              <w:spacing w:after="0"/>
              <w:jc w:val="both"/>
              <w:rPr>
                <w:rFonts w:cs="Arial"/>
                <w:sz w:val="18"/>
                <w:szCs w:val="18"/>
              </w:rPr>
            </w:pPr>
            <w:r w:rsidRPr="00F655E0">
              <w:rPr>
                <w:rFonts w:cs="Arial"/>
                <w:sz w:val="18"/>
                <w:szCs w:val="18"/>
              </w:rPr>
              <w:t xml:space="preserve">Ibagué </w:t>
            </w:r>
          </w:p>
        </w:tc>
        <w:tc>
          <w:tcPr>
            <w:tcW w:w="0" w:type="auto"/>
            <w:shd w:val="clear" w:color="auto" w:fill="auto"/>
          </w:tcPr>
          <w:p w:rsidR="008819AE" w:rsidRPr="00F655E0" w:rsidRDefault="008819AE" w:rsidP="00476EF8">
            <w:pPr>
              <w:spacing w:after="0"/>
              <w:jc w:val="both"/>
              <w:rPr>
                <w:rFonts w:cs="Arial"/>
                <w:sz w:val="18"/>
                <w:szCs w:val="18"/>
              </w:rPr>
            </w:pPr>
            <w:r w:rsidRPr="00F655E0">
              <w:rPr>
                <w:rFonts w:cs="Arial"/>
                <w:sz w:val="18"/>
                <w:szCs w:val="18"/>
              </w:rPr>
              <w:t>Mariquita, Coyaima, Guamo, Chaparral</w:t>
            </w:r>
          </w:p>
        </w:tc>
      </w:tr>
      <w:tr w:rsidR="008819AE" w:rsidRPr="00F655E0" w:rsidTr="00F655E0">
        <w:trPr>
          <w:jc w:val="center"/>
        </w:trPr>
        <w:tc>
          <w:tcPr>
            <w:tcW w:w="0" w:type="auto"/>
            <w:shd w:val="clear" w:color="auto" w:fill="auto"/>
          </w:tcPr>
          <w:p w:rsidR="008819AE" w:rsidRPr="00F655E0" w:rsidRDefault="008819AE" w:rsidP="00476EF8">
            <w:pPr>
              <w:spacing w:after="0"/>
              <w:jc w:val="both"/>
              <w:rPr>
                <w:rFonts w:cs="Arial"/>
                <w:sz w:val="18"/>
                <w:szCs w:val="18"/>
              </w:rPr>
            </w:pPr>
            <w:r w:rsidRPr="00F655E0">
              <w:rPr>
                <w:rFonts w:cs="Arial"/>
                <w:sz w:val="18"/>
                <w:szCs w:val="18"/>
              </w:rPr>
              <w:t>Cauca</w:t>
            </w:r>
          </w:p>
        </w:tc>
        <w:tc>
          <w:tcPr>
            <w:tcW w:w="0" w:type="auto"/>
            <w:shd w:val="clear" w:color="auto" w:fill="auto"/>
          </w:tcPr>
          <w:p w:rsidR="008819AE" w:rsidRPr="00F655E0" w:rsidRDefault="008819AE" w:rsidP="00476EF8">
            <w:pPr>
              <w:spacing w:after="0"/>
              <w:jc w:val="both"/>
              <w:rPr>
                <w:rFonts w:cs="Arial"/>
                <w:sz w:val="18"/>
                <w:szCs w:val="18"/>
              </w:rPr>
            </w:pPr>
            <w:r w:rsidRPr="00F655E0">
              <w:rPr>
                <w:rFonts w:cs="Arial"/>
                <w:sz w:val="18"/>
                <w:szCs w:val="18"/>
              </w:rPr>
              <w:t>Santander de Quilichao</w:t>
            </w:r>
          </w:p>
        </w:tc>
        <w:tc>
          <w:tcPr>
            <w:tcW w:w="0" w:type="auto"/>
            <w:shd w:val="clear" w:color="auto" w:fill="auto"/>
          </w:tcPr>
          <w:p w:rsidR="008819AE" w:rsidRPr="00F655E0" w:rsidRDefault="008819AE" w:rsidP="00476EF8">
            <w:pPr>
              <w:spacing w:after="0"/>
              <w:jc w:val="both"/>
              <w:rPr>
                <w:rFonts w:cs="Arial"/>
                <w:sz w:val="18"/>
                <w:szCs w:val="18"/>
              </w:rPr>
            </w:pPr>
            <w:r w:rsidRPr="00F655E0">
              <w:rPr>
                <w:rFonts w:cs="Arial"/>
                <w:sz w:val="18"/>
                <w:szCs w:val="18"/>
              </w:rPr>
              <w:t>Popayán, Buenos Aires y Guapi</w:t>
            </w:r>
          </w:p>
        </w:tc>
      </w:tr>
      <w:tr w:rsidR="008819AE" w:rsidRPr="00F655E0" w:rsidTr="00F655E0">
        <w:trPr>
          <w:jc w:val="center"/>
        </w:trPr>
        <w:tc>
          <w:tcPr>
            <w:tcW w:w="0" w:type="auto"/>
            <w:shd w:val="clear" w:color="auto" w:fill="auto"/>
          </w:tcPr>
          <w:p w:rsidR="008819AE" w:rsidRPr="00F655E0" w:rsidRDefault="008819AE" w:rsidP="00476EF8">
            <w:pPr>
              <w:spacing w:after="0"/>
              <w:jc w:val="both"/>
              <w:rPr>
                <w:rFonts w:cs="Arial"/>
                <w:sz w:val="18"/>
                <w:szCs w:val="18"/>
              </w:rPr>
            </w:pPr>
            <w:r w:rsidRPr="00F655E0">
              <w:rPr>
                <w:rFonts w:cs="Arial"/>
                <w:sz w:val="18"/>
                <w:szCs w:val="18"/>
              </w:rPr>
              <w:t>Nariño</w:t>
            </w:r>
          </w:p>
        </w:tc>
        <w:tc>
          <w:tcPr>
            <w:tcW w:w="0" w:type="auto"/>
            <w:shd w:val="clear" w:color="auto" w:fill="auto"/>
          </w:tcPr>
          <w:p w:rsidR="008819AE" w:rsidRPr="00F655E0" w:rsidRDefault="008819AE" w:rsidP="00476EF8">
            <w:pPr>
              <w:spacing w:after="0"/>
              <w:jc w:val="both"/>
              <w:rPr>
                <w:rFonts w:cs="Arial"/>
                <w:sz w:val="18"/>
                <w:szCs w:val="18"/>
              </w:rPr>
            </w:pPr>
            <w:r w:rsidRPr="00F655E0">
              <w:rPr>
                <w:rFonts w:cs="Arial"/>
                <w:sz w:val="18"/>
                <w:szCs w:val="18"/>
              </w:rPr>
              <w:t>Los Andes Sotomayor</w:t>
            </w:r>
          </w:p>
        </w:tc>
        <w:tc>
          <w:tcPr>
            <w:tcW w:w="0" w:type="auto"/>
            <w:shd w:val="clear" w:color="auto" w:fill="auto"/>
          </w:tcPr>
          <w:p w:rsidR="008819AE" w:rsidRPr="00F655E0" w:rsidRDefault="008819AE" w:rsidP="00476EF8">
            <w:pPr>
              <w:spacing w:after="0"/>
              <w:jc w:val="both"/>
              <w:rPr>
                <w:rFonts w:cs="Arial"/>
                <w:sz w:val="18"/>
                <w:szCs w:val="18"/>
              </w:rPr>
            </w:pPr>
            <w:r w:rsidRPr="00F655E0">
              <w:rPr>
                <w:rFonts w:cs="Arial"/>
                <w:sz w:val="18"/>
                <w:szCs w:val="18"/>
              </w:rPr>
              <w:t>Pasto, Barbacoas, Magui, Payán</w:t>
            </w:r>
          </w:p>
        </w:tc>
      </w:tr>
      <w:tr w:rsidR="008819AE" w:rsidRPr="00F655E0" w:rsidTr="00F655E0">
        <w:trPr>
          <w:jc w:val="center"/>
        </w:trPr>
        <w:tc>
          <w:tcPr>
            <w:tcW w:w="0" w:type="auto"/>
            <w:shd w:val="clear" w:color="auto" w:fill="auto"/>
          </w:tcPr>
          <w:p w:rsidR="008819AE" w:rsidRPr="00F655E0" w:rsidRDefault="008819AE" w:rsidP="00476EF8">
            <w:pPr>
              <w:spacing w:after="0"/>
              <w:jc w:val="both"/>
              <w:rPr>
                <w:rFonts w:cs="Arial"/>
                <w:sz w:val="18"/>
                <w:szCs w:val="18"/>
              </w:rPr>
            </w:pPr>
            <w:r w:rsidRPr="00F655E0">
              <w:rPr>
                <w:rFonts w:cs="Arial"/>
                <w:sz w:val="18"/>
                <w:szCs w:val="18"/>
              </w:rPr>
              <w:t>Chocó</w:t>
            </w:r>
          </w:p>
        </w:tc>
        <w:tc>
          <w:tcPr>
            <w:tcW w:w="0" w:type="auto"/>
            <w:shd w:val="clear" w:color="auto" w:fill="auto"/>
          </w:tcPr>
          <w:p w:rsidR="008819AE" w:rsidRPr="00F655E0" w:rsidRDefault="008819AE" w:rsidP="00476EF8">
            <w:pPr>
              <w:spacing w:after="0"/>
              <w:jc w:val="both"/>
              <w:rPr>
                <w:rFonts w:cs="Arial"/>
                <w:sz w:val="18"/>
                <w:szCs w:val="18"/>
              </w:rPr>
            </w:pPr>
            <w:r w:rsidRPr="00F655E0">
              <w:rPr>
                <w:rFonts w:cs="Arial"/>
                <w:sz w:val="18"/>
                <w:szCs w:val="18"/>
              </w:rPr>
              <w:t>Quibdó</w:t>
            </w:r>
          </w:p>
        </w:tc>
        <w:tc>
          <w:tcPr>
            <w:tcW w:w="0" w:type="auto"/>
            <w:shd w:val="clear" w:color="auto" w:fill="auto"/>
          </w:tcPr>
          <w:p w:rsidR="008819AE" w:rsidRPr="00F655E0" w:rsidRDefault="008819AE" w:rsidP="00476EF8">
            <w:pPr>
              <w:spacing w:after="0"/>
              <w:jc w:val="both"/>
              <w:rPr>
                <w:rFonts w:cs="Arial"/>
                <w:sz w:val="18"/>
                <w:szCs w:val="18"/>
              </w:rPr>
            </w:pPr>
            <w:r w:rsidRPr="00F655E0">
              <w:rPr>
                <w:rFonts w:cs="Arial"/>
                <w:sz w:val="18"/>
                <w:szCs w:val="18"/>
              </w:rPr>
              <w:t>Lloro y Rio Quito</w:t>
            </w:r>
          </w:p>
        </w:tc>
      </w:tr>
    </w:tbl>
    <w:p w:rsidR="008819AE" w:rsidRPr="007608C2" w:rsidRDefault="008819AE" w:rsidP="001C39BB">
      <w:pPr>
        <w:spacing w:after="0"/>
        <w:jc w:val="both"/>
        <w:rPr>
          <w:rFonts w:cs="Arial"/>
        </w:rPr>
      </w:pPr>
    </w:p>
    <w:p w:rsidR="008819AE" w:rsidRPr="007608C2" w:rsidRDefault="008819AE" w:rsidP="00A44A2B">
      <w:pPr>
        <w:pStyle w:val="Prrafodelista"/>
        <w:numPr>
          <w:ilvl w:val="0"/>
          <w:numId w:val="118"/>
        </w:numPr>
        <w:jc w:val="both"/>
        <w:rPr>
          <w:rFonts w:cs="Arial"/>
        </w:rPr>
      </w:pPr>
      <w:r w:rsidRPr="007608C2">
        <w:rPr>
          <w:rFonts w:cs="Arial"/>
        </w:rPr>
        <w:t>Para las Unidades de Producción Minera de subsistencia, el ICBF realizaron una atención directa a las familias, caracterizadas por el Ministerio, en este sentido los Equipos EMPI - Trabajo Infantil se desplazaron al territorio para el desarrollo de esta actividad. Por esta razón, a partir de la información de los municipios presentada por el Ministerio, se priorizó en la vigencia 2017 según la focalización realizada por las Regionales ICBF, a través de las Coordinaciones de Asistencia Técnica.</w:t>
      </w:r>
    </w:p>
    <w:p w:rsidR="008819AE" w:rsidRPr="00F655E0" w:rsidRDefault="001C39BB" w:rsidP="008819AE">
      <w:pPr>
        <w:rPr>
          <w:rFonts w:cs="Arial"/>
          <w:b/>
          <w:i/>
        </w:rPr>
      </w:pPr>
      <w:r>
        <w:rPr>
          <w:rFonts w:cs="Arial"/>
          <w:b/>
          <w:i/>
        </w:rPr>
        <w:t>Componente d</w:t>
      </w:r>
      <w:r w:rsidR="008819AE" w:rsidRPr="00F655E0">
        <w:rPr>
          <w:rFonts w:cs="Arial"/>
          <w:b/>
          <w:i/>
        </w:rPr>
        <w:t>iseño de estrategias y propuesta para la prevención y erradicación del trabajo infantil en las zonas focalizadas para la intervención</w:t>
      </w:r>
    </w:p>
    <w:p w:rsidR="008819AE" w:rsidRDefault="008819AE" w:rsidP="00A44A2B">
      <w:pPr>
        <w:pStyle w:val="Prrafodelista"/>
        <w:numPr>
          <w:ilvl w:val="0"/>
          <w:numId w:val="118"/>
        </w:numPr>
        <w:spacing w:after="0"/>
        <w:jc w:val="both"/>
        <w:rPr>
          <w:rFonts w:cs="Arial"/>
        </w:rPr>
      </w:pPr>
      <w:r w:rsidRPr="007608C2">
        <w:rPr>
          <w:rFonts w:cs="Arial"/>
        </w:rPr>
        <w:lastRenderedPageBreak/>
        <w:t>En lo que respecta a este componente, desde el Comité Técnico se ha diseñado estrategias para cada un</w:t>
      </w:r>
      <w:r w:rsidR="00F655E0">
        <w:rPr>
          <w:rFonts w:cs="Arial"/>
        </w:rPr>
        <w:t>a de las poblaciones a atender:</w:t>
      </w:r>
    </w:p>
    <w:p w:rsidR="00F655E0" w:rsidRPr="007608C2" w:rsidRDefault="00F655E0" w:rsidP="00F655E0">
      <w:pPr>
        <w:pStyle w:val="Prrafodelista"/>
        <w:spacing w:after="0"/>
        <w:ind w:left="360"/>
        <w:jc w:val="both"/>
        <w:rPr>
          <w:rFonts w:cs="Arial"/>
        </w:rPr>
      </w:pPr>
    </w:p>
    <w:p w:rsidR="008819AE" w:rsidRDefault="008819AE" w:rsidP="008819AE">
      <w:pPr>
        <w:spacing w:after="0"/>
        <w:ind w:left="360"/>
        <w:jc w:val="both"/>
        <w:rPr>
          <w:rFonts w:cs="Arial"/>
        </w:rPr>
      </w:pPr>
      <w:r w:rsidRPr="00F655E0">
        <w:rPr>
          <w:rFonts w:cs="Arial"/>
          <w:b/>
        </w:rPr>
        <w:t>Minería de Subsistencia:</w:t>
      </w:r>
      <w:r w:rsidRPr="007608C2">
        <w:rPr>
          <w:rFonts w:cs="Arial"/>
        </w:rPr>
        <w:t xml:space="preserve"> Caracterización de familias; Capacitación en buenas prácticas; Reconversión Familiar; Atención a familias desde el ICBF – activación de oferta social en el territorio; y Articulación con agentes del SNBF presentes en el territorio.</w:t>
      </w:r>
    </w:p>
    <w:p w:rsidR="00F655E0" w:rsidRPr="007608C2" w:rsidRDefault="00F655E0" w:rsidP="00F655E0">
      <w:pPr>
        <w:spacing w:after="0"/>
        <w:jc w:val="both"/>
        <w:rPr>
          <w:rFonts w:cs="Arial"/>
        </w:rPr>
      </w:pPr>
    </w:p>
    <w:p w:rsidR="008819AE" w:rsidRDefault="008819AE" w:rsidP="008819AE">
      <w:pPr>
        <w:spacing w:after="0"/>
        <w:ind w:left="360"/>
        <w:jc w:val="both"/>
        <w:rPr>
          <w:rFonts w:cs="Arial"/>
        </w:rPr>
      </w:pPr>
      <w:r w:rsidRPr="00F655E0">
        <w:rPr>
          <w:rFonts w:cs="Arial"/>
          <w:b/>
        </w:rPr>
        <w:t>Minería Regularizada:</w:t>
      </w:r>
      <w:r w:rsidRPr="007608C2">
        <w:rPr>
          <w:rFonts w:cs="Arial"/>
        </w:rPr>
        <w:t xml:space="preserve"> Supervisión no presencia de trabajo infantil; Acompañamiento en producción minera de acuerdo con los estándares de la ley; Fortalecimiento comunitario por parte del ICBF en jornadas de sensibilización contra el Trabajo Infantil en el sector minero; y Articulación con agentes del SNBF presentes en el territorio.</w:t>
      </w:r>
    </w:p>
    <w:p w:rsidR="00F655E0" w:rsidRPr="007608C2" w:rsidRDefault="00F655E0" w:rsidP="00F655E0">
      <w:pPr>
        <w:spacing w:after="0"/>
        <w:jc w:val="both"/>
        <w:rPr>
          <w:rFonts w:cs="Arial"/>
        </w:rPr>
      </w:pPr>
    </w:p>
    <w:p w:rsidR="008819AE" w:rsidRPr="007608C2" w:rsidRDefault="008819AE" w:rsidP="008819AE">
      <w:pPr>
        <w:ind w:left="360"/>
        <w:jc w:val="both"/>
        <w:rPr>
          <w:rFonts w:cs="Arial"/>
        </w:rPr>
      </w:pPr>
      <w:r w:rsidRPr="00F655E0">
        <w:rPr>
          <w:rFonts w:cs="Arial"/>
          <w:b/>
        </w:rPr>
        <w:t>Minería en áreas de reserva:</w:t>
      </w:r>
      <w:r w:rsidRPr="007608C2">
        <w:rPr>
          <w:rFonts w:cs="Arial"/>
        </w:rPr>
        <w:t xml:space="preserve"> Caracterización de las familias; Acompañamiento a las familias mineras para la negociación con el dueño del título minero; Formación en buenas prácticas; Atención a familias desde el ICBF – activación de oferta social en el territorio; y Articulación con agentes del SNBF presentes en el territorio.</w:t>
      </w:r>
    </w:p>
    <w:p w:rsidR="008819AE" w:rsidRDefault="008819AE" w:rsidP="00A44A2B">
      <w:pPr>
        <w:pStyle w:val="Prrafodelista"/>
        <w:numPr>
          <w:ilvl w:val="0"/>
          <w:numId w:val="118"/>
        </w:numPr>
        <w:spacing w:after="0"/>
        <w:jc w:val="both"/>
        <w:rPr>
          <w:rFonts w:cs="Arial"/>
        </w:rPr>
      </w:pPr>
      <w:r w:rsidRPr="007608C2">
        <w:rPr>
          <w:rFonts w:cs="Arial"/>
        </w:rPr>
        <w:t>Se diseñaron los formatos de presentaciones conjuntas y se trabaja en piezas comunicativas, decálogo, cartillas para familias; así como, apoyo en el diseño de fichas de caracterización a</w:t>
      </w:r>
      <w:r w:rsidR="00F655E0">
        <w:rPr>
          <w:rFonts w:cs="Arial"/>
        </w:rPr>
        <w:t xml:space="preserve"> aplicar a UPM de subsistencia.</w:t>
      </w:r>
    </w:p>
    <w:p w:rsidR="00F655E0" w:rsidRPr="007608C2" w:rsidRDefault="00F655E0" w:rsidP="00F655E0">
      <w:pPr>
        <w:pStyle w:val="Prrafodelista"/>
        <w:spacing w:after="0"/>
        <w:ind w:left="360"/>
        <w:jc w:val="both"/>
        <w:rPr>
          <w:rFonts w:cs="Arial"/>
        </w:rPr>
      </w:pPr>
    </w:p>
    <w:p w:rsidR="008819AE" w:rsidRPr="007608C2" w:rsidRDefault="008819AE" w:rsidP="00A44A2B">
      <w:pPr>
        <w:pStyle w:val="Prrafodelista"/>
        <w:numPr>
          <w:ilvl w:val="0"/>
          <w:numId w:val="118"/>
        </w:numPr>
        <w:spacing w:after="0"/>
        <w:jc w:val="both"/>
        <w:rPr>
          <w:rFonts w:cs="Arial"/>
        </w:rPr>
      </w:pPr>
      <w:r w:rsidRPr="007608C2">
        <w:rPr>
          <w:rFonts w:cs="Arial"/>
        </w:rPr>
        <w:t xml:space="preserve">Como una estrategia para fortalecer el proyecto, se logró un acuerdo con el proyecto Somos Tesoro, financiado por el departamento de Trabajo de Estados Unidos y el cual tiene como objeto la prevención y reducción del trabajo infantil en la minería, en 8 municipios de los departamentos de Antioquia y Boyacá. Esto con el objetivo </w:t>
      </w:r>
      <w:r w:rsidR="00F655E0" w:rsidRPr="007608C2">
        <w:rPr>
          <w:rFonts w:cs="Arial"/>
        </w:rPr>
        <w:t>de trasferir</w:t>
      </w:r>
      <w:r w:rsidRPr="007608C2">
        <w:rPr>
          <w:rFonts w:cs="Arial"/>
        </w:rPr>
        <w:t xml:space="preserve"> las metodologías implementadas en el proyecto, relacionadas con la prevención de trabajo infantil minero, estrategias educativas, medios de vida, promoción de la regularización minera y política pública en la minería. </w:t>
      </w:r>
    </w:p>
    <w:p w:rsidR="008819AE" w:rsidRPr="00F655E0" w:rsidRDefault="008819AE" w:rsidP="008819AE">
      <w:pPr>
        <w:spacing w:before="240"/>
        <w:jc w:val="both"/>
        <w:rPr>
          <w:rFonts w:cs="Arial"/>
          <w:b/>
          <w:i/>
        </w:rPr>
      </w:pPr>
      <w:r w:rsidRPr="00F655E0">
        <w:rPr>
          <w:rFonts w:cs="Arial"/>
          <w:b/>
          <w:i/>
        </w:rPr>
        <w:t>Componente Fortalecimiento institucional dirigido a los agentes del SNBF</w:t>
      </w:r>
    </w:p>
    <w:p w:rsidR="008819AE" w:rsidRDefault="008819AE" w:rsidP="00A44A2B">
      <w:pPr>
        <w:pStyle w:val="Prrafodelista"/>
        <w:numPr>
          <w:ilvl w:val="0"/>
          <w:numId w:val="118"/>
        </w:numPr>
        <w:spacing w:after="0"/>
        <w:jc w:val="both"/>
        <w:rPr>
          <w:rFonts w:cs="Arial"/>
        </w:rPr>
      </w:pPr>
      <w:r w:rsidRPr="007608C2">
        <w:rPr>
          <w:rFonts w:cs="Arial"/>
        </w:rPr>
        <w:t>Desde la Subdirección de Restablecimiento de Derechos se han llevado a cabo tres ejercicios de asistencia técnica a colaboradores del Ministerio de Minas y Energía, responsables de los procesos de acompañamiento a UPM regularizadas y UPM de subsistencia.</w:t>
      </w:r>
    </w:p>
    <w:p w:rsidR="00F655E0" w:rsidRPr="007608C2" w:rsidRDefault="00F655E0" w:rsidP="00F655E0">
      <w:pPr>
        <w:pStyle w:val="Prrafodelista"/>
        <w:spacing w:after="0"/>
        <w:ind w:left="360"/>
        <w:jc w:val="both"/>
        <w:rPr>
          <w:rFonts w:cs="Arial"/>
        </w:rPr>
      </w:pPr>
    </w:p>
    <w:p w:rsidR="008819AE" w:rsidRPr="007608C2" w:rsidRDefault="008819AE" w:rsidP="00A44A2B">
      <w:pPr>
        <w:pStyle w:val="Prrafodelista"/>
        <w:numPr>
          <w:ilvl w:val="0"/>
          <w:numId w:val="118"/>
        </w:numPr>
        <w:spacing w:after="0"/>
        <w:jc w:val="both"/>
        <w:rPr>
          <w:rFonts w:cs="Arial"/>
        </w:rPr>
      </w:pPr>
      <w:r w:rsidRPr="007608C2">
        <w:rPr>
          <w:rFonts w:cs="Arial"/>
        </w:rPr>
        <w:t xml:space="preserve">Se han llevado a cabo 5 ejercicios de fortalecimiento a las competencias y habilidades técnicas de los profesionales del Ministerio frente al trabajo infantil peligroso en los departamentos de Boyacá, Chocó, Cesar, Guajira y Cundinamarca. </w:t>
      </w:r>
    </w:p>
    <w:p w:rsidR="001C39BB" w:rsidRDefault="001C39BB" w:rsidP="008819AE">
      <w:pPr>
        <w:spacing w:before="240"/>
        <w:jc w:val="both"/>
        <w:rPr>
          <w:rFonts w:cs="Arial"/>
          <w:b/>
          <w:i/>
        </w:rPr>
      </w:pPr>
    </w:p>
    <w:p w:rsidR="008819AE" w:rsidRPr="00F655E0" w:rsidRDefault="008819AE" w:rsidP="008819AE">
      <w:pPr>
        <w:spacing w:before="240"/>
        <w:jc w:val="both"/>
        <w:rPr>
          <w:rFonts w:cs="Arial"/>
          <w:b/>
          <w:i/>
        </w:rPr>
      </w:pPr>
      <w:r w:rsidRPr="00F655E0">
        <w:rPr>
          <w:rFonts w:cs="Arial"/>
          <w:b/>
          <w:i/>
        </w:rPr>
        <w:lastRenderedPageBreak/>
        <w:t>Componente Seguimiento y evaluación</w:t>
      </w:r>
    </w:p>
    <w:p w:rsidR="008819AE" w:rsidRDefault="008819AE" w:rsidP="00A44A2B">
      <w:pPr>
        <w:pStyle w:val="Prrafodelista"/>
        <w:numPr>
          <w:ilvl w:val="0"/>
          <w:numId w:val="118"/>
        </w:numPr>
        <w:spacing w:after="0"/>
        <w:jc w:val="both"/>
        <w:rPr>
          <w:rFonts w:cs="Arial"/>
        </w:rPr>
      </w:pPr>
      <w:r w:rsidRPr="007608C2">
        <w:rPr>
          <w:rFonts w:cs="Arial"/>
        </w:rPr>
        <w:t xml:space="preserve">Desde el Comité Técnico Operativo se formularon indicadores de proceso y gestión los cuales </w:t>
      </w:r>
      <w:r w:rsidRPr="00F655E0">
        <w:rPr>
          <w:rFonts w:cs="Arial"/>
        </w:rPr>
        <w:t>hacen parte del plan de acción, a través del cual se implementa el presente convenio.</w:t>
      </w:r>
    </w:p>
    <w:p w:rsidR="00F655E0" w:rsidRPr="00F655E0" w:rsidRDefault="00F655E0" w:rsidP="00F655E0">
      <w:pPr>
        <w:pStyle w:val="Prrafodelista"/>
        <w:spacing w:after="0"/>
        <w:ind w:left="360"/>
        <w:jc w:val="both"/>
        <w:rPr>
          <w:rFonts w:cs="Arial"/>
        </w:rPr>
      </w:pPr>
    </w:p>
    <w:p w:rsidR="008819AE" w:rsidRDefault="008819AE" w:rsidP="00A44A2B">
      <w:pPr>
        <w:pStyle w:val="Prrafodelista"/>
        <w:numPr>
          <w:ilvl w:val="0"/>
          <w:numId w:val="118"/>
        </w:numPr>
        <w:spacing w:after="0"/>
        <w:jc w:val="both"/>
        <w:rPr>
          <w:rFonts w:cs="Arial"/>
        </w:rPr>
      </w:pPr>
      <w:r w:rsidRPr="00F655E0">
        <w:rPr>
          <w:rFonts w:cs="Arial"/>
        </w:rPr>
        <w:t>En el marco de la propuesta de la Política Pública y con el propósito de fortalecer los procesos de asistencia técnica a los CIETI de los diferentes niveles y actores interesados en la temática de prevención y erradicación del trabajo infantil y la protección integral del adolescente trabajador, el equipo técnico del ICBF y, así mismo, para la formulación de la nueva política pública, a través de la Dirección del SNBF y con la Escuela de Administración Pública ESAP; se viene coordinando la virtualización de los contenidos de este documento, con el fin de brindar a los territorios un curso y diplomado virtual a nivel nacional.</w:t>
      </w:r>
    </w:p>
    <w:p w:rsidR="00F655E0" w:rsidRPr="00F655E0" w:rsidRDefault="00F655E0" w:rsidP="00F655E0">
      <w:pPr>
        <w:spacing w:after="0"/>
        <w:jc w:val="both"/>
        <w:rPr>
          <w:rFonts w:cs="Arial"/>
        </w:rPr>
      </w:pPr>
    </w:p>
    <w:p w:rsidR="008819AE" w:rsidRPr="007608C2" w:rsidRDefault="008819AE" w:rsidP="00A44A2B">
      <w:pPr>
        <w:pStyle w:val="Prrafodelista"/>
        <w:numPr>
          <w:ilvl w:val="0"/>
          <w:numId w:val="118"/>
        </w:numPr>
        <w:spacing w:after="0"/>
        <w:jc w:val="both"/>
        <w:rPr>
          <w:rFonts w:cs="Arial"/>
        </w:rPr>
      </w:pPr>
      <w:r w:rsidRPr="007608C2">
        <w:rPr>
          <w:rFonts w:cs="Arial"/>
        </w:rPr>
        <w:t>A través de la articulación y coordinación con la Dirección de Familia y Comunidades para focalizar a las familias identificadas con niños, niñas y adolescentes en riesgo de trabajo infantil del proyecto Somos Tesoro, se beneficiaron niños y niñas en el programa Familias con Bienestar, de los municipios de Zaragoza, Remedios, El Bagre y Remedios, en el programa AMAS de la Dirección de Niñez y Adolescencia.</w:t>
      </w:r>
    </w:p>
    <w:p w:rsidR="008819AE" w:rsidRPr="007608C2" w:rsidRDefault="008819AE" w:rsidP="008819AE">
      <w:pPr>
        <w:spacing w:before="240"/>
        <w:jc w:val="both"/>
        <w:rPr>
          <w:rFonts w:cs="Arial"/>
          <w:b/>
        </w:rPr>
      </w:pPr>
      <w:r w:rsidRPr="007608C2">
        <w:rPr>
          <w:rFonts w:cs="Arial"/>
          <w:b/>
        </w:rPr>
        <w:t>En cumplimiento a las observaciones dadas por el Comité de los Derechos del Niño, relacionadas con el Reasentamiento de la comunidad El Hatillo, las actividades realizadas en la vigencia 2017 son las siguientes:</w:t>
      </w:r>
    </w:p>
    <w:p w:rsidR="008819AE" w:rsidRPr="007608C2" w:rsidRDefault="008819AE" w:rsidP="008819AE">
      <w:pPr>
        <w:jc w:val="both"/>
        <w:rPr>
          <w:rFonts w:cs="Arial"/>
        </w:rPr>
      </w:pPr>
      <w:r w:rsidRPr="007608C2">
        <w:rPr>
          <w:rFonts w:cs="Arial"/>
        </w:rPr>
        <w:t>En febrero 9 del 2017, se convocaron a todos los actores, Alcaldía Municipal de El Paso, Gobernación del Cesar, Policía Nacional, Comisaría de Familia, Defensoría del Pueblo, SOCYA en representación de las Empresas para la transición, representantes de la comunidad, PRODECO Cesar y por el ICBF participaron: la Coordinación del Grupo de Asistencia Técnica, Centro Zonal Chiriguana y la Subdirección de Restablecimiento de Derechos, evento que tuvo lugar en la sala de juntas de la Alcaldía Municipal de El Paso.</w:t>
      </w:r>
    </w:p>
    <w:p w:rsidR="008819AE" w:rsidRPr="007608C2" w:rsidRDefault="008819AE" w:rsidP="008819AE">
      <w:pPr>
        <w:jc w:val="both"/>
        <w:rPr>
          <w:rFonts w:cs="Arial"/>
        </w:rPr>
      </w:pPr>
      <w:r w:rsidRPr="007608C2">
        <w:rPr>
          <w:rFonts w:cs="Arial"/>
        </w:rPr>
        <w:t>Como resultado de este ejercicio se establecieron los siguientes compromisos:</w:t>
      </w:r>
    </w:p>
    <w:p w:rsidR="008819AE" w:rsidRDefault="008819AE" w:rsidP="00A44A2B">
      <w:pPr>
        <w:pStyle w:val="Prrafodelista"/>
        <w:numPr>
          <w:ilvl w:val="0"/>
          <w:numId w:val="118"/>
        </w:numPr>
        <w:spacing w:after="0"/>
        <w:jc w:val="both"/>
        <w:rPr>
          <w:rFonts w:cs="Arial"/>
        </w:rPr>
      </w:pPr>
      <w:r w:rsidRPr="007608C2">
        <w:rPr>
          <w:rFonts w:cs="Arial"/>
        </w:rPr>
        <w:t xml:space="preserve">Conformación de una mesa técnica de articulación, integrada por: Alcaldía, Gobernación, ICBF Regional Cesar y otras instituciones que se requiera convocar. La mesa técnica estará liderada por la Alcaldía municipal y deberá reunirse de manera bimensual. Tuvo como objetivo la atención y el restablecimiento de derechos a los niños, niñas, adolescentes y las familias, la articulación interinstitucional y el acercamiento </w:t>
      </w:r>
      <w:r w:rsidR="00F655E0">
        <w:rPr>
          <w:rFonts w:cs="Arial"/>
        </w:rPr>
        <w:t>de la oferta social del estado.</w:t>
      </w:r>
    </w:p>
    <w:p w:rsidR="00F655E0" w:rsidRPr="007608C2" w:rsidRDefault="00F655E0" w:rsidP="00F655E0">
      <w:pPr>
        <w:pStyle w:val="Prrafodelista"/>
        <w:spacing w:after="0"/>
        <w:ind w:left="360"/>
        <w:jc w:val="both"/>
        <w:rPr>
          <w:rFonts w:cs="Arial"/>
        </w:rPr>
      </w:pPr>
    </w:p>
    <w:p w:rsidR="008819AE" w:rsidRPr="007608C2" w:rsidRDefault="008819AE" w:rsidP="00A44A2B">
      <w:pPr>
        <w:pStyle w:val="Prrafodelista"/>
        <w:numPr>
          <w:ilvl w:val="0"/>
          <w:numId w:val="118"/>
        </w:numPr>
        <w:jc w:val="both"/>
        <w:rPr>
          <w:rFonts w:cs="Arial"/>
        </w:rPr>
      </w:pPr>
      <w:r w:rsidRPr="007608C2">
        <w:rPr>
          <w:rFonts w:cs="Arial"/>
        </w:rPr>
        <w:t xml:space="preserve">Las empresas en cumplimiento de los acuerdos de concertación, socializaron el plan de acción de reasentamiento a los representantes de la comunidad y a sus asesores el día 10 de febrero, con la participación de la institucionalidad. </w:t>
      </w:r>
    </w:p>
    <w:p w:rsidR="008819AE" w:rsidRPr="007608C2" w:rsidRDefault="008819AE" w:rsidP="008819AE">
      <w:pPr>
        <w:jc w:val="both"/>
        <w:rPr>
          <w:rFonts w:cs="Arial"/>
        </w:rPr>
      </w:pPr>
      <w:r w:rsidRPr="007608C2">
        <w:rPr>
          <w:rFonts w:cs="Arial"/>
        </w:rPr>
        <w:lastRenderedPageBreak/>
        <w:t>Se han venido realizando las reuniones propuestas por la mesa técnica, donde se adelantaron las siguientes acciones desde ICBF:</w:t>
      </w:r>
    </w:p>
    <w:p w:rsidR="008819AE" w:rsidRDefault="008819AE" w:rsidP="00A44A2B">
      <w:pPr>
        <w:pStyle w:val="Prrafodelista"/>
        <w:numPr>
          <w:ilvl w:val="0"/>
          <w:numId w:val="118"/>
        </w:numPr>
        <w:spacing w:after="0"/>
        <w:jc w:val="both"/>
        <w:rPr>
          <w:rFonts w:cs="Arial"/>
        </w:rPr>
      </w:pPr>
      <w:r w:rsidRPr="007608C2">
        <w:rPr>
          <w:rFonts w:cs="Arial"/>
        </w:rPr>
        <w:t>Visitas a la comunidad de El Hatillo, con el acompañamiento del Comisario de Familia del Municipio de El Paso, se desarrollaron jornadas para visitar a las familias y se generaron acciones en el marco de la verificación de derechos a los niños, niñas y adolescentes, de otra parte, se incluyeron familias del corregimiento al programa de familias y comunidades rurales, el cual ha tenido aceptación y respuesta positiva</w:t>
      </w:r>
      <w:r w:rsidR="00F655E0">
        <w:rPr>
          <w:rFonts w:cs="Arial"/>
        </w:rPr>
        <w:t xml:space="preserve"> de la comunidad en el proceso.</w:t>
      </w:r>
    </w:p>
    <w:p w:rsidR="00F655E0" w:rsidRPr="007608C2" w:rsidRDefault="00F655E0" w:rsidP="00F655E0">
      <w:pPr>
        <w:pStyle w:val="Prrafodelista"/>
        <w:spacing w:after="0"/>
        <w:ind w:left="36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Participación por parte del ICBF en las convocatorias de las reuniones propuestas por la institucionalidad y las empresas involucradas en este proceso.</w:t>
      </w:r>
    </w:p>
    <w:p w:rsidR="00F655E0" w:rsidRPr="00F655E0" w:rsidRDefault="00F655E0" w:rsidP="00F655E0">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Se organizó y realizó una feria por parte de las instituciones en el territorio, dirigida a acercar la oferta institucional a la comunidad. Esta jornada promovió los programas sociales del departamento, de la Alcaldía de El Paso, de ICBF, Policía Nacional y otras instituciones, la cual benefició a la comunidad.</w:t>
      </w:r>
    </w:p>
    <w:p w:rsidR="00F655E0" w:rsidRPr="00F655E0" w:rsidRDefault="00F655E0" w:rsidP="00F655E0">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Desde la Regional de ICBF en Cesar, se continuó realizando las visitas al Corregimiento, con el apoyo de la Comisaría de Familia de El Paso y el acompañamiento a la comunidad frente a los procesos con las empresas responsables del reasentamiento.</w:t>
      </w:r>
    </w:p>
    <w:p w:rsidR="00F655E0" w:rsidRPr="00F655E0" w:rsidRDefault="00F655E0" w:rsidP="00F655E0">
      <w:pPr>
        <w:spacing w:after="0"/>
        <w:jc w:val="both"/>
        <w:rPr>
          <w:rFonts w:cs="Arial"/>
        </w:rPr>
      </w:pPr>
    </w:p>
    <w:p w:rsidR="008819AE" w:rsidRPr="007608C2" w:rsidRDefault="008819AE" w:rsidP="00A44A2B">
      <w:pPr>
        <w:pStyle w:val="Prrafodelista"/>
        <w:numPr>
          <w:ilvl w:val="0"/>
          <w:numId w:val="118"/>
        </w:numPr>
        <w:spacing w:after="0"/>
        <w:jc w:val="both"/>
        <w:rPr>
          <w:rFonts w:cs="Arial"/>
        </w:rPr>
      </w:pPr>
      <w:r w:rsidRPr="007608C2">
        <w:rPr>
          <w:rFonts w:cs="Arial"/>
        </w:rPr>
        <w:t>Frente a la observación de “prohibir la participación de niños en las corridas de toros, así como en las corralejas, tomar las medidas legislativas y administrativas necesarias para proteger a todos los niños que reciben formación para participar en corridas de toros y espectáculos conexos, así como en su condición de espectadores, y crear conciencia sobre la violencia física y mental asociada con las corridas de toros y su impacto en los niños”; en articulación con el Ministerio de Trabajo, se adelanta el ajuste a la resolución 3597 de 2013, por la cual se señalan y actualizan las actividades consideradas como peores formas de trabajo infantil y se establece la clasificación de actividades peligrosas y condiciones de trabajo nocivas para la salud e integridad física o psicológica de las personas menores de 18 años de edad y donde se incluye la prohibición de participar en corridas de toros y espectáculos conexos, así como en su condición de espectador.</w:t>
      </w:r>
    </w:p>
    <w:p w:rsidR="008819AE" w:rsidRPr="007608C2" w:rsidRDefault="008819AE" w:rsidP="008819AE">
      <w:pPr>
        <w:spacing w:before="240"/>
        <w:jc w:val="both"/>
        <w:rPr>
          <w:rFonts w:cs="Arial"/>
        </w:rPr>
      </w:pPr>
      <w:r w:rsidRPr="007608C2">
        <w:rPr>
          <w:rFonts w:cs="Arial"/>
        </w:rPr>
        <w:t>Se ha presentó el Proyecto de ley 104 de 2016, por medio del cual se modifica la Ley 1098 de 2006 y la Ley 916 de 2004 reglamento nacional taurino y se dictan otras disposiciones, con el fin de dar cumplimiento a lo solicitado por el CDN, se realizan las siguientes acciones:</w:t>
      </w:r>
    </w:p>
    <w:p w:rsidR="008819AE" w:rsidRDefault="008819AE" w:rsidP="00A44A2B">
      <w:pPr>
        <w:pStyle w:val="Prrafodelista"/>
        <w:numPr>
          <w:ilvl w:val="0"/>
          <w:numId w:val="118"/>
        </w:numPr>
        <w:spacing w:after="0"/>
        <w:jc w:val="both"/>
        <w:rPr>
          <w:rFonts w:cs="Arial"/>
        </w:rPr>
      </w:pPr>
      <w:r w:rsidRPr="007608C2">
        <w:rPr>
          <w:rFonts w:cs="Arial"/>
        </w:rPr>
        <w:t xml:space="preserve">Desarrollo de ejercicios de asistencia técnica a los Comités Interinstitucionales de Erradicación de Trabajo Infantil y Protección del Menor Trabajador CIETI, en el marco de la nueva política pública y su propuesta de formulación de planes de acción, en los siguientes departamentos y sus ciudades capitales: Atlántico, Amazonas, Bolívar, Antioquia, Boyacá, </w:t>
      </w:r>
      <w:r w:rsidRPr="007608C2">
        <w:rPr>
          <w:rFonts w:cs="Arial"/>
        </w:rPr>
        <w:lastRenderedPageBreak/>
        <w:t>Vaupés, Cundinamarca, Vichada, Nariño, Sucre, Magdalena, Caldas</w:t>
      </w:r>
      <w:r w:rsidR="001C39BB">
        <w:rPr>
          <w:rFonts w:cs="Arial"/>
        </w:rPr>
        <w:t>, Norte de Santander y Córdoba.</w:t>
      </w:r>
    </w:p>
    <w:p w:rsidR="001C39BB" w:rsidRPr="007608C2" w:rsidRDefault="001C39BB" w:rsidP="001C39BB">
      <w:pPr>
        <w:pStyle w:val="Prrafodelista"/>
        <w:spacing w:after="0"/>
        <w:ind w:left="36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Consolidación y fortalecimiento de la estrategia de Equipos Móviles de Protección Integral – EMPI Trabajo Infantil, a través del ajuste del procedimiento y ejercicios de asistencia técnica.</w:t>
      </w:r>
    </w:p>
    <w:p w:rsidR="00F655E0" w:rsidRPr="007608C2" w:rsidRDefault="00F655E0" w:rsidP="00F655E0">
      <w:pPr>
        <w:pStyle w:val="Prrafodelista"/>
        <w:spacing w:after="0"/>
        <w:ind w:left="36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Implementación del plan de acción de los acuerdos Binacionales en zona de Frontera con Perú. Dentro de los acuerdos, se realiza visita a Lima y Bogotá – Leticia, por parte de los equipos técnicos. Este escenario permitió el intercambio de experiencias exitosas para el abordaje de la problemática por parte de los dos países. Lo anterior con el fin de disponer de los insumos para la formulación de una propuesta conjunta para la protección integral de los niños, niñas, adolescentes y sus familias colombianos y peruanos, presentes en zona de frontera, en riego o situación de trabajo infantil. Como respuesta a este ejercicio, se define un plan de acción, para el Fortalecimiento de los procesos que se adelantan con los niños, niñas y adolescentes trabajadores en la frontera (Amazonas Putumayo) Perú – Colombia.</w:t>
      </w:r>
    </w:p>
    <w:p w:rsidR="00F655E0" w:rsidRPr="00F655E0" w:rsidRDefault="00F655E0" w:rsidP="00F655E0">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El proyecto Somos Tesoro, a través de la organización Fondo Acción, hace entrega al ICBF en junio de 2017 de un listado de presuntos casos de trabajo infantil identificados por parte del componente de Monitoreo y Seguimiento del proyecto, en los municipios atendidos de los departamentos de Antioquia y Boyacá. Desde el ICBF, y con el apoyo logístico del proyecto, se programaron reuniones en El Bagre y Sogamoso en las cuales se convocaron a alcaldes, comisarios de familia, representantes del proyecto y funcionarios del ICBF del nivel territorial y nacional, con la finalidad de establecer un plan de atención para los niños, niñas, adolescentes y sus familias, a través de ofertas lideradas por Somos Tesoro, alcaldías e Instituto Colombiano de Bienestar Familiar y articuladas en las instancias del CIETI.</w:t>
      </w:r>
    </w:p>
    <w:p w:rsidR="00F655E0" w:rsidRPr="00F655E0" w:rsidRDefault="00F655E0" w:rsidP="00F655E0">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Se da inicio a la participación del equipo técnico de trabajo infantil de la Subdirección de Restablecimiento de Derechos en la Secretaría Técnica del proceso de implementación de Plan Nacional de Acción de Empresa y Derechos Humanos, con el propósito de visibilizar la problemática y garantizar que el Plan cuente con elementos técnicos para trabajar en su prevención, erradicación y la protecc</w:t>
      </w:r>
      <w:r w:rsidR="00F655E0">
        <w:rPr>
          <w:rFonts w:cs="Arial"/>
        </w:rPr>
        <w:t>ión del adolescente trabajador.</w:t>
      </w:r>
    </w:p>
    <w:p w:rsidR="00F655E0" w:rsidRPr="00F655E0" w:rsidRDefault="00F655E0" w:rsidP="00F655E0">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Participación en los procesos convocados por la Cancillería, relacionados con la III Fase del Plan de Acción del Grupo de Coordinación de Lucha contra la Minería Ilegal en la zona de frontera. Estas jornadas de capacitación permitieron socializar con Policía Nacional, Fiscalía, Sijin y otras entidades, la ruta de reporte y atención a los niños, niñas y adolescentes identificados en los operativos organizados por la Policía Nacional.</w:t>
      </w:r>
    </w:p>
    <w:p w:rsidR="00F655E0" w:rsidRPr="00F655E0" w:rsidRDefault="00F655E0" w:rsidP="00F655E0">
      <w:pPr>
        <w:spacing w:after="0"/>
        <w:jc w:val="both"/>
        <w:rPr>
          <w:rFonts w:cs="Arial"/>
        </w:rPr>
      </w:pPr>
    </w:p>
    <w:p w:rsidR="008819AE" w:rsidRPr="007608C2" w:rsidRDefault="008819AE" w:rsidP="00A44A2B">
      <w:pPr>
        <w:pStyle w:val="Prrafodelista"/>
        <w:numPr>
          <w:ilvl w:val="0"/>
          <w:numId w:val="118"/>
        </w:numPr>
        <w:spacing w:after="0"/>
        <w:jc w:val="both"/>
        <w:rPr>
          <w:rFonts w:cs="Arial"/>
        </w:rPr>
      </w:pPr>
      <w:r w:rsidRPr="007608C2">
        <w:rPr>
          <w:rFonts w:cs="Arial"/>
        </w:rPr>
        <w:t xml:space="preserve">Las jornadas contra el trabajo infantil implementadas a nivel nacional en coordinación con la Policía de Infancia y Adolescencia y las Alcaldías municipales, han permitido desarrollar </w:t>
      </w:r>
      <w:r w:rsidRPr="007608C2">
        <w:rPr>
          <w:rFonts w:cs="Arial"/>
        </w:rPr>
        <w:lastRenderedPageBreak/>
        <w:t xml:space="preserve">ejercicios interinstitucionales para atender la situación de los niños, niñas, adolescentes y sus familias afectados por el flagelo. </w:t>
      </w:r>
    </w:p>
    <w:p w:rsidR="008819AE" w:rsidRPr="007608C2" w:rsidRDefault="008819AE" w:rsidP="000D0DF1">
      <w:pPr>
        <w:keepNext/>
        <w:keepLines/>
        <w:numPr>
          <w:ilvl w:val="2"/>
          <w:numId w:val="160"/>
        </w:numPr>
        <w:spacing w:before="200"/>
        <w:outlineLvl w:val="1"/>
        <w:rPr>
          <w:rFonts w:eastAsiaTheme="majorEastAsia" w:cs="Arial"/>
          <w:b/>
          <w:szCs w:val="26"/>
        </w:rPr>
      </w:pPr>
      <w:bookmarkStart w:id="101" w:name="_Toc503465518"/>
      <w:bookmarkStart w:id="102" w:name="_Toc505183067"/>
      <w:r w:rsidRPr="007608C2">
        <w:rPr>
          <w:rFonts w:eastAsiaTheme="majorEastAsia" w:cs="Arial"/>
          <w:b/>
          <w:szCs w:val="26"/>
        </w:rPr>
        <w:t>Sistema de Responsabilidad Penal para Adolescentes.</w:t>
      </w:r>
      <w:bookmarkEnd w:id="101"/>
      <w:bookmarkEnd w:id="102"/>
    </w:p>
    <w:p w:rsidR="008819AE" w:rsidRPr="007608C2" w:rsidRDefault="008819AE" w:rsidP="008819AE">
      <w:pPr>
        <w:rPr>
          <w:rFonts w:cs="Arial"/>
          <w:b/>
        </w:rPr>
      </w:pPr>
      <w:r w:rsidRPr="007608C2">
        <w:rPr>
          <w:rFonts w:cs="Arial"/>
          <w:b/>
        </w:rPr>
        <w:t>Sistema Nacional de Coordinación de Responsabilidad Penal para Adolescentes –SNCRPA-</w:t>
      </w:r>
    </w:p>
    <w:p w:rsidR="008819AE" w:rsidRPr="007608C2" w:rsidRDefault="008819AE" w:rsidP="00A44A2B">
      <w:pPr>
        <w:pStyle w:val="Prrafodelista"/>
        <w:numPr>
          <w:ilvl w:val="0"/>
          <w:numId w:val="118"/>
        </w:numPr>
        <w:jc w:val="both"/>
        <w:rPr>
          <w:rFonts w:cs="Arial"/>
        </w:rPr>
      </w:pPr>
      <w:r w:rsidRPr="007608C2">
        <w:rPr>
          <w:rFonts w:cs="Arial"/>
        </w:rPr>
        <w:t xml:space="preserve">Al 31 de diciembre de 2017, la Subdirección de Responsabilidad Penal ha brindado asesoría, orientación y acompañamiento técnico, en articulación con el Ministerio de Justicia, en la primera sesión a 32 Comités Departamentales del SNCRPA, de los cuales se han aprobado 32 planes de acción. A partir de estos se impulsó las diferentes mesas o subcomités para la garantía de los derechos de los adolescentes y jóvenes del SRPA. </w:t>
      </w:r>
    </w:p>
    <w:p w:rsidR="008819AE" w:rsidRPr="007608C2" w:rsidRDefault="008819AE" w:rsidP="008819AE">
      <w:pPr>
        <w:rPr>
          <w:rFonts w:cs="Arial"/>
          <w:b/>
        </w:rPr>
      </w:pPr>
      <w:r w:rsidRPr="007608C2">
        <w:rPr>
          <w:rFonts w:cs="Arial"/>
          <w:b/>
        </w:rPr>
        <w:t>Construcción y puesta en marcha de Planes Interinstitucionales</w:t>
      </w:r>
    </w:p>
    <w:p w:rsidR="008819AE" w:rsidRPr="007608C2" w:rsidRDefault="008819AE" w:rsidP="00A44A2B">
      <w:pPr>
        <w:pStyle w:val="Prrafodelista"/>
        <w:numPr>
          <w:ilvl w:val="0"/>
          <w:numId w:val="118"/>
        </w:numPr>
        <w:jc w:val="both"/>
        <w:rPr>
          <w:rFonts w:cs="Arial"/>
        </w:rPr>
      </w:pPr>
      <w:r w:rsidRPr="007608C2">
        <w:rPr>
          <w:rFonts w:cs="Arial"/>
        </w:rPr>
        <w:t>En virtud de la corresponsabilidad de las entidades del SNBF y con el fin de garantizar los derechos de los adolescentes en conflicto con la ley que se encuentran en cumplimiento de las sanciones correspondientes a través de servicios de atención especializados y diferenciados, se fortaleció la construcción y puesta en marcha de planes interinstitucionales para la consecución de estos objetivos.</w:t>
      </w:r>
    </w:p>
    <w:p w:rsidR="008819AE" w:rsidRPr="007608C2" w:rsidRDefault="008819AE" w:rsidP="008819AE">
      <w:pPr>
        <w:jc w:val="both"/>
        <w:rPr>
          <w:rFonts w:cs="Arial"/>
          <w:b/>
        </w:rPr>
      </w:pPr>
      <w:r w:rsidRPr="007608C2">
        <w:rPr>
          <w:rFonts w:cs="Arial"/>
          <w:b/>
        </w:rPr>
        <w:t xml:space="preserve">Ministerio de Educación </w:t>
      </w:r>
    </w:p>
    <w:p w:rsidR="008819AE" w:rsidRPr="007608C2" w:rsidRDefault="008819AE" w:rsidP="008819AE">
      <w:pPr>
        <w:jc w:val="both"/>
        <w:rPr>
          <w:rFonts w:cs="Arial"/>
        </w:rPr>
      </w:pPr>
      <w:r w:rsidRPr="007608C2">
        <w:rPr>
          <w:rFonts w:cs="Arial"/>
        </w:rPr>
        <w:t>Para el fortalecimiento de los servicios de atención en la garantía del ejercicio del derecho a la educación, durante 2017 se han realizado las siguientes acciones:</w:t>
      </w:r>
    </w:p>
    <w:p w:rsidR="008819AE" w:rsidRDefault="008819AE" w:rsidP="00A44A2B">
      <w:pPr>
        <w:pStyle w:val="Prrafodelista"/>
        <w:numPr>
          <w:ilvl w:val="0"/>
          <w:numId w:val="118"/>
        </w:numPr>
        <w:spacing w:after="0"/>
        <w:jc w:val="both"/>
        <w:rPr>
          <w:rFonts w:cs="Arial"/>
        </w:rPr>
      </w:pPr>
      <w:r w:rsidRPr="007608C2">
        <w:rPr>
          <w:rFonts w:cs="Arial"/>
        </w:rPr>
        <w:t>Dos (2) videoconferencias a nivel nacional con 75 Entidades Territoriales Certificadas en Educación –ETCE- sobre el Decreto 2383 de 2015, contextualizació</w:t>
      </w:r>
      <w:r w:rsidR="00A97781">
        <w:rPr>
          <w:rFonts w:cs="Arial"/>
        </w:rPr>
        <w:t>n del SRPA y modelos flexibles.</w:t>
      </w:r>
    </w:p>
    <w:p w:rsidR="00A97781" w:rsidRPr="007608C2" w:rsidRDefault="00A97781" w:rsidP="00A97781">
      <w:pPr>
        <w:pStyle w:val="Prrafodelista"/>
        <w:spacing w:after="0"/>
        <w:ind w:left="36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Siete (7) Videolyncs con las regionales de Casanare, Huila. Quindío, Risaralda, Caldas, Santander y Putumayo con el objeto de brindar asistencia técnica para la implementación del Decreto 2383 de 2015.</w:t>
      </w:r>
    </w:p>
    <w:p w:rsidR="00A97781" w:rsidRPr="00A97781" w:rsidRDefault="00A97781" w:rsidP="00A97781">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Seis (6) encuentros departamentales de permanencia en los que han participado 15 Regionales: Valle de Cauca, Cauca, Huila, Caquetá, Putumayo, Magdalena, Bolívar, Atlántico, Cesar, Santander, Norte de Santander, Quindío, Risaralda, Tolima y Caldas. En estos encuentros se han establecido las acciones respectivas para la implementación del Decreto Educativo</w:t>
      </w:r>
      <w:r w:rsidR="00A97781">
        <w:rPr>
          <w:rFonts w:cs="Arial"/>
        </w:rPr>
        <w:t>.</w:t>
      </w:r>
    </w:p>
    <w:p w:rsidR="00A97781" w:rsidRPr="00A97781" w:rsidRDefault="00A97781" w:rsidP="00A97781">
      <w:pPr>
        <w:spacing w:after="0"/>
        <w:jc w:val="both"/>
        <w:rPr>
          <w:rFonts w:cs="Arial"/>
        </w:rPr>
      </w:pPr>
    </w:p>
    <w:p w:rsidR="008819AE" w:rsidRPr="007608C2" w:rsidRDefault="008819AE" w:rsidP="00A44A2B">
      <w:pPr>
        <w:pStyle w:val="Prrafodelista"/>
        <w:numPr>
          <w:ilvl w:val="0"/>
          <w:numId w:val="118"/>
        </w:numPr>
        <w:spacing w:after="0"/>
        <w:jc w:val="both"/>
        <w:rPr>
          <w:rFonts w:cs="Arial"/>
        </w:rPr>
      </w:pPr>
      <w:r w:rsidRPr="007608C2" w:rsidDel="00482AA6">
        <w:rPr>
          <w:rFonts w:cs="Arial"/>
        </w:rPr>
        <w:t xml:space="preserve"> </w:t>
      </w:r>
      <w:r w:rsidRPr="007608C2">
        <w:rPr>
          <w:rFonts w:cs="Arial"/>
        </w:rPr>
        <w:t xml:space="preserve">21 mesas técnicas sobre el estado de la prestación del servicio educativo en Caquetá, Antioquia (2 visitas), Meta, San Andrés, Amazonas, Magdalena (2 visitas), Vichada, Tolima, </w:t>
      </w:r>
      <w:r w:rsidRPr="007608C2">
        <w:rPr>
          <w:rFonts w:cs="Arial"/>
        </w:rPr>
        <w:lastRenderedPageBreak/>
        <w:t>Casanare, Cundinamarca, Valle, Atlántico, Quindío (2 visitas), Chocó, Santander (2 visitas), Caldas, Córdoba. En total se visitaron 17 Regionales.</w:t>
      </w:r>
    </w:p>
    <w:p w:rsidR="008819AE" w:rsidRPr="007608C2" w:rsidRDefault="008819AE" w:rsidP="00A44A2B">
      <w:pPr>
        <w:pStyle w:val="Prrafodelista"/>
        <w:numPr>
          <w:ilvl w:val="0"/>
          <w:numId w:val="118"/>
        </w:numPr>
        <w:spacing w:after="0"/>
        <w:jc w:val="both"/>
        <w:rPr>
          <w:rFonts w:cs="Arial"/>
        </w:rPr>
      </w:pPr>
      <w:r w:rsidRPr="007608C2">
        <w:rPr>
          <w:rFonts w:cs="Arial"/>
        </w:rPr>
        <w:t>Se envió un oficio de "Orientaciones pedagógicas para la prestación del servicio educativo en el marco del Sistema de Responsabilidad Penal para Adolescentes" a 95 Entidades Territoriales Certificadas en Educación.</w:t>
      </w:r>
    </w:p>
    <w:p w:rsidR="008819AE" w:rsidRPr="007608C2" w:rsidRDefault="008819AE" w:rsidP="008819AE">
      <w:pPr>
        <w:spacing w:before="240"/>
        <w:jc w:val="both"/>
        <w:rPr>
          <w:rFonts w:cs="Arial"/>
          <w:b/>
        </w:rPr>
      </w:pPr>
      <w:r w:rsidRPr="007608C2">
        <w:rPr>
          <w:rFonts w:cs="Arial"/>
          <w:b/>
        </w:rPr>
        <w:t>Ministerio de Cultura:</w:t>
      </w:r>
    </w:p>
    <w:p w:rsidR="008819AE" w:rsidRPr="007608C2" w:rsidRDefault="008819AE" w:rsidP="00A44A2B">
      <w:pPr>
        <w:pStyle w:val="Prrafodelista"/>
        <w:numPr>
          <w:ilvl w:val="0"/>
          <w:numId w:val="118"/>
        </w:numPr>
        <w:jc w:val="both"/>
        <w:rPr>
          <w:rFonts w:cs="Arial"/>
        </w:rPr>
      </w:pPr>
      <w:r w:rsidRPr="007608C2">
        <w:rPr>
          <w:rFonts w:cs="Arial"/>
        </w:rPr>
        <w:t xml:space="preserve">Para la vigencia 2017, se tenía proyectado dar continuidad a los talleres de teatro y comunicaciones para la población femenina que se encuentra en Centros de Atención Especializada en Antioquia, Valle del Cauca, Caldas y Bogotá D.C; sin embargo, el Ministerio de Cultura ha argumentado que no cuenta con los recursos para realizarlos. </w:t>
      </w:r>
    </w:p>
    <w:p w:rsidR="008819AE" w:rsidRPr="007608C2" w:rsidRDefault="008819AE" w:rsidP="008819AE">
      <w:pPr>
        <w:jc w:val="both"/>
        <w:rPr>
          <w:rFonts w:cs="Arial"/>
          <w:b/>
        </w:rPr>
      </w:pPr>
      <w:r w:rsidRPr="007608C2">
        <w:rPr>
          <w:rFonts w:cs="Arial"/>
          <w:b/>
        </w:rPr>
        <w:t>Ministerio de Salud</w:t>
      </w:r>
    </w:p>
    <w:p w:rsidR="008819AE" w:rsidRDefault="008819AE" w:rsidP="00A44A2B">
      <w:pPr>
        <w:pStyle w:val="Prrafodelista"/>
        <w:numPr>
          <w:ilvl w:val="0"/>
          <w:numId w:val="118"/>
        </w:numPr>
        <w:spacing w:after="0"/>
        <w:jc w:val="both"/>
        <w:rPr>
          <w:rFonts w:cs="Arial"/>
        </w:rPr>
      </w:pPr>
      <w:r w:rsidRPr="007608C2">
        <w:rPr>
          <w:rFonts w:cs="Arial"/>
        </w:rPr>
        <w:t>Para el 2017, en articulación con el Ministerio de Salud se realizó una reunión de evaluación del año 2016 y planeación de actividades para la presente vigencia, frente a este último punto se generaron tareas y responsables.</w:t>
      </w:r>
    </w:p>
    <w:p w:rsidR="00A97781" w:rsidRPr="007608C2" w:rsidRDefault="00A97781" w:rsidP="00A97781">
      <w:pPr>
        <w:pStyle w:val="Prrafodelista"/>
        <w:spacing w:after="0"/>
        <w:ind w:left="360"/>
        <w:jc w:val="both"/>
        <w:rPr>
          <w:rFonts w:cs="Arial"/>
        </w:rPr>
      </w:pPr>
    </w:p>
    <w:p w:rsidR="00A97781" w:rsidRDefault="008819AE" w:rsidP="00A44A2B">
      <w:pPr>
        <w:pStyle w:val="Prrafodelista"/>
        <w:numPr>
          <w:ilvl w:val="0"/>
          <w:numId w:val="118"/>
        </w:numPr>
        <w:spacing w:after="0"/>
        <w:jc w:val="both"/>
        <w:rPr>
          <w:rFonts w:cs="Arial"/>
        </w:rPr>
      </w:pPr>
      <w:r w:rsidRPr="007608C2">
        <w:rPr>
          <w:rFonts w:cs="Arial"/>
        </w:rPr>
        <w:t>La Subdirección de Responsabilidad llevó a cabo para el 2017, mesas técnicas de salud en 11 regiones del país (Caldas, Risaralda, Quindío, Guajira, Casanare, Boyacá, Sucre, Guaviare, Caquetá y Santander), donde se han presentado los avances, las dificultades y alternativas de solución para la garantía a la salud de los adolescentes y jóvenes del Sistema.</w:t>
      </w:r>
    </w:p>
    <w:p w:rsidR="008819AE" w:rsidRPr="00A97781" w:rsidRDefault="008819AE" w:rsidP="00A97781">
      <w:pPr>
        <w:spacing w:after="0"/>
        <w:jc w:val="both"/>
        <w:rPr>
          <w:rFonts w:cs="Arial"/>
        </w:rPr>
      </w:pPr>
      <w:r w:rsidRPr="00A97781">
        <w:rPr>
          <w:rFonts w:cs="Arial"/>
        </w:rPr>
        <w:t xml:space="preserve"> </w:t>
      </w:r>
    </w:p>
    <w:p w:rsidR="008819AE" w:rsidRPr="007608C2" w:rsidRDefault="008819AE" w:rsidP="00A44A2B">
      <w:pPr>
        <w:pStyle w:val="Prrafodelista"/>
        <w:numPr>
          <w:ilvl w:val="0"/>
          <w:numId w:val="118"/>
        </w:numPr>
        <w:spacing w:after="0"/>
        <w:jc w:val="both"/>
        <w:rPr>
          <w:rFonts w:cs="Arial"/>
        </w:rPr>
      </w:pPr>
      <w:r w:rsidRPr="007608C2">
        <w:rPr>
          <w:rFonts w:cs="Arial"/>
        </w:rPr>
        <w:t>Se realizaron 11 encuentros de salud de los cuales siete (7) se trabajaron en conjunto con la Subdirección de Restablecimiento de Derechos y cuatro (4) la Subdirección de Responsabilidad Penal, a estos se convocaron actores del sistema como son jueces, fiscales, procuradores, defensores públicos, secretarias de salud Departamentales y Municipales, con el objeto de articular las competencias de estos actores con la ruta de atención del SRPA y las rutas de promoción y mantenimiento u otras rutas especiales plasmadas en el Modelo de Atención en Salud.</w:t>
      </w:r>
    </w:p>
    <w:p w:rsidR="008819AE" w:rsidRPr="007608C2" w:rsidRDefault="008819AE" w:rsidP="008819AE">
      <w:pPr>
        <w:spacing w:before="240"/>
        <w:jc w:val="both"/>
        <w:rPr>
          <w:rFonts w:cs="Arial"/>
          <w:b/>
        </w:rPr>
      </w:pPr>
      <w:r w:rsidRPr="007608C2">
        <w:rPr>
          <w:rFonts w:cs="Arial"/>
          <w:b/>
        </w:rPr>
        <w:t xml:space="preserve">Ministerio de Justicia </w:t>
      </w:r>
    </w:p>
    <w:p w:rsidR="008819AE" w:rsidRDefault="008819AE" w:rsidP="00A44A2B">
      <w:pPr>
        <w:pStyle w:val="Prrafodelista"/>
        <w:numPr>
          <w:ilvl w:val="0"/>
          <w:numId w:val="118"/>
        </w:numPr>
        <w:spacing w:after="0"/>
        <w:jc w:val="both"/>
        <w:rPr>
          <w:rFonts w:cs="Arial"/>
        </w:rPr>
      </w:pPr>
      <w:r w:rsidRPr="007608C2">
        <w:rPr>
          <w:rFonts w:cs="Arial"/>
        </w:rPr>
        <w:t xml:space="preserve">El Plan Nacional de Desarrollo 2014 – 2018 “Todos por un Nuevo País”, establece la implementación de alternativas a la privación de la libertad para los actores que constituyen los eslabones más débiles de la cadena del narcotráfico como parte de una política pública de drogas más efectiva. En este marco, el Ministerio de Justicia y del Derecho, el Ministerio de Salud y Protección Social y el ICBF, realizaron el estudio de viabilidad jurídica y técnica del modelo de Tribunales de Tratamiento de Drogas -TTD-, como alternativa a la privación de la libertad dirigida a los adolescentes que cometen ciertos delitos que están asociados al consumo de drogas. A partir de este análisis, la mesa técnica nacional conformada por las </w:t>
      </w:r>
      <w:r w:rsidRPr="007608C2">
        <w:rPr>
          <w:rFonts w:cs="Arial"/>
        </w:rPr>
        <w:lastRenderedPageBreak/>
        <w:t>entidades antes relacionadas, así como la Fiscalía General de la Nación y expertos en drogas de la Empresa Social del Estado Carisma con quienes Ministerio de Justicia firmó convenio, se viene diseñando el modelo ajustado al contexto colombiano, denominado “Programa de Seguimiento Judicial al tratamiento de drogas en el Sistema de Responsabilidad Penal para Adolescentes”.</w:t>
      </w:r>
    </w:p>
    <w:p w:rsidR="00A97781" w:rsidRPr="007608C2" w:rsidRDefault="00A97781" w:rsidP="00A97781">
      <w:pPr>
        <w:pStyle w:val="Prrafodelista"/>
        <w:spacing w:after="0"/>
        <w:ind w:left="36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De manera articulada con el Ministerio de Justicia, Ministerio de Salud y Protección Social, ICBF, ESE Hospital Carisma y Entidades Territoriales del SRPA, con el apoyo de la Embajada de los Estados Unidos, se viene desarrollando el pilotaje del Programa de seguimiento judicial al tratamiento de drogas en el SRPA como alternativa a la Privación de Libertad. El programa inicia su implementación en la ciudad de Medellín a través de un pilotaje del mismo. Se propone una alternativa a la judicialización o a la utilización excesiva de medidas privativas de la libertad para adolescentes que como consecuencia del consumo de drogas hayan cometido delitos, quienes ingresan voluntariamente al programa de tratamiento para su adicción como medida complementaria a la sanción. Dicho tratamiento debe estar sometido a seguimiento de parte de un funcionario judicial y su incumplimiento puede acarrear la continuidad del proceso pena</w:t>
      </w:r>
      <w:r w:rsidR="00A97781">
        <w:rPr>
          <w:rFonts w:cs="Arial"/>
        </w:rPr>
        <w:t>l o la ejecución de la sanción.</w:t>
      </w:r>
    </w:p>
    <w:p w:rsidR="00A97781" w:rsidRPr="00A97781" w:rsidRDefault="00A97781" w:rsidP="00A97781">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 xml:space="preserve">Se identificaron 95 precandidatos, de los cuales 28 han aceptado ingresar al programa y han sido evaluados por Psiquiatría, siendo aceptados 25 luego de cumplir con criterios clínicos. Finalmente, ingresaron 20 adolescentes al programa, de los cuales 15 por aplicación de principio de oportunidad y cinco (5) por revisión de sanción. Así mismo, siete (7) adolescentes han solicitado </w:t>
      </w:r>
      <w:r w:rsidR="00A97781" w:rsidRPr="007608C2">
        <w:rPr>
          <w:rFonts w:cs="Arial"/>
        </w:rPr>
        <w:t>el alta voluntaria</w:t>
      </w:r>
      <w:r w:rsidRPr="007608C2">
        <w:rPr>
          <w:rFonts w:cs="Arial"/>
        </w:rPr>
        <w:t>, por lo que sus procesos continúan en la ruta jurídica del SRPA. Actualmente se encuentran 11 usuarios activos en tratamiento hospitalario y ambulatorio.</w:t>
      </w:r>
    </w:p>
    <w:p w:rsidR="00A97781" w:rsidRPr="00A97781" w:rsidRDefault="00A97781" w:rsidP="00A97781">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En el análisis de las causas por las cuales los adolescentes no ingresaron al programa se encuentra: (i) Tipo de aseguramiento en salud, barreras en el acceso a los servicios de salud al presentar problemas con su afiliación al Sistema de Seguridad Social en Salud, (ii) Adolescentes con diagnósticos por enfermedad mental descompensada, lo que exigió atención especializada desde salud mental; (iii) Afectaciones en salud física que requirió de tratamiento específico; (iv) 45 no aceptaron el programa debido a que están en fase pre contemplativa, es decir no reconocen su problemática y la afectación de esta en sus diferentes áreas de ajuste, por consiguiente, no tenían motivación para ingresar al programa; y (v) Cambio de ciudad de las familias de candidatos.</w:t>
      </w:r>
    </w:p>
    <w:p w:rsidR="00A97781" w:rsidRPr="00A97781" w:rsidRDefault="00A97781" w:rsidP="00A97781">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 xml:space="preserve">El ICBF en alianza con el Ministerio de Justicia y del Derecho y UNODC en Colombia, aunó esfuerzos técnicos, humanos y financieros para fortalecer los procesos de desarrollo institucional e interinstitucional, orientados a la promoción de la salud, la prevención y atención al consumo de los adolescentes y jóvenes del Sistema de Responsabilidad Penal. </w:t>
      </w:r>
      <w:r w:rsidRPr="007608C2">
        <w:rPr>
          <w:rFonts w:cs="Arial"/>
        </w:rPr>
        <w:lastRenderedPageBreak/>
        <w:t xml:space="preserve">En este sentido, se desarrolló el proceso de formación dirigido a operadores pedagógicos en cuatro (4) regionales con el objetivo de fortalecer procesos asociados a la prevención y atención en el consumo de SPA. Del 27 de febrero al 3 de marzo, se llevó a cabo esta jornada con asistencia de las Regionales Tolima, Santander, Bogotá y Cundinamarca. En estos escenarios se logró articular con los entes territoriales, de tal manera que los programas de prevención sean enlazados con los planes departamentales del SNCSRPA y Comités de Drogas de </w:t>
      </w:r>
      <w:r w:rsidR="00A97781">
        <w:rPr>
          <w:rFonts w:cs="Arial"/>
        </w:rPr>
        <w:t>los Departamentos o Municipios.</w:t>
      </w:r>
    </w:p>
    <w:p w:rsidR="00A97781" w:rsidRPr="00A97781" w:rsidRDefault="00A97781" w:rsidP="00A97781">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Teniendo en cuenta lo anterior, se coordinaron procesos de formación, formulación e implementación de estrategias de prevención del consumo de sustancias psicoactivas de adolescentes y jóvenes vinculados a unidades de atención en diferentes modalidades del SRPA, con la priorización para el desarrollo de esta iniciativa de las Regionales Bogotá, Cundinamarca, Tolima y Santander. Como resultado de esto, se diseñaron 10 estrategias de prevención en las cuatro (4) regiones priorizadas, con la participación activa de operadores pedagógicos de modalidades privativas y no privativas, las cuales se estarán ejecutando durante la misma vigencia. Dicho proceso lleva por nombre “Estrategias de prevención diseñadas en el marco del proceso de desarrollo de capacidades institucionales para la formulación de proyectos en prevención del consumo de drogas y atención integral para centros de atención vinculados al Sistema de Responsabilidad Penal para Adolescentes” y fue socializado el 15 y 16 de agosto con la participación de las 33 regionales ICBF, operadores pedagógicos y aliados estratégicos que participaron.</w:t>
      </w:r>
    </w:p>
    <w:p w:rsidR="00A97781" w:rsidRPr="007608C2" w:rsidRDefault="00A97781" w:rsidP="00A97781">
      <w:pPr>
        <w:pStyle w:val="Prrafodelista"/>
        <w:spacing w:after="0"/>
        <w:ind w:left="360"/>
        <w:jc w:val="both"/>
        <w:rPr>
          <w:rFonts w:cs="Arial"/>
        </w:rPr>
      </w:pPr>
    </w:p>
    <w:p w:rsidR="008819AE" w:rsidRDefault="008819AE" w:rsidP="008819AE">
      <w:pPr>
        <w:pStyle w:val="Prrafodelista"/>
        <w:spacing w:after="0"/>
        <w:ind w:left="360"/>
        <w:jc w:val="both"/>
        <w:rPr>
          <w:rFonts w:cs="Arial"/>
        </w:rPr>
      </w:pPr>
      <w:r w:rsidRPr="007608C2">
        <w:rPr>
          <w:rFonts w:cs="Arial"/>
        </w:rPr>
        <w:t>Actualmente, las regionales y unidades de atención que participaron de esta iniciativa se encuentran ejecutando las estrategias de prevención a las cuales se les realizará seguimiento en el mes de diciembre. De dicho proceso se construyó la Guía para la formulación de estrategias de prevención de consumo de SPA en el SRPA, la cual fue validada en el evento de socialización del mes de agosto. Con base en la retroalimentación recibida se está en el ejercicio de ajustes para su versión final.</w:t>
      </w:r>
    </w:p>
    <w:p w:rsidR="00A97781" w:rsidRPr="00A97781" w:rsidRDefault="00A97781" w:rsidP="00A97781">
      <w:pPr>
        <w:spacing w:after="0"/>
        <w:jc w:val="both"/>
        <w:rPr>
          <w:rFonts w:cs="Arial"/>
        </w:rPr>
      </w:pPr>
    </w:p>
    <w:p w:rsidR="008819AE" w:rsidRPr="007608C2" w:rsidRDefault="008819AE" w:rsidP="00A44A2B">
      <w:pPr>
        <w:pStyle w:val="Prrafodelista"/>
        <w:numPr>
          <w:ilvl w:val="0"/>
          <w:numId w:val="118"/>
        </w:numPr>
        <w:jc w:val="both"/>
        <w:rPr>
          <w:rFonts w:cs="Arial"/>
        </w:rPr>
      </w:pPr>
      <w:r w:rsidRPr="007608C2">
        <w:rPr>
          <w:rFonts w:cs="Arial"/>
        </w:rPr>
        <w:t>Se dio inicio al segundo estudio nacional de consumo de SPA en la población del SRPA, el cual está siendo desarrollado por el Centro Nacional de Consultoría a través del contrato suscrito con el Ministerio de Justicia y del Derecho, siendo ICBF parte de la mesa técnica conformada para este proceso.</w:t>
      </w:r>
    </w:p>
    <w:p w:rsidR="008819AE" w:rsidRPr="007608C2" w:rsidRDefault="008819AE" w:rsidP="008819AE">
      <w:pPr>
        <w:rPr>
          <w:rFonts w:cs="Arial"/>
          <w:b/>
        </w:rPr>
      </w:pPr>
      <w:r w:rsidRPr="007608C2">
        <w:rPr>
          <w:rFonts w:cs="Arial"/>
          <w:b/>
        </w:rPr>
        <w:t>Fiscalía General de la Nación</w:t>
      </w:r>
    </w:p>
    <w:p w:rsidR="008819AE" w:rsidRDefault="008819AE" w:rsidP="00A44A2B">
      <w:pPr>
        <w:pStyle w:val="Prrafodelista"/>
        <w:numPr>
          <w:ilvl w:val="0"/>
          <w:numId w:val="118"/>
        </w:numPr>
        <w:spacing w:after="0"/>
        <w:jc w:val="both"/>
        <w:rPr>
          <w:rFonts w:cs="Arial"/>
        </w:rPr>
      </w:pPr>
      <w:r w:rsidRPr="007608C2">
        <w:rPr>
          <w:rFonts w:cs="Arial"/>
        </w:rPr>
        <w:t xml:space="preserve">Teniendo en cuenta que la Resolución No. 1006 de 2016, mediante la cual la Fiscalía General de la Nación reglamentó el programa de protección a testigos, víctimas e intervinientes en el procesos penal, no se contempla la posibilidad de incluir en el mencionado programa a los menores de edad que no cuenten con grupo familiar y hayan participado en el proceso en calidad de testigos, víctimas o intervinientes, como tampoco a los adolescentes privados de </w:t>
      </w:r>
      <w:r w:rsidRPr="007608C2">
        <w:rPr>
          <w:rFonts w:cs="Arial"/>
        </w:rPr>
        <w:lastRenderedPageBreak/>
        <w:t>la libertad en nuestro CIP y CAE, se presentó proyecto de reforma a la referida resolución, la cual se encuentra en estudio en la Fiscalía General de la Nación.</w:t>
      </w:r>
    </w:p>
    <w:p w:rsidR="001C39BB" w:rsidRPr="007608C2" w:rsidRDefault="001C39BB" w:rsidP="001C39BB">
      <w:pPr>
        <w:pStyle w:val="Prrafodelista"/>
        <w:spacing w:after="0"/>
        <w:ind w:left="360"/>
        <w:jc w:val="both"/>
        <w:rPr>
          <w:rFonts w:cs="Arial"/>
        </w:rPr>
      </w:pPr>
    </w:p>
    <w:p w:rsidR="008819AE" w:rsidRPr="007608C2" w:rsidRDefault="008819AE" w:rsidP="00A44A2B">
      <w:pPr>
        <w:pStyle w:val="Prrafodelista"/>
        <w:numPr>
          <w:ilvl w:val="0"/>
          <w:numId w:val="118"/>
        </w:numPr>
        <w:spacing w:after="0"/>
        <w:jc w:val="both"/>
        <w:rPr>
          <w:rFonts w:cs="Arial"/>
        </w:rPr>
      </w:pPr>
      <w:r w:rsidRPr="007608C2">
        <w:rPr>
          <w:rFonts w:cs="Arial"/>
        </w:rPr>
        <w:t>Ante petición de la Dirección de Protección de la Fiscalía General de la Nación sobre ubicación transitoria de niños, niñas y adolescentes quienes por eventos procesales, de salud u otras circunstancias quedan sin acompañamiento de sus progenitores o cuidadores, con la participación de la Dirección de Protección, subdirecciones de Restablecimiento y Responsabilidad Penal y de la Oficina de Aseguramiento a la Calidad, se proyectó resolución mediante la cual permite la ubicación transitoria en instituciones que brinda albergue y cuidado. El proyecto de resolución se encuentra a consideración de la Fiscalía General de la Nación.</w:t>
      </w:r>
    </w:p>
    <w:p w:rsidR="008819AE" w:rsidRPr="007608C2" w:rsidRDefault="008819AE" w:rsidP="008819AE">
      <w:pPr>
        <w:spacing w:before="240"/>
        <w:jc w:val="both"/>
        <w:rPr>
          <w:rFonts w:cs="Arial"/>
          <w:b/>
        </w:rPr>
      </w:pPr>
      <w:r w:rsidRPr="007608C2">
        <w:rPr>
          <w:rFonts w:cs="Arial"/>
          <w:b/>
        </w:rPr>
        <w:t>Línea de Trabajo de Sistema de Responsabilidad Penal para Adolescentes</w:t>
      </w:r>
    </w:p>
    <w:p w:rsidR="008819AE" w:rsidRDefault="008819AE" w:rsidP="00A44A2B">
      <w:pPr>
        <w:pStyle w:val="Prrafodelista"/>
        <w:numPr>
          <w:ilvl w:val="0"/>
          <w:numId w:val="118"/>
        </w:numPr>
        <w:spacing w:after="0"/>
        <w:jc w:val="both"/>
        <w:rPr>
          <w:rFonts w:cs="Arial"/>
        </w:rPr>
      </w:pPr>
      <w:r w:rsidRPr="007608C2">
        <w:rPr>
          <w:rFonts w:cs="Arial"/>
        </w:rPr>
        <w:t xml:space="preserve">En esta línea se han adelantado acciones tendientes a viabilizar la aplicación del Principio de Oportunidad como principio rector de aplicación preferente conforme lo dispone el artículo 174 de la Ley 1098 de 2006, entre las cuales se encuentra el Plan Piloto que cubre los distritos judiciales de Riohacha, Ibagué, Cartagena, Bucaramanga, Neiva y en la </w:t>
      </w:r>
      <w:r w:rsidR="005B2B05">
        <w:rPr>
          <w:rFonts w:cs="Arial"/>
        </w:rPr>
        <w:t>ciudad de Soacha- Cundinamarca.</w:t>
      </w:r>
    </w:p>
    <w:p w:rsidR="005B2B05" w:rsidRPr="007608C2" w:rsidRDefault="005B2B05" w:rsidP="005B2B05">
      <w:pPr>
        <w:pStyle w:val="Prrafodelista"/>
        <w:spacing w:after="0"/>
        <w:ind w:left="36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En razón a que la Fiscalía Expidió la Resolución No. 4155 del 29 de diciembre 2016, se inició el plan piloto de aplicación de principio de oportunidad en Soacha-Cundinamarca el 27 de febrero de 2017 con presentación de los alcances de la misma para reorientar la selección de casos; se propuso que la selección se efectúe con la participación de las dos defensorías de familia que actualmente se encuentran asignadas al SRPA para el mencionado circuito judicial y bajo el liderazgo de la Fiscalía de la URPA de Soacha. Adicionalmente, se realizó dos (2) reuniones con la participación de todas las autoridades que integran el SRPA en Soacha, incluido el alcalde municipal y la Directora Seccional de Fiscalías de Cundinamarca; reuniones en las que se obtuvo la asignación de un fiscal adicional para el circuito de Soacha y así agilizar la selección de casos para aplicar el principio de oportunidad. También se obtuvo la destinación de recursos logísticos para el adelantamiento de las investigaciones y el traslado de los adolescentes.</w:t>
      </w:r>
    </w:p>
    <w:p w:rsidR="005B2B05" w:rsidRPr="005B2B05" w:rsidRDefault="005B2B05" w:rsidP="005B2B05">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Así mismo, se participó en el plan piloto de aplicación de principio de oportunidad en Bogotá con suspensión del procedimiento a prueba, período dentro del cual deben cumplir condiciones con enfoque restaurativo.</w:t>
      </w:r>
    </w:p>
    <w:p w:rsidR="005B2B05" w:rsidRPr="005B2B05" w:rsidRDefault="005B2B05" w:rsidP="005B2B05">
      <w:pPr>
        <w:spacing w:after="0"/>
        <w:jc w:val="both"/>
        <w:rPr>
          <w:rFonts w:cs="Arial"/>
        </w:rPr>
      </w:pPr>
    </w:p>
    <w:p w:rsidR="008819AE" w:rsidRPr="007608C2" w:rsidRDefault="008819AE" w:rsidP="00A44A2B">
      <w:pPr>
        <w:pStyle w:val="Prrafodelista"/>
        <w:numPr>
          <w:ilvl w:val="0"/>
          <w:numId w:val="118"/>
        </w:numPr>
        <w:spacing w:after="0"/>
        <w:jc w:val="both"/>
        <w:rPr>
          <w:rFonts w:cs="Arial"/>
        </w:rPr>
      </w:pPr>
      <w:r w:rsidRPr="007608C2">
        <w:rPr>
          <w:rFonts w:cs="Arial"/>
        </w:rPr>
        <w:t xml:space="preserve">En el marco de intercambio de conocimientos, cinco (5) Defensores de Familia de las regionales de Santander, Norte de Santander y Antioquia (Magdalena Medio) participaron en el curso de actualización organizado por la Fiscalía General de la Nación durante los días 26, 27, 28 y 29 de septiembre de 2017 en la ciudad de Bucaramanga – Norte de Santander. Estos </w:t>
      </w:r>
      <w:r w:rsidRPr="007608C2">
        <w:rPr>
          <w:rFonts w:cs="Arial"/>
        </w:rPr>
        <w:lastRenderedPageBreak/>
        <w:t>se desarrollaron temas de investigación criminal, análisis criminal, ruta jurídica, funciones de policía judicial, rol del Defensor de Familia, principios del SRPA, temas en los cuales hubo necesidad de precisar conceptos por parte de un contratista de la Subdirección de Responsabilidad Penal del ICBF.</w:t>
      </w:r>
    </w:p>
    <w:p w:rsidR="008819AE" w:rsidRPr="007608C2" w:rsidRDefault="008819AE" w:rsidP="008819AE">
      <w:pPr>
        <w:spacing w:before="240"/>
        <w:jc w:val="both"/>
        <w:rPr>
          <w:rFonts w:cs="Arial"/>
          <w:b/>
        </w:rPr>
      </w:pPr>
      <w:r w:rsidRPr="007608C2">
        <w:rPr>
          <w:rFonts w:cs="Arial"/>
          <w:b/>
        </w:rPr>
        <w:t>SENA</w:t>
      </w:r>
    </w:p>
    <w:p w:rsidR="008819AE" w:rsidRDefault="008819AE" w:rsidP="00A44A2B">
      <w:pPr>
        <w:pStyle w:val="Prrafodelista"/>
        <w:numPr>
          <w:ilvl w:val="0"/>
          <w:numId w:val="118"/>
        </w:numPr>
        <w:spacing w:after="0"/>
        <w:jc w:val="both"/>
        <w:rPr>
          <w:rFonts w:cs="Arial"/>
        </w:rPr>
      </w:pPr>
      <w:r w:rsidRPr="007608C2">
        <w:rPr>
          <w:rFonts w:cs="Arial"/>
        </w:rPr>
        <w:t>Se socializó el trabajo realizado el último año sobre las presentaciones de sensibilización a docentes del SENA y el paso a paso para el acceso preferente interactivo, diseñados por el ICBF, a los enlaces regionales, a través de Videoconferencia Nacional.</w:t>
      </w:r>
    </w:p>
    <w:p w:rsidR="005B2B05" w:rsidRPr="007608C2" w:rsidRDefault="005B2B05" w:rsidP="005B2B05">
      <w:pPr>
        <w:pStyle w:val="Prrafodelista"/>
        <w:spacing w:after="0"/>
        <w:ind w:left="36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Se elaboró Plan de Acción conjunto para realizar eventos de sensibilización, jornadas de capacitación a operadores y talleres de orientación socio ocupacional, para el incremento de adolescentes y jóvenes en programas educativos del SENA.</w:t>
      </w:r>
    </w:p>
    <w:p w:rsidR="005B2B05" w:rsidRPr="005B2B05" w:rsidRDefault="005B2B05" w:rsidP="005B2B05">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Como resultado de las actividades de asistencia técnica, 175 adolescentes y jóvenes se han beneficiado del acceso preferente y se encuentran en procesos de formación con el SENA, en programas técnicos y tecnólogos.</w:t>
      </w:r>
    </w:p>
    <w:p w:rsidR="005B2B05" w:rsidRPr="005B2B05" w:rsidRDefault="005B2B05" w:rsidP="005B2B05">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Se realizaron dos (2) eventos de sensibilización para el primer semestre del 2017 en Santander y en Atlántico para los jóvenes con grados 9°, 10° y 11°, con el objetivo de que reconozcan que existen oportunidades únicas en la vida y que su mayor reto es aprender aprovecharlas.</w:t>
      </w:r>
    </w:p>
    <w:p w:rsidR="005B2B05" w:rsidRPr="005B2B05" w:rsidRDefault="005B2B05" w:rsidP="005B2B05">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Se realizaron dos (2) jornadas de capacitación en Santander y Atlántico a los operadores de servicio en lo referente al manejo de la plataforma virtual del SENA, con el objetivo de que los adolescentes y jóvenes tengan un servicio a la mano amable y oportuna.</w:t>
      </w:r>
    </w:p>
    <w:p w:rsidR="005B2B05" w:rsidRPr="005B2B05" w:rsidRDefault="005B2B05" w:rsidP="005B2B05">
      <w:pPr>
        <w:spacing w:after="0"/>
        <w:jc w:val="both"/>
        <w:rPr>
          <w:rFonts w:cs="Arial"/>
        </w:rPr>
      </w:pPr>
    </w:p>
    <w:p w:rsidR="008819AE" w:rsidRPr="007608C2" w:rsidRDefault="008819AE" w:rsidP="00A44A2B">
      <w:pPr>
        <w:pStyle w:val="Prrafodelista"/>
        <w:numPr>
          <w:ilvl w:val="0"/>
          <w:numId w:val="118"/>
        </w:numPr>
        <w:spacing w:after="0"/>
        <w:jc w:val="both"/>
        <w:rPr>
          <w:rFonts w:cs="Arial"/>
        </w:rPr>
      </w:pPr>
      <w:r w:rsidRPr="007608C2">
        <w:rPr>
          <w:rFonts w:cs="Arial"/>
        </w:rPr>
        <w:t>Se realizaron dos (2) jornadas de orientación ocupacional en medidas privativas y no privativas de la libertad en Antioquia y Valle, con el objetivo de evitar la deserción educativa en general, motivar a los operadores y brindar herramientas a los enlaces del SENA, ICBF y SRPA para la elaboración de un plan de acción que impacte y de respuesta al fortalecimiento del proyecto de vida de los jóvenes y adolescentes.</w:t>
      </w:r>
    </w:p>
    <w:p w:rsidR="008819AE" w:rsidRPr="007608C2" w:rsidRDefault="008819AE" w:rsidP="008819AE">
      <w:pPr>
        <w:spacing w:before="240"/>
        <w:jc w:val="both"/>
        <w:rPr>
          <w:rFonts w:cs="Arial"/>
          <w:b/>
        </w:rPr>
      </w:pPr>
      <w:r w:rsidRPr="007608C2">
        <w:rPr>
          <w:rFonts w:cs="Arial"/>
          <w:b/>
        </w:rPr>
        <w:t>Policía Nacional</w:t>
      </w:r>
    </w:p>
    <w:p w:rsidR="008819AE" w:rsidRPr="007608C2" w:rsidRDefault="008819AE" w:rsidP="008819AE">
      <w:pPr>
        <w:jc w:val="both"/>
        <w:rPr>
          <w:rFonts w:cs="Arial"/>
        </w:rPr>
      </w:pPr>
      <w:r w:rsidRPr="007608C2">
        <w:rPr>
          <w:rFonts w:cs="Arial"/>
        </w:rPr>
        <w:t>En articulación con la Policía Nacional, se realizó una serie de acciones para dar continuidad a los procesos adelantados en el 2016 y avanzar en el fortalecimiento de la atención de los adolescentes y jóvenes del SRPA:</w:t>
      </w:r>
    </w:p>
    <w:p w:rsidR="008819AE" w:rsidRDefault="008819AE" w:rsidP="00A44A2B">
      <w:pPr>
        <w:pStyle w:val="Prrafodelista"/>
        <w:numPr>
          <w:ilvl w:val="0"/>
          <w:numId w:val="118"/>
        </w:numPr>
        <w:spacing w:after="0"/>
        <w:jc w:val="both"/>
        <w:rPr>
          <w:rFonts w:cs="Arial"/>
        </w:rPr>
      </w:pPr>
      <w:r w:rsidRPr="007608C2">
        <w:rPr>
          <w:rFonts w:cs="Arial"/>
        </w:rPr>
        <w:lastRenderedPageBreak/>
        <w:t>Visita conjunta al departamento de Chocó para conocer las instalaciones del Centro de Atención Especializada que está próximo a ponerse en funcionamiento.  Así mismo, se envió oficio al Director de Protección, Brigadier General Julio César González Bedoya con el propósito que se adelanten estudios de seguridad en las Nuevas Unidades de Servicio. Se llevaron a cabo reuniones conjuntas con el objeto de ajustar los mecanismos de intercambio de información entre ambas instituciones.</w:t>
      </w:r>
    </w:p>
    <w:p w:rsidR="005B2B05" w:rsidRPr="007608C2" w:rsidRDefault="005B2B05" w:rsidP="005B2B05">
      <w:pPr>
        <w:pStyle w:val="Prrafodelista"/>
        <w:spacing w:after="0"/>
        <w:ind w:left="360"/>
        <w:jc w:val="both"/>
        <w:rPr>
          <w:rFonts w:cs="Arial"/>
        </w:rPr>
      </w:pPr>
    </w:p>
    <w:p w:rsidR="008819AE" w:rsidRPr="007608C2" w:rsidRDefault="008819AE" w:rsidP="00A44A2B">
      <w:pPr>
        <w:pStyle w:val="Prrafodelista"/>
        <w:numPr>
          <w:ilvl w:val="0"/>
          <w:numId w:val="118"/>
        </w:numPr>
        <w:spacing w:after="0"/>
        <w:jc w:val="both"/>
        <w:rPr>
          <w:rFonts w:cs="Arial"/>
        </w:rPr>
      </w:pPr>
      <w:r w:rsidRPr="007608C2">
        <w:rPr>
          <w:rFonts w:cs="Arial"/>
        </w:rPr>
        <w:t>Se conformó el equipo técnico para la revisión ajuste y/o elaboración del Protocolo de ingreso y registro, así como el de traslados y el de manejo de situaciones que afectan la convivencia en los centros privativos de libertad del SRPA. El 4 de agosto la Policía Nacional remitió concepto frente a los documentos mencionados. En respuesta al concepto emitido por la Policía Nacional, el ICBF remitió la comunicación S-2017-584090-0101 de 25 de octubre de 2017, en que hace aclaraciones y precisiones conceptuales, además solicita un espacio para concertar sobre el contenido de los Protocolos.</w:t>
      </w:r>
    </w:p>
    <w:p w:rsidR="008819AE" w:rsidRPr="007608C2" w:rsidRDefault="008819AE" w:rsidP="008819AE">
      <w:pPr>
        <w:spacing w:before="240"/>
        <w:jc w:val="both"/>
        <w:rPr>
          <w:rFonts w:cs="Arial"/>
          <w:b/>
        </w:rPr>
      </w:pPr>
      <w:r w:rsidRPr="007608C2">
        <w:rPr>
          <w:rFonts w:cs="Arial"/>
          <w:b/>
        </w:rPr>
        <w:t>Escuela Judicial Rodrigo Lara Bonilla</w:t>
      </w:r>
    </w:p>
    <w:p w:rsidR="008819AE" w:rsidRPr="007608C2" w:rsidRDefault="008819AE" w:rsidP="00A44A2B">
      <w:pPr>
        <w:pStyle w:val="Prrafodelista"/>
        <w:numPr>
          <w:ilvl w:val="0"/>
          <w:numId w:val="118"/>
        </w:numPr>
        <w:jc w:val="both"/>
        <w:rPr>
          <w:rFonts w:cs="Arial"/>
        </w:rPr>
      </w:pPr>
      <w:r w:rsidRPr="007608C2">
        <w:rPr>
          <w:rFonts w:cs="Arial"/>
        </w:rPr>
        <w:t>En articulación con la Escuela Judicial Rodrigo Lara Bonilla, la Fiscalía General de la Nación, el Fondo de las Naciones Unidas para la infancia -UNICEF- Colombia y el Ministerio de Salud, se realizó el Curso de Formación Interinstitucional en el Sistema de Responsabilidad Penal para Adolescentes - SRPA. Los temas tratados son: (i) Criterios de Interpretación de la Ley 1098 de 2006; (ii) Justicia Restaurativa en el SRPA, (iii) Principio de Oportunidad en el SRPA y (iv) Relación de Droga y Delito en Adolescentes en Conflicto con la Ley. Asisten los jueces, fiscales, defensores públicos, defensores de familia y procuradores asignados a los procesos judiciales del SRPA.</w:t>
      </w:r>
    </w:p>
    <w:p w:rsidR="008819AE" w:rsidRPr="007608C2" w:rsidRDefault="008819AE" w:rsidP="00A44A2B">
      <w:pPr>
        <w:pStyle w:val="Prrafodelista"/>
        <w:numPr>
          <w:ilvl w:val="0"/>
          <w:numId w:val="118"/>
        </w:numPr>
        <w:jc w:val="both"/>
        <w:rPr>
          <w:rFonts w:cs="Arial"/>
        </w:rPr>
      </w:pPr>
      <w:r w:rsidRPr="007608C2">
        <w:rPr>
          <w:rFonts w:cs="Arial"/>
        </w:rPr>
        <w:t xml:space="preserve">Se realizaron 12 cursos en los departamentos de Córdoba, Bolívar, San Andrés, Chocó, Sucre, La Guajira, Magdalena, Casanare, Amazonas, Caquetá, Cundinamarca y Cesar. Se contó con la participación de 480 profesionales aproximadamente. </w:t>
      </w:r>
    </w:p>
    <w:p w:rsidR="008819AE" w:rsidRPr="007608C2" w:rsidRDefault="008819AE" w:rsidP="00A44A2B">
      <w:pPr>
        <w:pStyle w:val="Prrafodelista"/>
        <w:numPr>
          <w:ilvl w:val="0"/>
          <w:numId w:val="118"/>
        </w:numPr>
        <w:jc w:val="both"/>
        <w:rPr>
          <w:rFonts w:cs="Arial"/>
        </w:rPr>
      </w:pPr>
      <w:r w:rsidRPr="007608C2">
        <w:rPr>
          <w:rFonts w:cs="Arial"/>
        </w:rPr>
        <w:t xml:space="preserve">Se realizaron convenios y alianzas estratégicas para el fortalecimiento del proyecto de vida los adolescentes y jóvenes del SRPA. </w:t>
      </w:r>
    </w:p>
    <w:p w:rsidR="008819AE" w:rsidRPr="007608C2" w:rsidRDefault="008819AE" w:rsidP="008819AE">
      <w:pPr>
        <w:jc w:val="both"/>
        <w:rPr>
          <w:rFonts w:cs="Arial"/>
        </w:rPr>
      </w:pPr>
      <w:r w:rsidRPr="007608C2">
        <w:rPr>
          <w:rFonts w:cs="Arial"/>
        </w:rPr>
        <w:t>Adicional a lo alcanzado gracias a los planes interinstitucionales relacionados en el capítulo anterior, se han obtenido los siguientes logros específicos en el marco de los convenios y alianzas estratégicas para el fortalecimiento del proyecto de vida de los adolescentes y jóvenes del SRPA:</w:t>
      </w:r>
    </w:p>
    <w:p w:rsidR="008819AE" w:rsidRPr="007608C2" w:rsidRDefault="008819AE" w:rsidP="008819AE">
      <w:pPr>
        <w:ind w:left="708"/>
        <w:jc w:val="both"/>
        <w:rPr>
          <w:rFonts w:cs="Arial"/>
        </w:rPr>
      </w:pPr>
      <w:r w:rsidRPr="007608C2">
        <w:rPr>
          <w:rFonts w:cs="Arial"/>
          <w:b/>
        </w:rPr>
        <w:t xml:space="preserve">Contrato de Aporte 1690 de 2017: </w:t>
      </w:r>
      <w:r w:rsidRPr="007608C2">
        <w:rPr>
          <w:rFonts w:cs="Arial"/>
        </w:rPr>
        <w:t xml:space="preserve">En 2017, se suscribió el contrato 1690 entre ICBF y la Corporación Dunna con el objeto de “Realizar procesos de formación en Practicas Restaurativas y Yoga y Metodologías de Historias de Vida en adolescentes y/o jóvenes vinculados al SRPA”, en que se beneficiarán adolescentes y/o jóvenes de las regionales Valle, Bogotá y Boyacá, además de profesionales de unidades de atención y previsionales </w:t>
      </w:r>
      <w:r w:rsidRPr="007608C2">
        <w:rPr>
          <w:rFonts w:cs="Arial"/>
        </w:rPr>
        <w:lastRenderedPageBreak/>
        <w:t>de ICBF. Se beneficiaron: 60 adolescentes y jóvenes en Historias de vida; 20 profesionales realizaron el diplomado en Practica Restaurativa; y seis (6) adolescentes/jóvenes y 14 profesionales realizaron el diplomado en Formación como Instructores de Yoga.</w:t>
      </w:r>
    </w:p>
    <w:p w:rsidR="008819AE" w:rsidRPr="007608C2" w:rsidRDefault="008819AE" w:rsidP="008819AE">
      <w:pPr>
        <w:ind w:left="708"/>
        <w:jc w:val="both"/>
        <w:rPr>
          <w:rFonts w:cs="Arial"/>
        </w:rPr>
      </w:pPr>
      <w:r w:rsidRPr="007608C2">
        <w:rPr>
          <w:rFonts w:cs="Arial"/>
          <w:b/>
        </w:rPr>
        <w:t>Alianza con la Fundación Construyendo Futuro para el Proyecto "Ruta Motor"</w:t>
      </w:r>
      <w:r w:rsidRPr="007608C2">
        <w:rPr>
          <w:rFonts w:cs="Arial"/>
        </w:rPr>
        <w:t>: Durante 2017, 5 jóvenes culminaron el proceso y se graduaron como técnicos profesionales en mecánica automotriz y latonería y pintura, esto gracias al acompañamiento del programa Ruta Motor. Actualmente se encuentran en proceso de vinculación laboral con la empresa Challenger.</w:t>
      </w:r>
    </w:p>
    <w:p w:rsidR="008819AE" w:rsidRPr="007608C2" w:rsidRDefault="008819AE" w:rsidP="008819AE">
      <w:pPr>
        <w:ind w:left="708"/>
        <w:jc w:val="both"/>
        <w:rPr>
          <w:rFonts w:cs="Arial"/>
        </w:rPr>
      </w:pPr>
      <w:r w:rsidRPr="007608C2">
        <w:rPr>
          <w:rFonts w:cs="Arial"/>
          <w:b/>
        </w:rPr>
        <w:t>Pruebas Saber</w:t>
      </w:r>
      <w:r w:rsidRPr="007608C2">
        <w:rPr>
          <w:rFonts w:cs="Arial"/>
        </w:rPr>
        <w:t>: En la vigencia 2017, beneficiaron 144 jóvenes del SRPA en grados 10° y 11° con un curso de preparación para las Pruebas Saber 11. Dicha prueba se presentó en agosto y nos encontramos a la espera de los resultados.</w:t>
      </w:r>
    </w:p>
    <w:p w:rsidR="008819AE" w:rsidRPr="007608C2" w:rsidRDefault="008819AE" w:rsidP="008819AE">
      <w:pPr>
        <w:jc w:val="both"/>
        <w:rPr>
          <w:rFonts w:cs="Arial"/>
          <w:b/>
        </w:rPr>
      </w:pPr>
      <w:r w:rsidRPr="007608C2">
        <w:rPr>
          <w:rFonts w:cs="Arial"/>
          <w:b/>
        </w:rPr>
        <w:t xml:space="preserve"> Prácticas y justicia restaurativa</w:t>
      </w:r>
    </w:p>
    <w:p w:rsidR="008819AE" w:rsidRDefault="008819AE" w:rsidP="00A44A2B">
      <w:pPr>
        <w:pStyle w:val="Prrafodelista"/>
        <w:numPr>
          <w:ilvl w:val="0"/>
          <w:numId w:val="118"/>
        </w:numPr>
        <w:spacing w:after="0"/>
        <w:jc w:val="both"/>
        <w:rPr>
          <w:rFonts w:cs="Arial"/>
        </w:rPr>
      </w:pPr>
      <w:r w:rsidRPr="007608C2">
        <w:rPr>
          <w:rFonts w:cs="Arial"/>
        </w:rPr>
        <w:t>Se realizó el tercer encuentro anual en Prácticas y Justicia Restaurativa “Perspectivas Internacionales” del Instituto Colombiano de Bienestar Familiar con el apoyo del Instituto Internacional de Prácticas Restaurativas –IIRP- y la Oficina de las Naciones Unidas contra la Droga y el Delito UNODC. Junio 29 y 30 de 2017. 120 participantes.</w:t>
      </w:r>
    </w:p>
    <w:p w:rsidR="005B2B05" w:rsidRPr="007608C2" w:rsidRDefault="005B2B05" w:rsidP="005B2B05">
      <w:pPr>
        <w:pStyle w:val="Prrafodelista"/>
        <w:spacing w:after="0"/>
        <w:ind w:left="36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Se brindó asistencia técnica a las regionales de Bolívar, Quindío, Cesar, Caldas, Caquetá y Valle en el proceso de implementación de Prácticas Restaurativas. Se vinculó a líderes SRPA, equipos de asistencia técnica, supervisores de contrato, defensores de familia, adolescentes y jóvenes de los servicios del SRPA y equipos de atención de los operadores de las unidades de atención. Se realizó planes de acción regionales para promover estos procesos: 2017-02-20 Bolívar; 2017-03-09 Quindío; 2017-04-27 Cesar; 2017-06-05 Caldas; 2017-07-10 Caquetá; y 2017-07-12 Valle del Cauca.</w:t>
      </w:r>
    </w:p>
    <w:p w:rsidR="005B2B05" w:rsidRPr="005B2B05" w:rsidRDefault="005B2B05" w:rsidP="005B2B05">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Se identificaron de experiencias exitosas en los procesos de implementación de Prácticas Restaurativas en servicios privativos y no privativos de la libertad y socialización de los operadores Terciarios Capuchinos, Crecer en Familia, FUNOF y FEI. Se contó con 120 participantes.</w:t>
      </w:r>
    </w:p>
    <w:p w:rsidR="005B2B05" w:rsidRPr="005B2B05" w:rsidRDefault="005B2B05" w:rsidP="005B2B05">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Se realizó gestión de contenidos, consolidación de información, aprobación desde la Dirección de Protección y remisión a la Oficina de Comunicaciones para la revisión y aprobación de la Gaceta 002 “Ser re</w:t>
      </w:r>
      <w:r w:rsidR="005B2B05">
        <w:rPr>
          <w:rFonts w:cs="Arial"/>
        </w:rPr>
        <w:t>staurativo” Edición junio 2017.</w:t>
      </w:r>
    </w:p>
    <w:p w:rsidR="005B2B05" w:rsidRPr="005B2B05" w:rsidRDefault="005B2B05" w:rsidP="005B2B05">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lastRenderedPageBreak/>
        <w:t>Se realizó la convocatoria, inscripciones y proceso de formación a través de la escuela virtual para el curso virtual de Prácticas Restaurativas en articulación con la dirección de Gestión Humana ICBF. Se contó con 270 participantes.</w:t>
      </w:r>
    </w:p>
    <w:p w:rsidR="001C39BB" w:rsidRPr="001C39BB" w:rsidRDefault="001C39BB" w:rsidP="001C39BB">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Se realizó el análisis y sistematización de los resultados del instrumento de caracterización en Prácticas Restaurativas 2017 en articulación con la Subdirección de Monitoreo y Evaluación, realizando caracterización de los procesos de implementación de Prácticas Restaurativas en las unidades de atención del SRPA.</w:t>
      </w:r>
    </w:p>
    <w:p w:rsidR="005B2B05" w:rsidRPr="007608C2" w:rsidRDefault="005B2B05" w:rsidP="005B2B05">
      <w:pPr>
        <w:pStyle w:val="Prrafodelista"/>
        <w:spacing w:after="0"/>
        <w:ind w:left="36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Se participó en resultados de procesos de investigación con la Universidad de los Andes en el marco del convenio 1396 del 2016, identificando el impacto de metodologías como el Yoga en componentes que tienen relación con el proceso de implementación de Prácticas Restaurativas tales como empatía, fomento de la responsabilidad, proyección para la reparación, entre otros.</w:t>
      </w:r>
    </w:p>
    <w:p w:rsidR="005B2B05" w:rsidRPr="005B2B05" w:rsidRDefault="005B2B05" w:rsidP="005B2B05">
      <w:pPr>
        <w:spacing w:after="0"/>
        <w:jc w:val="both"/>
        <w:rPr>
          <w:rFonts w:cs="Arial"/>
        </w:rPr>
      </w:pPr>
    </w:p>
    <w:p w:rsidR="008819AE" w:rsidRPr="007608C2" w:rsidRDefault="008819AE" w:rsidP="008819AE">
      <w:pPr>
        <w:pStyle w:val="Prrafodelista"/>
        <w:ind w:left="360"/>
        <w:jc w:val="both"/>
        <w:rPr>
          <w:rFonts w:cs="Arial"/>
        </w:rPr>
      </w:pPr>
      <w:r w:rsidRPr="007608C2">
        <w:rPr>
          <w:rFonts w:cs="Arial"/>
        </w:rPr>
        <w:t>Se han capacitado diferentes actores del SRPA a través de otras estrategias formativas tales como: (i) Ponencia en la “Jornada de formación en prevención del consumo de drogas y atención integral en el sistema de Responsabilidad Penal para Adolescentes” trabajando el contenido de “Procesos pedagógicos y restaurativos en el marco del SRPA”, realizada en articulación con el Ministerio de Justicia, el Ministerio de Salud, UNODC e ICBF; (ii) Ponencia y realización de módulo en Justicia y Práctica Restaurativa en la ciudad de Tunja – Boyacá en el marco del Diplomado “Sistema de Responsabilidad Penal para Adolescentes: elementos jurídicos, sociales y culturales trascendentes para su aplicación”; (iii) Asistencia técnica y formación en la regional Putumayo en el marco del “1er encuentro departamental de Prácticas y Justicia Restaurativa – Para un Sistema transformador de vidas”; (iv) Asistencia técnica a equipos de la casa de Justicia Juvenil Restaurativa en Prácticas Restaurativas y mecanismos alternativos para la solución de conflictos; (v) Inicio de diplomado en Prácticas Restaurativas con un total de 20 participantes de las regionales ICBF y operadores de servicios SRPA de Santander, Boyacá, Bogotá y Valle. Proceso certificado por la Universidad Minuto de Dios.</w:t>
      </w:r>
    </w:p>
    <w:p w:rsidR="008819AE" w:rsidRPr="007608C2" w:rsidRDefault="008819AE" w:rsidP="008819AE">
      <w:pPr>
        <w:jc w:val="both"/>
        <w:rPr>
          <w:rFonts w:cs="Arial"/>
          <w:b/>
        </w:rPr>
      </w:pPr>
      <w:r w:rsidRPr="007608C2">
        <w:rPr>
          <w:rFonts w:cs="Arial"/>
          <w:b/>
        </w:rPr>
        <w:t>Puesta en marcha de una estrategia de vinculación laboral</w:t>
      </w:r>
    </w:p>
    <w:p w:rsidR="008819AE" w:rsidRDefault="008819AE" w:rsidP="008819AE">
      <w:pPr>
        <w:spacing w:after="0"/>
        <w:jc w:val="both"/>
        <w:rPr>
          <w:rFonts w:cs="Arial"/>
        </w:rPr>
      </w:pPr>
      <w:r w:rsidRPr="007608C2">
        <w:rPr>
          <w:rFonts w:cs="Arial"/>
        </w:rPr>
        <w:t>La estrategia de inclusión laboral de la Subdirección de Responsabilidad Penal ha integrado una serie de acciones que buscan facilitar y promover el acceso al trabajo por parte de la población que se encuentra en los servicios del SRPA. De esta manera el ICBF ha motivado la articulación con diferentes organizaciones como el Servicio Público de Empleo, Kuepa, Citi Foundation, Ascún y cajas de compensación, entendiendo que la inclusión laboral necesitó de acciones en este proceso tales como:</w:t>
      </w:r>
    </w:p>
    <w:p w:rsidR="005B2B05" w:rsidRPr="007608C2" w:rsidRDefault="005B2B05" w:rsidP="008819AE">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lastRenderedPageBreak/>
        <w:t>Capacitación en entrevista de trabajo y diligenciamiento de la hoja de vida: Ha sido brindada por el servicio público de empleo, cajas de compensación familiar (CAFAM, Colsubsidio, Confandi y Comfenalco) y la Subdirección de Responsabilidad Penal.</w:t>
      </w:r>
    </w:p>
    <w:p w:rsidR="005B2B05" w:rsidRPr="007608C2" w:rsidRDefault="005B2B05" w:rsidP="005B2B05">
      <w:pPr>
        <w:pStyle w:val="Prrafodelista"/>
        <w:spacing w:after="0"/>
        <w:ind w:left="36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Registró en plataformas virtuales para su acceso a ofertas de trabajo: Registro efectuado en la plataforma del servicio público de empleo.</w:t>
      </w:r>
    </w:p>
    <w:p w:rsidR="001C39BB" w:rsidRPr="001C39BB" w:rsidRDefault="001C39BB" w:rsidP="001C39BB">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Orientación Laboral: Ha sido brindada por las cajas de compensación familiar (CAFAM, Colsubsidio, Confandi y Comfenalco)</w:t>
      </w:r>
      <w:r w:rsidR="005B2B05">
        <w:rPr>
          <w:rFonts w:cs="Arial"/>
        </w:rPr>
        <w:t>.</w:t>
      </w:r>
    </w:p>
    <w:p w:rsidR="005B2B05" w:rsidRPr="007608C2" w:rsidRDefault="005B2B05" w:rsidP="005B2B05">
      <w:pPr>
        <w:pStyle w:val="Prrafodelista"/>
        <w:spacing w:after="0"/>
        <w:ind w:left="36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Jornadas de selección: aplicación de pruebas psicométricas, entrevistas de trabajo y preselección (Asertempo).</w:t>
      </w:r>
    </w:p>
    <w:p w:rsidR="005B2B05" w:rsidRPr="005B2B05" w:rsidRDefault="005B2B05" w:rsidP="005B2B05">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Articulación de la Subdirección de Responsabilidad Penal y Ascun logrando la vinculación de cinco (5) jóvenes en la empresa Compañía del Sabor.</w:t>
      </w:r>
    </w:p>
    <w:p w:rsidR="005B2B05" w:rsidRPr="005B2B05" w:rsidRDefault="005B2B05" w:rsidP="005B2B05">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Se adelantaron procesos de formación, orientación y preparación para el mundo laboral a través de la estrategia de Orientación Socio Ocupacional –OSO- de Ascun con ICBF (28 Regionales beneficiarias, 280 adolescentes y jóvenes participantes)</w:t>
      </w:r>
      <w:r w:rsidR="005B2B05">
        <w:rPr>
          <w:rFonts w:cs="Arial"/>
        </w:rPr>
        <w:t>.</w:t>
      </w:r>
    </w:p>
    <w:p w:rsidR="005B2B05" w:rsidRPr="005B2B05" w:rsidRDefault="005B2B05" w:rsidP="005B2B05">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En 2017, se desarrolló el proyecto creando tu futuro el cual genera competencias laborales en atención al cliente, manejo de sistemas y hotelería y turismo, brinda apoyo para la nivelación en lecto-escritura, matemáticas e inglés y fortalecer proyecto de vida. 640 adolescentes y jóvenes participantes desde el inicio del proyecto en 2016-06 hasta corte 2017-08. Regionales beneficiarias: Cundinamarca, Bogotá, Atlántico, Bolívar, Antioquia y Santander.</w:t>
      </w:r>
    </w:p>
    <w:p w:rsidR="005B2B05" w:rsidRPr="005B2B05" w:rsidRDefault="005B2B05" w:rsidP="005B2B05">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Se realizaron ferias laborales en el ICBF con la participación de adolescentes y jóvenes del SRPA y Adoptabilidad, con el apoyo de organizaciones como GR Chía, Agencia temporal de empleo Tiempos y Caja de compensación Familiar Compensar. Participaron 80 adolescentes y jóvenes de las regionales de Bogotá y Cundinamarca.</w:t>
      </w:r>
    </w:p>
    <w:p w:rsidR="005B2B05" w:rsidRPr="005B2B05" w:rsidRDefault="005B2B05" w:rsidP="005B2B05">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Se organizó una feria con la Agencia Pública de Empleo del SENA de la regional Santander y la participación de adolescentes y jóvenes del Sistema de Responsabilidad Penal para Adolescentes y Adoptabilidad, con el apoyo del SENA. Participaron 50 adolescentes y jóvenes de las regional Santander.</w:t>
      </w:r>
    </w:p>
    <w:p w:rsidR="005B2B05" w:rsidRPr="005B2B05" w:rsidRDefault="005B2B05" w:rsidP="005B2B05">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 xml:space="preserve">Se realizó el censo laboral para la población de Adoptabilidad y Responsabilidad penal para Adolescentes y se consolidó la información remitida por 28 regionales (Amazonas, Antioquia, Arauca, Atlántico, Bogotá, Bolívar, Boyacá, Caldas, Caquetá, Cauca, Cesar, Choco, </w:t>
      </w:r>
      <w:r w:rsidRPr="007608C2">
        <w:rPr>
          <w:rFonts w:cs="Arial"/>
        </w:rPr>
        <w:lastRenderedPageBreak/>
        <w:t>Cundinamarca, Guainía, Guajira, Guaviare, Huila, Meta, Nariño, Norte De Santander, Quindío, San Andrés, Santander, Sucre, Tolima, Valle, Vaupés, Vichada). El resultado fue 405 jóvenes vinculados laboralmente, 307 del SRPA.</w:t>
      </w:r>
    </w:p>
    <w:p w:rsidR="005B2B05" w:rsidRPr="005B2B05" w:rsidRDefault="005B2B05" w:rsidP="005B2B05">
      <w:pPr>
        <w:spacing w:after="0"/>
        <w:jc w:val="both"/>
        <w:rPr>
          <w:rFonts w:cs="Arial"/>
        </w:rPr>
      </w:pPr>
    </w:p>
    <w:p w:rsidR="008819AE" w:rsidRPr="007608C2" w:rsidRDefault="008819AE" w:rsidP="00A44A2B">
      <w:pPr>
        <w:pStyle w:val="Prrafodelista"/>
        <w:numPr>
          <w:ilvl w:val="0"/>
          <w:numId w:val="118"/>
        </w:numPr>
        <w:spacing w:after="0"/>
        <w:jc w:val="both"/>
        <w:rPr>
          <w:rFonts w:cs="Arial"/>
        </w:rPr>
      </w:pPr>
      <w:r w:rsidRPr="007608C2">
        <w:rPr>
          <w:rFonts w:cs="Arial"/>
        </w:rPr>
        <w:t xml:space="preserve">Se gestionó y articuló con las agencias de empleo públicas del SENA; y privadas de Tiempos, Manpower y Compensar facilitando el acceso al trabajo en población de Responsabilidad Penal y Adoptabilidad. </w:t>
      </w:r>
    </w:p>
    <w:p w:rsidR="008819AE" w:rsidRDefault="008819AE" w:rsidP="00A44A2B">
      <w:pPr>
        <w:pStyle w:val="Prrafodelista"/>
        <w:numPr>
          <w:ilvl w:val="0"/>
          <w:numId w:val="118"/>
        </w:numPr>
        <w:spacing w:after="0"/>
        <w:jc w:val="both"/>
        <w:rPr>
          <w:rFonts w:cs="Arial"/>
        </w:rPr>
      </w:pPr>
      <w:r w:rsidRPr="007608C2">
        <w:rPr>
          <w:rFonts w:cs="Arial"/>
        </w:rPr>
        <w:t>Se gestionó para la realización de procesos de capacitación, emprendimiento y empleabilidad con población del SRPA articulados con la Fundación AMIS. 35 beneficiarios del CAE Belén de la regional Bogotá.</w:t>
      </w:r>
    </w:p>
    <w:p w:rsidR="005B2B05" w:rsidRPr="007608C2" w:rsidRDefault="005B2B05" w:rsidP="005B2B05">
      <w:pPr>
        <w:pStyle w:val="Prrafodelista"/>
        <w:spacing w:after="0"/>
        <w:ind w:left="36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Se realizaron visita a CENET Honduras identificando procesos de emprendimiento e inclusión socio - laboral exitosos, explorando posibilidades de extender estrategias a la población de Adoptabilidad y Responsabilidad Penal el 17 de julio de 2017.</w:t>
      </w:r>
    </w:p>
    <w:p w:rsidR="005B2B05" w:rsidRPr="005B2B05" w:rsidRDefault="005B2B05" w:rsidP="005B2B05">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Se realizó el primer módulo de trabajo de marca personal con la participación de 40 jóvenes de adoptabilidad y SRPA en el marco de la estrategia realiz</w:t>
      </w:r>
      <w:r w:rsidR="005B2B05">
        <w:rPr>
          <w:rFonts w:cs="Arial"/>
        </w:rPr>
        <w:t>ada con el foro de presidentes.</w:t>
      </w:r>
    </w:p>
    <w:p w:rsidR="005B2B05" w:rsidRPr="005B2B05" w:rsidRDefault="005B2B05" w:rsidP="005B2B05">
      <w:pPr>
        <w:spacing w:after="0"/>
        <w:jc w:val="both"/>
        <w:rPr>
          <w:rFonts w:cs="Arial"/>
        </w:rPr>
      </w:pPr>
    </w:p>
    <w:p w:rsidR="008819AE" w:rsidRDefault="008819AE" w:rsidP="00A44A2B">
      <w:pPr>
        <w:pStyle w:val="Prrafodelista"/>
        <w:numPr>
          <w:ilvl w:val="0"/>
          <w:numId w:val="118"/>
        </w:numPr>
        <w:spacing w:after="0"/>
        <w:jc w:val="both"/>
        <w:rPr>
          <w:rFonts w:cs="Arial"/>
        </w:rPr>
      </w:pPr>
      <w:r w:rsidRPr="007608C2">
        <w:rPr>
          <w:rFonts w:cs="Arial"/>
        </w:rPr>
        <w:t>Gestión, articulación y apoyo con nuevas organizaciones (Junior Achievement Colombia, Corporación Universitaria Minuto de Dios y ARA) para promover la inclusión socio laboral de la población de Subdirección de Responsabilidad Penal y Adoptabilidad.</w:t>
      </w:r>
    </w:p>
    <w:p w:rsidR="005B2B05" w:rsidRPr="005B2B05" w:rsidRDefault="005B2B05" w:rsidP="005B2B05">
      <w:pPr>
        <w:spacing w:after="0"/>
        <w:jc w:val="both"/>
        <w:rPr>
          <w:rFonts w:cs="Arial"/>
        </w:rPr>
      </w:pPr>
    </w:p>
    <w:p w:rsidR="008819AE" w:rsidRPr="007608C2" w:rsidRDefault="008819AE" w:rsidP="00A44A2B">
      <w:pPr>
        <w:pStyle w:val="Prrafodelista"/>
        <w:numPr>
          <w:ilvl w:val="0"/>
          <w:numId w:val="118"/>
        </w:numPr>
        <w:jc w:val="both"/>
        <w:rPr>
          <w:rFonts w:cs="Arial"/>
        </w:rPr>
      </w:pPr>
      <w:r w:rsidRPr="007608C2">
        <w:rPr>
          <w:rFonts w:cs="Arial"/>
        </w:rPr>
        <w:t>Se apoyó, gestionó, acompañó e integró cuatro (4) proyectos de emprendimiento de adolescentes y jóvenes de las regionales de Antioquia, Bogotá, Bolívar y Valle en la feria XpojovenES 2017 realizada desde Colombia Joven en Corferias. Los jóvenes exponen sus proyectos para lograr financiamiento y apoyo de inversionistas y organizaciones.</w:t>
      </w:r>
    </w:p>
    <w:p w:rsidR="005B2B05" w:rsidRDefault="005B2B05" w:rsidP="005B2B05">
      <w:pPr>
        <w:spacing w:before="200" w:after="0"/>
        <w:jc w:val="both"/>
        <w:rPr>
          <w:rFonts w:cs="Arial"/>
          <w:b/>
        </w:rPr>
      </w:pPr>
    </w:p>
    <w:p w:rsidR="008819AE" w:rsidRPr="007608C2" w:rsidRDefault="008819AE" w:rsidP="008819AE">
      <w:pPr>
        <w:spacing w:before="200"/>
        <w:jc w:val="both"/>
        <w:rPr>
          <w:rFonts w:cs="Arial"/>
          <w:b/>
        </w:rPr>
      </w:pPr>
      <w:r w:rsidRPr="007608C2">
        <w:rPr>
          <w:rFonts w:cs="Arial"/>
          <w:b/>
        </w:rPr>
        <w:t>Prevención del Daño Antijurídico:</w:t>
      </w:r>
    </w:p>
    <w:p w:rsidR="008819AE" w:rsidRDefault="008819AE" w:rsidP="008819AE">
      <w:pPr>
        <w:spacing w:after="0"/>
        <w:jc w:val="both"/>
        <w:rPr>
          <w:rFonts w:cs="Arial"/>
        </w:rPr>
      </w:pPr>
      <w:r w:rsidRPr="007608C2">
        <w:rPr>
          <w:rFonts w:cs="Arial"/>
        </w:rPr>
        <w:t>Teniendo en cuenta las características la población y de los servicios de atención del SRPA, para la vigencia 2017 se fortalecieron los procesos, acciones y estrategias asociadas a la prevención de daño antijurídico, lo cual está en sintonía con la Política de Prevenciones de Daño Antijurídico que se viene diseñando e impulsando en el ICBF. Esto con el objetivo de disminuir la probabilidad que se presenten situaciones que ponen en riesgo la vida e integridad de los adolescentes y jóvenes que se encuentran cumpliendo medidas y sanciones. En asistencia técnica integral presencial se retroalimentaron los planes de Santander, Risaralda y Tolima. Las acciones adelantadas y resultados fueron:</w:t>
      </w:r>
    </w:p>
    <w:p w:rsidR="005B2B05" w:rsidRPr="007608C2" w:rsidRDefault="005B2B05" w:rsidP="008819AE">
      <w:pPr>
        <w:spacing w:after="0"/>
        <w:jc w:val="both"/>
        <w:rPr>
          <w:rFonts w:cs="Arial"/>
        </w:rPr>
      </w:pPr>
    </w:p>
    <w:p w:rsidR="008819AE" w:rsidRDefault="008819AE" w:rsidP="00A44A2B">
      <w:pPr>
        <w:pStyle w:val="Prrafodelista"/>
        <w:numPr>
          <w:ilvl w:val="0"/>
          <w:numId w:val="119"/>
        </w:numPr>
        <w:spacing w:after="0"/>
        <w:jc w:val="both"/>
        <w:rPr>
          <w:rFonts w:cs="Arial"/>
        </w:rPr>
      </w:pPr>
      <w:r w:rsidRPr="007608C2">
        <w:rPr>
          <w:rFonts w:cs="Arial"/>
        </w:rPr>
        <w:lastRenderedPageBreak/>
        <w:t>La Subdirección de Responsabilidad Penal recibió 32 Planes de Acción enviados por las diferentes Regionales.</w:t>
      </w:r>
    </w:p>
    <w:p w:rsidR="005B2B05" w:rsidRPr="007608C2" w:rsidRDefault="005B2B05" w:rsidP="005B2B05">
      <w:pPr>
        <w:pStyle w:val="Prrafodelista"/>
        <w:spacing w:after="0"/>
        <w:ind w:left="720"/>
        <w:jc w:val="both"/>
        <w:rPr>
          <w:rFonts w:cs="Arial"/>
        </w:rPr>
      </w:pPr>
    </w:p>
    <w:p w:rsidR="008819AE" w:rsidRDefault="008819AE" w:rsidP="00A44A2B">
      <w:pPr>
        <w:pStyle w:val="Prrafodelista"/>
        <w:numPr>
          <w:ilvl w:val="0"/>
          <w:numId w:val="119"/>
        </w:numPr>
        <w:spacing w:after="0"/>
        <w:jc w:val="both"/>
        <w:rPr>
          <w:rFonts w:cs="Arial"/>
        </w:rPr>
      </w:pPr>
      <w:r w:rsidRPr="007608C2">
        <w:rPr>
          <w:rFonts w:cs="Arial"/>
        </w:rPr>
        <w:t>Se retroalimentaron los planes de acción a través de videoconferencias. Se realizaron tres (4) videoconferencias con la participación de las 27 Regionales: Norte de Santander, Santander, Boyacá, Tolima, Caldas, Sucre, Antioquia, Atlántico, Bolívar, Guajira, Magdalena, Cesar, Cauca, Meta, Nariño, Quindío, Risaralda, Arauca, Choco Amazonas, Valle, Córdoba, Huila, San Andrés, Casanare, Cundinamarca y Guaviare.</w:t>
      </w:r>
    </w:p>
    <w:p w:rsidR="00E14FAF" w:rsidRPr="00E14FAF" w:rsidRDefault="00E14FAF" w:rsidP="00E14FAF">
      <w:pPr>
        <w:spacing w:after="0"/>
        <w:jc w:val="both"/>
        <w:rPr>
          <w:rFonts w:cs="Arial"/>
        </w:rPr>
      </w:pPr>
    </w:p>
    <w:p w:rsidR="008819AE" w:rsidRDefault="008819AE" w:rsidP="00A44A2B">
      <w:pPr>
        <w:pStyle w:val="Prrafodelista"/>
        <w:numPr>
          <w:ilvl w:val="0"/>
          <w:numId w:val="119"/>
        </w:numPr>
        <w:spacing w:after="0"/>
        <w:jc w:val="both"/>
        <w:rPr>
          <w:rFonts w:cs="Arial"/>
        </w:rPr>
      </w:pPr>
      <w:r w:rsidRPr="007608C2">
        <w:rPr>
          <w:rFonts w:cs="Arial"/>
        </w:rPr>
        <w:t>Las regionales enviaron tres (3) informes seguimiento de acuerdo con las instrucciones dadas desde la Subdirección, los cuales consolidan el proceso desarrollado por cada una de ellas.</w:t>
      </w:r>
    </w:p>
    <w:p w:rsidR="005B2B05" w:rsidRPr="007608C2" w:rsidRDefault="005B2B05" w:rsidP="005B2B05">
      <w:pPr>
        <w:pStyle w:val="Prrafodelista"/>
        <w:spacing w:after="0"/>
        <w:ind w:left="720"/>
        <w:jc w:val="both"/>
        <w:rPr>
          <w:rFonts w:cs="Arial"/>
        </w:rPr>
      </w:pPr>
    </w:p>
    <w:p w:rsidR="008819AE" w:rsidRPr="007608C2" w:rsidRDefault="008819AE" w:rsidP="00A44A2B">
      <w:pPr>
        <w:pStyle w:val="Prrafodelista"/>
        <w:numPr>
          <w:ilvl w:val="0"/>
          <w:numId w:val="119"/>
        </w:numPr>
        <w:spacing w:after="0"/>
        <w:jc w:val="both"/>
        <w:rPr>
          <w:rFonts w:cs="Arial"/>
        </w:rPr>
      </w:pPr>
      <w:r w:rsidRPr="007608C2">
        <w:rPr>
          <w:rFonts w:cs="Arial"/>
        </w:rPr>
        <w:t>Se realizó la videoconferencia de cierre, en la cual se retroalimenta el proceso de todo el año y se brindan las indicaciones para el plan de acción de 2018, cuyo énfasis está en el diseño de una estrategia de prevención de riñas entre adolescentes, prevención de conducta suicida y de violencia sexual al interior de las unidades de atención privativas de la libertad. En este espacio virtual se contó con la participación de 28 regionales.</w:t>
      </w:r>
    </w:p>
    <w:p w:rsidR="008819AE" w:rsidRPr="007608C2" w:rsidRDefault="008819AE" w:rsidP="008819AE">
      <w:pPr>
        <w:spacing w:before="240"/>
        <w:jc w:val="both"/>
        <w:rPr>
          <w:rFonts w:cs="Arial"/>
          <w:b/>
        </w:rPr>
      </w:pPr>
      <w:r w:rsidRPr="007608C2">
        <w:rPr>
          <w:rFonts w:cs="Arial"/>
          <w:b/>
        </w:rPr>
        <w:t>Revisión de los resultados de la Prueba Merani y aplicación de los mismos</w:t>
      </w:r>
    </w:p>
    <w:p w:rsidR="008819AE" w:rsidRDefault="008819AE" w:rsidP="00A44A2B">
      <w:pPr>
        <w:pStyle w:val="Prrafodelista"/>
        <w:numPr>
          <w:ilvl w:val="0"/>
          <w:numId w:val="119"/>
        </w:numPr>
        <w:spacing w:after="0"/>
        <w:jc w:val="both"/>
        <w:rPr>
          <w:rFonts w:cs="Arial"/>
        </w:rPr>
      </w:pPr>
      <w:r w:rsidRPr="007608C2">
        <w:rPr>
          <w:rFonts w:cs="Arial"/>
        </w:rPr>
        <w:t>Se realizó seguimiento y acompañamiento para que las actividades que se plantearon en las instituciones estén orientadas al desarrollo y fortalecimiento de los talentos identificados, específicamente para que brinden a los adolescentes y jóvenes la formación en actividades de su interés, que sean realizadas con destreza y habilidad con el objetivo de garantizar que dichas actividades contribuyan al fortalecimiento de su proyecto de vida.</w:t>
      </w:r>
    </w:p>
    <w:p w:rsidR="005B2B05" w:rsidRPr="007608C2" w:rsidRDefault="005B2B05" w:rsidP="005B2B05">
      <w:pPr>
        <w:pStyle w:val="Prrafodelista"/>
        <w:spacing w:after="0"/>
        <w:ind w:left="720"/>
        <w:jc w:val="both"/>
        <w:rPr>
          <w:rFonts w:cs="Arial"/>
        </w:rPr>
      </w:pPr>
    </w:p>
    <w:p w:rsidR="008819AE" w:rsidRPr="007608C2" w:rsidRDefault="008819AE" w:rsidP="00A44A2B">
      <w:pPr>
        <w:pStyle w:val="Prrafodelista"/>
        <w:numPr>
          <w:ilvl w:val="0"/>
          <w:numId w:val="119"/>
        </w:numPr>
        <w:spacing w:after="0"/>
        <w:jc w:val="both"/>
        <w:rPr>
          <w:rFonts w:cs="Arial"/>
        </w:rPr>
      </w:pPr>
      <w:r w:rsidRPr="007608C2">
        <w:rPr>
          <w:rFonts w:cs="Arial"/>
        </w:rPr>
        <w:t xml:space="preserve">Se dio alcance al Memorando S-2017-166342-0101 del 28 de marzo de 2017 con el fin de divulgar la nueva ruta de la IP pública, a la cual pueden acceder los operadores desde cualquier equipo con conexión a internet a la dirección https://site.icbf.gov.co. Desde esta fecha se ha aplicado la prueba a un total de 4.289 adolescentes y jóvenes. </w:t>
      </w:r>
    </w:p>
    <w:p w:rsidR="008819AE" w:rsidRPr="007608C2" w:rsidRDefault="008819AE" w:rsidP="008819AE">
      <w:pPr>
        <w:spacing w:before="240"/>
        <w:jc w:val="both"/>
        <w:rPr>
          <w:rFonts w:cs="Arial"/>
          <w:b/>
        </w:rPr>
      </w:pPr>
      <w:r w:rsidRPr="007608C2">
        <w:rPr>
          <w:rFonts w:cs="Arial"/>
          <w:b/>
        </w:rPr>
        <w:t>Acciones realizadas en el marco del Plan de Infraestructura</w:t>
      </w:r>
    </w:p>
    <w:p w:rsidR="008819AE" w:rsidRPr="007608C2" w:rsidRDefault="008819AE" w:rsidP="00A44A2B">
      <w:pPr>
        <w:pStyle w:val="Prrafodelista"/>
        <w:numPr>
          <w:ilvl w:val="0"/>
          <w:numId w:val="119"/>
        </w:numPr>
        <w:jc w:val="both"/>
        <w:rPr>
          <w:rFonts w:cs="Arial"/>
        </w:rPr>
      </w:pPr>
      <w:r w:rsidRPr="007608C2">
        <w:rPr>
          <w:rFonts w:cs="Arial"/>
        </w:rPr>
        <w:t>Se realizaron 30 visitas de acompañamiento técnico para la evaluación y el seguimiento de infraestructura del SRPA de 26 Regionales.</w:t>
      </w:r>
    </w:p>
    <w:p w:rsidR="008819AE" w:rsidRPr="007608C2" w:rsidRDefault="008819AE" w:rsidP="00A44A2B">
      <w:pPr>
        <w:pStyle w:val="Prrafodelista"/>
        <w:numPr>
          <w:ilvl w:val="0"/>
          <w:numId w:val="119"/>
        </w:numPr>
        <w:jc w:val="both"/>
        <w:rPr>
          <w:rFonts w:cs="Arial"/>
        </w:rPr>
      </w:pPr>
      <w:r w:rsidRPr="007608C2">
        <w:rPr>
          <w:rFonts w:cs="Arial"/>
        </w:rPr>
        <w:t>La Subdirección se presentó a la Dirección Administrativa un informe de focalización en donde se determinó la justificación técnica/misional de cada una de las infraestructuras en donde se cuenta con modalidades de CIP y CAE; las intervenciones a contratar y si estas tenían impacto en los cupos.</w:t>
      </w:r>
    </w:p>
    <w:p w:rsidR="008819AE" w:rsidRPr="007608C2" w:rsidRDefault="008819AE" w:rsidP="00A44A2B">
      <w:pPr>
        <w:pStyle w:val="Prrafodelista"/>
        <w:numPr>
          <w:ilvl w:val="0"/>
          <w:numId w:val="119"/>
        </w:numPr>
        <w:jc w:val="both"/>
        <w:rPr>
          <w:rFonts w:cs="Arial"/>
        </w:rPr>
      </w:pPr>
      <w:r w:rsidRPr="007608C2">
        <w:rPr>
          <w:rFonts w:cs="Arial"/>
        </w:rPr>
        <w:lastRenderedPageBreak/>
        <w:t>La Subdirección adelantó diversas acciones encaminadas a la ampliación de la oferta institucional en relación con los Centros de Atención Especializada - CAE. De igual forma, en el escenario de articulación interinstitucional propio de los Comités Departamentales del Sistema Nacional de Coordinación de Responsabilidad Penal para Adolescentes -SNCRP, se efectuó un seguimiento constante de las gestiones para la construcción y adecuación de estos, estableciéndose criterios específicos en relación con la entrega de las obras y la entrada en funcionamiento de los nuevos CAE en los departamentos de Chocó, Córdoba, Cundinamarca, Magdalena, Meta y San Andrés.</w:t>
      </w:r>
    </w:p>
    <w:p w:rsidR="00CF3206" w:rsidRPr="007608C2" w:rsidRDefault="008819AE" w:rsidP="008819AE">
      <w:pPr>
        <w:jc w:val="both"/>
        <w:rPr>
          <w:rFonts w:cs="Arial"/>
          <w:b/>
        </w:rPr>
      </w:pPr>
      <w:r w:rsidRPr="007608C2">
        <w:rPr>
          <w:rFonts w:cs="Arial"/>
          <w:b/>
        </w:rPr>
        <w:t>Proyectos para el SRPA ejecutados en las vigencias 201</w:t>
      </w:r>
      <w:r w:rsidR="00CF3206" w:rsidRPr="007608C2">
        <w:rPr>
          <w:rFonts w:cs="Arial"/>
          <w:b/>
        </w:rPr>
        <w:t>6-2017</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top w:w="15" w:type="dxa"/>
          <w:left w:w="70" w:type="dxa"/>
          <w:bottom w:w="15" w:type="dxa"/>
          <w:right w:w="70" w:type="dxa"/>
        </w:tblCellMar>
        <w:tblLook w:val="04A0" w:firstRow="1" w:lastRow="0" w:firstColumn="1" w:lastColumn="0" w:noHBand="0" w:noVBand="1"/>
      </w:tblPr>
      <w:tblGrid>
        <w:gridCol w:w="7705"/>
        <w:gridCol w:w="1401"/>
      </w:tblGrid>
      <w:tr w:rsidR="008819AE" w:rsidRPr="005B2B05" w:rsidTr="005B2B05">
        <w:trPr>
          <w:trHeight w:val="300"/>
          <w:jc w:val="center"/>
        </w:trPr>
        <w:tc>
          <w:tcPr>
            <w:tcW w:w="0" w:type="auto"/>
            <w:gridSpan w:val="2"/>
            <w:shd w:val="clear" w:color="auto" w:fill="76922E"/>
            <w:vAlign w:val="center"/>
            <w:hideMark/>
          </w:tcPr>
          <w:p w:rsidR="008819AE" w:rsidRPr="005B2B05" w:rsidRDefault="008819AE" w:rsidP="00476EF8">
            <w:pPr>
              <w:spacing w:after="0" w:line="240" w:lineRule="auto"/>
              <w:jc w:val="center"/>
              <w:rPr>
                <w:rFonts w:eastAsia="Times New Roman" w:cs="Arial"/>
                <w:b/>
                <w:bCs/>
                <w:color w:val="FFFFFF" w:themeColor="background1"/>
                <w:sz w:val="18"/>
                <w:szCs w:val="18"/>
                <w:lang w:val="es-CO" w:eastAsia="es-CO"/>
              </w:rPr>
            </w:pPr>
            <w:r w:rsidRPr="005B2B05">
              <w:rPr>
                <w:rFonts w:eastAsia="Times New Roman" w:cs="Arial"/>
                <w:b/>
                <w:bCs/>
                <w:color w:val="FFFFFF" w:themeColor="background1"/>
                <w:sz w:val="18"/>
                <w:szCs w:val="18"/>
                <w:lang w:val="es-CO" w:eastAsia="es-CO"/>
              </w:rPr>
              <w:t xml:space="preserve">Avances de los proyectos contratados y ejecutados en la vigencia 2016-2017 con FINDETER </w:t>
            </w:r>
            <w:r w:rsidRPr="005B2B05">
              <w:rPr>
                <w:rFonts w:eastAsia="Times New Roman" w:cs="Arial"/>
                <w:b/>
                <w:bCs/>
                <w:color w:val="FFFFFF" w:themeColor="background1"/>
                <w:sz w:val="18"/>
                <w:szCs w:val="18"/>
                <w:lang w:val="es-CO" w:eastAsia="es-CO"/>
              </w:rPr>
              <w:br/>
              <w:t>- Contrato 1654 de 2016</w:t>
            </w:r>
          </w:p>
        </w:tc>
      </w:tr>
      <w:tr w:rsidR="008819AE" w:rsidRPr="005B2B05" w:rsidTr="005B2B05">
        <w:trPr>
          <w:trHeight w:val="300"/>
          <w:jc w:val="center"/>
        </w:trPr>
        <w:tc>
          <w:tcPr>
            <w:tcW w:w="0" w:type="auto"/>
            <w:shd w:val="clear" w:color="auto" w:fill="76922E"/>
            <w:noWrap/>
            <w:vAlign w:val="center"/>
            <w:hideMark/>
          </w:tcPr>
          <w:p w:rsidR="008819AE" w:rsidRPr="005B2B05" w:rsidRDefault="008819AE" w:rsidP="00476EF8">
            <w:pPr>
              <w:spacing w:after="0" w:line="240" w:lineRule="auto"/>
              <w:jc w:val="center"/>
              <w:rPr>
                <w:rFonts w:eastAsia="Times New Roman" w:cs="Arial"/>
                <w:b/>
                <w:bCs/>
                <w:color w:val="FFFFFF" w:themeColor="background1"/>
                <w:sz w:val="18"/>
                <w:szCs w:val="18"/>
                <w:lang w:val="es-CO" w:eastAsia="es-CO"/>
              </w:rPr>
            </w:pPr>
            <w:r w:rsidRPr="005B2B05">
              <w:rPr>
                <w:rFonts w:eastAsia="Times New Roman" w:cs="Arial"/>
                <w:b/>
                <w:bCs/>
                <w:color w:val="FFFFFF" w:themeColor="background1"/>
                <w:sz w:val="18"/>
                <w:szCs w:val="18"/>
                <w:lang w:val="es-CO" w:eastAsia="es-CO"/>
              </w:rPr>
              <w:t>Proyectos</w:t>
            </w:r>
          </w:p>
        </w:tc>
        <w:tc>
          <w:tcPr>
            <w:tcW w:w="0" w:type="auto"/>
            <w:shd w:val="clear" w:color="auto" w:fill="76922E"/>
            <w:noWrap/>
            <w:vAlign w:val="center"/>
            <w:hideMark/>
          </w:tcPr>
          <w:p w:rsidR="008819AE" w:rsidRPr="005B2B05" w:rsidRDefault="008819AE" w:rsidP="00476EF8">
            <w:pPr>
              <w:spacing w:after="0" w:line="240" w:lineRule="auto"/>
              <w:jc w:val="center"/>
              <w:rPr>
                <w:rFonts w:eastAsia="Times New Roman" w:cs="Arial"/>
                <w:b/>
                <w:bCs/>
                <w:color w:val="FFFFFF" w:themeColor="background1"/>
                <w:sz w:val="18"/>
                <w:szCs w:val="18"/>
                <w:lang w:val="es-CO" w:eastAsia="es-CO"/>
              </w:rPr>
            </w:pPr>
            <w:r w:rsidRPr="005B2B05">
              <w:rPr>
                <w:rFonts w:eastAsia="Times New Roman" w:cs="Arial"/>
                <w:b/>
                <w:bCs/>
                <w:color w:val="FFFFFF" w:themeColor="background1"/>
                <w:sz w:val="18"/>
                <w:szCs w:val="18"/>
                <w:lang w:val="es-CO" w:eastAsia="es-CO"/>
              </w:rPr>
              <w:t>Regional</w:t>
            </w:r>
          </w:p>
        </w:tc>
      </w:tr>
      <w:tr w:rsidR="008819AE" w:rsidRPr="005B2B05" w:rsidTr="005B2B05">
        <w:trPr>
          <w:trHeight w:val="300"/>
          <w:jc w:val="center"/>
        </w:trPr>
        <w:tc>
          <w:tcPr>
            <w:tcW w:w="0" w:type="auto"/>
            <w:noWrap/>
            <w:vAlign w:val="center"/>
            <w:hideMark/>
          </w:tcPr>
          <w:p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Diseño y estudios técnicos CAE Neiva</w:t>
            </w:r>
          </w:p>
        </w:tc>
        <w:tc>
          <w:tcPr>
            <w:tcW w:w="0" w:type="auto"/>
            <w:noWrap/>
            <w:vAlign w:val="center"/>
            <w:hideMark/>
          </w:tcPr>
          <w:p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Huila</w:t>
            </w:r>
          </w:p>
        </w:tc>
      </w:tr>
      <w:tr w:rsidR="008819AE" w:rsidRPr="005B2B05" w:rsidTr="005B2B05">
        <w:trPr>
          <w:trHeight w:val="300"/>
          <w:jc w:val="center"/>
        </w:trPr>
        <w:tc>
          <w:tcPr>
            <w:tcW w:w="0" w:type="auto"/>
            <w:noWrap/>
            <w:vAlign w:val="center"/>
            <w:hideMark/>
          </w:tcPr>
          <w:p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Obras de adecuación CAE Quibdó</w:t>
            </w:r>
          </w:p>
        </w:tc>
        <w:tc>
          <w:tcPr>
            <w:tcW w:w="0" w:type="auto"/>
            <w:noWrap/>
            <w:vAlign w:val="center"/>
            <w:hideMark/>
          </w:tcPr>
          <w:p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Chocó</w:t>
            </w:r>
          </w:p>
        </w:tc>
      </w:tr>
      <w:tr w:rsidR="008819AE" w:rsidRPr="005B2B05" w:rsidTr="005B2B05">
        <w:trPr>
          <w:trHeight w:val="300"/>
          <w:jc w:val="center"/>
        </w:trPr>
        <w:tc>
          <w:tcPr>
            <w:tcW w:w="0" w:type="auto"/>
            <w:noWrap/>
            <w:vAlign w:val="center"/>
            <w:hideMark/>
          </w:tcPr>
          <w:p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Diagnóstico y obras de adecuación CAE Medellín</w:t>
            </w:r>
          </w:p>
        </w:tc>
        <w:tc>
          <w:tcPr>
            <w:tcW w:w="0" w:type="auto"/>
            <w:noWrap/>
            <w:vAlign w:val="center"/>
            <w:hideMark/>
          </w:tcPr>
          <w:p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Antioquia</w:t>
            </w:r>
          </w:p>
        </w:tc>
      </w:tr>
      <w:tr w:rsidR="008819AE" w:rsidRPr="005B2B05" w:rsidTr="005B2B05">
        <w:trPr>
          <w:trHeight w:val="300"/>
          <w:jc w:val="center"/>
        </w:trPr>
        <w:tc>
          <w:tcPr>
            <w:tcW w:w="0" w:type="auto"/>
            <w:noWrap/>
            <w:vAlign w:val="center"/>
            <w:hideMark/>
          </w:tcPr>
          <w:p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Diagnóstico y obras de adecuación CAE Ibagué</w:t>
            </w:r>
          </w:p>
        </w:tc>
        <w:tc>
          <w:tcPr>
            <w:tcW w:w="0" w:type="auto"/>
            <w:noWrap/>
            <w:vAlign w:val="center"/>
            <w:hideMark/>
          </w:tcPr>
          <w:p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Tolima</w:t>
            </w:r>
          </w:p>
        </w:tc>
      </w:tr>
      <w:tr w:rsidR="008819AE" w:rsidRPr="005B2B05" w:rsidTr="005B2B05">
        <w:trPr>
          <w:trHeight w:val="300"/>
          <w:jc w:val="center"/>
        </w:trPr>
        <w:tc>
          <w:tcPr>
            <w:tcW w:w="0" w:type="auto"/>
            <w:noWrap/>
            <w:vAlign w:val="center"/>
            <w:hideMark/>
          </w:tcPr>
          <w:p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Diagnóstico y obras de adecuación CAE Valle de Lili</w:t>
            </w:r>
          </w:p>
        </w:tc>
        <w:tc>
          <w:tcPr>
            <w:tcW w:w="0" w:type="auto"/>
            <w:noWrap/>
            <w:vAlign w:val="center"/>
            <w:hideMark/>
          </w:tcPr>
          <w:p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Valle del Cauca</w:t>
            </w:r>
          </w:p>
        </w:tc>
      </w:tr>
      <w:tr w:rsidR="008819AE" w:rsidRPr="005B2B05" w:rsidTr="005B2B05">
        <w:trPr>
          <w:trHeight w:val="300"/>
          <w:jc w:val="center"/>
        </w:trPr>
        <w:tc>
          <w:tcPr>
            <w:tcW w:w="0" w:type="auto"/>
            <w:noWrap/>
            <w:vAlign w:val="center"/>
            <w:hideMark/>
          </w:tcPr>
          <w:p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Diagnóstico y obras de adecuación CAE Turbaco</w:t>
            </w:r>
          </w:p>
        </w:tc>
        <w:tc>
          <w:tcPr>
            <w:tcW w:w="0" w:type="auto"/>
            <w:noWrap/>
            <w:vAlign w:val="center"/>
            <w:hideMark/>
          </w:tcPr>
          <w:p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Bolívar</w:t>
            </w:r>
          </w:p>
        </w:tc>
      </w:tr>
      <w:tr w:rsidR="008819AE" w:rsidRPr="005B2B05" w:rsidTr="005B2B05">
        <w:trPr>
          <w:trHeight w:val="300"/>
          <w:jc w:val="center"/>
        </w:trPr>
        <w:tc>
          <w:tcPr>
            <w:tcW w:w="0" w:type="auto"/>
            <w:noWrap/>
            <w:vAlign w:val="center"/>
            <w:hideMark/>
          </w:tcPr>
          <w:p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Diagnóstico y obras de adecuación CAE Valledupar</w:t>
            </w:r>
          </w:p>
        </w:tc>
        <w:tc>
          <w:tcPr>
            <w:tcW w:w="0" w:type="auto"/>
            <w:noWrap/>
            <w:vAlign w:val="center"/>
            <w:hideMark/>
          </w:tcPr>
          <w:p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César</w:t>
            </w:r>
          </w:p>
        </w:tc>
      </w:tr>
      <w:tr w:rsidR="008819AE" w:rsidRPr="005B2B05" w:rsidTr="005B2B05">
        <w:trPr>
          <w:trHeight w:val="300"/>
          <w:jc w:val="center"/>
        </w:trPr>
        <w:tc>
          <w:tcPr>
            <w:tcW w:w="0" w:type="auto"/>
            <w:noWrap/>
            <w:vAlign w:val="center"/>
            <w:hideMark/>
          </w:tcPr>
          <w:p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Construcción sistema integrado de tratamiento de aguas residuales CAE Granja Manaré Yopal</w:t>
            </w:r>
          </w:p>
        </w:tc>
        <w:tc>
          <w:tcPr>
            <w:tcW w:w="0" w:type="auto"/>
            <w:noWrap/>
            <w:vAlign w:val="center"/>
            <w:hideMark/>
          </w:tcPr>
          <w:p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Casanare</w:t>
            </w:r>
          </w:p>
        </w:tc>
      </w:tr>
      <w:tr w:rsidR="008819AE" w:rsidRPr="005B2B05" w:rsidTr="005B2B05">
        <w:trPr>
          <w:trHeight w:val="300"/>
          <w:jc w:val="center"/>
        </w:trPr>
        <w:tc>
          <w:tcPr>
            <w:tcW w:w="0" w:type="auto"/>
            <w:noWrap/>
            <w:vAlign w:val="center"/>
            <w:hideMark/>
          </w:tcPr>
          <w:p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Construcción Ptar CAE Santo Ángel Pasto</w:t>
            </w:r>
          </w:p>
        </w:tc>
        <w:tc>
          <w:tcPr>
            <w:tcW w:w="0" w:type="auto"/>
            <w:noWrap/>
            <w:vAlign w:val="center"/>
            <w:hideMark/>
          </w:tcPr>
          <w:p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Nariño</w:t>
            </w:r>
          </w:p>
        </w:tc>
      </w:tr>
      <w:tr w:rsidR="008819AE" w:rsidRPr="005B2B05" w:rsidTr="005B2B05">
        <w:trPr>
          <w:trHeight w:val="300"/>
          <w:jc w:val="center"/>
        </w:trPr>
        <w:tc>
          <w:tcPr>
            <w:tcW w:w="0" w:type="auto"/>
            <w:noWrap/>
            <w:vAlign w:val="center"/>
            <w:hideMark/>
          </w:tcPr>
          <w:p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Diseño y construcción parque zonal El Redentor</w:t>
            </w:r>
          </w:p>
        </w:tc>
        <w:tc>
          <w:tcPr>
            <w:tcW w:w="0" w:type="auto"/>
            <w:noWrap/>
            <w:vAlign w:val="center"/>
            <w:hideMark/>
          </w:tcPr>
          <w:p w:rsidR="008819AE" w:rsidRPr="005B2B05" w:rsidRDefault="008819AE" w:rsidP="00476EF8">
            <w:pPr>
              <w:spacing w:after="0" w:line="240" w:lineRule="auto"/>
              <w:rPr>
                <w:rFonts w:eastAsia="Times New Roman" w:cs="Arial"/>
                <w:color w:val="000000"/>
                <w:sz w:val="18"/>
                <w:szCs w:val="18"/>
                <w:lang w:val="es-CO" w:eastAsia="es-CO"/>
              </w:rPr>
            </w:pPr>
            <w:r w:rsidRPr="005B2B05">
              <w:rPr>
                <w:rFonts w:eastAsia="Times New Roman" w:cs="Arial"/>
                <w:color w:val="000000"/>
                <w:sz w:val="18"/>
                <w:szCs w:val="18"/>
                <w:lang w:val="es-CO" w:eastAsia="es-CO"/>
              </w:rPr>
              <w:t>Bogotá D.C.</w:t>
            </w:r>
          </w:p>
        </w:tc>
      </w:tr>
    </w:tbl>
    <w:p w:rsidR="00CF3206" w:rsidRPr="007608C2" w:rsidRDefault="00CF3206" w:rsidP="00E14FAF">
      <w:pPr>
        <w:spacing w:after="0"/>
        <w:jc w:val="both"/>
        <w:rPr>
          <w:rFonts w:cs="Arial"/>
        </w:rPr>
      </w:pPr>
    </w:p>
    <w:p w:rsidR="008819AE" w:rsidRPr="007608C2" w:rsidRDefault="005B2B05" w:rsidP="008819AE">
      <w:pPr>
        <w:jc w:val="both"/>
        <w:rPr>
          <w:rFonts w:cs="Arial"/>
          <w:b/>
        </w:rPr>
      </w:pPr>
      <w:r>
        <w:rPr>
          <w:rFonts w:cs="Arial"/>
          <w:b/>
        </w:rPr>
        <w:t>Dotación</w:t>
      </w:r>
    </w:p>
    <w:p w:rsidR="008819AE" w:rsidRDefault="008819AE" w:rsidP="008819AE">
      <w:pPr>
        <w:spacing w:after="0"/>
        <w:jc w:val="both"/>
        <w:rPr>
          <w:rFonts w:cs="Arial"/>
        </w:rPr>
      </w:pPr>
      <w:r w:rsidRPr="007608C2">
        <w:rPr>
          <w:rFonts w:cs="Arial"/>
        </w:rPr>
        <w:t>La Subdirección de Responsabilidad Penal realizó las siguientes acciones con el objeto de culminar el proceso de dotación de Centros Transitorios, Centros de Atención Especializada, Centros de Internamiento Preventivo y de las instalaciones de las nuevas unidades de servicio pa</w:t>
      </w:r>
      <w:r w:rsidR="005B2B05">
        <w:rPr>
          <w:rFonts w:cs="Arial"/>
        </w:rPr>
        <w:t>ra su puesta en funcionamiento:</w:t>
      </w:r>
    </w:p>
    <w:p w:rsidR="005B2B05" w:rsidRPr="007608C2" w:rsidRDefault="005B2B05" w:rsidP="008819AE">
      <w:pPr>
        <w:spacing w:after="0"/>
        <w:jc w:val="both"/>
        <w:rPr>
          <w:rFonts w:cs="Arial"/>
        </w:rPr>
      </w:pPr>
    </w:p>
    <w:p w:rsidR="008819AE" w:rsidRDefault="008819AE" w:rsidP="00A44A2B">
      <w:pPr>
        <w:pStyle w:val="Prrafodelista"/>
        <w:numPr>
          <w:ilvl w:val="0"/>
          <w:numId w:val="133"/>
        </w:numPr>
        <w:spacing w:after="0"/>
        <w:jc w:val="both"/>
        <w:rPr>
          <w:rFonts w:cs="Arial"/>
        </w:rPr>
      </w:pPr>
      <w:r w:rsidRPr="007608C2">
        <w:rPr>
          <w:rFonts w:cs="Arial"/>
        </w:rPr>
        <w:t>Se realizó un diagnóstico de necesidades de dotación básica y dotación de talleres a su vez costo total de valor de toda la dotación a nivel nacional.</w:t>
      </w:r>
    </w:p>
    <w:p w:rsidR="005B2B05" w:rsidRPr="007608C2" w:rsidRDefault="005B2B05" w:rsidP="005B2B05">
      <w:pPr>
        <w:pStyle w:val="Prrafodelista"/>
        <w:spacing w:after="0"/>
        <w:ind w:left="360"/>
        <w:jc w:val="both"/>
        <w:rPr>
          <w:rFonts w:cs="Arial"/>
        </w:rPr>
      </w:pPr>
    </w:p>
    <w:p w:rsidR="008819AE" w:rsidRDefault="008819AE" w:rsidP="00A44A2B">
      <w:pPr>
        <w:pStyle w:val="Prrafodelista"/>
        <w:numPr>
          <w:ilvl w:val="0"/>
          <w:numId w:val="133"/>
        </w:numPr>
        <w:spacing w:after="0"/>
        <w:jc w:val="both"/>
        <w:rPr>
          <w:rFonts w:cs="Arial"/>
        </w:rPr>
      </w:pPr>
      <w:r w:rsidRPr="007608C2">
        <w:rPr>
          <w:rFonts w:cs="Arial"/>
        </w:rPr>
        <w:t>Se realizó una visita al CAE El Redentor donde se observaron diferentes áreas como alojamientos, talleres y almacén para conocer su funcionamiento y los elementos de dotación que los conforman o que hacen falta.</w:t>
      </w:r>
    </w:p>
    <w:p w:rsidR="005B2B05" w:rsidRPr="005B2B05" w:rsidRDefault="005B2B05" w:rsidP="005B2B05">
      <w:pPr>
        <w:spacing w:after="0"/>
        <w:jc w:val="both"/>
        <w:rPr>
          <w:rFonts w:cs="Arial"/>
        </w:rPr>
      </w:pPr>
    </w:p>
    <w:p w:rsidR="008819AE" w:rsidRDefault="008819AE" w:rsidP="00A44A2B">
      <w:pPr>
        <w:pStyle w:val="Prrafodelista"/>
        <w:numPr>
          <w:ilvl w:val="0"/>
          <w:numId w:val="133"/>
        </w:numPr>
        <w:spacing w:after="0"/>
        <w:jc w:val="both"/>
        <w:rPr>
          <w:rFonts w:cs="Arial"/>
        </w:rPr>
      </w:pPr>
      <w:r w:rsidRPr="007608C2">
        <w:rPr>
          <w:rFonts w:cs="Arial"/>
        </w:rPr>
        <w:lastRenderedPageBreak/>
        <w:t>Se realizó visita al CAE Girardot donde se hizo un recorrido completo para reconocer los espacios y se tomaron las medidas de los diferentes espacios que requieren mobiliario con medidas especiales</w:t>
      </w:r>
      <w:r w:rsidR="005B2B05">
        <w:rPr>
          <w:rFonts w:cs="Arial"/>
        </w:rPr>
        <w:t>.</w:t>
      </w:r>
    </w:p>
    <w:p w:rsidR="005B2B05" w:rsidRPr="005B2B05" w:rsidRDefault="005B2B05" w:rsidP="005B2B05">
      <w:pPr>
        <w:spacing w:after="0"/>
        <w:jc w:val="both"/>
        <w:rPr>
          <w:rFonts w:cs="Arial"/>
        </w:rPr>
      </w:pPr>
    </w:p>
    <w:p w:rsidR="008819AE" w:rsidRDefault="008819AE" w:rsidP="00A44A2B">
      <w:pPr>
        <w:pStyle w:val="Prrafodelista"/>
        <w:numPr>
          <w:ilvl w:val="0"/>
          <w:numId w:val="133"/>
        </w:numPr>
        <w:spacing w:after="0"/>
        <w:jc w:val="both"/>
        <w:rPr>
          <w:rFonts w:cs="Arial"/>
        </w:rPr>
      </w:pPr>
      <w:r w:rsidRPr="007608C2">
        <w:rPr>
          <w:rFonts w:cs="Arial"/>
        </w:rPr>
        <w:t>Se revisaron listados de dotación enviado por las regionales de Magdalena, Córdoba, Cundinamarca y Chocó y se realizaron sus respectivas fichas técnicas. En total, se han elaborado 450 fichas técnicas de los elementos a entregar en las unidades de las Regionales nombradas anteriormente.</w:t>
      </w:r>
    </w:p>
    <w:p w:rsidR="005B2B05" w:rsidRPr="007608C2" w:rsidRDefault="005B2B05" w:rsidP="005B2B05">
      <w:pPr>
        <w:pStyle w:val="Prrafodelista"/>
        <w:spacing w:after="0"/>
        <w:ind w:left="360"/>
        <w:jc w:val="both"/>
        <w:rPr>
          <w:rFonts w:cs="Arial"/>
        </w:rPr>
      </w:pPr>
    </w:p>
    <w:p w:rsidR="008819AE" w:rsidRDefault="008819AE" w:rsidP="00A44A2B">
      <w:pPr>
        <w:pStyle w:val="Prrafodelista"/>
        <w:numPr>
          <w:ilvl w:val="0"/>
          <w:numId w:val="133"/>
        </w:numPr>
        <w:spacing w:after="0"/>
        <w:jc w:val="both"/>
        <w:rPr>
          <w:rFonts w:cs="Arial"/>
        </w:rPr>
      </w:pPr>
      <w:r w:rsidRPr="007608C2">
        <w:rPr>
          <w:rFonts w:cs="Arial"/>
        </w:rPr>
        <w:t>Se tomó la decisión, en conjunto con la Dirección de Abastecimiento, de hacer un proceso de selección (subasta inversa) para comprar y distribuir los colchones a las diferentes Unidades a nivel nacional debido a que es posible producir colchones en espuma con características químicas que no permiten que sean quemados con facilidad. Dicho componente químico hace que la llama en la espuma se auto extinga, garantizando la protección de los adolescentes y personal que se encuentra en las diferentes unidades.</w:t>
      </w:r>
    </w:p>
    <w:p w:rsidR="005B2B05" w:rsidRPr="007608C2" w:rsidRDefault="005B2B05" w:rsidP="005B2B05">
      <w:pPr>
        <w:pStyle w:val="Prrafodelista"/>
        <w:spacing w:after="0"/>
        <w:ind w:left="360"/>
        <w:jc w:val="both"/>
        <w:rPr>
          <w:rFonts w:cs="Arial"/>
        </w:rPr>
      </w:pPr>
    </w:p>
    <w:p w:rsidR="008819AE" w:rsidRDefault="008819AE" w:rsidP="00A44A2B">
      <w:pPr>
        <w:pStyle w:val="Prrafodelista"/>
        <w:numPr>
          <w:ilvl w:val="0"/>
          <w:numId w:val="133"/>
        </w:numPr>
        <w:spacing w:after="0"/>
        <w:jc w:val="both"/>
        <w:rPr>
          <w:rFonts w:cs="Arial"/>
        </w:rPr>
      </w:pPr>
      <w:r w:rsidRPr="007608C2">
        <w:rPr>
          <w:rFonts w:cs="Arial"/>
        </w:rPr>
        <w:t>Se realizó el documento de Ficha de Condiciones Técnicas –FCT- para comenzar el estudio de mercado para el proceso de colchones y almohadas, el cual fue radicado en la dirección de Abastecimiento. El estudio de mercado que se gestionó con la Dirección de Abastecimiento para la compra de colchones y almohadas se replanteó con el fin de calcular el valor de los elementos para cada una de las regionales, ya que se había planteado por Macro Regiones, esto con el fin de trasladar los recursos a cada Regional y que se adelante la compra de estos elementos a nivel local.</w:t>
      </w:r>
    </w:p>
    <w:p w:rsidR="005B2B05" w:rsidRPr="005B2B05" w:rsidRDefault="005B2B05" w:rsidP="005B2B05">
      <w:pPr>
        <w:spacing w:after="0"/>
        <w:jc w:val="both"/>
        <w:rPr>
          <w:rFonts w:cs="Arial"/>
        </w:rPr>
      </w:pPr>
    </w:p>
    <w:p w:rsidR="008819AE" w:rsidRDefault="008819AE" w:rsidP="00A44A2B">
      <w:pPr>
        <w:pStyle w:val="Prrafodelista"/>
        <w:numPr>
          <w:ilvl w:val="0"/>
          <w:numId w:val="133"/>
        </w:numPr>
        <w:spacing w:after="0"/>
        <w:jc w:val="both"/>
        <w:rPr>
          <w:rFonts w:cs="Arial"/>
        </w:rPr>
      </w:pPr>
      <w:r w:rsidRPr="007608C2">
        <w:rPr>
          <w:rFonts w:cs="Arial"/>
        </w:rPr>
        <w:t>Se realizó visita a la Regional Magdalena al nuevo CAE en construcción, el cual no necesita dotación inmediata debido a que no está lista la obra. Asimismo, se realizó visita al nuevo Centro Transitorio el cual presenta áreas aptas y finalizadas listas para entrar en funcionamiento. En este caso se realizaron las fichas técnicas y se trasladaron los recursos para la adquisición de los elementos de dotación.</w:t>
      </w:r>
    </w:p>
    <w:p w:rsidR="005B2B05" w:rsidRPr="005B2B05" w:rsidRDefault="005B2B05" w:rsidP="005B2B05">
      <w:pPr>
        <w:spacing w:after="0"/>
        <w:jc w:val="both"/>
        <w:rPr>
          <w:rFonts w:cs="Arial"/>
        </w:rPr>
      </w:pPr>
    </w:p>
    <w:p w:rsidR="008819AE" w:rsidRDefault="008819AE" w:rsidP="00A44A2B">
      <w:pPr>
        <w:pStyle w:val="Prrafodelista"/>
        <w:numPr>
          <w:ilvl w:val="0"/>
          <w:numId w:val="133"/>
        </w:numPr>
        <w:spacing w:after="0"/>
        <w:jc w:val="both"/>
        <w:rPr>
          <w:rFonts w:cs="Arial"/>
        </w:rPr>
      </w:pPr>
      <w:r w:rsidRPr="007608C2">
        <w:rPr>
          <w:rFonts w:cs="Arial"/>
        </w:rPr>
        <w:t>Se elaboraron las fichas técnicas para el nuevo CAE de la Regional Córdoba, con la finalidad de mejorar la dotación de los talleres con elementos que potencialicen el desarrollo de los adolescentes.</w:t>
      </w:r>
    </w:p>
    <w:p w:rsidR="005B2B05" w:rsidRPr="005B2B05" w:rsidRDefault="005B2B05" w:rsidP="005B2B05">
      <w:pPr>
        <w:spacing w:after="0"/>
        <w:jc w:val="both"/>
        <w:rPr>
          <w:rFonts w:cs="Arial"/>
        </w:rPr>
      </w:pPr>
    </w:p>
    <w:p w:rsidR="008819AE" w:rsidRPr="007608C2" w:rsidRDefault="008819AE" w:rsidP="00A44A2B">
      <w:pPr>
        <w:pStyle w:val="Prrafodelista"/>
        <w:numPr>
          <w:ilvl w:val="0"/>
          <w:numId w:val="133"/>
        </w:numPr>
        <w:spacing w:after="0"/>
        <w:jc w:val="both"/>
        <w:rPr>
          <w:rFonts w:cs="Arial"/>
        </w:rPr>
      </w:pPr>
      <w:r w:rsidRPr="007608C2">
        <w:rPr>
          <w:rFonts w:cs="Arial"/>
        </w:rPr>
        <w:t>Se elaboraron las fichas técnicas para el nuevo CAE de la Regional Chocó, entre otras con el fin de mejorar la dotación de los talleres y se incluyó en el listado de elementos lo correspondiente para poner en funcionamiento la unidad odontológica. La regional envió cotizaciones de estos elementos y se obtuvo el valor total de esta dotación.</w:t>
      </w:r>
    </w:p>
    <w:p w:rsidR="008819AE" w:rsidRPr="007608C2" w:rsidRDefault="008819AE" w:rsidP="008819AE">
      <w:pPr>
        <w:spacing w:before="240"/>
        <w:jc w:val="both"/>
        <w:rPr>
          <w:rFonts w:cs="Arial"/>
          <w:b/>
        </w:rPr>
      </w:pPr>
      <w:r w:rsidRPr="007608C2">
        <w:rPr>
          <w:rFonts w:cs="Arial"/>
          <w:b/>
        </w:rPr>
        <w:lastRenderedPageBreak/>
        <w:t>Construcción del Conpes de Política de Prevención de la Delincuencia en Adolescentes y Jóvenes</w:t>
      </w:r>
    </w:p>
    <w:p w:rsidR="008819AE" w:rsidRPr="007608C2" w:rsidRDefault="008819AE" w:rsidP="008819AE">
      <w:pPr>
        <w:spacing w:after="0"/>
        <w:jc w:val="both"/>
        <w:rPr>
          <w:rFonts w:cs="Arial"/>
        </w:rPr>
      </w:pPr>
      <w:r w:rsidRPr="007608C2">
        <w:rPr>
          <w:rFonts w:cs="Arial"/>
        </w:rPr>
        <w:t>El Ministerio de Justicia y del Derecho con el apoyo metodológico de la Dirección de Justicia, Seguridad y Gobierno del DNP, adelanta el proceso de construcción del Conpes de Política Pública de Prevención de la vinculación de adolescentes y jóvenes en la comisión de delitos con la participación del ICBF y 25 instituciones más. A partir del mes de febrero de 2017, el DNP, con el Ministerio de Justicia, presentó el documento Conpes en versión preliminar. Una vez recibido el documento se realizaron dos mesas técnicas entre ICBF y DNP para revisión y ajuste al mismo. El ICBF revisó el documento por parte y lo remitió a DNP. El documento está en DNP revisión con las observaciones del Ministerio de Justicia en estudio.</w:t>
      </w:r>
    </w:p>
    <w:p w:rsidR="008819AE" w:rsidRPr="007608C2" w:rsidRDefault="008819AE" w:rsidP="008819AE">
      <w:pPr>
        <w:spacing w:after="0"/>
        <w:jc w:val="both"/>
        <w:rPr>
          <w:rFonts w:cs="Arial"/>
        </w:rPr>
      </w:pPr>
    </w:p>
    <w:p w:rsidR="008819AE" w:rsidRPr="007608C2" w:rsidRDefault="008819AE" w:rsidP="000D0DF1">
      <w:pPr>
        <w:pStyle w:val="Prrafodelista"/>
        <w:numPr>
          <w:ilvl w:val="2"/>
          <w:numId w:val="160"/>
        </w:numPr>
        <w:jc w:val="both"/>
        <w:rPr>
          <w:rFonts w:cs="Arial"/>
          <w:b/>
        </w:rPr>
      </w:pPr>
      <w:bookmarkStart w:id="103" w:name="_Toc473581430"/>
      <w:r w:rsidRPr="007608C2">
        <w:rPr>
          <w:rFonts w:cs="Arial"/>
          <w:b/>
        </w:rPr>
        <w:t>Adopciones</w:t>
      </w:r>
      <w:bookmarkEnd w:id="103"/>
      <w:r w:rsidRPr="007608C2">
        <w:rPr>
          <w:rFonts w:cs="Arial"/>
          <w:b/>
        </w:rPr>
        <w:t xml:space="preserve"> </w:t>
      </w:r>
    </w:p>
    <w:p w:rsidR="008819AE" w:rsidRPr="007608C2" w:rsidRDefault="008819AE" w:rsidP="00F25CAB">
      <w:pPr>
        <w:spacing w:after="0"/>
        <w:jc w:val="both"/>
        <w:rPr>
          <w:rFonts w:cs="Arial"/>
        </w:rPr>
      </w:pPr>
      <w:r w:rsidRPr="007608C2">
        <w:rPr>
          <w:rFonts w:cs="Arial"/>
        </w:rPr>
        <w:t>En el año 2017, 1.263 niños, niñas y adolescentes fueron adoptados, presentado un incremento del 7% con relación al año 2016.</w:t>
      </w:r>
    </w:p>
    <w:p w:rsidR="00F25CAB" w:rsidRPr="007608C2" w:rsidRDefault="00F25CAB" w:rsidP="00F25CAB">
      <w:pPr>
        <w:spacing w:after="0"/>
        <w:jc w:val="both"/>
        <w:rPr>
          <w:rFonts w:cs="Arial"/>
        </w:rPr>
      </w:pPr>
    </w:p>
    <w:p w:rsidR="008819AE" w:rsidRDefault="008819AE" w:rsidP="00F25CAB">
      <w:pPr>
        <w:spacing w:after="0"/>
        <w:jc w:val="both"/>
        <w:rPr>
          <w:rFonts w:cs="Arial"/>
        </w:rPr>
      </w:pPr>
      <w:r w:rsidRPr="007608C2">
        <w:rPr>
          <w:rFonts w:cs="Arial"/>
        </w:rPr>
        <w:t>Se adelantaron en total 54 asistencias técnicas y tres (3) eventos con la participación 2.040 servidores y colaboradores del ICBF, así: trece (13) asistencias técnicas en estrategias que posibilitan la adopción ‘Súper Amigos’, con un total (314) asistentes pertenecientes a los miembros que integran las Defensorías de Familia del ICBF; 38 asistencias técnicas en los temas rol del psicólogo en el procedimiento de familia residente en Colombia, rol del trabador social en el procedimiento de familia residente en Colombia, diligenciamiento informes integrales, guía preparación de niños, niñas y adolescentes, y familias para adopción, socialización nuevo lineamientos adopciones, caminos nuevos apoyando niños de lugares difíciles con un total de 1330 asistentes, entre ellos profesionales integrantes de los Comités de Adopciones Regionales (Director Regional, Secretario Comité de Adopciones, trabajadores sociales y psicólogos, quienes por ley integran la instancia), Defensorías de Familia del ICBF; y seis (6) asistencias técnicas en los temas restablecimiento internacional de derechos de niños, niñas y adolescentes con un total de 396 asistentes.</w:t>
      </w:r>
    </w:p>
    <w:p w:rsidR="005B2B05" w:rsidRPr="007608C2" w:rsidRDefault="005B2B05" w:rsidP="00F25CAB">
      <w:pPr>
        <w:spacing w:after="0"/>
        <w:jc w:val="both"/>
        <w:rPr>
          <w:rFonts w:cs="Arial"/>
        </w:rPr>
      </w:pPr>
    </w:p>
    <w:p w:rsidR="008819AE" w:rsidRPr="007608C2" w:rsidRDefault="008819AE" w:rsidP="00F25CAB">
      <w:pPr>
        <w:jc w:val="both"/>
        <w:rPr>
          <w:rFonts w:cs="Arial"/>
        </w:rPr>
      </w:pPr>
      <w:r w:rsidRPr="007608C2">
        <w:rPr>
          <w:rFonts w:cs="Arial"/>
        </w:rPr>
        <w:t xml:space="preserve">A través de las iniciativas: Vacaciones en el Extranjero, Súper Amigos, Valoración de niños, niñas y adolescentes, y Restaurando Vidas, Construimos Futuro, como alternativas de búsqueda activa, se posibilita la adopción de niños, niñas y adolescentes con características y necesidades especiales. </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0" w:type="dxa"/>
          <w:right w:w="0" w:type="dxa"/>
        </w:tblCellMar>
        <w:tblLook w:val="04A0" w:firstRow="1" w:lastRow="0" w:firstColumn="1" w:lastColumn="0" w:noHBand="0" w:noVBand="1"/>
      </w:tblPr>
      <w:tblGrid>
        <w:gridCol w:w="3209"/>
        <w:gridCol w:w="2241"/>
        <w:gridCol w:w="1874"/>
      </w:tblGrid>
      <w:tr w:rsidR="008819AE" w:rsidRPr="00280760" w:rsidTr="00280760">
        <w:trPr>
          <w:trHeight w:val="166"/>
          <w:jc w:val="center"/>
        </w:trPr>
        <w:tc>
          <w:tcPr>
            <w:tcW w:w="0" w:type="auto"/>
            <w:shd w:val="clear" w:color="auto" w:fill="76922E"/>
            <w:tcMar>
              <w:top w:w="0" w:type="dxa"/>
              <w:left w:w="70" w:type="dxa"/>
              <w:bottom w:w="0" w:type="dxa"/>
              <w:right w:w="70" w:type="dxa"/>
            </w:tcMar>
            <w:vAlign w:val="center"/>
            <w:hideMark/>
          </w:tcPr>
          <w:p w:rsidR="008819AE" w:rsidRPr="00280760" w:rsidRDefault="008819AE" w:rsidP="00476EF8">
            <w:pPr>
              <w:spacing w:after="0"/>
              <w:jc w:val="center"/>
              <w:rPr>
                <w:rFonts w:cs="Arial"/>
                <w:b/>
                <w:color w:val="FFFFFF" w:themeColor="background1"/>
                <w:sz w:val="20"/>
                <w:szCs w:val="20"/>
              </w:rPr>
            </w:pPr>
            <w:r w:rsidRPr="00280760">
              <w:rPr>
                <w:rFonts w:cs="Arial"/>
                <w:b/>
                <w:color w:val="FFFFFF" w:themeColor="background1"/>
                <w:sz w:val="20"/>
                <w:szCs w:val="20"/>
              </w:rPr>
              <w:t>Nombre</w:t>
            </w:r>
          </w:p>
        </w:tc>
        <w:tc>
          <w:tcPr>
            <w:tcW w:w="0" w:type="auto"/>
            <w:shd w:val="clear" w:color="auto" w:fill="76922E"/>
            <w:tcMar>
              <w:top w:w="0" w:type="dxa"/>
              <w:left w:w="70" w:type="dxa"/>
              <w:bottom w:w="0" w:type="dxa"/>
              <w:right w:w="70" w:type="dxa"/>
            </w:tcMar>
            <w:vAlign w:val="center"/>
            <w:hideMark/>
          </w:tcPr>
          <w:p w:rsidR="008819AE" w:rsidRPr="00280760" w:rsidRDefault="008819AE" w:rsidP="00476EF8">
            <w:pPr>
              <w:spacing w:after="0"/>
              <w:jc w:val="center"/>
              <w:rPr>
                <w:rFonts w:cs="Arial"/>
                <w:b/>
                <w:color w:val="FFFFFF" w:themeColor="background1"/>
                <w:sz w:val="20"/>
                <w:szCs w:val="20"/>
              </w:rPr>
            </w:pPr>
            <w:r w:rsidRPr="00280760">
              <w:rPr>
                <w:rFonts w:cs="Arial"/>
                <w:b/>
                <w:color w:val="FFFFFF" w:themeColor="background1"/>
                <w:sz w:val="20"/>
                <w:szCs w:val="20"/>
              </w:rPr>
              <w:t>Programación vigente</w:t>
            </w:r>
          </w:p>
        </w:tc>
        <w:tc>
          <w:tcPr>
            <w:tcW w:w="0" w:type="auto"/>
            <w:shd w:val="clear" w:color="auto" w:fill="76922E"/>
            <w:tcMar>
              <w:top w:w="0" w:type="dxa"/>
              <w:left w:w="70" w:type="dxa"/>
              <w:bottom w:w="0" w:type="dxa"/>
              <w:right w:w="70" w:type="dxa"/>
            </w:tcMar>
            <w:vAlign w:val="center"/>
            <w:hideMark/>
          </w:tcPr>
          <w:p w:rsidR="008819AE" w:rsidRPr="00280760" w:rsidRDefault="008819AE" w:rsidP="00476EF8">
            <w:pPr>
              <w:spacing w:after="0"/>
              <w:jc w:val="center"/>
              <w:rPr>
                <w:rFonts w:cs="Arial"/>
                <w:b/>
                <w:color w:val="FFFFFF" w:themeColor="background1"/>
                <w:sz w:val="20"/>
                <w:szCs w:val="20"/>
              </w:rPr>
            </w:pPr>
            <w:r w:rsidRPr="00280760">
              <w:rPr>
                <w:rFonts w:cs="Arial"/>
                <w:b/>
                <w:color w:val="FFFFFF" w:themeColor="background1"/>
                <w:sz w:val="20"/>
                <w:szCs w:val="20"/>
              </w:rPr>
              <w:t>Reporte ejecución</w:t>
            </w:r>
          </w:p>
        </w:tc>
      </w:tr>
      <w:tr w:rsidR="008819AE" w:rsidRPr="00280760" w:rsidTr="00280760">
        <w:trPr>
          <w:trHeight w:val="576"/>
          <w:jc w:val="center"/>
        </w:trPr>
        <w:tc>
          <w:tcPr>
            <w:tcW w:w="0" w:type="auto"/>
            <w:noWrap/>
            <w:tcMar>
              <w:top w:w="0" w:type="dxa"/>
              <w:left w:w="70" w:type="dxa"/>
              <w:bottom w:w="0" w:type="dxa"/>
              <w:right w:w="70" w:type="dxa"/>
            </w:tcMar>
            <w:vAlign w:val="center"/>
            <w:hideMark/>
          </w:tcPr>
          <w:p w:rsidR="008819AE" w:rsidRPr="00280760" w:rsidRDefault="008819AE" w:rsidP="00476EF8">
            <w:pPr>
              <w:spacing w:after="0"/>
              <w:jc w:val="center"/>
              <w:rPr>
                <w:rFonts w:cs="Arial"/>
                <w:sz w:val="20"/>
                <w:szCs w:val="20"/>
              </w:rPr>
            </w:pPr>
            <w:r w:rsidRPr="00280760">
              <w:rPr>
                <w:rFonts w:cs="Arial"/>
                <w:sz w:val="20"/>
                <w:szCs w:val="20"/>
              </w:rPr>
              <w:t>Acciones para referentes afectivos</w:t>
            </w:r>
          </w:p>
        </w:tc>
        <w:tc>
          <w:tcPr>
            <w:tcW w:w="0" w:type="auto"/>
            <w:tcMar>
              <w:top w:w="0" w:type="dxa"/>
              <w:left w:w="70" w:type="dxa"/>
              <w:bottom w:w="0" w:type="dxa"/>
              <w:right w:w="70" w:type="dxa"/>
            </w:tcMar>
            <w:vAlign w:val="center"/>
            <w:hideMark/>
          </w:tcPr>
          <w:p w:rsidR="008819AE" w:rsidRPr="00280760" w:rsidRDefault="008819AE" w:rsidP="00476EF8">
            <w:pPr>
              <w:spacing w:after="0"/>
              <w:jc w:val="center"/>
              <w:rPr>
                <w:rFonts w:cs="Arial"/>
                <w:sz w:val="20"/>
                <w:szCs w:val="20"/>
              </w:rPr>
            </w:pPr>
            <w:r w:rsidRPr="00280760">
              <w:rPr>
                <w:rFonts w:cs="Arial"/>
                <w:sz w:val="20"/>
                <w:szCs w:val="20"/>
              </w:rPr>
              <w:t>$ 2.993.408.575,00</w:t>
            </w:r>
          </w:p>
        </w:tc>
        <w:tc>
          <w:tcPr>
            <w:tcW w:w="0" w:type="auto"/>
            <w:tcMar>
              <w:top w:w="0" w:type="dxa"/>
              <w:left w:w="70" w:type="dxa"/>
              <w:bottom w:w="0" w:type="dxa"/>
              <w:right w:w="70" w:type="dxa"/>
            </w:tcMar>
            <w:vAlign w:val="center"/>
            <w:hideMark/>
          </w:tcPr>
          <w:p w:rsidR="008819AE" w:rsidRPr="00280760" w:rsidRDefault="008819AE" w:rsidP="00476EF8">
            <w:pPr>
              <w:spacing w:after="0"/>
              <w:jc w:val="center"/>
              <w:rPr>
                <w:rFonts w:cs="Arial"/>
                <w:sz w:val="20"/>
                <w:szCs w:val="20"/>
              </w:rPr>
            </w:pPr>
            <w:r w:rsidRPr="00280760">
              <w:rPr>
                <w:rFonts w:cs="Arial"/>
                <w:sz w:val="20"/>
                <w:szCs w:val="20"/>
              </w:rPr>
              <w:t>$ 2.450.081.200,00</w:t>
            </w:r>
          </w:p>
        </w:tc>
      </w:tr>
    </w:tbl>
    <w:p w:rsidR="008819AE" w:rsidRPr="005B2B05" w:rsidRDefault="00E14FAF" w:rsidP="00E14FAF">
      <w:pPr>
        <w:ind w:firstLine="708"/>
        <w:rPr>
          <w:rFonts w:cs="Arial"/>
          <w:sz w:val="16"/>
          <w:szCs w:val="16"/>
        </w:rPr>
      </w:pPr>
      <w:r>
        <w:rPr>
          <w:rFonts w:cs="Arial"/>
          <w:sz w:val="16"/>
          <w:szCs w:val="16"/>
        </w:rPr>
        <w:t xml:space="preserve">                                                          </w:t>
      </w:r>
      <w:r w:rsidR="008819AE" w:rsidRPr="005B2B05">
        <w:rPr>
          <w:rFonts w:cs="Arial"/>
          <w:sz w:val="16"/>
          <w:szCs w:val="16"/>
        </w:rPr>
        <w:t>Fuente: SIIF NACIÓN 2</w:t>
      </w:r>
    </w:p>
    <w:p w:rsidR="006B2D87" w:rsidRDefault="006B2D87" w:rsidP="008819AE">
      <w:pPr>
        <w:jc w:val="both"/>
        <w:rPr>
          <w:rFonts w:cs="Arial"/>
          <w:b/>
        </w:rPr>
      </w:pPr>
    </w:p>
    <w:p w:rsidR="008819AE" w:rsidRPr="007608C2" w:rsidRDefault="008819AE" w:rsidP="008819AE">
      <w:pPr>
        <w:jc w:val="both"/>
        <w:rPr>
          <w:rFonts w:cs="Arial"/>
          <w:b/>
        </w:rPr>
      </w:pPr>
      <w:r w:rsidRPr="007608C2">
        <w:rPr>
          <w:rFonts w:cs="Arial"/>
          <w:b/>
        </w:rPr>
        <w:lastRenderedPageBreak/>
        <w:t>Vacaciones en el extranjero</w:t>
      </w:r>
    </w:p>
    <w:p w:rsidR="008819AE" w:rsidRDefault="008819AE" w:rsidP="008819AE">
      <w:pPr>
        <w:jc w:val="both"/>
        <w:rPr>
          <w:rFonts w:cs="Arial"/>
        </w:rPr>
      </w:pPr>
      <w:r w:rsidRPr="007608C2">
        <w:rPr>
          <w:rFonts w:cs="Arial"/>
        </w:rPr>
        <w:t>Adicional al Lineamiento Técnico Administrativo del Programa de Adopciones de marzo de 2016, se establecen dos (2) nuevas estrategias que inicialmente fueron programas piloto, como son las estrategias ‘vacaciones en Colombia’ que inició en el año 2014, en donde las familias extranjeras viajan a Colombia a pasar un periodo de vacaciones con los niños, niñas y adolescentes y la estrategia de ‘Acogimiento Sociofamiliar’ que inició en el año 2013, en la cual los niños, niñas y adolescentes viajan al exterior a participar en un campamento. Al 31 de diciembre 2017 han viajado 167 niños, niñas y adolescentes, en este mismo año 5 niños fueron adoptados en el marco de esta inici</w:t>
      </w:r>
      <w:r w:rsidR="00280760">
        <w:rPr>
          <w:rFonts w:cs="Arial"/>
        </w:rPr>
        <w:t>ativa y 76 cartas de intención.</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0" w:type="dxa"/>
          <w:right w:w="0" w:type="dxa"/>
        </w:tblCellMar>
        <w:tblLook w:val="04A0" w:firstRow="1" w:lastRow="0" w:firstColumn="1" w:lastColumn="0" w:noHBand="0" w:noVBand="1"/>
      </w:tblPr>
      <w:tblGrid>
        <w:gridCol w:w="2609"/>
        <w:gridCol w:w="2241"/>
        <w:gridCol w:w="1896"/>
      </w:tblGrid>
      <w:tr w:rsidR="008819AE" w:rsidRPr="00280760" w:rsidTr="00280760">
        <w:trPr>
          <w:trHeight w:val="435"/>
          <w:jc w:val="center"/>
        </w:trPr>
        <w:tc>
          <w:tcPr>
            <w:tcW w:w="0" w:type="auto"/>
            <w:shd w:val="clear" w:color="auto" w:fill="76922E"/>
            <w:tcMar>
              <w:top w:w="0" w:type="dxa"/>
              <w:left w:w="70" w:type="dxa"/>
              <w:bottom w:w="0" w:type="dxa"/>
              <w:right w:w="70" w:type="dxa"/>
            </w:tcMar>
            <w:vAlign w:val="center"/>
            <w:hideMark/>
          </w:tcPr>
          <w:p w:rsidR="008819AE" w:rsidRPr="00280760" w:rsidRDefault="008819AE" w:rsidP="00476EF8">
            <w:pPr>
              <w:spacing w:after="0"/>
              <w:jc w:val="center"/>
              <w:rPr>
                <w:rFonts w:cs="Arial"/>
                <w:b/>
                <w:color w:val="FFFFFF" w:themeColor="background1"/>
                <w:sz w:val="20"/>
                <w:szCs w:val="20"/>
              </w:rPr>
            </w:pPr>
            <w:r w:rsidRPr="00280760">
              <w:rPr>
                <w:rFonts w:cs="Arial"/>
                <w:b/>
                <w:color w:val="FFFFFF" w:themeColor="background1"/>
                <w:sz w:val="20"/>
                <w:szCs w:val="20"/>
              </w:rPr>
              <w:t>Nombre</w:t>
            </w:r>
          </w:p>
        </w:tc>
        <w:tc>
          <w:tcPr>
            <w:tcW w:w="0" w:type="auto"/>
            <w:shd w:val="clear" w:color="auto" w:fill="76922E"/>
            <w:tcMar>
              <w:top w:w="0" w:type="dxa"/>
              <w:left w:w="70" w:type="dxa"/>
              <w:bottom w:w="0" w:type="dxa"/>
              <w:right w:w="70" w:type="dxa"/>
            </w:tcMar>
            <w:vAlign w:val="center"/>
            <w:hideMark/>
          </w:tcPr>
          <w:p w:rsidR="008819AE" w:rsidRPr="00280760" w:rsidRDefault="008819AE" w:rsidP="00476EF8">
            <w:pPr>
              <w:spacing w:after="0"/>
              <w:jc w:val="center"/>
              <w:rPr>
                <w:rFonts w:cs="Arial"/>
                <w:b/>
                <w:color w:val="FFFFFF" w:themeColor="background1"/>
                <w:sz w:val="20"/>
                <w:szCs w:val="20"/>
              </w:rPr>
            </w:pPr>
            <w:r w:rsidRPr="00280760">
              <w:rPr>
                <w:rFonts w:cs="Arial"/>
                <w:b/>
                <w:color w:val="FFFFFF" w:themeColor="background1"/>
                <w:sz w:val="20"/>
                <w:szCs w:val="20"/>
              </w:rPr>
              <w:t>Programación vigente</w:t>
            </w:r>
          </w:p>
        </w:tc>
        <w:tc>
          <w:tcPr>
            <w:tcW w:w="0" w:type="auto"/>
            <w:shd w:val="clear" w:color="auto" w:fill="76922E"/>
            <w:tcMar>
              <w:top w:w="0" w:type="dxa"/>
              <w:left w:w="70" w:type="dxa"/>
              <w:bottom w:w="0" w:type="dxa"/>
              <w:right w:w="70" w:type="dxa"/>
            </w:tcMar>
            <w:vAlign w:val="center"/>
            <w:hideMark/>
          </w:tcPr>
          <w:p w:rsidR="008819AE" w:rsidRPr="00280760" w:rsidRDefault="008819AE" w:rsidP="00476EF8">
            <w:pPr>
              <w:spacing w:after="0"/>
              <w:jc w:val="center"/>
              <w:rPr>
                <w:rFonts w:cs="Arial"/>
                <w:b/>
                <w:color w:val="FFFFFF" w:themeColor="background1"/>
                <w:sz w:val="20"/>
                <w:szCs w:val="20"/>
              </w:rPr>
            </w:pPr>
            <w:r w:rsidRPr="00280760">
              <w:rPr>
                <w:rFonts w:cs="Arial"/>
                <w:b/>
                <w:color w:val="FFFFFF" w:themeColor="background1"/>
                <w:sz w:val="20"/>
                <w:szCs w:val="20"/>
              </w:rPr>
              <w:t>Reporte Ejecución</w:t>
            </w:r>
          </w:p>
        </w:tc>
      </w:tr>
      <w:tr w:rsidR="008819AE" w:rsidRPr="00280760" w:rsidTr="006B2D87">
        <w:trPr>
          <w:trHeight w:val="359"/>
          <w:jc w:val="center"/>
        </w:trPr>
        <w:tc>
          <w:tcPr>
            <w:tcW w:w="0" w:type="auto"/>
            <w:shd w:val="clear" w:color="auto" w:fill="auto"/>
            <w:noWrap/>
            <w:tcMar>
              <w:top w:w="0" w:type="dxa"/>
              <w:left w:w="70" w:type="dxa"/>
              <w:bottom w:w="0" w:type="dxa"/>
              <w:right w:w="70" w:type="dxa"/>
            </w:tcMar>
            <w:vAlign w:val="center"/>
            <w:hideMark/>
          </w:tcPr>
          <w:p w:rsidR="008819AE" w:rsidRPr="00280760" w:rsidRDefault="008819AE" w:rsidP="00476EF8">
            <w:pPr>
              <w:spacing w:after="0"/>
              <w:jc w:val="center"/>
              <w:rPr>
                <w:rFonts w:cs="Arial"/>
                <w:sz w:val="20"/>
                <w:szCs w:val="20"/>
              </w:rPr>
            </w:pPr>
            <w:r w:rsidRPr="00280760">
              <w:rPr>
                <w:rFonts w:cs="Arial"/>
                <w:sz w:val="20"/>
                <w:szCs w:val="20"/>
              </w:rPr>
              <w:t>Vacaciones en el extranjero</w:t>
            </w:r>
          </w:p>
        </w:tc>
        <w:tc>
          <w:tcPr>
            <w:tcW w:w="0" w:type="auto"/>
            <w:shd w:val="clear" w:color="auto" w:fill="auto"/>
            <w:tcMar>
              <w:top w:w="0" w:type="dxa"/>
              <w:left w:w="70" w:type="dxa"/>
              <w:bottom w:w="0" w:type="dxa"/>
              <w:right w:w="70" w:type="dxa"/>
            </w:tcMar>
            <w:vAlign w:val="center"/>
            <w:hideMark/>
          </w:tcPr>
          <w:p w:rsidR="008819AE" w:rsidRPr="00280760" w:rsidRDefault="008819AE" w:rsidP="00476EF8">
            <w:pPr>
              <w:spacing w:after="0"/>
              <w:jc w:val="center"/>
              <w:rPr>
                <w:rFonts w:cs="Arial"/>
                <w:sz w:val="20"/>
                <w:szCs w:val="20"/>
              </w:rPr>
            </w:pPr>
            <w:r w:rsidRPr="00280760">
              <w:rPr>
                <w:rFonts w:cs="Arial"/>
                <w:sz w:val="20"/>
                <w:szCs w:val="20"/>
              </w:rPr>
              <w:t xml:space="preserve">  $ 1.563.950.619,00</w:t>
            </w:r>
          </w:p>
        </w:tc>
        <w:tc>
          <w:tcPr>
            <w:tcW w:w="0" w:type="auto"/>
            <w:shd w:val="clear" w:color="auto" w:fill="auto"/>
            <w:tcMar>
              <w:top w:w="0" w:type="dxa"/>
              <w:left w:w="70" w:type="dxa"/>
              <w:bottom w:w="0" w:type="dxa"/>
              <w:right w:w="70" w:type="dxa"/>
            </w:tcMar>
            <w:vAlign w:val="center"/>
            <w:hideMark/>
          </w:tcPr>
          <w:p w:rsidR="008819AE" w:rsidRPr="00280760" w:rsidRDefault="008819AE" w:rsidP="00476EF8">
            <w:pPr>
              <w:spacing w:after="0"/>
              <w:jc w:val="center"/>
              <w:rPr>
                <w:rFonts w:cs="Arial"/>
                <w:sz w:val="20"/>
                <w:szCs w:val="20"/>
              </w:rPr>
            </w:pPr>
            <w:r w:rsidRPr="00280760">
              <w:rPr>
                <w:rFonts w:cs="Arial"/>
                <w:sz w:val="20"/>
                <w:szCs w:val="20"/>
              </w:rPr>
              <w:t xml:space="preserve">1.163.569.093 </w:t>
            </w:r>
          </w:p>
        </w:tc>
      </w:tr>
    </w:tbl>
    <w:p w:rsidR="008819AE" w:rsidRPr="007608C2" w:rsidRDefault="008819AE" w:rsidP="00E14FAF">
      <w:pPr>
        <w:ind w:firstLine="708"/>
        <w:jc w:val="center"/>
        <w:rPr>
          <w:rFonts w:cs="Arial"/>
          <w:sz w:val="16"/>
        </w:rPr>
      </w:pPr>
      <w:r w:rsidRPr="007608C2">
        <w:rPr>
          <w:rFonts w:cs="Arial"/>
          <w:sz w:val="16"/>
        </w:rPr>
        <w:t>Fuente: SIIF NACIÓN 2</w:t>
      </w:r>
    </w:p>
    <w:p w:rsidR="008819AE" w:rsidRPr="007608C2" w:rsidRDefault="008819AE" w:rsidP="008819AE">
      <w:pPr>
        <w:jc w:val="both"/>
        <w:rPr>
          <w:rFonts w:cs="Arial"/>
          <w:b/>
        </w:rPr>
      </w:pPr>
      <w:r w:rsidRPr="007608C2">
        <w:rPr>
          <w:rFonts w:cs="Arial"/>
          <w:b/>
        </w:rPr>
        <w:t>La Estrategia de ‘Súper Amigos’</w:t>
      </w:r>
    </w:p>
    <w:p w:rsidR="008819AE" w:rsidRPr="007608C2" w:rsidRDefault="008819AE" w:rsidP="008819AE">
      <w:pPr>
        <w:jc w:val="both"/>
        <w:rPr>
          <w:rFonts w:cs="Arial"/>
        </w:rPr>
      </w:pPr>
      <w:r w:rsidRPr="007608C2">
        <w:rPr>
          <w:rFonts w:cs="Arial"/>
        </w:rPr>
        <w:t>En la actual administración se crearon los protocolos y se reactivó el esfuerzo de búsqueda activa de familias incorporando el Plan ‘Súper Amigos’ en el Lineamiento Técnico como una estrategia que posibilita la adopción; estrategia que había nacido en el 2013, como parte de los esfuerzos del ICBF para brindar alternativas para aquellos niños declarados en adoptabilidad con características y necesidades especiales que requerían de un referente afectivo por la dificultad de encontrar una familia. A 2017, cómo resultado de la estrategia, 518 niños, niñas y adolescentes cuentan con referente afectivo en el marco de la estrategia «Súper Amigos», en las direcciones regionales Antioquia, Caldas, Risaralda, Tolima, Bogotá, Huila, Caquetá, Quindío, Santander, Nariño, Valle, Sucre, Bolivar, Magdalena, Atlántico, Córdoba, Casanare y Boyacá.</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0" w:type="dxa"/>
          <w:right w:w="0" w:type="dxa"/>
        </w:tblCellMar>
        <w:tblLook w:val="04A0" w:firstRow="1" w:lastRow="0" w:firstColumn="1" w:lastColumn="0" w:noHBand="0" w:noVBand="1"/>
      </w:tblPr>
      <w:tblGrid>
        <w:gridCol w:w="3131"/>
        <w:gridCol w:w="2263"/>
        <w:gridCol w:w="1896"/>
      </w:tblGrid>
      <w:tr w:rsidR="008819AE" w:rsidRPr="007608C2" w:rsidTr="00280760">
        <w:trPr>
          <w:trHeight w:val="393"/>
          <w:jc w:val="center"/>
        </w:trPr>
        <w:tc>
          <w:tcPr>
            <w:tcW w:w="0" w:type="auto"/>
            <w:shd w:val="clear" w:color="auto" w:fill="76922E"/>
            <w:tcMar>
              <w:top w:w="0" w:type="dxa"/>
              <w:left w:w="70" w:type="dxa"/>
              <w:bottom w:w="0" w:type="dxa"/>
              <w:right w:w="70" w:type="dxa"/>
            </w:tcMar>
            <w:vAlign w:val="center"/>
            <w:hideMark/>
          </w:tcPr>
          <w:p w:rsidR="008819AE" w:rsidRPr="00280760" w:rsidRDefault="008819AE" w:rsidP="00476EF8">
            <w:pPr>
              <w:spacing w:after="0"/>
              <w:jc w:val="center"/>
              <w:rPr>
                <w:rFonts w:cs="Arial"/>
                <w:b/>
                <w:color w:val="FFFFFF" w:themeColor="background1"/>
                <w:sz w:val="20"/>
              </w:rPr>
            </w:pPr>
            <w:r w:rsidRPr="00280760">
              <w:rPr>
                <w:rFonts w:cs="Arial"/>
                <w:b/>
                <w:color w:val="FFFFFF" w:themeColor="background1"/>
                <w:sz w:val="20"/>
              </w:rPr>
              <w:t>Nombre</w:t>
            </w:r>
          </w:p>
        </w:tc>
        <w:tc>
          <w:tcPr>
            <w:tcW w:w="0" w:type="auto"/>
            <w:shd w:val="clear" w:color="auto" w:fill="76922E"/>
            <w:tcMar>
              <w:top w:w="0" w:type="dxa"/>
              <w:left w:w="70" w:type="dxa"/>
              <w:bottom w:w="0" w:type="dxa"/>
              <w:right w:w="70" w:type="dxa"/>
            </w:tcMar>
            <w:vAlign w:val="center"/>
            <w:hideMark/>
          </w:tcPr>
          <w:p w:rsidR="008819AE" w:rsidRPr="00280760" w:rsidRDefault="008819AE" w:rsidP="00476EF8">
            <w:pPr>
              <w:spacing w:after="0"/>
              <w:jc w:val="center"/>
              <w:rPr>
                <w:rFonts w:cs="Arial"/>
                <w:b/>
                <w:color w:val="FFFFFF" w:themeColor="background1"/>
                <w:sz w:val="20"/>
              </w:rPr>
            </w:pPr>
            <w:r w:rsidRPr="00280760">
              <w:rPr>
                <w:rFonts w:cs="Arial"/>
                <w:b/>
                <w:color w:val="FFFFFF" w:themeColor="background1"/>
                <w:sz w:val="20"/>
              </w:rPr>
              <w:t>Programación Vigente</w:t>
            </w:r>
          </w:p>
        </w:tc>
        <w:tc>
          <w:tcPr>
            <w:tcW w:w="0" w:type="auto"/>
            <w:shd w:val="clear" w:color="auto" w:fill="76922E"/>
            <w:tcMar>
              <w:top w:w="0" w:type="dxa"/>
              <w:left w:w="70" w:type="dxa"/>
              <w:bottom w:w="0" w:type="dxa"/>
              <w:right w:w="70" w:type="dxa"/>
            </w:tcMar>
            <w:vAlign w:val="center"/>
            <w:hideMark/>
          </w:tcPr>
          <w:p w:rsidR="008819AE" w:rsidRPr="00280760" w:rsidRDefault="008819AE" w:rsidP="00476EF8">
            <w:pPr>
              <w:spacing w:after="0"/>
              <w:jc w:val="center"/>
              <w:rPr>
                <w:rFonts w:cs="Arial"/>
                <w:b/>
                <w:color w:val="FFFFFF" w:themeColor="background1"/>
                <w:sz w:val="20"/>
              </w:rPr>
            </w:pPr>
            <w:r w:rsidRPr="00280760">
              <w:rPr>
                <w:rFonts w:cs="Arial"/>
                <w:b/>
                <w:color w:val="FFFFFF" w:themeColor="background1"/>
                <w:sz w:val="20"/>
              </w:rPr>
              <w:t>Reporte Ejecución</w:t>
            </w:r>
          </w:p>
        </w:tc>
      </w:tr>
      <w:tr w:rsidR="008819AE" w:rsidRPr="007608C2" w:rsidTr="00280760">
        <w:trPr>
          <w:trHeight w:val="373"/>
          <w:jc w:val="center"/>
        </w:trPr>
        <w:tc>
          <w:tcPr>
            <w:tcW w:w="0" w:type="auto"/>
            <w:noWrap/>
            <w:tcMar>
              <w:top w:w="0" w:type="dxa"/>
              <w:left w:w="70" w:type="dxa"/>
              <w:bottom w:w="0" w:type="dxa"/>
              <w:right w:w="70" w:type="dxa"/>
            </w:tcMar>
            <w:vAlign w:val="center"/>
            <w:hideMark/>
          </w:tcPr>
          <w:p w:rsidR="008819AE" w:rsidRPr="007608C2" w:rsidRDefault="008819AE" w:rsidP="00476EF8">
            <w:pPr>
              <w:spacing w:after="0"/>
              <w:jc w:val="center"/>
              <w:rPr>
                <w:rFonts w:cs="Arial"/>
                <w:sz w:val="20"/>
              </w:rPr>
            </w:pPr>
            <w:r w:rsidRPr="007608C2">
              <w:rPr>
                <w:rFonts w:cs="Arial"/>
                <w:sz w:val="20"/>
              </w:rPr>
              <w:t>La Estrategia de «Súper Amigos»</w:t>
            </w:r>
          </w:p>
        </w:tc>
        <w:tc>
          <w:tcPr>
            <w:tcW w:w="0" w:type="auto"/>
            <w:tcMar>
              <w:top w:w="0" w:type="dxa"/>
              <w:left w:w="70" w:type="dxa"/>
              <w:bottom w:w="0" w:type="dxa"/>
              <w:right w:w="70" w:type="dxa"/>
            </w:tcMar>
            <w:vAlign w:val="center"/>
            <w:hideMark/>
          </w:tcPr>
          <w:p w:rsidR="008819AE" w:rsidRPr="007608C2" w:rsidRDefault="008819AE" w:rsidP="00476EF8">
            <w:pPr>
              <w:spacing w:after="0"/>
              <w:jc w:val="center"/>
              <w:rPr>
                <w:rFonts w:cs="Arial"/>
                <w:sz w:val="20"/>
              </w:rPr>
            </w:pPr>
            <w:r w:rsidRPr="007608C2">
              <w:rPr>
                <w:rFonts w:cs="Arial"/>
                <w:sz w:val="20"/>
              </w:rPr>
              <w:t>1.429.457.956</w:t>
            </w:r>
          </w:p>
        </w:tc>
        <w:tc>
          <w:tcPr>
            <w:tcW w:w="0" w:type="auto"/>
            <w:tcMar>
              <w:top w:w="0" w:type="dxa"/>
              <w:left w:w="70" w:type="dxa"/>
              <w:bottom w:w="0" w:type="dxa"/>
              <w:right w:w="70" w:type="dxa"/>
            </w:tcMar>
            <w:vAlign w:val="center"/>
            <w:hideMark/>
          </w:tcPr>
          <w:p w:rsidR="008819AE" w:rsidRPr="007608C2" w:rsidRDefault="008819AE" w:rsidP="00476EF8">
            <w:pPr>
              <w:spacing w:after="0"/>
              <w:jc w:val="center"/>
              <w:rPr>
                <w:rFonts w:cs="Arial"/>
                <w:sz w:val="20"/>
              </w:rPr>
            </w:pPr>
            <w:r w:rsidRPr="007608C2">
              <w:rPr>
                <w:rFonts w:cs="Arial"/>
                <w:sz w:val="20"/>
              </w:rPr>
              <w:t>1.429.457.956</w:t>
            </w:r>
          </w:p>
        </w:tc>
      </w:tr>
    </w:tbl>
    <w:p w:rsidR="008819AE" w:rsidRPr="00280760" w:rsidRDefault="008819AE" w:rsidP="00E14FAF">
      <w:pPr>
        <w:ind w:firstLine="708"/>
        <w:jc w:val="center"/>
        <w:rPr>
          <w:rFonts w:cs="Arial"/>
          <w:sz w:val="16"/>
          <w:szCs w:val="16"/>
        </w:rPr>
      </w:pPr>
      <w:r w:rsidRPr="00280760">
        <w:rPr>
          <w:rFonts w:cs="Arial"/>
          <w:sz w:val="16"/>
          <w:szCs w:val="16"/>
        </w:rPr>
        <w:t>Fuente: SIIF NACIÓN 2</w:t>
      </w:r>
    </w:p>
    <w:p w:rsidR="008819AE" w:rsidRPr="007608C2" w:rsidRDefault="008819AE" w:rsidP="008819AE">
      <w:pPr>
        <w:jc w:val="both"/>
        <w:rPr>
          <w:rFonts w:cs="Arial"/>
          <w:b/>
        </w:rPr>
      </w:pPr>
      <w:r w:rsidRPr="007608C2">
        <w:rPr>
          <w:rFonts w:cs="Arial"/>
          <w:b/>
        </w:rPr>
        <w:t>Restaurando Vidas, Construimos futuro</w:t>
      </w:r>
    </w:p>
    <w:p w:rsidR="008819AE" w:rsidRPr="007608C2" w:rsidRDefault="008819AE" w:rsidP="008819AE">
      <w:pPr>
        <w:jc w:val="both"/>
        <w:rPr>
          <w:rFonts w:cs="Arial"/>
        </w:rPr>
      </w:pPr>
      <w:r w:rsidRPr="007608C2">
        <w:rPr>
          <w:rFonts w:cs="Arial"/>
        </w:rPr>
        <w:t xml:space="preserve">Es una iniciativa impulsada en la nueva administración, que se suma al Programa de Adopción para incentivar la búsqueda de familias solicitantes abiertas a adoptar niños, niñas o adolescentes con características y necesidades especiales. La iniciativa genera una aproximación de una manera más humana para entender cuáles son los sueños y expectativas de esta población, que son fundamentales en el momento de buscar una familia. Para el 2017, 2.725 niños, niñas y adolescentes con características y necesidades especiales están identificados. De estos, 159 niños, niñas y adolescentes cuentan carta de intención, 71 con familia asignada; 5 con cruce de familia; 10 en proceso judicial; 311 con sentencia de adopción; 41 postulados a vacaciones; 45 no desean ser adoptados; 100 con mayoría de edad; 32 evadidos; 201 en valoración: 3.104 con </w:t>
      </w:r>
      <w:r w:rsidRPr="007608C2">
        <w:rPr>
          <w:rFonts w:cs="Arial"/>
        </w:rPr>
        <w:lastRenderedPageBreak/>
        <w:t>derechos restablecidos en el marco de restitución internacional; 47 repatriados (corte a 31 de octubre de 2017); y, 44 retornados al país de residencia habitual (corte a 31 de octubre de 2017).</w:t>
      </w:r>
    </w:p>
    <w:p w:rsidR="008819AE" w:rsidRPr="007608C2" w:rsidRDefault="008819AE" w:rsidP="00E14FAF">
      <w:pPr>
        <w:spacing w:line="240" w:lineRule="auto"/>
        <w:jc w:val="both"/>
        <w:rPr>
          <w:rFonts w:cs="Arial"/>
          <w:b/>
        </w:rPr>
      </w:pPr>
      <w:bookmarkStart w:id="104" w:name="_Toc473581431"/>
      <w:r w:rsidRPr="007608C2">
        <w:rPr>
          <w:rFonts w:cs="Arial"/>
          <w:b/>
        </w:rPr>
        <w:t>Acciones transversales para el restablecimiento de derechos y proyectos de vida</w:t>
      </w:r>
      <w:bookmarkEnd w:id="104"/>
      <w:r w:rsidRPr="007608C2">
        <w:rPr>
          <w:rFonts w:cs="Arial"/>
          <w:b/>
        </w:rPr>
        <w:t xml:space="preserve"> </w:t>
      </w:r>
    </w:p>
    <w:p w:rsidR="008819AE" w:rsidRPr="007608C2" w:rsidRDefault="008819AE" w:rsidP="00E14FAF">
      <w:pPr>
        <w:spacing w:line="240" w:lineRule="auto"/>
        <w:ind w:firstLine="708"/>
        <w:jc w:val="both"/>
        <w:rPr>
          <w:rFonts w:cs="Arial"/>
        </w:rPr>
      </w:pPr>
      <w:r w:rsidRPr="007608C2">
        <w:rPr>
          <w:rFonts w:cs="Arial"/>
          <w:b/>
        </w:rPr>
        <w:t>Proyecto sueños</w:t>
      </w:r>
    </w:p>
    <w:p w:rsidR="008819AE" w:rsidRPr="007608C2" w:rsidRDefault="008819AE" w:rsidP="008819AE">
      <w:pPr>
        <w:jc w:val="both"/>
        <w:rPr>
          <w:rFonts w:cs="Arial"/>
        </w:rPr>
      </w:pPr>
      <w:r w:rsidRPr="007608C2">
        <w:rPr>
          <w:rFonts w:cs="Arial"/>
        </w:rPr>
        <w:t>La iniciativa ‘Proyecto sueños, Oportunidades para volar’ de la Dirección de Protección, se creó con el fin de promover y generar condiciones que garanticen a los adolescentes y jóvenes la satisfacción de sus derechos y el fortalecimiento de sus competencias y habilidades. Igualmente, busca favorecer la construcción del proyecto de vida de los adolescentes y jóvenes, así como ofrecerles herramientas para asumir posteriormente una vida autónoma e independiente.</w:t>
      </w:r>
    </w:p>
    <w:p w:rsidR="008819AE" w:rsidRPr="007608C2" w:rsidRDefault="008819AE" w:rsidP="008819AE">
      <w:pPr>
        <w:jc w:val="both"/>
        <w:rPr>
          <w:rFonts w:cs="Arial"/>
        </w:rPr>
      </w:pPr>
      <w:r w:rsidRPr="007608C2">
        <w:rPr>
          <w:rFonts w:cs="Arial"/>
        </w:rPr>
        <w:t>Teniendo en cuenta las distintas necesidades de los adolescentes y jóvenes bajo protección del ICBF, se han desarrollado siete componentes para el ‘Proyecto sueños Oportunidades para Volar’: Identidad, Cultura, Recreación, Deporte, Voluntariado, Educación y Empleabilidad. Es en estos dos últimos componentes donde se encuentran los mayores avances.</w:t>
      </w:r>
    </w:p>
    <w:p w:rsidR="008819AE" w:rsidRPr="007608C2" w:rsidRDefault="008819AE" w:rsidP="00A44A2B">
      <w:pPr>
        <w:pStyle w:val="Prrafodelista"/>
        <w:numPr>
          <w:ilvl w:val="0"/>
          <w:numId w:val="119"/>
        </w:numPr>
        <w:jc w:val="both"/>
        <w:rPr>
          <w:rFonts w:cs="Arial"/>
        </w:rPr>
      </w:pPr>
      <w:r w:rsidRPr="007608C2">
        <w:rPr>
          <w:rFonts w:cs="Arial"/>
        </w:rPr>
        <w:t xml:space="preserve">En el componente de educación se obtuvieron los siguientes resultados: </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ook w:val="04A0" w:firstRow="1" w:lastRow="0" w:firstColumn="1" w:lastColumn="0" w:noHBand="0" w:noVBand="1"/>
      </w:tblPr>
      <w:tblGrid>
        <w:gridCol w:w="6822"/>
        <w:gridCol w:w="2573"/>
      </w:tblGrid>
      <w:tr w:rsidR="008819AE" w:rsidRPr="00280760" w:rsidTr="00280760">
        <w:trPr>
          <w:jc w:val="center"/>
        </w:trPr>
        <w:tc>
          <w:tcPr>
            <w:tcW w:w="0" w:type="auto"/>
            <w:shd w:val="clear" w:color="auto" w:fill="76922E"/>
            <w:vAlign w:val="center"/>
            <w:hideMark/>
          </w:tcPr>
          <w:p w:rsidR="008819AE" w:rsidRPr="00280760" w:rsidRDefault="008819AE" w:rsidP="00476EF8">
            <w:pPr>
              <w:spacing w:after="0"/>
              <w:jc w:val="center"/>
              <w:rPr>
                <w:rFonts w:cs="Arial"/>
                <w:b/>
                <w:color w:val="FFFFFF" w:themeColor="background1"/>
                <w:sz w:val="18"/>
                <w:szCs w:val="18"/>
              </w:rPr>
            </w:pPr>
            <w:r w:rsidRPr="00280760">
              <w:rPr>
                <w:rFonts w:cs="Arial"/>
                <w:b/>
                <w:color w:val="FFFFFF" w:themeColor="background1"/>
                <w:sz w:val="18"/>
                <w:szCs w:val="18"/>
              </w:rPr>
              <w:t>Asunto</w:t>
            </w:r>
          </w:p>
        </w:tc>
        <w:tc>
          <w:tcPr>
            <w:tcW w:w="0" w:type="auto"/>
            <w:shd w:val="clear" w:color="auto" w:fill="76922E"/>
            <w:vAlign w:val="center"/>
          </w:tcPr>
          <w:p w:rsidR="008819AE" w:rsidRPr="00280760" w:rsidRDefault="008819AE" w:rsidP="00476EF8">
            <w:pPr>
              <w:spacing w:after="0"/>
              <w:jc w:val="center"/>
              <w:rPr>
                <w:rFonts w:cs="Arial"/>
                <w:b/>
                <w:color w:val="FFFFFF" w:themeColor="background1"/>
                <w:sz w:val="18"/>
                <w:szCs w:val="18"/>
              </w:rPr>
            </w:pPr>
            <w:r w:rsidRPr="00280760">
              <w:rPr>
                <w:rFonts w:cs="Arial"/>
                <w:b/>
                <w:color w:val="FFFFFF" w:themeColor="background1"/>
                <w:sz w:val="18"/>
                <w:szCs w:val="18"/>
              </w:rPr>
              <w:t>No.</w:t>
            </w:r>
          </w:p>
        </w:tc>
      </w:tr>
      <w:tr w:rsidR="008819AE" w:rsidRPr="00280760" w:rsidTr="00280760">
        <w:trPr>
          <w:trHeight w:val="54"/>
          <w:jc w:val="center"/>
        </w:trPr>
        <w:tc>
          <w:tcPr>
            <w:tcW w:w="0" w:type="auto"/>
            <w:shd w:val="clear" w:color="auto" w:fill="auto"/>
            <w:vAlign w:val="center"/>
            <w:hideMark/>
          </w:tcPr>
          <w:p w:rsidR="008819AE" w:rsidRPr="00280760" w:rsidRDefault="008819AE" w:rsidP="00476EF8">
            <w:pPr>
              <w:spacing w:after="0"/>
              <w:rPr>
                <w:rFonts w:cs="Arial"/>
                <w:sz w:val="18"/>
                <w:szCs w:val="18"/>
              </w:rPr>
            </w:pPr>
            <w:r w:rsidRPr="00280760">
              <w:rPr>
                <w:rFonts w:cs="Arial"/>
                <w:sz w:val="18"/>
                <w:szCs w:val="18"/>
              </w:rPr>
              <w:t>Total de adolescentes y jóvenes vinculados a estudios de educación superior primer semestre del año (A).</w:t>
            </w:r>
          </w:p>
        </w:tc>
        <w:tc>
          <w:tcPr>
            <w:tcW w:w="0" w:type="auto"/>
            <w:shd w:val="clear" w:color="auto" w:fill="auto"/>
            <w:vAlign w:val="center"/>
          </w:tcPr>
          <w:p w:rsidR="008819AE" w:rsidRPr="00280760" w:rsidRDefault="008819AE" w:rsidP="00476EF8">
            <w:pPr>
              <w:spacing w:after="0"/>
              <w:jc w:val="center"/>
              <w:rPr>
                <w:rFonts w:cs="Arial"/>
                <w:b/>
                <w:sz w:val="18"/>
                <w:szCs w:val="18"/>
              </w:rPr>
            </w:pPr>
            <w:r w:rsidRPr="00280760">
              <w:rPr>
                <w:rFonts w:cs="Arial"/>
                <w:b/>
                <w:sz w:val="18"/>
                <w:szCs w:val="18"/>
              </w:rPr>
              <w:t>871</w:t>
            </w:r>
          </w:p>
        </w:tc>
      </w:tr>
      <w:tr w:rsidR="008819AE" w:rsidRPr="00280760" w:rsidTr="00280760">
        <w:trPr>
          <w:trHeight w:val="47"/>
          <w:jc w:val="center"/>
        </w:trPr>
        <w:tc>
          <w:tcPr>
            <w:tcW w:w="0" w:type="auto"/>
            <w:shd w:val="clear" w:color="auto" w:fill="auto"/>
            <w:vAlign w:val="center"/>
            <w:hideMark/>
          </w:tcPr>
          <w:p w:rsidR="008819AE" w:rsidRPr="00280760" w:rsidRDefault="008819AE" w:rsidP="00476EF8">
            <w:pPr>
              <w:spacing w:after="0"/>
              <w:rPr>
                <w:rFonts w:cs="Arial"/>
                <w:sz w:val="18"/>
                <w:szCs w:val="18"/>
              </w:rPr>
            </w:pPr>
            <w:r w:rsidRPr="00280760">
              <w:rPr>
                <w:rFonts w:cs="Arial"/>
                <w:sz w:val="18"/>
                <w:szCs w:val="18"/>
              </w:rPr>
              <w:t>Programas universitarios</w:t>
            </w:r>
          </w:p>
        </w:tc>
        <w:tc>
          <w:tcPr>
            <w:tcW w:w="0" w:type="auto"/>
            <w:shd w:val="clear" w:color="auto" w:fill="auto"/>
            <w:vAlign w:val="center"/>
          </w:tcPr>
          <w:p w:rsidR="008819AE" w:rsidRPr="00280760" w:rsidRDefault="008819AE" w:rsidP="00476EF8">
            <w:pPr>
              <w:spacing w:after="0"/>
              <w:jc w:val="center"/>
              <w:rPr>
                <w:rFonts w:cs="Arial"/>
                <w:sz w:val="18"/>
                <w:szCs w:val="18"/>
              </w:rPr>
            </w:pPr>
            <w:r w:rsidRPr="00280760">
              <w:rPr>
                <w:rFonts w:cs="Arial"/>
                <w:sz w:val="18"/>
                <w:szCs w:val="18"/>
              </w:rPr>
              <w:t>621</w:t>
            </w:r>
          </w:p>
        </w:tc>
      </w:tr>
      <w:tr w:rsidR="008819AE" w:rsidRPr="00280760" w:rsidTr="00280760">
        <w:trPr>
          <w:jc w:val="center"/>
        </w:trPr>
        <w:tc>
          <w:tcPr>
            <w:tcW w:w="0" w:type="auto"/>
            <w:shd w:val="clear" w:color="auto" w:fill="auto"/>
            <w:vAlign w:val="center"/>
            <w:hideMark/>
          </w:tcPr>
          <w:p w:rsidR="008819AE" w:rsidRPr="00280760" w:rsidRDefault="008819AE" w:rsidP="00476EF8">
            <w:pPr>
              <w:spacing w:after="0"/>
              <w:rPr>
                <w:rFonts w:cs="Arial"/>
                <w:sz w:val="18"/>
                <w:szCs w:val="18"/>
              </w:rPr>
            </w:pPr>
            <w:r w:rsidRPr="00280760">
              <w:rPr>
                <w:rFonts w:cs="Arial"/>
                <w:sz w:val="18"/>
                <w:szCs w:val="18"/>
              </w:rPr>
              <w:t>Programas tecnológicos</w:t>
            </w:r>
          </w:p>
        </w:tc>
        <w:tc>
          <w:tcPr>
            <w:tcW w:w="0" w:type="auto"/>
            <w:shd w:val="clear" w:color="auto" w:fill="auto"/>
            <w:vAlign w:val="center"/>
          </w:tcPr>
          <w:p w:rsidR="008819AE" w:rsidRPr="00280760" w:rsidRDefault="008819AE" w:rsidP="00476EF8">
            <w:pPr>
              <w:spacing w:after="0"/>
              <w:jc w:val="center"/>
              <w:rPr>
                <w:rFonts w:cs="Arial"/>
                <w:sz w:val="18"/>
                <w:szCs w:val="18"/>
              </w:rPr>
            </w:pPr>
            <w:r w:rsidRPr="00280760">
              <w:rPr>
                <w:rFonts w:cs="Arial"/>
                <w:sz w:val="18"/>
                <w:szCs w:val="18"/>
              </w:rPr>
              <w:t>44</w:t>
            </w:r>
          </w:p>
        </w:tc>
      </w:tr>
      <w:tr w:rsidR="008819AE" w:rsidRPr="00280760" w:rsidTr="00280760">
        <w:trPr>
          <w:jc w:val="center"/>
        </w:trPr>
        <w:tc>
          <w:tcPr>
            <w:tcW w:w="0" w:type="auto"/>
            <w:shd w:val="clear" w:color="auto" w:fill="auto"/>
            <w:vAlign w:val="center"/>
            <w:hideMark/>
          </w:tcPr>
          <w:p w:rsidR="008819AE" w:rsidRPr="00280760" w:rsidRDefault="008819AE" w:rsidP="00476EF8">
            <w:pPr>
              <w:spacing w:after="0"/>
              <w:rPr>
                <w:rFonts w:cs="Arial"/>
                <w:sz w:val="18"/>
                <w:szCs w:val="18"/>
              </w:rPr>
            </w:pPr>
            <w:r w:rsidRPr="00280760">
              <w:rPr>
                <w:rFonts w:cs="Arial"/>
                <w:sz w:val="18"/>
                <w:szCs w:val="18"/>
              </w:rPr>
              <w:t>Técnicos profesionales</w:t>
            </w:r>
          </w:p>
        </w:tc>
        <w:tc>
          <w:tcPr>
            <w:tcW w:w="0" w:type="auto"/>
            <w:shd w:val="clear" w:color="auto" w:fill="auto"/>
            <w:vAlign w:val="center"/>
          </w:tcPr>
          <w:p w:rsidR="008819AE" w:rsidRPr="00280760" w:rsidRDefault="008819AE" w:rsidP="00476EF8">
            <w:pPr>
              <w:spacing w:after="0"/>
              <w:jc w:val="center"/>
              <w:rPr>
                <w:rFonts w:cs="Arial"/>
                <w:sz w:val="18"/>
                <w:szCs w:val="18"/>
              </w:rPr>
            </w:pPr>
            <w:r w:rsidRPr="00280760">
              <w:rPr>
                <w:rFonts w:cs="Arial"/>
                <w:sz w:val="18"/>
                <w:szCs w:val="18"/>
              </w:rPr>
              <w:t>206</w:t>
            </w:r>
          </w:p>
        </w:tc>
      </w:tr>
      <w:tr w:rsidR="008819AE" w:rsidRPr="00280760" w:rsidTr="00280760">
        <w:trPr>
          <w:jc w:val="center"/>
        </w:trPr>
        <w:tc>
          <w:tcPr>
            <w:tcW w:w="0" w:type="auto"/>
            <w:shd w:val="clear" w:color="auto" w:fill="auto"/>
            <w:vAlign w:val="center"/>
            <w:hideMark/>
          </w:tcPr>
          <w:p w:rsidR="008819AE" w:rsidRPr="00280760" w:rsidRDefault="008819AE" w:rsidP="00476EF8">
            <w:pPr>
              <w:spacing w:after="0"/>
              <w:rPr>
                <w:rFonts w:cs="Arial"/>
                <w:sz w:val="18"/>
                <w:szCs w:val="18"/>
              </w:rPr>
            </w:pPr>
            <w:r w:rsidRPr="00280760">
              <w:rPr>
                <w:rFonts w:cs="Arial"/>
                <w:sz w:val="18"/>
                <w:szCs w:val="18"/>
              </w:rPr>
              <w:t>Programas de Formación para el Trabajo y el Desarrollo Humano</w:t>
            </w:r>
          </w:p>
        </w:tc>
        <w:tc>
          <w:tcPr>
            <w:tcW w:w="0" w:type="auto"/>
            <w:shd w:val="clear" w:color="auto" w:fill="auto"/>
            <w:vAlign w:val="center"/>
          </w:tcPr>
          <w:p w:rsidR="008819AE" w:rsidRPr="00280760" w:rsidRDefault="008819AE" w:rsidP="00476EF8">
            <w:pPr>
              <w:spacing w:after="0"/>
              <w:jc w:val="center"/>
              <w:rPr>
                <w:rFonts w:cs="Arial"/>
                <w:sz w:val="18"/>
                <w:szCs w:val="18"/>
              </w:rPr>
            </w:pPr>
            <w:r w:rsidRPr="00280760">
              <w:rPr>
                <w:rFonts w:cs="Arial"/>
                <w:sz w:val="18"/>
                <w:szCs w:val="18"/>
              </w:rPr>
              <w:t>85</w:t>
            </w:r>
          </w:p>
        </w:tc>
      </w:tr>
      <w:tr w:rsidR="008819AE" w:rsidRPr="00280760" w:rsidTr="00280760">
        <w:trPr>
          <w:jc w:val="center"/>
        </w:trPr>
        <w:tc>
          <w:tcPr>
            <w:tcW w:w="0" w:type="auto"/>
            <w:shd w:val="clear" w:color="auto" w:fill="auto"/>
            <w:vAlign w:val="center"/>
            <w:hideMark/>
          </w:tcPr>
          <w:p w:rsidR="008819AE" w:rsidRPr="00280760" w:rsidRDefault="008819AE" w:rsidP="00476EF8">
            <w:pPr>
              <w:spacing w:after="0"/>
              <w:rPr>
                <w:rFonts w:cs="Arial"/>
                <w:sz w:val="18"/>
                <w:szCs w:val="18"/>
              </w:rPr>
            </w:pPr>
            <w:r w:rsidRPr="00280760">
              <w:rPr>
                <w:rFonts w:cs="Arial"/>
                <w:sz w:val="18"/>
                <w:szCs w:val="18"/>
              </w:rPr>
              <w:t>Total de adolescentes y jóvenes vinculados a estudios de educación superior segundo semestre del año (B)</w:t>
            </w:r>
          </w:p>
        </w:tc>
        <w:tc>
          <w:tcPr>
            <w:tcW w:w="0" w:type="auto"/>
            <w:shd w:val="clear" w:color="auto" w:fill="auto"/>
            <w:vAlign w:val="center"/>
          </w:tcPr>
          <w:p w:rsidR="008819AE" w:rsidRPr="00280760" w:rsidRDefault="008819AE" w:rsidP="00476EF8">
            <w:pPr>
              <w:spacing w:after="0"/>
              <w:jc w:val="center"/>
              <w:rPr>
                <w:rFonts w:cs="Arial"/>
                <w:b/>
                <w:sz w:val="18"/>
                <w:szCs w:val="18"/>
              </w:rPr>
            </w:pPr>
            <w:r w:rsidRPr="00280760">
              <w:rPr>
                <w:rFonts w:cs="Arial"/>
                <w:b/>
                <w:sz w:val="18"/>
                <w:szCs w:val="18"/>
              </w:rPr>
              <w:t>781</w:t>
            </w:r>
          </w:p>
        </w:tc>
      </w:tr>
      <w:tr w:rsidR="008819AE" w:rsidRPr="00280760" w:rsidTr="00280760">
        <w:trPr>
          <w:jc w:val="center"/>
        </w:trPr>
        <w:tc>
          <w:tcPr>
            <w:tcW w:w="0" w:type="auto"/>
            <w:shd w:val="clear" w:color="auto" w:fill="auto"/>
            <w:vAlign w:val="center"/>
            <w:hideMark/>
          </w:tcPr>
          <w:p w:rsidR="008819AE" w:rsidRPr="00280760" w:rsidRDefault="008819AE" w:rsidP="00476EF8">
            <w:pPr>
              <w:spacing w:after="0"/>
              <w:rPr>
                <w:rFonts w:cs="Arial"/>
                <w:sz w:val="18"/>
                <w:szCs w:val="18"/>
              </w:rPr>
            </w:pPr>
            <w:r w:rsidRPr="00280760">
              <w:rPr>
                <w:rFonts w:cs="Arial"/>
                <w:sz w:val="18"/>
                <w:szCs w:val="18"/>
              </w:rPr>
              <w:t>Programas universitarios</w:t>
            </w:r>
          </w:p>
        </w:tc>
        <w:tc>
          <w:tcPr>
            <w:tcW w:w="0" w:type="auto"/>
            <w:shd w:val="clear" w:color="auto" w:fill="auto"/>
            <w:vAlign w:val="center"/>
          </w:tcPr>
          <w:p w:rsidR="008819AE" w:rsidRPr="00280760" w:rsidRDefault="008819AE" w:rsidP="00476EF8">
            <w:pPr>
              <w:spacing w:after="0"/>
              <w:jc w:val="center"/>
              <w:rPr>
                <w:rFonts w:cs="Arial"/>
                <w:sz w:val="18"/>
                <w:szCs w:val="18"/>
              </w:rPr>
            </w:pPr>
            <w:r w:rsidRPr="00280760">
              <w:rPr>
                <w:rFonts w:cs="Arial"/>
                <w:sz w:val="18"/>
                <w:szCs w:val="18"/>
              </w:rPr>
              <w:t>597</w:t>
            </w:r>
          </w:p>
        </w:tc>
      </w:tr>
      <w:tr w:rsidR="008819AE" w:rsidRPr="00280760" w:rsidTr="00280760">
        <w:trPr>
          <w:jc w:val="center"/>
        </w:trPr>
        <w:tc>
          <w:tcPr>
            <w:tcW w:w="0" w:type="auto"/>
            <w:shd w:val="clear" w:color="auto" w:fill="auto"/>
            <w:vAlign w:val="center"/>
            <w:hideMark/>
          </w:tcPr>
          <w:p w:rsidR="008819AE" w:rsidRPr="00280760" w:rsidRDefault="008819AE" w:rsidP="00476EF8">
            <w:pPr>
              <w:spacing w:after="0"/>
              <w:rPr>
                <w:rFonts w:cs="Arial"/>
                <w:sz w:val="18"/>
                <w:szCs w:val="18"/>
              </w:rPr>
            </w:pPr>
            <w:r w:rsidRPr="00280760">
              <w:rPr>
                <w:rFonts w:cs="Arial"/>
                <w:sz w:val="18"/>
                <w:szCs w:val="18"/>
              </w:rPr>
              <w:t>Programas tecnológicos</w:t>
            </w:r>
          </w:p>
        </w:tc>
        <w:tc>
          <w:tcPr>
            <w:tcW w:w="0" w:type="auto"/>
            <w:shd w:val="clear" w:color="auto" w:fill="auto"/>
            <w:vAlign w:val="center"/>
          </w:tcPr>
          <w:p w:rsidR="008819AE" w:rsidRPr="00280760" w:rsidRDefault="008819AE" w:rsidP="00476EF8">
            <w:pPr>
              <w:spacing w:after="0"/>
              <w:jc w:val="center"/>
              <w:rPr>
                <w:rFonts w:cs="Arial"/>
                <w:sz w:val="18"/>
                <w:szCs w:val="18"/>
              </w:rPr>
            </w:pPr>
            <w:r w:rsidRPr="00280760">
              <w:rPr>
                <w:rFonts w:cs="Arial"/>
                <w:sz w:val="18"/>
                <w:szCs w:val="18"/>
              </w:rPr>
              <w:t>41</w:t>
            </w:r>
          </w:p>
        </w:tc>
      </w:tr>
      <w:tr w:rsidR="008819AE" w:rsidRPr="00280760" w:rsidTr="00280760">
        <w:trPr>
          <w:jc w:val="center"/>
        </w:trPr>
        <w:tc>
          <w:tcPr>
            <w:tcW w:w="0" w:type="auto"/>
            <w:shd w:val="clear" w:color="auto" w:fill="auto"/>
            <w:vAlign w:val="center"/>
            <w:hideMark/>
          </w:tcPr>
          <w:p w:rsidR="008819AE" w:rsidRPr="00280760" w:rsidRDefault="008819AE" w:rsidP="00476EF8">
            <w:pPr>
              <w:spacing w:after="0"/>
              <w:rPr>
                <w:rFonts w:cs="Arial"/>
                <w:sz w:val="18"/>
                <w:szCs w:val="18"/>
              </w:rPr>
            </w:pPr>
            <w:r w:rsidRPr="00280760">
              <w:rPr>
                <w:rFonts w:cs="Arial"/>
                <w:sz w:val="18"/>
                <w:szCs w:val="18"/>
              </w:rPr>
              <w:t>Técnicos profesionales</w:t>
            </w:r>
          </w:p>
        </w:tc>
        <w:tc>
          <w:tcPr>
            <w:tcW w:w="0" w:type="auto"/>
            <w:shd w:val="clear" w:color="auto" w:fill="auto"/>
            <w:vAlign w:val="center"/>
          </w:tcPr>
          <w:p w:rsidR="008819AE" w:rsidRPr="00280760" w:rsidRDefault="008819AE" w:rsidP="00476EF8">
            <w:pPr>
              <w:spacing w:after="0"/>
              <w:jc w:val="center"/>
              <w:rPr>
                <w:rFonts w:cs="Arial"/>
                <w:sz w:val="18"/>
                <w:szCs w:val="18"/>
              </w:rPr>
            </w:pPr>
            <w:r w:rsidRPr="00280760">
              <w:rPr>
                <w:rFonts w:cs="Arial"/>
                <w:sz w:val="18"/>
                <w:szCs w:val="18"/>
              </w:rPr>
              <w:t>29</w:t>
            </w:r>
          </w:p>
        </w:tc>
      </w:tr>
      <w:tr w:rsidR="008819AE" w:rsidRPr="00280760" w:rsidTr="00280760">
        <w:trPr>
          <w:jc w:val="center"/>
        </w:trPr>
        <w:tc>
          <w:tcPr>
            <w:tcW w:w="0" w:type="auto"/>
            <w:shd w:val="clear" w:color="auto" w:fill="auto"/>
            <w:vAlign w:val="center"/>
            <w:hideMark/>
          </w:tcPr>
          <w:p w:rsidR="008819AE" w:rsidRPr="00280760" w:rsidRDefault="008819AE" w:rsidP="00476EF8">
            <w:pPr>
              <w:spacing w:after="0"/>
              <w:rPr>
                <w:rFonts w:cs="Arial"/>
                <w:sz w:val="18"/>
                <w:szCs w:val="18"/>
              </w:rPr>
            </w:pPr>
            <w:r w:rsidRPr="00280760">
              <w:rPr>
                <w:rFonts w:cs="Arial"/>
                <w:sz w:val="18"/>
                <w:szCs w:val="18"/>
              </w:rPr>
              <w:t>Programas de Formación para el Trabajo y el Desarrollo Humano</w:t>
            </w:r>
          </w:p>
        </w:tc>
        <w:tc>
          <w:tcPr>
            <w:tcW w:w="0" w:type="auto"/>
            <w:shd w:val="clear" w:color="auto" w:fill="auto"/>
            <w:vAlign w:val="center"/>
          </w:tcPr>
          <w:p w:rsidR="008819AE" w:rsidRPr="00280760" w:rsidRDefault="008819AE" w:rsidP="00476EF8">
            <w:pPr>
              <w:spacing w:after="0"/>
              <w:jc w:val="center"/>
              <w:rPr>
                <w:rFonts w:cs="Arial"/>
                <w:sz w:val="18"/>
                <w:szCs w:val="18"/>
              </w:rPr>
            </w:pPr>
            <w:r w:rsidRPr="00280760">
              <w:rPr>
                <w:rFonts w:cs="Arial"/>
                <w:sz w:val="18"/>
                <w:szCs w:val="18"/>
              </w:rPr>
              <w:t>361</w:t>
            </w:r>
          </w:p>
        </w:tc>
      </w:tr>
      <w:tr w:rsidR="008819AE" w:rsidRPr="00280760" w:rsidTr="00280760">
        <w:trPr>
          <w:jc w:val="center"/>
        </w:trPr>
        <w:tc>
          <w:tcPr>
            <w:tcW w:w="0" w:type="auto"/>
            <w:shd w:val="clear" w:color="auto" w:fill="auto"/>
            <w:vAlign w:val="center"/>
            <w:hideMark/>
          </w:tcPr>
          <w:p w:rsidR="008819AE" w:rsidRPr="00280760" w:rsidRDefault="008819AE" w:rsidP="00476EF8">
            <w:pPr>
              <w:spacing w:after="0"/>
              <w:rPr>
                <w:rFonts w:cs="Arial"/>
                <w:sz w:val="18"/>
                <w:szCs w:val="18"/>
              </w:rPr>
            </w:pPr>
            <w:r w:rsidRPr="00280760">
              <w:rPr>
                <w:rFonts w:cs="Arial"/>
                <w:sz w:val="18"/>
                <w:szCs w:val="18"/>
              </w:rPr>
              <w:t>Valor Total de las Matriculas pagadas ICETEX</w:t>
            </w:r>
          </w:p>
        </w:tc>
        <w:tc>
          <w:tcPr>
            <w:tcW w:w="0" w:type="auto"/>
            <w:shd w:val="clear" w:color="auto" w:fill="auto"/>
            <w:vAlign w:val="center"/>
          </w:tcPr>
          <w:p w:rsidR="008819AE" w:rsidRPr="00280760" w:rsidRDefault="008819AE" w:rsidP="00476EF8">
            <w:pPr>
              <w:spacing w:after="0"/>
              <w:jc w:val="center"/>
              <w:rPr>
                <w:rFonts w:cs="Arial"/>
                <w:b/>
                <w:sz w:val="18"/>
                <w:szCs w:val="18"/>
              </w:rPr>
            </w:pPr>
            <w:r w:rsidRPr="00280760">
              <w:rPr>
                <w:rFonts w:cs="Arial"/>
                <w:b/>
                <w:sz w:val="18"/>
                <w:szCs w:val="18"/>
              </w:rPr>
              <w:t>$4</w:t>
            </w:r>
            <w:r w:rsidRPr="00280760">
              <w:rPr>
                <w:rFonts w:cs="Arial"/>
                <w:b/>
                <w:spacing w:val="-4"/>
                <w:sz w:val="18"/>
                <w:szCs w:val="18"/>
              </w:rPr>
              <w:t>.121.460.297</w:t>
            </w:r>
          </w:p>
        </w:tc>
      </w:tr>
      <w:tr w:rsidR="008819AE" w:rsidRPr="00280760" w:rsidTr="00280760">
        <w:trPr>
          <w:jc w:val="center"/>
        </w:trPr>
        <w:tc>
          <w:tcPr>
            <w:tcW w:w="0" w:type="auto"/>
            <w:shd w:val="clear" w:color="auto" w:fill="auto"/>
            <w:vAlign w:val="center"/>
            <w:hideMark/>
          </w:tcPr>
          <w:p w:rsidR="008819AE" w:rsidRPr="00280760" w:rsidRDefault="008819AE" w:rsidP="00476EF8">
            <w:pPr>
              <w:spacing w:after="0"/>
              <w:rPr>
                <w:rFonts w:cs="Arial"/>
                <w:sz w:val="18"/>
                <w:szCs w:val="18"/>
              </w:rPr>
            </w:pPr>
            <w:r w:rsidRPr="00280760">
              <w:rPr>
                <w:rFonts w:cs="Arial"/>
                <w:sz w:val="18"/>
                <w:szCs w:val="18"/>
              </w:rPr>
              <w:t xml:space="preserve">Instituciones de Educación Vinculadas a la Iniciativa del Proyecto Sueños </w:t>
            </w:r>
          </w:p>
        </w:tc>
        <w:tc>
          <w:tcPr>
            <w:tcW w:w="0" w:type="auto"/>
            <w:shd w:val="clear" w:color="auto" w:fill="auto"/>
            <w:vAlign w:val="center"/>
          </w:tcPr>
          <w:p w:rsidR="008819AE" w:rsidRPr="00280760" w:rsidRDefault="008819AE" w:rsidP="00476EF8">
            <w:pPr>
              <w:spacing w:after="0"/>
              <w:jc w:val="center"/>
              <w:rPr>
                <w:rFonts w:cs="Arial"/>
                <w:sz w:val="18"/>
                <w:szCs w:val="18"/>
              </w:rPr>
            </w:pPr>
            <w:r w:rsidRPr="00280760">
              <w:rPr>
                <w:rFonts w:cs="Arial"/>
                <w:sz w:val="18"/>
                <w:szCs w:val="18"/>
              </w:rPr>
              <w:t>202</w:t>
            </w:r>
          </w:p>
        </w:tc>
      </w:tr>
      <w:tr w:rsidR="008819AE" w:rsidRPr="00280760" w:rsidTr="00280760">
        <w:trPr>
          <w:jc w:val="center"/>
        </w:trPr>
        <w:tc>
          <w:tcPr>
            <w:tcW w:w="0" w:type="auto"/>
            <w:shd w:val="clear" w:color="auto" w:fill="auto"/>
            <w:vAlign w:val="center"/>
            <w:hideMark/>
          </w:tcPr>
          <w:p w:rsidR="008819AE" w:rsidRPr="00280760" w:rsidRDefault="008819AE" w:rsidP="00476EF8">
            <w:pPr>
              <w:spacing w:after="0"/>
              <w:rPr>
                <w:rFonts w:cs="Arial"/>
                <w:sz w:val="18"/>
                <w:szCs w:val="18"/>
              </w:rPr>
            </w:pPr>
            <w:r w:rsidRPr="00280760">
              <w:rPr>
                <w:rFonts w:cs="Arial"/>
                <w:sz w:val="18"/>
                <w:szCs w:val="18"/>
              </w:rPr>
              <w:t>Deserciones/Retiros/Egresos</w:t>
            </w:r>
          </w:p>
        </w:tc>
        <w:tc>
          <w:tcPr>
            <w:tcW w:w="0" w:type="auto"/>
            <w:shd w:val="clear" w:color="auto" w:fill="auto"/>
            <w:vAlign w:val="center"/>
          </w:tcPr>
          <w:p w:rsidR="008819AE" w:rsidRPr="00280760" w:rsidRDefault="008819AE" w:rsidP="00476EF8">
            <w:pPr>
              <w:spacing w:after="0"/>
              <w:jc w:val="center"/>
              <w:rPr>
                <w:rFonts w:cs="Arial"/>
                <w:sz w:val="18"/>
                <w:szCs w:val="18"/>
              </w:rPr>
            </w:pPr>
            <w:r w:rsidRPr="00280760">
              <w:rPr>
                <w:rFonts w:cs="Arial"/>
                <w:sz w:val="18"/>
                <w:szCs w:val="18"/>
              </w:rPr>
              <w:t>23</w:t>
            </w:r>
          </w:p>
        </w:tc>
      </w:tr>
      <w:tr w:rsidR="008819AE" w:rsidRPr="00280760" w:rsidTr="00280760">
        <w:trPr>
          <w:jc w:val="center"/>
        </w:trPr>
        <w:tc>
          <w:tcPr>
            <w:tcW w:w="0" w:type="auto"/>
            <w:shd w:val="clear" w:color="auto" w:fill="auto"/>
            <w:vAlign w:val="center"/>
            <w:hideMark/>
          </w:tcPr>
          <w:p w:rsidR="008819AE" w:rsidRPr="00280760" w:rsidRDefault="008819AE" w:rsidP="00476EF8">
            <w:pPr>
              <w:spacing w:after="0"/>
              <w:rPr>
                <w:rFonts w:cs="Arial"/>
                <w:sz w:val="18"/>
                <w:szCs w:val="18"/>
              </w:rPr>
            </w:pPr>
            <w:r w:rsidRPr="00280760">
              <w:rPr>
                <w:rFonts w:cs="Arial"/>
                <w:sz w:val="18"/>
                <w:szCs w:val="18"/>
              </w:rPr>
              <w:t>Estudiantes vinculados a bienestar universitario y Programas de permanencia universitaria</w:t>
            </w:r>
          </w:p>
        </w:tc>
        <w:tc>
          <w:tcPr>
            <w:tcW w:w="0" w:type="auto"/>
            <w:shd w:val="clear" w:color="auto" w:fill="auto"/>
            <w:vAlign w:val="center"/>
          </w:tcPr>
          <w:p w:rsidR="008819AE" w:rsidRPr="00280760" w:rsidRDefault="008819AE" w:rsidP="00476EF8">
            <w:pPr>
              <w:spacing w:after="0"/>
              <w:jc w:val="center"/>
              <w:rPr>
                <w:rFonts w:cs="Arial"/>
                <w:sz w:val="18"/>
                <w:szCs w:val="18"/>
              </w:rPr>
            </w:pPr>
            <w:r w:rsidRPr="00280760">
              <w:rPr>
                <w:rFonts w:eastAsiaTheme="minorHAnsi" w:cs="Arial"/>
                <w:sz w:val="18"/>
                <w:szCs w:val="18"/>
                <w:lang w:val="es-CO"/>
              </w:rPr>
              <w:t>41% de 781 estudiantes</w:t>
            </w:r>
          </w:p>
        </w:tc>
      </w:tr>
      <w:tr w:rsidR="008819AE" w:rsidRPr="00280760" w:rsidTr="00280760">
        <w:trPr>
          <w:jc w:val="center"/>
        </w:trPr>
        <w:tc>
          <w:tcPr>
            <w:tcW w:w="0" w:type="auto"/>
            <w:shd w:val="clear" w:color="auto" w:fill="auto"/>
            <w:vAlign w:val="center"/>
            <w:hideMark/>
          </w:tcPr>
          <w:p w:rsidR="008819AE" w:rsidRPr="00280760" w:rsidRDefault="008819AE" w:rsidP="00476EF8">
            <w:pPr>
              <w:spacing w:after="0"/>
              <w:rPr>
                <w:rFonts w:cs="Arial"/>
                <w:sz w:val="18"/>
                <w:szCs w:val="18"/>
              </w:rPr>
            </w:pPr>
            <w:r w:rsidRPr="00280760">
              <w:rPr>
                <w:rFonts w:cs="Arial"/>
                <w:sz w:val="18"/>
                <w:szCs w:val="18"/>
              </w:rPr>
              <w:t>Jóvenes graduados</w:t>
            </w:r>
          </w:p>
        </w:tc>
        <w:tc>
          <w:tcPr>
            <w:tcW w:w="0" w:type="auto"/>
            <w:shd w:val="clear" w:color="auto" w:fill="auto"/>
            <w:vAlign w:val="center"/>
          </w:tcPr>
          <w:p w:rsidR="008819AE" w:rsidRPr="00280760" w:rsidRDefault="008819AE" w:rsidP="00476EF8">
            <w:pPr>
              <w:spacing w:after="0"/>
              <w:jc w:val="center"/>
              <w:rPr>
                <w:rFonts w:cs="Arial"/>
                <w:sz w:val="18"/>
                <w:szCs w:val="18"/>
              </w:rPr>
            </w:pPr>
            <w:r w:rsidRPr="00280760">
              <w:rPr>
                <w:rFonts w:cs="Arial"/>
                <w:sz w:val="18"/>
                <w:szCs w:val="18"/>
              </w:rPr>
              <w:t>130 jóvenes</w:t>
            </w:r>
          </w:p>
        </w:tc>
      </w:tr>
      <w:tr w:rsidR="008819AE" w:rsidRPr="00280760" w:rsidTr="00280760">
        <w:trPr>
          <w:jc w:val="center"/>
        </w:trPr>
        <w:tc>
          <w:tcPr>
            <w:tcW w:w="0" w:type="auto"/>
            <w:shd w:val="clear" w:color="auto" w:fill="auto"/>
            <w:vAlign w:val="center"/>
            <w:hideMark/>
          </w:tcPr>
          <w:p w:rsidR="008819AE" w:rsidRPr="00280760" w:rsidRDefault="008819AE" w:rsidP="00476EF8">
            <w:pPr>
              <w:spacing w:after="0"/>
              <w:rPr>
                <w:rFonts w:cs="Arial"/>
                <w:sz w:val="18"/>
                <w:szCs w:val="18"/>
              </w:rPr>
            </w:pPr>
            <w:r w:rsidRPr="00280760">
              <w:rPr>
                <w:rFonts w:cs="Arial"/>
                <w:sz w:val="18"/>
                <w:szCs w:val="18"/>
              </w:rPr>
              <w:t>Jóvenes vinculados a programas de preparación para las Pruebas Saber 11</w:t>
            </w:r>
          </w:p>
        </w:tc>
        <w:tc>
          <w:tcPr>
            <w:tcW w:w="0" w:type="auto"/>
            <w:shd w:val="clear" w:color="auto" w:fill="auto"/>
            <w:vAlign w:val="center"/>
          </w:tcPr>
          <w:p w:rsidR="008819AE" w:rsidRPr="00280760" w:rsidRDefault="008819AE" w:rsidP="00476EF8">
            <w:pPr>
              <w:spacing w:after="0"/>
              <w:jc w:val="center"/>
              <w:rPr>
                <w:rFonts w:cs="Arial"/>
                <w:sz w:val="18"/>
                <w:szCs w:val="18"/>
              </w:rPr>
            </w:pPr>
            <w:r w:rsidRPr="00280760">
              <w:rPr>
                <w:rFonts w:cs="Arial"/>
                <w:sz w:val="18"/>
                <w:szCs w:val="18"/>
              </w:rPr>
              <w:t>309</w:t>
            </w:r>
          </w:p>
        </w:tc>
      </w:tr>
      <w:tr w:rsidR="008819AE" w:rsidRPr="00280760" w:rsidTr="00280760">
        <w:trPr>
          <w:jc w:val="center"/>
        </w:trPr>
        <w:tc>
          <w:tcPr>
            <w:tcW w:w="0" w:type="auto"/>
            <w:shd w:val="clear" w:color="auto" w:fill="auto"/>
            <w:vAlign w:val="center"/>
            <w:hideMark/>
          </w:tcPr>
          <w:p w:rsidR="008819AE" w:rsidRPr="00280760" w:rsidRDefault="008819AE" w:rsidP="00476EF8">
            <w:pPr>
              <w:spacing w:after="0"/>
              <w:rPr>
                <w:rFonts w:cs="Arial"/>
                <w:sz w:val="18"/>
                <w:szCs w:val="18"/>
              </w:rPr>
            </w:pPr>
            <w:r w:rsidRPr="00280760">
              <w:rPr>
                <w:rFonts w:cs="Arial"/>
                <w:sz w:val="18"/>
                <w:szCs w:val="18"/>
              </w:rPr>
              <w:t>Jóvenes participando del Programa de Refuerzo Estudiantil</w:t>
            </w:r>
          </w:p>
        </w:tc>
        <w:tc>
          <w:tcPr>
            <w:tcW w:w="0" w:type="auto"/>
            <w:shd w:val="clear" w:color="auto" w:fill="auto"/>
            <w:vAlign w:val="center"/>
          </w:tcPr>
          <w:p w:rsidR="008819AE" w:rsidRPr="00280760" w:rsidRDefault="008819AE" w:rsidP="00476EF8">
            <w:pPr>
              <w:spacing w:after="0"/>
              <w:jc w:val="center"/>
              <w:rPr>
                <w:rFonts w:cs="Arial"/>
                <w:sz w:val="18"/>
                <w:szCs w:val="18"/>
              </w:rPr>
            </w:pPr>
            <w:r w:rsidRPr="00280760">
              <w:rPr>
                <w:rFonts w:cs="Arial"/>
                <w:sz w:val="18"/>
                <w:szCs w:val="18"/>
              </w:rPr>
              <w:t>40</w:t>
            </w:r>
          </w:p>
        </w:tc>
      </w:tr>
      <w:tr w:rsidR="008819AE" w:rsidRPr="00280760" w:rsidTr="00280760">
        <w:trPr>
          <w:jc w:val="center"/>
        </w:trPr>
        <w:tc>
          <w:tcPr>
            <w:tcW w:w="0" w:type="auto"/>
            <w:shd w:val="clear" w:color="auto" w:fill="auto"/>
            <w:vAlign w:val="center"/>
            <w:hideMark/>
          </w:tcPr>
          <w:p w:rsidR="008819AE" w:rsidRPr="00280760" w:rsidRDefault="008819AE" w:rsidP="00476EF8">
            <w:pPr>
              <w:spacing w:after="0"/>
              <w:rPr>
                <w:rFonts w:cs="Arial"/>
                <w:sz w:val="18"/>
                <w:szCs w:val="18"/>
              </w:rPr>
            </w:pPr>
            <w:r w:rsidRPr="00280760">
              <w:rPr>
                <w:rFonts w:cs="Arial"/>
                <w:sz w:val="18"/>
                <w:szCs w:val="18"/>
              </w:rPr>
              <w:t>Jóvenes beneficiarios del Programa Jóvenes en Acción</w:t>
            </w:r>
          </w:p>
        </w:tc>
        <w:tc>
          <w:tcPr>
            <w:tcW w:w="0" w:type="auto"/>
            <w:shd w:val="clear" w:color="auto" w:fill="auto"/>
            <w:vAlign w:val="center"/>
          </w:tcPr>
          <w:p w:rsidR="008819AE" w:rsidRPr="00280760" w:rsidRDefault="008819AE" w:rsidP="00476EF8">
            <w:pPr>
              <w:spacing w:after="0"/>
              <w:jc w:val="center"/>
              <w:rPr>
                <w:rFonts w:cs="Arial"/>
                <w:sz w:val="18"/>
                <w:szCs w:val="18"/>
              </w:rPr>
            </w:pPr>
            <w:r w:rsidRPr="00280760">
              <w:rPr>
                <w:rFonts w:cs="Arial"/>
                <w:sz w:val="18"/>
                <w:szCs w:val="18"/>
              </w:rPr>
              <w:t>314</w:t>
            </w:r>
          </w:p>
        </w:tc>
      </w:tr>
      <w:tr w:rsidR="008819AE" w:rsidRPr="00280760" w:rsidTr="00280760">
        <w:trPr>
          <w:jc w:val="center"/>
        </w:trPr>
        <w:tc>
          <w:tcPr>
            <w:tcW w:w="0" w:type="auto"/>
            <w:shd w:val="clear" w:color="auto" w:fill="auto"/>
            <w:vAlign w:val="center"/>
            <w:hideMark/>
          </w:tcPr>
          <w:p w:rsidR="008819AE" w:rsidRPr="00280760" w:rsidRDefault="008819AE" w:rsidP="00476EF8">
            <w:pPr>
              <w:spacing w:after="0"/>
              <w:rPr>
                <w:rFonts w:cs="Arial"/>
                <w:sz w:val="18"/>
                <w:szCs w:val="18"/>
              </w:rPr>
            </w:pPr>
            <w:r w:rsidRPr="00280760">
              <w:rPr>
                <w:rFonts w:cs="Arial"/>
                <w:sz w:val="18"/>
                <w:szCs w:val="18"/>
              </w:rPr>
              <w:t>Beneficiarios de Cursos de Inglés</w:t>
            </w:r>
          </w:p>
        </w:tc>
        <w:tc>
          <w:tcPr>
            <w:tcW w:w="0" w:type="auto"/>
            <w:shd w:val="clear" w:color="auto" w:fill="auto"/>
            <w:vAlign w:val="center"/>
          </w:tcPr>
          <w:p w:rsidR="008819AE" w:rsidRPr="00280760" w:rsidRDefault="008819AE" w:rsidP="00476EF8">
            <w:pPr>
              <w:spacing w:after="0"/>
              <w:jc w:val="center"/>
              <w:rPr>
                <w:rFonts w:cs="Arial"/>
                <w:sz w:val="18"/>
                <w:szCs w:val="18"/>
              </w:rPr>
            </w:pPr>
            <w:r w:rsidRPr="00280760">
              <w:rPr>
                <w:rFonts w:cs="Arial"/>
                <w:sz w:val="18"/>
                <w:szCs w:val="18"/>
              </w:rPr>
              <w:t>134</w:t>
            </w:r>
          </w:p>
        </w:tc>
      </w:tr>
      <w:tr w:rsidR="008819AE" w:rsidRPr="00280760" w:rsidTr="00280760">
        <w:trPr>
          <w:trHeight w:val="54"/>
          <w:jc w:val="center"/>
        </w:trPr>
        <w:tc>
          <w:tcPr>
            <w:tcW w:w="0" w:type="auto"/>
            <w:shd w:val="clear" w:color="auto" w:fill="auto"/>
            <w:vAlign w:val="center"/>
          </w:tcPr>
          <w:p w:rsidR="008819AE" w:rsidRPr="00280760" w:rsidRDefault="008819AE" w:rsidP="00476EF8">
            <w:pPr>
              <w:spacing w:after="0"/>
              <w:rPr>
                <w:rFonts w:cs="Arial"/>
                <w:sz w:val="18"/>
                <w:szCs w:val="18"/>
              </w:rPr>
            </w:pPr>
            <w:r w:rsidRPr="00280760">
              <w:rPr>
                <w:rFonts w:cs="Arial"/>
                <w:sz w:val="18"/>
                <w:szCs w:val="18"/>
              </w:rPr>
              <w:t>Jornadas Orientación Socio- Ocupacional.</w:t>
            </w:r>
          </w:p>
        </w:tc>
        <w:tc>
          <w:tcPr>
            <w:tcW w:w="0" w:type="auto"/>
            <w:shd w:val="clear" w:color="auto" w:fill="auto"/>
            <w:vAlign w:val="center"/>
          </w:tcPr>
          <w:p w:rsidR="008819AE" w:rsidRPr="00280760" w:rsidRDefault="008819AE" w:rsidP="00476EF8">
            <w:pPr>
              <w:spacing w:after="0"/>
              <w:jc w:val="center"/>
              <w:rPr>
                <w:rFonts w:cs="Arial"/>
                <w:sz w:val="18"/>
                <w:szCs w:val="18"/>
              </w:rPr>
            </w:pPr>
            <w:r w:rsidRPr="00280760">
              <w:rPr>
                <w:rFonts w:cs="Arial"/>
                <w:sz w:val="18"/>
                <w:szCs w:val="18"/>
              </w:rPr>
              <w:t>518</w:t>
            </w:r>
          </w:p>
        </w:tc>
      </w:tr>
      <w:tr w:rsidR="008819AE" w:rsidRPr="00280760" w:rsidTr="00280760">
        <w:trPr>
          <w:jc w:val="center"/>
        </w:trPr>
        <w:tc>
          <w:tcPr>
            <w:tcW w:w="0" w:type="auto"/>
            <w:shd w:val="clear" w:color="auto" w:fill="auto"/>
            <w:vAlign w:val="center"/>
          </w:tcPr>
          <w:p w:rsidR="008819AE" w:rsidRPr="00280760" w:rsidRDefault="008819AE" w:rsidP="00476EF8">
            <w:pPr>
              <w:spacing w:after="0"/>
              <w:rPr>
                <w:rFonts w:cs="Arial"/>
                <w:sz w:val="18"/>
                <w:szCs w:val="18"/>
              </w:rPr>
            </w:pPr>
            <w:r w:rsidRPr="00280760">
              <w:rPr>
                <w:rFonts w:cs="Arial"/>
                <w:sz w:val="18"/>
                <w:szCs w:val="18"/>
              </w:rPr>
              <w:t xml:space="preserve">Preparación para el mundo laboral </w:t>
            </w:r>
          </w:p>
        </w:tc>
        <w:tc>
          <w:tcPr>
            <w:tcW w:w="0" w:type="auto"/>
            <w:shd w:val="clear" w:color="auto" w:fill="auto"/>
            <w:vAlign w:val="center"/>
          </w:tcPr>
          <w:p w:rsidR="008819AE" w:rsidRPr="00280760" w:rsidRDefault="008819AE" w:rsidP="00476EF8">
            <w:pPr>
              <w:spacing w:after="0"/>
              <w:jc w:val="center"/>
              <w:rPr>
                <w:rFonts w:cs="Arial"/>
                <w:sz w:val="18"/>
                <w:szCs w:val="18"/>
              </w:rPr>
            </w:pPr>
            <w:r w:rsidRPr="00280760">
              <w:rPr>
                <w:rFonts w:cs="Arial"/>
                <w:sz w:val="18"/>
                <w:szCs w:val="18"/>
              </w:rPr>
              <w:t>120</w:t>
            </w:r>
          </w:p>
        </w:tc>
      </w:tr>
      <w:tr w:rsidR="008819AE" w:rsidRPr="00280760" w:rsidTr="00280760">
        <w:trPr>
          <w:jc w:val="center"/>
        </w:trPr>
        <w:tc>
          <w:tcPr>
            <w:tcW w:w="0" w:type="auto"/>
            <w:shd w:val="clear" w:color="auto" w:fill="auto"/>
            <w:vAlign w:val="center"/>
          </w:tcPr>
          <w:p w:rsidR="008819AE" w:rsidRPr="00280760" w:rsidRDefault="008819AE" w:rsidP="00476EF8">
            <w:pPr>
              <w:spacing w:after="0"/>
              <w:rPr>
                <w:rFonts w:cs="Arial"/>
                <w:sz w:val="18"/>
                <w:szCs w:val="18"/>
              </w:rPr>
            </w:pPr>
            <w:r w:rsidRPr="00280760">
              <w:rPr>
                <w:rFonts w:cs="Arial"/>
                <w:sz w:val="18"/>
                <w:szCs w:val="18"/>
              </w:rPr>
              <w:t xml:space="preserve">Talleres de Fortalecimiento de habilidad blandas </w:t>
            </w:r>
          </w:p>
        </w:tc>
        <w:tc>
          <w:tcPr>
            <w:tcW w:w="0" w:type="auto"/>
            <w:shd w:val="clear" w:color="auto" w:fill="auto"/>
            <w:vAlign w:val="center"/>
          </w:tcPr>
          <w:p w:rsidR="008819AE" w:rsidRPr="00280760" w:rsidRDefault="008819AE" w:rsidP="00476EF8">
            <w:pPr>
              <w:spacing w:after="0"/>
              <w:jc w:val="center"/>
              <w:rPr>
                <w:rFonts w:cs="Arial"/>
                <w:sz w:val="18"/>
                <w:szCs w:val="18"/>
              </w:rPr>
            </w:pPr>
            <w:r w:rsidRPr="00280760">
              <w:rPr>
                <w:rFonts w:cs="Arial"/>
                <w:sz w:val="18"/>
                <w:szCs w:val="18"/>
              </w:rPr>
              <w:t>525</w:t>
            </w:r>
          </w:p>
        </w:tc>
      </w:tr>
      <w:tr w:rsidR="008819AE" w:rsidRPr="00280760" w:rsidTr="00280760">
        <w:trPr>
          <w:trHeight w:val="754"/>
          <w:jc w:val="center"/>
        </w:trPr>
        <w:tc>
          <w:tcPr>
            <w:tcW w:w="0" w:type="auto"/>
            <w:shd w:val="clear" w:color="auto" w:fill="auto"/>
            <w:vAlign w:val="center"/>
            <w:hideMark/>
          </w:tcPr>
          <w:p w:rsidR="008819AE" w:rsidRPr="00280760" w:rsidRDefault="008819AE" w:rsidP="00476EF8">
            <w:pPr>
              <w:spacing w:after="0"/>
              <w:rPr>
                <w:rFonts w:cs="Arial"/>
                <w:sz w:val="18"/>
                <w:szCs w:val="18"/>
              </w:rPr>
            </w:pPr>
            <w:r w:rsidRPr="00280760">
              <w:rPr>
                <w:rFonts w:cs="Arial"/>
                <w:sz w:val="18"/>
                <w:szCs w:val="18"/>
              </w:rPr>
              <w:lastRenderedPageBreak/>
              <w:t>Encuentro Nacional Enlaces Regionales y Mesa Nacional de Jóvenes</w:t>
            </w:r>
          </w:p>
        </w:tc>
        <w:tc>
          <w:tcPr>
            <w:tcW w:w="0" w:type="auto"/>
            <w:shd w:val="clear" w:color="auto" w:fill="auto"/>
            <w:vAlign w:val="center"/>
          </w:tcPr>
          <w:p w:rsidR="008819AE" w:rsidRPr="00280760" w:rsidRDefault="008819AE" w:rsidP="00476EF8">
            <w:pPr>
              <w:spacing w:after="0"/>
              <w:jc w:val="center"/>
              <w:rPr>
                <w:rFonts w:cs="Arial"/>
                <w:sz w:val="18"/>
                <w:szCs w:val="18"/>
              </w:rPr>
            </w:pPr>
            <w:r w:rsidRPr="00280760">
              <w:rPr>
                <w:rFonts w:cs="Arial"/>
                <w:sz w:val="18"/>
                <w:szCs w:val="18"/>
              </w:rPr>
              <w:t>32 enlaces regionales y 33 jóvenes</w:t>
            </w:r>
          </w:p>
        </w:tc>
      </w:tr>
      <w:tr w:rsidR="008819AE" w:rsidRPr="00280760" w:rsidTr="00280760">
        <w:trPr>
          <w:trHeight w:val="754"/>
          <w:jc w:val="center"/>
        </w:trPr>
        <w:tc>
          <w:tcPr>
            <w:tcW w:w="0" w:type="auto"/>
            <w:shd w:val="clear" w:color="auto" w:fill="auto"/>
            <w:vAlign w:val="center"/>
          </w:tcPr>
          <w:p w:rsidR="008819AE" w:rsidRPr="00280760" w:rsidRDefault="008819AE" w:rsidP="00476EF8">
            <w:pPr>
              <w:spacing w:after="0"/>
              <w:rPr>
                <w:rFonts w:cs="Arial"/>
                <w:sz w:val="18"/>
                <w:szCs w:val="18"/>
              </w:rPr>
            </w:pPr>
            <w:r w:rsidRPr="00280760">
              <w:rPr>
                <w:rFonts w:cs="Arial"/>
                <w:sz w:val="18"/>
                <w:szCs w:val="18"/>
              </w:rPr>
              <w:t>Encuentros Regionales</w:t>
            </w:r>
          </w:p>
        </w:tc>
        <w:tc>
          <w:tcPr>
            <w:tcW w:w="0" w:type="auto"/>
            <w:shd w:val="clear" w:color="auto" w:fill="auto"/>
            <w:vAlign w:val="center"/>
          </w:tcPr>
          <w:p w:rsidR="008819AE" w:rsidRPr="00280760" w:rsidRDefault="008819AE" w:rsidP="00476EF8">
            <w:pPr>
              <w:spacing w:after="0"/>
              <w:jc w:val="center"/>
              <w:rPr>
                <w:rFonts w:cs="Arial"/>
                <w:sz w:val="18"/>
                <w:szCs w:val="18"/>
              </w:rPr>
            </w:pPr>
            <w:r w:rsidRPr="00280760">
              <w:rPr>
                <w:rFonts w:cs="Arial"/>
                <w:sz w:val="18"/>
                <w:szCs w:val="18"/>
              </w:rPr>
              <w:t>12 encuentros con 314 participantes</w:t>
            </w:r>
          </w:p>
        </w:tc>
      </w:tr>
      <w:tr w:rsidR="008819AE" w:rsidRPr="00280760" w:rsidTr="00280760">
        <w:trPr>
          <w:jc w:val="center"/>
        </w:trPr>
        <w:tc>
          <w:tcPr>
            <w:tcW w:w="0" w:type="auto"/>
            <w:shd w:val="clear" w:color="auto" w:fill="auto"/>
            <w:vAlign w:val="center"/>
            <w:hideMark/>
          </w:tcPr>
          <w:p w:rsidR="008819AE" w:rsidRPr="00280760" w:rsidRDefault="008819AE" w:rsidP="00476EF8">
            <w:pPr>
              <w:spacing w:after="0"/>
              <w:rPr>
                <w:rFonts w:cs="Arial"/>
                <w:sz w:val="18"/>
                <w:szCs w:val="18"/>
              </w:rPr>
            </w:pPr>
            <w:r w:rsidRPr="00280760">
              <w:rPr>
                <w:rFonts w:cs="Arial"/>
                <w:sz w:val="18"/>
                <w:szCs w:val="18"/>
              </w:rPr>
              <w:t>Encuentro Nacional de Jóvenes</w:t>
            </w:r>
          </w:p>
        </w:tc>
        <w:tc>
          <w:tcPr>
            <w:tcW w:w="0" w:type="auto"/>
            <w:shd w:val="clear" w:color="auto" w:fill="auto"/>
            <w:vAlign w:val="center"/>
          </w:tcPr>
          <w:p w:rsidR="008819AE" w:rsidRPr="00280760" w:rsidRDefault="008819AE" w:rsidP="00476EF8">
            <w:pPr>
              <w:spacing w:after="0"/>
              <w:jc w:val="center"/>
              <w:rPr>
                <w:rFonts w:cs="Arial"/>
                <w:sz w:val="18"/>
                <w:szCs w:val="18"/>
              </w:rPr>
            </w:pPr>
            <w:r w:rsidRPr="00280760">
              <w:rPr>
                <w:rFonts w:cs="Arial"/>
                <w:sz w:val="18"/>
                <w:szCs w:val="18"/>
              </w:rPr>
              <w:t>90</w:t>
            </w:r>
          </w:p>
        </w:tc>
      </w:tr>
    </w:tbl>
    <w:p w:rsidR="008819AE" w:rsidRPr="007608C2" w:rsidRDefault="008819AE" w:rsidP="008819AE">
      <w:pPr>
        <w:ind w:firstLine="360"/>
        <w:rPr>
          <w:rFonts w:cs="Arial"/>
          <w:sz w:val="16"/>
        </w:rPr>
      </w:pPr>
      <w:r w:rsidRPr="007608C2">
        <w:rPr>
          <w:rFonts w:cs="Arial"/>
          <w:sz w:val="16"/>
        </w:rPr>
        <w:t>Fuente: Dirección de Protección – Instituto Colombiano de Bienestar Familiar ICBF</w:t>
      </w:r>
    </w:p>
    <w:p w:rsidR="008819AE" w:rsidRPr="007608C2" w:rsidRDefault="008819AE" w:rsidP="00A44A2B">
      <w:pPr>
        <w:pStyle w:val="Prrafodelista"/>
        <w:numPr>
          <w:ilvl w:val="0"/>
          <w:numId w:val="119"/>
        </w:numPr>
        <w:rPr>
          <w:rFonts w:cs="Arial"/>
        </w:rPr>
      </w:pPr>
      <w:r w:rsidRPr="007608C2">
        <w:rPr>
          <w:rFonts w:cs="Arial"/>
        </w:rPr>
        <w:t>En el componente de empleabilidad:</w:t>
      </w:r>
    </w:p>
    <w:p w:rsidR="008819AE" w:rsidRPr="007608C2" w:rsidRDefault="008819AE" w:rsidP="008819AE">
      <w:pPr>
        <w:ind w:left="360"/>
        <w:jc w:val="both"/>
        <w:rPr>
          <w:rFonts w:cs="Arial"/>
        </w:rPr>
      </w:pPr>
      <w:r w:rsidRPr="007608C2">
        <w:rPr>
          <w:rFonts w:cs="Arial"/>
        </w:rPr>
        <w:t>Se vincularon laboralmente 405 jóvenes y 17 empresas a la Red de Referidos del componente de empleabilidad. Igualmente, se llevaron a cabo seis (6) Ferias de Empleo.</w:t>
      </w:r>
      <w:r w:rsidR="00CF3206" w:rsidRPr="007608C2">
        <w:rPr>
          <w:rFonts w:cs="Arial"/>
        </w:rPr>
        <w:t xml:space="preserve"> </w:t>
      </w:r>
      <w:r w:rsidRPr="007608C2">
        <w:rPr>
          <w:rFonts w:cs="Arial"/>
        </w:rPr>
        <w:t xml:space="preserve">Participaron las regionales de Valle del Cauca, Antioquia, Risaralda en ferias de empleo en alianza con el Servicio Público. En la regional de Bogotá y Cundinamarca se realizaron tres (3) ferias de empleo en alianza con la caja de compensación CAFAM y las temporales Asertempo y tiempos. </w:t>
      </w:r>
    </w:p>
    <w:p w:rsidR="008819AE" w:rsidRPr="007608C2" w:rsidRDefault="008819AE" w:rsidP="008819AE">
      <w:pPr>
        <w:ind w:left="426"/>
        <w:jc w:val="both"/>
        <w:rPr>
          <w:rFonts w:cs="Arial"/>
        </w:rPr>
      </w:pPr>
      <w:r w:rsidRPr="007608C2">
        <w:rPr>
          <w:rFonts w:cs="Arial"/>
        </w:rPr>
        <w:t>Se unieron a la Red de Referidos del componente de empleabilidad ManPower, Citpax, Patprimo, Facol, seven y seven, MGR Group, Texmoda, Éxito, Tiempos, Oportunidad estratégica, HubBog, RSE, Inspyra, Eticos, con el fin privilegiar a los jóvenes vinculados al Proyecto Sueños en cuanto a las convocatorias para entrevistas y en envío de ofertas laborales, por medio de la capsula presencial del ICBF.</w:t>
      </w:r>
    </w:p>
    <w:p w:rsidR="008819AE" w:rsidRPr="007608C2" w:rsidRDefault="008819AE" w:rsidP="008819AE">
      <w:pPr>
        <w:ind w:left="426"/>
        <w:jc w:val="both"/>
        <w:rPr>
          <w:rFonts w:cs="Arial"/>
          <w:lang w:val="es-CO"/>
        </w:rPr>
      </w:pPr>
      <w:r w:rsidRPr="007608C2">
        <w:rPr>
          <w:rFonts w:cs="Arial"/>
          <w:lang w:val="es-CO"/>
        </w:rPr>
        <w:t xml:space="preserve">Se logró la vinculación del sector productivo al proyecto sueños oportunidades para volar, a través de la Rueda de Aliados con el FORO DE PRESIDENTES que cuenta con más de 180 empresarios con posibilidad de brindar oportunidades laborales a los adolescentes y jóvenes del ICBF, de los cuales 7 empresas hicieron propuestas de vinculación laboral, generación de Redes, formación en habilidades para el trabajo y taller en el manejo de la plataforma LinkedIn para la búsqueda de empleo. </w:t>
      </w:r>
    </w:p>
    <w:p w:rsidR="008819AE" w:rsidRPr="007608C2" w:rsidRDefault="008819AE" w:rsidP="008819AE">
      <w:pPr>
        <w:pStyle w:val="Prrafodelista"/>
        <w:ind w:left="426"/>
        <w:jc w:val="both"/>
        <w:rPr>
          <w:rFonts w:cs="Arial"/>
        </w:rPr>
      </w:pPr>
      <w:r w:rsidRPr="007608C2">
        <w:rPr>
          <w:rFonts w:cs="Arial"/>
          <w:lang w:val="es-CO"/>
        </w:rPr>
        <w:t>Se realizó la Implementación de la Ruta de empleabilidad del Foro –ICBF, el cen</w:t>
      </w:r>
      <w:r w:rsidRPr="007608C2">
        <w:rPr>
          <w:rFonts w:cs="Arial"/>
        </w:rPr>
        <w:t>so laboral a nivel Nacional y la actualización de la Base de datos de solicitudes laborales.</w:t>
      </w:r>
    </w:p>
    <w:p w:rsidR="008819AE" w:rsidRPr="007608C2" w:rsidRDefault="008819AE" w:rsidP="00A44A2B">
      <w:pPr>
        <w:pStyle w:val="Prrafodelista"/>
        <w:numPr>
          <w:ilvl w:val="0"/>
          <w:numId w:val="62"/>
        </w:numPr>
        <w:jc w:val="both"/>
        <w:rPr>
          <w:rFonts w:cs="Arial"/>
          <w:b/>
        </w:rPr>
      </w:pPr>
      <w:r w:rsidRPr="007608C2">
        <w:rPr>
          <w:rFonts w:cs="Arial"/>
        </w:rPr>
        <w:t>En los componentes de Recreación Cultura y Deporte:</w:t>
      </w:r>
    </w:p>
    <w:p w:rsidR="008819AE" w:rsidRPr="007608C2" w:rsidRDefault="008819AE" w:rsidP="008819AE">
      <w:pPr>
        <w:spacing w:after="0"/>
        <w:ind w:left="360"/>
        <w:jc w:val="both"/>
        <w:rPr>
          <w:rFonts w:cs="Arial"/>
          <w:lang w:val="es-CO"/>
        </w:rPr>
      </w:pPr>
      <w:r w:rsidRPr="007608C2">
        <w:rPr>
          <w:rFonts w:cs="Arial"/>
          <w:lang w:val="es-CO"/>
        </w:rPr>
        <w:t>Participaron 10.836 beneficiarios que asistieron a las diferentes salas de Cine Colombia; 564 beneficiarios de actividades lúdicas o recreacionales (teatro circo, Agroexpo); 1.664 beneficiarios de actividades deportivas que ingresaron a los diferentes estadios del país; 235 beneficiarios de formaciones en cultura digital; y, 15 participantes en el concurso de gastronomía ‘Sueños Gourmet’.</w:t>
      </w:r>
    </w:p>
    <w:p w:rsidR="008819AE" w:rsidRPr="007608C2" w:rsidRDefault="008819AE" w:rsidP="008819AE">
      <w:pPr>
        <w:spacing w:after="0"/>
        <w:jc w:val="both"/>
        <w:rPr>
          <w:rFonts w:cs="Arial"/>
          <w:lang w:val="es-CO"/>
        </w:rPr>
      </w:pPr>
    </w:p>
    <w:p w:rsidR="008819AE" w:rsidRPr="007608C2" w:rsidRDefault="008819AE" w:rsidP="00A44A2B">
      <w:pPr>
        <w:pStyle w:val="Prrafodelista"/>
        <w:numPr>
          <w:ilvl w:val="0"/>
          <w:numId w:val="62"/>
        </w:numPr>
        <w:jc w:val="both"/>
        <w:rPr>
          <w:rFonts w:cs="Arial"/>
        </w:rPr>
      </w:pPr>
      <w:r w:rsidRPr="007608C2">
        <w:rPr>
          <w:rFonts w:cs="Arial"/>
        </w:rPr>
        <w:t xml:space="preserve">En el proceso de depuración de libretas militares:  </w:t>
      </w:r>
    </w:p>
    <w:p w:rsidR="008819AE" w:rsidRPr="007608C2" w:rsidRDefault="008819AE" w:rsidP="00F25CAB">
      <w:pPr>
        <w:pStyle w:val="Prrafodelista"/>
        <w:spacing w:after="0"/>
        <w:ind w:left="360"/>
        <w:jc w:val="both"/>
        <w:rPr>
          <w:rFonts w:cs="Arial"/>
        </w:rPr>
      </w:pPr>
      <w:r w:rsidRPr="007608C2">
        <w:rPr>
          <w:rFonts w:cs="Arial"/>
        </w:rPr>
        <w:lastRenderedPageBreak/>
        <w:t xml:space="preserve">309 no están registrados (fénix); 126 con registro civil o sin documento (SIM); 31 jóvenes citados a primer examen; 50 jóvenes con inscripción, aplazado, con provisional, en registro y/o registrado; 2 jóvenes citados a segundo examen; 6 incorporados; 7 remisos; 4 citados a concentración; 41 jóvenes en liquidación por liquidar, por validar, con recibo, pagado y/o validado. </w:t>
      </w:r>
    </w:p>
    <w:p w:rsidR="008819AE" w:rsidRPr="007608C2" w:rsidRDefault="008819AE" w:rsidP="008819AE">
      <w:pPr>
        <w:spacing w:before="240"/>
        <w:jc w:val="both"/>
        <w:rPr>
          <w:rFonts w:cs="Arial"/>
        </w:rPr>
      </w:pPr>
      <w:r w:rsidRPr="007608C2">
        <w:rPr>
          <w:rFonts w:cs="Arial"/>
          <w:b/>
        </w:rPr>
        <w:t>Batería de indicadores</w:t>
      </w:r>
    </w:p>
    <w:p w:rsidR="008819AE" w:rsidRPr="007608C2" w:rsidRDefault="008819AE" w:rsidP="008819AE">
      <w:pPr>
        <w:jc w:val="both"/>
        <w:rPr>
          <w:rFonts w:cs="Arial"/>
        </w:rPr>
      </w:pPr>
      <w:r w:rsidRPr="007608C2">
        <w:rPr>
          <w:rFonts w:cs="Arial"/>
        </w:rPr>
        <w:t>En el marco del ejercicio de planeación, sustentado principalmente en las orientaciones concedidas desde el Plan Nacional de Desarrollo, el Plan Indicativo Sectorial y el Plan Indicativo Institucional, cuyo objetivo primordial es dar cumplimiento a los compromisos de gestión establecidos para la vigencia, los cuales serán programados y ejecutados desde la Sede de la Dirección General y Regionales del ICBF.</w:t>
      </w:r>
    </w:p>
    <w:tbl>
      <w:tblPr>
        <w:tblW w:w="0" w:type="auto"/>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478"/>
        <w:gridCol w:w="1001"/>
        <w:gridCol w:w="3897"/>
        <w:gridCol w:w="1030"/>
        <w:gridCol w:w="674"/>
        <w:gridCol w:w="585"/>
        <w:gridCol w:w="683"/>
        <w:gridCol w:w="1047"/>
      </w:tblGrid>
      <w:tr w:rsidR="008819AE" w:rsidRPr="00430487" w:rsidTr="00430487">
        <w:trPr>
          <w:trHeight w:val="300"/>
          <w:tblHeader/>
          <w:jc w:val="center"/>
        </w:trPr>
        <w:tc>
          <w:tcPr>
            <w:tcW w:w="0" w:type="auto"/>
            <w:vMerge w:val="restart"/>
            <w:shd w:val="clear" w:color="auto" w:fill="76922E"/>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 </w:t>
            </w:r>
          </w:p>
        </w:tc>
        <w:tc>
          <w:tcPr>
            <w:tcW w:w="0" w:type="auto"/>
            <w:vMerge w:val="restart"/>
            <w:shd w:val="clear" w:color="auto" w:fill="76922E"/>
            <w:vAlign w:val="center"/>
            <w:hideMark/>
          </w:tcPr>
          <w:p w:rsidR="008819AE" w:rsidRPr="00430487" w:rsidRDefault="00430487" w:rsidP="00476EF8">
            <w:pPr>
              <w:spacing w:after="120"/>
              <w:jc w:val="center"/>
              <w:rPr>
                <w:rFonts w:eastAsia="Times New Roman" w:cs="Arial"/>
                <w:b/>
                <w:bCs/>
                <w:color w:val="FFFFFF" w:themeColor="background1"/>
                <w:sz w:val="16"/>
                <w:szCs w:val="16"/>
                <w:lang w:val="es-CO" w:eastAsia="es-CO"/>
              </w:rPr>
            </w:pPr>
            <w:r w:rsidRPr="00430487">
              <w:rPr>
                <w:rFonts w:eastAsia="Times New Roman" w:cs="Arial"/>
                <w:b/>
                <w:bCs/>
                <w:color w:val="FFFFFF" w:themeColor="background1"/>
                <w:sz w:val="16"/>
                <w:szCs w:val="16"/>
                <w:lang w:val="es-CO" w:eastAsia="es-CO"/>
              </w:rPr>
              <w:t>Código del I</w:t>
            </w:r>
            <w:r w:rsidR="008819AE" w:rsidRPr="00430487">
              <w:rPr>
                <w:rFonts w:eastAsia="Times New Roman" w:cs="Arial"/>
                <w:b/>
                <w:bCs/>
                <w:color w:val="FFFFFF" w:themeColor="background1"/>
                <w:sz w:val="16"/>
                <w:szCs w:val="16"/>
                <w:lang w:val="es-CO" w:eastAsia="es-CO"/>
              </w:rPr>
              <w:t>ndicador</w:t>
            </w:r>
          </w:p>
        </w:tc>
        <w:tc>
          <w:tcPr>
            <w:tcW w:w="0" w:type="auto"/>
            <w:vMerge w:val="restart"/>
            <w:shd w:val="clear" w:color="auto" w:fill="76922E"/>
            <w:vAlign w:val="center"/>
            <w:hideMark/>
          </w:tcPr>
          <w:p w:rsidR="008819AE" w:rsidRPr="00430487" w:rsidRDefault="008819AE" w:rsidP="00476EF8">
            <w:pPr>
              <w:spacing w:after="120"/>
              <w:jc w:val="center"/>
              <w:rPr>
                <w:rFonts w:eastAsia="Times New Roman" w:cs="Arial"/>
                <w:b/>
                <w:bCs/>
                <w:color w:val="FFFFFF" w:themeColor="background1"/>
                <w:sz w:val="16"/>
                <w:szCs w:val="16"/>
                <w:lang w:val="es-CO" w:eastAsia="es-CO"/>
              </w:rPr>
            </w:pPr>
            <w:r w:rsidRPr="00430487">
              <w:rPr>
                <w:rFonts w:eastAsia="Times New Roman" w:cs="Arial"/>
                <w:b/>
                <w:bCs/>
                <w:color w:val="FFFFFF" w:themeColor="background1"/>
                <w:sz w:val="16"/>
                <w:szCs w:val="16"/>
                <w:lang w:val="es-CO" w:eastAsia="es-CO"/>
              </w:rPr>
              <w:t>Nombre del indicador</w:t>
            </w:r>
          </w:p>
        </w:tc>
        <w:tc>
          <w:tcPr>
            <w:tcW w:w="0" w:type="auto"/>
            <w:vMerge w:val="restart"/>
            <w:shd w:val="clear" w:color="auto" w:fill="76922E"/>
            <w:vAlign w:val="center"/>
            <w:hideMark/>
          </w:tcPr>
          <w:p w:rsidR="008819AE" w:rsidRPr="00430487" w:rsidRDefault="008819AE" w:rsidP="00476EF8">
            <w:pPr>
              <w:spacing w:after="120"/>
              <w:jc w:val="center"/>
              <w:rPr>
                <w:rFonts w:eastAsia="Times New Roman" w:cs="Arial"/>
                <w:b/>
                <w:bCs/>
                <w:color w:val="FFFFFF" w:themeColor="background1"/>
                <w:sz w:val="16"/>
                <w:szCs w:val="16"/>
                <w:lang w:val="es-CO" w:eastAsia="es-CO"/>
              </w:rPr>
            </w:pPr>
            <w:r w:rsidRPr="00430487">
              <w:rPr>
                <w:rFonts w:eastAsia="Times New Roman" w:cs="Arial"/>
                <w:b/>
                <w:bCs/>
                <w:color w:val="FFFFFF" w:themeColor="background1"/>
                <w:sz w:val="16"/>
                <w:szCs w:val="16"/>
                <w:lang w:val="es-CO" w:eastAsia="es-CO"/>
              </w:rPr>
              <w:t>Meta 2017</w:t>
            </w:r>
          </w:p>
        </w:tc>
        <w:tc>
          <w:tcPr>
            <w:tcW w:w="0" w:type="auto"/>
            <w:gridSpan w:val="3"/>
            <w:shd w:val="clear" w:color="auto" w:fill="76922E"/>
            <w:vAlign w:val="center"/>
            <w:hideMark/>
          </w:tcPr>
          <w:p w:rsidR="008819AE" w:rsidRPr="00430487" w:rsidRDefault="008819AE" w:rsidP="00476EF8">
            <w:pPr>
              <w:spacing w:after="120"/>
              <w:jc w:val="center"/>
              <w:rPr>
                <w:rFonts w:eastAsia="Times New Roman" w:cs="Arial"/>
                <w:b/>
                <w:bCs/>
                <w:color w:val="FFFFFF" w:themeColor="background1"/>
                <w:sz w:val="16"/>
                <w:szCs w:val="16"/>
                <w:lang w:val="es-CO" w:eastAsia="es-CO"/>
              </w:rPr>
            </w:pPr>
            <w:r w:rsidRPr="00430487">
              <w:rPr>
                <w:rFonts w:eastAsia="Times New Roman" w:cs="Arial"/>
                <w:b/>
                <w:bCs/>
                <w:color w:val="FFFFFF" w:themeColor="background1"/>
                <w:sz w:val="16"/>
                <w:szCs w:val="16"/>
                <w:lang w:val="es-CO" w:eastAsia="es-CO"/>
              </w:rPr>
              <w:t xml:space="preserve">Resultados diciembre </w:t>
            </w:r>
          </w:p>
        </w:tc>
        <w:tc>
          <w:tcPr>
            <w:tcW w:w="0" w:type="auto"/>
            <w:vMerge w:val="restart"/>
            <w:shd w:val="clear" w:color="auto" w:fill="76922E"/>
            <w:noWrap/>
            <w:vAlign w:val="center"/>
            <w:hideMark/>
          </w:tcPr>
          <w:p w:rsidR="008819AE" w:rsidRPr="00430487" w:rsidRDefault="008819AE" w:rsidP="00476EF8">
            <w:pPr>
              <w:spacing w:after="120"/>
              <w:jc w:val="center"/>
              <w:rPr>
                <w:rFonts w:eastAsia="Times New Roman" w:cs="Arial"/>
                <w:b/>
                <w:bCs/>
                <w:color w:val="FFFFFF" w:themeColor="background1"/>
                <w:sz w:val="16"/>
                <w:szCs w:val="16"/>
                <w:lang w:val="es-CO" w:eastAsia="es-CO"/>
              </w:rPr>
            </w:pPr>
            <w:r w:rsidRPr="00430487">
              <w:rPr>
                <w:rFonts w:eastAsia="Times New Roman" w:cs="Arial"/>
                <w:b/>
                <w:bCs/>
                <w:color w:val="FFFFFF" w:themeColor="background1"/>
                <w:sz w:val="16"/>
                <w:szCs w:val="16"/>
                <w:lang w:val="es-CO" w:eastAsia="es-CO"/>
              </w:rPr>
              <w:t xml:space="preserve">Estado </w:t>
            </w:r>
          </w:p>
        </w:tc>
      </w:tr>
      <w:tr w:rsidR="008819AE" w:rsidRPr="00430487" w:rsidTr="00430487">
        <w:trPr>
          <w:trHeight w:val="300"/>
          <w:tblHeader/>
          <w:jc w:val="center"/>
        </w:trPr>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b/>
                <w:bCs/>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b/>
                <w:bCs/>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b/>
                <w:bCs/>
                <w:sz w:val="16"/>
                <w:szCs w:val="16"/>
                <w:lang w:val="es-CO" w:eastAsia="es-CO"/>
              </w:rPr>
            </w:pPr>
          </w:p>
        </w:tc>
        <w:tc>
          <w:tcPr>
            <w:tcW w:w="0" w:type="auto"/>
            <w:shd w:val="clear" w:color="auto" w:fill="76922E"/>
            <w:vAlign w:val="center"/>
            <w:hideMark/>
          </w:tcPr>
          <w:p w:rsidR="008819AE" w:rsidRPr="00430487" w:rsidRDefault="008819AE" w:rsidP="00476EF8">
            <w:pPr>
              <w:spacing w:after="120"/>
              <w:jc w:val="center"/>
              <w:rPr>
                <w:rFonts w:eastAsia="Times New Roman" w:cs="Arial"/>
                <w:b/>
                <w:bCs/>
                <w:color w:val="FFFFFF" w:themeColor="background1"/>
                <w:sz w:val="16"/>
                <w:szCs w:val="16"/>
                <w:lang w:val="es-CO" w:eastAsia="es-CO"/>
              </w:rPr>
            </w:pPr>
            <w:r w:rsidRPr="00430487">
              <w:rPr>
                <w:rFonts w:eastAsia="Times New Roman" w:cs="Arial"/>
                <w:b/>
                <w:bCs/>
                <w:color w:val="FFFFFF" w:themeColor="background1"/>
                <w:sz w:val="16"/>
                <w:szCs w:val="16"/>
                <w:lang w:val="es-CO" w:eastAsia="es-CO"/>
              </w:rPr>
              <w:t>NUM</w:t>
            </w:r>
          </w:p>
        </w:tc>
        <w:tc>
          <w:tcPr>
            <w:tcW w:w="0" w:type="auto"/>
            <w:shd w:val="clear" w:color="auto" w:fill="76922E"/>
            <w:vAlign w:val="center"/>
            <w:hideMark/>
          </w:tcPr>
          <w:p w:rsidR="008819AE" w:rsidRPr="00430487" w:rsidRDefault="008819AE" w:rsidP="00476EF8">
            <w:pPr>
              <w:spacing w:after="120"/>
              <w:jc w:val="center"/>
              <w:rPr>
                <w:rFonts w:eastAsia="Times New Roman" w:cs="Arial"/>
                <w:b/>
                <w:bCs/>
                <w:color w:val="FFFFFF" w:themeColor="background1"/>
                <w:sz w:val="16"/>
                <w:szCs w:val="16"/>
                <w:lang w:val="es-CO" w:eastAsia="es-CO"/>
              </w:rPr>
            </w:pPr>
            <w:r w:rsidRPr="00430487">
              <w:rPr>
                <w:rFonts w:eastAsia="Times New Roman" w:cs="Arial"/>
                <w:b/>
                <w:bCs/>
                <w:color w:val="FFFFFF" w:themeColor="background1"/>
                <w:sz w:val="16"/>
                <w:szCs w:val="16"/>
                <w:lang w:val="es-CO" w:eastAsia="es-CO"/>
              </w:rPr>
              <w:t>DEN</w:t>
            </w:r>
          </w:p>
        </w:tc>
        <w:tc>
          <w:tcPr>
            <w:tcW w:w="0" w:type="auto"/>
            <w:shd w:val="clear" w:color="auto" w:fill="76922E"/>
            <w:vAlign w:val="center"/>
            <w:hideMark/>
          </w:tcPr>
          <w:p w:rsidR="008819AE" w:rsidRPr="00430487" w:rsidRDefault="008819AE" w:rsidP="00476EF8">
            <w:pPr>
              <w:spacing w:after="120"/>
              <w:jc w:val="center"/>
              <w:rPr>
                <w:rFonts w:eastAsia="Times New Roman" w:cs="Arial"/>
                <w:b/>
                <w:bCs/>
                <w:color w:val="FFFFFF" w:themeColor="background1"/>
                <w:sz w:val="16"/>
                <w:szCs w:val="16"/>
                <w:lang w:val="es-CO" w:eastAsia="es-CO"/>
              </w:rPr>
            </w:pPr>
            <w:r w:rsidRPr="00430487">
              <w:rPr>
                <w:rFonts w:eastAsia="Times New Roman" w:cs="Arial"/>
                <w:b/>
                <w:bCs/>
                <w:color w:val="FFFFFF" w:themeColor="background1"/>
                <w:sz w:val="16"/>
                <w:szCs w:val="16"/>
                <w:lang w:val="es-CO" w:eastAsia="es-CO"/>
              </w:rPr>
              <w:t>TOT</w:t>
            </w:r>
          </w:p>
        </w:tc>
        <w:tc>
          <w:tcPr>
            <w:tcW w:w="0" w:type="auto"/>
            <w:vMerge/>
            <w:shd w:val="clear" w:color="auto" w:fill="76922E"/>
            <w:vAlign w:val="center"/>
            <w:hideMark/>
          </w:tcPr>
          <w:p w:rsidR="008819AE" w:rsidRPr="00430487" w:rsidRDefault="008819AE" w:rsidP="00476EF8">
            <w:pPr>
              <w:spacing w:after="120"/>
              <w:rPr>
                <w:rFonts w:eastAsia="Times New Roman" w:cs="Arial"/>
                <w:b/>
                <w:bCs/>
                <w:color w:val="FFFFFF" w:themeColor="background1"/>
                <w:sz w:val="16"/>
                <w:szCs w:val="16"/>
                <w:lang w:val="es-CO" w:eastAsia="es-CO"/>
              </w:rPr>
            </w:pPr>
          </w:p>
        </w:tc>
      </w:tr>
      <w:tr w:rsidR="008819AE" w:rsidRPr="00430487" w:rsidTr="00430487">
        <w:trPr>
          <w:trHeight w:val="1350"/>
          <w:jc w:val="center"/>
        </w:trPr>
        <w:tc>
          <w:tcPr>
            <w:tcW w:w="0" w:type="auto"/>
            <w:vMerge w:val="restart"/>
            <w:shd w:val="clear" w:color="000000" w:fill="D9E1F2"/>
            <w:textDirection w:val="btLr"/>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b/>
                <w:sz w:val="16"/>
                <w:szCs w:val="16"/>
                <w:lang w:val="es-CO" w:eastAsia="es-CO"/>
              </w:rPr>
              <w:t>Restablecimiento de Derechos</w:t>
            </w:r>
          </w:p>
        </w:tc>
        <w:tc>
          <w:tcPr>
            <w:tcW w:w="0" w:type="auto"/>
            <w:shd w:val="clear" w:color="000000" w:fill="D9E1F2"/>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PA-31</w:t>
            </w:r>
          </w:p>
        </w:tc>
        <w:tc>
          <w:tcPr>
            <w:tcW w:w="0" w:type="auto"/>
            <w:shd w:val="clear" w:color="000000" w:fill="D9E1F2"/>
            <w:vAlign w:val="center"/>
            <w:hideMark/>
          </w:tcPr>
          <w:p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adolescentes y jóvenes declarados en adoptabilidad que estén vinculados a procesos de formación para el trabajo y desarrollo humano y/o formación técnica, tecnológica o universitaria.</w:t>
            </w:r>
          </w:p>
        </w:tc>
        <w:tc>
          <w:tcPr>
            <w:tcW w:w="0" w:type="auto"/>
            <w:shd w:val="clear" w:color="000000" w:fill="D9E1F2"/>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100%</w:t>
            </w:r>
          </w:p>
        </w:tc>
        <w:tc>
          <w:tcPr>
            <w:tcW w:w="0" w:type="auto"/>
            <w:shd w:val="clear" w:color="000000" w:fill="FFFFFF"/>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628</w:t>
            </w:r>
          </w:p>
        </w:tc>
        <w:tc>
          <w:tcPr>
            <w:tcW w:w="0" w:type="auto"/>
            <w:shd w:val="clear" w:color="000000" w:fill="FFFFFF"/>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633</w:t>
            </w:r>
          </w:p>
        </w:tc>
        <w:tc>
          <w:tcPr>
            <w:tcW w:w="0" w:type="auto"/>
            <w:shd w:val="clear" w:color="000000" w:fill="92D050"/>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99,2%</w:t>
            </w:r>
          </w:p>
        </w:tc>
        <w:tc>
          <w:tcPr>
            <w:tcW w:w="0" w:type="auto"/>
            <w:shd w:val="clear" w:color="auto" w:fill="auto"/>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ADECUADO</w:t>
            </w:r>
          </w:p>
        </w:tc>
      </w:tr>
      <w:tr w:rsidR="008819AE" w:rsidRPr="00430487" w:rsidTr="00430487">
        <w:trPr>
          <w:trHeight w:val="675"/>
          <w:jc w:val="center"/>
        </w:trPr>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shd w:val="clear" w:color="000000" w:fill="D9E1F2"/>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PA-32</w:t>
            </w:r>
          </w:p>
        </w:tc>
        <w:tc>
          <w:tcPr>
            <w:tcW w:w="0" w:type="auto"/>
            <w:shd w:val="clear" w:color="000000" w:fill="D9E1F2"/>
            <w:vAlign w:val="center"/>
            <w:hideMark/>
          </w:tcPr>
          <w:p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niños, niñas y adolescentes con situación legal dentro de los 4 meses definidos por la ley.</w:t>
            </w:r>
          </w:p>
        </w:tc>
        <w:tc>
          <w:tcPr>
            <w:tcW w:w="0" w:type="auto"/>
            <w:shd w:val="clear" w:color="000000" w:fill="D9E1F2"/>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100%</w:t>
            </w:r>
          </w:p>
        </w:tc>
        <w:tc>
          <w:tcPr>
            <w:tcW w:w="0" w:type="auto"/>
            <w:shd w:val="clear" w:color="000000" w:fill="FFFFFF"/>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3430</w:t>
            </w:r>
          </w:p>
        </w:tc>
        <w:tc>
          <w:tcPr>
            <w:tcW w:w="0" w:type="auto"/>
            <w:shd w:val="clear" w:color="000000" w:fill="FFFFFF"/>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3536</w:t>
            </w:r>
          </w:p>
        </w:tc>
        <w:tc>
          <w:tcPr>
            <w:tcW w:w="0" w:type="auto"/>
            <w:shd w:val="clear" w:color="000000" w:fill="FFFF00"/>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97,0%</w:t>
            </w:r>
          </w:p>
        </w:tc>
        <w:tc>
          <w:tcPr>
            <w:tcW w:w="0" w:type="auto"/>
            <w:shd w:val="clear" w:color="auto" w:fill="auto"/>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EN RIESGO</w:t>
            </w:r>
          </w:p>
        </w:tc>
      </w:tr>
      <w:tr w:rsidR="008819AE" w:rsidRPr="00430487" w:rsidTr="00430487">
        <w:trPr>
          <w:trHeight w:val="1350"/>
          <w:jc w:val="center"/>
        </w:trPr>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shd w:val="clear" w:color="000000" w:fill="D9E1F2"/>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PA-33</w:t>
            </w:r>
          </w:p>
        </w:tc>
        <w:tc>
          <w:tcPr>
            <w:tcW w:w="0" w:type="auto"/>
            <w:shd w:val="clear" w:color="000000" w:fill="D9E1F2"/>
            <w:hideMark/>
          </w:tcPr>
          <w:p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niños, niñas, adolescentes y jóvenes que se desvinculan de los grupos armados al margen de la ley, con gestión para la certificación del Comité Operativo para la Dejación de las Armas - CODA.</w:t>
            </w:r>
          </w:p>
        </w:tc>
        <w:tc>
          <w:tcPr>
            <w:tcW w:w="0" w:type="auto"/>
            <w:shd w:val="clear" w:color="000000" w:fill="D9E1F2"/>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90%</w:t>
            </w:r>
          </w:p>
        </w:tc>
        <w:tc>
          <w:tcPr>
            <w:tcW w:w="0" w:type="auto"/>
            <w:shd w:val="clear" w:color="000000" w:fill="FFFFFF"/>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130</w:t>
            </w:r>
          </w:p>
        </w:tc>
        <w:tc>
          <w:tcPr>
            <w:tcW w:w="0" w:type="auto"/>
            <w:shd w:val="clear" w:color="000000" w:fill="FFFFFF"/>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131</w:t>
            </w:r>
          </w:p>
        </w:tc>
        <w:tc>
          <w:tcPr>
            <w:tcW w:w="0" w:type="auto"/>
            <w:shd w:val="clear" w:color="000000" w:fill="00B0F0"/>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99,0%</w:t>
            </w:r>
          </w:p>
        </w:tc>
        <w:tc>
          <w:tcPr>
            <w:tcW w:w="0" w:type="auto"/>
            <w:shd w:val="clear" w:color="auto" w:fill="auto"/>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ÓPTIMO</w:t>
            </w:r>
          </w:p>
        </w:tc>
      </w:tr>
      <w:tr w:rsidR="008819AE" w:rsidRPr="00430487" w:rsidTr="00430487">
        <w:trPr>
          <w:trHeight w:val="1125"/>
          <w:jc w:val="center"/>
        </w:trPr>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shd w:val="clear" w:color="000000" w:fill="D9E1F2"/>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PA-34</w:t>
            </w:r>
          </w:p>
        </w:tc>
        <w:tc>
          <w:tcPr>
            <w:tcW w:w="0" w:type="auto"/>
            <w:shd w:val="clear" w:color="000000" w:fill="D9E1F2"/>
            <w:vAlign w:val="center"/>
            <w:hideMark/>
          </w:tcPr>
          <w:p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niños, niñas y adolescentes víctimas del desplazamiento forzado con proceso de acompañamiento en medio familiar por las unidades móviles.</w:t>
            </w:r>
          </w:p>
        </w:tc>
        <w:tc>
          <w:tcPr>
            <w:tcW w:w="0" w:type="auto"/>
            <w:shd w:val="clear" w:color="000000" w:fill="D9E1F2"/>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100%</w:t>
            </w:r>
          </w:p>
        </w:tc>
        <w:tc>
          <w:tcPr>
            <w:tcW w:w="0" w:type="auto"/>
            <w:shd w:val="clear" w:color="000000" w:fill="FFFFFF"/>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110218</w:t>
            </w:r>
          </w:p>
        </w:tc>
        <w:tc>
          <w:tcPr>
            <w:tcW w:w="0" w:type="auto"/>
            <w:shd w:val="clear" w:color="000000" w:fill="FFFFFF"/>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97680</w:t>
            </w:r>
          </w:p>
        </w:tc>
        <w:tc>
          <w:tcPr>
            <w:tcW w:w="0" w:type="auto"/>
            <w:shd w:val="clear" w:color="000000" w:fill="00B0F0"/>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112,8%</w:t>
            </w:r>
          </w:p>
        </w:tc>
        <w:tc>
          <w:tcPr>
            <w:tcW w:w="0" w:type="auto"/>
            <w:shd w:val="clear" w:color="auto" w:fill="auto"/>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ÓPTIMO</w:t>
            </w:r>
          </w:p>
        </w:tc>
      </w:tr>
      <w:tr w:rsidR="008819AE" w:rsidRPr="00430487" w:rsidTr="00430487">
        <w:trPr>
          <w:trHeight w:val="373"/>
          <w:jc w:val="center"/>
        </w:trPr>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restart"/>
            <w:shd w:val="clear" w:color="000000" w:fill="D9E1F2"/>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PA-36</w:t>
            </w:r>
            <w:r w:rsidRPr="00430487">
              <w:rPr>
                <w:rFonts w:eastAsia="Times New Roman" w:cs="Arial"/>
                <w:sz w:val="16"/>
                <w:szCs w:val="16"/>
                <w:lang w:val="es-CO" w:eastAsia="es-CO"/>
              </w:rPr>
              <w:br/>
              <w:t xml:space="preserve">Plan Indicativo </w:t>
            </w:r>
          </w:p>
        </w:tc>
        <w:tc>
          <w:tcPr>
            <w:tcW w:w="0" w:type="auto"/>
            <w:vMerge w:val="restart"/>
            <w:shd w:val="clear" w:color="000000" w:fill="D9E1F2"/>
            <w:vAlign w:val="center"/>
            <w:hideMark/>
          </w:tcPr>
          <w:p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Autoridades Administrativas y Equipos Técnicos Interdisciplinarios, capacitados en el proceso Administrativo de Restablecimiento de Derechos y temáticas afines.</w:t>
            </w:r>
          </w:p>
        </w:tc>
        <w:tc>
          <w:tcPr>
            <w:tcW w:w="0" w:type="auto"/>
            <w:vMerge w:val="restart"/>
            <w:shd w:val="clear" w:color="000000" w:fill="D9E1F2"/>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80%</w:t>
            </w:r>
          </w:p>
        </w:tc>
        <w:tc>
          <w:tcPr>
            <w:tcW w:w="0" w:type="auto"/>
            <w:vMerge w:val="restart"/>
            <w:shd w:val="clear" w:color="000000" w:fill="FFFFFF"/>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4119</w:t>
            </w:r>
          </w:p>
        </w:tc>
        <w:tc>
          <w:tcPr>
            <w:tcW w:w="0" w:type="auto"/>
            <w:vMerge w:val="restart"/>
            <w:shd w:val="clear" w:color="000000" w:fill="FFFFFF"/>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4403</w:t>
            </w:r>
          </w:p>
        </w:tc>
        <w:tc>
          <w:tcPr>
            <w:tcW w:w="0" w:type="auto"/>
            <w:vMerge w:val="restart"/>
            <w:shd w:val="clear" w:color="000000" w:fill="00B0F0"/>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93,5%</w:t>
            </w:r>
          </w:p>
        </w:tc>
        <w:tc>
          <w:tcPr>
            <w:tcW w:w="0" w:type="auto"/>
            <w:vMerge w:val="restart"/>
            <w:shd w:val="clear" w:color="auto" w:fill="auto"/>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ÓPTIMO</w:t>
            </w:r>
          </w:p>
        </w:tc>
      </w:tr>
      <w:tr w:rsidR="008819AE" w:rsidRPr="00430487" w:rsidTr="00430487">
        <w:trPr>
          <w:trHeight w:val="373"/>
          <w:jc w:val="center"/>
        </w:trPr>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r>
      <w:tr w:rsidR="008819AE" w:rsidRPr="00430487" w:rsidTr="00430487">
        <w:trPr>
          <w:trHeight w:val="373"/>
          <w:jc w:val="center"/>
        </w:trPr>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r>
      <w:tr w:rsidR="008819AE" w:rsidRPr="00430487" w:rsidTr="00430487">
        <w:trPr>
          <w:trHeight w:val="373"/>
          <w:jc w:val="center"/>
        </w:trPr>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restart"/>
            <w:shd w:val="clear" w:color="000000" w:fill="D9E1F2"/>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PA-37</w:t>
            </w:r>
            <w:r w:rsidRPr="00430487">
              <w:rPr>
                <w:rFonts w:eastAsia="Times New Roman" w:cs="Arial"/>
                <w:sz w:val="16"/>
                <w:szCs w:val="16"/>
                <w:lang w:val="es-CO" w:eastAsia="es-CO"/>
              </w:rPr>
              <w:br/>
              <w:t xml:space="preserve">Plan Indicativo </w:t>
            </w:r>
          </w:p>
        </w:tc>
        <w:tc>
          <w:tcPr>
            <w:tcW w:w="0" w:type="auto"/>
            <w:vMerge w:val="restart"/>
            <w:shd w:val="clear" w:color="000000" w:fill="D9E1F2"/>
            <w:hideMark/>
          </w:tcPr>
          <w:p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Autoridades Administrativas, Equipos Técnicos, capacitados en la Ruta de Restablecimiento de Derechos con Enfoque Diferencial Étnico.</w:t>
            </w:r>
          </w:p>
        </w:tc>
        <w:tc>
          <w:tcPr>
            <w:tcW w:w="0" w:type="auto"/>
            <w:vMerge w:val="restart"/>
            <w:shd w:val="clear" w:color="000000" w:fill="D9E1F2"/>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78%</w:t>
            </w:r>
          </w:p>
        </w:tc>
        <w:tc>
          <w:tcPr>
            <w:tcW w:w="0" w:type="auto"/>
            <w:vMerge w:val="restart"/>
            <w:shd w:val="clear" w:color="000000" w:fill="FFFFFF"/>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653</w:t>
            </w:r>
          </w:p>
        </w:tc>
        <w:tc>
          <w:tcPr>
            <w:tcW w:w="0" w:type="auto"/>
            <w:vMerge w:val="restart"/>
            <w:shd w:val="clear" w:color="000000" w:fill="FFFFFF"/>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837</w:t>
            </w:r>
          </w:p>
        </w:tc>
        <w:tc>
          <w:tcPr>
            <w:tcW w:w="0" w:type="auto"/>
            <w:vMerge w:val="restart"/>
            <w:shd w:val="clear" w:color="000000" w:fill="00B0F0"/>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78,0%</w:t>
            </w:r>
          </w:p>
        </w:tc>
        <w:tc>
          <w:tcPr>
            <w:tcW w:w="0" w:type="auto"/>
            <w:vMerge w:val="restart"/>
            <w:shd w:val="clear" w:color="auto" w:fill="auto"/>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ÓPTIMO</w:t>
            </w:r>
          </w:p>
        </w:tc>
      </w:tr>
      <w:tr w:rsidR="008819AE" w:rsidRPr="00430487" w:rsidTr="00430487">
        <w:trPr>
          <w:trHeight w:val="373"/>
          <w:jc w:val="center"/>
        </w:trPr>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r>
      <w:tr w:rsidR="008819AE" w:rsidRPr="00430487" w:rsidTr="00430487">
        <w:trPr>
          <w:trHeight w:val="373"/>
          <w:jc w:val="center"/>
        </w:trPr>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r>
      <w:tr w:rsidR="008819AE" w:rsidRPr="00430487" w:rsidTr="00430487">
        <w:trPr>
          <w:trHeight w:val="373"/>
          <w:jc w:val="center"/>
        </w:trPr>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restart"/>
            <w:shd w:val="clear" w:color="000000" w:fill="D9E1F2"/>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PA-38</w:t>
            </w:r>
            <w:r w:rsidRPr="00430487">
              <w:rPr>
                <w:rFonts w:eastAsia="Times New Roman" w:cs="Arial"/>
                <w:sz w:val="16"/>
                <w:szCs w:val="16"/>
                <w:lang w:val="es-CO" w:eastAsia="es-CO"/>
              </w:rPr>
              <w:br/>
              <w:t>Plan Indicativo PND</w:t>
            </w:r>
          </w:p>
        </w:tc>
        <w:tc>
          <w:tcPr>
            <w:tcW w:w="0" w:type="auto"/>
            <w:vMerge w:val="restart"/>
            <w:shd w:val="clear" w:color="000000" w:fill="D9E1F2"/>
            <w:vAlign w:val="center"/>
            <w:hideMark/>
          </w:tcPr>
          <w:p w:rsidR="008819AE" w:rsidRPr="00430487" w:rsidRDefault="008819AE" w:rsidP="00476EF8">
            <w:pPr>
              <w:spacing w:after="120"/>
              <w:rPr>
                <w:rFonts w:eastAsia="Times New Roman" w:cs="Arial"/>
                <w:sz w:val="16"/>
                <w:szCs w:val="16"/>
                <w:lang w:val="es-CO" w:eastAsia="es-CO"/>
              </w:rPr>
            </w:pPr>
            <w:r w:rsidRPr="00430487">
              <w:rPr>
                <w:rFonts w:eastAsia="Times New Roman" w:cs="Arial"/>
                <w:sz w:val="16"/>
                <w:szCs w:val="16"/>
                <w:lang w:val="es-CO" w:eastAsia="es-CO"/>
              </w:rPr>
              <w:t>Número de municipios con asistencia técnica para la implementación de las rutas de atención integral para el Restablecimiento de Derechos de la menor de 14 años embarazada.</w:t>
            </w:r>
          </w:p>
        </w:tc>
        <w:tc>
          <w:tcPr>
            <w:tcW w:w="0" w:type="auto"/>
            <w:vMerge w:val="restart"/>
            <w:shd w:val="clear" w:color="000000" w:fill="D9E1F2"/>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 xml:space="preserve">              600 </w:t>
            </w:r>
          </w:p>
        </w:tc>
        <w:tc>
          <w:tcPr>
            <w:tcW w:w="0" w:type="auto"/>
            <w:vMerge w:val="restart"/>
            <w:shd w:val="clear" w:color="000000" w:fill="FFFFFF"/>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650</w:t>
            </w:r>
          </w:p>
        </w:tc>
        <w:tc>
          <w:tcPr>
            <w:tcW w:w="0" w:type="auto"/>
            <w:vMerge w:val="restart"/>
            <w:shd w:val="clear" w:color="000000" w:fill="FFFFFF"/>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600</w:t>
            </w:r>
          </w:p>
        </w:tc>
        <w:tc>
          <w:tcPr>
            <w:tcW w:w="0" w:type="auto"/>
            <w:vMerge w:val="restart"/>
            <w:shd w:val="clear" w:color="000000" w:fill="00B0F0"/>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108,3%</w:t>
            </w:r>
          </w:p>
        </w:tc>
        <w:tc>
          <w:tcPr>
            <w:tcW w:w="0" w:type="auto"/>
            <w:vMerge w:val="restart"/>
            <w:shd w:val="clear" w:color="auto" w:fill="auto"/>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 </w:t>
            </w:r>
          </w:p>
        </w:tc>
      </w:tr>
      <w:tr w:rsidR="008819AE" w:rsidRPr="00430487" w:rsidTr="00430487">
        <w:trPr>
          <w:trHeight w:val="373"/>
          <w:jc w:val="center"/>
        </w:trPr>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r>
      <w:tr w:rsidR="008819AE" w:rsidRPr="00430487" w:rsidTr="00430487">
        <w:trPr>
          <w:trHeight w:val="373"/>
          <w:jc w:val="center"/>
        </w:trPr>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r>
      <w:tr w:rsidR="008819AE" w:rsidRPr="00430487" w:rsidTr="00430487">
        <w:trPr>
          <w:trHeight w:val="373"/>
          <w:jc w:val="center"/>
        </w:trPr>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r>
      <w:tr w:rsidR="008819AE" w:rsidRPr="00430487" w:rsidTr="00430487">
        <w:trPr>
          <w:trHeight w:val="1125"/>
          <w:jc w:val="center"/>
        </w:trPr>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shd w:val="clear" w:color="000000" w:fill="D9E1F2"/>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M5-PM2-01</w:t>
            </w:r>
          </w:p>
        </w:tc>
        <w:tc>
          <w:tcPr>
            <w:tcW w:w="0" w:type="auto"/>
            <w:shd w:val="clear" w:color="000000" w:fill="D9E1F2"/>
            <w:hideMark/>
          </w:tcPr>
          <w:p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solicitudes de restablecimiento de derechos y denuncias verdaderas con apertura de Proceso de Restablecimiento de Derechos.</w:t>
            </w:r>
          </w:p>
        </w:tc>
        <w:tc>
          <w:tcPr>
            <w:tcW w:w="0" w:type="auto"/>
            <w:shd w:val="clear" w:color="000000" w:fill="D9E1F2"/>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100%</w:t>
            </w:r>
          </w:p>
        </w:tc>
        <w:tc>
          <w:tcPr>
            <w:tcW w:w="0" w:type="auto"/>
            <w:shd w:val="clear" w:color="auto" w:fill="auto"/>
            <w:noWrap/>
            <w:vAlign w:val="bottom"/>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42382</w:t>
            </w:r>
          </w:p>
        </w:tc>
        <w:tc>
          <w:tcPr>
            <w:tcW w:w="0" w:type="auto"/>
            <w:shd w:val="clear" w:color="auto" w:fill="auto"/>
            <w:noWrap/>
            <w:vAlign w:val="bottom"/>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47552</w:t>
            </w:r>
          </w:p>
        </w:tc>
        <w:tc>
          <w:tcPr>
            <w:tcW w:w="0" w:type="auto"/>
            <w:shd w:val="clear" w:color="000000" w:fill="FFFF00"/>
            <w:noWrap/>
            <w:vAlign w:val="bottom"/>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89,1%</w:t>
            </w:r>
          </w:p>
        </w:tc>
        <w:tc>
          <w:tcPr>
            <w:tcW w:w="0" w:type="auto"/>
            <w:shd w:val="clear" w:color="auto" w:fill="auto"/>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EN RIESGO</w:t>
            </w:r>
          </w:p>
        </w:tc>
      </w:tr>
      <w:tr w:rsidR="008819AE" w:rsidRPr="00430487" w:rsidTr="00430487">
        <w:trPr>
          <w:trHeight w:val="675"/>
          <w:jc w:val="center"/>
        </w:trPr>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shd w:val="clear" w:color="000000" w:fill="D9E1F2"/>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M5-PM2-03</w:t>
            </w:r>
          </w:p>
        </w:tc>
        <w:tc>
          <w:tcPr>
            <w:tcW w:w="0" w:type="auto"/>
            <w:shd w:val="clear" w:color="000000" w:fill="D9E1F2"/>
            <w:hideMark/>
          </w:tcPr>
          <w:p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Niños, niñas y adolescentes con permanencia menor a 12 meses bajo Protección.</w:t>
            </w:r>
          </w:p>
        </w:tc>
        <w:tc>
          <w:tcPr>
            <w:tcW w:w="0" w:type="auto"/>
            <w:shd w:val="clear" w:color="000000" w:fill="D9E1F2"/>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100%</w:t>
            </w:r>
          </w:p>
        </w:tc>
        <w:tc>
          <w:tcPr>
            <w:tcW w:w="0" w:type="auto"/>
            <w:shd w:val="clear" w:color="000000" w:fill="FFFFFF"/>
            <w:noWrap/>
            <w:vAlign w:val="bottom"/>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5511</w:t>
            </w:r>
          </w:p>
        </w:tc>
        <w:tc>
          <w:tcPr>
            <w:tcW w:w="0" w:type="auto"/>
            <w:shd w:val="clear" w:color="000000" w:fill="FFFFFF"/>
            <w:noWrap/>
            <w:vAlign w:val="bottom"/>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6798</w:t>
            </w:r>
          </w:p>
        </w:tc>
        <w:tc>
          <w:tcPr>
            <w:tcW w:w="0" w:type="auto"/>
            <w:shd w:val="clear" w:color="000000" w:fill="FFFF00"/>
            <w:noWrap/>
            <w:vAlign w:val="bottom"/>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81,1%</w:t>
            </w:r>
          </w:p>
        </w:tc>
        <w:tc>
          <w:tcPr>
            <w:tcW w:w="0" w:type="auto"/>
            <w:shd w:val="clear" w:color="auto" w:fill="auto"/>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EN RIESGO</w:t>
            </w:r>
          </w:p>
        </w:tc>
      </w:tr>
      <w:tr w:rsidR="008819AE" w:rsidRPr="00430487" w:rsidTr="00430487">
        <w:trPr>
          <w:trHeight w:val="1125"/>
          <w:jc w:val="center"/>
        </w:trPr>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shd w:val="clear" w:color="000000" w:fill="D9E1F2"/>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M5-PM2-04</w:t>
            </w:r>
          </w:p>
        </w:tc>
        <w:tc>
          <w:tcPr>
            <w:tcW w:w="0" w:type="auto"/>
            <w:shd w:val="clear" w:color="000000" w:fill="D9E1F2"/>
            <w:hideMark/>
          </w:tcPr>
          <w:p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casos de niños, niñas y adolescentes devueltos por comité de adopciones, presentándose nuevamente a comité o reintegrados a su medio familiar.</w:t>
            </w:r>
          </w:p>
        </w:tc>
        <w:tc>
          <w:tcPr>
            <w:tcW w:w="0" w:type="auto"/>
            <w:shd w:val="clear" w:color="000000" w:fill="D9E1F2"/>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80%</w:t>
            </w:r>
          </w:p>
        </w:tc>
        <w:tc>
          <w:tcPr>
            <w:tcW w:w="0" w:type="auto"/>
            <w:shd w:val="clear" w:color="000000" w:fill="FFFFFF"/>
            <w:noWrap/>
            <w:vAlign w:val="bottom"/>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129</w:t>
            </w:r>
          </w:p>
        </w:tc>
        <w:tc>
          <w:tcPr>
            <w:tcW w:w="0" w:type="auto"/>
            <w:shd w:val="clear" w:color="000000" w:fill="FFFFFF"/>
            <w:noWrap/>
            <w:vAlign w:val="bottom"/>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163</w:t>
            </w:r>
          </w:p>
        </w:tc>
        <w:tc>
          <w:tcPr>
            <w:tcW w:w="0" w:type="auto"/>
            <w:shd w:val="clear" w:color="000000" w:fill="92D050"/>
            <w:noWrap/>
            <w:vAlign w:val="bottom"/>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79,1%</w:t>
            </w:r>
          </w:p>
        </w:tc>
        <w:tc>
          <w:tcPr>
            <w:tcW w:w="0" w:type="auto"/>
            <w:shd w:val="clear" w:color="auto" w:fill="auto"/>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ADECUADO</w:t>
            </w:r>
          </w:p>
        </w:tc>
      </w:tr>
      <w:tr w:rsidR="008819AE" w:rsidRPr="00430487" w:rsidTr="00430487">
        <w:trPr>
          <w:trHeight w:val="675"/>
          <w:jc w:val="center"/>
        </w:trPr>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shd w:val="clear" w:color="000000" w:fill="D9E1F2"/>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M5-PM2-05</w:t>
            </w:r>
          </w:p>
        </w:tc>
        <w:tc>
          <w:tcPr>
            <w:tcW w:w="0" w:type="auto"/>
            <w:shd w:val="clear" w:color="000000" w:fill="D9E1F2"/>
            <w:hideMark/>
          </w:tcPr>
          <w:p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niños, niñas y adolescentes sin reingreso al proceso de restablecimiento de derechos.</w:t>
            </w:r>
          </w:p>
        </w:tc>
        <w:tc>
          <w:tcPr>
            <w:tcW w:w="0" w:type="auto"/>
            <w:shd w:val="clear" w:color="000000" w:fill="D9E1F2"/>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100%</w:t>
            </w:r>
          </w:p>
        </w:tc>
        <w:tc>
          <w:tcPr>
            <w:tcW w:w="0" w:type="auto"/>
            <w:shd w:val="clear" w:color="000000" w:fill="FFFFFF"/>
            <w:noWrap/>
            <w:vAlign w:val="bottom"/>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13406</w:t>
            </w:r>
          </w:p>
        </w:tc>
        <w:tc>
          <w:tcPr>
            <w:tcW w:w="0" w:type="auto"/>
            <w:shd w:val="clear" w:color="000000" w:fill="FFFFFF"/>
            <w:noWrap/>
            <w:vAlign w:val="bottom"/>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13456</w:t>
            </w:r>
          </w:p>
        </w:tc>
        <w:tc>
          <w:tcPr>
            <w:tcW w:w="0" w:type="auto"/>
            <w:shd w:val="clear" w:color="000000" w:fill="92D050"/>
            <w:noWrap/>
            <w:vAlign w:val="bottom"/>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99,6%</w:t>
            </w:r>
          </w:p>
        </w:tc>
        <w:tc>
          <w:tcPr>
            <w:tcW w:w="0" w:type="auto"/>
            <w:shd w:val="clear" w:color="auto" w:fill="auto"/>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ADECUADO</w:t>
            </w:r>
          </w:p>
        </w:tc>
      </w:tr>
      <w:tr w:rsidR="008819AE" w:rsidRPr="00430487" w:rsidTr="00430487">
        <w:trPr>
          <w:trHeight w:val="1575"/>
          <w:jc w:val="center"/>
        </w:trPr>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shd w:val="clear" w:color="000000" w:fill="D9E1F2"/>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M5-PM2-06</w:t>
            </w:r>
          </w:p>
        </w:tc>
        <w:tc>
          <w:tcPr>
            <w:tcW w:w="0" w:type="auto"/>
            <w:shd w:val="clear" w:color="000000" w:fill="D9E1F2"/>
            <w:hideMark/>
          </w:tcPr>
          <w:p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niñas y adolescentes menores de 14 años embarazada, en periodo de lactancia o víctimas de violencia sexual, que ingresan a PARD y se les brinda la información relacionada con sus derechos sexuales y reproductivos.</w:t>
            </w:r>
          </w:p>
        </w:tc>
        <w:tc>
          <w:tcPr>
            <w:tcW w:w="0" w:type="auto"/>
            <w:shd w:val="clear" w:color="000000" w:fill="D9E1F2"/>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80%</w:t>
            </w:r>
          </w:p>
        </w:tc>
        <w:tc>
          <w:tcPr>
            <w:tcW w:w="0" w:type="auto"/>
            <w:shd w:val="clear" w:color="000000" w:fill="FFFFFF"/>
            <w:noWrap/>
            <w:vAlign w:val="bottom"/>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3899</w:t>
            </w:r>
          </w:p>
        </w:tc>
        <w:tc>
          <w:tcPr>
            <w:tcW w:w="0" w:type="auto"/>
            <w:shd w:val="clear" w:color="000000" w:fill="FFFFFF"/>
            <w:noWrap/>
            <w:vAlign w:val="bottom"/>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3954</w:t>
            </w:r>
          </w:p>
        </w:tc>
        <w:tc>
          <w:tcPr>
            <w:tcW w:w="0" w:type="auto"/>
            <w:shd w:val="clear" w:color="000000" w:fill="92D050"/>
            <w:noWrap/>
            <w:vAlign w:val="bottom"/>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98,6%</w:t>
            </w:r>
          </w:p>
        </w:tc>
        <w:tc>
          <w:tcPr>
            <w:tcW w:w="0" w:type="auto"/>
            <w:shd w:val="clear" w:color="auto" w:fill="auto"/>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ADECUADO</w:t>
            </w:r>
          </w:p>
        </w:tc>
      </w:tr>
      <w:tr w:rsidR="008819AE" w:rsidRPr="00430487" w:rsidTr="00430487">
        <w:trPr>
          <w:trHeight w:val="675"/>
          <w:jc w:val="center"/>
        </w:trPr>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shd w:val="clear" w:color="000000" w:fill="D9E1F2"/>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M5-PM2-07</w:t>
            </w:r>
          </w:p>
        </w:tc>
        <w:tc>
          <w:tcPr>
            <w:tcW w:w="0" w:type="auto"/>
            <w:shd w:val="clear" w:color="000000" w:fill="D9E1F2"/>
            <w:hideMark/>
          </w:tcPr>
          <w:p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peticiones de Asuntos Conciliables atendidas en los términos de Ley</w:t>
            </w:r>
          </w:p>
        </w:tc>
        <w:tc>
          <w:tcPr>
            <w:tcW w:w="0" w:type="auto"/>
            <w:shd w:val="clear" w:color="000000" w:fill="D9E1F2"/>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100%</w:t>
            </w:r>
          </w:p>
        </w:tc>
        <w:tc>
          <w:tcPr>
            <w:tcW w:w="0" w:type="auto"/>
            <w:shd w:val="clear" w:color="auto" w:fill="auto"/>
            <w:noWrap/>
            <w:vAlign w:val="bottom"/>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12314</w:t>
            </w:r>
          </w:p>
        </w:tc>
        <w:tc>
          <w:tcPr>
            <w:tcW w:w="0" w:type="auto"/>
            <w:shd w:val="clear" w:color="auto" w:fill="auto"/>
            <w:noWrap/>
            <w:vAlign w:val="bottom"/>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12867</w:t>
            </w:r>
          </w:p>
        </w:tc>
        <w:tc>
          <w:tcPr>
            <w:tcW w:w="0" w:type="auto"/>
            <w:shd w:val="clear" w:color="000000" w:fill="92D050"/>
            <w:noWrap/>
            <w:vAlign w:val="bottom"/>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95,7%</w:t>
            </w:r>
          </w:p>
        </w:tc>
        <w:tc>
          <w:tcPr>
            <w:tcW w:w="0" w:type="auto"/>
            <w:shd w:val="clear" w:color="auto" w:fill="auto"/>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ADECUADO</w:t>
            </w:r>
          </w:p>
        </w:tc>
      </w:tr>
      <w:tr w:rsidR="008819AE" w:rsidRPr="00430487" w:rsidTr="00430487">
        <w:trPr>
          <w:trHeight w:val="675"/>
          <w:jc w:val="center"/>
        </w:trPr>
        <w:tc>
          <w:tcPr>
            <w:tcW w:w="0" w:type="auto"/>
            <w:vMerge w:val="restart"/>
            <w:shd w:val="clear" w:color="000000" w:fill="E2EFDA"/>
            <w:textDirection w:val="btLr"/>
            <w:vAlign w:val="center"/>
            <w:hideMark/>
          </w:tcPr>
          <w:p w:rsidR="008819AE" w:rsidRPr="00430487" w:rsidRDefault="008819AE" w:rsidP="00476EF8">
            <w:pPr>
              <w:spacing w:after="120"/>
              <w:jc w:val="center"/>
              <w:rPr>
                <w:rFonts w:eastAsia="Times New Roman" w:cs="Arial"/>
                <w:b/>
                <w:sz w:val="16"/>
                <w:szCs w:val="16"/>
                <w:lang w:val="es-CO" w:eastAsia="es-CO"/>
              </w:rPr>
            </w:pPr>
            <w:r w:rsidRPr="00430487">
              <w:rPr>
                <w:rFonts w:eastAsia="Times New Roman" w:cs="Arial"/>
                <w:b/>
                <w:sz w:val="16"/>
                <w:szCs w:val="16"/>
                <w:lang w:val="es-CO" w:eastAsia="es-CO"/>
              </w:rPr>
              <w:t>Adopciones</w:t>
            </w:r>
          </w:p>
        </w:tc>
        <w:tc>
          <w:tcPr>
            <w:tcW w:w="0" w:type="auto"/>
            <w:shd w:val="clear" w:color="000000" w:fill="E2EFDA"/>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PA-39</w:t>
            </w:r>
          </w:p>
        </w:tc>
        <w:tc>
          <w:tcPr>
            <w:tcW w:w="0" w:type="auto"/>
            <w:shd w:val="clear" w:color="000000" w:fill="E2EFDA"/>
            <w:hideMark/>
          </w:tcPr>
          <w:p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Niños, niñas y adolescentes SIN características especiales con familia asignada.</w:t>
            </w:r>
          </w:p>
        </w:tc>
        <w:tc>
          <w:tcPr>
            <w:tcW w:w="0" w:type="auto"/>
            <w:shd w:val="clear" w:color="000000" w:fill="E2EFDA"/>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100%</w:t>
            </w:r>
          </w:p>
        </w:tc>
        <w:tc>
          <w:tcPr>
            <w:tcW w:w="0" w:type="auto"/>
            <w:shd w:val="clear" w:color="000000" w:fill="FFFFFF"/>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577</w:t>
            </w:r>
          </w:p>
        </w:tc>
        <w:tc>
          <w:tcPr>
            <w:tcW w:w="0" w:type="auto"/>
            <w:shd w:val="clear" w:color="000000" w:fill="FFFFFF"/>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577</w:t>
            </w:r>
          </w:p>
        </w:tc>
        <w:tc>
          <w:tcPr>
            <w:tcW w:w="0" w:type="auto"/>
            <w:shd w:val="clear" w:color="000000" w:fill="00B0F0"/>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100,0%</w:t>
            </w:r>
          </w:p>
        </w:tc>
        <w:tc>
          <w:tcPr>
            <w:tcW w:w="0" w:type="auto"/>
            <w:shd w:val="clear" w:color="auto" w:fill="auto"/>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ÓPTIMO</w:t>
            </w:r>
          </w:p>
        </w:tc>
      </w:tr>
      <w:tr w:rsidR="008819AE" w:rsidRPr="00430487" w:rsidTr="00430487">
        <w:trPr>
          <w:trHeight w:val="900"/>
          <w:jc w:val="center"/>
        </w:trPr>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shd w:val="clear" w:color="000000" w:fill="E2EFDA"/>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PA-40</w:t>
            </w:r>
            <w:r w:rsidRPr="00430487">
              <w:rPr>
                <w:rFonts w:eastAsia="Times New Roman" w:cs="Arial"/>
                <w:sz w:val="16"/>
                <w:szCs w:val="16"/>
                <w:lang w:val="es-CO" w:eastAsia="es-CO"/>
              </w:rPr>
              <w:br/>
              <w:t xml:space="preserve">Plan Indicativo </w:t>
            </w:r>
            <w:r w:rsidRPr="00430487">
              <w:rPr>
                <w:rFonts w:eastAsia="Times New Roman" w:cs="Arial"/>
                <w:sz w:val="16"/>
                <w:szCs w:val="16"/>
                <w:lang w:val="es-CO" w:eastAsia="es-CO"/>
              </w:rPr>
              <w:br/>
              <w:t>PND</w:t>
            </w:r>
          </w:p>
        </w:tc>
        <w:tc>
          <w:tcPr>
            <w:tcW w:w="0" w:type="auto"/>
            <w:shd w:val="clear" w:color="000000" w:fill="E2EFDA"/>
            <w:hideMark/>
          </w:tcPr>
          <w:p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Niños, niñas y adolescentes CON características y necesidades especiales, con familia asignada.</w:t>
            </w:r>
          </w:p>
        </w:tc>
        <w:tc>
          <w:tcPr>
            <w:tcW w:w="0" w:type="auto"/>
            <w:shd w:val="clear" w:color="000000" w:fill="E2EFDA"/>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67%</w:t>
            </w:r>
          </w:p>
        </w:tc>
        <w:tc>
          <w:tcPr>
            <w:tcW w:w="0" w:type="auto"/>
            <w:shd w:val="clear" w:color="000000" w:fill="FFFFFF"/>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1853</w:t>
            </w:r>
          </w:p>
        </w:tc>
        <w:tc>
          <w:tcPr>
            <w:tcW w:w="0" w:type="auto"/>
            <w:shd w:val="clear" w:color="000000" w:fill="FFFFFF"/>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2330</w:t>
            </w:r>
          </w:p>
        </w:tc>
        <w:tc>
          <w:tcPr>
            <w:tcW w:w="0" w:type="auto"/>
            <w:shd w:val="clear" w:color="000000" w:fill="00B0F0"/>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79,5%</w:t>
            </w:r>
          </w:p>
        </w:tc>
        <w:tc>
          <w:tcPr>
            <w:tcW w:w="0" w:type="auto"/>
            <w:shd w:val="clear" w:color="auto" w:fill="auto"/>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ÓPTIMO</w:t>
            </w:r>
          </w:p>
        </w:tc>
      </w:tr>
      <w:tr w:rsidR="008819AE" w:rsidRPr="00430487" w:rsidTr="00430487">
        <w:trPr>
          <w:trHeight w:val="900"/>
          <w:jc w:val="center"/>
        </w:trPr>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shd w:val="clear" w:color="000000" w:fill="E2EFDA"/>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PA-41</w:t>
            </w:r>
            <w:r w:rsidRPr="00430487">
              <w:rPr>
                <w:rFonts w:eastAsia="Times New Roman" w:cs="Arial"/>
                <w:sz w:val="16"/>
                <w:szCs w:val="16"/>
                <w:lang w:val="es-CO" w:eastAsia="es-CO"/>
              </w:rPr>
              <w:br/>
              <w:t xml:space="preserve">Plan Indicativo </w:t>
            </w:r>
          </w:p>
        </w:tc>
        <w:tc>
          <w:tcPr>
            <w:tcW w:w="0" w:type="auto"/>
            <w:shd w:val="clear" w:color="000000" w:fill="E2EFDA"/>
            <w:hideMark/>
          </w:tcPr>
          <w:p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niños, niñas y adolescentes que cumple con el número de informes de seguimientos post adopción</w:t>
            </w:r>
          </w:p>
        </w:tc>
        <w:tc>
          <w:tcPr>
            <w:tcW w:w="0" w:type="auto"/>
            <w:shd w:val="clear" w:color="000000" w:fill="E2EFDA"/>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100%</w:t>
            </w:r>
          </w:p>
        </w:tc>
        <w:tc>
          <w:tcPr>
            <w:tcW w:w="0" w:type="auto"/>
            <w:shd w:val="clear" w:color="000000" w:fill="FFFFFF"/>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10687</w:t>
            </w:r>
          </w:p>
        </w:tc>
        <w:tc>
          <w:tcPr>
            <w:tcW w:w="0" w:type="auto"/>
            <w:shd w:val="clear" w:color="000000" w:fill="FFFFFF"/>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10975</w:t>
            </w:r>
          </w:p>
        </w:tc>
        <w:tc>
          <w:tcPr>
            <w:tcW w:w="0" w:type="auto"/>
            <w:shd w:val="clear" w:color="000000" w:fill="92D050"/>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97,4%</w:t>
            </w:r>
          </w:p>
        </w:tc>
        <w:tc>
          <w:tcPr>
            <w:tcW w:w="0" w:type="auto"/>
            <w:shd w:val="clear" w:color="auto" w:fill="auto"/>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ADECUADO</w:t>
            </w:r>
          </w:p>
        </w:tc>
      </w:tr>
      <w:tr w:rsidR="008819AE" w:rsidRPr="00430487" w:rsidTr="00430487">
        <w:trPr>
          <w:trHeight w:val="1350"/>
          <w:jc w:val="center"/>
        </w:trPr>
        <w:tc>
          <w:tcPr>
            <w:tcW w:w="0" w:type="auto"/>
            <w:vMerge w:val="restart"/>
            <w:shd w:val="clear" w:color="000000" w:fill="FFF2CC"/>
            <w:textDirection w:val="btLr"/>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R</w:t>
            </w:r>
            <w:r w:rsidRPr="00430487">
              <w:rPr>
                <w:rFonts w:eastAsia="Times New Roman" w:cs="Arial"/>
                <w:b/>
                <w:sz w:val="16"/>
                <w:szCs w:val="16"/>
                <w:lang w:val="es-CO" w:eastAsia="es-CO"/>
              </w:rPr>
              <w:t xml:space="preserve">esponsabilidad Penal </w:t>
            </w:r>
          </w:p>
        </w:tc>
        <w:tc>
          <w:tcPr>
            <w:tcW w:w="0" w:type="auto"/>
            <w:shd w:val="clear" w:color="000000" w:fill="FFF2CC"/>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PA-42</w:t>
            </w:r>
            <w:r w:rsidRPr="00430487">
              <w:rPr>
                <w:rFonts w:eastAsia="Times New Roman" w:cs="Arial"/>
                <w:sz w:val="16"/>
                <w:szCs w:val="16"/>
                <w:lang w:val="es-CO" w:eastAsia="es-CO"/>
              </w:rPr>
              <w:br/>
              <w:t xml:space="preserve">Plan Indicativo </w:t>
            </w:r>
            <w:r w:rsidRPr="00430487">
              <w:rPr>
                <w:rFonts w:eastAsia="Times New Roman" w:cs="Arial"/>
                <w:sz w:val="16"/>
                <w:szCs w:val="16"/>
                <w:lang w:val="es-CO" w:eastAsia="es-CO"/>
              </w:rPr>
              <w:br/>
              <w:t>PND</w:t>
            </w:r>
          </w:p>
        </w:tc>
        <w:tc>
          <w:tcPr>
            <w:tcW w:w="0" w:type="auto"/>
            <w:shd w:val="clear" w:color="000000" w:fill="FFF2CC"/>
            <w:vAlign w:val="center"/>
            <w:hideMark/>
          </w:tcPr>
          <w:p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adolescentes y jóvenes del SRPA, con más de seis meses de permanencia en el Programa de Atención con la garantía de ejercicio de sus derechos (Identidad, Salud y Educación)</w:t>
            </w:r>
          </w:p>
        </w:tc>
        <w:tc>
          <w:tcPr>
            <w:tcW w:w="0" w:type="auto"/>
            <w:shd w:val="clear" w:color="000000" w:fill="FFF2CC"/>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100%</w:t>
            </w:r>
          </w:p>
        </w:tc>
        <w:tc>
          <w:tcPr>
            <w:tcW w:w="0" w:type="auto"/>
            <w:shd w:val="clear" w:color="000000" w:fill="FFFFFF"/>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2419</w:t>
            </w:r>
          </w:p>
        </w:tc>
        <w:tc>
          <w:tcPr>
            <w:tcW w:w="0" w:type="auto"/>
            <w:shd w:val="clear" w:color="000000" w:fill="FFFFFF"/>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2525</w:t>
            </w:r>
          </w:p>
        </w:tc>
        <w:tc>
          <w:tcPr>
            <w:tcW w:w="0" w:type="auto"/>
            <w:shd w:val="clear" w:color="000000" w:fill="92D050"/>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95,8%</w:t>
            </w:r>
          </w:p>
        </w:tc>
        <w:tc>
          <w:tcPr>
            <w:tcW w:w="0" w:type="auto"/>
            <w:shd w:val="clear" w:color="auto" w:fill="auto"/>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ADECUADO</w:t>
            </w:r>
          </w:p>
        </w:tc>
      </w:tr>
      <w:tr w:rsidR="008819AE" w:rsidRPr="00430487" w:rsidTr="00430487">
        <w:trPr>
          <w:trHeight w:val="373"/>
          <w:jc w:val="center"/>
        </w:trPr>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restart"/>
            <w:shd w:val="clear" w:color="000000" w:fill="FFF2CC"/>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PA-43</w:t>
            </w:r>
            <w:r w:rsidRPr="00430487">
              <w:rPr>
                <w:rFonts w:eastAsia="Times New Roman" w:cs="Arial"/>
                <w:sz w:val="16"/>
                <w:szCs w:val="16"/>
                <w:lang w:val="es-CO" w:eastAsia="es-CO"/>
              </w:rPr>
              <w:br/>
              <w:t xml:space="preserve">Plan Indicativo </w:t>
            </w:r>
            <w:r w:rsidRPr="00430487">
              <w:rPr>
                <w:rFonts w:eastAsia="Times New Roman" w:cs="Arial"/>
                <w:sz w:val="16"/>
                <w:szCs w:val="16"/>
                <w:lang w:val="es-CO" w:eastAsia="es-CO"/>
              </w:rPr>
              <w:br/>
              <w:t>PND</w:t>
            </w:r>
          </w:p>
        </w:tc>
        <w:tc>
          <w:tcPr>
            <w:tcW w:w="0" w:type="auto"/>
            <w:vMerge w:val="restart"/>
            <w:shd w:val="clear" w:color="000000" w:fill="FFF2CC"/>
            <w:vAlign w:val="center"/>
            <w:hideMark/>
          </w:tcPr>
          <w:p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adolescentes y jóvenes que egresan el último año del SRPA por cumplimiento de sanción privativa de la libertad, atendidos con estrategias post egreso o inclusión social.</w:t>
            </w:r>
          </w:p>
        </w:tc>
        <w:tc>
          <w:tcPr>
            <w:tcW w:w="0" w:type="auto"/>
            <w:vMerge w:val="restart"/>
            <w:shd w:val="clear" w:color="000000" w:fill="FFF2CC"/>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60%</w:t>
            </w:r>
          </w:p>
        </w:tc>
        <w:tc>
          <w:tcPr>
            <w:tcW w:w="0" w:type="auto"/>
            <w:vMerge w:val="restart"/>
            <w:shd w:val="clear" w:color="000000" w:fill="FFFFFF"/>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225</w:t>
            </w:r>
          </w:p>
        </w:tc>
        <w:tc>
          <w:tcPr>
            <w:tcW w:w="0" w:type="auto"/>
            <w:vMerge w:val="restart"/>
            <w:shd w:val="clear" w:color="000000" w:fill="FFFFFF"/>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450</w:t>
            </w:r>
          </w:p>
        </w:tc>
        <w:tc>
          <w:tcPr>
            <w:tcW w:w="0" w:type="auto"/>
            <w:vMerge w:val="restart"/>
            <w:shd w:val="clear" w:color="000000" w:fill="92D050"/>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50,0%</w:t>
            </w:r>
          </w:p>
        </w:tc>
        <w:tc>
          <w:tcPr>
            <w:tcW w:w="0" w:type="auto"/>
            <w:vMerge w:val="restart"/>
            <w:shd w:val="clear" w:color="auto" w:fill="auto"/>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ADECUADO</w:t>
            </w:r>
          </w:p>
        </w:tc>
      </w:tr>
      <w:tr w:rsidR="008819AE" w:rsidRPr="00430487" w:rsidTr="00430487">
        <w:trPr>
          <w:trHeight w:val="373"/>
          <w:jc w:val="center"/>
        </w:trPr>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r>
      <w:tr w:rsidR="008819AE" w:rsidRPr="00430487" w:rsidTr="00430487">
        <w:trPr>
          <w:trHeight w:val="373"/>
          <w:jc w:val="center"/>
        </w:trPr>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restart"/>
            <w:shd w:val="clear" w:color="000000" w:fill="FFF2CC"/>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PA-44</w:t>
            </w:r>
            <w:r w:rsidRPr="00430487">
              <w:rPr>
                <w:rFonts w:eastAsia="Times New Roman" w:cs="Arial"/>
                <w:sz w:val="16"/>
                <w:szCs w:val="16"/>
                <w:lang w:val="es-CO" w:eastAsia="es-CO"/>
              </w:rPr>
              <w:br/>
              <w:t xml:space="preserve">Plan Indicativo </w:t>
            </w:r>
          </w:p>
        </w:tc>
        <w:tc>
          <w:tcPr>
            <w:tcW w:w="0" w:type="auto"/>
            <w:vMerge w:val="restart"/>
            <w:shd w:val="clear" w:color="000000" w:fill="FFF2CC"/>
            <w:vAlign w:val="center"/>
            <w:hideMark/>
          </w:tcPr>
          <w:p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Regionales con la implementación de servicios para el cumplimiento de sanciones no privativas de libertad.</w:t>
            </w:r>
          </w:p>
        </w:tc>
        <w:tc>
          <w:tcPr>
            <w:tcW w:w="0" w:type="auto"/>
            <w:vMerge w:val="restart"/>
            <w:shd w:val="clear" w:color="000000" w:fill="FFF2CC"/>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75%</w:t>
            </w:r>
          </w:p>
        </w:tc>
        <w:tc>
          <w:tcPr>
            <w:tcW w:w="0" w:type="auto"/>
            <w:vMerge w:val="restart"/>
            <w:shd w:val="clear" w:color="000000" w:fill="FFFFFF"/>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24</w:t>
            </w:r>
          </w:p>
        </w:tc>
        <w:tc>
          <w:tcPr>
            <w:tcW w:w="0" w:type="auto"/>
            <w:vMerge w:val="restart"/>
            <w:shd w:val="clear" w:color="000000" w:fill="FFFFFF"/>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31</w:t>
            </w:r>
          </w:p>
        </w:tc>
        <w:tc>
          <w:tcPr>
            <w:tcW w:w="0" w:type="auto"/>
            <w:vMerge w:val="restart"/>
            <w:shd w:val="clear" w:color="000000" w:fill="00B0F0"/>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77,4%</w:t>
            </w:r>
          </w:p>
        </w:tc>
        <w:tc>
          <w:tcPr>
            <w:tcW w:w="0" w:type="auto"/>
            <w:vMerge w:val="restart"/>
            <w:shd w:val="clear" w:color="auto" w:fill="auto"/>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ÓPTIMO</w:t>
            </w:r>
          </w:p>
        </w:tc>
      </w:tr>
      <w:tr w:rsidR="008819AE" w:rsidRPr="00430487" w:rsidTr="00430487">
        <w:trPr>
          <w:trHeight w:val="373"/>
          <w:jc w:val="center"/>
        </w:trPr>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r>
      <w:tr w:rsidR="008819AE" w:rsidRPr="00430487" w:rsidTr="00430487">
        <w:trPr>
          <w:trHeight w:val="1125"/>
          <w:jc w:val="center"/>
        </w:trPr>
        <w:tc>
          <w:tcPr>
            <w:tcW w:w="0" w:type="auto"/>
            <w:vMerge/>
            <w:vAlign w:val="center"/>
            <w:hideMark/>
          </w:tcPr>
          <w:p w:rsidR="008819AE" w:rsidRPr="00430487" w:rsidRDefault="008819AE" w:rsidP="00476EF8">
            <w:pPr>
              <w:spacing w:after="120"/>
              <w:rPr>
                <w:rFonts w:eastAsia="Times New Roman" w:cs="Arial"/>
                <w:sz w:val="16"/>
                <w:szCs w:val="16"/>
                <w:lang w:val="es-CO" w:eastAsia="es-CO"/>
              </w:rPr>
            </w:pPr>
          </w:p>
        </w:tc>
        <w:tc>
          <w:tcPr>
            <w:tcW w:w="0" w:type="auto"/>
            <w:shd w:val="clear" w:color="000000" w:fill="FFF2CC"/>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PA-45</w:t>
            </w:r>
            <w:r w:rsidRPr="00430487">
              <w:rPr>
                <w:rFonts w:eastAsia="Times New Roman" w:cs="Arial"/>
                <w:sz w:val="16"/>
                <w:szCs w:val="16"/>
                <w:lang w:val="es-CO" w:eastAsia="es-CO"/>
              </w:rPr>
              <w:br/>
              <w:t xml:space="preserve">Plan Indicativo </w:t>
            </w:r>
            <w:r w:rsidRPr="00430487">
              <w:rPr>
                <w:rFonts w:eastAsia="Times New Roman" w:cs="Arial"/>
                <w:sz w:val="16"/>
                <w:szCs w:val="16"/>
                <w:lang w:val="es-CO" w:eastAsia="es-CO"/>
              </w:rPr>
              <w:br/>
              <w:t>PND</w:t>
            </w:r>
          </w:p>
        </w:tc>
        <w:tc>
          <w:tcPr>
            <w:tcW w:w="0" w:type="auto"/>
            <w:shd w:val="clear" w:color="000000" w:fill="FFF2CC"/>
            <w:vAlign w:val="center"/>
            <w:hideMark/>
          </w:tcPr>
          <w:p w:rsidR="008819AE" w:rsidRPr="00430487" w:rsidRDefault="008819AE" w:rsidP="00476EF8">
            <w:pPr>
              <w:spacing w:after="120"/>
              <w:jc w:val="both"/>
              <w:rPr>
                <w:rFonts w:eastAsia="Times New Roman" w:cs="Arial"/>
                <w:sz w:val="16"/>
                <w:szCs w:val="16"/>
                <w:lang w:val="es-CO" w:eastAsia="es-CO"/>
              </w:rPr>
            </w:pPr>
            <w:r w:rsidRPr="00430487">
              <w:rPr>
                <w:rFonts w:eastAsia="Times New Roman" w:cs="Arial"/>
                <w:sz w:val="16"/>
                <w:szCs w:val="16"/>
                <w:lang w:val="es-CO" w:eastAsia="es-CO"/>
              </w:rPr>
              <w:t>Porcentaje de Unidades de Servicio de Atención a adolescentes y jóvenes del Sistema de Responsabilidad Penal - SRPA, con implementación de procesos de formación en prácticas restaurativas</w:t>
            </w:r>
          </w:p>
        </w:tc>
        <w:tc>
          <w:tcPr>
            <w:tcW w:w="0" w:type="auto"/>
            <w:shd w:val="clear" w:color="000000" w:fill="FFF2CC"/>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84%</w:t>
            </w:r>
          </w:p>
        </w:tc>
        <w:tc>
          <w:tcPr>
            <w:tcW w:w="0" w:type="auto"/>
            <w:shd w:val="clear" w:color="000000" w:fill="FFFFFF"/>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78</w:t>
            </w:r>
          </w:p>
        </w:tc>
        <w:tc>
          <w:tcPr>
            <w:tcW w:w="0" w:type="auto"/>
            <w:shd w:val="clear" w:color="000000" w:fill="FFFFFF"/>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92</w:t>
            </w:r>
          </w:p>
        </w:tc>
        <w:tc>
          <w:tcPr>
            <w:tcW w:w="0" w:type="auto"/>
            <w:shd w:val="clear" w:color="000000" w:fill="00B0F0"/>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84,8%</w:t>
            </w:r>
          </w:p>
        </w:tc>
        <w:tc>
          <w:tcPr>
            <w:tcW w:w="0" w:type="auto"/>
            <w:shd w:val="clear" w:color="auto" w:fill="auto"/>
            <w:noWrap/>
            <w:vAlign w:val="center"/>
            <w:hideMark/>
          </w:tcPr>
          <w:p w:rsidR="008819AE" w:rsidRPr="00430487" w:rsidRDefault="008819AE" w:rsidP="00476EF8">
            <w:pPr>
              <w:spacing w:after="120"/>
              <w:jc w:val="center"/>
              <w:rPr>
                <w:rFonts w:eastAsia="Times New Roman" w:cs="Arial"/>
                <w:sz w:val="16"/>
                <w:szCs w:val="16"/>
                <w:lang w:val="es-CO" w:eastAsia="es-CO"/>
              </w:rPr>
            </w:pPr>
            <w:r w:rsidRPr="00430487">
              <w:rPr>
                <w:rFonts w:eastAsia="Times New Roman" w:cs="Arial"/>
                <w:sz w:val="16"/>
                <w:szCs w:val="16"/>
                <w:lang w:val="es-CO" w:eastAsia="es-CO"/>
              </w:rPr>
              <w:t>ÓPTIMO</w:t>
            </w:r>
          </w:p>
        </w:tc>
      </w:tr>
    </w:tbl>
    <w:p w:rsidR="008819AE" w:rsidRPr="00430487" w:rsidRDefault="008819AE" w:rsidP="008819AE">
      <w:pPr>
        <w:jc w:val="center"/>
        <w:rPr>
          <w:rFonts w:cs="Arial"/>
          <w:sz w:val="16"/>
          <w:szCs w:val="16"/>
        </w:rPr>
      </w:pPr>
      <w:r w:rsidRPr="00430487">
        <w:rPr>
          <w:rFonts w:cs="Arial"/>
          <w:sz w:val="16"/>
          <w:szCs w:val="16"/>
        </w:rPr>
        <w:t>Fuente: Dirección de Protección- Instituto Colombiano de Bienestar Familiar.</w:t>
      </w:r>
    </w:p>
    <w:p w:rsidR="008819AE" w:rsidRPr="007608C2" w:rsidRDefault="008819AE" w:rsidP="008819AE">
      <w:pPr>
        <w:jc w:val="both"/>
        <w:rPr>
          <w:rFonts w:cs="Arial"/>
          <w:b/>
        </w:rPr>
      </w:pPr>
      <w:r w:rsidRPr="007608C2">
        <w:rPr>
          <w:rFonts w:cs="Arial"/>
        </w:rPr>
        <w:t xml:space="preserve">Frente al PA-37 el indicador se encuentra en riesgos; sin embargo, su cumplimiento real es en estado adecuado, debido a que al momento del último reporte algunas regionales no allegaron las evidencias oportunamente.  Los indicadores M5-PM2-01 Y M5-PM2-03 se encuentran con plan de mejoramiento por parte de la Subdirección de Restablecimiento de Derechos. </w:t>
      </w:r>
    </w:p>
    <w:p w:rsidR="008819AE" w:rsidRPr="007608C2" w:rsidRDefault="008819AE" w:rsidP="008819AE">
      <w:pPr>
        <w:rPr>
          <w:rFonts w:cs="Arial"/>
          <w:b/>
        </w:rPr>
      </w:pPr>
      <w:r w:rsidRPr="007608C2">
        <w:rPr>
          <w:rFonts w:cs="Arial"/>
          <w:b/>
        </w:rPr>
        <w:t>Presupuesto</w:t>
      </w:r>
    </w:p>
    <w:p w:rsidR="008819AE" w:rsidRPr="007608C2" w:rsidRDefault="008819AE" w:rsidP="008819AE">
      <w:pPr>
        <w:jc w:val="both"/>
        <w:rPr>
          <w:rFonts w:cs="Arial"/>
        </w:rPr>
      </w:pPr>
      <w:r w:rsidRPr="007608C2">
        <w:rPr>
          <w:rFonts w:cs="Arial"/>
        </w:rPr>
        <w:t>Con el propósito de lograr el cumplimiento de las Metas Sociales y Financieras – MSYF- establecidas, desde la Dirección de Protección se adelantaron las siguientes estrategias de seguimiento con las regionales:</w:t>
      </w:r>
    </w:p>
    <w:p w:rsidR="008819AE" w:rsidRDefault="008819AE" w:rsidP="00A44A2B">
      <w:pPr>
        <w:pStyle w:val="Prrafodelista"/>
        <w:numPr>
          <w:ilvl w:val="0"/>
          <w:numId w:val="62"/>
        </w:numPr>
        <w:spacing w:after="0"/>
        <w:jc w:val="both"/>
        <w:rPr>
          <w:rFonts w:cs="Arial"/>
        </w:rPr>
      </w:pPr>
      <w:r w:rsidRPr="007608C2">
        <w:rPr>
          <w:rFonts w:cs="Arial"/>
        </w:rPr>
        <w:t>Seguimiento mensual a inejecuciones de MSYF: se envió mensualmente a las Direcciones Regionales el reporte de ejecución de metas sociales y financieras por modalidad para que cada una realizara una justificación de las inejecuciones presentadas durante el mes y los ajustes en metas a los que haya lugar.</w:t>
      </w:r>
    </w:p>
    <w:p w:rsidR="00E025CD" w:rsidRPr="007608C2" w:rsidRDefault="00E025CD" w:rsidP="00E025CD">
      <w:pPr>
        <w:pStyle w:val="Prrafodelista"/>
        <w:spacing w:after="0"/>
        <w:ind w:left="720"/>
        <w:jc w:val="both"/>
        <w:rPr>
          <w:rFonts w:cs="Arial"/>
        </w:rPr>
      </w:pPr>
    </w:p>
    <w:p w:rsidR="008819AE" w:rsidRDefault="008819AE" w:rsidP="00A44A2B">
      <w:pPr>
        <w:pStyle w:val="Prrafodelista"/>
        <w:numPr>
          <w:ilvl w:val="0"/>
          <w:numId w:val="62"/>
        </w:numPr>
        <w:spacing w:after="0"/>
        <w:jc w:val="both"/>
        <w:rPr>
          <w:rFonts w:cs="Arial"/>
        </w:rPr>
      </w:pPr>
      <w:r w:rsidRPr="007608C2">
        <w:rPr>
          <w:rFonts w:cs="Arial"/>
        </w:rPr>
        <w:t>Seguimiento trimestral a ejecuciones de cupos contratados – videoconferencias regionales: se realizaron trimestralmente reuniones virtuales con las direcciones regionales y los coordinadores de protección o de asistencia técnica, para revisar la ejecución de cupos de cada uno de los contratos de aporte suscritos para atender las modalidades de protección. En estas se establecieron unos compromisos para evitar las inejecuciones y realizar las modificaciones a las que haya lugar. Así mismo, se realizó seguimiento a las liquidaciones parciales de estos contratos con el fin de liberar recursos no ejecutados.</w:t>
      </w:r>
    </w:p>
    <w:p w:rsidR="00E025CD" w:rsidRPr="00E025CD" w:rsidRDefault="00E025CD" w:rsidP="00E025CD">
      <w:pPr>
        <w:spacing w:after="0"/>
        <w:jc w:val="both"/>
        <w:rPr>
          <w:rFonts w:cs="Arial"/>
        </w:rPr>
      </w:pPr>
    </w:p>
    <w:p w:rsidR="008819AE" w:rsidRPr="007608C2" w:rsidRDefault="008819AE" w:rsidP="00A44A2B">
      <w:pPr>
        <w:pStyle w:val="Prrafodelista"/>
        <w:numPr>
          <w:ilvl w:val="0"/>
          <w:numId w:val="62"/>
        </w:numPr>
        <w:spacing w:after="0"/>
        <w:jc w:val="both"/>
        <w:rPr>
          <w:rFonts w:cs="Arial"/>
        </w:rPr>
      </w:pPr>
      <w:r w:rsidRPr="007608C2">
        <w:rPr>
          <w:rFonts w:cs="Arial"/>
        </w:rPr>
        <w:t>Contracréditos permanentes de saldos no ejecutados: teniendo en cuenta que la meta para esta vigencia es no tener pérdida de apropiación y lograr la mayor ejecución posible, se realizó de manera permanente contracréditos de los recursos no ejecutados.</w:t>
      </w:r>
    </w:p>
    <w:p w:rsidR="008819AE" w:rsidRPr="007608C2" w:rsidRDefault="008819AE" w:rsidP="008819AE">
      <w:pPr>
        <w:spacing w:before="240"/>
        <w:jc w:val="both"/>
        <w:rPr>
          <w:rFonts w:cs="Arial"/>
        </w:rPr>
      </w:pPr>
      <w:r w:rsidRPr="007608C2">
        <w:rPr>
          <w:rFonts w:cs="Arial"/>
        </w:rPr>
        <w:lastRenderedPageBreak/>
        <w:t>El presupuesto asignado para la vigencia 2017 fue:</w:t>
      </w:r>
    </w:p>
    <w:tbl>
      <w:tblPr>
        <w:tblW w:w="6817" w:type="dxa"/>
        <w:jc w:val="center"/>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CellMar>
          <w:left w:w="70" w:type="dxa"/>
          <w:right w:w="70" w:type="dxa"/>
        </w:tblCellMar>
        <w:tblLook w:val="04A0" w:firstRow="1" w:lastRow="0" w:firstColumn="1" w:lastColumn="0" w:noHBand="0" w:noVBand="1"/>
      </w:tblPr>
      <w:tblGrid>
        <w:gridCol w:w="2272"/>
        <w:gridCol w:w="2372"/>
        <w:gridCol w:w="2173"/>
      </w:tblGrid>
      <w:tr w:rsidR="008819AE" w:rsidRPr="007608C2" w:rsidTr="00E025CD">
        <w:trPr>
          <w:trHeight w:val="300"/>
          <w:jc w:val="center"/>
        </w:trPr>
        <w:tc>
          <w:tcPr>
            <w:tcW w:w="2272" w:type="dxa"/>
            <w:shd w:val="clear" w:color="auto" w:fill="76922E"/>
            <w:noWrap/>
            <w:vAlign w:val="bottom"/>
            <w:hideMark/>
          </w:tcPr>
          <w:p w:rsidR="008819AE" w:rsidRPr="00E025CD" w:rsidRDefault="008819AE" w:rsidP="00476EF8">
            <w:pPr>
              <w:spacing w:after="0"/>
              <w:jc w:val="center"/>
              <w:rPr>
                <w:rFonts w:cs="Arial"/>
                <w:b/>
                <w:color w:val="FFFFFF" w:themeColor="background1"/>
                <w:sz w:val="20"/>
              </w:rPr>
            </w:pPr>
            <w:r w:rsidRPr="00E025CD">
              <w:rPr>
                <w:rFonts w:cs="Arial"/>
                <w:b/>
                <w:color w:val="FFFFFF" w:themeColor="background1"/>
                <w:sz w:val="20"/>
              </w:rPr>
              <w:t>Apropiación vigente</w:t>
            </w:r>
          </w:p>
        </w:tc>
        <w:tc>
          <w:tcPr>
            <w:tcW w:w="2372" w:type="dxa"/>
            <w:shd w:val="clear" w:color="auto" w:fill="76922E"/>
            <w:noWrap/>
            <w:vAlign w:val="bottom"/>
            <w:hideMark/>
          </w:tcPr>
          <w:p w:rsidR="008819AE" w:rsidRPr="00E025CD" w:rsidRDefault="008819AE" w:rsidP="00476EF8">
            <w:pPr>
              <w:spacing w:after="0"/>
              <w:jc w:val="center"/>
              <w:rPr>
                <w:rFonts w:cs="Arial"/>
                <w:b/>
                <w:color w:val="FFFFFF" w:themeColor="background1"/>
                <w:sz w:val="20"/>
              </w:rPr>
            </w:pPr>
            <w:r w:rsidRPr="00E025CD">
              <w:rPr>
                <w:rFonts w:cs="Arial"/>
                <w:b/>
                <w:color w:val="FFFFFF" w:themeColor="background1"/>
                <w:sz w:val="20"/>
              </w:rPr>
              <w:t>Compromiso</w:t>
            </w:r>
          </w:p>
        </w:tc>
        <w:tc>
          <w:tcPr>
            <w:tcW w:w="2173" w:type="dxa"/>
            <w:shd w:val="clear" w:color="auto" w:fill="76922E"/>
            <w:noWrap/>
            <w:vAlign w:val="bottom"/>
            <w:hideMark/>
          </w:tcPr>
          <w:p w:rsidR="008819AE" w:rsidRPr="00E025CD" w:rsidRDefault="008819AE" w:rsidP="00476EF8">
            <w:pPr>
              <w:spacing w:after="0"/>
              <w:jc w:val="center"/>
              <w:rPr>
                <w:rFonts w:cs="Arial"/>
                <w:b/>
                <w:color w:val="FFFFFF" w:themeColor="background1"/>
                <w:sz w:val="20"/>
              </w:rPr>
            </w:pPr>
            <w:r w:rsidRPr="00E025CD">
              <w:rPr>
                <w:rFonts w:cs="Arial"/>
                <w:b/>
                <w:color w:val="FFFFFF" w:themeColor="background1"/>
                <w:sz w:val="20"/>
              </w:rPr>
              <w:t>Obligación</w:t>
            </w:r>
          </w:p>
        </w:tc>
      </w:tr>
      <w:tr w:rsidR="008819AE" w:rsidRPr="007608C2" w:rsidTr="00E025CD">
        <w:trPr>
          <w:trHeight w:val="300"/>
          <w:jc w:val="center"/>
        </w:trPr>
        <w:tc>
          <w:tcPr>
            <w:tcW w:w="2272" w:type="dxa"/>
            <w:shd w:val="clear" w:color="auto" w:fill="FFFFFF" w:themeFill="background1"/>
            <w:noWrap/>
            <w:vAlign w:val="bottom"/>
            <w:hideMark/>
          </w:tcPr>
          <w:p w:rsidR="008819AE" w:rsidRPr="007608C2" w:rsidRDefault="008819AE" w:rsidP="00476EF8">
            <w:pPr>
              <w:spacing w:after="0"/>
              <w:rPr>
                <w:rFonts w:cs="Arial"/>
                <w:sz w:val="20"/>
              </w:rPr>
            </w:pPr>
            <w:r w:rsidRPr="007608C2">
              <w:rPr>
                <w:rFonts w:cs="Arial"/>
                <w:sz w:val="20"/>
              </w:rPr>
              <w:t xml:space="preserve">     935.922.164.333,00 </w:t>
            </w:r>
          </w:p>
        </w:tc>
        <w:tc>
          <w:tcPr>
            <w:tcW w:w="2372" w:type="dxa"/>
            <w:shd w:val="clear" w:color="auto" w:fill="FFFFFF" w:themeFill="background1"/>
            <w:noWrap/>
            <w:vAlign w:val="bottom"/>
            <w:hideMark/>
          </w:tcPr>
          <w:p w:rsidR="008819AE" w:rsidRPr="007608C2" w:rsidRDefault="008819AE" w:rsidP="00476EF8">
            <w:pPr>
              <w:spacing w:after="0"/>
              <w:rPr>
                <w:rFonts w:cs="Arial"/>
                <w:sz w:val="20"/>
              </w:rPr>
            </w:pPr>
            <w:r w:rsidRPr="007608C2">
              <w:rPr>
                <w:rFonts w:cs="Arial"/>
                <w:sz w:val="20"/>
              </w:rPr>
              <w:t xml:space="preserve">      929.867.405.686,90 </w:t>
            </w:r>
          </w:p>
        </w:tc>
        <w:tc>
          <w:tcPr>
            <w:tcW w:w="2173" w:type="dxa"/>
            <w:shd w:val="clear" w:color="auto" w:fill="FFFFFF" w:themeFill="background1"/>
            <w:noWrap/>
            <w:vAlign w:val="bottom"/>
            <w:hideMark/>
          </w:tcPr>
          <w:p w:rsidR="008819AE" w:rsidRPr="007608C2" w:rsidRDefault="008819AE" w:rsidP="00476EF8">
            <w:pPr>
              <w:spacing w:after="0"/>
              <w:rPr>
                <w:rFonts w:cs="Arial"/>
                <w:sz w:val="20"/>
              </w:rPr>
            </w:pPr>
            <w:r w:rsidRPr="007608C2">
              <w:rPr>
                <w:rFonts w:cs="Arial"/>
                <w:sz w:val="20"/>
              </w:rPr>
              <w:t xml:space="preserve">    863.241.598.783,80 </w:t>
            </w:r>
          </w:p>
        </w:tc>
      </w:tr>
    </w:tbl>
    <w:p w:rsidR="008819AE" w:rsidRPr="007608C2" w:rsidRDefault="008819AE" w:rsidP="00E14FAF">
      <w:pPr>
        <w:jc w:val="center"/>
        <w:rPr>
          <w:rFonts w:cs="Arial"/>
          <w:sz w:val="18"/>
        </w:rPr>
      </w:pPr>
      <w:r w:rsidRPr="007608C2">
        <w:rPr>
          <w:rFonts w:cs="Arial"/>
          <w:sz w:val="16"/>
        </w:rPr>
        <w:t>Fuente: SIIF Nación, consulta 28 de diciembre de 2017</w:t>
      </w:r>
    </w:p>
    <w:p w:rsidR="008819AE" w:rsidRPr="007608C2" w:rsidRDefault="008819AE" w:rsidP="000D0DF1">
      <w:pPr>
        <w:keepNext/>
        <w:keepLines/>
        <w:numPr>
          <w:ilvl w:val="2"/>
          <w:numId w:val="160"/>
        </w:numPr>
        <w:spacing w:before="40"/>
        <w:outlineLvl w:val="1"/>
        <w:rPr>
          <w:rFonts w:eastAsiaTheme="majorEastAsia" w:cs="Arial"/>
          <w:b/>
          <w:szCs w:val="26"/>
        </w:rPr>
      </w:pPr>
      <w:bookmarkStart w:id="105" w:name="_Toc503465519"/>
      <w:bookmarkStart w:id="106" w:name="_Toc505183068"/>
      <w:r w:rsidRPr="007608C2">
        <w:rPr>
          <w:rFonts w:eastAsiaTheme="majorEastAsia" w:cs="Arial"/>
          <w:b/>
          <w:szCs w:val="26"/>
        </w:rPr>
        <w:t>LOGROS 2017</w:t>
      </w:r>
      <w:bookmarkEnd w:id="105"/>
      <w:bookmarkEnd w:id="106"/>
    </w:p>
    <w:p w:rsidR="008819AE" w:rsidRPr="007608C2" w:rsidRDefault="008819AE" w:rsidP="008819AE">
      <w:pPr>
        <w:rPr>
          <w:rFonts w:cs="Arial"/>
          <w:b/>
        </w:rPr>
      </w:pPr>
      <w:r w:rsidRPr="007608C2">
        <w:rPr>
          <w:rFonts w:cs="Arial"/>
          <w:b/>
        </w:rPr>
        <w:t>Subdirección de Adopciones</w:t>
      </w:r>
    </w:p>
    <w:p w:rsidR="008819AE" w:rsidRDefault="008819AE" w:rsidP="00A44A2B">
      <w:pPr>
        <w:pStyle w:val="Prrafodelista"/>
        <w:numPr>
          <w:ilvl w:val="0"/>
          <w:numId w:val="134"/>
        </w:numPr>
        <w:spacing w:after="0"/>
        <w:jc w:val="both"/>
        <w:rPr>
          <w:rFonts w:cs="Arial"/>
        </w:rPr>
      </w:pPr>
      <w:r w:rsidRPr="007608C2">
        <w:rPr>
          <w:rFonts w:cs="Arial"/>
        </w:rPr>
        <w:t>2.183 niños, niñas y adolescentes presentados a los comités de Adopciones en 2017, lo que representa un 33% más que en el año 2016.</w:t>
      </w:r>
    </w:p>
    <w:p w:rsidR="00E025CD" w:rsidRPr="007608C2" w:rsidRDefault="00E025CD" w:rsidP="00E025CD">
      <w:pPr>
        <w:pStyle w:val="Prrafodelista"/>
        <w:spacing w:after="0"/>
        <w:ind w:left="360"/>
        <w:jc w:val="both"/>
        <w:rPr>
          <w:rFonts w:cs="Arial"/>
        </w:rPr>
      </w:pPr>
    </w:p>
    <w:p w:rsidR="008819AE" w:rsidRDefault="008819AE" w:rsidP="00A44A2B">
      <w:pPr>
        <w:pStyle w:val="Prrafodelista"/>
        <w:numPr>
          <w:ilvl w:val="0"/>
          <w:numId w:val="134"/>
        </w:numPr>
        <w:spacing w:after="0"/>
        <w:jc w:val="both"/>
        <w:rPr>
          <w:rFonts w:cs="Arial"/>
        </w:rPr>
      </w:pPr>
      <w:r w:rsidRPr="007608C2">
        <w:rPr>
          <w:rFonts w:cs="Arial"/>
        </w:rPr>
        <w:t>1.263 niños, niñas y adolescentes fueron adoptados, presentado un incremento del 7% con relación al año 2016.  Entre el 2015 y 2017, 3.462 niños, niñas y adolescentes tienen una familia asignada.</w:t>
      </w:r>
    </w:p>
    <w:p w:rsidR="00E025CD" w:rsidRPr="00E025CD" w:rsidRDefault="00E025CD" w:rsidP="00E025CD">
      <w:pPr>
        <w:spacing w:after="0"/>
        <w:jc w:val="both"/>
        <w:rPr>
          <w:rFonts w:cs="Arial"/>
        </w:rPr>
      </w:pPr>
    </w:p>
    <w:p w:rsidR="008819AE" w:rsidRDefault="008819AE" w:rsidP="00A44A2B">
      <w:pPr>
        <w:pStyle w:val="Prrafodelista"/>
        <w:numPr>
          <w:ilvl w:val="0"/>
          <w:numId w:val="134"/>
        </w:numPr>
        <w:spacing w:after="0"/>
        <w:jc w:val="both"/>
        <w:rPr>
          <w:rFonts w:cs="Arial"/>
        </w:rPr>
      </w:pPr>
      <w:r w:rsidRPr="007608C2">
        <w:rPr>
          <w:rFonts w:cs="Arial"/>
        </w:rPr>
        <w:t>Al 75% de los niños, niñas y adolescentes con características y necesidades especiales presentadas a los Comités de Adopciones, se les fue asignado familia adoptiva, beneficiando a 1.817 niños, niñas y adolescentes entre el 2015 y 2017.</w:t>
      </w:r>
    </w:p>
    <w:p w:rsidR="00E025CD" w:rsidRPr="00E025CD" w:rsidRDefault="00E025CD" w:rsidP="00E025CD">
      <w:pPr>
        <w:spacing w:after="0"/>
        <w:jc w:val="both"/>
        <w:rPr>
          <w:rFonts w:cs="Arial"/>
        </w:rPr>
      </w:pPr>
    </w:p>
    <w:p w:rsidR="008819AE" w:rsidRDefault="008819AE" w:rsidP="00A44A2B">
      <w:pPr>
        <w:pStyle w:val="Prrafodelista"/>
        <w:numPr>
          <w:ilvl w:val="0"/>
          <w:numId w:val="134"/>
        </w:numPr>
        <w:spacing w:after="0"/>
        <w:jc w:val="both"/>
        <w:rPr>
          <w:rFonts w:cs="Arial"/>
        </w:rPr>
      </w:pPr>
      <w:r w:rsidRPr="007608C2">
        <w:rPr>
          <w:rFonts w:cs="Arial"/>
        </w:rPr>
        <w:t>167 niños, niñas y adolescentes fueron beneficiados de la estrategia ‘Vacaciones en el extranjero’. 5 niños fueron adoptados en el marco de esta iniciativa y 80 cartas de intención se han recibido.</w:t>
      </w:r>
    </w:p>
    <w:p w:rsidR="00E025CD" w:rsidRPr="00E025CD" w:rsidRDefault="00E025CD" w:rsidP="00E025CD">
      <w:pPr>
        <w:spacing w:after="0"/>
        <w:jc w:val="both"/>
        <w:rPr>
          <w:rFonts w:cs="Arial"/>
        </w:rPr>
      </w:pPr>
    </w:p>
    <w:p w:rsidR="008819AE" w:rsidRDefault="008819AE" w:rsidP="00A44A2B">
      <w:pPr>
        <w:pStyle w:val="Prrafodelista"/>
        <w:numPr>
          <w:ilvl w:val="0"/>
          <w:numId w:val="134"/>
        </w:numPr>
        <w:spacing w:after="0"/>
        <w:jc w:val="both"/>
        <w:rPr>
          <w:rFonts w:cs="Arial"/>
        </w:rPr>
      </w:pPr>
      <w:r w:rsidRPr="007608C2">
        <w:rPr>
          <w:rFonts w:cs="Arial"/>
        </w:rPr>
        <w:t>518 niños, niñas y adolescentes cuentan con referente afectivo en el marco de la estrategia «Súper Amigos», en las regionales Antioquia, Caldas, Risaralda, Tolima, Bogotá, Huila, Caquetá, Quindío, Santander, Nariño, Valle, Sucre, Bolívar, Magdalena, Atlántico, Córdoba, Casanare y Boyacá.</w:t>
      </w:r>
    </w:p>
    <w:p w:rsidR="00E025CD" w:rsidRPr="00E025CD" w:rsidRDefault="00E025CD" w:rsidP="00E025CD">
      <w:pPr>
        <w:spacing w:after="0"/>
        <w:jc w:val="both"/>
        <w:rPr>
          <w:rFonts w:cs="Arial"/>
        </w:rPr>
      </w:pPr>
    </w:p>
    <w:p w:rsidR="008819AE" w:rsidRPr="007608C2" w:rsidRDefault="008819AE" w:rsidP="00A44A2B">
      <w:pPr>
        <w:pStyle w:val="Prrafodelista"/>
        <w:numPr>
          <w:ilvl w:val="0"/>
          <w:numId w:val="134"/>
        </w:numPr>
        <w:spacing w:after="0"/>
        <w:jc w:val="both"/>
        <w:rPr>
          <w:rFonts w:cs="Arial"/>
        </w:rPr>
      </w:pPr>
      <w:r w:rsidRPr="007608C2">
        <w:rPr>
          <w:rFonts w:cs="Arial"/>
        </w:rPr>
        <w:t>Se adelantaron 54 asistencias técnicas y 3 eventos, con la participación 2.040 servidores y colaboradores del ICBF.</w:t>
      </w:r>
    </w:p>
    <w:p w:rsidR="008819AE" w:rsidRPr="007608C2" w:rsidRDefault="008819AE" w:rsidP="008819AE">
      <w:pPr>
        <w:spacing w:before="240"/>
        <w:rPr>
          <w:rFonts w:cs="Arial"/>
          <w:b/>
        </w:rPr>
      </w:pPr>
      <w:r w:rsidRPr="007608C2">
        <w:rPr>
          <w:rFonts w:cs="Arial"/>
          <w:b/>
        </w:rPr>
        <w:t>Subdirección de Responsabilidad Penal para Adolescentes:</w:t>
      </w:r>
    </w:p>
    <w:p w:rsidR="008819AE" w:rsidRDefault="008819AE" w:rsidP="00A44A2B">
      <w:pPr>
        <w:pStyle w:val="Prrafodelista"/>
        <w:numPr>
          <w:ilvl w:val="0"/>
          <w:numId w:val="135"/>
        </w:numPr>
        <w:spacing w:after="0"/>
        <w:jc w:val="both"/>
        <w:rPr>
          <w:rFonts w:cs="Arial"/>
        </w:rPr>
      </w:pPr>
      <w:r w:rsidRPr="007608C2">
        <w:rPr>
          <w:rFonts w:cs="Arial"/>
        </w:rPr>
        <w:t>33 regionales con asistencia técnica integral para la implementación del modelo de atención SRPA, donde se capacitaron 1.280 funcionarios defensoría de familia, operadores y líderes del sistema.</w:t>
      </w:r>
    </w:p>
    <w:p w:rsidR="00E025CD" w:rsidRPr="00E025CD" w:rsidRDefault="00E025CD" w:rsidP="00E025CD">
      <w:pPr>
        <w:spacing w:after="0"/>
        <w:jc w:val="both"/>
        <w:rPr>
          <w:rFonts w:cs="Arial"/>
        </w:rPr>
      </w:pPr>
    </w:p>
    <w:p w:rsidR="008819AE" w:rsidRDefault="008819AE" w:rsidP="00A44A2B">
      <w:pPr>
        <w:pStyle w:val="Prrafodelista"/>
        <w:numPr>
          <w:ilvl w:val="0"/>
          <w:numId w:val="135"/>
        </w:numPr>
        <w:spacing w:after="0"/>
        <w:jc w:val="both"/>
        <w:rPr>
          <w:rFonts w:cs="Arial"/>
        </w:rPr>
      </w:pPr>
      <w:r w:rsidRPr="007608C2">
        <w:rPr>
          <w:rFonts w:cs="Arial"/>
        </w:rPr>
        <w:t xml:space="preserve">10 regionales (Bolívar, Quindío, Cesar, caldas, Caquetá, Valle del Cauca, Santander, Casanare, Boyacá y Putumayo) con asistencia técnica en el proceso de implementación de prácticas restaurativas. </w:t>
      </w:r>
      <w:r w:rsidR="00E025CD">
        <w:rPr>
          <w:rFonts w:cs="Arial"/>
        </w:rPr>
        <w:t>Participaron 380 profesionales.</w:t>
      </w:r>
    </w:p>
    <w:p w:rsidR="00E025CD" w:rsidRPr="00E025CD" w:rsidRDefault="00E025CD" w:rsidP="00E025CD">
      <w:pPr>
        <w:spacing w:after="0"/>
        <w:jc w:val="both"/>
        <w:rPr>
          <w:rFonts w:cs="Arial"/>
        </w:rPr>
      </w:pPr>
    </w:p>
    <w:p w:rsidR="008819AE" w:rsidRDefault="008819AE" w:rsidP="00A44A2B">
      <w:pPr>
        <w:pStyle w:val="Prrafodelista"/>
        <w:numPr>
          <w:ilvl w:val="0"/>
          <w:numId w:val="135"/>
        </w:numPr>
        <w:spacing w:after="0"/>
        <w:jc w:val="both"/>
        <w:rPr>
          <w:rFonts w:cs="Arial"/>
        </w:rPr>
      </w:pPr>
      <w:r w:rsidRPr="007608C2">
        <w:rPr>
          <w:rFonts w:cs="Arial"/>
        </w:rPr>
        <w:t>605 adolescentes y jóvenes en procesos de educación (formación para el trabajo y desarrollo humano y educación superior).</w:t>
      </w:r>
    </w:p>
    <w:p w:rsidR="00E025CD" w:rsidRPr="00E025CD" w:rsidRDefault="00E025CD" w:rsidP="00E025CD">
      <w:pPr>
        <w:spacing w:after="0"/>
        <w:jc w:val="both"/>
        <w:rPr>
          <w:rFonts w:cs="Arial"/>
        </w:rPr>
      </w:pPr>
    </w:p>
    <w:p w:rsidR="008819AE" w:rsidRDefault="008819AE" w:rsidP="00A44A2B">
      <w:pPr>
        <w:pStyle w:val="Prrafodelista"/>
        <w:numPr>
          <w:ilvl w:val="0"/>
          <w:numId w:val="135"/>
        </w:numPr>
        <w:spacing w:after="0"/>
        <w:jc w:val="both"/>
        <w:rPr>
          <w:rFonts w:cs="Arial"/>
        </w:rPr>
      </w:pPr>
      <w:r w:rsidRPr="007608C2">
        <w:rPr>
          <w:rFonts w:cs="Arial"/>
        </w:rPr>
        <w:t>307 jóvenes del SRPA vinculados laboralmente a través de la estrategia de vinculación laboral.</w:t>
      </w:r>
    </w:p>
    <w:p w:rsidR="00E025CD" w:rsidRPr="00E025CD" w:rsidRDefault="00E025CD" w:rsidP="00E025CD">
      <w:pPr>
        <w:spacing w:after="0"/>
        <w:jc w:val="both"/>
        <w:rPr>
          <w:rFonts w:cs="Arial"/>
        </w:rPr>
      </w:pPr>
    </w:p>
    <w:p w:rsidR="008819AE" w:rsidRDefault="008819AE" w:rsidP="00A44A2B">
      <w:pPr>
        <w:pStyle w:val="Prrafodelista"/>
        <w:numPr>
          <w:ilvl w:val="0"/>
          <w:numId w:val="135"/>
        </w:numPr>
        <w:spacing w:after="0"/>
        <w:jc w:val="both"/>
        <w:rPr>
          <w:rFonts w:cs="Arial"/>
        </w:rPr>
      </w:pPr>
      <w:r w:rsidRPr="007608C2">
        <w:rPr>
          <w:rFonts w:cs="Arial"/>
        </w:rPr>
        <w:t>12 regionales con procesos de fortalecimiento de los educadores y psicosociales de las Instituciones de PARD y SRPA, bajo el programa Familias con Bienestar, donde participaron aproximadamente 300 profesionales.</w:t>
      </w:r>
    </w:p>
    <w:p w:rsidR="00E025CD" w:rsidRPr="00E025CD" w:rsidRDefault="00E025CD" w:rsidP="00E025CD">
      <w:pPr>
        <w:spacing w:after="0"/>
        <w:jc w:val="both"/>
        <w:rPr>
          <w:rFonts w:cs="Arial"/>
        </w:rPr>
      </w:pPr>
    </w:p>
    <w:p w:rsidR="008819AE" w:rsidRDefault="008819AE" w:rsidP="00A44A2B">
      <w:pPr>
        <w:pStyle w:val="Prrafodelista"/>
        <w:numPr>
          <w:ilvl w:val="0"/>
          <w:numId w:val="135"/>
        </w:numPr>
        <w:spacing w:after="0"/>
        <w:jc w:val="both"/>
        <w:rPr>
          <w:rFonts w:cs="Arial"/>
        </w:rPr>
      </w:pPr>
      <w:r w:rsidRPr="007608C2">
        <w:rPr>
          <w:rFonts w:cs="Arial"/>
        </w:rPr>
        <w:t>9.575 familias intervenidas en el proceso de focalización y vinculación de familias de protección.</w:t>
      </w:r>
    </w:p>
    <w:p w:rsidR="00E025CD" w:rsidRPr="007608C2" w:rsidRDefault="00E025CD" w:rsidP="00E025CD">
      <w:pPr>
        <w:pStyle w:val="Prrafodelista"/>
        <w:spacing w:after="0"/>
        <w:ind w:left="360"/>
        <w:jc w:val="both"/>
        <w:rPr>
          <w:rFonts w:cs="Arial"/>
        </w:rPr>
      </w:pPr>
    </w:p>
    <w:p w:rsidR="008819AE" w:rsidRDefault="008819AE" w:rsidP="00A44A2B">
      <w:pPr>
        <w:pStyle w:val="Prrafodelista"/>
        <w:numPr>
          <w:ilvl w:val="0"/>
          <w:numId w:val="135"/>
        </w:numPr>
        <w:spacing w:after="0"/>
        <w:jc w:val="both"/>
        <w:rPr>
          <w:rFonts w:cs="Arial"/>
        </w:rPr>
      </w:pPr>
      <w:r w:rsidRPr="007608C2">
        <w:rPr>
          <w:rFonts w:cs="Arial"/>
        </w:rPr>
        <w:t>14 regionales formadas en temas de salud y con rutas de articulación para la gestión y movilización de servicios de atención en salud para las poblaciones especiales en las que se encuentra los adolescentes y jóvenes del SRPA. Se contó con 210 participantes.</w:t>
      </w:r>
    </w:p>
    <w:p w:rsidR="00E025CD" w:rsidRPr="00E025CD" w:rsidRDefault="00E025CD" w:rsidP="00E025CD">
      <w:pPr>
        <w:spacing w:after="0"/>
        <w:jc w:val="both"/>
        <w:rPr>
          <w:rFonts w:cs="Arial"/>
        </w:rPr>
      </w:pPr>
    </w:p>
    <w:p w:rsidR="008819AE" w:rsidRDefault="008819AE" w:rsidP="00A44A2B">
      <w:pPr>
        <w:pStyle w:val="Prrafodelista"/>
        <w:numPr>
          <w:ilvl w:val="0"/>
          <w:numId w:val="135"/>
        </w:numPr>
        <w:spacing w:after="0"/>
        <w:jc w:val="both"/>
        <w:rPr>
          <w:rFonts w:cs="Arial"/>
        </w:rPr>
      </w:pPr>
      <w:r w:rsidRPr="007608C2">
        <w:rPr>
          <w:rFonts w:cs="Arial"/>
        </w:rPr>
        <w:t>Implementación del Programa de Seguimiento Judicial al Tratamiento de Drogas en el SRPA en la ciudad de Medellín. Ingresaron 20 adolescentes al programa, de los cuales 15 por aplicación de principio de oportunidad y cinco (5) por revisión de sanción.</w:t>
      </w:r>
    </w:p>
    <w:p w:rsidR="00E025CD" w:rsidRPr="00E025CD" w:rsidRDefault="00E025CD" w:rsidP="00E025CD">
      <w:pPr>
        <w:spacing w:after="0"/>
        <w:jc w:val="both"/>
        <w:rPr>
          <w:rFonts w:cs="Arial"/>
        </w:rPr>
      </w:pPr>
    </w:p>
    <w:p w:rsidR="008819AE" w:rsidRDefault="008819AE" w:rsidP="00A44A2B">
      <w:pPr>
        <w:pStyle w:val="Prrafodelista"/>
        <w:numPr>
          <w:ilvl w:val="0"/>
          <w:numId w:val="135"/>
        </w:numPr>
        <w:spacing w:after="0"/>
        <w:jc w:val="both"/>
        <w:rPr>
          <w:rFonts w:cs="Arial"/>
        </w:rPr>
      </w:pPr>
      <w:r w:rsidRPr="007608C2">
        <w:rPr>
          <w:rFonts w:cs="Arial"/>
        </w:rPr>
        <w:t>Empoderamiento de los referentes del SRPA a nivel regional y reconocimiento del proceso por parte</w:t>
      </w:r>
      <w:r w:rsidR="00E025CD">
        <w:rPr>
          <w:rFonts w:cs="Arial"/>
        </w:rPr>
        <w:t xml:space="preserve"> de los operadores pedagógicos.</w:t>
      </w:r>
    </w:p>
    <w:p w:rsidR="00E025CD" w:rsidRPr="00E025CD" w:rsidRDefault="00E025CD" w:rsidP="00E025CD">
      <w:pPr>
        <w:spacing w:after="0"/>
        <w:jc w:val="both"/>
        <w:rPr>
          <w:rFonts w:cs="Arial"/>
        </w:rPr>
      </w:pPr>
    </w:p>
    <w:p w:rsidR="008819AE" w:rsidRDefault="008819AE" w:rsidP="00A44A2B">
      <w:pPr>
        <w:pStyle w:val="Prrafodelista"/>
        <w:numPr>
          <w:ilvl w:val="0"/>
          <w:numId w:val="135"/>
        </w:numPr>
        <w:spacing w:after="0"/>
        <w:jc w:val="both"/>
        <w:rPr>
          <w:rFonts w:cs="Arial"/>
        </w:rPr>
      </w:pPr>
      <w:r w:rsidRPr="007608C2">
        <w:rPr>
          <w:rFonts w:cs="Arial"/>
        </w:rPr>
        <w:t>18 planes de prevención de daño antijurídico formulados en las regionales de Antioquia, Bogotá, Cundinamarca, Huila, Meta, Nariño, Quindío, Risaralda, Santander, Cauca, Caldas, Norte de Santander, Boyacá, Atlántico, Córdoba, Choco, Tolima Casanare.</w:t>
      </w:r>
    </w:p>
    <w:p w:rsidR="00E025CD" w:rsidRPr="00E025CD" w:rsidRDefault="00E025CD" w:rsidP="00E025CD">
      <w:pPr>
        <w:spacing w:after="0"/>
        <w:jc w:val="both"/>
        <w:rPr>
          <w:rFonts w:cs="Arial"/>
        </w:rPr>
      </w:pPr>
    </w:p>
    <w:p w:rsidR="008819AE" w:rsidRDefault="008819AE" w:rsidP="00A44A2B">
      <w:pPr>
        <w:pStyle w:val="Prrafodelista"/>
        <w:numPr>
          <w:ilvl w:val="0"/>
          <w:numId w:val="135"/>
        </w:numPr>
        <w:spacing w:after="0"/>
        <w:jc w:val="both"/>
        <w:rPr>
          <w:rFonts w:cs="Arial"/>
        </w:rPr>
      </w:pPr>
      <w:r w:rsidRPr="007608C2">
        <w:rPr>
          <w:rFonts w:cs="Arial"/>
        </w:rPr>
        <w:t>768 ado</w:t>
      </w:r>
      <w:r w:rsidR="00CF3206" w:rsidRPr="007608C2">
        <w:rPr>
          <w:rFonts w:cs="Arial"/>
        </w:rPr>
        <w:t xml:space="preserve">lescentes y jóvenes </w:t>
      </w:r>
      <w:r w:rsidR="00E025CD" w:rsidRPr="007608C2">
        <w:rPr>
          <w:rFonts w:cs="Arial"/>
        </w:rPr>
        <w:t>beneficiados a</w:t>
      </w:r>
      <w:r w:rsidRPr="007608C2">
        <w:rPr>
          <w:rFonts w:cs="Arial"/>
        </w:rPr>
        <w:t xml:space="preserve"> través de proyectos relacionados con educación, trabajo, prácticas restaurativas e investigación con organizaciones tales como Kuepa, Dunna, Uniminuto, Procuraduría, Amis y OIM. Se impactaron las regionales de Bogotá, Cundinamarca, Bolívar, Antioquia, Santan</w:t>
      </w:r>
      <w:r w:rsidR="00E025CD">
        <w:rPr>
          <w:rFonts w:cs="Arial"/>
        </w:rPr>
        <w:t>der, Boyacá, Valle y Atlántico.</w:t>
      </w:r>
    </w:p>
    <w:p w:rsidR="00E025CD" w:rsidRPr="00E025CD" w:rsidRDefault="00E025CD" w:rsidP="00E025CD">
      <w:pPr>
        <w:spacing w:after="0"/>
        <w:jc w:val="both"/>
        <w:rPr>
          <w:rFonts w:cs="Arial"/>
        </w:rPr>
      </w:pPr>
    </w:p>
    <w:p w:rsidR="008819AE" w:rsidRPr="007608C2" w:rsidRDefault="008819AE" w:rsidP="00A44A2B">
      <w:pPr>
        <w:pStyle w:val="Prrafodelista"/>
        <w:numPr>
          <w:ilvl w:val="0"/>
          <w:numId w:val="135"/>
        </w:numPr>
        <w:spacing w:after="0"/>
        <w:jc w:val="both"/>
        <w:rPr>
          <w:rFonts w:cs="Arial"/>
        </w:rPr>
      </w:pPr>
      <w:r w:rsidRPr="007608C2">
        <w:rPr>
          <w:rFonts w:cs="Arial"/>
        </w:rPr>
        <w:t xml:space="preserve">Participación en la feria Xpojovenes por parte de adolescentes y jóvenes del SRPA a través de proyectos relacionados con gastronomía, arte, cosmética y recreación que benefician hasta 446 personas de los servicios privativos de la libertad de las regionales de Bogotá, Valle, Bolívar y Antioquia. </w:t>
      </w:r>
    </w:p>
    <w:p w:rsidR="006B2D87" w:rsidRDefault="006B2D87" w:rsidP="008819AE">
      <w:pPr>
        <w:spacing w:before="240"/>
        <w:jc w:val="both"/>
        <w:rPr>
          <w:rFonts w:cs="Arial"/>
          <w:b/>
        </w:rPr>
      </w:pPr>
    </w:p>
    <w:p w:rsidR="008819AE" w:rsidRPr="007608C2" w:rsidRDefault="008819AE" w:rsidP="008819AE">
      <w:pPr>
        <w:spacing w:before="240"/>
        <w:jc w:val="both"/>
        <w:rPr>
          <w:rFonts w:cs="Arial"/>
          <w:b/>
        </w:rPr>
      </w:pPr>
      <w:r w:rsidRPr="007608C2">
        <w:rPr>
          <w:rFonts w:cs="Arial"/>
          <w:b/>
        </w:rPr>
        <w:lastRenderedPageBreak/>
        <w:t>Proyecto Sueños:</w:t>
      </w:r>
    </w:p>
    <w:p w:rsidR="008819AE" w:rsidRDefault="008819AE" w:rsidP="00A44A2B">
      <w:pPr>
        <w:pStyle w:val="Prrafodelista"/>
        <w:numPr>
          <w:ilvl w:val="0"/>
          <w:numId w:val="136"/>
        </w:numPr>
        <w:spacing w:after="0"/>
        <w:jc w:val="both"/>
        <w:rPr>
          <w:rFonts w:cs="Arial"/>
        </w:rPr>
      </w:pPr>
      <w:r w:rsidRPr="007608C2">
        <w:rPr>
          <w:rFonts w:cs="Arial"/>
        </w:rPr>
        <w:t xml:space="preserve">$684.384.413 COP girados a las diferentes regionales por concepto de la ayuda económica establecida en el lineamiento de programación 4102 1500 3-108 asociados al subproyecto de orientación para la vida personal, social, profesional y vocacional de los adolescentes y jóvenes que se encuentran adelantando programas de formación técnica, tecnológica o universitaria, así como programas de formación para el </w:t>
      </w:r>
      <w:r w:rsidR="000348D0">
        <w:rPr>
          <w:rFonts w:cs="Arial"/>
        </w:rPr>
        <w:t>trabajo y el desarrollo humano.</w:t>
      </w:r>
    </w:p>
    <w:p w:rsidR="000348D0" w:rsidRPr="007608C2" w:rsidRDefault="000348D0" w:rsidP="000348D0">
      <w:pPr>
        <w:pStyle w:val="Prrafodelista"/>
        <w:spacing w:after="0"/>
        <w:ind w:left="360"/>
        <w:jc w:val="both"/>
        <w:rPr>
          <w:rFonts w:cs="Arial"/>
        </w:rPr>
      </w:pPr>
    </w:p>
    <w:p w:rsidR="000348D0" w:rsidRDefault="008819AE" w:rsidP="00A44A2B">
      <w:pPr>
        <w:pStyle w:val="Prrafodelista"/>
        <w:numPr>
          <w:ilvl w:val="0"/>
          <w:numId w:val="136"/>
        </w:numPr>
        <w:spacing w:after="0"/>
        <w:jc w:val="both"/>
        <w:rPr>
          <w:rFonts w:cs="Arial"/>
        </w:rPr>
      </w:pPr>
      <w:r w:rsidRPr="007608C2">
        <w:rPr>
          <w:rFonts w:cs="Arial"/>
        </w:rPr>
        <w:t>Vinculación del sector productivo al ‘proyecto sueños oportunidades para volar’, a través de la Rueda de Aliados con la comunidad de empresarios del ‘Foro De Presidentes’ para generar oportunidades para la consolidación del proyecto de vida de los a</w:t>
      </w:r>
      <w:r w:rsidR="000348D0">
        <w:rPr>
          <w:rFonts w:cs="Arial"/>
        </w:rPr>
        <w:t>dolescentes y jóvenes del ICBF.</w:t>
      </w:r>
    </w:p>
    <w:p w:rsidR="000348D0" w:rsidRPr="000348D0" w:rsidRDefault="000348D0" w:rsidP="000348D0">
      <w:pPr>
        <w:spacing w:after="0"/>
        <w:jc w:val="both"/>
        <w:rPr>
          <w:rFonts w:cs="Arial"/>
        </w:rPr>
      </w:pPr>
    </w:p>
    <w:p w:rsidR="008819AE" w:rsidRDefault="008819AE" w:rsidP="00A44A2B">
      <w:pPr>
        <w:pStyle w:val="Prrafodelista"/>
        <w:numPr>
          <w:ilvl w:val="0"/>
          <w:numId w:val="136"/>
        </w:numPr>
        <w:spacing w:after="0"/>
        <w:jc w:val="both"/>
        <w:rPr>
          <w:rFonts w:cs="Arial"/>
        </w:rPr>
      </w:pPr>
      <w:r w:rsidRPr="007608C2">
        <w:rPr>
          <w:rFonts w:cs="Arial"/>
        </w:rPr>
        <w:t>5 iniciativas productivas priorizadas en Bogotá y Arauca en el componente de Empleabilidad y Emprendimiento con la OIM-Herramienta pazos y el SENA-Fondo Emprender.</w:t>
      </w:r>
    </w:p>
    <w:p w:rsidR="000348D0" w:rsidRPr="000348D0" w:rsidRDefault="000348D0" w:rsidP="000348D0">
      <w:pPr>
        <w:spacing w:after="0"/>
        <w:jc w:val="both"/>
        <w:rPr>
          <w:rFonts w:cs="Arial"/>
        </w:rPr>
      </w:pPr>
    </w:p>
    <w:p w:rsidR="008819AE" w:rsidRDefault="008819AE" w:rsidP="00A44A2B">
      <w:pPr>
        <w:pStyle w:val="Prrafodelista"/>
        <w:numPr>
          <w:ilvl w:val="0"/>
          <w:numId w:val="136"/>
        </w:numPr>
        <w:spacing w:after="0"/>
        <w:jc w:val="both"/>
        <w:rPr>
          <w:rFonts w:cs="Arial"/>
        </w:rPr>
      </w:pPr>
      <w:r w:rsidRPr="007608C2">
        <w:rPr>
          <w:rFonts w:cs="Arial"/>
        </w:rPr>
        <w:t>2 proyectos productivos de operadores de Protección participantes en la feria del Hogar con un Stand en el pabellón de decoración.</w:t>
      </w:r>
    </w:p>
    <w:p w:rsidR="000348D0" w:rsidRPr="000348D0" w:rsidRDefault="000348D0" w:rsidP="000348D0">
      <w:pPr>
        <w:spacing w:after="0"/>
        <w:jc w:val="both"/>
        <w:rPr>
          <w:rFonts w:cs="Arial"/>
        </w:rPr>
      </w:pPr>
    </w:p>
    <w:p w:rsidR="008819AE" w:rsidRDefault="008819AE" w:rsidP="00A44A2B">
      <w:pPr>
        <w:pStyle w:val="Prrafodelista"/>
        <w:numPr>
          <w:ilvl w:val="0"/>
          <w:numId w:val="136"/>
        </w:numPr>
        <w:spacing w:after="0"/>
        <w:jc w:val="both"/>
        <w:rPr>
          <w:rFonts w:cs="Arial"/>
        </w:rPr>
      </w:pPr>
      <w:r w:rsidRPr="007608C2">
        <w:rPr>
          <w:rFonts w:cs="Arial"/>
        </w:rPr>
        <w:t>Elaboración del nuevo “lineamiento técnico del modelo para la atención de adolescentes y jóvenes adoptables</w:t>
      </w:r>
      <w:r w:rsidRPr="007608C2">
        <w:rPr>
          <w:rFonts w:cs="Arial"/>
          <w:vertAlign w:val="superscript"/>
        </w:rPr>
        <w:footnoteReference w:id="16"/>
      </w:r>
      <w:r w:rsidRPr="007608C2">
        <w:rPr>
          <w:rFonts w:cs="Arial"/>
        </w:rPr>
        <w:t xml:space="preserve"> o vinculados al sistema de responsabilidad penal, en preparación para la vida autónoma e independiente del proyecto sueños, oportunidades para volar”, con la participación de áreas misionales, Regionales y operadores.</w:t>
      </w:r>
    </w:p>
    <w:p w:rsidR="000348D0" w:rsidRPr="000348D0" w:rsidRDefault="000348D0" w:rsidP="000348D0">
      <w:pPr>
        <w:spacing w:after="0"/>
        <w:jc w:val="both"/>
        <w:rPr>
          <w:rFonts w:cs="Arial"/>
        </w:rPr>
      </w:pPr>
    </w:p>
    <w:p w:rsidR="008819AE" w:rsidRDefault="008819AE" w:rsidP="00A44A2B">
      <w:pPr>
        <w:pStyle w:val="Prrafodelista"/>
        <w:numPr>
          <w:ilvl w:val="0"/>
          <w:numId w:val="136"/>
        </w:numPr>
        <w:spacing w:after="0"/>
        <w:jc w:val="both"/>
        <w:rPr>
          <w:rFonts w:cs="Arial"/>
        </w:rPr>
      </w:pPr>
      <w:r w:rsidRPr="007608C2">
        <w:rPr>
          <w:rFonts w:cs="Arial"/>
        </w:rPr>
        <w:t>6.591 niños niñas adolescentes y jóvenes beneficiados de actividades recreativas, culturales y deportivas en 20 regionales del ICBF.</w:t>
      </w:r>
    </w:p>
    <w:p w:rsidR="000348D0" w:rsidRPr="000348D0" w:rsidRDefault="000348D0" w:rsidP="000348D0">
      <w:pPr>
        <w:spacing w:after="0"/>
        <w:jc w:val="both"/>
        <w:rPr>
          <w:rFonts w:cs="Arial"/>
        </w:rPr>
      </w:pPr>
    </w:p>
    <w:p w:rsidR="008819AE" w:rsidRPr="007608C2" w:rsidRDefault="008819AE" w:rsidP="00A44A2B">
      <w:pPr>
        <w:pStyle w:val="Prrafodelista"/>
        <w:numPr>
          <w:ilvl w:val="0"/>
          <w:numId w:val="136"/>
        </w:numPr>
        <w:spacing w:after="0"/>
        <w:jc w:val="both"/>
        <w:rPr>
          <w:rFonts w:cs="Arial"/>
        </w:rPr>
      </w:pPr>
      <w:r w:rsidRPr="007608C2">
        <w:rPr>
          <w:rFonts w:cs="Arial"/>
        </w:rPr>
        <w:t xml:space="preserve">De 1.460 jóvenes mayores de 17 años en condición de adoptabilidad y sin discapacidad en el componente de identidad: 122 cuentan con documentos de identidad actualizados (62 SRPA y 60 adoptabilidad); 168 con libreta militar; 634 revisados en la plataforma del ejército nacional. </w:t>
      </w:r>
    </w:p>
    <w:p w:rsidR="008819AE" w:rsidRPr="007608C2" w:rsidRDefault="008819AE" w:rsidP="008819AE">
      <w:pPr>
        <w:spacing w:before="240"/>
        <w:jc w:val="both"/>
        <w:rPr>
          <w:rFonts w:cs="Arial"/>
          <w:b/>
        </w:rPr>
      </w:pPr>
      <w:r w:rsidRPr="007608C2">
        <w:rPr>
          <w:rFonts w:cs="Arial"/>
          <w:b/>
        </w:rPr>
        <w:t>Subdirección de Restablecimiento de Derechos:</w:t>
      </w:r>
    </w:p>
    <w:p w:rsidR="008819AE" w:rsidRDefault="008819AE" w:rsidP="00A44A2B">
      <w:pPr>
        <w:pStyle w:val="Prrafodelista"/>
        <w:numPr>
          <w:ilvl w:val="0"/>
          <w:numId w:val="137"/>
        </w:numPr>
        <w:spacing w:after="0"/>
        <w:jc w:val="both"/>
        <w:rPr>
          <w:rFonts w:cs="Arial"/>
        </w:rPr>
      </w:pPr>
      <w:r w:rsidRPr="007608C2">
        <w:rPr>
          <w:rFonts w:cs="Arial"/>
        </w:rPr>
        <w:t>Documento ‘Línea de política pública para la prevención y erradicación del trabajo infantil y la protección integral al adolescente trabajador’ elaborado y publicado.</w:t>
      </w:r>
    </w:p>
    <w:p w:rsidR="000348D0" w:rsidRPr="007608C2" w:rsidRDefault="000348D0" w:rsidP="000348D0">
      <w:pPr>
        <w:pStyle w:val="Prrafodelista"/>
        <w:spacing w:after="0"/>
        <w:ind w:left="360"/>
        <w:jc w:val="both"/>
        <w:rPr>
          <w:rFonts w:cs="Arial"/>
        </w:rPr>
      </w:pPr>
    </w:p>
    <w:p w:rsidR="008819AE" w:rsidRDefault="008819AE" w:rsidP="00A44A2B">
      <w:pPr>
        <w:pStyle w:val="Prrafodelista"/>
        <w:numPr>
          <w:ilvl w:val="0"/>
          <w:numId w:val="137"/>
        </w:numPr>
        <w:spacing w:after="0"/>
        <w:jc w:val="both"/>
        <w:rPr>
          <w:rFonts w:cs="Arial"/>
        </w:rPr>
      </w:pPr>
      <w:r w:rsidRPr="007608C2">
        <w:rPr>
          <w:rFonts w:cs="Arial"/>
        </w:rPr>
        <w:lastRenderedPageBreak/>
        <w:t>Se elaboró documento final de Política Pública en Prevención y Atención en Explotación Sexual Comercial de Niños, Niñas y Adolescentes -ESCNNA</w:t>
      </w:r>
      <w:r w:rsidR="00E14FAF" w:rsidRPr="007608C2">
        <w:rPr>
          <w:rFonts w:cs="Arial"/>
        </w:rPr>
        <w:t>-.</w:t>
      </w:r>
    </w:p>
    <w:p w:rsidR="000348D0" w:rsidRPr="000348D0" w:rsidRDefault="000348D0" w:rsidP="000348D0">
      <w:pPr>
        <w:spacing w:after="0"/>
        <w:jc w:val="both"/>
        <w:rPr>
          <w:rFonts w:cs="Arial"/>
        </w:rPr>
      </w:pPr>
    </w:p>
    <w:p w:rsidR="008819AE" w:rsidRDefault="008819AE" w:rsidP="00A44A2B">
      <w:pPr>
        <w:pStyle w:val="Prrafodelista"/>
        <w:numPr>
          <w:ilvl w:val="0"/>
          <w:numId w:val="137"/>
        </w:numPr>
        <w:spacing w:after="0"/>
        <w:jc w:val="both"/>
        <w:rPr>
          <w:rFonts w:cs="Arial"/>
        </w:rPr>
      </w:pPr>
      <w:r w:rsidRPr="007608C2">
        <w:rPr>
          <w:rFonts w:cs="Arial"/>
        </w:rPr>
        <w:t>Se llevaron a cabo acciones para el funcionamiento del Fondo contra la ESCNNA. Se construyó un documento que contiene los antecedentes del Fondo, justificación y actividades específicas a desarrollar en el marco de las cuatro líneas de acción, propuestas para la inversión de los recursos del Fondo contra la explotación sexual de niños, niñas y adolescentes, presentadas en el Consejo Directivo del ICBF el 4 de octubre de 20</w:t>
      </w:r>
      <w:r w:rsidR="000348D0">
        <w:rPr>
          <w:rFonts w:cs="Arial"/>
        </w:rPr>
        <w:t>17 las cuales fueron aprobadas.</w:t>
      </w:r>
    </w:p>
    <w:p w:rsidR="000348D0" w:rsidRPr="000348D0" w:rsidRDefault="000348D0" w:rsidP="000348D0">
      <w:pPr>
        <w:spacing w:after="0"/>
        <w:jc w:val="both"/>
        <w:rPr>
          <w:rFonts w:cs="Arial"/>
        </w:rPr>
      </w:pPr>
    </w:p>
    <w:p w:rsidR="008819AE" w:rsidRDefault="008819AE" w:rsidP="00A44A2B">
      <w:pPr>
        <w:pStyle w:val="Prrafodelista"/>
        <w:numPr>
          <w:ilvl w:val="0"/>
          <w:numId w:val="137"/>
        </w:numPr>
        <w:spacing w:after="0"/>
        <w:jc w:val="both"/>
        <w:rPr>
          <w:rFonts w:cs="Arial"/>
        </w:rPr>
      </w:pPr>
      <w:r w:rsidRPr="007608C2">
        <w:rPr>
          <w:rFonts w:cs="Arial"/>
        </w:rPr>
        <w:t>33 regionales cuentan con el fortalecimiento de capacidades institucionales para la atención de niños, niñas y adolescentes en el marco del conflicto armado.</w:t>
      </w:r>
    </w:p>
    <w:p w:rsidR="000348D0" w:rsidRPr="000348D0" w:rsidRDefault="000348D0" w:rsidP="000348D0">
      <w:pPr>
        <w:spacing w:after="0"/>
        <w:jc w:val="both"/>
        <w:rPr>
          <w:rFonts w:cs="Arial"/>
        </w:rPr>
      </w:pPr>
    </w:p>
    <w:p w:rsidR="008819AE" w:rsidRDefault="008819AE" w:rsidP="00A44A2B">
      <w:pPr>
        <w:pStyle w:val="Prrafodelista"/>
        <w:numPr>
          <w:ilvl w:val="0"/>
          <w:numId w:val="137"/>
        </w:numPr>
        <w:spacing w:after="0"/>
        <w:jc w:val="both"/>
        <w:rPr>
          <w:rFonts w:cs="Arial"/>
        </w:rPr>
      </w:pPr>
      <w:r w:rsidRPr="007608C2">
        <w:rPr>
          <w:rFonts w:cs="Arial"/>
        </w:rPr>
        <w:t>250 municipios con asistencia técnica en la ruta de atención integral a la menor de 14 años embarazada, a 31 de diciembre se ha realizado asistencia técnica en 230 municipios con un cumplimiento del 92%.</w:t>
      </w:r>
    </w:p>
    <w:p w:rsidR="000348D0" w:rsidRPr="000348D0" w:rsidRDefault="000348D0" w:rsidP="000348D0">
      <w:pPr>
        <w:spacing w:after="0"/>
        <w:jc w:val="both"/>
        <w:rPr>
          <w:rFonts w:cs="Arial"/>
        </w:rPr>
      </w:pPr>
    </w:p>
    <w:p w:rsidR="008819AE" w:rsidRDefault="008819AE" w:rsidP="00A44A2B">
      <w:pPr>
        <w:pStyle w:val="Prrafodelista"/>
        <w:numPr>
          <w:ilvl w:val="0"/>
          <w:numId w:val="137"/>
        </w:numPr>
        <w:spacing w:after="0"/>
        <w:jc w:val="both"/>
        <w:rPr>
          <w:rFonts w:cs="Arial"/>
        </w:rPr>
      </w:pPr>
      <w:r w:rsidRPr="007608C2">
        <w:rPr>
          <w:rFonts w:cs="Arial"/>
        </w:rPr>
        <w:t>9.575 familias de protección vinculadas para la atención en la modalidad familias con bienestar para la Paz.</w:t>
      </w:r>
    </w:p>
    <w:p w:rsidR="000348D0" w:rsidRPr="000348D0" w:rsidRDefault="000348D0" w:rsidP="000348D0">
      <w:pPr>
        <w:spacing w:after="0"/>
        <w:jc w:val="both"/>
        <w:rPr>
          <w:rFonts w:cs="Arial"/>
        </w:rPr>
      </w:pPr>
    </w:p>
    <w:p w:rsidR="000348D0" w:rsidRDefault="008819AE" w:rsidP="00A44A2B">
      <w:pPr>
        <w:pStyle w:val="Prrafodelista"/>
        <w:numPr>
          <w:ilvl w:val="0"/>
          <w:numId w:val="137"/>
        </w:numPr>
        <w:spacing w:after="0"/>
        <w:jc w:val="both"/>
        <w:rPr>
          <w:rFonts w:cs="Arial"/>
        </w:rPr>
      </w:pPr>
      <w:r w:rsidRPr="000348D0">
        <w:rPr>
          <w:rFonts w:cs="Arial"/>
        </w:rPr>
        <w:t>Se realizó articulación para consolidación de los profesionales del ICBF que participan en los Comités Regionales de Convivencia Escolar a Nivel Nacional</w:t>
      </w:r>
      <w:r w:rsidR="000348D0">
        <w:rPr>
          <w:rFonts w:cs="Arial"/>
        </w:rPr>
        <w:t>.</w:t>
      </w:r>
    </w:p>
    <w:p w:rsidR="008819AE" w:rsidRPr="000348D0" w:rsidRDefault="008819AE" w:rsidP="000348D0">
      <w:pPr>
        <w:spacing w:after="0"/>
        <w:jc w:val="both"/>
        <w:rPr>
          <w:rFonts w:cs="Arial"/>
        </w:rPr>
      </w:pPr>
      <w:r w:rsidRPr="000348D0">
        <w:rPr>
          <w:rFonts w:cs="Arial"/>
        </w:rPr>
        <w:t xml:space="preserve"> </w:t>
      </w:r>
    </w:p>
    <w:p w:rsidR="008819AE" w:rsidRDefault="008819AE" w:rsidP="00A44A2B">
      <w:pPr>
        <w:pStyle w:val="Prrafodelista"/>
        <w:numPr>
          <w:ilvl w:val="0"/>
          <w:numId w:val="137"/>
        </w:numPr>
        <w:spacing w:after="0"/>
        <w:jc w:val="both"/>
        <w:rPr>
          <w:rFonts w:cs="Arial"/>
        </w:rPr>
      </w:pPr>
      <w:r w:rsidRPr="007608C2">
        <w:rPr>
          <w:rFonts w:cs="Arial"/>
        </w:rPr>
        <w:t>Se adelantaron jornadas de asistencia técnica conjuntas con la Dirección de Niñez y Adolescencia, con el fin de cualificar los procesos de atención brindados por el ICBF en el marco de la Ley 1620. Se contó con la participación de 75 profesionales de la</w:t>
      </w:r>
      <w:r w:rsidR="00E14FAF">
        <w:rPr>
          <w:rFonts w:cs="Arial"/>
        </w:rPr>
        <w:t>s regionales y centros zonales.</w:t>
      </w:r>
    </w:p>
    <w:p w:rsidR="00E14FAF" w:rsidRPr="007608C2" w:rsidRDefault="00E14FAF" w:rsidP="00E14FAF">
      <w:pPr>
        <w:pStyle w:val="Prrafodelista"/>
        <w:spacing w:after="0"/>
        <w:ind w:left="360"/>
        <w:jc w:val="both"/>
        <w:rPr>
          <w:rFonts w:cs="Arial"/>
        </w:rPr>
      </w:pPr>
    </w:p>
    <w:p w:rsidR="008819AE" w:rsidRPr="007608C2" w:rsidRDefault="008819AE" w:rsidP="000D0DF1">
      <w:pPr>
        <w:keepNext/>
        <w:keepLines/>
        <w:numPr>
          <w:ilvl w:val="2"/>
          <w:numId w:val="160"/>
        </w:numPr>
        <w:spacing w:before="240" w:after="0"/>
        <w:outlineLvl w:val="1"/>
        <w:rPr>
          <w:rFonts w:eastAsiaTheme="majorEastAsia" w:cs="Arial"/>
          <w:b/>
          <w:szCs w:val="26"/>
        </w:rPr>
      </w:pPr>
      <w:bookmarkStart w:id="107" w:name="_Toc503465520"/>
      <w:bookmarkStart w:id="108" w:name="_Toc505183069"/>
      <w:r w:rsidRPr="007608C2">
        <w:rPr>
          <w:rFonts w:eastAsiaTheme="majorEastAsia" w:cs="Arial"/>
          <w:b/>
          <w:szCs w:val="26"/>
        </w:rPr>
        <w:t>RETOS 2018</w:t>
      </w:r>
      <w:bookmarkEnd w:id="107"/>
      <w:bookmarkEnd w:id="108"/>
    </w:p>
    <w:p w:rsidR="008819AE" w:rsidRPr="007608C2" w:rsidRDefault="008819AE" w:rsidP="008819AE">
      <w:pPr>
        <w:spacing w:before="240"/>
        <w:jc w:val="both"/>
        <w:rPr>
          <w:rFonts w:cs="Arial"/>
          <w:b/>
        </w:rPr>
      </w:pPr>
      <w:r w:rsidRPr="007608C2">
        <w:rPr>
          <w:rFonts w:cs="Arial"/>
          <w:b/>
        </w:rPr>
        <w:t xml:space="preserve">Subdirección de Adopciones: </w:t>
      </w:r>
    </w:p>
    <w:p w:rsidR="008819AE" w:rsidRDefault="008819AE" w:rsidP="00A44A2B">
      <w:pPr>
        <w:pStyle w:val="Prrafodelista"/>
        <w:numPr>
          <w:ilvl w:val="0"/>
          <w:numId w:val="138"/>
        </w:numPr>
        <w:spacing w:after="0"/>
        <w:jc w:val="both"/>
        <w:rPr>
          <w:rFonts w:cs="Arial"/>
        </w:rPr>
      </w:pPr>
      <w:r w:rsidRPr="007608C2">
        <w:rPr>
          <w:rFonts w:cs="Arial"/>
        </w:rPr>
        <w:t>Promover la adopción de niños, niñas y adolescentes con características y necesidades especiales. Meta: 78% niños, niñas y adolescentes con características y necesidades especiales con familia asignada.</w:t>
      </w:r>
    </w:p>
    <w:p w:rsidR="000348D0" w:rsidRPr="007608C2" w:rsidRDefault="000348D0" w:rsidP="000348D0">
      <w:pPr>
        <w:pStyle w:val="Prrafodelista"/>
        <w:spacing w:after="0"/>
        <w:ind w:left="360"/>
        <w:jc w:val="both"/>
        <w:rPr>
          <w:rFonts w:cs="Arial"/>
        </w:rPr>
      </w:pPr>
    </w:p>
    <w:p w:rsidR="008819AE" w:rsidRDefault="008819AE" w:rsidP="00A44A2B">
      <w:pPr>
        <w:pStyle w:val="Prrafodelista"/>
        <w:numPr>
          <w:ilvl w:val="0"/>
          <w:numId w:val="138"/>
        </w:numPr>
        <w:spacing w:after="0"/>
        <w:jc w:val="both"/>
        <w:rPr>
          <w:rFonts w:cs="Arial"/>
        </w:rPr>
      </w:pPr>
      <w:r w:rsidRPr="007608C2">
        <w:rPr>
          <w:rFonts w:cs="Arial"/>
        </w:rPr>
        <w:t xml:space="preserve">Beneficiar a 183 Niños, niñas y adolescentes con la estrategia vacaciones </w:t>
      </w:r>
      <w:r w:rsidR="000348D0">
        <w:rPr>
          <w:rFonts w:cs="Arial"/>
        </w:rPr>
        <w:t>en el extranjero y en Colombia.</w:t>
      </w:r>
    </w:p>
    <w:p w:rsidR="000348D0" w:rsidRPr="000348D0" w:rsidRDefault="000348D0" w:rsidP="000348D0">
      <w:pPr>
        <w:spacing w:after="0"/>
        <w:jc w:val="both"/>
        <w:rPr>
          <w:rFonts w:cs="Arial"/>
        </w:rPr>
      </w:pPr>
    </w:p>
    <w:p w:rsidR="000348D0" w:rsidRPr="000348D0" w:rsidRDefault="008819AE" w:rsidP="00A44A2B">
      <w:pPr>
        <w:pStyle w:val="Prrafodelista"/>
        <w:numPr>
          <w:ilvl w:val="0"/>
          <w:numId w:val="138"/>
        </w:numPr>
        <w:spacing w:after="0"/>
        <w:jc w:val="both"/>
        <w:rPr>
          <w:rFonts w:cs="Arial"/>
        </w:rPr>
      </w:pPr>
      <w:r w:rsidRPr="000348D0">
        <w:rPr>
          <w:rFonts w:cs="Arial"/>
        </w:rPr>
        <w:t>Beneficiar 30 niños, niñas y adolescentes con la estrategia ‘Vacaciones en Colombia’.</w:t>
      </w:r>
    </w:p>
    <w:p w:rsidR="000348D0" w:rsidRPr="000348D0" w:rsidRDefault="000348D0" w:rsidP="000348D0">
      <w:pPr>
        <w:spacing w:after="0"/>
        <w:jc w:val="both"/>
        <w:rPr>
          <w:rFonts w:cs="Arial"/>
        </w:rPr>
      </w:pPr>
    </w:p>
    <w:p w:rsidR="008819AE" w:rsidRDefault="008819AE" w:rsidP="00A44A2B">
      <w:pPr>
        <w:pStyle w:val="Prrafodelista"/>
        <w:numPr>
          <w:ilvl w:val="0"/>
          <w:numId w:val="138"/>
        </w:numPr>
        <w:spacing w:after="0"/>
        <w:jc w:val="both"/>
        <w:rPr>
          <w:rFonts w:cs="Arial"/>
        </w:rPr>
      </w:pPr>
      <w:r w:rsidRPr="007608C2">
        <w:rPr>
          <w:rFonts w:cs="Arial"/>
        </w:rPr>
        <w:t>Asignar un ‘Super Amigo’ a 518 Niños, niñas y adolescentes.</w:t>
      </w:r>
    </w:p>
    <w:p w:rsidR="000348D0" w:rsidRDefault="000348D0" w:rsidP="000348D0">
      <w:pPr>
        <w:pStyle w:val="Prrafodelista"/>
        <w:spacing w:after="0"/>
        <w:ind w:left="360"/>
        <w:jc w:val="both"/>
        <w:rPr>
          <w:rFonts w:cs="Arial"/>
        </w:rPr>
      </w:pPr>
    </w:p>
    <w:p w:rsidR="00EC0FC1" w:rsidRDefault="008819AE" w:rsidP="00EC0FC1">
      <w:pPr>
        <w:pStyle w:val="Prrafodelista"/>
        <w:numPr>
          <w:ilvl w:val="0"/>
          <w:numId w:val="138"/>
        </w:numPr>
        <w:spacing w:after="0"/>
        <w:jc w:val="both"/>
        <w:rPr>
          <w:rFonts w:cs="Arial"/>
        </w:rPr>
      </w:pPr>
      <w:r w:rsidRPr="007608C2">
        <w:rPr>
          <w:rFonts w:cs="Arial"/>
        </w:rPr>
        <w:t>Brindar asistencia técnica a 17 regionales para la ejecución de la estrategia ‘Súper amigos’.</w:t>
      </w:r>
    </w:p>
    <w:p w:rsidR="00EC0FC1" w:rsidRPr="00EC0FC1" w:rsidRDefault="00EC0FC1" w:rsidP="00EC0FC1">
      <w:pPr>
        <w:spacing w:after="0"/>
        <w:jc w:val="both"/>
        <w:rPr>
          <w:rFonts w:cs="Arial"/>
        </w:rPr>
      </w:pPr>
    </w:p>
    <w:p w:rsidR="008819AE" w:rsidRPr="007608C2" w:rsidRDefault="008819AE" w:rsidP="00A44A2B">
      <w:pPr>
        <w:pStyle w:val="Prrafodelista"/>
        <w:numPr>
          <w:ilvl w:val="0"/>
          <w:numId w:val="138"/>
        </w:numPr>
        <w:spacing w:after="0"/>
        <w:jc w:val="both"/>
        <w:rPr>
          <w:rFonts w:cs="Arial"/>
        </w:rPr>
      </w:pPr>
      <w:r w:rsidRPr="007608C2">
        <w:rPr>
          <w:rFonts w:cs="Arial"/>
        </w:rPr>
        <w:t>Diseñar y construir un instrumento piloto en el seguimiento a la implementación de los Lineamientos Técnicos Administrativo de Programa de Adopción en 13 regionales.</w:t>
      </w:r>
    </w:p>
    <w:p w:rsidR="008819AE" w:rsidRPr="007608C2" w:rsidRDefault="008819AE" w:rsidP="008819AE">
      <w:pPr>
        <w:spacing w:before="240"/>
        <w:jc w:val="both"/>
        <w:rPr>
          <w:rFonts w:cs="Arial"/>
          <w:b/>
        </w:rPr>
      </w:pPr>
      <w:r w:rsidRPr="007608C2">
        <w:rPr>
          <w:rFonts w:cs="Arial"/>
          <w:b/>
        </w:rPr>
        <w:t>Subdirección de Responsabilidad Penal para Adolescentes:</w:t>
      </w:r>
    </w:p>
    <w:p w:rsidR="008819AE" w:rsidRDefault="008819AE" w:rsidP="00A44A2B">
      <w:pPr>
        <w:pStyle w:val="Prrafodelista"/>
        <w:numPr>
          <w:ilvl w:val="0"/>
          <w:numId w:val="120"/>
        </w:numPr>
        <w:spacing w:after="0"/>
        <w:jc w:val="both"/>
        <w:rPr>
          <w:rFonts w:cs="Arial"/>
        </w:rPr>
      </w:pPr>
      <w:r w:rsidRPr="007608C2">
        <w:rPr>
          <w:rFonts w:cs="Arial"/>
        </w:rPr>
        <w:t>Brindar asistencia técnica en las 33 Regionales  a operadores pedagógicos, equipos de defensorías de familia, equipos de asistencia técnica y otros actores del SRPA, con énfasis en: Socialización del Modelo de Atención ajustado versión 3; Socialización de los Lineamientos de Modalidades de atención versión 2; Acompañamiento a la implementación del Modelo de Atención en salud para los adolescentes y jóvenes del SRPA - con énfasis en consumo de spa y salud mental; y Socialización de la guía para la formulación de estrategias de prevención del uso de sustancias psicoactivas en las modalidades del SRPA y formación para su implementación en 10 regionales.</w:t>
      </w:r>
    </w:p>
    <w:p w:rsidR="000348D0" w:rsidRPr="007608C2" w:rsidRDefault="000348D0" w:rsidP="000348D0">
      <w:pPr>
        <w:pStyle w:val="Prrafodelista"/>
        <w:spacing w:after="0"/>
        <w:ind w:left="357"/>
        <w:jc w:val="both"/>
        <w:rPr>
          <w:rFonts w:cs="Arial"/>
        </w:rPr>
      </w:pPr>
    </w:p>
    <w:p w:rsidR="008819AE" w:rsidRDefault="008819AE" w:rsidP="00A44A2B">
      <w:pPr>
        <w:pStyle w:val="Prrafodelista"/>
        <w:numPr>
          <w:ilvl w:val="0"/>
          <w:numId w:val="120"/>
        </w:numPr>
        <w:spacing w:after="0"/>
        <w:jc w:val="both"/>
        <w:rPr>
          <w:rFonts w:cs="Arial"/>
        </w:rPr>
      </w:pPr>
      <w:r w:rsidRPr="007608C2">
        <w:rPr>
          <w:rFonts w:cs="Arial"/>
        </w:rPr>
        <w:t>Generar articulación entre la Dirección de Protección y Familia y Comunidades para la focalización, vinculación y atención a las familias con procesos de restablecimiento de derechos y responsabilidad penal, en el programa Familias con Bienestar.</w:t>
      </w:r>
    </w:p>
    <w:p w:rsidR="000348D0" w:rsidRPr="000348D0" w:rsidRDefault="000348D0" w:rsidP="000348D0">
      <w:pPr>
        <w:spacing w:after="0"/>
        <w:jc w:val="both"/>
        <w:rPr>
          <w:rFonts w:cs="Arial"/>
        </w:rPr>
      </w:pPr>
    </w:p>
    <w:p w:rsidR="008819AE" w:rsidRDefault="008819AE" w:rsidP="00A44A2B">
      <w:pPr>
        <w:pStyle w:val="Prrafodelista"/>
        <w:numPr>
          <w:ilvl w:val="0"/>
          <w:numId w:val="120"/>
        </w:numPr>
        <w:spacing w:after="0"/>
        <w:jc w:val="both"/>
        <w:rPr>
          <w:rFonts w:cs="Arial"/>
        </w:rPr>
      </w:pPr>
      <w:r w:rsidRPr="007608C2">
        <w:rPr>
          <w:rFonts w:cs="Arial"/>
        </w:rPr>
        <w:t>Acompañar la puesta en marcha del módulo SIM RPA en las regionales que aún no lo han implementado o están pendientes algunos centros zonales de las regionales.</w:t>
      </w:r>
    </w:p>
    <w:p w:rsidR="000348D0" w:rsidRPr="000348D0" w:rsidRDefault="000348D0" w:rsidP="000348D0">
      <w:pPr>
        <w:spacing w:after="0"/>
        <w:jc w:val="both"/>
        <w:rPr>
          <w:rFonts w:cs="Arial"/>
        </w:rPr>
      </w:pPr>
    </w:p>
    <w:p w:rsidR="008819AE" w:rsidRDefault="008819AE" w:rsidP="00A44A2B">
      <w:pPr>
        <w:pStyle w:val="Prrafodelista"/>
        <w:numPr>
          <w:ilvl w:val="0"/>
          <w:numId w:val="120"/>
        </w:numPr>
        <w:spacing w:after="0"/>
        <w:jc w:val="both"/>
        <w:rPr>
          <w:rFonts w:cs="Arial"/>
        </w:rPr>
      </w:pPr>
      <w:r w:rsidRPr="007608C2">
        <w:rPr>
          <w:rFonts w:cs="Arial"/>
        </w:rPr>
        <w:t>Realizar acompañamiento integral a la puesta en funcionamiento de los nuevos CAE de Chocó, Córdoba, Cundinamarca, Meta, San Andrés.</w:t>
      </w:r>
    </w:p>
    <w:p w:rsidR="000348D0" w:rsidRPr="007608C2" w:rsidRDefault="000348D0" w:rsidP="000348D0">
      <w:pPr>
        <w:pStyle w:val="Prrafodelista"/>
        <w:spacing w:after="0"/>
        <w:ind w:left="357"/>
        <w:jc w:val="both"/>
        <w:rPr>
          <w:rFonts w:cs="Arial"/>
        </w:rPr>
      </w:pPr>
    </w:p>
    <w:p w:rsidR="008819AE" w:rsidRDefault="008819AE" w:rsidP="00A44A2B">
      <w:pPr>
        <w:pStyle w:val="Prrafodelista"/>
        <w:numPr>
          <w:ilvl w:val="0"/>
          <w:numId w:val="120"/>
        </w:numPr>
        <w:spacing w:after="0"/>
        <w:jc w:val="both"/>
        <w:rPr>
          <w:rFonts w:cs="Arial"/>
        </w:rPr>
      </w:pPr>
      <w:r w:rsidRPr="007608C2">
        <w:rPr>
          <w:rFonts w:cs="Arial"/>
        </w:rPr>
        <w:t xml:space="preserve">Acompañar la ejecución del contrato interadministrativo #1.743 Suscrito entre ICBF- FINDETER para la construcción y adecuación </w:t>
      </w:r>
      <w:r w:rsidR="000348D0">
        <w:rPr>
          <w:rFonts w:cs="Arial"/>
        </w:rPr>
        <w:t>de la infraestructura del SRPA.</w:t>
      </w:r>
    </w:p>
    <w:p w:rsidR="000348D0" w:rsidRPr="000348D0" w:rsidRDefault="000348D0" w:rsidP="000348D0">
      <w:pPr>
        <w:spacing w:after="0"/>
        <w:jc w:val="both"/>
        <w:rPr>
          <w:rFonts w:cs="Arial"/>
        </w:rPr>
      </w:pPr>
    </w:p>
    <w:p w:rsidR="008819AE" w:rsidRDefault="008819AE" w:rsidP="00A44A2B">
      <w:pPr>
        <w:pStyle w:val="Prrafodelista"/>
        <w:numPr>
          <w:ilvl w:val="0"/>
          <w:numId w:val="120"/>
        </w:numPr>
        <w:spacing w:after="0"/>
        <w:jc w:val="both"/>
        <w:rPr>
          <w:rFonts w:cs="Arial"/>
        </w:rPr>
      </w:pPr>
      <w:r w:rsidRPr="007608C2">
        <w:rPr>
          <w:rFonts w:cs="Arial"/>
        </w:rPr>
        <w:t>Incrementar el número de casos con apoyo en el cumplimiento de las condiciones establecidas en el artículo 326 de la ley 906 de 2004, durante el periodo de suspensión del procedimiento a prueba, en la aplicación del principio de oportunidad.</w:t>
      </w:r>
    </w:p>
    <w:p w:rsidR="000348D0" w:rsidRPr="000348D0" w:rsidRDefault="000348D0" w:rsidP="000348D0">
      <w:pPr>
        <w:spacing w:after="0"/>
        <w:jc w:val="both"/>
        <w:rPr>
          <w:rFonts w:cs="Arial"/>
        </w:rPr>
      </w:pPr>
    </w:p>
    <w:p w:rsidR="008819AE" w:rsidRDefault="008819AE" w:rsidP="00A44A2B">
      <w:pPr>
        <w:pStyle w:val="Prrafodelista"/>
        <w:numPr>
          <w:ilvl w:val="0"/>
          <w:numId w:val="120"/>
        </w:numPr>
        <w:spacing w:after="0"/>
        <w:jc w:val="both"/>
        <w:rPr>
          <w:rFonts w:cs="Arial"/>
        </w:rPr>
      </w:pPr>
      <w:r w:rsidRPr="007608C2">
        <w:rPr>
          <w:rFonts w:cs="Arial"/>
        </w:rPr>
        <w:t>Acompañar la evaluación de procesos y operaciones en SRPA (Econometría) en conjunto con la Dirección de Planeación.</w:t>
      </w:r>
    </w:p>
    <w:p w:rsidR="000348D0" w:rsidRPr="000348D0" w:rsidRDefault="000348D0" w:rsidP="000348D0">
      <w:pPr>
        <w:spacing w:after="0"/>
        <w:jc w:val="both"/>
        <w:rPr>
          <w:rFonts w:cs="Arial"/>
        </w:rPr>
      </w:pPr>
    </w:p>
    <w:p w:rsidR="000348D0" w:rsidRPr="000348D0" w:rsidRDefault="008819AE" w:rsidP="00A44A2B">
      <w:pPr>
        <w:pStyle w:val="Prrafodelista"/>
        <w:numPr>
          <w:ilvl w:val="0"/>
          <w:numId w:val="120"/>
        </w:numPr>
        <w:spacing w:after="0"/>
        <w:jc w:val="both"/>
        <w:rPr>
          <w:rFonts w:cs="Arial"/>
        </w:rPr>
      </w:pPr>
      <w:r w:rsidRPr="000348D0">
        <w:rPr>
          <w:rFonts w:cs="Arial"/>
        </w:rPr>
        <w:lastRenderedPageBreak/>
        <w:t xml:space="preserve">Lograr la formación de 700 Jóvenes del SRPA en educación técnica, tecnóloga, profesional y formación para el </w:t>
      </w:r>
      <w:r w:rsidR="000348D0" w:rsidRPr="000348D0">
        <w:rPr>
          <w:rFonts w:cs="Arial"/>
        </w:rPr>
        <w:t>trabajo y el desarrollo humano.</w:t>
      </w:r>
    </w:p>
    <w:p w:rsidR="000348D0" w:rsidRPr="000348D0" w:rsidRDefault="000348D0" w:rsidP="000348D0">
      <w:pPr>
        <w:spacing w:after="0"/>
        <w:jc w:val="both"/>
        <w:rPr>
          <w:rFonts w:cs="Arial"/>
        </w:rPr>
      </w:pPr>
    </w:p>
    <w:p w:rsidR="008819AE" w:rsidRDefault="008819AE" w:rsidP="00A44A2B">
      <w:pPr>
        <w:pStyle w:val="Prrafodelista"/>
        <w:numPr>
          <w:ilvl w:val="0"/>
          <w:numId w:val="120"/>
        </w:numPr>
        <w:spacing w:after="0"/>
        <w:jc w:val="both"/>
        <w:rPr>
          <w:rFonts w:cs="Arial"/>
        </w:rPr>
      </w:pPr>
      <w:r w:rsidRPr="007608C2">
        <w:rPr>
          <w:rFonts w:cs="Arial"/>
        </w:rPr>
        <w:t>Modificar el Decreto 2383 de 2015, donde se aclare la prestación del servicio educativo a los Adolescentes y jóvenes en modalidades no privativas de la libertad.</w:t>
      </w:r>
    </w:p>
    <w:p w:rsidR="000348D0" w:rsidRPr="000348D0" w:rsidRDefault="000348D0" w:rsidP="000348D0">
      <w:pPr>
        <w:spacing w:after="0"/>
        <w:jc w:val="both"/>
        <w:rPr>
          <w:rFonts w:cs="Arial"/>
        </w:rPr>
      </w:pPr>
    </w:p>
    <w:p w:rsidR="008819AE" w:rsidRPr="007608C2" w:rsidRDefault="008819AE" w:rsidP="00A44A2B">
      <w:pPr>
        <w:pStyle w:val="Prrafodelista"/>
        <w:numPr>
          <w:ilvl w:val="0"/>
          <w:numId w:val="120"/>
        </w:numPr>
        <w:spacing w:after="0"/>
        <w:jc w:val="both"/>
        <w:rPr>
          <w:rFonts w:cs="Arial"/>
        </w:rPr>
      </w:pPr>
      <w:r w:rsidRPr="007608C2">
        <w:rPr>
          <w:rFonts w:cs="Arial"/>
        </w:rPr>
        <w:t xml:space="preserve">Ejecutar los siguientes proyectos en convenio con FINDETER: </w:t>
      </w:r>
    </w:p>
    <w:p w:rsidR="008819AE" w:rsidRPr="007608C2" w:rsidRDefault="008819AE" w:rsidP="008819AE">
      <w:pPr>
        <w:spacing w:after="0"/>
        <w:jc w:val="both"/>
        <w:rPr>
          <w:rFonts w:cs="Arial"/>
        </w:rPr>
      </w:pPr>
    </w:p>
    <w:tbl>
      <w:tblPr>
        <w:tblW w:w="0" w:type="auto"/>
        <w:jc w:val="center"/>
        <w:tblBorders>
          <w:top w:val="single" w:sz="4" w:space="0" w:color="76922E"/>
          <w:left w:val="single" w:sz="4" w:space="0" w:color="76922E"/>
          <w:bottom w:val="single" w:sz="4" w:space="0" w:color="76922E"/>
          <w:right w:val="single" w:sz="4" w:space="0" w:color="76922E"/>
          <w:insideH w:val="single" w:sz="4" w:space="0" w:color="76922E"/>
          <w:insideV w:val="single" w:sz="4" w:space="0" w:color="76922E"/>
        </w:tblBorders>
        <w:tblCellMar>
          <w:top w:w="15" w:type="dxa"/>
          <w:left w:w="70" w:type="dxa"/>
          <w:bottom w:w="15" w:type="dxa"/>
          <w:right w:w="70" w:type="dxa"/>
        </w:tblCellMar>
        <w:tblLook w:val="04A0" w:firstRow="1" w:lastRow="0" w:firstColumn="1" w:lastColumn="0" w:noHBand="0" w:noVBand="1"/>
      </w:tblPr>
      <w:tblGrid>
        <w:gridCol w:w="5123"/>
        <w:gridCol w:w="1411"/>
      </w:tblGrid>
      <w:tr w:rsidR="008819AE" w:rsidRPr="00AC0D43" w:rsidTr="00AC0D43">
        <w:trPr>
          <w:trHeight w:val="300"/>
          <w:jc w:val="center"/>
        </w:trPr>
        <w:tc>
          <w:tcPr>
            <w:tcW w:w="0" w:type="auto"/>
            <w:shd w:val="clear" w:color="auto" w:fill="76922E"/>
            <w:noWrap/>
            <w:vAlign w:val="bottom"/>
            <w:hideMark/>
          </w:tcPr>
          <w:p w:rsidR="008819AE" w:rsidRPr="00AC0D43" w:rsidRDefault="008819AE" w:rsidP="00476EF8">
            <w:pPr>
              <w:spacing w:after="0"/>
              <w:jc w:val="center"/>
              <w:rPr>
                <w:rFonts w:eastAsia="Times New Roman" w:cs="Arial"/>
                <w:b/>
                <w:bCs/>
                <w:color w:val="FFFFFF" w:themeColor="background1"/>
                <w:sz w:val="18"/>
                <w:szCs w:val="18"/>
                <w:lang w:val="es-CO" w:eastAsia="es-CO"/>
              </w:rPr>
            </w:pPr>
            <w:r w:rsidRPr="00AC0D43">
              <w:rPr>
                <w:rFonts w:eastAsia="Times New Roman" w:cs="Arial"/>
                <w:b/>
                <w:bCs/>
                <w:color w:val="FFFFFF" w:themeColor="background1"/>
                <w:sz w:val="18"/>
                <w:szCs w:val="18"/>
                <w:lang w:val="es-CO" w:eastAsia="es-CO"/>
              </w:rPr>
              <w:t>Proyectos</w:t>
            </w:r>
          </w:p>
        </w:tc>
        <w:tc>
          <w:tcPr>
            <w:tcW w:w="0" w:type="auto"/>
            <w:shd w:val="clear" w:color="auto" w:fill="76922E"/>
            <w:noWrap/>
            <w:vAlign w:val="bottom"/>
            <w:hideMark/>
          </w:tcPr>
          <w:p w:rsidR="008819AE" w:rsidRPr="00AC0D43" w:rsidRDefault="008819AE" w:rsidP="00476EF8">
            <w:pPr>
              <w:spacing w:after="0"/>
              <w:jc w:val="center"/>
              <w:rPr>
                <w:rFonts w:eastAsia="Times New Roman" w:cs="Arial"/>
                <w:b/>
                <w:bCs/>
                <w:color w:val="FFFFFF" w:themeColor="background1"/>
                <w:sz w:val="18"/>
                <w:szCs w:val="18"/>
                <w:lang w:val="es-CO" w:eastAsia="es-CO"/>
              </w:rPr>
            </w:pPr>
            <w:r w:rsidRPr="00AC0D43">
              <w:rPr>
                <w:rFonts w:eastAsia="Times New Roman" w:cs="Arial"/>
                <w:b/>
                <w:bCs/>
                <w:color w:val="FFFFFF" w:themeColor="background1"/>
                <w:sz w:val="18"/>
                <w:szCs w:val="18"/>
                <w:lang w:val="es-CO" w:eastAsia="es-CO"/>
              </w:rPr>
              <w:t>Municipio</w:t>
            </w:r>
          </w:p>
        </w:tc>
      </w:tr>
      <w:tr w:rsidR="008819AE" w:rsidRPr="00AC0D43" w:rsidTr="00AC0D43">
        <w:trPr>
          <w:trHeight w:val="35"/>
          <w:jc w:val="center"/>
        </w:trPr>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Construcción fase 1 CAE El Redentor</w:t>
            </w:r>
          </w:p>
        </w:tc>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Bogotá D.C.</w:t>
            </w:r>
          </w:p>
        </w:tc>
      </w:tr>
      <w:tr w:rsidR="008819AE" w:rsidRPr="00AC0D43" w:rsidTr="00AC0D43">
        <w:trPr>
          <w:trHeight w:val="35"/>
          <w:jc w:val="center"/>
        </w:trPr>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 xml:space="preserve">Terminación ampliación CAE Turbaco </w:t>
            </w:r>
          </w:p>
        </w:tc>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Bolívar</w:t>
            </w:r>
          </w:p>
        </w:tc>
      </w:tr>
      <w:tr w:rsidR="008819AE" w:rsidRPr="00AC0D43" w:rsidTr="00AC0D43">
        <w:trPr>
          <w:trHeight w:val="35"/>
          <w:jc w:val="center"/>
        </w:trPr>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Construcción fase 2 CAE Quibdó</w:t>
            </w:r>
          </w:p>
        </w:tc>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Choco</w:t>
            </w:r>
          </w:p>
        </w:tc>
      </w:tr>
      <w:tr w:rsidR="008819AE" w:rsidRPr="00AC0D43" w:rsidTr="00AC0D43">
        <w:trPr>
          <w:trHeight w:val="35"/>
          <w:jc w:val="center"/>
        </w:trPr>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Terminación fase 1 CAE La Lucila Turbo</w:t>
            </w:r>
          </w:p>
        </w:tc>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 xml:space="preserve">Antioquia </w:t>
            </w:r>
          </w:p>
        </w:tc>
      </w:tr>
      <w:tr w:rsidR="008819AE" w:rsidRPr="00AC0D43" w:rsidTr="00AC0D43">
        <w:trPr>
          <w:trHeight w:val="35"/>
          <w:jc w:val="center"/>
        </w:trPr>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Construcción muro Perimetral CAE La Pola Medellín</w:t>
            </w:r>
          </w:p>
        </w:tc>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 xml:space="preserve">Antioquia </w:t>
            </w:r>
          </w:p>
        </w:tc>
      </w:tr>
      <w:tr w:rsidR="008819AE" w:rsidRPr="00AC0D43" w:rsidTr="00AC0D43">
        <w:trPr>
          <w:trHeight w:val="35"/>
          <w:jc w:val="center"/>
        </w:trPr>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Consultoría obras PRM El Redentor</w:t>
            </w:r>
          </w:p>
        </w:tc>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Bogotá D.C.</w:t>
            </w:r>
          </w:p>
        </w:tc>
      </w:tr>
      <w:tr w:rsidR="008819AE" w:rsidRPr="00AC0D43" w:rsidTr="00AC0D43">
        <w:trPr>
          <w:trHeight w:val="35"/>
          <w:jc w:val="center"/>
        </w:trPr>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Terminación obras Cae Magdalena - Santa Marta</w:t>
            </w:r>
          </w:p>
        </w:tc>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Santa Marta</w:t>
            </w:r>
          </w:p>
        </w:tc>
      </w:tr>
      <w:tr w:rsidR="008819AE" w:rsidRPr="00AC0D43" w:rsidTr="00AC0D43">
        <w:trPr>
          <w:trHeight w:val="66"/>
          <w:jc w:val="center"/>
        </w:trPr>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Terminación e</w:t>
            </w:r>
            <w:r w:rsidR="00AC0D43">
              <w:rPr>
                <w:rFonts w:eastAsia="Times New Roman" w:cs="Arial"/>
                <w:color w:val="000000"/>
                <w:sz w:val="18"/>
                <w:szCs w:val="18"/>
                <w:lang w:val="es-CO" w:eastAsia="es-CO"/>
              </w:rPr>
              <w:t>tapa 1 CIRP Sampué</w:t>
            </w:r>
            <w:r w:rsidRPr="00AC0D43">
              <w:rPr>
                <w:rFonts w:eastAsia="Times New Roman" w:cs="Arial"/>
                <w:color w:val="000000"/>
                <w:sz w:val="18"/>
                <w:szCs w:val="18"/>
                <w:lang w:val="es-CO" w:eastAsia="es-CO"/>
              </w:rPr>
              <w:t>s</w:t>
            </w:r>
          </w:p>
        </w:tc>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Córdoba</w:t>
            </w:r>
          </w:p>
        </w:tc>
      </w:tr>
      <w:tr w:rsidR="008819AE" w:rsidRPr="00AC0D43" w:rsidTr="00AC0D43">
        <w:trPr>
          <w:trHeight w:val="71"/>
          <w:jc w:val="center"/>
        </w:trPr>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Diseño y construcción Ptar CAE Luis Amigó Cajicá</w:t>
            </w:r>
          </w:p>
        </w:tc>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Cundinamarca</w:t>
            </w:r>
          </w:p>
        </w:tc>
      </w:tr>
      <w:tr w:rsidR="008819AE" w:rsidRPr="00AC0D43" w:rsidTr="00AC0D43">
        <w:trPr>
          <w:trHeight w:val="35"/>
          <w:jc w:val="center"/>
        </w:trPr>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Obras de adecuación CAE Luis Amigó Cajicá</w:t>
            </w:r>
          </w:p>
        </w:tc>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Cundinamarca</w:t>
            </w:r>
          </w:p>
        </w:tc>
      </w:tr>
      <w:tr w:rsidR="008819AE" w:rsidRPr="00AC0D43" w:rsidTr="00AC0D43">
        <w:trPr>
          <w:trHeight w:val="35"/>
          <w:jc w:val="center"/>
        </w:trPr>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Obras de adecuación CAE Leticia</w:t>
            </w:r>
          </w:p>
        </w:tc>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Amazonas</w:t>
            </w:r>
          </w:p>
        </w:tc>
      </w:tr>
      <w:tr w:rsidR="008819AE" w:rsidRPr="00AC0D43" w:rsidTr="00AC0D43">
        <w:trPr>
          <w:trHeight w:val="35"/>
          <w:jc w:val="center"/>
        </w:trPr>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Obras de adecuación CAE Ciudadela Los Zangales Manizales</w:t>
            </w:r>
          </w:p>
        </w:tc>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Caldas</w:t>
            </w:r>
          </w:p>
        </w:tc>
      </w:tr>
      <w:tr w:rsidR="008819AE" w:rsidRPr="00AC0D43" w:rsidTr="00AC0D43">
        <w:trPr>
          <w:trHeight w:val="35"/>
          <w:jc w:val="center"/>
        </w:trPr>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Obras de adecuación CAE San Andrés Isla</w:t>
            </w:r>
          </w:p>
        </w:tc>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San Andrés Isla</w:t>
            </w:r>
          </w:p>
        </w:tc>
      </w:tr>
      <w:tr w:rsidR="008819AE" w:rsidRPr="00AC0D43" w:rsidTr="00AC0D43">
        <w:trPr>
          <w:trHeight w:val="35"/>
          <w:jc w:val="center"/>
        </w:trPr>
        <w:tc>
          <w:tcPr>
            <w:tcW w:w="0" w:type="auto"/>
            <w:noWrap/>
            <w:vAlign w:val="bottom"/>
            <w:hideMark/>
          </w:tcPr>
          <w:p w:rsidR="008819AE" w:rsidRPr="00AC0D43" w:rsidRDefault="00AC0D43" w:rsidP="00476EF8">
            <w:pPr>
              <w:spacing w:after="0"/>
              <w:rPr>
                <w:rFonts w:eastAsia="Times New Roman" w:cs="Arial"/>
                <w:color w:val="000000"/>
                <w:sz w:val="18"/>
                <w:szCs w:val="18"/>
                <w:lang w:val="es-CO" w:eastAsia="es-CO"/>
              </w:rPr>
            </w:pPr>
            <w:r>
              <w:rPr>
                <w:rFonts w:eastAsia="Times New Roman" w:cs="Arial"/>
                <w:color w:val="000000"/>
                <w:sz w:val="18"/>
                <w:szCs w:val="18"/>
                <w:lang w:val="es-CO" w:eastAsia="es-CO"/>
              </w:rPr>
              <w:t>Obras de adecuación CAE Creé</w:t>
            </w:r>
            <w:r w:rsidR="008819AE" w:rsidRPr="00AC0D43">
              <w:rPr>
                <w:rFonts w:eastAsia="Times New Roman" w:cs="Arial"/>
                <w:color w:val="000000"/>
                <w:sz w:val="18"/>
                <w:szCs w:val="18"/>
                <w:lang w:val="es-CO" w:eastAsia="es-CO"/>
              </w:rPr>
              <w:t>me - Marceliano Ossa Pereira</w:t>
            </w:r>
          </w:p>
        </w:tc>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Risaralda</w:t>
            </w:r>
          </w:p>
        </w:tc>
      </w:tr>
      <w:tr w:rsidR="008819AE" w:rsidRPr="00AC0D43" w:rsidTr="00AC0D43">
        <w:trPr>
          <w:trHeight w:val="35"/>
          <w:jc w:val="center"/>
        </w:trPr>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Obras de adecuación CAE Los Samanes Neiva</w:t>
            </w:r>
          </w:p>
        </w:tc>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Huila</w:t>
            </w:r>
          </w:p>
        </w:tc>
      </w:tr>
      <w:tr w:rsidR="008819AE" w:rsidRPr="00AC0D43" w:rsidTr="00AC0D43">
        <w:trPr>
          <w:trHeight w:val="35"/>
          <w:jc w:val="center"/>
        </w:trPr>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Elaboración Plan Maestro de Infraestructura</w:t>
            </w:r>
          </w:p>
        </w:tc>
        <w:tc>
          <w:tcPr>
            <w:tcW w:w="0" w:type="auto"/>
            <w:noWrap/>
            <w:vAlign w:val="bottom"/>
            <w:hideMark/>
          </w:tcPr>
          <w:p w:rsidR="008819AE" w:rsidRPr="00AC0D43" w:rsidRDefault="008819AE" w:rsidP="00476EF8">
            <w:pPr>
              <w:spacing w:after="0"/>
              <w:rPr>
                <w:rFonts w:eastAsia="Times New Roman" w:cs="Arial"/>
                <w:color w:val="000000"/>
                <w:sz w:val="18"/>
                <w:szCs w:val="18"/>
                <w:lang w:val="es-CO" w:eastAsia="es-CO"/>
              </w:rPr>
            </w:pPr>
            <w:r w:rsidRPr="00AC0D43">
              <w:rPr>
                <w:rFonts w:eastAsia="Times New Roman" w:cs="Arial"/>
                <w:color w:val="000000"/>
                <w:sz w:val="18"/>
                <w:szCs w:val="18"/>
                <w:lang w:val="es-CO" w:eastAsia="es-CO"/>
              </w:rPr>
              <w:t>Bogotá D.C.</w:t>
            </w:r>
          </w:p>
        </w:tc>
      </w:tr>
    </w:tbl>
    <w:p w:rsidR="008819AE" w:rsidRPr="007608C2" w:rsidRDefault="008819AE" w:rsidP="008819AE">
      <w:pPr>
        <w:spacing w:before="240"/>
        <w:jc w:val="both"/>
        <w:rPr>
          <w:rFonts w:cs="Arial"/>
          <w:b/>
        </w:rPr>
      </w:pPr>
      <w:r w:rsidRPr="007608C2">
        <w:rPr>
          <w:rFonts w:cs="Arial"/>
          <w:b/>
        </w:rPr>
        <w:t>Proyecto Sueños:</w:t>
      </w:r>
    </w:p>
    <w:p w:rsidR="00AC0D43" w:rsidRDefault="008819AE" w:rsidP="00A44A2B">
      <w:pPr>
        <w:pStyle w:val="Prrafodelista"/>
        <w:numPr>
          <w:ilvl w:val="0"/>
          <w:numId w:val="120"/>
        </w:numPr>
        <w:spacing w:after="0"/>
        <w:jc w:val="both"/>
        <w:rPr>
          <w:rFonts w:cs="Arial"/>
        </w:rPr>
      </w:pPr>
      <w:r w:rsidRPr="007608C2">
        <w:rPr>
          <w:rFonts w:cs="Arial"/>
        </w:rPr>
        <w:t>Establecer a través de las mesas de articulación IES-ICBF, una ruta de acompañamiento y atención prioritaria por parte de las instituciones educativas para los adolescentes y jóvenes del ICBF que se encuentran vinculados a programas de Educación Superior o Formación para el trabajo y el desarrollo humano. Meta: 15 regionales con la ruta de acompañamiento y atención prioritaria por parte de las instituciones educativas implementado.</w:t>
      </w:r>
    </w:p>
    <w:p w:rsidR="00AC0D43" w:rsidRPr="00AC0D43" w:rsidRDefault="00AC0D43" w:rsidP="00AC0D43">
      <w:pPr>
        <w:pStyle w:val="Prrafodelista"/>
        <w:spacing w:after="0"/>
        <w:ind w:left="357"/>
        <w:jc w:val="both"/>
        <w:rPr>
          <w:rFonts w:cs="Arial"/>
        </w:rPr>
      </w:pPr>
    </w:p>
    <w:p w:rsidR="008819AE" w:rsidRDefault="008819AE" w:rsidP="00A44A2B">
      <w:pPr>
        <w:pStyle w:val="Prrafodelista"/>
        <w:numPr>
          <w:ilvl w:val="0"/>
          <w:numId w:val="120"/>
        </w:numPr>
        <w:spacing w:after="0"/>
        <w:jc w:val="both"/>
        <w:rPr>
          <w:rFonts w:cs="Arial"/>
        </w:rPr>
      </w:pPr>
      <w:r w:rsidRPr="007608C2">
        <w:rPr>
          <w:rFonts w:cs="Arial"/>
        </w:rPr>
        <w:t>Lograr la participación de los jóvenes en el modelo COLMUN 2018 de las Naciones Unidas. Meta: 5 jóvenes vinculados al modelo COLMUN 2018.</w:t>
      </w:r>
    </w:p>
    <w:p w:rsidR="00AC0D43" w:rsidRPr="00AC0D43" w:rsidRDefault="00AC0D43" w:rsidP="00AC0D43">
      <w:pPr>
        <w:spacing w:after="0"/>
        <w:jc w:val="both"/>
        <w:rPr>
          <w:rFonts w:cs="Arial"/>
        </w:rPr>
      </w:pPr>
    </w:p>
    <w:p w:rsidR="00AC0D43" w:rsidRPr="00AC0D43" w:rsidRDefault="008819AE" w:rsidP="00A44A2B">
      <w:pPr>
        <w:pStyle w:val="Prrafodelista"/>
        <w:numPr>
          <w:ilvl w:val="0"/>
          <w:numId w:val="120"/>
        </w:numPr>
        <w:spacing w:after="0"/>
        <w:jc w:val="both"/>
        <w:rPr>
          <w:rFonts w:cs="Arial"/>
        </w:rPr>
      </w:pPr>
      <w:r w:rsidRPr="00AC0D43">
        <w:rPr>
          <w:rFonts w:cs="Arial"/>
        </w:rPr>
        <w:t>Fortalecer los componentes de recreación cultura y deporte con las jornadas deportivas culturales y/o recreativas. Meta: 12 Regionales con la implementación de las jornadas deportivas culturales y/o recreativas.</w:t>
      </w:r>
    </w:p>
    <w:p w:rsidR="00AC0D43" w:rsidRPr="00AC0D43" w:rsidRDefault="00AC0D43" w:rsidP="00AC0D43">
      <w:pPr>
        <w:spacing w:after="0"/>
        <w:jc w:val="both"/>
        <w:rPr>
          <w:rFonts w:cs="Arial"/>
        </w:rPr>
      </w:pPr>
    </w:p>
    <w:p w:rsidR="008819AE" w:rsidRDefault="008819AE" w:rsidP="00A44A2B">
      <w:pPr>
        <w:pStyle w:val="Prrafodelista"/>
        <w:numPr>
          <w:ilvl w:val="0"/>
          <w:numId w:val="120"/>
        </w:numPr>
        <w:spacing w:after="0"/>
        <w:jc w:val="both"/>
        <w:rPr>
          <w:rFonts w:cs="Arial"/>
        </w:rPr>
      </w:pPr>
      <w:r w:rsidRPr="007608C2">
        <w:rPr>
          <w:rFonts w:cs="Arial"/>
        </w:rPr>
        <w:lastRenderedPageBreak/>
        <w:t>Poner en marcha y acompañar la implementación casas universitarias en diferentes regionales del ICBF. Meta: 2 casas universitarias en diferentes regionales del ICBF</w:t>
      </w:r>
      <w:r w:rsidR="00AC0D43">
        <w:rPr>
          <w:rFonts w:cs="Arial"/>
        </w:rPr>
        <w:t>.</w:t>
      </w:r>
    </w:p>
    <w:p w:rsidR="00AC0D43" w:rsidRDefault="00AC0D43" w:rsidP="00AC0D43">
      <w:pPr>
        <w:pStyle w:val="Prrafodelista"/>
        <w:spacing w:after="0"/>
        <w:ind w:left="357"/>
        <w:jc w:val="both"/>
        <w:rPr>
          <w:rFonts w:cs="Arial"/>
        </w:rPr>
      </w:pPr>
    </w:p>
    <w:p w:rsidR="008819AE" w:rsidRDefault="008819AE" w:rsidP="00A44A2B">
      <w:pPr>
        <w:pStyle w:val="Prrafodelista"/>
        <w:numPr>
          <w:ilvl w:val="0"/>
          <w:numId w:val="120"/>
        </w:numPr>
        <w:spacing w:after="0"/>
        <w:jc w:val="both"/>
        <w:rPr>
          <w:rFonts w:cs="Arial"/>
        </w:rPr>
      </w:pPr>
      <w:r w:rsidRPr="007608C2">
        <w:rPr>
          <w:rFonts w:cs="Arial"/>
        </w:rPr>
        <w:t>Socializar el ‘lineamiento técnico del modelo para la atención de adolescentes y jóvenes adoptables</w:t>
      </w:r>
      <w:r w:rsidRPr="007608C2">
        <w:rPr>
          <w:rFonts w:cs="Arial"/>
          <w:vertAlign w:val="superscript"/>
        </w:rPr>
        <w:footnoteReference w:id="17"/>
      </w:r>
      <w:r w:rsidRPr="007608C2">
        <w:rPr>
          <w:rFonts w:cs="Arial"/>
        </w:rPr>
        <w:t xml:space="preserve"> o vinculados al sistema de responsabilidad penal, en preparación para la vida autónoma e independiente del proyecto sueños, oportunidades para volar’. Meta: 100% de las regionales del ICBF socializadas.</w:t>
      </w:r>
    </w:p>
    <w:p w:rsidR="00AC0D43" w:rsidRPr="007608C2" w:rsidRDefault="00AC0D43" w:rsidP="00AC0D43">
      <w:pPr>
        <w:pStyle w:val="Prrafodelista"/>
        <w:spacing w:after="0"/>
        <w:ind w:left="357"/>
        <w:jc w:val="both"/>
        <w:rPr>
          <w:rFonts w:cs="Arial"/>
        </w:rPr>
      </w:pPr>
    </w:p>
    <w:p w:rsidR="008819AE" w:rsidRDefault="008819AE" w:rsidP="00A44A2B">
      <w:pPr>
        <w:pStyle w:val="Prrafodelista"/>
        <w:numPr>
          <w:ilvl w:val="0"/>
          <w:numId w:val="120"/>
        </w:numPr>
        <w:spacing w:after="0"/>
        <w:jc w:val="both"/>
        <w:rPr>
          <w:rFonts w:cs="Arial"/>
        </w:rPr>
      </w:pPr>
      <w:r w:rsidRPr="007608C2">
        <w:rPr>
          <w:rFonts w:cs="Arial"/>
        </w:rPr>
        <w:t>Implementar la estrategia de inscripción y registro masivo de beneficiarios en la plataforma fénix. Meta: 6 regionales beneficiadas de las jornadas de inscripción y registro masivo de beneficiarios en la plataforma fénix.</w:t>
      </w:r>
    </w:p>
    <w:p w:rsidR="00AC0D43" w:rsidRPr="00AC0D43" w:rsidRDefault="00AC0D43" w:rsidP="00AC0D43">
      <w:pPr>
        <w:spacing w:after="0"/>
        <w:jc w:val="both"/>
        <w:rPr>
          <w:rFonts w:cs="Arial"/>
        </w:rPr>
      </w:pPr>
    </w:p>
    <w:p w:rsidR="008819AE" w:rsidRPr="007608C2" w:rsidRDefault="008819AE" w:rsidP="00A44A2B">
      <w:pPr>
        <w:pStyle w:val="Prrafodelista"/>
        <w:numPr>
          <w:ilvl w:val="0"/>
          <w:numId w:val="120"/>
        </w:numPr>
        <w:spacing w:after="0"/>
        <w:jc w:val="both"/>
        <w:rPr>
          <w:rFonts w:cs="Arial"/>
        </w:rPr>
      </w:pPr>
      <w:r w:rsidRPr="007608C2">
        <w:rPr>
          <w:rFonts w:cs="Arial"/>
        </w:rPr>
        <w:t>Implementar la estrategia de educación e inclusión laboral para los adolescentes y jóvenes del ICBF en la cual se desarrollarán talleres de preparación para la vida laboral, búsqueda de empleo y emprendimiento, presentación de entrevistas y elaboración de hoja de vida, talleres experienciales sobre la importancia del trabajo, liderazgo, empoderamiento y toma de decisiones.  Meta: 6 regionales beneficiadas estrategia de educación e inclusión laboral para los adolescentes y jóvenes del ICBF</w:t>
      </w:r>
    </w:p>
    <w:p w:rsidR="008819AE" w:rsidRPr="007608C2" w:rsidRDefault="008819AE" w:rsidP="008819AE">
      <w:pPr>
        <w:spacing w:before="240"/>
        <w:jc w:val="both"/>
        <w:rPr>
          <w:rFonts w:cs="Arial"/>
        </w:rPr>
      </w:pPr>
      <w:r w:rsidRPr="007608C2">
        <w:rPr>
          <w:rFonts w:cs="Arial"/>
          <w:b/>
        </w:rPr>
        <w:t>Subdirección de Restablecimiento de Derechos</w:t>
      </w:r>
      <w:r w:rsidRPr="007608C2">
        <w:rPr>
          <w:rFonts w:cs="Arial"/>
        </w:rPr>
        <w:t>:</w:t>
      </w:r>
    </w:p>
    <w:p w:rsidR="008819AE" w:rsidRDefault="008819AE" w:rsidP="00A44A2B">
      <w:pPr>
        <w:pStyle w:val="Prrafodelista"/>
        <w:numPr>
          <w:ilvl w:val="0"/>
          <w:numId w:val="120"/>
        </w:numPr>
        <w:spacing w:after="0"/>
        <w:jc w:val="both"/>
        <w:rPr>
          <w:rFonts w:cs="Arial"/>
        </w:rPr>
      </w:pPr>
      <w:r w:rsidRPr="007608C2">
        <w:rPr>
          <w:rFonts w:cs="Arial"/>
        </w:rPr>
        <w:t>Expedir y publicar los lineamientos relativos a los temas a ‘Niños, niñas y adolescentes víctimas de trata’; ‘Niños, niñas y adolescentes víctimas de uso y utilización por parte de grupos delincuenciales organizados’ y ‘Niños, niñas y adolescentes víctimas de violencia sexual’.</w:t>
      </w:r>
    </w:p>
    <w:p w:rsidR="00AC0D43" w:rsidRPr="007608C2" w:rsidRDefault="00AC0D43" w:rsidP="00AC0D43">
      <w:pPr>
        <w:pStyle w:val="Prrafodelista"/>
        <w:spacing w:after="0"/>
        <w:ind w:left="357"/>
        <w:jc w:val="both"/>
        <w:rPr>
          <w:rFonts w:cs="Arial"/>
        </w:rPr>
      </w:pPr>
    </w:p>
    <w:p w:rsidR="008819AE" w:rsidRPr="007608C2" w:rsidRDefault="008819AE" w:rsidP="00A44A2B">
      <w:pPr>
        <w:pStyle w:val="Prrafodelista"/>
        <w:numPr>
          <w:ilvl w:val="0"/>
          <w:numId w:val="120"/>
        </w:numPr>
        <w:spacing w:after="0"/>
        <w:jc w:val="both"/>
        <w:rPr>
          <w:rFonts w:cs="Arial"/>
        </w:rPr>
      </w:pPr>
      <w:r w:rsidRPr="007608C2">
        <w:rPr>
          <w:rFonts w:cs="Arial"/>
        </w:rPr>
        <w:t xml:space="preserve">Realizar cuatro (4) cursos virtuales Implementados (Modelo, Modalidades, Inclusión social y productiva, Haz de tu casa un hogar sustituto) </w:t>
      </w:r>
    </w:p>
    <w:p w:rsidR="008819AE" w:rsidRPr="007608C2" w:rsidRDefault="008819AE" w:rsidP="008819AE">
      <w:pPr>
        <w:spacing w:before="240"/>
        <w:jc w:val="both"/>
        <w:rPr>
          <w:rFonts w:cs="Arial"/>
          <w:b/>
        </w:rPr>
      </w:pPr>
      <w:r w:rsidRPr="007608C2">
        <w:rPr>
          <w:rFonts w:cs="Arial"/>
          <w:b/>
        </w:rPr>
        <w:t xml:space="preserve">Coordinación de Autoridades Administrativas: </w:t>
      </w:r>
    </w:p>
    <w:p w:rsidR="008819AE" w:rsidRDefault="008819AE" w:rsidP="00A44A2B">
      <w:pPr>
        <w:pStyle w:val="Prrafodelista"/>
        <w:numPr>
          <w:ilvl w:val="0"/>
          <w:numId w:val="120"/>
        </w:numPr>
        <w:spacing w:after="0"/>
        <w:jc w:val="both"/>
        <w:rPr>
          <w:rFonts w:cs="Arial"/>
        </w:rPr>
      </w:pPr>
      <w:r w:rsidRPr="007608C2">
        <w:rPr>
          <w:rFonts w:cs="Arial"/>
        </w:rPr>
        <w:t>Socializar la Guía del Equipo Técnico Interdisciplinario en el PARD v1 G16.p, en las regionales Atlántico, Bogotá, Boyacá, Caquetá, Cauca, Cundinamarca, San Andrés, Amazonas, Arauca, Vichada, Vaupés y Meta.</w:t>
      </w:r>
    </w:p>
    <w:p w:rsidR="00AC0D43" w:rsidRPr="007608C2" w:rsidRDefault="00AC0D43" w:rsidP="00AC0D43">
      <w:pPr>
        <w:pStyle w:val="Prrafodelista"/>
        <w:spacing w:after="0"/>
        <w:ind w:left="357"/>
        <w:jc w:val="both"/>
        <w:rPr>
          <w:rFonts w:cs="Arial"/>
        </w:rPr>
      </w:pPr>
    </w:p>
    <w:p w:rsidR="008819AE" w:rsidRDefault="008819AE" w:rsidP="00A44A2B">
      <w:pPr>
        <w:pStyle w:val="Prrafodelista"/>
        <w:numPr>
          <w:ilvl w:val="0"/>
          <w:numId w:val="120"/>
        </w:numPr>
        <w:spacing w:after="0"/>
        <w:jc w:val="both"/>
        <w:rPr>
          <w:rFonts w:cs="Arial"/>
        </w:rPr>
      </w:pPr>
      <w:r w:rsidRPr="007608C2">
        <w:rPr>
          <w:rFonts w:cs="Arial"/>
        </w:rPr>
        <w:t>150 defensores de Familia cursando el Diplomado de Restablecimiento de Derechos.</w:t>
      </w:r>
    </w:p>
    <w:p w:rsidR="00AC0D43" w:rsidRPr="00AC0D43" w:rsidRDefault="00AC0D43" w:rsidP="00AC0D43">
      <w:pPr>
        <w:spacing w:after="0"/>
        <w:jc w:val="both"/>
        <w:rPr>
          <w:rFonts w:cs="Arial"/>
        </w:rPr>
      </w:pPr>
    </w:p>
    <w:p w:rsidR="008819AE" w:rsidRPr="007608C2" w:rsidRDefault="008819AE" w:rsidP="00A44A2B">
      <w:pPr>
        <w:pStyle w:val="Prrafodelista"/>
        <w:numPr>
          <w:ilvl w:val="0"/>
          <w:numId w:val="120"/>
        </w:numPr>
        <w:spacing w:after="0"/>
        <w:jc w:val="both"/>
        <w:rPr>
          <w:rFonts w:cs="Arial"/>
        </w:rPr>
      </w:pPr>
      <w:r w:rsidRPr="007608C2">
        <w:rPr>
          <w:rFonts w:cs="Arial"/>
        </w:rPr>
        <w:lastRenderedPageBreak/>
        <w:t>Realizar la inducción al 100% de los Defensores de Familia vinculados desde septiembre de 2017 a julio de 2018.</w:t>
      </w:r>
    </w:p>
    <w:p w:rsidR="008819AE" w:rsidRDefault="008819AE" w:rsidP="00A44A2B">
      <w:pPr>
        <w:pStyle w:val="Prrafodelista"/>
        <w:numPr>
          <w:ilvl w:val="0"/>
          <w:numId w:val="120"/>
        </w:numPr>
        <w:spacing w:after="0"/>
        <w:jc w:val="both"/>
        <w:rPr>
          <w:rFonts w:cs="Arial"/>
        </w:rPr>
      </w:pPr>
      <w:r w:rsidRPr="007608C2">
        <w:rPr>
          <w:rFonts w:cs="Arial"/>
        </w:rPr>
        <w:t>Brindar asistencia Técnica a 160 Comisarios de Familia, en temas relacionados con el restablecimiento de derechos, de manera priorizada en las regionales Atlántico, Bogotá, San Andrés, Arauca, Chocó, Boyacá y Cauca.</w:t>
      </w:r>
    </w:p>
    <w:p w:rsidR="00AC0D43" w:rsidRPr="007608C2" w:rsidRDefault="00AC0D43" w:rsidP="00AC0D43">
      <w:pPr>
        <w:pStyle w:val="Prrafodelista"/>
        <w:spacing w:after="0"/>
        <w:ind w:left="357"/>
        <w:jc w:val="both"/>
        <w:rPr>
          <w:rFonts w:cs="Arial"/>
        </w:rPr>
      </w:pPr>
    </w:p>
    <w:p w:rsidR="008819AE" w:rsidRPr="007608C2" w:rsidRDefault="008819AE" w:rsidP="00A44A2B">
      <w:pPr>
        <w:pStyle w:val="Prrafodelista"/>
        <w:numPr>
          <w:ilvl w:val="0"/>
          <w:numId w:val="120"/>
        </w:numPr>
        <w:spacing w:after="0"/>
        <w:jc w:val="both"/>
        <w:rPr>
          <w:rFonts w:cs="Arial"/>
        </w:rPr>
      </w:pPr>
      <w:r w:rsidRPr="007608C2">
        <w:rPr>
          <w:rFonts w:cs="Arial"/>
        </w:rPr>
        <w:t>Socializar la modificación de la Ley 1098 de 2006 a 350 Defensores de Familia pertenecientes a las Macroregionales Andina, Orinoquía, Amazonía, Pacífica y Caribe.</w:t>
      </w:r>
    </w:p>
    <w:p w:rsidR="008819AE" w:rsidRPr="007608C2" w:rsidRDefault="008819AE" w:rsidP="008819AE">
      <w:pPr>
        <w:rPr>
          <w:rFonts w:cs="Arial"/>
        </w:rPr>
      </w:pPr>
    </w:p>
    <w:p w:rsidR="008819AE" w:rsidRPr="007608C2" w:rsidRDefault="008819AE" w:rsidP="008819AE">
      <w:pPr>
        <w:rPr>
          <w:rFonts w:cs="Arial"/>
        </w:rPr>
      </w:pPr>
    </w:p>
    <w:p w:rsidR="00533E26" w:rsidRPr="007608C2" w:rsidRDefault="00533E26" w:rsidP="008819AE">
      <w:pPr>
        <w:rPr>
          <w:rFonts w:cs="Arial"/>
        </w:rPr>
      </w:pPr>
    </w:p>
    <w:p w:rsidR="00533E26" w:rsidRPr="007608C2" w:rsidRDefault="00533E26" w:rsidP="00533E26">
      <w:pPr>
        <w:rPr>
          <w:rFonts w:cs="Arial"/>
        </w:rPr>
      </w:pPr>
    </w:p>
    <w:p w:rsidR="00622F24" w:rsidRDefault="00622F24" w:rsidP="004F4DD7">
      <w:pPr>
        <w:pStyle w:val="Ttulo1"/>
        <w:pageBreakBefore/>
        <w:numPr>
          <w:ilvl w:val="1"/>
          <w:numId w:val="160"/>
        </w:numPr>
        <w:spacing w:before="100" w:beforeAutospacing="1" w:after="100" w:afterAutospacing="1" w:line="720" w:lineRule="auto"/>
        <w:jc w:val="both"/>
        <w:rPr>
          <w:rFonts w:cs="Arial"/>
          <w:szCs w:val="22"/>
        </w:rPr>
      </w:pPr>
      <w:bookmarkStart w:id="109" w:name="_Toc505183070"/>
      <w:r w:rsidRPr="007608C2">
        <w:rPr>
          <w:rFonts w:cs="Arial"/>
          <w:szCs w:val="22"/>
        </w:rPr>
        <w:lastRenderedPageBreak/>
        <w:t>ARTICULACIÓN DEL SISTEMA NACIONAL DE BIENESTAR FAMILIAR</w:t>
      </w:r>
      <w:bookmarkEnd w:id="109"/>
    </w:p>
    <w:p w:rsidR="00823561" w:rsidRPr="007608C2" w:rsidRDefault="00823561" w:rsidP="000D0DF1">
      <w:pPr>
        <w:pStyle w:val="Prrafodelista"/>
        <w:keepNext/>
        <w:keepLines/>
        <w:numPr>
          <w:ilvl w:val="2"/>
          <w:numId w:val="160"/>
        </w:numPr>
        <w:spacing w:before="100" w:beforeAutospacing="1" w:after="100" w:afterAutospacing="1" w:line="240" w:lineRule="auto"/>
        <w:jc w:val="both"/>
        <w:outlineLvl w:val="1"/>
        <w:rPr>
          <w:rFonts w:eastAsiaTheme="majorEastAsia" w:cs="Arial"/>
          <w:b/>
        </w:rPr>
      </w:pPr>
      <w:bookmarkStart w:id="110" w:name="_Toc505183071"/>
      <w:r w:rsidRPr="007608C2">
        <w:rPr>
          <w:rFonts w:eastAsia="Times New Roman" w:cs="Arial"/>
          <w:b/>
          <w:bCs/>
          <w:kern w:val="32"/>
        </w:rPr>
        <w:t>Marco de la Política Pública</w:t>
      </w:r>
      <w:bookmarkEnd w:id="110"/>
      <w:r w:rsidRPr="007608C2">
        <w:rPr>
          <w:rFonts w:eastAsia="Times New Roman" w:cs="Arial"/>
          <w:b/>
          <w:bCs/>
          <w:kern w:val="32"/>
        </w:rPr>
        <w:t xml:space="preserve"> </w:t>
      </w:r>
    </w:p>
    <w:p w:rsidR="00E24A36" w:rsidRPr="007608C2" w:rsidRDefault="00E24A36" w:rsidP="00E24A36">
      <w:pPr>
        <w:pStyle w:val="Prrafodelista"/>
        <w:spacing w:before="100" w:beforeAutospacing="1" w:after="100" w:afterAutospacing="1" w:line="240" w:lineRule="auto"/>
        <w:ind w:left="540"/>
        <w:jc w:val="both"/>
        <w:rPr>
          <w:rFonts w:cs="Arial"/>
          <w:strike/>
        </w:rPr>
      </w:pPr>
      <w:r w:rsidRPr="007608C2">
        <w:rPr>
          <w:rFonts w:cs="Arial"/>
        </w:rPr>
        <w:t>Con la entrada en vigencia de la Ley 1098 de 2006, Código de la Infancia y la Adolescencia, el Sistema Nacional de Bienestar Familiar (SNBF), a través de su rectoría, asignada al ICBF, adquiere la responsabilidad de articular las acciones de las entidades, sectores e instancias responsables de la garantía de los derechos de niños, niñas y adolescentes, la prevención de su vulneración, y la protección y el restablecimiento de estos, en los ámbitos nacional y territorial. Este desafío implica comprender la articulación como un sistema con perspectiva de derechos, que supere la mirada sectorial y en la que el centro de toda acción del Estado, sean los niños, niñas y adolescentes y sus familias. Así mismo, el entendimiento de que la protección integral de los derechos de los niños requiere del concurso del Es</w:t>
      </w:r>
      <w:r w:rsidR="00AC0D43">
        <w:rPr>
          <w:rFonts w:cs="Arial"/>
        </w:rPr>
        <w:t>tado, la Sociedad y la Familia.</w:t>
      </w:r>
    </w:p>
    <w:p w:rsidR="00E24A36" w:rsidRPr="007608C2" w:rsidRDefault="00E24A36" w:rsidP="00E24A36">
      <w:pPr>
        <w:pStyle w:val="Prrafodelista"/>
        <w:spacing w:before="100" w:beforeAutospacing="1" w:after="100" w:afterAutospacing="1" w:line="240" w:lineRule="auto"/>
        <w:ind w:left="540"/>
        <w:jc w:val="both"/>
        <w:rPr>
          <w:rFonts w:cs="Arial"/>
        </w:rPr>
      </w:pPr>
      <w:r w:rsidRPr="007608C2">
        <w:rPr>
          <w:rFonts w:cs="Arial"/>
        </w:rPr>
        <w:t>Esta lógica de actuación como un sistema, demanda la definición de objetivos y metas comunes que no siempre resultan naturales ni obvias para las instituciones. En la medida en que éstas buscan preservar su autonomía e independencia, se presentan dificultades al intentar articular intersectorialmente herramientas de gestión, seguimiento y presupuesto. Si bien los objetivos del SNBF pueden ser compartidos por algunas entidades, no necesariamente éstos se alinean a sus objetivos misionales o sectoriales, entre otra serie de elementos que caracterizan los procesos de articulación interagencial.</w:t>
      </w:r>
    </w:p>
    <w:p w:rsidR="00E24A36" w:rsidRPr="007608C2" w:rsidRDefault="00E24A36" w:rsidP="00E24A36">
      <w:pPr>
        <w:pStyle w:val="Prrafodelista"/>
        <w:autoSpaceDE w:val="0"/>
        <w:autoSpaceDN w:val="0"/>
        <w:adjustRightInd w:val="0"/>
        <w:spacing w:before="100" w:beforeAutospacing="1" w:after="100" w:afterAutospacing="1" w:line="240" w:lineRule="auto"/>
        <w:ind w:left="540"/>
        <w:jc w:val="both"/>
        <w:rPr>
          <w:rFonts w:cs="Arial"/>
          <w:lang w:eastAsia="es-CO"/>
        </w:rPr>
      </w:pPr>
      <w:r w:rsidRPr="007608C2">
        <w:rPr>
          <w:rFonts w:cs="Arial"/>
          <w:lang w:eastAsia="es-CO"/>
        </w:rPr>
        <w:t>El Decreto 936 de 2013 orienta la estructura del SNBF, y lo define como el “conjunto de agentes, instancias de coordinación y articulación y de relaciones existentes entre éstos para dar cumplimiento a la protección integral de los niños, niñas y adolescentes y el fortalecimiento familiar en los ámbitos nacional, departamental, distrital, municipal y resguardos o territorios indígenas”.</w:t>
      </w:r>
    </w:p>
    <w:p w:rsidR="00E24A36" w:rsidRPr="007608C2" w:rsidRDefault="00E24A36" w:rsidP="00E24A36">
      <w:pPr>
        <w:pStyle w:val="Prrafodelista"/>
        <w:spacing w:before="100" w:beforeAutospacing="1" w:after="100" w:afterAutospacing="1" w:line="240" w:lineRule="auto"/>
        <w:ind w:left="540"/>
        <w:jc w:val="both"/>
        <w:rPr>
          <w:rFonts w:cs="Arial"/>
        </w:rPr>
      </w:pPr>
      <w:r w:rsidRPr="007608C2">
        <w:rPr>
          <w:rFonts w:cs="Arial"/>
        </w:rPr>
        <w:t>En este contexto, la Dirección del Sistema Nacional de Bienestar Familiar del Instituto Colombiano de Bienestar Familiar es la dependencia que apoya el cumplimiento del rol de rectoría del Sistema Nacional de Bienestar Familiar, con lo cual el ICBF trasciende un rol meramente de prestador de servicios, y se convierte en un dinamizador de las acciones orientadas a la garantía, prevención, promoción y restablecimiento de los derechos de todos los niños, niñas y adolescentes del país.</w:t>
      </w:r>
    </w:p>
    <w:p w:rsidR="00E24A36" w:rsidRPr="007608C2" w:rsidRDefault="00E24A36" w:rsidP="00E24A36">
      <w:pPr>
        <w:pStyle w:val="Prrafodelista"/>
        <w:spacing w:before="100" w:beforeAutospacing="1" w:after="100" w:afterAutospacing="1" w:line="240" w:lineRule="auto"/>
        <w:ind w:left="540"/>
        <w:jc w:val="both"/>
        <w:rPr>
          <w:rFonts w:cs="Arial"/>
        </w:rPr>
      </w:pPr>
      <w:r w:rsidRPr="007608C2">
        <w:rPr>
          <w:rFonts w:cs="Arial"/>
        </w:rPr>
        <w:t>Para dar respuesta a este reto, la Dirección del Sistema Nacional de Bienestar Familiar tiene como propósito avanzar hacia la definición de objetivos y metas comunes entre agentes y ámbitos del SNBF y en la definición de actividades que tengan como característica la generación de valor agregado a partir de la interacción e interrelación de agentes. Esto es, pasar de concebir la acción del Sistema como la suma de las partes y empezar a transitar hacia la identificación de puntos de intersección donde se encuentran distintos agentes para diseñar, fortalecer o implementar acciones tendientes a consolidar condiciones favorables para el ejercicio de los derechos y el desarrollo integral de niñas, niños y adolescentes con criterios de equidad, bajo el principio de corresponsabilidad.</w:t>
      </w:r>
    </w:p>
    <w:p w:rsidR="00E24A36" w:rsidRPr="007608C2" w:rsidRDefault="00E24A36" w:rsidP="00E24A36">
      <w:pPr>
        <w:pStyle w:val="Prrafodelista"/>
        <w:spacing w:before="100" w:beforeAutospacing="1" w:after="100" w:afterAutospacing="1" w:line="240" w:lineRule="auto"/>
        <w:ind w:left="540"/>
        <w:jc w:val="both"/>
        <w:rPr>
          <w:rFonts w:cs="Arial"/>
          <w:bCs/>
        </w:rPr>
      </w:pPr>
      <w:r w:rsidRPr="007608C2">
        <w:rPr>
          <w:rFonts w:cs="Arial"/>
        </w:rPr>
        <w:lastRenderedPageBreak/>
        <w:t>Frente a los procesos de articulación el SNBF lleva a cabo dos estrategias, la primera consiste en el desarrollo de procesos estratégicos para el funcionamiento del SNBF, dentro de la cual se incluye el funcionamiento de instancias de coordinación y decisión como el Consejo Nacional de Política Social y el Comité Ejecutivo del SNBF y sus correspondientes territoriales.  Igualmente comprende la implementación de herramientas de gestión que vinculen el accionar de los agentes del SNBF y el desarrollo de los componentes del SNBF descritos en el Manual Operativo del SNBF versión 1.0, los principales productos de la gestión se reflejan en herramientas y lineamientos diseñados intersectorialmente para apoyar los procesos de política pública de primera infancia, infancia, adolescencia y fortalecimiento familiar en todos los ámbitos de desarrollo, así como la asistencia técnica para fortalecer las capacidades de los entes territoriales en su gestión del Sistema Nacional de Bienestar Familiar. Dichos procesos se materializan en la ejecución de cada uno de los componentes del SNBF: de planeación, seguimiento y evaluación, normatividad y políticas públicas, fortalecimiento técnico, participación y movilización social y financiamiento. Segundo, se desarrolla la estrategia de articulación sectorial por medio de la</w:t>
      </w:r>
      <w:r w:rsidRPr="007608C2">
        <w:rPr>
          <w:rFonts w:cs="Arial"/>
          <w:bCs/>
        </w:rPr>
        <w:t xml:space="preserve"> cual se generan mecanismos de interlocución y articulación con los diferentes agentes del SNBF, que se orientan a acciones concretas para la garantía de los derechos de niños, niñas y adolescentes, con especial énfasis en aquellos atendidos por el ICBF. </w:t>
      </w:r>
    </w:p>
    <w:p w:rsidR="00E24A36" w:rsidRPr="007608C2" w:rsidRDefault="00E24A36" w:rsidP="00E24A36">
      <w:pPr>
        <w:pStyle w:val="Prrafodelista"/>
        <w:autoSpaceDE w:val="0"/>
        <w:autoSpaceDN w:val="0"/>
        <w:adjustRightInd w:val="0"/>
        <w:spacing w:before="100" w:beforeAutospacing="1" w:after="100" w:afterAutospacing="1" w:line="240" w:lineRule="auto"/>
        <w:ind w:left="540"/>
        <w:jc w:val="both"/>
        <w:rPr>
          <w:rFonts w:cs="Arial"/>
          <w:lang w:eastAsia="es-CO"/>
        </w:rPr>
      </w:pPr>
      <w:r w:rsidRPr="007608C2">
        <w:rPr>
          <w:rFonts w:cs="Arial"/>
          <w:lang w:eastAsia="es-CO"/>
        </w:rPr>
        <w:t>El ICBF además, realiza la secretaría técnica del Consejo Nacional de Política Social y del Comité Ejecutivo del SNBF en el ámbito nacional, y la coordinación técnica de las mesas de infancia, adolescencia y familia en los ámbitos territoriales, de manera que le apuesta a la promoción y articulación del diseño, implementación, seguimiento y evaluación de las políticas públicas de infancia y adolescencia trascendiendo la mera prestación del servicio público.</w:t>
      </w:r>
    </w:p>
    <w:p w:rsidR="00476120" w:rsidRPr="007608C2" w:rsidRDefault="00476120" w:rsidP="000D0DF1">
      <w:pPr>
        <w:pStyle w:val="Ttulo2"/>
        <w:numPr>
          <w:ilvl w:val="2"/>
          <w:numId w:val="160"/>
        </w:numPr>
        <w:rPr>
          <w:rFonts w:cs="Arial"/>
          <w:b/>
        </w:rPr>
      </w:pPr>
      <w:r w:rsidRPr="007608C2">
        <w:rPr>
          <w:rFonts w:cs="Arial"/>
          <w:b/>
        </w:rPr>
        <w:tab/>
      </w:r>
      <w:bookmarkStart w:id="111" w:name="_Toc505183072"/>
      <w:r w:rsidRPr="007608C2">
        <w:rPr>
          <w:rFonts w:cs="Arial"/>
          <w:b/>
        </w:rPr>
        <w:t>Procesos estratégicos del Sistema Nacional de Bienestar Familiar</w:t>
      </w:r>
      <w:bookmarkEnd w:id="111"/>
    </w:p>
    <w:p w:rsidR="00F62EE8" w:rsidRPr="007608C2" w:rsidRDefault="00F62EE8" w:rsidP="00F62EE8">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La propuesta de articulación del SNBF aprobada en el manual operativo y avalada por el Decreto 936 de 2013 se basa en los conceptos de agentes, instancias y ámbitos de acción. Como agentes se entiende a todas las entidades públicas nacionales y territoriales, de la sociedad civil organizada, de la cooperación internacional y del sector privado, que realizan acciones para la protección integral de niños, niñas y adolescentes. Las instancias hacen referencia a los escenarios o espacios de articulación y coordinación que convocan a los agentes para gestionar dichas acciones. Finalmente, los ámbitos de acción corresponden a la nación, los departamentos, los distritos y los municipios.</w:t>
      </w:r>
    </w:p>
    <w:p w:rsidR="00F62EE8" w:rsidRPr="007608C2" w:rsidRDefault="00F62EE8" w:rsidP="00F62EE8">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 xml:space="preserve">Las instancias del SNBF se ordenan en cuatro tipos: </w:t>
      </w:r>
    </w:p>
    <w:p w:rsidR="00F62EE8" w:rsidRDefault="00F62EE8" w:rsidP="00A44A2B">
      <w:pPr>
        <w:pStyle w:val="Prrafodelista"/>
        <w:numPr>
          <w:ilvl w:val="0"/>
          <w:numId w:val="34"/>
        </w:numPr>
        <w:spacing w:before="100" w:beforeAutospacing="1" w:after="100" w:afterAutospacing="1" w:line="240" w:lineRule="auto"/>
        <w:contextualSpacing/>
        <w:jc w:val="both"/>
        <w:rPr>
          <w:rFonts w:eastAsia="Times New Roman" w:cs="Arial"/>
          <w:lang w:eastAsia="es-CO"/>
        </w:rPr>
      </w:pPr>
      <w:r w:rsidRPr="00A57021">
        <w:rPr>
          <w:rFonts w:eastAsia="Times New Roman" w:cs="Arial"/>
          <w:b/>
          <w:lang w:eastAsia="es-CO"/>
        </w:rPr>
        <w:t>Instancias de decisión y orientación:</w:t>
      </w:r>
      <w:r w:rsidRPr="007608C2">
        <w:rPr>
          <w:rFonts w:eastAsia="Times New Roman" w:cs="Arial"/>
          <w:lang w:eastAsia="es-CO"/>
        </w:rPr>
        <w:t xml:space="preserve"> En las que se define la política pública, se movilizan y apropian recursos presupuestales y se dictan líneas de acción. En el ámbito nacional es el Consejo Nacional de Política Social.</w:t>
      </w:r>
    </w:p>
    <w:p w:rsidR="004F4DD7" w:rsidRPr="007608C2" w:rsidRDefault="004F4DD7" w:rsidP="004F4DD7">
      <w:pPr>
        <w:pStyle w:val="Prrafodelista"/>
        <w:spacing w:before="100" w:beforeAutospacing="1" w:after="100" w:afterAutospacing="1" w:line="240" w:lineRule="auto"/>
        <w:ind w:left="360"/>
        <w:contextualSpacing/>
        <w:jc w:val="both"/>
        <w:rPr>
          <w:rFonts w:eastAsia="Times New Roman" w:cs="Arial"/>
          <w:lang w:eastAsia="es-CO"/>
        </w:rPr>
      </w:pPr>
    </w:p>
    <w:p w:rsidR="00F62EE8" w:rsidRPr="00AC0D43" w:rsidRDefault="00F62EE8" w:rsidP="00A44A2B">
      <w:pPr>
        <w:pStyle w:val="Prrafodelista"/>
        <w:numPr>
          <w:ilvl w:val="0"/>
          <w:numId w:val="120"/>
        </w:numPr>
        <w:spacing w:after="0"/>
        <w:jc w:val="both"/>
        <w:rPr>
          <w:rFonts w:cs="Arial"/>
        </w:rPr>
      </w:pPr>
      <w:r w:rsidRPr="00A57021">
        <w:rPr>
          <w:rFonts w:cs="Arial"/>
          <w:b/>
        </w:rPr>
        <w:t>Instancias de operación:</w:t>
      </w:r>
      <w:r w:rsidRPr="00AC0D43">
        <w:rPr>
          <w:rFonts w:cs="Arial"/>
        </w:rPr>
        <w:t xml:space="preserve"> son los espacios de planificación, coordinación y evaluación de la operación del SNBF. En el ámbito nacional es el Comité Ejecutivo del SNBF.</w:t>
      </w:r>
    </w:p>
    <w:p w:rsidR="00AC0D43" w:rsidRPr="00AC0D43" w:rsidRDefault="00AC0D43" w:rsidP="00AC0D43">
      <w:pPr>
        <w:pStyle w:val="Prrafodelista"/>
        <w:spacing w:after="0"/>
        <w:ind w:left="357"/>
        <w:jc w:val="both"/>
        <w:rPr>
          <w:rFonts w:cs="Arial"/>
        </w:rPr>
      </w:pPr>
    </w:p>
    <w:p w:rsidR="00AC0D43" w:rsidRPr="00AC0D43" w:rsidRDefault="00F62EE8" w:rsidP="00A44A2B">
      <w:pPr>
        <w:pStyle w:val="Prrafodelista"/>
        <w:numPr>
          <w:ilvl w:val="0"/>
          <w:numId w:val="120"/>
        </w:numPr>
        <w:spacing w:after="0"/>
        <w:jc w:val="both"/>
        <w:rPr>
          <w:rFonts w:cs="Arial"/>
        </w:rPr>
      </w:pPr>
      <w:r w:rsidRPr="00A57021">
        <w:rPr>
          <w:rFonts w:cs="Arial"/>
          <w:b/>
        </w:rPr>
        <w:t>Instancias de desarrollo técnico:</w:t>
      </w:r>
      <w:r w:rsidRPr="00AC0D43">
        <w:rPr>
          <w:rFonts w:cs="Arial"/>
        </w:rPr>
        <w:t xml:space="preserve"> son los espacios de diseño, articulación, concertación y asesoría en la formulación y ajuste de políticas y estrategias, programas y proyectos. Comprenden diferentes mesas y comités interinstitucionales que se han creado para el desarrollo de políticas específicas relacionadas con los niños, niñas y adolescentes.</w:t>
      </w:r>
    </w:p>
    <w:p w:rsidR="00AC0D43" w:rsidRPr="00AC0D43" w:rsidRDefault="00AC0D43" w:rsidP="00AC0D43">
      <w:pPr>
        <w:pStyle w:val="Prrafodelista"/>
        <w:spacing w:after="0"/>
        <w:ind w:left="357"/>
        <w:jc w:val="both"/>
        <w:rPr>
          <w:rFonts w:cs="Arial"/>
        </w:rPr>
      </w:pPr>
    </w:p>
    <w:p w:rsidR="00F62EE8" w:rsidRPr="00AC0D43" w:rsidRDefault="00F62EE8" w:rsidP="00A44A2B">
      <w:pPr>
        <w:pStyle w:val="Prrafodelista"/>
        <w:numPr>
          <w:ilvl w:val="0"/>
          <w:numId w:val="120"/>
        </w:numPr>
        <w:spacing w:after="0"/>
        <w:jc w:val="both"/>
        <w:rPr>
          <w:rFonts w:cs="Arial"/>
        </w:rPr>
      </w:pPr>
      <w:r w:rsidRPr="00A57021">
        <w:rPr>
          <w:rFonts w:cs="Arial"/>
          <w:b/>
        </w:rPr>
        <w:t>Instancias de participación:</w:t>
      </w:r>
      <w:r w:rsidRPr="00AC0D43">
        <w:rPr>
          <w:rFonts w:cs="Arial"/>
        </w:rPr>
        <w:t xml:space="preserve"> son espacios que propician la participación y movilización de los niños, niñas y adolescentes como actores fundamentales en el diseño e implementación de las políticas públicas dirigidas para ellos.</w:t>
      </w:r>
    </w:p>
    <w:p w:rsidR="00F62EE8" w:rsidRPr="007608C2" w:rsidRDefault="00F62EE8" w:rsidP="00F62EE8">
      <w:pPr>
        <w:autoSpaceDE w:val="0"/>
        <w:autoSpaceDN w:val="0"/>
        <w:adjustRightInd w:val="0"/>
        <w:spacing w:before="100" w:beforeAutospacing="1" w:after="100" w:afterAutospacing="1" w:line="240" w:lineRule="auto"/>
        <w:jc w:val="both"/>
        <w:rPr>
          <w:rFonts w:cs="Arial"/>
          <w:lang w:eastAsia="es-CO"/>
        </w:rPr>
      </w:pPr>
      <w:r w:rsidRPr="007608C2">
        <w:rPr>
          <w:rFonts w:cs="Arial"/>
          <w:lang w:eastAsia="es-CO"/>
        </w:rPr>
        <w:t>En ámbito nacional, el SNBF está conformado por 38 entidades públicas que son fundamentales para la protección integral de niños, niñas y adolescentes entre las cuales se encuentran la Presidencia de la República, 16 ministerios que hacen parte de la Rama Ejecutiva del Estado, dos departamentos administrativos, la Registraduría Nacional del Estado Civil, entidades de la Rama Judicial como la Fiscalía General de la Nación y órganos de control. Adicionalmente, integran el SNBF, 8 entidades que por sus competencias aportan al funcionamiento y objetivos del SNBF; las organizaciones de la sociedad civil y de la cooperación internacional que desarrollen líneas de acción en infancia, adolescencia y fortalecimiento familiar; y las demás entidades o instituciones, públicas o privadas, que contribuyan o estén llamadas a contribuir, de acuerdo con su objeto de constitución o a mandato de ley o reglamento, a garantizar, directa o indirectamente, la prestación del servicio público de bienestar familiar.</w:t>
      </w:r>
    </w:p>
    <w:p w:rsidR="00F62EE8" w:rsidRPr="007608C2" w:rsidRDefault="00F62EE8" w:rsidP="00F62EE8">
      <w:pPr>
        <w:spacing w:before="100" w:beforeAutospacing="1" w:after="100" w:afterAutospacing="1" w:line="240" w:lineRule="auto"/>
        <w:jc w:val="both"/>
        <w:rPr>
          <w:rFonts w:cs="Arial"/>
        </w:rPr>
      </w:pPr>
      <w:r w:rsidRPr="007608C2">
        <w:rPr>
          <w:rFonts w:cs="Arial"/>
          <w:i/>
          <w:u w:val="single"/>
        </w:rPr>
        <w:t>Consejo Nacional de Política Social</w:t>
      </w:r>
      <w:r w:rsidRPr="007608C2">
        <w:rPr>
          <w:rFonts w:cs="Arial"/>
        </w:rPr>
        <w:t xml:space="preserve">: Es la máxima instancia de decisión y orientación del Sistema Nacional de Bienestar Familiar, creado por la Ley 1098 de 2006. Es el ente responsable de diseñar la política pública, movilizar y apropiar los recursos presupuestales y dictar las líneas de acción para garantizar los derechos de los niños, las niñas y los adolescentes y asegurar su protección y restablecimiento en todo el territorio nacional. </w:t>
      </w: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En el 2017 se llevó a cabo una sesión del Consejo Nacional de Política Social el 22 de febrero, en la cual se aprobó la Estrategia Nacional de Prevención del Embarazo Adolescente y la propuesta de modificación de la Comisión Intersectorial de Derechos Sexuales y Reproductivos.</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jc w:val="both"/>
        <w:rPr>
          <w:rFonts w:cs="Arial"/>
        </w:rPr>
      </w:pPr>
      <w:r w:rsidRPr="007608C2">
        <w:rPr>
          <w:rFonts w:cs="Arial"/>
          <w:i/>
          <w:u w:val="single"/>
        </w:rPr>
        <w:t xml:space="preserve">Consejos Territoriales de Política Social: </w:t>
      </w:r>
      <w:r w:rsidRPr="007608C2">
        <w:rPr>
          <w:rFonts w:cs="Arial"/>
        </w:rPr>
        <w:t xml:space="preserve">A partir de la expedición del Decreto 1137 de 1999 se crean los Consejos de Política Social – CPS - como una condición para la articulación funcional de los agentes del Sistema Nacional de Bienestar Familiar – SNBF - en su respectivo territorio, con la responsabilidad de encargarse, entre otras materias, del análisis y seguimiento de las políticas de infancia y familia. Posteriormente, la Ley 1098 de 2006 reafirma la necesidad de contar con estos CPS, de tal forma que los mandatarios locales han ido orientando este espacio de articulación y coordinación en reconocimiento de su autonomía como principio de la democracia y de las posibilidades que brindan estos espacios para su desarrollo territorial.  </w:t>
      </w:r>
    </w:p>
    <w:p w:rsidR="00F62EE8" w:rsidRPr="007608C2" w:rsidRDefault="00F62EE8" w:rsidP="00F62EE8">
      <w:pPr>
        <w:spacing w:before="100" w:beforeAutospacing="1" w:after="100" w:afterAutospacing="1" w:line="240" w:lineRule="auto"/>
        <w:jc w:val="both"/>
        <w:rPr>
          <w:rFonts w:cs="Arial"/>
        </w:rPr>
      </w:pPr>
      <w:r w:rsidRPr="007608C2">
        <w:rPr>
          <w:rFonts w:cs="Arial"/>
        </w:rPr>
        <w:t xml:space="preserve">Los CPS en los territorios del país es una instancia de decisión que busca incidir en la formulación, ejecución y evaluación de las políticas públicas en el ámbito social, diseñadas para el bienestar integral de la población, en particular de los niños, niñas, adolescentes, jóvenes y las familias, aplicando los principios de equidad y corresponsabilidad. De acuerdo con el Decreto 936 de 2013, </w:t>
      </w:r>
      <w:r w:rsidRPr="007608C2">
        <w:rPr>
          <w:rFonts w:cs="Arial"/>
        </w:rPr>
        <w:lastRenderedPageBreak/>
        <w:t>los CPS en los territorios actúan como instancias en las cuales se toman decisiones, se dan orientaciones y se realiza el seguimiento a las políticas públicas de infancia, adolescencia y familia.</w:t>
      </w:r>
    </w:p>
    <w:p w:rsidR="00F62EE8" w:rsidRPr="007608C2" w:rsidRDefault="00F62EE8" w:rsidP="00F62EE8">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 xml:space="preserve">La Procuraduría General de la Nación mediante Directiva número 002 del 14 de marzo de 2011, insta a los Gobernadores, a los Alcaldes y al Instituto Colombiano de Bienestar Familiar para que asuman las responsabilidades que les son propias en la organización y funcionamiento de los Consejos de Política Social, tal como lo dispone el artículo </w:t>
      </w:r>
      <w:hyperlink r:id="rId24" w:anchor="207" w:history="1">
        <w:r w:rsidRPr="007608C2">
          <w:rPr>
            <w:rFonts w:eastAsia="Times New Roman" w:cs="Arial"/>
            <w:lang w:eastAsia="es-CO"/>
          </w:rPr>
          <w:t>207</w:t>
        </w:r>
      </w:hyperlink>
      <w:r w:rsidRPr="007608C2">
        <w:rPr>
          <w:rFonts w:eastAsia="Times New Roman" w:cs="Arial"/>
          <w:lang w:eastAsia="es-CO"/>
        </w:rPr>
        <w:t xml:space="preserve"> del Código de la Infancia y la Adolescencia. En este mismo sentido, el ICBF expidió la Resolución 11404 el 24 de diciembre de 2013 mediante la cual establece el esquema de seguimiento a los procesos de gestión de los Consejos de Política Social Territorial (CPS). </w:t>
      </w:r>
    </w:p>
    <w:p w:rsidR="00F62EE8" w:rsidRPr="007608C2" w:rsidRDefault="00F62EE8" w:rsidP="00F62EE8">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 xml:space="preserve">Para dar cumplimento a dicha resolución, la Dirección del SNBF realiza un monitoreo permanente y controlado con el fin de aumentar las capacidades de los Consejos de Política Social a nivel territorial, como espacios de articulación de agentes a favor de la garantía de derechos de los niños, las niñas y los adolescentes. Durante 2017, se realizó un acompañamiento permanente al funcionamiento de los CPS a nivel territorial, con lo cual se ha logrado que éstos cuenten con planes de acción, incluyan en su estructura las mesas de Infancia y Adolescencia, las mesas de participación de Niños y Niñas, y se realice un seguimiento a la formulación e implementación de las políticas públicas de Infancia y Adolescencia. </w:t>
      </w:r>
    </w:p>
    <w:p w:rsidR="00F62EE8" w:rsidRPr="007608C2" w:rsidRDefault="00F62EE8" w:rsidP="00F62EE8">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 xml:space="preserve">Las cifras a continuación, muestran el comportamiento del funcionamiento de los CPS a nivel departamental, distrital y municipal y demás aspectos relacionados con el SNBF: </w:t>
      </w:r>
    </w:p>
    <w:p w:rsidR="00F62EE8" w:rsidRPr="007608C2" w:rsidRDefault="00F62EE8" w:rsidP="00F62EE8">
      <w:pPr>
        <w:spacing w:before="100" w:beforeAutospacing="1" w:after="100" w:afterAutospacing="1" w:line="240" w:lineRule="auto"/>
        <w:jc w:val="both"/>
        <w:rPr>
          <w:rFonts w:cs="Arial"/>
          <w:bCs/>
          <w:lang w:eastAsia="es-ES"/>
        </w:rPr>
      </w:pPr>
      <w:r w:rsidRPr="007608C2">
        <w:rPr>
          <w:rFonts w:cs="Arial"/>
          <w:bCs/>
          <w:lang w:eastAsia="es-ES"/>
        </w:rPr>
        <w:t xml:space="preserve">Durante el primer semestre de 2017, en los 32 departamentos del país y el distrito capital, se realizaron en total 48 sesiones del CPS; a saber, en el Departamento de Amazonas, Caquetá y Sucre, que equivale al 9.09% del total, se realizaron tres sesiones de CPS. En 15 departamentos que equivale al 45.45%, se realizaron dos sesiones de CPS, en nueve departamentos que equivale al 27.27%, se realizó una sesión de CPS y en seis departamentos, que equivale al 18.18%, no se realizaron sesiones de CPS. </w:t>
      </w:r>
    </w:p>
    <w:p w:rsidR="00F62EE8" w:rsidRPr="007608C2" w:rsidRDefault="00F62EE8" w:rsidP="00F62EE8">
      <w:pPr>
        <w:spacing w:before="100" w:beforeAutospacing="1" w:after="100" w:afterAutospacing="1" w:line="240" w:lineRule="auto"/>
        <w:jc w:val="both"/>
        <w:rPr>
          <w:rFonts w:cs="Arial"/>
          <w:bCs/>
          <w:lang w:eastAsia="es-ES"/>
        </w:rPr>
      </w:pPr>
      <w:r w:rsidRPr="007608C2">
        <w:rPr>
          <w:rFonts w:cs="Arial"/>
          <w:bCs/>
          <w:lang w:eastAsia="es-ES"/>
        </w:rPr>
        <w:t>En los 1.100 municipios y las 20 localidades del distrito capital en el primer semestre de 2017, se realizaron en total 1.893 sesiones del CPS, así: en 20 entidades territoriales se realizaron más de cuatro sesiones, lo que equivale al 2.9%; se realizaron cuatro sesiones, en 107 entes territoriales,</w:t>
      </w:r>
      <w:r w:rsidRPr="007608C2">
        <w:rPr>
          <w:rFonts w:cs="Arial"/>
        </w:rPr>
        <w:t xml:space="preserve"> </w:t>
      </w:r>
      <w:r w:rsidRPr="007608C2">
        <w:rPr>
          <w:rFonts w:cs="Arial"/>
          <w:bCs/>
          <w:lang w:eastAsia="es-ES"/>
        </w:rPr>
        <w:t>que equivale al 9.5%; se realizaron tres sesiones, en 574 entes territoriales, que equivale al 51.25%; se realizaron dos sesiones en 194 entes territoriales, que equivale al 17.32%; se realizó una sesión. Y en 193 entes territoriales, que equivale al 17.23% del total de los entes territoriales, no se realizaron sesiones de CPS.</w:t>
      </w:r>
    </w:p>
    <w:p w:rsidR="00F62EE8" w:rsidRPr="007608C2" w:rsidRDefault="00F62EE8" w:rsidP="00F62EE8">
      <w:pPr>
        <w:spacing w:before="100" w:beforeAutospacing="1" w:after="100" w:afterAutospacing="1" w:line="240" w:lineRule="auto"/>
        <w:jc w:val="both"/>
        <w:rPr>
          <w:rFonts w:eastAsia="Times New Roman" w:cs="Arial"/>
          <w:kern w:val="24"/>
          <w:lang w:eastAsia="es-ES"/>
        </w:rPr>
      </w:pPr>
      <w:r w:rsidRPr="007608C2">
        <w:rPr>
          <w:rFonts w:cs="Arial"/>
          <w:i/>
          <w:u w:val="single"/>
        </w:rPr>
        <w:t>Comité Ejecutivo del Sistema Nacional de Bienestar Familiar</w:t>
      </w:r>
      <w:r w:rsidRPr="007608C2">
        <w:rPr>
          <w:rFonts w:cs="Arial"/>
          <w:i/>
        </w:rPr>
        <w:t xml:space="preserve">: </w:t>
      </w:r>
      <w:r w:rsidRPr="007608C2">
        <w:rPr>
          <w:rFonts w:cs="Arial"/>
        </w:rPr>
        <w:t>Creado por el Decreto 936 de 2013, es la instancia de coordinación y operación del SNBF en el ámbito nacional. El ICBF en calidad de secretaría técnica de la instancia, ha mantenido su funcionamiento constante entre julio de 2013 y octubre de 2017, periodo en el cual se han llevado a cabo 34 sesiones ordinarias, una sesión ampliada, una extraordinaria y una sesión virtual. Durante el año 2017 el Comité sesionó seis veces de forma ordinaria y una virtual. En el marco del Comité se obtuvieron los siguientes productos:</w:t>
      </w:r>
    </w:p>
    <w:p w:rsidR="00F62EE8" w:rsidRDefault="00F62EE8" w:rsidP="00A44A2B">
      <w:pPr>
        <w:pStyle w:val="Prrafodelista"/>
        <w:numPr>
          <w:ilvl w:val="0"/>
          <w:numId w:val="97"/>
        </w:numPr>
        <w:spacing w:after="0" w:line="240" w:lineRule="auto"/>
        <w:jc w:val="both"/>
        <w:rPr>
          <w:rFonts w:eastAsia="Times New Roman" w:cs="Arial"/>
          <w:kern w:val="24"/>
          <w:lang w:eastAsia="es-ES"/>
        </w:rPr>
      </w:pPr>
      <w:r w:rsidRPr="007608C2">
        <w:rPr>
          <w:rFonts w:eastAsia="Times New Roman" w:cs="Arial"/>
          <w:kern w:val="24"/>
          <w:lang w:eastAsia="es-ES"/>
        </w:rPr>
        <w:lastRenderedPageBreak/>
        <w:t>Aprobación de la metodología del proceso de Rendición Pública de Cuentas Nacional sobre la garantía de derechos de niños, niños y adolescentes.Presentación del Protocolo para la toma de decisiones con apoyo para las personas con discapacidad social y cognitiva, y el mecanismo transitorio al Protocolo.</w:t>
      </w:r>
    </w:p>
    <w:p w:rsidR="005A0A4D" w:rsidRPr="007608C2" w:rsidRDefault="005A0A4D" w:rsidP="005A0A4D">
      <w:pPr>
        <w:pStyle w:val="Prrafodelista"/>
        <w:spacing w:after="0" w:line="240" w:lineRule="auto"/>
        <w:ind w:left="360"/>
        <w:jc w:val="both"/>
        <w:rPr>
          <w:rFonts w:eastAsia="Times New Roman" w:cs="Arial"/>
          <w:kern w:val="24"/>
          <w:lang w:eastAsia="es-ES"/>
        </w:rPr>
      </w:pPr>
    </w:p>
    <w:p w:rsidR="00F62EE8" w:rsidRDefault="00F62EE8" w:rsidP="00A44A2B">
      <w:pPr>
        <w:pStyle w:val="Prrafodelista"/>
        <w:numPr>
          <w:ilvl w:val="0"/>
          <w:numId w:val="97"/>
        </w:numPr>
        <w:spacing w:after="0" w:line="240" w:lineRule="auto"/>
        <w:jc w:val="both"/>
        <w:rPr>
          <w:rFonts w:eastAsia="Times New Roman" w:cs="Arial"/>
          <w:kern w:val="24"/>
          <w:lang w:eastAsia="es-ES"/>
        </w:rPr>
      </w:pPr>
      <w:r w:rsidRPr="007608C2">
        <w:rPr>
          <w:rFonts w:eastAsia="Times New Roman" w:cs="Arial"/>
          <w:kern w:val="24"/>
          <w:lang w:eastAsia="es-ES"/>
        </w:rPr>
        <w:t>Presentación resultados del Índice de Derechos de la Niñez 2014-2015.</w:t>
      </w:r>
    </w:p>
    <w:p w:rsidR="005A0A4D" w:rsidRPr="005A0A4D" w:rsidRDefault="005A0A4D" w:rsidP="005A0A4D">
      <w:pPr>
        <w:spacing w:after="0" w:line="240" w:lineRule="auto"/>
        <w:jc w:val="both"/>
        <w:rPr>
          <w:rFonts w:eastAsia="Times New Roman" w:cs="Arial"/>
          <w:kern w:val="24"/>
          <w:lang w:eastAsia="es-ES"/>
        </w:rPr>
      </w:pPr>
    </w:p>
    <w:p w:rsidR="00F62EE8" w:rsidRPr="005A0A4D" w:rsidRDefault="00F62EE8" w:rsidP="00A44A2B">
      <w:pPr>
        <w:pStyle w:val="Prrafodelista"/>
        <w:numPr>
          <w:ilvl w:val="0"/>
          <w:numId w:val="97"/>
        </w:numPr>
        <w:spacing w:after="0" w:line="240" w:lineRule="auto"/>
        <w:jc w:val="both"/>
        <w:rPr>
          <w:rFonts w:eastAsia="Times New Roman" w:cs="Arial"/>
          <w:kern w:val="24"/>
          <w:lang w:val="es-CO" w:eastAsia="es-ES"/>
        </w:rPr>
      </w:pPr>
      <w:r w:rsidRPr="007608C2">
        <w:rPr>
          <w:rFonts w:eastAsia="Times New Roman" w:cs="Arial"/>
          <w:bCs/>
          <w:kern w:val="24"/>
          <w:lang w:val="es-CO" w:eastAsia="es-ES"/>
        </w:rPr>
        <w:t>Presentación modificación Decreto 859/1995 y avances Política Pública de Prevención y Erradicación de Trabajo Infantil y protección al adolescente trabajador 2016 – 2026.</w:t>
      </w:r>
    </w:p>
    <w:p w:rsidR="005A0A4D" w:rsidRPr="005A0A4D" w:rsidRDefault="005A0A4D" w:rsidP="005A0A4D">
      <w:pPr>
        <w:spacing w:after="0" w:line="240" w:lineRule="auto"/>
        <w:jc w:val="both"/>
        <w:rPr>
          <w:rFonts w:eastAsia="Times New Roman" w:cs="Arial"/>
          <w:kern w:val="24"/>
          <w:lang w:val="es-CO" w:eastAsia="es-ES"/>
        </w:rPr>
      </w:pPr>
    </w:p>
    <w:p w:rsidR="00F62EE8" w:rsidRPr="005A0A4D" w:rsidRDefault="00F62EE8" w:rsidP="00A44A2B">
      <w:pPr>
        <w:pStyle w:val="Prrafodelista"/>
        <w:numPr>
          <w:ilvl w:val="0"/>
          <w:numId w:val="97"/>
        </w:numPr>
        <w:spacing w:after="0" w:line="240" w:lineRule="auto"/>
        <w:jc w:val="both"/>
        <w:rPr>
          <w:rFonts w:cs="Arial"/>
        </w:rPr>
      </w:pPr>
      <w:r w:rsidRPr="007608C2">
        <w:rPr>
          <w:rFonts w:eastAsia="Times New Roman" w:cs="Arial"/>
          <w:kern w:val="24"/>
          <w:lang w:eastAsia="es-ES"/>
        </w:rPr>
        <w:t>Validación de los documentos ABC de planes de Acción del SNBF en el territorio y ABC de políticas públicas.</w:t>
      </w:r>
    </w:p>
    <w:p w:rsidR="005A0A4D" w:rsidRPr="005A0A4D" w:rsidRDefault="005A0A4D" w:rsidP="005A0A4D">
      <w:pPr>
        <w:spacing w:after="0" w:line="240" w:lineRule="auto"/>
        <w:jc w:val="both"/>
        <w:rPr>
          <w:rFonts w:cs="Arial"/>
        </w:rPr>
      </w:pPr>
    </w:p>
    <w:p w:rsidR="00F62EE8" w:rsidRDefault="00F62EE8" w:rsidP="00A44A2B">
      <w:pPr>
        <w:pStyle w:val="Prrafodelista"/>
        <w:numPr>
          <w:ilvl w:val="0"/>
          <w:numId w:val="97"/>
        </w:numPr>
        <w:spacing w:after="0" w:line="240" w:lineRule="auto"/>
        <w:jc w:val="both"/>
        <w:rPr>
          <w:rFonts w:cs="Arial"/>
        </w:rPr>
      </w:pPr>
      <w:r w:rsidRPr="007608C2">
        <w:rPr>
          <w:rFonts w:eastAsia="Times New Roman" w:cs="Arial"/>
          <w:kern w:val="24"/>
          <w:lang w:eastAsia="es-ES"/>
        </w:rPr>
        <w:t>Presentación Observatorio de Política Criminal</w:t>
      </w:r>
      <w:r w:rsidRPr="007608C2">
        <w:rPr>
          <w:rFonts w:cs="Arial"/>
        </w:rPr>
        <w:t>.</w:t>
      </w:r>
    </w:p>
    <w:p w:rsidR="005A0A4D" w:rsidRPr="005A0A4D" w:rsidRDefault="005A0A4D" w:rsidP="005A0A4D">
      <w:pPr>
        <w:spacing w:after="0" w:line="240" w:lineRule="auto"/>
        <w:jc w:val="both"/>
        <w:rPr>
          <w:rFonts w:cs="Arial"/>
        </w:rPr>
      </w:pPr>
    </w:p>
    <w:p w:rsidR="00F62EE8" w:rsidRPr="005A0A4D" w:rsidRDefault="00F62EE8" w:rsidP="00A44A2B">
      <w:pPr>
        <w:pStyle w:val="Prrafodelista"/>
        <w:numPr>
          <w:ilvl w:val="0"/>
          <w:numId w:val="97"/>
        </w:numPr>
        <w:spacing w:after="0" w:line="240" w:lineRule="auto"/>
        <w:jc w:val="both"/>
        <w:rPr>
          <w:rFonts w:cs="Arial"/>
        </w:rPr>
      </w:pPr>
      <w:r w:rsidRPr="007608C2">
        <w:rPr>
          <w:rFonts w:cs="Arial"/>
        </w:rPr>
        <w:t>Resultados evaluación del piloto de embarazo en adolescentes Programa “Más Familias en Acción”</w:t>
      </w:r>
      <w:r w:rsidRPr="007608C2">
        <w:rPr>
          <w:rFonts w:eastAsia="Times New Roman" w:cs="Arial"/>
          <w:kern w:val="24"/>
          <w:lang w:eastAsia="es-ES"/>
        </w:rPr>
        <w:t>.</w:t>
      </w:r>
    </w:p>
    <w:p w:rsidR="005A0A4D" w:rsidRPr="005A0A4D" w:rsidRDefault="005A0A4D" w:rsidP="005A0A4D">
      <w:pPr>
        <w:spacing w:after="0" w:line="240" w:lineRule="auto"/>
        <w:jc w:val="both"/>
        <w:rPr>
          <w:rFonts w:cs="Arial"/>
        </w:rPr>
      </w:pPr>
    </w:p>
    <w:p w:rsidR="00F62EE8" w:rsidRDefault="00F62EE8" w:rsidP="00A44A2B">
      <w:pPr>
        <w:pStyle w:val="Prrafodelista"/>
        <w:numPr>
          <w:ilvl w:val="0"/>
          <w:numId w:val="97"/>
        </w:numPr>
        <w:spacing w:after="0" w:line="240" w:lineRule="auto"/>
        <w:jc w:val="both"/>
        <w:rPr>
          <w:rFonts w:cs="Arial"/>
        </w:rPr>
      </w:pPr>
      <w:r w:rsidRPr="007608C2">
        <w:rPr>
          <w:rFonts w:cs="Arial"/>
        </w:rPr>
        <w:t>Análisis del fallo de la tutela No. 2016-097 -01, Fundación para la Atención de la Niñez en el Departamento del Chocó – FANICH.</w:t>
      </w:r>
    </w:p>
    <w:p w:rsidR="005A0A4D" w:rsidRPr="005A0A4D" w:rsidRDefault="005A0A4D" w:rsidP="005A0A4D">
      <w:pPr>
        <w:spacing w:after="0" w:line="240" w:lineRule="auto"/>
        <w:jc w:val="both"/>
        <w:rPr>
          <w:rFonts w:cs="Arial"/>
        </w:rPr>
      </w:pPr>
    </w:p>
    <w:p w:rsidR="00F62EE8" w:rsidRDefault="00F62EE8" w:rsidP="00A44A2B">
      <w:pPr>
        <w:pStyle w:val="Prrafodelista"/>
        <w:numPr>
          <w:ilvl w:val="0"/>
          <w:numId w:val="97"/>
        </w:numPr>
        <w:spacing w:after="0" w:line="240" w:lineRule="auto"/>
        <w:jc w:val="both"/>
        <w:rPr>
          <w:rFonts w:cs="Arial"/>
        </w:rPr>
      </w:pPr>
      <w:r w:rsidRPr="007608C2">
        <w:rPr>
          <w:rFonts w:cs="Arial"/>
        </w:rPr>
        <w:t>Sistema de alertas tempranas de vulneración de derechos para niños, niñas y adolescentes en el Programa “Más Familias en Acción.</w:t>
      </w:r>
    </w:p>
    <w:p w:rsidR="005A0A4D" w:rsidRPr="005A0A4D" w:rsidRDefault="005A0A4D" w:rsidP="005A0A4D">
      <w:pPr>
        <w:spacing w:after="0" w:line="240" w:lineRule="auto"/>
        <w:jc w:val="both"/>
        <w:rPr>
          <w:rFonts w:cs="Arial"/>
        </w:rPr>
      </w:pPr>
    </w:p>
    <w:p w:rsidR="00F62EE8" w:rsidRPr="005A0A4D" w:rsidRDefault="00F62EE8" w:rsidP="00A44A2B">
      <w:pPr>
        <w:pStyle w:val="Prrafodelista"/>
        <w:numPr>
          <w:ilvl w:val="0"/>
          <w:numId w:val="97"/>
        </w:numPr>
        <w:spacing w:after="0" w:line="240" w:lineRule="auto"/>
        <w:jc w:val="both"/>
        <w:rPr>
          <w:rFonts w:cs="Arial"/>
        </w:rPr>
      </w:pPr>
      <w:r w:rsidRPr="007608C2">
        <w:rPr>
          <w:rFonts w:eastAsia="Times New Roman" w:cs="Arial"/>
          <w:kern w:val="24"/>
          <w:lang w:val="es-CO" w:eastAsia="es-ES"/>
        </w:rPr>
        <w:t>Presentación del informe del Plan de Acción del SNBF con corte 31 de diciembre de 2016.</w:t>
      </w:r>
    </w:p>
    <w:p w:rsidR="005A0A4D" w:rsidRPr="005A0A4D" w:rsidRDefault="005A0A4D" w:rsidP="005A0A4D">
      <w:pPr>
        <w:spacing w:after="0" w:line="240" w:lineRule="auto"/>
        <w:jc w:val="both"/>
        <w:rPr>
          <w:rFonts w:cs="Arial"/>
        </w:rPr>
      </w:pPr>
    </w:p>
    <w:p w:rsidR="00F62EE8" w:rsidRPr="007608C2" w:rsidRDefault="00F62EE8" w:rsidP="00A44A2B">
      <w:pPr>
        <w:pStyle w:val="Prrafodelista"/>
        <w:numPr>
          <w:ilvl w:val="0"/>
          <w:numId w:val="97"/>
        </w:numPr>
        <w:spacing w:after="0" w:line="240" w:lineRule="auto"/>
        <w:jc w:val="both"/>
        <w:rPr>
          <w:rFonts w:cs="Arial"/>
        </w:rPr>
      </w:pPr>
      <w:r w:rsidRPr="007608C2">
        <w:rPr>
          <w:rFonts w:eastAsia="Times New Roman" w:cs="Arial"/>
          <w:kern w:val="24"/>
          <w:lang w:val="es-CO" w:eastAsia="es-ES"/>
        </w:rPr>
        <w:t>Validación de la Línea de Política pública para Prevenir y Erradicar el Trabajo Infantil y Proteger Integralmente al Adolescente Trabajador</w:t>
      </w:r>
      <w:r w:rsidRPr="007608C2">
        <w:rPr>
          <w:rFonts w:cs="Arial"/>
        </w:rPr>
        <w:t>Comentarios y discusión del documento para la formulación de la política nacional de infancia y adolescencia”.</w:t>
      </w:r>
    </w:p>
    <w:p w:rsidR="00F62EE8" w:rsidRPr="007608C2" w:rsidRDefault="00F62EE8" w:rsidP="00F62EE8">
      <w:pPr>
        <w:spacing w:before="100" w:beforeAutospacing="1" w:after="100" w:afterAutospacing="1" w:line="240" w:lineRule="auto"/>
        <w:jc w:val="both"/>
        <w:rPr>
          <w:rFonts w:eastAsia="Times New Roman" w:cs="Arial"/>
          <w:lang w:eastAsia="es-CO"/>
        </w:rPr>
      </w:pPr>
      <w:r w:rsidRPr="007608C2">
        <w:rPr>
          <w:rFonts w:cs="Arial"/>
          <w:i/>
          <w:u w:val="single"/>
        </w:rPr>
        <w:t>Mesa o comité de primera infancia, infancia, adolescencia y fortalecimiento familiar, conformada en la estructura de los CPS</w:t>
      </w:r>
      <w:r w:rsidRPr="007608C2">
        <w:rPr>
          <w:rFonts w:cs="Arial"/>
          <w:i/>
        </w:rPr>
        <w:t xml:space="preserve"> : </w:t>
      </w:r>
      <w:r w:rsidR="005A0A4D">
        <w:rPr>
          <w:rFonts w:eastAsia="Times New Roman" w:cs="Arial"/>
          <w:lang w:eastAsia="es-CO"/>
        </w:rPr>
        <w:t>d</w:t>
      </w:r>
      <w:r w:rsidRPr="007608C2">
        <w:rPr>
          <w:rFonts w:eastAsia="Times New Roman" w:cs="Arial"/>
          <w:lang w:eastAsia="es-CO"/>
        </w:rPr>
        <w:t xml:space="preserve">e acuerdo con el Decreto 936 de 2013 se define a las Mesas de Primera Infancia, Infancia, Adolescencia y Fortalecimiento Familiar (MIAF) en los departamentos y el D.C., como las instancias de operación y desarrollo técnico del SNBF que, en el modelo de gestión del CPS territorial se articula como la mesa especializada en la que deben concurrir las temáticas, mesas y comités relacionados con infancia, adolescencia y fortalecimiento familiar. Por tanto, se constituye en un escenario propicio para la articulación y coordinación de las entidades públicas, privadas y de la sociedad civil que apoyan gestión de la implementación de la política pública de Infancia, Adolescencia y Familia con el claro objetivo de concretar la atención integral de niños, niñas y adolescentes. </w:t>
      </w:r>
    </w:p>
    <w:p w:rsidR="00F62EE8" w:rsidRPr="007608C2" w:rsidRDefault="00F62EE8" w:rsidP="00F62EE8">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t xml:space="preserve">En tal sentido, en el nivel territorial se prestó asistencia técnica desde el SNBF no sólo para su creación y conformación sino para su funcionamiento y gestión, logrando que, en los 32 departamentos, el D.C., 1.100 Municipios y las 20 localidades del D.C., en total1.120 entes territoriales, se encuentre conformada dicha instancia de operación para un porcentaje de cumplimiento del 100%. </w:t>
      </w:r>
    </w:p>
    <w:p w:rsidR="00F62EE8" w:rsidRPr="007608C2" w:rsidRDefault="00F62EE8" w:rsidP="00F62EE8">
      <w:pPr>
        <w:spacing w:before="100" w:beforeAutospacing="1" w:after="100" w:afterAutospacing="1" w:line="240" w:lineRule="auto"/>
        <w:jc w:val="both"/>
        <w:rPr>
          <w:rFonts w:eastAsia="Times New Roman" w:cs="Arial"/>
          <w:lang w:eastAsia="es-CO"/>
        </w:rPr>
      </w:pPr>
      <w:r w:rsidRPr="007608C2">
        <w:rPr>
          <w:rFonts w:eastAsia="Times New Roman" w:cs="Arial"/>
          <w:lang w:eastAsia="es-CO"/>
        </w:rPr>
        <w:lastRenderedPageBreak/>
        <w:t xml:space="preserve">En relación con su funcionamiento, todas las Mesas en los departamentos y el distrito capital evidencian dinámica de funcionamiento, en este sentido, se realizaron 97 sesiones de las MIAF durante el primer semestre de 2017. En el Departamento de Antioquia, que equivalente al 3.03% del total, se realizaron nueve sesiones de la mesa, en dos departamentos, correspondiente al 6.06%, se realizaron entre siete y seis sesiones de la mesa; en 11 departamentos y el distrito capital, que equivale al 33.33%, se realizaron entre cinco y tres sesiones de la mesa; en 13 departamentos, equivalente al 39.39%, se realizaron dos sesiones de la mesa, y en seis departamentos, que equivalen al 18.18% del total de departamentos se realizó una sesión de la MIAF. Por su parte, en los municipios y localidades del distrito capital, se realizaron en total 2.371 sesiones de las Mesas; a saber, en las localidades de Fontibón y Suba, que equivalen al 0.17% del total, se realizaron 10 sesiones de la mesa, en el municipio de Marulanda, en el departamento de Caldas, que equivale al 0.08% se realizaron nueve sesiones; en 16 entes territoriales, que equivalen al 1.42%, se realizaron entre ocho y seis sesiones; en 259 entes territoriales, que equivalen al 23.12%, se realizaron entre cinco y tres sesiones; en 776 entes territoriales, que equivalen al 69.2%, se realizaron entre una y dos sesiones de la mesa; y en 66 entes territoriales, que equivalen al 5.89% del total de estos entes territoriales,  no se realizaron sesiones de la mesa. </w:t>
      </w:r>
    </w:p>
    <w:p w:rsidR="00476120" w:rsidRPr="007608C2" w:rsidRDefault="00476120" w:rsidP="000D0DF1">
      <w:pPr>
        <w:pStyle w:val="Ttulo2"/>
        <w:numPr>
          <w:ilvl w:val="2"/>
          <w:numId w:val="160"/>
        </w:numPr>
        <w:rPr>
          <w:rFonts w:cs="Arial"/>
          <w:b/>
        </w:rPr>
      </w:pPr>
      <w:bookmarkStart w:id="112" w:name="_Toc505183073"/>
      <w:r w:rsidRPr="007608C2">
        <w:rPr>
          <w:rFonts w:cs="Arial"/>
          <w:b/>
        </w:rPr>
        <w:t>Componentes del Sistema Nacional de Bienestar Familiar</w:t>
      </w:r>
      <w:bookmarkEnd w:id="112"/>
    </w:p>
    <w:p w:rsidR="00F62EE8" w:rsidRPr="007608C2" w:rsidRDefault="00F62EE8" w:rsidP="00F62EE8">
      <w:pPr>
        <w:spacing w:before="100" w:beforeAutospacing="1" w:after="100" w:afterAutospacing="1" w:line="240" w:lineRule="auto"/>
        <w:jc w:val="both"/>
        <w:rPr>
          <w:rFonts w:cs="Arial"/>
          <w:lang w:eastAsia="es-CO"/>
        </w:rPr>
      </w:pPr>
      <w:r w:rsidRPr="007608C2">
        <w:rPr>
          <w:rFonts w:cs="Arial"/>
          <w:bCs/>
        </w:rPr>
        <w:t xml:space="preserve">Para materializar las labores de articulación y coordinación ejercidas por el equipo de la Dirección del SNBF, su estructura cuenta con 8 componentes. Estos hacen referencia a las líneas de acción generales que orientan los procesos que se llevan a cabo en los distintos ámbitos de operación del SNBF, que se derivan de analizar y agrupar las funciones establecidas para la Dirección del SNBF en los artículos 25 al 27 del </w:t>
      </w:r>
      <w:r w:rsidRPr="007608C2">
        <w:rPr>
          <w:rFonts w:cs="Arial"/>
          <w:lang w:eastAsia="es-CO"/>
        </w:rPr>
        <w:t>Decreto 0987 de 2012, y a lo establecido en el Libro III del Código de la Infancia y la Adolescencia, denominado “Sistema Nacional de Bienestar Familiar, Políticas Públicas e Inspección, Vigilancia y Control”.</w:t>
      </w:r>
    </w:p>
    <w:p w:rsidR="00F62EE8" w:rsidRPr="007608C2" w:rsidRDefault="00F62EE8" w:rsidP="00F62EE8">
      <w:pPr>
        <w:spacing w:before="100" w:beforeAutospacing="1" w:after="100" w:afterAutospacing="1" w:line="240" w:lineRule="auto"/>
        <w:jc w:val="both"/>
        <w:rPr>
          <w:rFonts w:cs="Arial"/>
          <w:bCs/>
        </w:rPr>
      </w:pPr>
      <w:r w:rsidRPr="007608C2">
        <w:rPr>
          <w:rFonts w:cs="Arial"/>
          <w:bCs/>
        </w:rPr>
        <w:t xml:space="preserve">Los componentes del SNBF se formalizaron en 2013 por medio de la resolución 6464 de 2013, que adopta el Manual Operativo. Sin embargo, el proceso de fortalecimiento del SNBF ha llevado a emprender la creación y conformación de diferentes componentes los cuales no se encuentran formalizados aún. Estos son: </w:t>
      </w:r>
    </w:p>
    <w:p w:rsidR="00F62EE8" w:rsidRPr="007608C2" w:rsidRDefault="00F62EE8" w:rsidP="00F62EE8">
      <w:pPr>
        <w:spacing w:before="100" w:beforeAutospacing="1" w:after="100" w:afterAutospacing="1" w:line="240" w:lineRule="auto"/>
        <w:ind w:left="360"/>
        <w:contextualSpacing/>
        <w:jc w:val="both"/>
        <w:rPr>
          <w:rFonts w:cs="Arial"/>
          <w:bCs/>
        </w:rPr>
      </w:pPr>
      <w:r w:rsidRPr="007608C2">
        <w:rPr>
          <w:rFonts w:cs="Arial"/>
        </w:rPr>
        <w:t>A. Planeación, Normatividad y Política Pública</w:t>
      </w:r>
    </w:p>
    <w:p w:rsidR="00F62EE8" w:rsidRPr="007608C2" w:rsidRDefault="00F62EE8" w:rsidP="00F62EE8">
      <w:pPr>
        <w:spacing w:before="100" w:beforeAutospacing="1" w:after="100" w:afterAutospacing="1" w:line="240" w:lineRule="auto"/>
        <w:ind w:left="360"/>
        <w:contextualSpacing/>
        <w:jc w:val="both"/>
        <w:rPr>
          <w:rFonts w:cs="Arial"/>
          <w:bCs/>
        </w:rPr>
      </w:pPr>
      <w:r w:rsidRPr="007608C2">
        <w:rPr>
          <w:rFonts w:cs="Arial"/>
          <w:bCs/>
        </w:rPr>
        <w:t>B. Seguimiento y Evaluación</w:t>
      </w:r>
    </w:p>
    <w:p w:rsidR="00F62EE8" w:rsidRPr="007608C2" w:rsidRDefault="00F62EE8" w:rsidP="00F62EE8">
      <w:pPr>
        <w:spacing w:before="100" w:beforeAutospacing="1" w:after="100" w:afterAutospacing="1" w:line="240" w:lineRule="auto"/>
        <w:ind w:left="360"/>
        <w:contextualSpacing/>
        <w:jc w:val="both"/>
        <w:rPr>
          <w:rFonts w:cs="Arial"/>
          <w:bCs/>
        </w:rPr>
      </w:pPr>
      <w:r w:rsidRPr="007608C2">
        <w:rPr>
          <w:rFonts w:cs="Arial"/>
          <w:bCs/>
        </w:rPr>
        <w:t>C. Financiamiento (formalizado)</w:t>
      </w:r>
    </w:p>
    <w:p w:rsidR="00F62EE8" w:rsidRPr="007608C2" w:rsidRDefault="00F62EE8" w:rsidP="00F62EE8">
      <w:pPr>
        <w:spacing w:before="100" w:beforeAutospacing="1" w:after="100" w:afterAutospacing="1" w:line="240" w:lineRule="auto"/>
        <w:ind w:left="360"/>
        <w:contextualSpacing/>
        <w:jc w:val="both"/>
        <w:rPr>
          <w:rFonts w:cs="Arial"/>
          <w:bCs/>
        </w:rPr>
      </w:pPr>
      <w:r w:rsidRPr="007608C2">
        <w:rPr>
          <w:rFonts w:cs="Arial"/>
          <w:bCs/>
        </w:rPr>
        <w:t>D. Fortalecimiento técnico (formalizado)</w:t>
      </w:r>
    </w:p>
    <w:p w:rsidR="00F62EE8" w:rsidRPr="007608C2" w:rsidRDefault="00F62EE8" w:rsidP="00F62EE8">
      <w:pPr>
        <w:spacing w:before="100" w:beforeAutospacing="1" w:after="100" w:afterAutospacing="1" w:line="240" w:lineRule="auto"/>
        <w:ind w:left="360"/>
        <w:contextualSpacing/>
        <w:jc w:val="both"/>
        <w:rPr>
          <w:rFonts w:cs="Arial"/>
          <w:bCs/>
        </w:rPr>
      </w:pPr>
      <w:r w:rsidRPr="007608C2">
        <w:rPr>
          <w:rFonts w:cs="Arial"/>
          <w:bCs/>
        </w:rPr>
        <w:t>E. Enfoque Diferencial</w:t>
      </w:r>
    </w:p>
    <w:p w:rsidR="00F62EE8" w:rsidRPr="007608C2" w:rsidRDefault="00F62EE8" w:rsidP="00F62EE8">
      <w:pPr>
        <w:spacing w:before="100" w:beforeAutospacing="1" w:after="100" w:afterAutospacing="1" w:line="240" w:lineRule="auto"/>
        <w:ind w:left="360"/>
        <w:contextualSpacing/>
        <w:jc w:val="both"/>
        <w:rPr>
          <w:rFonts w:cs="Arial"/>
          <w:bCs/>
        </w:rPr>
      </w:pPr>
      <w:r w:rsidRPr="007608C2">
        <w:rPr>
          <w:rFonts w:cs="Arial"/>
          <w:bCs/>
        </w:rPr>
        <w:t>F. Movilización Social, Sector Privado y Familia</w:t>
      </w:r>
    </w:p>
    <w:p w:rsidR="00F62EE8" w:rsidRPr="007608C2" w:rsidRDefault="00F62EE8" w:rsidP="00F62EE8">
      <w:pPr>
        <w:spacing w:before="100" w:beforeAutospacing="1" w:after="100" w:afterAutospacing="1" w:line="240" w:lineRule="auto"/>
        <w:ind w:left="360"/>
        <w:contextualSpacing/>
        <w:jc w:val="both"/>
        <w:rPr>
          <w:rFonts w:cs="Arial"/>
          <w:bCs/>
        </w:rPr>
      </w:pPr>
      <w:r w:rsidRPr="007608C2">
        <w:rPr>
          <w:rFonts w:cs="Arial"/>
          <w:bCs/>
        </w:rPr>
        <w:t xml:space="preserve">G. Participación y Comunicación Social </w:t>
      </w:r>
    </w:p>
    <w:p w:rsidR="00F62EE8" w:rsidRPr="007608C2" w:rsidRDefault="00F62EE8" w:rsidP="00F62EE8">
      <w:pPr>
        <w:spacing w:before="100" w:beforeAutospacing="1" w:after="100" w:afterAutospacing="1" w:line="240" w:lineRule="auto"/>
        <w:ind w:left="360"/>
        <w:contextualSpacing/>
        <w:jc w:val="both"/>
        <w:rPr>
          <w:rFonts w:cs="Arial"/>
          <w:bCs/>
        </w:rPr>
      </w:pPr>
      <w:r w:rsidRPr="007608C2">
        <w:rPr>
          <w:rFonts w:cs="Arial"/>
          <w:bCs/>
        </w:rPr>
        <w:t>H. Atención en emergencias</w:t>
      </w:r>
    </w:p>
    <w:p w:rsidR="00F62EE8" w:rsidRPr="007608C2" w:rsidRDefault="00F62EE8" w:rsidP="00A44A2B">
      <w:pPr>
        <w:pStyle w:val="Prrafodelista"/>
        <w:numPr>
          <w:ilvl w:val="0"/>
          <w:numId w:val="99"/>
        </w:numPr>
        <w:spacing w:before="100" w:beforeAutospacing="1" w:after="100" w:afterAutospacing="1" w:line="240" w:lineRule="auto"/>
        <w:jc w:val="both"/>
        <w:rPr>
          <w:rFonts w:cs="Arial"/>
          <w:b/>
        </w:rPr>
      </w:pPr>
      <w:r w:rsidRPr="007608C2">
        <w:rPr>
          <w:rFonts w:cs="Arial"/>
          <w:b/>
        </w:rPr>
        <w:t>Componente: Planeación, Normatividad y Política Pública</w:t>
      </w: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Este componente se define como el conjunto de procesos de planeación que se deben adelantar con el fin de ordenar la estructura, el funcionamiento y la articulación del SNBF, en el ámbito </w:t>
      </w:r>
      <w:r w:rsidRPr="007608C2">
        <w:rPr>
          <w:rFonts w:cs="Arial"/>
        </w:rPr>
        <w:lastRenderedPageBreak/>
        <w:t xml:space="preserve">nacional, departamental y municipal/distrital; la elaboración y seguimiento de asuntos normativos relacionados con la protección integral de niñas, niños y adolescentes y el fortalecimiento familiar, así como, la formulación, el seguimiento y la evaluación de políticas públicas de infancia, adolescencia y familia. </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Contribuye a que la primera infancia, la infancia, la adolescencia y el fortalecimiento familiar sean una prioridad ética, social, política, normativa, técnica y financiera en los ámbitos nacional y territorial. </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El Código de la Infancia y la Adolescencia establece que el Presidente de la República, los Gobernadores y los Alcaldes son los responsables de la gestión de las políticas públicas dirigidas a la primera infancia, la infancia y la adolescencia en sus ámbitos territoriales, así como del agenciamiento y puesta en marcha de procesos y proyectos que impacten positivamente en el desarrollo integral de niños, niñas y adolescentes. </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Lo anterior se realiza a través del diseño e implementación de sistemas de atención para la protección integral, mediante la coordinación de entidades y actores involucrados aúnen recursos, medios y metodologías en torno al objetivo común de mejorar las condiciones de vida de los niños, las niñas y los adolescentes en todo el territorio nacional. Para ello se trabaja en el fortalecimiento de la estructura de funcionamiento del SNBF y de la capacidad técnica de los agentes del Sistema Nacional de Bienestar Familiar en ámbito nacional, departamental y municipal. </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Teniendo en cuenta que el componente tiene cuatro (4) objetivos fundamentales, se propone presentar los resultados de acuerdo a cada uno de ellos:</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i/>
        </w:rPr>
      </w:pPr>
      <w:r w:rsidRPr="007608C2">
        <w:rPr>
          <w:rFonts w:cs="Arial"/>
          <w:b/>
          <w:i/>
          <w:sz w:val="24"/>
          <w:szCs w:val="24"/>
          <w:u w:val="single"/>
        </w:rPr>
        <w:t>Objetivo 1</w:t>
      </w:r>
      <w:r w:rsidRPr="007608C2">
        <w:rPr>
          <w:rFonts w:cs="Arial"/>
          <w:i/>
          <w:sz w:val="24"/>
          <w:szCs w:val="24"/>
        </w:rPr>
        <w:t>:</w:t>
      </w:r>
      <w:r w:rsidRPr="007608C2">
        <w:rPr>
          <w:rFonts w:cs="Arial"/>
          <w:i/>
        </w:rPr>
        <w:t xml:space="preserve"> Afianzar la planeación del SNBF de acuerdo con los lineamientos definidos.</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El Decreto 1084 de 2015 y el Manual Operativo del Sistema de Nacional de Bienestar Familiar versión 1.0, establecen la elaboración de un Plan de Acción del SNBF como instrumento de planeación de mediano plazo para concretar las acciones que se realizan a favor de la niñez por parte de los agentes e instancias que conforman el Sistema. </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En el 2015, el Comité Ejecutivo del SNBF propuso la elaboración de un Plan de Acción 2015-2018 que tomara como punto de partida los compromisos establecidos en el Plan Nacional de Desarrollo 2014-2018 priorizando aquellas acciones de naturaleza intersectorial y que generaran un valor agregado a partir de la interrelación e interacción de diferentes agentes. Al tiempo, el Estado Colombiano recibió las Recomendaciones del Comité de Derechos del Niño, formuladas con base en los informes V y VI combinados que sustentó el país en enero de 2015. Estos dos instrumentos, constituyeron entonces el punto de partida para la formulación del Plan de Acción del SNBF. </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El ejercicio de formulación del Plan de Acción del SNBF tuvo como propósito avanzar hacia la definición de objetivos y metas comunes entre agentes del SNBF y en la definición de actividades que tengan como característica la generación de valor agregado a partir de la interacción e interrelación de agentes.  Esto es, pasar de concebir la acción del Sistema como la suma de las </w:t>
      </w:r>
      <w:r w:rsidRPr="007608C2">
        <w:rPr>
          <w:rFonts w:cs="Arial"/>
        </w:rPr>
        <w:lastRenderedPageBreak/>
        <w:t xml:space="preserve">partes y empezar a transitar hacia la identificación de puntos de intersección donde se encuentran distintos agentes para diseñar, fortalecer o implementar acciones tendientes a consolidar condiciones favorables para ejercicio de los derechos y el desarrollo integral de niñas, niños y adolescentes con criterios de equidad, bajo el principio de co-responsabilidad. </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Como resultado de este ejercicio, actualmente se cuenta con un Plan que contiene 70 compromisos priorizados, de los cuales se desprenden 259 actividades concertadas con 17 entidades y 13 instancias intersectoriales.</w:t>
      </w: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 </w:t>
      </w:r>
    </w:p>
    <w:p w:rsidR="00F62EE8" w:rsidRPr="007608C2" w:rsidRDefault="00F62EE8" w:rsidP="00F62EE8">
      <w:pPr>
        <w:spacing w:before="100" w:beforeAutospacing="1" w:after="100" w:afterAutospacing="1" w:line="240" w:lineRule="auto"/>
        <w:contextualSpacing/>
        <w:jc w:val="both"/>
        <w:rPr>
          <w:rFonts w:cs="Arial"/>
          <w:bCs/>
        </w:rPr>
      </w:pPr>
      <w:r w:rsidRPr="007608C2">
        <w:rPr>
          <w:rFonts w:cs="Arial"/>
        </w:rPr>
        <w:t xml:space="preserve">El seguimiento al Plan se realiza por parte de la Dirección del SNBF con corte semestral e inició en 2016; en la vigencia 2017, </w:t>
      </w:r>
      <w:r w:rsidRPr="007608C2">
        <w:rPr>
          <w:rFonts w:cs="Arial"/>
          <w:bCs/>
        </w:rPr>
        <w:t>a fin de cualificar el reporte de seguimiento al Plan y para trascender el porcentaje de entidades que reportan el avance en sus actividades, se introduce la realización de un informe de consolidación del avance cualitativo de carácter anual, en el cual se identifiquen y resuman las acciones realizadas frente a los compromisos establecidos por cada entidad, y resaltando como retos aquellas acciones programadas para las siguientes vigencias.</w:t>
      </w:r>
    </w:p>
    <w:p w:rsidR="00F62EE8" w:rsidRPr="007608C2" w:rsidRDefault="00F62EE8" w:rsidP="00F62EE8">
      <w:pPr>
        <w:spacing w:before="100" w:beforeAutospacing="1" w:after="100" w:afterAutospacing="1" w:line="240" w:lineRule="auto"/>
        <w:contextualSpacing/>
        <w:jc w:val="both"/>
        <w:rPr>
          <w:rFonts w:cs="Arial"/>
          <w:bCs/>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bCs/>
        </w:rPr>
        <w:t xml:space="preserve">Con corte semestral a junio 30 de 2017, la Dirección del SNBF solicitó durante el mes de julio el reporte de avance a las entidades, a la fecha se cuenta con el reporte de avance de 174 actividades del Plan de Acción, de las 203 que aplican para la vigencia 2017, lo que representa el 85,7% de avance en el reporte. </w:t>
      </w:r>
      <w:r w:rsidRPr="007608C2">
        <w:rPr>
          <w:rFonts w:cs="Arial"/>
        </w:rPr>
        <w:t>Es de resaltar que este plan es dinámico en la medida en que cada año se revisan las actividades concertadas y se incluyen nuevas acciones y nuevos agentes del SNBF.</w:t>
      </w:r>
    </w:p>
    <w:p w:rsidR="00F62EE8" w:rsidRPr="007608C2" w:rsidRDefault="00F62EE8" w:rsidP="00F62EE8">
      <w:pPr>
        <w:kinsoku w:val="0"/>
        <w:overflowPunct w:val="0"/>
        <w:spacing w:before="100" w:beforeAutospacing="1" w:after="100" w:afterAutospacing="1" w:line="240" w:lineRule="auto"/>
        <w:contextualSpacing/>
        <w:jc w:val="both"/>
        <w:textAlignment w:val="baseline"/>
        <w:rPr>
          <w:rFonts w:cs="Arial"/>
          <w:bCs/>
        </w:rPr>
      </w:pPr>
    </w:p>
    <w:p w:rsidR="00F62EE8" w:rsidRPr="007608C2" w:rsidRDefault="00F62EE8" w:rsidP="00F62EE8">
      <w:pPr>
        <w:spacing w:before="100" w:beforeAutospacing="1" w:after="100" w:afterAutospacing="1" w:line="240" w:lineRule="auto"/>
        <w:jc w:val="both"/>
        <w:rPr>
          <w:rFonts w:cs="Arial"/>
          <w:i/>
        </w:rPr>
      </w:pPr>
      <w:r w:rsidRPr="007608C2">
        <w:rPr>
          <w:rFonts w:cs="Arial"/>
          <w:b/>
          <w:i/>
          <w:sz w:val="24"/>
          <w:szCs w:val="24"/>
          <w:u w:val="single"/>
        </w:rPr>
        <w:t>Objetivo 2:</w:t>
      </w:r>
      <w:r w:rsidRPr="007608C2">
        <w:rPr>
          <w:rFonts w:cs="Arial"/>
          <w:i/>
          <w:sz w:val="24"/>
          <w:szCs w:val="24"/>
          <w:u w:val="single"/>
        </w:rPr>
        <w:t xml:space="preserve"> </w:t>
      </w:r>
      <w:r w:rsidRPr="007608C2">
        <w:rPr>
          <w:rFonts w:cs="Arial"/>
          <w:i/>
        </w:rPr>
        <w:t>Acompañar y apoyar la formulación, ejecución y seguimiento de políticas públicas dirigidas a la primera infancia, infancia, adolescencia y fortalecimiento familiar.</w:t>
      </w:r>
    </w:p>
    <w:p w:rsidR="00F62EE8" w:rsidRPr="007608C2" w:rsidRDefault="00F62EE8" w:rsidP="00F62EE8">
      <w:pPr>
        <w:spacing w:before="100" w:beforeAutospacing="1" w:after="100" w:afterAutospacing="1" w:line="240" w:lineRule="auto"/>
        <w:jc w:val="both"/>
        <w:rPr>
          <w:rFonts w:cs="Arial"/>
        </w:rPr>
      </w:pPr>
      <w:r w:rsidRPr="007608C2">
        <w:rPr>
          <w:rFonts w:cs="Arial"/>
        </w:rPr>
        <w:t>Sobre el desarrollo del componente de Planeación, Políticas Públicas y Normatividad, desde la Dirección del SNBF, se ha apoyado la consecución de los siguientes productos de acuerdo con lo establecido en la planeación del 2017.</w:t>
      </w:r>
    </w:p>
    <w:p w:rsidR="00F62EE8" w:rsidRPr="007608C2" w:rsidRDefault="00F62EE8" w:rsidP="00A44A2B">
      <w:pPr>
        <w:pStyle w:val="Prrafodelista"/>
        <w:numPr>
          <w:ilvl w:val="0"/>
          <w:numId w:val="42"/>
        </w:numPr>
        <w:spacing w:before="100" w:beforeAutospacing="1" w:after="100" w:afterAutospacing="1" w:line="240" w:lineRule="auto"/>
        <w:contextualSpacing/>
        <w:jc w:val="both"/>
        <w:rPr>
          <w:rFonts w:cs="Arial"/>
          <w:u w:val="single"/>
        </w:rPr>
      </w:pPr>
      <w:r w:rsidRPr="007608C2">
        <w:rPr>
          <w:rFonts w:cs="Arial"/>
          <w:u w:val="single"/>
        </w:rPr>
        <w:t xml:space="preserve">Informes de valoración de la inclusión de los temas de primera infancia, infancia y adolescencia en los planes de desarrollo territoriales.  </w:t>
      </w:r>
    </w:p>
    <w:p w:rsidR="00F62EE8" w:rsidRPr="007608C2" w:rsidRDefault="00F62EE8" w:rsidP="00F62EE8">
      <w:pPr>
        <w:spacing w:before="100" w:beforeAutospacing="1" w:after="100" w:afterAutospacing="1" w:line="240" w:lineRule="auto"/>
        <w:jc w:val="both"/>
        <w:rPr>
          <w:rFonts w:cs="Arial"/>
        </w:rPr>
      </w:pPr>
      <w:r w:rsidRPr="007608C2">
        <w:rPr>
          <w:rFonts w:cs="Arial"/>
        </w:rPr>
        <w:t>Durante el 2017, la firma consultora Econometría, a través del Convenio entre el ICBF, UNICEF y la Fundación SAVE THE CHILDREN, realiza el ajuste de los documentos de valoración de planes de desarrollo de acuerdo a los comentarios realizados por la Subdirección de Articulación Territorial y la Estrategia Hechos y Derechos.</w:t>
      </w:r>
    </w:p>
    <w:p w:rsidR="00F62EE8" w:rsidRPr="007608C2" w:rsidRDefault="00F62EE8" w:rsidP="00F62EE8">
      <w:pPr>
        <w:spacing w:before="100" w:beforeAutospacing="1" w:after="100" w:afterAutospacing="1" w:line="240" w:lineRule="auto"/>
        <w:jc w:val="both"/>
        <w:rPr>
          <w:rFonts w:cs="Arial"/>
        </w:rPr>
      </w:pPr>
      <w:r w:rsidRPr="007608C2">
        <w:rPr>
          <w:rFonts w:cs="Arial"/>
        </w:rPr>
        <w:t>Los resultados de estos ajustes dan como resultado 1.101 informes municipales y 32 departamentales que desarrollan una valoración de la inclusión de los temas de primera infancia, infancia y adolescencia en los planes de desarrollo 2016-2019 que fueron aprobados en las entidades territoriales y enviados oficialmente a la Procuraduría General de la Nación.</w:t>
      </w:r>
    </w:p>
    <w:p w:rsidR="00F62EE8" w:rsidRPr="007608C2" w:rsidRDefault="00F62EE8" w:rsidP="00F62EE8">
      <w:pPr>
        <w:spacing w:before="100" w:beforeAutospacing="1" w:after="100" w:afterAutospacing="1" w:line="240" w:lineRule="auto"/>
        <w:jc w:val="both"/>
        <w:rPr>
          <w:rFonts w:cs="Arial"/>
        </w:rPr>
      </w:pPr>
      <w:r w:rsidRPr="007608C2">
        <w:rPr>
          <w:rFonts w:cs="Arial"/>
        </w:rPr>
        <w:t xml:space="preserve">En la misma línea del ejercicio anterior, y en el marco de la Estrategia de Hechos y Derechos, la Subdirección de Articulación Territorial participa en el diseño de los contenidos y variables harán parte de los informes agregados por departamentos (el departamento y sus municipios) y el </w:t>
      </w:r>
      <w:r w:rsidRPr="007608C2">
        <w:rPr>
          <w:rFonts w:cs="Arial"/>
        </w:rPr>
        <w:lastRenderedPageBreak/>
        <w:t xml:space="preserve">agregado nacional. Actualmente, estos documentos agregados están siendo ajustados por corrección de estilo. </w:t>
      </w:r>
    </w:p>
    <w:p w:rsidR="00F62EE8" w:rsidRPr="007608C2" w:rsidRDefault="00F62EE8" w:rsidP="00F62EE8">
      <w:pPr>
        <w:spacing w:before="100" w:beforeAutospacing="1" w:after="100" w:afterAutospacing="1" w:line="240" w:lineRule="auto"/>
        <w:jc w:val="both"/>
        <w:rPr>
          <w:rFonts w:cs="Arial"/>
        </w:rPr>
      </w:pPr>
      <w:r w:rsidRPr="007608C2">
        <w:rPr>
          <w:rFonts w:cs="Arial"/>
        </w:rPr>
        <w:t>Adicionalmente, se ha realizados dos presentaciones preliminares con datos agregados en el marco de la Mesa Directiva de la Estrategia Hechos y Derechos, donde se encontraba: La Procuraduría General de la Nación, El Instituto Colombiano de Bienestar Familiar</w:t>
      </w:r>
      <w:r w:rsidRPr="007608C2">
        <w:rPr>
          <w:rFonts w:cs="Arial"/>
          <w:i/>
        </w:rPr>
        <w:t xml:space="preserve">, </w:t>
      </w:r>
      <w:r w:rsidRPr="007608C2">
        <w:rPr>
          <w:rFonts w:cs="Arial"/>
          <w:i/>
          <w:iCs/>
        </w:rPr>
        <w:t>La Dirección del Sistema Nacional de Juventud “Colombia Joven”</w:t>
      </w:r>
      <w:r w:rsidRPr="007608C2">
        <w:rPr>
          <w:rFonts w:cs="Arial"/>
        </w:rPr>
        <w:t xml:space="preserve">, UNICEF, y La Federación Nacional de Departamentos. </w:t>
      </w:r>
    </w:p>
    <w:p w:rsidR="00F62EE8" w:rsidRPr="007608C2" w:rsidRDefault="00F62EE8" w:rsidP="00A44A2B">
      <w:pPr>
        <w:pStyle w:val="Prrafodelista"/>
        <w:numPr>
          <w:ilvl w:val="0"/>
          <w:numId w:val="42"/>
        </w:numPr>
        <w:spacing w:before="100" w:beforeAutospacing="1" w:after="100" w:afterAutospacing="1" w:line="240" w:lineRule="auto"/>
        <w:contextualSpacing/>
        <w:jc w:val="both"/>
        <w:rPr>
          <w:rFonts w:cs="Arial"/>
          <w:u w:val="single"/>
        </w:rPr>
      </w:pPr>
      <w:r w:rsidRPr="007608C2">
        <w:rPr>
          <w:rFonts w:cs="Arial"/>
          <w:u w:val="single"/>
        </w:rPr>
        <w:t>Estado del arte de las políticas públicas territoriales de primera infancia, infancia, adolescencia y fortalecimiento familiar actualizado</w:t>
      </w:r>
    </w:p>
    <w:p w:rsidR="00F62EE8" w:rsidRPr="007608C2" w:rsidRDefault="00F62EE8" w:rsidP="00F62EE8">
      <w:pPr>
        <w:spacing w:before="100" w:beforeAutospacing="1" w:after="100" w:afterAutospacing="1" w:line="240" w:lineRule="auto"/>
        <w:jc w:val="both"/>
        <w:rPr>
          <w:rFonts w:cs="Arial"/>
        </w:rPr>
      </w:pPr>
      <w:r w:rsidRPr="007608C2">
        <w:rPr>
          <w:rFonts w:cs="Arial"/>
        </w:rPr>
        <w:t xml:space="preserve">Para la vigencia actual se realiza una actualización del estado del arte de las políticas públicas de primera infancia, infancia, adolescencia y fortalecimiento familias que se han diseñado y desarrollado en los municipios y departamentos del país, con el objetivo de establecer el momento del ciclo de gestión en el cual se encuentran (formulación, ajuste, implementación o evaluación), para hacer más oportuno y preciso el fortalecimiento técnico del equipo del Sistema Nacional  de Bienestar Familiar.   </w:t>
      </w:r>
    </w:p>
    <w:p w:rsidR="00F62EE8" w:rsidRPr="007608C2" w:rsidRDefault="00F62EE8" w:rsidP="00F62EE8">
      <w:pPr>
        <w:spacing w:before="100" w:beforeAutospacing="1" w:after="100" w:afterAutospacing="1" w:line="240" w:lineRule="auto"/>
        <w:jc w:val="both"/>
        <w:rPr>
          <w:rFonts w:cs="Arial"/>
        </w:rPr>
      </w:pPr>
      <w:r w:rsidRPr="007608C2">
        <w:rPr>
          <w:rFonts w:cs="Arial"/>
        </w:rPr>
        <w:t xml:space="preserve">El producto de este proceso es una matriz que contiene la información de los municipios y gobernaciones del país, e indica el avance por entidad territorial de la gestión de la política pública y articulación con otras políticas sectoriales presenten en el ámbito local. </w:t>
      </w:r>
    </w:p>
    <w:p w:rsidR="00F62EE8" w:rsidRPr="007608C2" w:rsidRDefault="00F62EE8" w:rsidP="00A44A2B">
      <w:pPr>
        <w:pStyle w:val="Prrafodelista"/>
        <w:numPr>
          <w:ilvl w:val="0"/>
          <w:numId w:val="42"/>
        </w:numPr>
        <w:spacing w:before="100" w:beforeAutospacing="1" w:after="100" w:afterAutospacing="1" w:line="240" w:lineRule="auto"/>
        <w:contextualSpacing/>
        <w:jc w:val="both"/>
        <w:rPr>
          <w:rFonts w:cs="Arial"/>
          <w:u w:val="single"/>
        </w:rPr>
      </w:pPr>
      <w:bookmarkStart w:id="113" w:name="_Hlk499662264"/>
      <w:r w:rsidRPr="007608C2">
        <w:rPr>
          <w:rFonts w:cs="Arial"/>
          <w:u w:val="single"/>
        </w:rPr>
        <w:t>Guía orientadora de la planeación del Sistema Nacional de Bienestar Familiar en el territorio</w:t>
      </w:r>
    </w:p>
    <w:p w:rsidR="00F62EE8" w:rsidRPr="007608C2" w:rsidRDefault="00F62EE8" w:rsidP="00F62EE8">
      <w:pPr>
        <w:spacing w:before="100" w:beforeAutospacing="1" w:after="100" w:afterAutospacing="1" w:line="240" w:lineRule="auto"/>
        <w:jc w:val="both"/>
        <w:rPr>
          <w:rFonts w:cs="Arial"/>
        </w:rPr>
      </w:pPr>
      <w:r w:rsidRPr="007608C2">
        <w:rPr>
          <w:rFonts w:cs="Arial"/>
        </w:rPr>
        <w:t xml:space="preserve">Para el presente año y en las fechas establecidas para este informe de gestión, se ajustó el documento </w:t>
      </w:r>
      <w:r w:rsidRPr="007608C2">
        <w:rPr>
          <w:rFonts w:cs="Arial"/>
          <w:i/>
        </w:rPr>
        <w:t>Guía de Planeación del Sistema Nacional de Bienestar Familiar</w:t>
      </w:r>
      <w:r w:rsidRPr="007608C2">
        <w:rPr>
          <w:rFonts w:cs="Arial"/>
        </w:rPr>
        <w:t xml:space="preserve"> en el territorio y su herramienta de gestión, que consiste en una matriz formulada que orienta a los lectores paso a paso en su diligenciamiento, hacia la construcción de un plan de acción territorial que fortalece la articulación de los agentes del SNBF responsables de la garantía de los derechos de los niños, niñas y adolescentes. </w:t>
      </w:r>
    </w:p>
    <w:p w:rsidR="00F62EE8" w:rsidRPr="007608C2" w:rsidRDefault="00F62EE8" w:rsidP="00F62EE8">
      <w:pPr>
        <w:spacing w:before="100" w:beforeAutospacing="1" w:after="100" w:afterAutospacing="1" w:line="240" w:lineRule="auto"/>
        <w:jc w:val="both"/>
        <w:rPr>
          <w:rFonts w:cs="Arial"/>
        </w:rPr>
      </w:pPr>
      <w:r w:rsidRPr="007608C2">
        <w:rPr>
          <w:rFonts w:cs="Arial"/>
        </w:rPr>
        <w:t xml:space="preserve">Estos productos fueron presentados y aprobados por el Comité Ejecutivo del Sistema Nacional de Bienestar Familiar en sus sesiones ordinarias; y en 25 territorios priorizados (entre municipios y gobernaciones) se </w:t>
      </w:r>
      <w:r w:rsidR="005A0A4D" w:rsidRPr="007608C2">
        <w:rPr>
          <w:rFonts w:cs="Arial"/>
        </w:rPr>
        <w:t>realizó acompañamiento</w:t>
      </w:r>
      <w:r w:rsidRPr="007608C2">
        <w:rPr>
          <w:rFonts w:cs="Arial"/>
        </w:rPr>
        <w:t xml:space="preserve"> para la implementación de guía y herramienta. En el marco de las Mesas de Infancia y Adolescencia, se logró la construcción de planes de acción individuales y adaptados a las necesidades de los territorios, a través de la Estrategia Fortalecida como una de las líneas del Convenio 1299 de 2017 entre el ICBF, UNICEF y la Fundación SAVE THE CHILDREN.</w:t>
      </w:r>
    </w:p>
    <w:p w:rsidR="00F62EE8" w:rsidRPr="007608C2" w:rsidRDefault="00F62EE8" w:rsidP="00F62EE8">
      <w:pPr>
        <w:spacing w:before="100" w:beforeAutospacing="1" w:after="100" w:afterAutospacing="1" w:line="240" w:lineRule="auto"/>
        <w:jc w:val="both"/>
        <w:rPr>
          <w:rFonts w:cs="Arial"/>
        </w:rPr>
      </w:pPr>
      <w:r w:rsidRPr="007608C2">
        <w:rPr>
          <w:rFonts w:cs="Arial"/>
        </w:rPr>
        <w:t>Actualmente, estos 25 planes elaborados se encuentran listos para ser presentados y validados en los próximos Consejos de Política Social de las entidades territoriales priorizadas, siendo un aporte importante para la gestión de la garantía de derechos.</w:t>
      </w:r>
    </w:p>
    <w:p w:rsidR="00F62EE8" w:rsidRPr="007608C2" w:rsidRDefault="00F62EE8" w:rsidP="00F62EE8">
      <w:pPr>
        <w:spacing w:before="100" w:beforeAutospacing="1" w:after="100" w:afterAutospacing="1" w:line="240" w:lineRule="auto"/>
        <w:jc w:val="both"/>
        <w:rPr>
          <w:rFonts w:cs="Arial"/>
        </w:rPr>
      </w:pPr>
      <w:r w:rsidRPr="007608C2">
        <w:rPr>
          <w:rFonts w:cs="Arial"/>
        </w:rPr>
        <w:lastRenderedPageBreak/>
        <w:t>Así mismo, esta guía y herramienta de trabajo fue socializada con el equipo territorial del Sistema Nacional de Bienestar Familiar, compuesto por referentes zonales y regionales de los 32 departamentos y el Distrito Capital, con el propósito de hacer formación de formadores como insumo para 2018.</w:t>
      </w:r>
    </w:p>
    <w:bookmarkEnd w:id="113"/>
    <w:p w:rsidR="00F62EE8" w:rsidRPr="007608C2" w:rsidRDefault="00F62EE8" w:rsidP="00A44A2B">
      <w:pPr>
        <w:pStyle w:val="Prrafodelista"/>
        <w:numPr>
          <w:ilvl w:val="0"/>
          <w:numId w:val="42"/>
        </w:numPr>
        <w:spacing w:before="100" w:beforeAutospacing="1" w:after="100" w:afterAutospacing="1" w:line="240" w:lineRule="auto"/>
        <w:contextualSpacing/>
        <w:jc w:val="both"/>
        <w:rPr>
          <w:rFonts w:cs="Arial"/>
          <w:u w:val="single"/>
        </w:rPr>
      </w:pPr>
      <w:r w:rsidRPr="007608C2">
        <w:rPr>
          <w:rFonts w:cs="Arial"/>
          <w:u w:val="single"/>
        </w:rPr>
        <w:t xml:space="preserve">Guía para la formulación, ajuste, implementación y seguimiento de las Políticas Públicas de Primera Infancia, Infancia, Adolescencia y Fortalecimiento Familiar en el territorio </w:t>
      </w:r>
    </w:p>
    <w:p w:rsidR="00F62EE8" w:rsidRPr="007608C2" w:rsidRDefault="00F62EE8" w:rsidP="00F62EE8">
      <w:pPr>
        <w:spacing w:before="100" w:beforeAutospacing="1" w:after="100" w:afterAutospacing="1" w:line="240" w:lineRule="auto"/>
        <w:jc w:val="both"/>
        <w:rPr>
          <w:rFonts w:cs="Arial"/>
        </w:rPr>
      </w:pPr>
      <w:r w:rsidRPr="007608C2">
        <w:rPr>
          <w:rFonts w:cs="Arial"/>
        </w:rPr>
        <w:t xml:space="preserve">En acuerdo con las entidades que hacen parte del Comité Ejecutivo del Sistema Nacional de Bienestar Familiar, profesionales de las direcciones misionales del ICBF, referentes territoriales del SNBF y técnicos de alcaldías y gobernaciones, se llevó a cabo en el 2017, la actualización de la </w:t>
      </w:r>
      <w:r w:rsidRPr="007608C2">
        <w:rPr>
          <w:rFonts w:cs="Arial"/>
          <w:i/>
        </w:rPr>
        <w:t xml:space="preserve">Guía para la formulación, ajuste, implementación y seguimiento de las Políticas Públicas de Primera Infancia, Infancia, Adolescencia y Fortalecimiento Familiar </w:t>
      </w:r>
      <w:r w:rsidRPr="007608C2">
        <w:rPr>
          <w:rFonts w:cs="Arial"/>
        </w:rPr>
        <w:t>para las entidades territoriales. Esta Guía consiste en una serie de orientaciones sobre cómo formular, ejecutar, hacer seguimiento, evaluar y rendir cuentas sobre las políticas públicas de primera infancia, infancia, adolescencia y fortalecimiento familiar en los territorios.</w:t>
      </w:r>
      <w:r w:rsidR="00C73C1C" w:rsidRPr="007608C2">
        <w:rPr>
          <w:rFonts w:cs="Arial"/>
        </w:rPr>
        <w:t xml:space="preserve"> </w:t>
      </w:r>
      <w:r w:rsidRPr="007608C2">
        <w:rPr>
          <w:rFonts w:cs="Arial"/>
        </w:rPr>
        <w:t xml:space="preserve">Contiene además, avances conceptuales, normativos y técnicos sobre el ciclo de gestión de la política desde la perspectiva de los momentos del curso de vida. </w:t>
      </w:r>
    </w:p>
    <w:p w:rsidR="00F62EE8" w:rsidRPr="007608C2" w:rsidRDefault="00F62EE8" w:rsidP="00F62EE8">
      <w:pPr>
        <w:spacing w:before="100" w:beforeAutospacing="1" w:after="100" w:afterAutospacing="1" w:line="240" w:lineRule="auto"/>
        <w:jc w:val="both"/>
        <w:rPr>
          <w:rFonts w:cs="Arial"/>
        </w:rPr>
      </w:pPr>
      <w:r w:rsidRPr="007608C2">
        <w:rPr>
          <w:rFonts w:cs="Arial"/>
        </w:rPr>
        <w:t xml:space="preserve">En el transcurso del 2017, se realizó la socialización y validación de la Guía con las 33 regionales del país a través de 8 encuentros macro regionales desarrollados entre septiembre y octubre. </w:t>
      </w:r>
    </w:p>
    <w:p w:rsidR="00F62EE8" w:rsidRPr="007608C2" w:rsidRDefault="00F62EE8" w:rsidP="00A44A2B">
      <w:pPr>
        <w:pStyle w:val="Prrafodelista"/>
        <w:numPr>
          <w:ilvl w:val="0"/>
          <w:numId w:val="42"/>
        </w:numPr>
        <w:spacing w:before="100" w:beforeAutospacing="1" w:after="100" w:afterAutospacing="1" w:line="240" w:lineRule="auto"/>
        <w:contextualSpacing/>
        <w:jc w:val="both"/>
        <w:rPr>
          <w:rFonts w:cs="Arial"/>
          <w:u w:val="single"/>
        </w:rPr>
      </w:pPr>
      <w:r w:rsidRPr="007608C2">
        <w:rPr>
          <w:rFonts w:cs="Arial"/>
          <w:u w:val="single"/>
        </w:rPr>
        <w:t xml:space="preserve">Política de Atención Integral a la Primera Infancia </w:t>
      </w:r>
    </w:p>
    <w:p w:rsidR="00F62EE8" w:rsidRPr="007608C2" w:rsidRDefault="00F62EE8" w:rsidP="00F62EE8">
      <w:pPr>
        <w:pStyle w:val="Prrafodelista"/>
        <w:spacing w:before="100" w:beforeAutospacing="1" w:after="100" w:afterAutospacing="1" w:line="240" w:lineRule="auto"/>
        <w:ind w:left="720"/>
        <w:contextualSpacing/>
        <w:jc w:val="both"/>
        <w:rPr>
          <w:rFonts w:cs="Arial"/>
        </w:rPr>
      </w:pPr>
    </w:p>
    <w:p w:rsidR="00F62EE8" w:rsidRPr="007608C2" w:rsidRDefault="00F62EE8" w:rsidP="00F62EE8">
      <w:pPr>
        <w:pStyle w:val="Prrafodelista"/>
        <w:autoSpaceDE w:val="0"/>
        <w:autoSpaceDN w:val="0"/>
        <w:adjustRightInd w:val="0"/>
        <w:spacing w:before="100" w:beforeAutospacing="1" w:after="100" w:afterAutospacing="1" w:line="240" w:lineRule="auto"/>
        <w:ind w:left="0"/>
        <w:jc w:val="both"/>
        <w:rPr>
          <w:rFonts w:cs="Arial"/>
          <w:iCs/>
        </w:rPr>
      </w:pPr>
      <w:r w:rsidRPr="007608C2">
        <w:rPr>
          <w:rFonts w:cs="Arial"/>
          <w:iCs/>
        </w:rPr>
        <w:t xml:space="preserve">En el marco de la Articulación del SNBF, se trabajó en conjunto con la coordinación de la Comisión Intersectorial para la Primera Infancia con el fin de establecer las condiciones institucionales y financieras que hagan posible la sostenibilidad de la Política de Estado para el Desarrollo Integral de la Primera infancia De Cero a Siempre (Ley 1804 de 2016) en los ámbitos nacional y territorial. En este sentido, se plantearon retos relacionados con el mejoramiento y la articulación de la oferta institucional en los departamentos y municipios alrededor de las atenciones definidas en la Ruta Integral de Atenciones – RIA– que expresen una intervención más coherente, sincrónica, coordinada y pertinente de los diversos actores gubernamentales y no gubernamentales con competencias, funciones o interés en torno al desarrollo integral en la primera infancia. </w:t>
      </w:r>
    </w:p>
    <w:p w:rsidR="00F62EE8" w:rsidRPr="007608C2" w:rsidRDefault="00F62EE8" w:rsidP="00F62EE8">
      <w:pPr>
        <w:pStyle w:val="Prrafodelista"/>
        <w:autoSpaceDE w:val="0"/>
        <w:autoSpaceDN w:val="0"/>
        <w:adjustRightInd w:val="0"/>
        <w:spacing w:before="100" w:beforeAutospacing="1" w:after="100" w:afterAutospacing="1" w:line="240" w:lineRule="auto"/>
        <w:ind w:left="0"/>
        <w:jc w:val="both"/>
        <w:rPr>
          <w:rFonts w:cs="Arial"/>
          <w:iCs/>
        </w:rPr>
      </w:pPr>
      <w:r w:rsidRPr="007608C2">
        <w:rPr>
          <w:rFonts w:cs="Arial"/>
          <w:iCs/>
        </w:rPr>
        <w:t xml:space="preserve">Para ello, el Plan Nacional de Desarrollo 2014 – 2018 “Todos por un Nuevo País”, estableció como meta del cuatrienio acompañar desde el SNBF a 350 entidades territoriales con el fin de que puedan contar con un acompañamiento para la implementación de la ruta integral de atenciones, en coordinación con la Comisión Intersectorial de Primera Infancia – CIPI y el Sistema Nacional de Bienestar Familiar. </w:t>
      </w:r>
    </w:p>
    <w:p w:rsidR="00F62EE8" w:rsidRPr="007608C2" w:rsidRDefault="00F62EE8" w:rsidP="00F62EE8">
      <w:pPr>
        <w:pStyle w:val="Prrafodelista"/>
        <w:autoSpaceDE w:val="0"/>
        <w:autoSpaceDN w:val="0"/>
        <w:adjustRightInd w:val="0"/>
        <w:spacing w:before="100" w:beforeAutospacing="1" w:after="100" w:afterAutospacing="1" w:line="240" w:lineRule="auto"/>
        <w:ind w:left="0"/>
        <w:jc w:val="both"/>
        <w:rPr>
          <w:rFonts w:cs="Arial"/>
          <w:iCs/>
        </w:rPr>
      </w:pPr>
      <w:r w:rsidRPr="007608C2">
        <w:rPr>
          <w:rFonts w:cs="Arial"/>
          <w:iCs/>
        </w:rPr>
        <w:t>El proceso de gestión territorial implica el fortalecimiento de las capacidades de los agentes del orden nacional y territorial para la apropiación de los Fundamentos de la Política de Atención Integral a la Primera Infancia, así como para animar procesos de planeación, implementación y evaluación de políticas locales dirigidas a la primera infancia en coherencia con los lineamientos de la política del orden nacional.</w:t>
      </w:r>
    </w:p>
    <w:p w:rsidR="00F62EE8" w:rsidRPr="007608C2" w:rsidRDefault="00F62EE8" w:rsidP="00F62EE8">
      <w:pPr>
        <w:pStyle w:val="Prrafodelista"/>
        <w:autoSpaceDE w:val="0"/>
        <w:autoSpaceDN w:val="0"/>
        <w:adjustRightInd w:val="0"/>
        <w:spacing w:before="100" w:beforeAutospacing="1" w:after="100" w:afterAutospacing="1" w:line="240" w:lineRule="auto"/>
        <w:ind w:left="0"/>
        <w:jc w:val="both"/>
        <w:rPr>
          <w:rFonts w:cs="Arial"/>
          <w:iCs/>
        </w:rPr>
      </w:pPr>
      <w:r w:rsidRPr="007608C2">
        <w:rPr>
          <w:rFonts w:cs="Arial"/>
          <w:iCs/>
        </w:rPr>
        <w:lastRenderedPageBreak/>
        <w:t xml:space="preserve">En 2017 y bajo el Convenio de Asociación No. 1299 de 2017, se acompañaron a 300 entidades territoriales para la formulación, ajuste y/o implementación de la RIA. Es importante anotar, que se realizaron encuentros con las 32 gobernaciones para concretar los acuerdos de trabajo para la implementación de la Ley 1804 de 02 de agosto de 2016 “POLÍTICA DE ESTADO PARA EL DESARROLLO INTEGRAL DE LA PRIMERA INFANCIA DE CERO A SIEMPRE” y que se construyeron los perfiles territoriales con las entidades territoriales priorizadas, y se formuló un plan de trabajo para la vigencia 2017. </w:t>
      </w:r>
    </w:p>
    <w:p w:rsidR="00F62EE8" w:rsidRPr="007608C2" w:rsidRDefault="00F62EE8" w:rsidP="00F62EE8">
      <w:pPr>
        <w:pStyle w:val="Prrafodelista"/>
        <w:autoSpaceDE w:val="0"/>
        <w:autoSpaceDN w:val="0"/>
        <w:adjustRightInd w:val="0"/>
        <w:spacing w:before="100" w:beforeAutospacing="1" w:after="100" w:afterAutospacing="1" w:line="240" w:lineRule="auto"/>
        <w:ind w:left="0"/>
        <w:jc w:val="both"/>
        <w:rPr>
          <w:rFonts w:cs="Arial"/>
          <w:iCs/>
        </w:rPr>
      </w:pPr>
      <w:r w:rsidRPr="007608C2">
        <w:rPr>
          <w:rFonts w:cs="Arial"/>
          <w:iCs/>
        </w:rPr>
        <w:t>Adicional a estas acciones realizadas en territorio, la Dirección del SNBF ha participado activamente en el marco de la CIPI y sus diferentes mesas técnicas, en la construcción de herramientas para la garantía de la atención integral a la primera infancia. Las acciones desarrolladas en el marco del fortalecimiento a la gestión territorial implican la sensibilización a los actores locales de las Mesas de Infancia, Adolescencia y Familia frente a los Fundamentos Políticos, Técnicos y de Gestión de la Política de Desarrollo Integral a la Primera Infancia, la socialización de las herramientas de planeación, la consolidación del documento de situación de los derechos de niños y niñas de primera infancia, el análisis e identificación de las atenciones establecidas en la RIA, teniendo en cuenta el enfoque diferencial y la priorización de acciones a desarrollar en primera infancia.</w:t>
      </w:r>
    </w:p>
    <w:p w:rsidR="00F62EE8" w:rsidRPr="007608C2" w:rsidRDefault="00F62EE8" w:rsidP="00A44A2B">
      <w:pPr>
        <w:pStyle w:val="Prrafodelista"/>
        <w:numPr>
          <w:ilvl w:val="0"/>
          <w:numId w:val="42"/>
        </w:numPr>
        <w:autoSpaceDE w:val="0"/>
        <w:autoSpaceDN w:val="0"/>
        <w:adjustRightInd w:val="0"/>
        <w:spacing w:before="100" w:beforeAutospacing="1" w:after="100" w:afterAutospacing="1" w:line="240" w:lineRule="auto"/>
        <w:jc w:val="both"/>
        <w:rPr>
          <w:rFonts w:cs="Arial"/>
          <w:iCs/>
          <w:u w:val="single"/>
        </w:rPr>
      </w:pPr>
      <w:r w:rsidRPr="007608C2">
        <w:rPr>
          <w:rFonts w:cs="Arial"/>
          <w:iCs/>
          <w:u w:val="single"/>
        </w:rPr>
        <w:t>Política Nacional de Infancia y Adolescencia</w:t>
      </w:r>
    </w:p>
    <w:p w:rsidR="00F62EE8" w:rsidRPr="007608C2" w:rsidRDefault="00F62EE8" w:rsidP="00F62EE8">
      <w:pPr>
        <w:pStyle w:val="Prrafodelista"/>
        <w:autoSpaceDE w:val="0"/>
        <w:autoSpaceDN w:val="0"/>
        <w:adjustRightInd w:val="0"/>
        <w:spacing w:before="100" w:beforeAutospacing="1" w:after="100" w:afterAutospacing="1" w:line="240" w:lineRule="auto"/>
        <w:ind w:left="0"/>
        <w:jc w:val="both"/>
        <w:rPr>
          <w:rFonts w:cs="Arial"/>
          <w:bCs/>
        </w:rPr>
      </w:pPr>
      <w:r w:rsidRPr="007608C2">
        <w:rPr>
          <w:rFonts w:cs="Arial"/>
          <w:bCs/>
        </w:rPr>
        <w:t xml:space="preserve">El Plan Nacional de Desarrollo 2014-2018 estableció el compromiso de consolidar la Política Nacional de Atención Integral a la Primera Infancia y de formular una Política de Infancia y Adolescencia que dé continuidad a los logros alcanzados por la Estrategia “De Cero a Siempre”. En el Plan Estratégico del ICBF, el liderazgo de esta actividad está en cabeza de la Dirección de Niñez y Adolescencia y para la Dirección del SNBF se definió una actividad de apoyo en lo que competa al Sistema Nacional de Bienestar Familiar. </w:t>
      </w:r>
    </w:p>
    <w:p w:rsidR="00F62EE8" w:rsidRPr="007608C2" w:rsidRDefault="00F62EE8" w:rsidP="00F62EE8">
      <w:pPr>
        <w:pStyle w:val="Prrafodelista"/>
        <w:autoSpaceDE w:val="0"/>
        <w:autoSpaceDN w:val="0"/>
        <w:adjustRightInd w:val="0"/>
        <w:spacing w:before="100" w:beforeAutospacing="1" w:after="100" w:afterAutospacing="1" w:line="240" w:lineRule="auto"/>
        <w:ind w:left="0"/>
        <w:jc w:val="both"/>
        <w:rPr>
          <w:rFonts w:cs="Arial"/>
          <w:bCs/>
        </w:rPr>
      </w:pPr>
      <w:r w:rsidRPr="007608C2">
        <w:rPr>
          <w:rFonts w:cs="Arial"/>
          <w:bCs/>
        </w:rPr>
        <w:t xml:space="preserve">Durante el año 2017 se alcanzaron avances relativos a la construcción del documento de política y en un trabajo articulado entre la Dirección de Niñez y Adolescencia y la Dirección del SNBF se realizó la concertación con las instancias nacionales del SNBF para lograr los acuerdos conceptuales y estratégicos que deben ir contenidos en el documento. El documento se encuentra en la fase final y del acuerdo intersectorial se conformó una mesa técnica que ha trabajado en las concertaciones finales y en la retroalimentación del mismo, por parte del Comité Ejecutivo que, como Secretaría técnica del Consejo Nacional de Política Social, preparará su presentación para aprobación ante esta instancia. </w:t>
      </w:r>
    </w:p>
    <w:p w:rsidR="00F62EE8" w:rsidRPr="007608C2" w:rsidRDefault="00F62EE8" w:rsidP="00F62EE8">
      <w:pPr>
        <w:autoSpaceDE w:val="0"/>
        <w:autoSpaceDN w:val="0"/>
        <w:adjustRightInd w:val="0"/>
        <w:spacing w:before="100" w:beforeAutospacing="1" w:after="100" w:afterAutospacing="1" w:line="240" w:lineRule="auto"/>
        <w:jc w:val="both"/>
        <w:rPr>
          <w:rFonts w:cs="Arial"/>
          <w:iCs/>
          <w:u w:val="single"/>
        </w:rPr>
      </w:pPr>
      <w:r w:rsidRPr="007608C2">
        <w:rPr>
          <w:rFonts w:cs="Arial"/>
          <w:iCs/>
          <w:u w:val="single"/>
        </w:rPr>
        <w:t>vii. Política Pública para la Prevención y Erradicación de Trabajo Infantil y la Protección al Adolescente Trabajador</w:t>
      </w:r>
    </w:p>
    <w:p w:rsidR="00F62EE8" w:rsidRPr="007608C2" w:rsidRDefault="00F62EE8" w:rsidP="00F62EE8">
      <w:pPr>
        <w:autoSpaceDE w:val="0"/>
        <w:autoSpaceDN w:val="0"/>
        <w:adjustRightInd w:val="0"/>
        <w:spacing w:before="100" w:beforeAutospacing="1" w:after="100" w:afterAutospacing="1" w:line="240" w:lineRule="auto"/>
        <w:jc w:val="both"/>
        <w:rPr>
          <w:rFonts w:cs="Arial"/>
          <w:bCs/>
        </w:rPr>
      </w:pPr>
      <w:r w:rsidRPr="007608C2">
        <w:rPr>
          <w:rFonts w:cs="Arial"/>
          <w:bCs/>
        </w:rPr>
        <w:t>En 2017 se formula la Línea de Política Pública para la Prevención y Erradicación del Trabajo Infantil y la Protección Integral al Adolescente Trabajador 2017 – 2027, la cual corresponde a la hoja de ruta que orientará las acciones del Estado en el ámbito nacional, departamental, distrital y municipal, que coordinada y articulada con la familia, la empresa, los sindicatos y la sociedad, permitirá atender en el marco de la protección integral, a los niños, niñas y adolescentes en riesgo o en situación de trabajo infantil, y proteger a las y los adolescentes trabajadores y sus familias.</w:t>
      </w:r>
    </w:p>
    <w:p w:rsidR="00F62EE8" w:rsidRPr="007608C2" w:rsidRDefault="00F62EE8" w:rsidP="00F62EE8">
      <w:pPr>
        <w:autoSpaceDE w:val="0"/>
        <w:autoSpaceDN w:val="0"/>
        <w:adjustRightInd w:val="0"/>
        <w:spacing w:before="100" w:beforeAutospacing="1" w:after="100" w:afterAutospacing="1" w:line="240" w:lineRule="auto"/>
        <w:jc w:val="both"/>
        <w:rPr>
          <w:rFonts w:cs="Arial"/>
          <w:bCs/>
        </w:rPr>
      </w:pPr>
      <w:r w:rsidRPr="007608C2">
        <w:rPr>
          <w:rFonts w:cs="Arial"/>
          <w:bCs/>
        </w:rPr>
        <w:lastRenderedPageBreak/>
        <w:t>El documento se encuentra validado por el Comité Ejecutivo del SNBF y se estructura en cinco capítulos. El primero contiene los antecedentes de la construcción de política pública en torno al trabajo infantil en Colombia. El segundo, realiza un análisis situacional a nivel descriptivo, para entender el fenómeno y su incidencia en el desarrollo integral de los niños, niñas y adolescentes, así como las fortalezas y esfuerzos de la acción estatal para identificar sus alcances, brechas, características y particularidades que inciden en esta población. El mismo capítulo presenta la mirada estadística del tema, retos y desafíos que Colombia tiene frente al trabajo infantil y la deuda con las y los adolescentes. El tercer capítulo describe el marco de política, que incluye la plataforma jurídica para abordar el tema, lo conceptual, que presenta las definiciones, características y relaciones con el trabajo infantil, bajo el marco orientador de enfoques. El cuarto capítulo presenta los referentes técnicos para comprender los derechos de los niños, niñas y adolescentes, en el marco de la protección integral; y el quinto capítulo presenta, el marco de gestión de la política, donde se define su objetivo, ejes orientadores y en ellos la gestión que deben adelantar los agentes del Sistema Nacional de Bienestar Familiar - SNBF, en el ámbito nacional, departamental, distrital y municipal.</w:t>
      </w:r>
    </w:p>
    <w:p w:rsidR="00F62EE8" w:rsidRPr="007608C2" w:rsidRDefault="00F62EE8" w:rsidP="00F62EE8">
      <w:pPr>
        <w:autoSpaceDE w:val="0"/>
        <w:autoSpaceDN w:val="0"/>
        <w:adjustRightInd w:val="0"/>
        <w:spacing w:before="100" w:beforeAutospacing="1" w:after="100" w:afterAutospacing="1" w:line="240" w:lineRule="auto"/>
        <w:jc w:val="both"/>
        <w:rPr>
          <w:rFonts w:cs="Arial"/>
          <w:bCs/>
        </w:rPr>
      </w:pPr>
      <w:r w:rsidRPr="007608C2">
        <w:rPr>
          <w:rFonts w:cs="Arial"/>
          <w:bCs/>
        </w:rPr>
        <w:t xml:space="preserve">Este documento se referencia y sustenta en la Política Nacional de Infancia y Adolescencia bajo un proceso de articulación conceptual que permite la coherencia y la implementación articulada de estos dos instrumentos de política pública. </w:t>
      </w:r>
    </w:p>
    <w:p w:rsidR="00F62EE8" w:rsidRPr="007608C2" w:rsidRDefault="00F62EE8" w:rsidP="00F62EE8">
      <w:pPr>
        <w:autoSpaceDE w:val="0"/>
        <w:autoSpaceDN w:val="0"/>
        <w:adjustRightInd w:val="0"/>
        <w:spacing w:before="100" w:beforeAutospacing="1" w:after="100" w:afterAutospacing="1" w:line="240" w:lineRule="auto"/>
        <w:jc w:val="both"/>
        <w:rPr>
          <w:rFonts w:cs="Arial"/>
          <w:iCs/>
          <w:u w:val="single"/>
        </w:rPr>
      </w:pPr>
      <w:r w:rsidRPr="007608C2">
        <w:rPr>
          <w:rFonts w:cs="Arial"/>
          <w:iCs/>
          <w:u w:val="single"/>
        </w:rPr>
        <w:t>viii. Estrategia de articulación interinstitucional e intercultural para el abordaje integral a la violencia sexual y de género contra niñas, niños y adolescentes, mujeres, familias y comunidades en pueblos indígenas</w:t>
      </w:r>
    </w:p>
    <w:p w:rsidR="00F62EE8" w:rsidRPr="007608C2" w:rsidRDefault="00F62EE8" w:rsidP="00F62EE8">
      <w:pPr>
        <w:autoSpaceDE w:val="0"/>
        <w:autoSpaceDN w:val="0"/>
        <w:adjustRightInd w:val="0"/>
        <w:spacing w:before="100" w:beforeAutospacing="1" w:after="100" w:afterAutospacing="1" w:line="240" w:lineRule="auto"/>
        <w:jc w:val="both"/>
        <w:rPr>
          <w:rFonts w:cs="Arial"/>
          <w:bCs/>
        </w:rPr>
      </w:pPr>
      <w:r w:rsidRPr="007608C2">
        <w:rPr>
          <w:rFonts w:cs="Arial"/>
          <w:bCs/>
        </w:rPr>
        <w:t xml:space="preserve">Se han logrado avances  en la articulación de agentes del Sistema Nacional de Bienestar Familiar en una mesa técnica con participación de la Organización Nacional Indígena de Colombia ONIC, la Organización de los pueblos indígenas de la Amazonia Colombiana, Gobierno Mayor, el Ministerio de Salud y Protección Social, el Ministerio del Interior, el Instituto Colombiano de Bienestar Familiar, la Consejería Presidencial para la Equidad de la Mujer, la Fiscalía General de la Nación,  el Ministerio de Cultura, el Instituto de Medicina Legal e Investigación Forense, la Unidad de Atención y Reparación Integral a las víctimas –UARIV, el Ministerio de Educación y UNICEF. La secretaria técnica es adelantada por el ICBF, Dirección del SNBF, en conjunto con la Consejería Presidencial para los Derechos humanos. </w:t>
      </w:r>
    </w:p>
    <w:p w:rsidR="00F62EE8" w:rsidRPr="007608C2" w:rsidRDefault="00F62EE8" w:rsidP="00F62EE8">
      <w:pPr>
        <w:autoSpaceDE w:val="0"/>
        <w:autoSpaceDN w:val="0"/>
        <w:adjustRightInd w:val="0"/>
        <w:spacing w:before="100" w:beforeAutospacing="1" w:after="100" w:afterAutospacing="1" w:line="240" w:lineRule="auto"/>
        <w:jc w:val="both"/>
        <w:rPr>
          <w:rFonts w:cs="Arial"/>
          <w:bCs/>
        </w:rPr>
      </w:pPr>
      <w:r w:rsidRPr="007608C2">
        <w:rPr>
          <w:rFonts w:cs="Arial"/>
          <w:bCs/>
        </w:rPr>
        <w:t xml:space="preserve">En el 2017 se llevaron a cabo tres (3) mesas de la estrategia de Estrategia interinstitucional e intercultural con autoridades y pueblos indígenas para la prevención y atención integral de la violencia sexual contra niñas, niños, adolescentes y mujeres en comunidades indígenas los principales productos de estas sesiones han sido: </w:t>
      </w:r>
    </w:p>
    <w:p w:rsidR="00F62EE8" w:rsidRPr="007608C2" w:rsidRDefault="00F62EE8" w:rsidP="00A44A2B">
      <w:pPr>
        <w:pStyle w:val="Prrafodelista"/>
        <w:numPr>
          <w:ilvl w:val="0"/>
          <w:numId w:val="43"/>
        </w:numPr>
        <w:autoSpaceDE w:val="0"/>
        <w:autoSpaceDN w:val="0"/>
        <w:adjustRightInd w:val="0"/>
        <w:spacing w:before="100" w:beforeAutospacing="1" w:after="100" w:afterAutospacing="1" w:line="240" w:lineRule="auto"/>
        <w:contextualSpacing/>
        <w:jc w:val="both"/>
        <w:rPr>
          <w:rFonts w:cs="Arial"/>
          <w:bCs/>
        </w:rPr>
      </w:pPr>
      <w:r w:rsidRPr="007608C2">
        <w:rPr>
          <w:rFonts w:cs="Arial"/>
          <w:bCs/>
        </w:rPr>
        <w:t xml:space="preserve">Establecimiento de mesas de trabajo para la elaboración del plan de acción 2017 de la estrategia. </w:t>
      </w:r>
    </w:p>
    <w:p w:rsidR="00F62EE8" w:rsidRPr="007608C2" w:rsidRDefault="00F62EE8" w:rsidP="00A44A2B">
      <w:pPr>
        <w:pStyle w:val="Prrafodelista"/>
        <w:numPr>
          <w:ilvl w:val="0"/>
          <w:numId w:val="43"/>
        </w:numPr>
        <w:autoSpaceDE w:val="0"/>
        <w:autoSpaceDN w:val="0"/>
        <w:adjustRightInd w:val="0"/>
        <w:spacing w:before="100" w:beforeAutospacing="1" w:after="100" w:afterAutospacing="1" w:line="240" w:lineRule="auto"/>
        <w:contextualSpacing/>
        <w:jc w:val="both"/>
        <w:rPr>
          <w:rFonts w:cs="Arial"/>
          <w:bCs/>
        </w:rPr>
      </w:pPr>
      <w:r w:rsidRPr="007608C2">
        <w:rPr>
          <w:rFonts w:cs="Arial"/>
          <w:bCs/>
        </w:rPr>
        <w:t>Visitas a territorios donde se ha implementado la estrategia EVSGPI. Se visitóvisitado Guainía - Inírida al resguardo el Paujil y Córdoba -Tierralta comunidad Embera de Bejido.</w:t>
      </w:r>
    </w:p>
    <w:p w:rsidR="00F62EE8" w:rsidRPr="007608C2" w:rsidRDefault="00F62EE8" w:rsidP="00A44A2B">
      <w:pPr>
        <w:pStyle w:val="Prrafodelista"/>
        <w:numPr>
          <w:ilvl w:val="0"/>
          <w:numId w:val="43"/>
        </w:numPr>
        <w:autoSpaceDE w:val="0"/>
        <w:autoSpaceDN w:val="0"/>
        <w:adjustRightInd w:val="0"/>
        <w:spacing w:before="100" w:beforeAutospacing="1" w:after="100" w:afterAutospacing="1" w:line="240" w:lineRule="auto"/>
        <w:contextualSpacing/>
        <w:jc w:val="both"/>
        <w:rPr>
          <w:rFonts w:cs="Arial"/>
          <w:bCs/>
        </w:rPr>
      </w:pPr>
      <w:r w:rsidRPr="007608C2">
        <w:rPr>
          <w:rFonts w:cs="Arial"/>
          <w:bCs/>
        </w:rPr>
        <w:t xml:space="preserve">Socialización de los pilotos que se llevaron a cabo en el 2016 ante las distintas instituciones del SNBF que son Pueblo Maiben Masiware - Comunidad San Jose de Ariporo y Betania - Resguardo Caño Mochuelo- Municipios de Hato Corozal - Departamento del Casanare; Zonal </w:t>
      </w:r>
      <w:r w:rsidRPr="007608C2">
        <w:rPr>
          <w:rFonts w:cs="Arial"/>
          <w:bCs/>
        </w:rPr>
        <w:lastRenderedPageBreak/>
        <w:t>indígena de Yapú - Pueblo Bara y Zonal indígena de Cuduyari - Pueblo Cubeo-  Municipio de Mitú - Departamento del Vaupés; Pueblo Nasa - Resguardo Huellas - Municipio de Caloto - Departamento del Cauca.</w:t>
      </w:r>
    </w:p>
    <w:p w:rsidR="00F62EE8" w:rsidRPr="007608C2" w:rsidRDefault="00F62EE8" w:rsidP="00F62EE8">
      <w:pPr>
        <w:pStyle w:val="Prrafodelista"/>
        <w:autoSpaceDE w:val="0"/>
        <w:autoSpaceDN w:val="0"/>
        <w:adjustRightInd w:val="0"/>
        <w:spacing w:before="100" w:beforeAutospacing="1" w:after="100" w:afterAutospacing="1" w:line="240" w:lineRule="auto"/>
        <w:ind w:left="360"/>
        <w:contextualSpacing/>
        <w:jc w:val="both"/>
        <w:rPr>
          <w:rFonts w:cs="Arial"/>
          <w:bCs/>
        </w:rPr>
      </w:pPr>
    </w:p>
    <w:p w:rsidR="00F62EE8" w:rsidRPr="007608C2" w:rsidRDefault="00F62EE8" w:rsidP="00F62EE8">
      <w:pPr>
        <w:autoSpaceDE w:val="0"/>
        <w:autoSpaceDN w:val="0"/>
        <w:adjustRightInd w:val="0"/>
        <w:spacing w:before="100" w:beforeAutospacing="1" w:after="100" w:afterAutospacing="1" w:line="240" w:lineRule="auto"/>
        <w:jc w:val="both"/>
        <w:rPr>
          <w:rFonts w:cs="Arial"/>
          <w:iCs/>
          <w:u w:val="single"/>
        </w:rPr>
      </w:pPr>
      <w:r w:rsidRPr="007608C2">
        <w:rPr>
          <w:rFonts w:cs="Arial"/>
          <w:iCs/>
          <w:u w:val="single"/>
        </w:rPr>
        <w:t>ix. Estrategia Nacional de Prevención y erradicación de la Explotación Sexual Comercial de niños, niñas y adolescentes</w:t>
      </w:r>
    </w:p>
    <w:p w:rsidR="00F62EE8" w:rsidRPr="007608C2" w:rsidRDefault="00F62EE8" w:rsidP="00F62EE8">
      <w:pPr>
        <w:spacing w:before="100" w:beforeAutospacing="1" w:after="100" w:afterAutospacing="1" w:line="240" w:lineRule="auto"/>
        <w:jc w:val="both"/>
        <w:rPr>
          <w:rFonts w:cs="Arial"/>
          <w:bCs/>
        </w:rPr>
      </w:pPr>
      <w:r w:rsidRPr="007608C2">
        <w:rPr>
          <w:rFonts w:cs="Arial"/>
          <w:bCs/>
        </w:rPr>
        <w:t>Mediante la entrada en vigencia de la ley 1450 de 2001 del Plan de Desarrollo, la Ley 1336 de 2009, “Por medio de la cual se adiciona y robustece la Ley 679 de 2001, de lucha contra la explotación, la pornografía y el turismo sexual con niños, niñas y adolescentes” en el artículo 27 se ordenó la constitución del Comité Interinstitucional para Ejecutar la Política Pública de Prevención y Erradicación de la ESCNNA, así mismo delegó en el Ministerio del Trabajo la presidencia del Comité.</w:t>
      </w:r>
    </w:p>
    <w:p w:rsidR="00F62EE8" w:rsidRPr="007608C2" w:rsidRDefault="00F62EE8" w:rsidP="00F62EE8">
      <w:pPr>
        <w:spacing w:before="100" w:beforeAutospacing="1" w:after="100" w:afterAutospacing="1" w:line="240" w:lineRule="auto"/>
        <w:jc w:val="both"/>
        <w:rPr>
          <w:rFonts w:cs="Arial"/>
          <w:bCs/>
        </w:rPr>
      </w:pPr>
      <w:r w:rsidRPr="007608C2">
        <w:rPr>
          <w:rFonts w:cs="Arial"/>
          <w:bCs/>
        </w:rPr>
        <w:t>Así mismo, en el Plan Nacional de Desarrollo 2014-2018, se reiteró la solicitud de consolidar e implementar la política pública de Primera Infancia y Adolescencia y con ella la línea de política de ESCNNA, por lo cual en el marco de la Secretaria Técnica permanente del Comité Nacional Interinstitucional de Prevención y Erradicación de la Explotación Sexual Comercial de Niños, Niñas y Adolescentes (ESCNNA), se ha venido desarrollando el documento que formula la política pública.</w:t>
      </w:r>
    </w:p>
    <w:p w:rsidR="00F62EE8" w:rsidRPr="007608C2" w:rsidRDefault="00F62EE8" w:rsidP="00F62EE8">
      <w:pPr>
        <w:spacing w:before="100" w:beforeAutospacing="1" w:after="100" w:afterAutospacing="1" w:line="240" w:lineRule="auto"/>
        <w:jc w:val="both"/>
        <w:rPr>
          <w:rFonts w:cs="Arial"/>
          <w:bCs/>
        </w:rPr>
      </w:pPr>
      <w:r w:rsidRPr="007608C2">
        <w:rPr>
          <w:rFonts w:cs="Arial"/>
          <w:bCs/>
        </w:rPr>
        <w:t>Con relación a la formulación del documento en el 2017 se realizaron 10 sesiones con presencia de delegados de las entidades que integran el comité  Nacional Interinstitucional de Prevención y Erradicación de la Explotación Sexual Comercial de Niños, Niñas y Adolescentes (ESCNNA), se consolidaron los insumos formulando el análisis situacional de la explotación sexual comercial de niños, niñas y adolescentes, el marco jurídico y normativo, los resultados de la discusión frente al contexto del problema, los principios y enfoques con los cuales se debe formular la política, y el marco de gestión en donde se enmarcan los ejes de promoción de derechos humanos, prevención, participación y movilización social; Atención y restablecimiento de derechos; y Judicialización, vigilancia y control,  y de igual forma, se incluyeron  las acciones y estrategias de la línea de política de ESCNNA.</w:t>
      </w:r>
    </w:p>
    <w:p w:rsidR="00F62EE8" w:rsidRPr="007608C2" w:rsidRDefault="00F62EE8" w:rsidP="00F62EE8">
      <w:pPr>
        <w:spacing w:before="100" w:beforeAutospacing="1" w:after="100" w:afterAutospacing="1" w:line="240" w:lineRule="auto"/>
        <w:jc w:val="both"/>
        <w:rPr>
          <w:rFonts w:cs="Arial"/>
          <w:bCs/>
        </w:rPr>
      </w:pPr>
      <w:r w:rsidRPr="007608C2">
        <w:rPr>
          <w:rFonts w:cs="Arial"/>
          <w:bCs/>
        </w:rPr>
        <w:t>El documento se encuentra en análisis y validación por parte del Departamento Nacional de Planeación y se viene desarrollando la metodología para su validación en territorio para posteriormente ser presentado al Comité Ejecutivo del SNBF y al CNPS.</w:t>
      </w:r>
    </w:p>
    <w:p w:rsidR="00F62EE8" w:rsidRPr="007608C2" w:rsidRDefault="00F62EE8" w:rsidP="00F62EE8">
      <w:pPr>
        <w:autoSpaceDE w:val="0"/>
        <w:autoSpaceDN w:val="0"/>
        <w:adjustRightInd w:val="0"/>
        <w:spacing w:before="100" w:beforeAutospacing="1" w:after="100" w:afterAutospacing="1" w:line="240" w:lineRule="auto"/>
        <w:jc w:val="both"/>
        <w:rPr>
          <w:rFonts w:cs="Arial"/>
          <w:iCs/>
          <w:u w:val="single"/>
        </w:rPr>
      </w:pPr>
      <w:r w:rsidRPr="007608C2">
        <w:rPr>
          <w:rFonts w:cs="Arial"/>
          <w:iCs/>
          <w:u w:val="single"/>
        </w:rPr>
        <w:t xml:space="preserve">x. Política Nacional para el Apoyo y Fortalecimiento a las Familias. </w:t>
      </w:r>
    </w:p>
    <w:p w:rsidR="00F62EE8" w:rsidRPr="007608C2" w:rsidRDefault="00F62EE8" w:rsidP="00F62EE8">
      <w:pPr>
        <w:autoSpaceDE w:val="0"/>
        <w:autoSpaceDN w:val="0"/>
        <w:adjustRightInd w:val="0"/>
        <w:spacing w:before="100" w:beforeAutospacing="1" w:after="100" w:afterAutospacing="1" w:line="240" w:lineRule="auto"/>
        <w:jc w:val="both"/>
        <w:rPr>
          <w:rFonts w:cs="Arial"/>
          <w:bCs/>
        </w:rPr>
      </w:pPr>
      <w:r w:rsidRPr="007608C2">
        <w:rPr>
          <w:rFonts w:cs="Arial"/>
          <w:bCs/>
        </w:rPr>
        <w:t xml:space="preserve">El Plan Nacional de Desarrollo definió para el presente periodo de gobierno, bajo el liderazgo del Ministerio de Salud y Protección Social y el ICBF, </w:t>
      </w:r>
      <w:r w:rsidRPr="007608C2">
        <w:rPr>
          <w:rFonts w:cs="Arial"/>
          <w:bCs/>
          <w:i/>
        </w:rPr>
        <w:t>sancionar y coordinar la implementación de la Política Nacional para las Familias Colombianas</w:t>
      </w:r>
      <w:r w:rsidRPr="007608C2">
        <w:rPr>
          <w:rFonts w:cs="Arial"/>
          <w:bCs/>
        </w:rPr>
        <w:t xml:space="preserve">, con el ánimo de fomentar los vínculos afectivos al interior del hogar, el buen trato y la conformación de entornos protectores, así como, generar los lineamientos para la creación de programas de fortalecimiento familiar en las entidades territoriales (DNP, 2014).  Este compromiso se priorizó en el Plan de Acción del SNBF, buscando que este ejercicio se desarrollara de manera intersectorial y contara con el respaldo de las </w:t>
      </w:r>
      <w:r w:rsidRPr="007608C2">
        <w:rPr>
          <w:rFonts w:cs="Arial"/>
          <w:bCs/>
        </w:rPr>
        <w:lastRenderedPageBreak/>
        <w:t>instancias y escenarios del SNBF para su desarrollo. En ese sentido, se avanzó en la elaboración articulada del documento “Política Nacional de Apoyo y Fortalecimiento a las Familias” y también de un documento resumen -ABC de la Política de apoyo y fortalecimiento a las familias, en armonización con políticas poblacionales y otras estrategias nacionales. El Documento de Política fue presentado y validado por el Comité Ejecutivo del SNBF en reuniones de septiembre y noviembre de 2016.</w:t>
      </w:r>
    </w:p>
    <w:p w:rsidR="00F62EE8" w:rsidRPr="007608C2" w:rsidRDefault="00F62EE8" w:rsidP="00F62EE8">
      <w:pPr>
        <w:autoSpaceDE w:val="0"/>
        <w:autoSpaceDN w:val="0"/>
        <w:adjustRightInd w:val="0"/>
        <w:spacing w:before="100" w:beforeAutospacing="1" w:after="100" w:afterAutospacing="1" w:line="240" w:lineRule="auto"/>
        <w:jc w:val="both"/>
        <w:rPr>
          <w:rFonts w:cs="Arial"/>
          <w:bCs/>
        </w:rPr>
      </w:pPr>
      <w:r w:rsidRPr="007608C2">
        <w:rPr>
          <w:rFonts w:cs="Arial"/>
          <w:bCs/>
        </w:rPr>
        <w:t xml:space="preserve">En el año 2017 se realizó el plan de acción de la Política de Apoyo y Fortalecimiento a las Familias, articulado por la Mesa Nacional de Familia, cuyo plan de trabajo tuvo el objetivo de lograr la implementación territorial de la Política en el marco de las mesas de Infancia, adolescencia y fortalecimiento familiar.  Este proceso se surtió con el liderazgo del Ministerio de Salud que generó una propuesta de acciones basadas en los ejes y líneas de política, que se han discutido interinstitucionalmente y retroalimentado por las entidades participantes de la Mesa Nacional y presentado sus avances en las sesiones de la Mesa Técnica Nacional de Familia, y la gestión de los productos se realiza mediante tres subcomités: Gestión de conocimiento, Lineamientos; y Asistencia técnica. El proceso de asistencia técnica se realizó mediante videoconferencias dirigidas a: Antioquia, Cauca, Risaralda, Quindío, Caldas, Chocó, Valle del Cauca, Nariño, Tolima, Huila, Putumayo, Bogotá, Cundinamarca, Santander, Norte de Santander, Cesar, Vichada, Arauca, Sucre, Meta, Córdoba, Caquetá, Casanare, Bolívar, Magdalena, Guaviare. Guainía y Boyacá, con el objetivo de socializar los avances de la Política Pública Nacional de Apoyo. Igualmente se brindó asistencia técnica presencial a los departamentos de Cundinamarca, Boyacá y Antioquia. </w:t>
      </w:r>
    </w:p>
    <w:p w:rsidR="00F62EE8" w:rsidRPr="007608C2" w:rsidRDefault="00F62EE8" w:rsidP="00F62EE8">
      <w:pPr>
        <w:autoSpaceDE w:val="0"/>
        <w:autoSpaceDN w:val="0"/>
        <w:adjustRightInd w:val="0"/>
        <w:spacing w:before="100" w:beforeAutospacing="1" w:after="100" w:afterAutospacing="1" w:line="240" w:lineRule="auto"/>
        <w:jc w:val="both"/>
        <w:rPr>
          <w:rFonts w:cs="Arial"/>
          <w:iCs/>
          <w:u w:val="single"/>
        </w:rPr>
      </w:pPr>
      <w:r w:rsidRPr="007608C2">
        <w:rPr>
          <w:rFonts w:cs="Arial"/>
          <w:iCs/>
          <w:u w:val="single"/>
        </w:rPr>
        <w:t>xi. Política Pública de Discapacidad e Inclusión Social</w:t>
      </w:r>
    </w:p>
    <w:p w:rsidR="00F62EE8" w:rsidRPr="007608C2" w:rsidRDefault="00F62EE8" w:rsidP="00F62EE8">
      <w:pPr>
        <w:spacing w:before="100" w:beforeAutospacing="1" w:after="100" w:afterAutospacing="1" w:line="240" w:lineRule="auto"/>
        <w:jc w:val="both"/>
        <w:rPr>
          <w:rFonts w:cs="Arial"/>
          <w:lang w:eastAsia="es-CO"/>
        </w:rPr>
      </w:pPr>
      <w:r w:rsidRPr="007608C2">
        <w:rPr>
          <w:rFonts w:cs="Arial"/>
          <w:lang w:eastAsia="es-CO"/>
        </w:rPr>
        <w:t xml:space="preserve">Con relación a la política de discapacidad, el compromiso consiste en implementar la política pública nacional de discapacidad e inclusión social en el ámbito nacional y territorial. Desde la Dirección del SNBF no solo se trabajó en el seguimiento a los compromisos del Plan de Acción, sino que además se logró articular el seguimiento en la Ruta de Atención Integral a Primera Infancia. Posterior a los 6 años, se articulará a la Ruta de Atención Intersectorial, propuesta por el grupo de curso de vida del Ministerio de Salud.  La construcción de dicha ruta la está llevando a cabo el equipo del plan presidencial para la inclusión social de las personas con discapacidad. De igual forma se construyó en el marco del Convenio 1299 de 2017 un documento de orientaciones para la articulación del SNBF y el SND (Sistema Nacional de Discapacidad) a nivel nacional y a nivel territorial, con insumos de la Dirección del SNBF, el Ministerio del Interior como ente rector del SND a partir de julio de 2017 y el Ministerio de Salud y Protección Social como ente rector anterior. </w:t>
      </w:r>
    </w:p>
    <w:p w:rsidR="00F62EE8" w:rsidRPr="007608C2" w:rsidRDefault="00F62EE8" w:rsidP="00F62EE8">
      <w:pPr>
        <w:autoSpaceDE w:val="0"/>
        <w:autoSpaceDN w:val="0"/>
        <w:adjustRightInd w:val="0"/>
        <w:spacing w:before="100" w:beforeAutospacing="1" w:after="100" w:afterAutospacing="1" w:line="240" w:lineRule="auto"/>
        <w:jc w:val="both"/>
        <w:rPr>
          <w:rFonts w:cs="Arial"/>
          <w:iCs/>
          <w:u w:val="single"/>
        </w:rPr>
      </w:pPr>
      <w:r w:rsidRPr="007608C2">
        <w:rPr>
          <w:rFonts w:cs="Arial"/>
          <w:iCs/>
          <w:u w:val="single"/>
        </w:rPr>
        <w:t>xii. Política Nacional de Habitante de Calle</w:t>
      </w:r>
    </w:p>
    <w:p w:rsidR="00F62EE8" w:rsidRPr="007608C2" w:rsidRDefault="00F62EE8" w:rsidP="00F62EE8">
      <w:pPr>
        <w:autoSpaceDE w:val="0"/>
        <w:autoSpaceDN w:val="0"/>
        <w:adjustRightInd w:val="0"/>
        <w:spacing w:before="100" w:beforeAutospacing="1" w:after="100" w:afterAutospacing="1" w:line="240" w:lineRule="auto"/>
        <w:jc w:val="both"/>
        <w:rPr>
          <w:rFonts w:cs="Arial"/>
          <w:lang w:eastAsia="es-CO"/>
        </w:rPr>
      </w:pPr>
      <w:r w:rsidRPr="007608C2">
        <w:rPr>
          <w:rFonts w:cs="Arial"/>
          <w:lang w:eastAsia="es-CO"/>
        </w:rPr>
        <w:t>El proceso de formulación de la Política Nacional de Habitante de Calle, que fue retomado en el año 2016, se culminó en el año 2017, una primera versión fue retroalimentada por las entidades del orden nacional. El documento</w:t>
      </w:r>
      <w:r w:rsidRPr="007608C2">
        <w:rPr>
          <w:rFonts w:cs="Arial"/>
        </w:rPr>
        <w:t xml:space="preserve"> </w:t>
      </w:r>
      <w:r w:rsidRPr="007608C2">
        <w:rPr>
          <w:rFonts w:cs="Arial"/>
          <w:lang w:eastAsia="es-CO"/>
        </w:rPr>
        <w:t xml:space="preserve">está compuesto por cuatro capítulos: el capítulo I, marco conceptual, expone las definiciones y detalla las principales posturas y discusiones de política pública sobre el tema; el capítulo II analiza el marco jurídico, internacional y nacional dispuesto sobre el fenómeno de habitanza en calle; el capítulo III es un acercamiento al fenómeno mediante </w:t>
      </w:r>
      <w:r w:rsidRPr="007608C2">
        <w:rPr>
          <w:rFonts w:cs="Arial"/>
          <w:lang w:eastAsia="es-CO"/>
        </w:rPr>
        <w:lastRenderedPageBreak/>
        <w:t xml:space="preserve">datos cuantitativos y cualitativos, mostrando las afectaciones de mayor envergadura para la población en y de la calle, así como los niños, niñas y adolescentes en situación de calle y/o alta permanencia en calle. Por último, en el capítulo IV se plantean los objetivos, principios, enfoques, líneas estratégicas y el modelo de atención de la PPSHC como una herramienta metodológica para la implementación de la política. </w:t>
      </w:r>
    </w:p>
    <w:p w:rsidR="00F62EE8" w:rsidRPr="007608C2" w:rsidRDefault="00F62EE8" w:rsidP="00F62EE8">
      <w:pPr>
        <w:spacing w:before="100" w:beforeAutospacing="1" w:after="100" w:afterAutospacing="1" w:line="240" w:lineRule="auto"/>
        <w:jc w:val="both"/>
        <w:rPr>
          <w:rFonts w:cs="Arial"/>
          <w:lang w:eastAsia="es-CO"/>
        </w:rPr>
      </w:pPr>
      <w:r w:rsidRPr="007608C2">
        <w:rPr>
          <w:rFonts w:cs="Arial"/>
          <w:lang w:eastAsia="es-CO"/>
        </w:rPr>
        <w:t>En éste documento y por solicitud del ICBF y en consideración a que el tema de niños, niñas y adolescentes, requiere un tratamiento especial, se acordó que el documento contenga las Orientaciones Generales para la Protección Integral de los Niños, Niñas y Adolescentes en Riesgo o en Situación de Vida en Calle y Alta Permanencia en Calle y el Fortalecimiento de sus familias, razón por la cual se construyó el mismo por las áreas misionales del ICBF y del SNBF y se remitió la propuesta para ser incorporada en la versión final del documento.</w:t>
      </w:r>
    </w:p>
    <w:p w:rsidR="00F62EE8" w:rsidRPr="007608C2" w:rsidRDefault="00F62EE8" w:rsidP="00F62EE8">
      <w:pPr>
        <w:autoSpaceDE w:val="0"/>
        <w:autoSpaceDN w:val="0"/>
        <w:adjustRightInd w:val="0"/>
        <w:spacing w:before="100" w:beforeAutospacing="1" w:after="100" w:afterAutospacing="1" w:line="240" w:lineRule="auto"/>
        <w:jc w:val="both"/>
        <w:rPr>
          <w:rFonts w:cs="Arial"/>
          <w:iCs/>
          <w:u w:val="single"/>
        </w:rPr>
      </w:pPr>
      <w:r w:rsidRPr="007608C2">
        <w:rPr>
          <w:rFonts w:cs="Arial"/>
          <w:iCs/>
          <w:u w:val="single"/>
        </w:rPr>
        <w:t>xiii. Política de salud mental</w:t>
      </w:r>
    </w:p>
    <w:p w:rsidR="00F62EE8" w:rsidRPr="007608C2" w:rsidRDefault="00F62EE8" w:rsidP="00F62EE8">
      <w:pPr>
        <w:spacing w:before="100" w:beforeAutospacing="1" w:after="100" w:afterAutospacing="1" w:line="240" w:lineRule="auto"/>
        <w:jc w:val="both"/>
        <w:rPr>
          <w:rFonts w:cs="Arial"/>
          <w:lang w:eastAsia="es-CO"/>
        </w:rPr>
      </w:pPr>
      <w:r w:rsidRPr="007608C2">
        <w:rPr>
          <w:rFonts w:cs="Arial"/>
          <w:lang w:eastAsia="es-CO"/>
        </w:rPr>
        <w:t xml:space="preserve">En el marco de la Ley 1616 de 2013 por medio de la cual se expide la ley de salud mental y se dictan otras disposiciones, se dispone en su artículo 41 que el gobierno Nacional expedirá un documento CONPES para el fortalecimiento de la Salud Mental de la población colombiana en concurso con los actores institucionales y sociales, el Ministerio de Salud y Protección Social MSPS conjuntamente con el Departamento Nacional de Planeación y en colaboración con el Banco Mundial y las demás entidades. En el 2017 adelantándose adelantó el proceso de trabajo intersectorial para la elaboración del mencionado Documento CONPES en Salud Mental. En el proceso de formulación la Política Nacional de Salud Mental, el ICBF visibilizó las problemáticas de mayor afectación para los niños, niñas y adolescentes como el consumo de sustancias psicoactivas, el suicidio y las enfermedades mentales, que requieren atención integral. </w:t>
      </w:r>
    </w:p>
    <w:p w:rsidR="00F62EE8" w:rsidRPr="007608C2" w:rsidRDefault="00F62EE8" w:rsidP="00F62EE8">
      <w:pPr>
        <w:autoSpaceDE w:val="0"/>
        <w:autoSpaceDN w:val="0"/>
        <w:adjustRightInd w:val="0"/>
        <w:spacing w:before="100" w:beforeAutospacing="1" w:after="100" w:afterAutospacing="1" w:line="240" w:lineRule="auto"/>
        <w:jc w:val="both"/>
        <w:rPr>
          <w:rFonts w:cs="Arial"/>
          <w:iCs/>
          <w:u w:val="single"/>
        </w:rPr>
      </w:pPr>
      <w:r w:rsidRPr="007608C2">
        <w:rPr>
          <w:rFonts w:cs="Arial"/>
          <w:iCs/>
          <w:u w:val="single"/>
        </w:rPr>
        <w:t>xiv. Plan nacional para la promoción de la salud, la prevención y atención de consumo de sustancias psicoactivas (SP)</w:t>
      </w:r>
    </w:p>
    <w:p w:rsidR="00F62EE8" w:rsidRPr="007608C2" w:rsidRDefault="00F62EE8" w:rsidP="00F62EE8">
      <w:pPr>
        <w:spacing w:before="100" w:beforeAutospacing="1" w:after="100" w:afterAutospacing="1" w:line="240" w:lineRule="auto"/>
        <w:jc w:val="both"/>
        <w:rPr>
          <w:rFonts w:cs="Arial"/>
          <w:bCs/>
        </w:rPr>
      </w:pPr>
      <w:r w:rsidRPr="007608C2">
        <w:rPr>
          <w:rFonts w:cs="Arial"/>
          <w:bCs/>
        </w:rPr>
        <w:t xml:space="preserve">Considerando que la prevención y atención de la niñez y adolescencia en relación con el consumo de sustancias psicoactivas es una prioridad dentro de las acciones para la protección integral de los niños, niñas y adolescentes, el Plan de Acción del SNBF incluyó el compromiso del PND </w:t>
      </w:r>
      <w:r w:rsidRPr="007608C2">
        <w:rPr>
          <w:rFonts w:cs="Arial"/>
          <w:bCs/>
          <w:i/>
        </w:rPr>
        <w:t>implementar el plan nacional para la promoción de la salud, la prevención y atención de consumo de sustancias psicoactivas (SP), en el marco de la Ley 1566 de 2012</w:t>
      </w:r>
      <w:r w:rsidRPr="007608C2">
        <w:rPr>
          <w:rFonts w:cs="Arial"/>
          <w:bCs/>
        </w:rPr>
        <w:t>, a cargo del Ministerio de Salud y Protección Social</w:t>
      </w:r>
      <w:r w:rsidRPr="007608C2">
        <w:rPr>
          <w:rFonts w:cs="Arial"/>
          <w:bCs/>
          <w:i/>
        </w:rPr>
        <w:t xml:space="preserve">. </w:t>
      </w:r>
      <w:r w:rsidRPr="007608C2">
        <w:rPr>
          <w:rFonts w:cs="Arial"/>
          <w:bCs/>
        </w:rPr>
        <w:t xml:space="preserve">Para facilitar el proceso de implementación del plan, el equipo de referentes de la Dirección del SNBF recibió la socialización del Plan Nacional de SPA a fin de consolidar la respuesta al mismo con el apoyo de los Consejos de Política Social. </w:t>
      </w:r>
    </w:p>
    <w:p w:rsidR="00F62EE8" w:rsidRPr="007608C2" w:rsidRDefault="00F62EE8" w:rsidP="00F62EE8">
      <w:pPr>
        <w:autoSpaceDE w:val="0"/>
        <w:autoSpaceDN w:val="0"/>
        <w:adjustRightInd w:val="0"/>
        <w:spacing w:before="100" w:beforeAutospacing="1" w:after="100" w:afterAutospacing="1" w:line="240" w:lineRule="auto"/>
        <w:jc w:val="both"/>
        <w:rPr>
          <w:rFonts w:cs="Arial"/>
          <w:iCs/>
          <w:u w:val="single"/>
        </w:rPr>
      </w:pPr>
      <w:r w:rsidRPr="007608C2">
        <w:rPr>
          <w:rFonts w:cs="Arial"/>
          <w:iCs/>
          <w:u w:val="single"/>
        </w:rPr>
        <w:t>xv. Estrategia Nacional para la Prevención del Embarazo en la Adolescencia</w:t>
      </w:r>
    </w:p>
    <w:p w:rsidR="00F62EE8" w:rsidRPr="007608C2" w:rsidRDefault="00F62EE8" w:rsidP="00F62EE8">
      <w:pPr>
        <w:autoSpaceDE w:val="0"/>
        <w:autoSpaceDN w:val="0"/>
        <w:adjustRightInd w:val="0"/>
        <w:spacing w:before="100" w:beforeAutospacing="1" w:after="100" w:afterAutospacing="1" w:line="240" w:lineRule="auto"/>
        <w:jc w:val="both"/>
        <w:rPr>
          <w:rFonts w:cs="Arial"/>
          <w:bCs/>
        </w:rPr>
      </w:pPr>
      <w:r w:rsidRPr="007608C2">
        <w:rPr>
          <w:rFonts w:cs="Arial"/>
          <w:bCs/>
        </w:rPr>
        <w:t xml:space="preserve">El Plan Nacional de Desarrollo estableció dentro de sus metas, la reducción del porcentaje de mujeres de 15 a 19 años que han sido madres o están embarazadas para lo cual se planteó el fortalecimiento de la estrategia de prevención del embarazo en la adolescencia teniendo como antecedente el Conpes Social 147.  Es así como el PND estableció una meta de ampliación a 300 municipios en los cuales se debe implementar dicha estrategia priorizando los departamentos con mayores tasas de embarazo adolescente y, al interior de estos, los municipios que concentren </w:t>
      </w:r>
      <w:r w:rsidRPr="007608C2">
        <w:rPr>
          <w:rFonts w:cs="Arial"/>
          <w:bCs/>
        </w:rPr>
        <w:lastRenderedPageBreak/>
        <w:t xml:space="preserve">los nacimientos en madres menores de 20 años.  A partir de esta directriz, en el marco de la Comisión Nacional Intersectorial para la Promoción y Garantía de los Derechos Sexuales y Reproductivos” se desarrolló la “Estrategia Nacional para la Prevención del Embarazo en la Adolescencia” la cual fue presentada en el Comité Ejecutivo del SNBF y validada en el Consejo Nacional de Política Social de febrero de 2017. </w:t>
      </w:r>
    </w:p>
    <w:p w:rsidR="00F62EE8" w:rsidRPr="007608C2" w:rsidRDefault="00F62EE8" w:rsidP="00F62EE8">
      <w:pPr>
        <w:spacing w:before="100" w:beforeAutospacing="1" w:after="100" w:afterAutospacing="1" w:line="240" w:lineRule="auto"/>
        <w:jc w:val="both"/>
        <w:rPr>
          <w:rFonts w:cs="Arial"/>
          <w:bCs/>
        </w:rPr>
      </w:pPr>
      <w:r w:rsidRPr="007608C2">
        <w:rPr>
          <w:rFonts w:cs="Arial"/>
          <w:bCs/>
        </w:rPr>
        <w:t xml:space="preserve">Para su estructuración y definición, se realizó un trabajo intersectorial en mesas </w:t>
      </w:r>
      <w:r w:rsidR="004F4DD7" w:rsidRPr="007608C2">
        <w:rPr>
          <w:rFonts w:cs="Arial"/>
          <w:bCs/>
        </w:rPr>
        <w:t>técnicas y</w:t>
      </w:r>
      <w:r w:rsidRPr="007608C2">
        <w:rPr>
          <w:rFonts w:cs="Arial"/>
          <w:bCs/>
        </w:rPr>
        <w:t xml:space="preserve"> una consulta participativa de aproximadamente 200 niños, niñas, adolescentes y jóvenes entre los 6 y los 24 años, entre los cuales se incluyeron adolescentes gestantes y lactantes pertenecientes a las ciudades de Bogotá, Santa Marta, Neiva, Cali y Riohacha —con representatividad de la etnia Wayuu—. La Estrategia de Atención Integral para niñas, niños y adolescentes se constituye en el conjunto de decisiones políticas y acciones planificadas de carácter nacional y territorial dirigidas hacia la promoción y garantía del desarrollo integral de niñas, niños y adolescentes, con énfasis en la prevención de su embarazo y la reducción del embarazo subsiguiente, en el marco de la promoción de los DSR”.</w:t>
      </w:r>
    </w:p>
    <w:p w:rsidR="00F62EE8" w:rsidRPr="007608C2" w:rsidRDefault="00F62EE8" w:rsidP="00F62EE8">
      <w:pPr>
        <w:autoSpaceDE w:val="0"/>
        <w:autoSpaceDN w:val="0"/>
        <w:adjustRightInd w:val="0"/>
        <w:spacing w:before="100" w:beforeAutospacing="1" w:after="100" w:afterAutospacing="1" w:line="240" w:lineRule="auto"/>
        <w:jc w:val="both"/>
        <w:rPr>
          <w:rFonts w:cs="Arial"/>
          <w:iCs/>
          <w:u w:val="single"/>
        </w:rPr>
      </w:pPr>
      <w:r w:rsidRPr="007608C2">
        <w:rPr>
          <w:rFonts w:cs="Arial"/>
          <w:iCs/>
          <w:u w:val="single"/>
        </w:rPr>
        <w:t>xvi. Convivencia Escolar (Ley 1620 de 2013)</w:t>
      </w:r>
    </w:p>
    <w:p w:rsidR="00F62EE8" w:rsidRPr="007608C2" w:rsidRDefault="00F62EE8" w:rsidP="00F62EE8">
      <w:pPr>
        <w:spacing w:before="100" w:beforeAutospacing="1" w:after="100" w:afterAutospacing="1" w:line="240" w:lineRule="auto"/>
        <w:jc w:val="both"/>
        <w:rPr>
          <w:rFonts w:cs="Arial"/>
          <w:bCs/>
        </w:rPr>
      </w:pPr>
      <w:r w:rsidRPr="007608C2">
        <w:rPr>
          <w:rFonts w:cs="Arial"/>
          <w:bCs/>
        </w:rPr>
        <w:t xml:space="preserve">Considerando que en 2013 se sancionó la Ley 1620 por la cual se creó el Sistema Nacional de Convivencia Escolar, el PND incluyó como compromiso su implementación. En el plan de acción de las mesas técnicas del Sistema Nacional de Bienestar Familiar se incluyeron en el 2016, acciones con relación al fortalecimiento de capacidades de los comités territoriales, fortalecimiento conjunto de entornos escolares, prevención del consumo de SPA y prevención de situaciones de convivencia generadas con uso de las TIC´s. </w:t>
      </w:r>
    </w:p>
    <w:p w:rsidR="00F62EE8" w:rsidRPr="007608C2" w:rsidRDefault="00F62EE8" w:rsidP="00F62EE8">
      <w:pPr>
        <w:spacing w:before="100" w:beforeAutospacing="1" w:after="100" w:afterAutospacing="1" w:line="240" w:lineRule="auto"/>
        <w:jc w:val="both"/>
        <w:rPr>
          <w:rFonts w:cs="Arial"/>
          <w:bCs/>
        </w:rPr>
      </w:pPr>
      <w:r w:rsidRPr="007608C2">
        <w:rPr>
          <w:rFonts w:cs="Arial"/>
          <w:bCs/>
        </w:rPr>
        <w:t>Durante 2017 la Dirección de Niñez y Adolescencia y la Dirección de Protección del ICBF, con acompañamiento de la Dirección del SNBF, llevaron a cabo en territorio jornadas de asistencia técnica. En dichos espacios de jornadas de trabajo, se convocaron a los integrantes de los Comités Departamentales de Convivencia Escolar, con el fin de activarlos y garantizar el plan de acción con actividades puntuales proyectadas para el 2017. Desde la Dirección del SNBF, se convocó al Ministerio de Educación Nacional para hacer parte de estas jornadas de asistencia técnica, y se brindaron elementos para la construcción de planes de acción de los Comités, de forma que este sirva como instrumento de planeación de las instancias mencionadas, a su vez siendo un insumo para su socialización en las mesas de infancia y adolescencia en los territorios.</w:t>
      </w:r>
    </w:p>
    <w:p w:rsidR="00F62EE8" w:rsidRPr="007608C2" w:rsidRDefault="00F62EE8" w:rsidP="00F62EE8">
      <w:pPr>
        <w:autoSpaceDE w:val="0"/>
        <w:autoSpaceDN w:val="0"/>
        <w:adjustRightInd w:val="0"/>
        <w:spacing w:before="100" w:beforeAutospacing="1" w:after="100" w:afterAutospacing="1" w:line="240" w:lineRule="auto"/>
        <w:jc w:val="both"/>
        <w:rPr>
          <w:rFonts w:cs="Arial"/>
          <w:iCs/>
          <w:u w:val="single"/>
        </w:rPr>
      </w:pPr>
      <w:r w:rsidRPr="007608C2">
        <w:rPr>
          <w:rFonts w:cs="Arial"/>
          <w:iCs/>
          <w:u w:val="single"/>
        </w:rPr>
        <w:t>xvii. Plan Nacional Decenal de Educación- PNDE</w:t>
      </w:r>
    </w:p>
    <w:p w:rsidR="00F62EE8" w:rsidRPr="007608C2" w:rsidRDefault="00F62EE8" w:rsidP="00F62EE8">
      <w:pPr>
        <w:pStyle w:val="Prrafodelista"/>
        <w:autoSpaceDE w:val="0"/>
        <w:spacing w:before="100" w:beforeAutospacing="1" w:after="100" w:afterAutospacing="1" w:line="240" w:lineRule="auto"/>
        <w:ind w:left="0"/>
        <w:jc w:val="both"/>
        <w:rPr>
          <w:rFonts w:cs="Arial"/>
          <w:bCs/>
        </w:rPr>
      </w:pPr>
      <w:r w:rsidRPr="007608C2">
        <w:rPr>
          <w:rFonts w:cs="Arial"/>
          <w:bCs/>
        </w:rPr>
        <w:t>Teniendo en cuenta los mandatos constitucionales, la formulación del PNDE se ha entendido como un ejercicio de planeación indicativa en el que la sociedad establece las grandes líneas que deben orientar el sentido de la educación en periodos de diez años. Por lo tanto, el PNDE es el conjunto de propósitos, objetivos y metas que expresan la voluntad del país en materia educativa. Así, el objetivo de la formulación es generar un gran acuerdo nacional que comprometa al gobierno, los diferentes sectores de la sociedad y la ciudadanía en general, para avanzar en las transformaciones que la educación necesita (MEN; 2014).</w:t>
      </w:r>
    </w:p>
    <w:p w:rsidR="00F62EE8" w:rsidRPr="007608C2" w:rsidRDefault="00F62EE8" w:rsidP="00F62EE8">
      <w:pPr>
        <w:pStyle w:val="Prrafodelista"/>
        <w:autoSpaceDE w:val="0"/>
        <w:spacing w:before="100" w:beforeAutospacing="1" w:after="100" w:afterAutospacing="1" w:line="240" w:lineRule="auto"/>
        <w:ind w:left="0"/>
        <w:jc w:val="both"/>
        <w:rPr>
          <w:rFonts w:cs="Arial"/>
          <w:bCs/>
        </w:rPr>
      </w:pPr>
      <w:r w:rsidRPr="007608C2">
        <w:rPr>
          <w:rFonts w:cs="Arial"/>
          <w:bCs/>
        </w:rPr>
        <w:lastRenderedPageBreak/>
        <w:t>La formulación del Plan Nacional Decenal de Educación 2016-2025 consideró los lineamientos del Plan Nacional de Desarrollo 2014-2018, y los resultados del Plan Nacional Decenal de Educación 2006-2016. En este sentido, el PNDE 2016 – 2026, se definió como la ruta para avanzar hacia un sistema educativo de calidad que promueva el desarrollo económico y social del país, y la construcción de una sociedad cuyos cimientos sean la justicia, la equidad, el respeto y el reconocimiento de las diferencias (PNDE, 2017).</w:t>
      </w:r>
    </w:p>
    <w:p w:rsidR="00F62EE8" w:rsidRPr="007608C2" w:rsidRDefault="00F62EE8" w:rsidP="00F62EE8">
      <w:pPr>
        <w:pStyle w:val="Prrafodelista"/>
        <w:autoSpaceDE w:val="0"/>
        <w:spacing w:before="100" w:beforeAutospacing="1" w:after="100" w:afterAutospacing="1" w:line="240" w:lineRule="auto"/>
        <w:ind w:left="0"/>
        <w:jc w:val="both"/>
        <w:rPr>
          <w:rFonts w:cs="Arial"/>
          <w:bCs/>
        </w:rPr>
      </w:pPr>
      <w:r w:rsidRPr="007608C2">
        <w:rPr>
          <w:rFonts w:cs="Arial"/>
          <w:bCs/>
        </w:rPr>
        <w:t xml:space="preserve">Así, el objetivo de este plan es materializar el derecho a la educación para todos los colombianos, sin dejar de lado la diversidad cultural y territorial que hacen parte de nuestra naturaleza, y eliminando las barreras que actualmente imponen las condiciones socioeconómicas de los ciudadanos. </w:t>
      </w:r>
    </w:p>
    <w:p w:rsidR="00F62EE8" w:rsidRPr="007608C2" w:rsidRDefault="00F62EE8" w:rsidP="00F62EE8">
      <w:pPr>
        <w:pStyle w:val="Prrafodelista"/>
        <w:autoSpaceDE w:val="0"/>
        <w:spacing w:before="100" w:beforeAutospacing="1" w:after="100" w:afterAutospacing="1" w:line="240" w:lineRule="auto"/>
        <w:ind w:left="0"/>
        <w:jc w:val="both"/>
        <w:rPr>
          <w:rFonts w:cs="Arial"/>
          <w:bCs/>
        </w:rPr>
      </w:pPr>
      <w:r w:rsidRPr="007608C2">
        <w:rPr>
          <w:rFonts w:cs="Arial"/>
          <w:bCs/>
        </w:rPr>
        <w:t xml:space="preserve">Las etapas en las que se desarrolló el PNDE fueron las siguientes:   </w:t>
      </w:r>
    </w:p>
    <w:tbl>
      <w:tblPr>
        <w:tblStyle w:val="Tablaconcuadrcula"/>
        <w:tblW w:w="0" w:type="auto"/>
        <w:jc w:val="center"/>
        <w:tblBorders>
          <w:top w:val="single" w:sz="4" w:space="0" w:color="76922E"/>
          <w:left w:val="single" w:sz="4" w:space="0" w:color="76922E"/>
          <w:bottom w:val="single" w:sz="4" w:space="0" w:color="76922E"/>
          <w:right w:val="single" w:sz="4" w:space="0" w:color="76922E"/>
          <w:insideH w:val="single" w:sz="4" w:space="0" w:color="76922E"/>
          <w:insideV w:val="single" w:sz="4" w:space="0" w:color="76922E"/>
        </w:tblBorders>
        <w:tblLook w:val="04A0" w:firstRow="1" w:lastRow="0" w:firstColumn="1" w:lastColumn="0" w:noHBand="0" w:noVBand="1"/>
      </w:tblPr>
      <w:tblGrid>
        <w:gridCol w:w="961"/>
        <w:gridCol w:w="7210"/>
      </w:tblGrid>
      <w:tr w:rsidR="00F62EE8" w:rsidRPr="008F6F08" w:rsidTr="008F6F08">
        <w:trPr>
          <w:jc w:val="center"/>
        </w:trPr>
        <w:tc>
          <w:tcPr>
            <w:tcW w:w="0" w:type="auto"/>
          </w:tcPr>
          <w:p w:rsidR="00F62EE8" w:rsidRPr="008F6F08" w:rsidRDefault="00F62EE8" w:rsidP="007509AA">
            <w:pPr>
              <w:pStyle w:val="Prrafodelista"/>
              <w:autoSpaceDE w:val="0"/>
              <w:spacing w:before="100" w:beforeAutospacing="1" w:after="100" w:afterAutospacing="1" w:line="240" w:lineRule="auto"/>
              <w:ind w:left="0"/>
              <w:jc w:val="center"/>
              <w:rPr>
                <w:rFonts w:cs="Arial"/>
                <w:bCs/>
                <w:sz w:val="20"/>
                <w:szCs w:val="20"/>
              </w:rPr>
            </w:pPr>
            <w:r w:rsidRPr="008F6F08">
              <w:rPr>
                <w:rFonts w:cs="Arial"/>
                <w:bCs/>
                <w:sz w:val="20"/>
                <w:szCs w:val="20"/>
              </w:rPr>
              <w:t>Etapa I</w:t>
            </w:r>
          </w:p>
        </w:tc>
        <w:tc>
          <w:tcPr>
            <w:tcW w:w="0" w:type="auto"/>
          </w:tcPr>
          <w:p w:rsidR="00F62EE8" w:rsidRPr="008F6F08" w:rsidRDefault="00F62EE8" w:rsidP="007509AA">
            <w:pPr>
              <w:pStyle w:val="Prrafodelista"/>
              <w:autoSpaceDE w:val="0"/>
              <w:spacing w:before="100" w:beforeAutospacing="1" w:after="100" w:afterAutospacing="1" w:line="240" w:lineRule="auto"/>
              <w:ind w:left="0"/>
              <w:jc w:val="both"/>
              <w:rPr>
                <w:rFonts w:cs="Arial"/>
                <w:bCs/>
                <w:sz w:val="20"/>
                <w:szCs w:val="20"/>
              </w:rPr>
            </w:pPr>
            <w:r w:rsidRPr="008F6F08">
              <w:rPr>
                <w:rFonts w:cs="Arial"/>
                <w:bCs/>
                <w:sz w:val="20"/>
                <w:szCs w:val="20"/>
              </w:rPr>
              <w:t>Diagnóstico Participativo. Julio de 2015 a febrero de 2017</w:t>
            </w:r>
          </w:p>
        </w:tc>
      </w:tr>
      <w:tr w:rsidR="00F62EE8" w:rsidRPr="008F6F08" w:rsidTr="008F6F08">
        <w:trPr>
          <w:jc w:val="center"/>
        </w:trPr>
        <w:tc>
          <w:tcPr>
            <w:tcW w:w="0" w:type="auto"/>
          </w:tcPr>
          <w:p w:rsidR="00F62EE8" w:rsidRPr="008F6F08" w:rsidRDefault="00F62EE8" w:rsidP="007509AA">
            <w:pPr>
              <w:pStyle w:val="Prrafodelista"/>
              <w:autoSpaceDE w:val="0"/>
              <w:spacing w:before="100" w:beforeAutospacing="1" w:after="100" w:afterAutospacing="1" w:line="240" w:lineRule="auto"/>
              <w:ind w:left="0"/>
              <w:jc w:val="center"/>
              <w:rPr>
                <w:rFonts w:cs="Arial"/>
                <w:bCs/>
                <w:sz w:val="20"/>
                <w:szCs w:val="20"/>
              </w:rPr>
            </w:pPr>
            <w:r w:rsidRPr="008F6F08">
              <w:rPr>
                <w:rFonts w:cs="Arial"/>
                <w:bCs/>
                <w:sz w:val="20"/>
                <w:szCs w:val="20"/>
              </w:rPr>
              <w:t>Etapa II</w:t>
            </w:r>
          </w:p>
        </w:tc>
        <w:tc>
          <w:tcPr>
            <w:tcW w:w="0" w:type="auto"/>
          </w:tcPr>
          <w:p w:rsidR="00F62EE8" w:rsidRPr="008F6F08" w:rsidRDefault="00F62EE8" w:rsidP="007509AA">
            <w:pPr>
              <w:pStyle w:val="Prrafodelista"/>
              <w:autoSpaceDE w:val="0"/>
              <w:spacing w:before="100" w:beforeAutospacing="1" w:after="100" w:afterAutospacing="1" w:line="240" w:lineRule="auto"/>
              <w:ind w:left="0"/>
              <w:jc w:val="both"/>
              <w:rPr>
                <w:rFonts w:cs="Arial"/>
                <w:bCs/>
                <w:sz w:val="20"/>
                <w:szCs w:val="20"/>
              </w:rPr>
            </w:pPr>
            <w:r w:rsidRPr="008F6F08">
              <w:rPr>
                <w:rFonts w:cs="Arial"/>
                <w:bCs/>
                <w:sz w:val="20"/>
                <w:szCs w:val="20"/>
              </w:rPr>
              <w:t>Diseño del Plan. Enero de 2017 a agosto de 2017</w:t>
            </w:r>
          </w:p>
        </w:tc>
      </w:tr>
      <w:tr w:rsidR="00F62EE8" w:rsidRPr="008F6F08" w:rsidTr="008F6F08">
        <w:trPr>
          <w:jc w:val="center"/>
        </w:trPr>
        <w:tc>
          <w:tcPr>
            <w:tcW w:w="0" w:type="auto"/>
          </w:tcPr>
          <w:p w:rsidR="00F62EE8" w:rsidRPr="008F6F08" w:rsidRDefault="00F62EE8" w:rsidP="007509AA">
            <w:pPr>
              <w:pStyle w:val="Prrafodelista"/>
              <w:autoSpaceDE w:val="0"/>
              <w:spacing w:before="100" w:beforeAutospacing="1" w:after="100" w:afterAutospacing="1" w:line="240" w:lineRule="auto"/>
              <w:ind w:left="0"/>
              <w:jc w:val="center"/>
              <w:rPr>
                <w:rFonts w:cs="Arial"/>
                <w:bCs/>
                <w:sz w:val="20"/>
                <w:szCs w:val="20"/>
              </w:rPr>
            </w:pPr>
            <w:r w:rsidRPr="008F6F08">
              <w:rPr>
                <w:rFonts w:cs="Arial"/>
                <w:bCs/>
                <w:sz w:val="20"/>
                <w:szCs w:val="20"/>
              </w:rPr>
              <w:t>Etapa III</w:t>
            </w:r>
          </w:p>
        </w:tc>
        <w:tc>
          <w:tcPr>
            <w:tcW w:w="0" w:type="auto"/>
          </w:tcPr>
          <w:p w:rsidR="00F62EE8" w:rsidRPr="008F6F08" w:rsidRDefault="00F62EE8" w:rsidP="007509AA">
            <w:pPr>
              <w:pStyle w:val="Prrafodelista"/>
              <w:autoSpaceDE w:val="0"/>
              <w:spacing w:before="100" w:beforeAutospacing="1" w:after="100" w:afterAutospacing="1" w:line="240" w:lineRule="auto"/>
              <w:ind w:left="0"/>
              <w:jc w:val="both"/>
              <w:rPr>
                <w:rFonts w:cs="Arial"/>
                <w:bCs/>
                <w:sz w:val="20"/>
                <w:szCs w:val="20"/>
              </w:rPr>
            </w:pPr>
            <w:r w:rsidRPr="008F6F08">
              <w:rPr>
                <w:rFonts w:cs="Arial"/>
                <w:bCs/>
                <w:sz w:val="20"/>
                <w:szCs w:val="20"/>
              </w:rPr>
              <w:t>Ejecución, monitoreo y evaluación. Septiembre de 2017 a septiembre de 2026.</w:t>
            </w:r>
          </w:p>
        </w:tc>
      </w:tr>
    </w:tbl>
    <w:p w:rsidR="00F62EE8" w:rsidRPr="007608C2" w:rsidRDefault="00F62EE8" w:rsidP="00F62EE8">
      <w:pPr>
        <w:pStyle w:val="Prrafodelista"/>
        <w:autoSpaceDE w:val="0"/>
        <w:spacing w:before="100" w:beforeAutospacing="1" w:after="100" w:afterAutospacing="1" w:line="240" w:lineRule="auto"/>
        <w:ind w:left="0"/>
        <w:jc w:val="both"/>
        <w:rPr>
          <w:rFonts w:cs="Arial"/>
          <w:bCs/>
        </w:rPr>
      </w:pPr>
      <w:r w:rsidRPr="007608C2">
        <w:rPr>
          <w:rFonts w:cs="Arial"/>
          <w:bCs/>
        </w:rPr>
        <w:t>El lanzamiento del PNDE 2016-2026, el camino hacia la equidad y la calidad se realizó en octubre de 2017. En el proceso de construcción del PNDE, el SNBF participó en las reuniones de la comisión gestora durante el primer semestre del 2017.</w:t>
      </w:r>
    </w:p>
    <w:p w:rsidR="00F62EE8" w:rsidRPr="007608C2" w:rsidRDefault="00F62EE8" w:rsidP="00F62EE8">
      <w:pPr>
        <w:spacing w:before="100" w:beforeAutospacing="1" w:after="100" w:afterAutospacing="1" w:line="240" w:lineRule="auto"/>
        <w:contextualSpacing/>
        <w:jc w:val="both"/>
        <w:rPr>
          <w:rFonts w:cs="Arial"/>
          <w:i/>
          <w:iCs/>
          <w:u w:val="single"/>
        </w:rPr>
      </w:pPr>
      <w:r w:rsidRPr="007608C2">
        <w:rPr>
          <w:rFonts w:cs="Arial"/>
          <w:i/>
          <w:iCs/>
          <w:u w:val="single"/>
        </w:rPr>
        <w:t>xviii. Participación en instancias intersectoriales</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La Dirección del SNBF participó durante 2017 en 16 instancias formales con el fin de realizar la articulación de los procesos relacionados con Comité Ejecutivo del SNBF y el Consejo Nacional de Política Social. Es importante resaltar que la participación en dichas instancias y otras de carácter técnico no formalizadas se hace de la mano con las áreas misionales del ICBF puesto que allí se tienen compromisos desde el punto de vista de la oferta institucional. No obstante, el SNBF acompaña otras 14 instancias de carácter técnico no formales en las que se moviliza el apoyo y las acciones de la Dirección en el orden nacional, así como la interlocución con los 38 agentes del SNBF. </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i/>
        </w:rPr>
      </w:pPr>
      <w:r w:rsidRPr="007608C2">
        <w:rPr>
          <w:rFonts w:cs="Arial"/>
          <w:b/>
          <w:i/>
          <w:sz w:val="24"/>
          <w:szCs w:val="24"/>
          <w:u w:val="single"/>
        </w:rPr>
        <w:t>Objetivo 3</w:t>
      </w:r>
      <w:r w:rsidRPr="007608C2">
        <w:rPr>
          <w:rFonts w:cs="Arial"/>
          <w:b/>
          <w:i/>
        </w:rPr>
        <w:t>:</w:t>
      </w:r>
      <w:r w:rsidRPr="007608C2">
        <w:rPr>
          <w:rFonts w:cs="Arial"/>
          <w:i/>
        </w:rPr>
        <w:t xml:space="preserve"> Garantizar que los proyectos legislativos y normativos relacionados con la protección integral de niñas, niños, adolescentes y fortalecimiento familiar estén diseñados de acuerdo con los objetivos y el esquema de operación del Sistema Nacional de Bienestar Familiar.</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jc w:val="both"/>
        <w:rPr>
          <w:rFonts w:cs="Arial"/>
          <w:lang w:val="es-MX" w:eastAsia="es-CO"/>
        </w:rPr>
      </w:pPr>
      <w:r w:rsidRPr="007608C2">
        <w:rPr>
          <w:rFonts w:cs="Arial"/>
          <w:lang w:val="es-MX"/>
        </w:rPr>
        <w:t xml:space="preserve">El Sistema Nacional de Bienestar Familiar, coordina la realización de estudios jurídicos, técnicos y presupuestales de los diferentes agentes del SNBF frente a los proyectos de ley, actos legislativos y decretos, entre otras actividades legislativas que tengan relación con la protección integral de niñas, niños y adolescentes y fortalecimiento familiar con el fin de definir la posición del Gobierno Nacional y conceptuar la pertinencia de los proyectos de ley frente a la garantía de los derechos de los niños, niñas y adolescentes. </w:t>
      </w:r>
    </w:p>
    <w:p w:rsidR="00F62EE8" w:rsidRPr="007608C2" w:rsidRDefault="00F62EE8" w:rsidP="00F62EE8">
      <w:pPr>
        <w:spacing w:before="100" w:beforeAutospacing="1" w:after="100" w:afterAutospacing="1" w:line="240" w:lineRule="auto"/>
        <w:jc w:val="both"/>
        <w:rPr>
          <w:rFonts w:cs="Arial"/>
          <w:lang w:val="es-MX"/>
        </w:rPr>
      </w:pPr>
      <w:r w:rsidRPr="007608C2">
        <w:rPr>
          <w:rFonts w:cs="Arial"/>
          <w:lang w:val="es-MX"/>
        </w:rPr>
        <w:t xml:space="preserve">Respecto al orden territorial, los Consejos de Política Social tienen bajo su responsabilidad el análisis de los proyectos de ley en temas de infancia, adolescencia y familia para emitir concepto </w:t>
      </w:r>
      <w:r w:rsidRPr="007608C2">
        <w:rPr>
          <w:rFonts w:cs="Arial"/>
          <w:lang w:val="es-MX"/>
        </w:rPr>
        <w:lastRenderedPageBreak/>
        <w:t xml:space="preserve">técnico que dé cuenta de la pertinencia de los mismos frente a la garantía de derechos en su territorio. </w:t>
      </w:r>
    </w:p>
    <w:p w:rsidR="00F62EE8" w:rsidRPr="007608C2" w:rsidRDefault="00F62EE8" w:rsidP="00F62EE8">
      <w:pPr>
        <w:spacing w:before="100" w:beforeAutospacing="1" w:after="100" w:afterAutospacing="1" w:line="240" w:lineRule="auto"/>
        <w:jc w:val="both"/>
        <w:rPr>
          <w:rFonts w:cs="Arial"/>
          <w:lang w:val="es-MX"/>
        </w:rPr>
      </w:pPr>
      <w:r w:rsidRPr="007608C2">
        <w:rPr>
          <w:rFonts w:cs="Arial"/>
          <w:lang w:val="es-MX"/>
        </w:rPr>
        <w:t>De igual forma, todos los Agentes del Sistema Nacional de Bienestar Familiar y el ICBF como Rector del mismo, deben participar en la identificación y trámite de los proyectos de ley y/o actos legislativos que se estén estructurando en cada una de las entidades, y de aquellos proyectos de ley que estén definidos en los periodos legislativos del Congreso de la República (Senado y Cámara) que revisten interés en atención a la protección integral de los niños, niñas, adolescentes.</w:t>
      </w:r>
    </w:p>
    <w:p w:rsidR="00F62EE8" w:rsidRPr="007608C2" w:rsidRDefault="00F62EE8" w:rsidP="00F62EE8">
      <w:pPr>
        <w:autoSpaceDE w:val="0"/>
        <w:autoSpaceDN w:val="0"/>
        <w:spacing w:before="100" w:beforeAutospacing="1" w:after="100" w:afterAutospacing="1" w:line="240" w:lineRule="auto"/>
        <w:jc w:val="both"/>
        <w:rPr>
          <w:rFonts w:cs="Arial"/>
          <w:lang w:val="es-CO"/>
        </w:rPr>
      </w:pPr>
      <w:r w:rsidRPr="007608C2">
        <w:rPr>
          <w:rFonts w:cs="Arial"/>
        </w:rPr>
        <w:t>Durante el 2017 se revisaron y elaboraron concepto técnico y observaciones a la Oficina Asesora Jurídica de los siguientes proyectos de ley, así;</w:t>
      </w:r>
    </w:p>
    <w:p w:rsidR="00F62EE8" w:rsidRPr="008F6F08"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8F6F08">
        <w:rPr>
          <w:rFonts w:cs="Arial"/>
        </w:rPr>
        <w:t>Proyecto de Ley No 050 de 2017, Cámara de Representantes “Por la cual se formulan lineamientos de Política Pública para la prevención de delitos realizados a través de medios informáticos o electrónicos, en contra de niños, niñas y adolescentes; se modifica el Código Penal y se dictan otras observaciones”.</w:t>
      </w:r>
    </w:p>
    <w:p w:rsidR="008F6F08" w:rsidRPr="007608C2" w:rsidRDefault="008F6F08" w:rsidP="008F6F08">
      <w:pPr>
        <w:pStyle w:val="Prrafodelista"/>
        <w:autoSpaceDE w:val="0"/>
        <w:autoSpaceDN w:val="0"/>
        <w:spacing w:before="100" w:beforeAutospacing="1" w:after="100" w:afterAutospacing="1" w:line="240" w:lineRule="auto"/>
        <w:ind w:left="360"/>
        <w:contextualSpacing/>
        <w:jc w:val="both"/>
        <w:rPr>
          <w:rFonts w:cs="Arial"/>
        </w:rPr>
      </w:pPr>
    </w:p>
    <w:p w:rsidR="008F6F08"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Proyecto de Ley 150 de 2017, Cámara de Representantes “Por medio del cual se establecen medidas tendientes a proteger a la Primera Infancia y se dictan otras disposiciones”.</w:t>
      </w:r>
    </w:p>
    <w:p w:rsidR="008F6F08" w:rsidRPr="008F6F08" w:rsidRDefault="008F6F08" w:rsidP="008F6F08">
      <w:pPr>
        <w:pStyle w:val="Prrafodelista"/>
        <w:autoSpaceDE w:val="0"/>
        <w:autoSpaceDN w:val="0"/>
        <w:spacing w:before="100" w:beforeAutospacing="1" w:after="100" w:afterAutospacing="1" w:line="240" w:lineRule="auto"/>
        <w:ind w:left="360"/>
        <w:contextualSpacing/>
        <w:jc w:val="both"/>
        <w:rPr>
          <w:rFonts w:cs="Arial"/>
        </w:rPr>
      </w:pPr>
    </w:p>
    <w:p w:rsidR="00F62EE8"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Proyecto de Decreto “por medio del cual se reglamenta el art. 9 literal C de la Ley 1804 de 2016 sobre seguimiento y evaluación de la política de Estado para el desarrollo integral de la Primera Infancia de Cero a Siempre”.</w:t>
      </w:r>
    </w:p>
    <w:p w:rsidR="008F6F08" w:rsidRPr="007608C2" w:rsidRDefault="008F6F08" w:rsidP="008F6F08">
      <w:pPr>
        <w:pStyle w:val="Prrafodelista"/>
        <w:autoSpaceDE w:val="0"/>
        <w:autoSpaceDN w:val="0"/>
        <w:spacing w:before="100" w:beforeAutospacing="1" w:after="100" w:afterAutospacing="1" w:line="240" w:lineRule="auto"/>
        <w:ind w:left="360"/>
        <w:contextualSpacing/>
        <w:jc w:val="both"/>
        <w:rPr>
          <w:rFonts w:cs="Arial"/>
        </w:rPr>
      </w:pPr>
    </w:p>
    <w:p w:rsidR="00F62EE8"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Proyecto de Ley 003 de 2017, Cámara de Representantes “Por medio de la cual se implementa un servicio de guarderías en las grandes y medianas empresas para los hijos menores de los trabajadores y se dictan otras disposiciones”.</w:t>
      </w:r>
    </w:p>
    <w:p w:rsidR="008F6F08" w:rsidRPr="007608C2" w:rsidRDefault="008F6F08" w:rsidP="008F6F08">
      <w:pPr>
        <w:pStyle w:val="Prrafodelista"/>
        <w:autoSpaceDE w:val="0"/>
        <w:autoSpaceDN w:val="0"/>
        <w:spacing w:before="100" w:beforeAutospacing="1" w:after="100" w:afterAutospacing="1" w:line="240" w:lineRule="auto"/>
        <w:ind w:left="360"/>
        <w:contextualSpacing/>
        <w:jc w:val="both"/>
        <w:rPr>
          <w:rFonts w:cs="Arial"/>
        </w:rPr>
      </w:pPr>
    </w:p>
    <w:p w:rsidR="008F6F08" w:rsidRPr="008F6F08"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8F6F08">
        <w:rPr>
          <w:rFonts w:cs="Arial"/>
        </w:rPr>
        <w:t>Proyecto de Ley 156 de 2017, Senado “Por medio de la cual se crea el Policía Escolar y se dictan otras disposiciones”.</w:t>
      </w:r>
    </w:p>
    <w:p w:rsidR="008F6F08" w:rsidRPr="007608C2" w:rsidRDefault="008F6F08" w:rsidP="008F6F08">
      <w:pPr>
        <w:pStyle w:val="Prrafodelista"/>
        <w:autoSpaceDE w:val="0"/>
        <w:autoSpaceDN w:val="0"/>
        <w:spacing w:before="100" w:beforeAutospacing="1" w:after="100" w:afterAutospacing="1" w:line="240" w:lineRule="auto"/>
        <w:ind w:left="360"/>
        <w:contextualSpacing/>
        <w:jc w:val="both"/>
        <w:rPr>
          <w:rFonts w:cs="Arial"/>
        </w:rPr>
      </w:pPr>
    </w:p>
    <w:p w:rsidR="00F62EE8"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Proyecto de Ley 248 de 2017 Cámara “por medio de la cual se establece el régimen para el ejercicio de la capacidad legal de las personas con discapacidad mayores de edad”.</w:t>
      </w:r>
    </w:p>
    <w:p w:rsidR="008F6F08" w:rsidRDefault="008F6F08" w:rsidP="008F6F08">
      <w:pPr>
        <w:pStyle w:val="Prrafodelista"/>
        <w:autoSpaceDE w:val="0"/>
        <w:autoSpaceDN w:val="0"/>
        <w:spacing w:before="100" w:beforeAutospacing="1" w:after="100" w:afterAutospacing="1" w:line="240" w:lineRule="auto"/>
        <w:ind w:left="360"/>
        <w:contextualSpacing/>
        <w:jc w:val="both"/>
        <w:rPr>
          <w:rFonts w:cs="Arial"/>
        </w:rPr>
      </w:pPr>
    </w:p>
    <w:p w:rsidR="00F62EE8" w:rsidRPr="007608C2"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Proyecto de Ley 123 de 2016 Cámara “por medio de la cual se interpretar con autoridad la ley 1620 de 2013”.</w:t>
      </w:r>
    </w:p>
    <w:p w:rsidR="00F62EE8" w:rsidRPr="007608C2" w:rsidRDefault="00F62EE8" w:rsidP="00F62EE8">
      <w:pPr>
        <w:autoSpaceDE w:val="0"/>
        <w:autoSpaceDN w:val="0"/>
        <w:spacing w:before="100" w:beforeAutospacing="1" w:after="100" w:afterAutospacing="1" w:line="240" w:lineRule="auto"/>
        <w:jc w:val="both"/>
        <w:rPr>
          <w:rFonts w:cs="Arial"/>
        </w:rPr>
      </w:pPr>
      <w:r w:rsidRPr="007608C2">
        <w:rPr>
          <w:rFonts w:cs="Arial"/>
        </w:rPr>
        <w:t>Igualmente se realizó seguimiento a temas relacionados con niñez y revisión y ajuste de propuestas normativas tales como:</w:t>
      </w:r>
    </w:p>
    <w:p w:rsidR="00F62EE8" w:rsidRPr="007608C2" w:rsidRDefault="00F62EE8" w:rsidP="00A44A2B">
      <w:pPr>
        <w:pStyle w:val="Prrafodelista"/>
        <w:numPr>
          <w:ilvl w:val="0"/>
          <w:numId w:val="44"/>
        </w:numPr>
        <w:autoSpaceDE w:val="0"/>
        <w:autoSpaceDN w:val="0"/>
        <w:spacing w:before="100" w:beforeAutospacing="1" w:after="100" w:afterAutospacing="1" w:line="240" w:lineRule="auto"/>
        <w:contextualSpacing/>
        <w:jc w:val="both"/>
        <w:rPr>
          <w:rFonts w:cs="Arial"/>
        </w:rPr>
      </w:pPr>
      <w:r w:rsidRPr="007608C2">
        <w:rPr>
          <w:rFonts w:eastAsia="Times New Roman" w:cs="Arial"/>
        </w:rPr>
        <w:t>Concepto técnico sobre la demanda de inconstitucionalidad contra el artículo 36 (parcial) de la Ley 1098 de 2006 y otras disposiciones.</w:t>
      </w:r>
    </w:p>
    <w:p w:rsidR="00F62EE8" w:rsidRPr="007608C2" w:rsidRDefault="00F62EE8" w:rsidP="00F62EE8">
      <w:pPr>
        <w:spacing w:before="100" w:beforeAutospacing="1" w:after="100" w:afterAutospacing="1" w:line="240" w:lineRule="auto"/>
        <w:contextualSpacing/>
        <w:jc w:val="both"/>
        <w:rPr>
          <w:rFonts w:cs="Arial"/>
          <w:i/>
        </w:rPr>
      </w:pPr>
      <w:r w:rsidRPr="007608C2">
        <w:rPr>
          <w:rFonts w:cs="Arial"/>
          <w:b/>
          <w:i/>
          <w:sz w:val="24"/>
          <w:szCs w:val="24"/>
          <w:u w:val="single"/>
        </w:rPr>
        <w:lastRenderedPageBreak/>
        <w:t>Objetivo 4:</w:t>
      </w:r>
      <w:r w:rsidRPr="007608C2">
        <w:rPr>
          <w:rFonts w:cs="Arial"/>
          <w:i/>
        </w:rPr>
        <w:t xml:space="preserve"> Articular y armonizar el Sistema Nacional de Bienestar Familiar, el Sistema Nacional de Derechos Humanos y Derecho Internacional Humanitario y el Sistema Nacional de Atención y Reparación Integral a las Víctimas   </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El fortalecimiento de la articulación del Sistema Nacional de Bienestar Familiar – SNBF, el Sistema Nacional de Derechos Humanos y DIH - SNDDHH el Sistema Nacional de Atención y Reparación Integral a las Víctimas - SNARIV, en los ámbitos Nacional y Territorial, permitirá garantizar la implementación de las políticas públicas relacionadas con la garantía, restablecimiento y reparación de los derechos de las víctimas del conflicto y con la construcción de estrategias conjuntas con miras a asegurar la protección integral y el restablecimiento de sus derechos. Una de las finalidades de este proceso de articulación es la materialización de dichas políticas públicas en el nivel territorial, lo cual se implementará efectivamente si se articulan los Consejo de Política Social, los Comités de Justicia Transicional y los Subsistemas de DD.HH. en donde hacen presencia las entidades de los tres Sistemas.</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En este proceso se han identificado los escenarios y acciones territoriales de articulación inter sistemas, para definir la instancia en lo nacional y territorial, y las estrategias y acciones a desarrollar de manera conjunta, con miras a asegurar la protección integral y el restablecimiento de sus derechos; en el marco del Consejo de Política Social, los Comités de Justicia Transicional y los Subsistemas de DD.HH. en donde hacen presencia las entidades de los tres Sistemas. </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Al interior de la Consejería para los Derechos Humanos en articulación con la CIPRUNNA, se estructuró una matriz con objetivos, estrategias e instancias de los tres Sistemas (incluyendo CIPRUNNA en el de SNDDDH), en donde cada de una de las Secretarías Técnicas de los Subsistemas definieron puntos de encuentro respecto a: objetivo, línea estratégica e instancias de convergencia. Para el tema de SNBF, se identificaron líneas de acción relacionadas con la garantía a los derechos humanos de niños, niñas y adolescentes.</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Se incorporó en el plan de acción operativo del Subcomité de Enfoque Diferencial (cuya secretaría técnica la tiene la CPDDHH), actividades de articulación territorial con el SNDDHH el SNBF y el SNARIV.</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Se realizó el primer pilotaje de articulación de los Sistemas, en el marco de la Mesas de Primera Infancia, Infancia, Adolescencia y Fortalecimiento Familiar, del municipio de Florencia y la del departamento (Caquetá), al que asistieron delegados de los tres sistemas del nivel nacional. En este primer acercamiento se socializó la apuesta nacional y se generaron compromisos en el nivel local, para fortalecer las instancias, como los Consejos de Política Social, las Mesas de Primera Infancia, Infancia, Adolescencia y Fortalecimiento Familiar, Comités Territoriales de Justicia Transicional y Comités de DDHH y Paz. Adicionalmente, se propuso un esquema de articulación en términos de marco estratégico, marco operativo y seguimiento y evaluación.</w:t>
      </w:r>
    </w:p>
    <w:p w:rsidR="00F62EE8" w:rsidRPr="007608C2" w:rsidRDefault="00F62EE8" w:rsidP="00A44A2B">
      <w:pPr>
        <w:pStyle w:val="Prrafodelista"/>
        <w:numPr>
          <w:ilvl w:val="0"/>
          <w:numId w:val="99"/>
        </w:numPr>
        <w:spacing w:before="100" w:beforeAutospacing="1" w:after="100" w:afterAutospacing="1" w:line="240" w:lineRule="auto"/>
        <w:jc w:val="both"/>
        <w:rPr>
          <w:rFonts w:cs="Arial"/>
          <w:b/>
          <w:u w:val="single"/>
        </w:rPr>
      </w:pPr>
      <w:r w:rsidRPr="007608C2">
        <w:rPr>
          <w:rFonts w:cs="Arial"/>
          <w:b/>
          <w:u w:val="single"/>
        </w:rPr>
        <w:t>Componente de Seguimiento y Evaluación</w:t>
      </w: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El componente de Seguimiento y Evaluación busca desarrollar un conjunto de procesos y herramientas que permitan realizar monitoreo a la garantía de derechos de los niños, niñas, </w:t>
      </w:r>
      <w:r w:rsidRPr="007608C2">
        <w:rPr>
          <w:rFonts w:cs="Arial"/>
        </w:rPr>
        <w:lastRenderedPageBreak/>
        <w:t>adolescentes y familia, con el fin de cualificar el proceso de toma de decisiones de los agentes nacionales y territoriales.</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Los principales elementos con que cuenta son: el fortalecimiento del Sistema Único de Información de la Niñez SUIN y el desarrollo del proceso de Rendición Pública de Cuentas, Nacional.</w:t>
      </w:r>
    </w:p>
    <w:p w:rsidR="00F62EE8" w:rsidRPr="007608C2" w:rsidRDefault="00F62EE8" w:rsidP="00F62EE8">
      <w:pPr>
        <w:spacing w:before="100" w:beforeAutospacing="1" w:after="100" w:afterAutospacing="1" w:line="240" w:lineRule="auto"/>
        <w:contextualSpacing/>
        <w:jc w:val="both"/>
        <w:rPr>
          <w:rFonts w:cs="Arial"/>
          <w:b/>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b/>
        </w:rPr>
        <w:t xml:space="preserve">SUIN: </w:t>
      </w:r>
      <w:r w:rsidRPr="007608C2">
        <w:rPr>
          <w:rFonts w:cs="Arial"/>
        </w:rPr>
        <w:t>se plantea su fortalecimiento, a través del SNBF para “contenga información de todos los indicadores requeridos para los procesos de diagnósticos poblacionales y rendición pública de cuentas que deben adelantar el nivel nacional, departamental y municipal. Asimismo, se promoverá la articulación de este sistema con otros sistemas de información existentes” (DNP, 2014).</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jc w:val="both"/>
        <w:rPr>
          <w:rFonts w:cs="Arial"/>
        </w:rPr>
      </w:pPr>
      <w:r w:rsidRPr="007608C2">
        <w:rPr>
          <w:rFonts w:cs="Arial"/>
        </w:rPr>
        <w:t xml:space="preserve">Este sistema se constituye en la herramienta oficial para toma de decisiones de política pública de infancia y adolescencia, presenta los indicadores que dan cuenta de la garantía de los derechos de los niños, niñas y adolescentes.  Cuenta con una plataforma tecnológica a través del sitio web </w:t>
      </w:r>
      <w:hyperlink r:id="rId25" w:history="1">
        <w:r w:rsidRPr="007608C2">
          <w:rPr>
            <w:rStyle w:val="Hipervnculo"/>
            <w:rFonts w:cs="Arial"/>
            <w:color w:val="auto"/>
          </w:rPr>
          <w:t>www.suin-snbf.gov.co/suin</w:t>
        </w:r>
      </w:hyperlink>
      <w:r w:rsidRPr="007608C2">
        <w:rPr>
          <w:rFonts w:cs="Arial"/>
        </w:rPr>
        <w:t xml:space="preserve">  donde se pueden consultar estos indicadores de acuerdo con el reporte que realizan las entidades fuentes de información.</w:t>
      </w:r>
    </w:p>
    <w:p w:rsidR="00F62EE8" w:rsidRPr="007608C2" w:rsidRDefault="00F62EE8" w:rsidP="00F62EE8">
      <w:pPr>
        <w:spacing w:before="100" w:beforeAutospacing="1" w:after="100" w:afterAutospacing="1" w:line="240" w:lineRule="auto"/>
        <w:jc w:val="both"/>
        <w:rPr>
          <w:rFonts w:cs="Arial"/>
        </w:rPr>
      </w:pPr>
      <w:r w:rsidRPr="007608C2">
        <w:rPr>
          <w:rFonts w:cs="Arial"/>
        </w:rPr>
        <w:t xml:space="preserve">Los objetivos del Sistema Único De Información de la Niñez – SUIN son: </w:t>
      </w:r>
    </w:p>
    <w:p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Evaluar la situación de vida de la niñez</w:t>
      </w:r>
    </w:p>
    <w:p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Verificar el grado de cumplimiento de los acuerdos nacionales e internacionales, en torno a la garantía de los derechos de la niñez.</w:t>
      </w:r>
    </w:p>
    <w:p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Comparar la situación de vida de diferentes grupos de niños, niñas y adolescentes</w:t>
      </w:r>
    </w:p>
    <w:p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Visibilizar a los niños, niñas y adolescentes como sujetos de derechos.</w:t>
      </w:r>
    </w:p>
    <w:p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Reflexionar sobre los factores de riesgo y las prioridades de atención de la niñez</w:t>
      </w:r>
    </w:p>
    <w:p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 xml:space="preserve">Brindar información para realizar ejercicios de veeduría y rendición pública de cuentas; incentivar investigaciones evaluativas, generar conocimiento y cultura estadística para la formulación y ajuste de política pública y promover una cultura en donde todos los niños y las niñas gocen de los derechos en las mismas condiciones. </w:t>
      </w:r>
    </w:p>
    <w:p w:rsidR="00F62EE8" w:rsidRPr="007608C2" w:rsidRDefault="00F62EE8" w:rsidP="00F62EE8">
      <w:pPr>
        <w:spacing w:before="100" w:beforeAutospacing="1" w:after="100" w:afterAutospacing="1" w:line="240" w:lineRule="auto"/>
        <w:jc w:val="both"/>
        <w:rPr>
          <w:rFonts w:cs="Arial"/>
        </w:rPr>
      </w:pPr>
      <w:r w:rsidRPr="007608C2">
        <w:rPr>
          <w:rFonts w:cs="Arial"/>
        </w:rPr>
        <w:t>La Mesa SUIN es la instancia de desarrollo técnico del SNBF, que soporta el aplicativo, y en la que actualmente participan: el Instituto Nacional de Salud, el Ministerio de Salud y Protección Social, el Departamento Administrativo Nacional De Estadística (DANE), el Ministerio de Trabajo, el Instituto de Medicina Legal, la Superservicios, la Federación de Departamentos, la Registraduría del Estado Civil, el Ministerio de Educación, la Policía Nacional, la Comisión Intersectorial de Primera Infancia, el Departamento Nacional de Planeación, la Unidad de Víctimas, el Ministerio de Cultura, la Federación Colombiana de Municipios, Organizaciones Solidarias y el Instituto Colombiano de Bienestar Familiar.</w:t>
      </w:r>
    </w:p>
    <w:p w:rsidR="00F62EE8" w:rsidRPr="007608C2" w:rsidRDefault="00F62EE8" w:rsidP="00F62EE8">
      <w:pPr>
        <w:spacing w:before="100" w:beforeAutospacing="1" w:after="100" w:afterAutospacing="1" w:line="240" w:lineRule="auto"/>
        <w:jc w:val="both"/>
        <w:rPr>
          <w:rFonts w:cs="Arial"/>
        </w:rPr>
      </w:pPr>
      <w:r w:rsidRPr="007608C2">
        <w:rPr>
          <w:rFonts w:cs="Arial"/>
        </w:rPr>
        <w:t xml:space="preserve">Las principales funciones de la Mesa son: i) Definir los indicadores para el seguimiento a los derechos de los niños, niñas y adolescentes, ii) Coordinar la actualización permanente del aplicativo del Sistema Único de Información de la Niñez –SUIN, iii) Presentar, discutir y validar las propuestas metodológicas en materia de seguimiento de indicadores de los derechos de la Niñez, iv) Realizar seguimiento a los Objetivos de Desarrollo Sostenible que apunten a la Niñez, </w:t>
      </w:r>
      <w:r w:rsidRPr="007608C2">
        <w:rPr>
          <w:rFonts w:cs="Arial"/>
        </w:rPr>
        <w:lastRenderedPageBreak/>
        <w:t>v) Establecer relaciones con diferentes sistemas de información que tengan competencia en materia de seguimiento de niños, niñas y adolescentes, y vi) Realizar publicaciones periódicas relacionadas con el trabajo de la Mesa y el seguimiento a la garantía de derechos.</w:t>
      </w:r>
    </w:p>
    <w:p w:rsidR="00F62EE8" w:rsidRPr="007608C2" w:rsidRDefault="00F62EE8" w:rsidP="00F62EE8">
      <w:pPr>
        <w:spacing w:before="100" w:beforeAutospacing="1" w:after="100" w:afterAutospacing="1" w:line="240" w:lineRule="auto"/>
        <w:jc w:val="both"/>
        <w:rPr>
          <w:rFonts w:cs="Arial"/>
        </w:rPr>
      </w:pPr>
      <w:r w:rsidRPr="007608C2">
        <w:rPr>
          <w:rFonts w:cs="Arial"/>
        </w:rPr>
        <w:t>Para avanzar en el seguimiento a la garantía de derechos de la niñez, y como responsabilidad de la Mesa SUIN, como instancia de desarrollo técnico que soporta el aplicativo, en el 2017 se realizaron ajustes a la primera versión del aplicativo web llegando a un consenso de indicadores para el proceso de rendición pública de cuentas. Se diseñó y se puso en funcionamiento un módulo de gestión territorial, que les permita a las alcaldías y gobernaciones consultar información agregada de indicadores de garantía de derechos por departamento o municipio. Adicionalmente, para buscar articulación con otros sistemas se invitaron a nuevas entidades a vincularse a este proceso como es el caso de Colciencias y Organizaciones Solidarias, así mismos se realizaron definiciones técnicas con la Comisión Intersectorial de Primera Infancia realizando los primeros acuerdos que conlleve más adelante a compartir información.</w:t>
      </w:r>
    </w:p>
    <w:p w:rsidR="00F62EE8" w:rsidRPr="007608C2" w:rsidRDefault="00F62EE8" w:rsidP="00F62EE8">
      <w:pPr>
        <w:spacing w:before="100" w:beforeAutospacing="1" w:after="100" w:afterAutospacing="1" w:line="240" w:lineRule="auto"/>
        <w:jc w:val="both"/>
        <w:rPr>
          <w:rFonts w:cs="Arial"/>
        </w:rPr>
      </w:pPr>
      <w:r w:rsidRPr="007608C2">
        <w:rPr>
          <w:rFonts w:cs="Arial"/>
        </w:rPr>
        <w:t xml:space="preserve">Durante el segundo semestre de 2017 se trabajó con las entidades para la actualización de indicadores y continuar con el proceso de reporte. Adicionalmente se continúa con el trabajo conjunto con la Dirección de Tecnología, para poder sacar en producción la versión 2.0 del SUIN que permita una mejor visualización y reporte de los datos. Se inició también durante el segundo semestre de 2017 el trabajo interinstitucional para la postulación de artículos para la producción de tres nuevas revistas del SUIN, como meta para diciembre del 2017. </w:t>
      </w:r>
    </w:p>
    <w:p w:rsidR="00F62EE8" w:rsidRPr="007608C2" w:rsidRDefault="00F62EE8" w:rsidP="00F62EE8">
      <w:pPr>
        <w:spacing w:before="100" w:beforeAutospacing="1" w:after="100" w:afterAutospacing="1" w:line="240" w:lineRule="auto"/>
        <w:jc w:val="both"/>
        <w:rPr>
          <w:rFonts w:cs="Arial"/>
        </w:rPr>
      </w:pPr>
      <w:r w:rsidRPr="007608C2">
        <w:rPr>
          <w:rFonts w:cs="Arial"/>
        </w:rPr>
        <w:t>Para fortalecer este componente en el marco del convenio No. 1299 entre SAVE-UNICEF e ICBF se realizaron los siguientes productos:</w:t>
      </w:r>
    </w:p>
    <w:p w:rsidR="00F62EE8" w:rsidRDefault="00F62EE8" w:rsidP="00A44A2B">
      <w:pPr>
        <w:pStyle w:val="Prrafodelista"/>
        <w:numPr>
          <w:ilvl w:val="0"/>
          <w:numId w:val="38"/>
        </w:numPr>
        <w:spacing w:before="100" w:beforeAutospacing="1" w:after="100" w:afterAutospacing="1" w:line="240" w:lineRule="auto"/>
        <w:ind w:left="360"/>
        <w:contextualSpacing/>
        <w:jc w:val="both"/>
        <w:rPr>
          <w:rFonts w:cs="Arial"/>
        </w:rPr>
      </w:pPr>
      <w:r w:rsidRPr="007608C2">
        <w:rPr>
          <w:rFonts w:cs="Arial"/>
        </w:rPr>
        <w:t>Propuesta de Cartografía social, donde a partir de una construcción colectiva se brinden insumos para el fortalecimiento del SUIN territorial.</w:t>
      </w:r>
    </w:p>
    <w:p w:rsidR="00E76E71" w:rsidRDefault="00E76E71" w:rsidP="00E76E71">
      <w:pPr>
        <w:pStyle w:val="Prrafodelista"/>
        <w:spacing w:before="100" w:beforeAutospacing="1" w:after="100" w:afterAutospacing="1" w:line="240" w:lineRule="auto"/>
        <w:ind w:left="360"/>
        <w:contextualSpacing/>
        <w:jc w:val="both"/>
        <w:rPr>
          <w:rFonts w:cs="Arial"/>
        </w:rPr>
      </w:pPr>
    </w:p>
    <w:p w:rsidR="00F62EE8" w:rsidRPr="007608C2" w:rsidRDefault="00F62EE8" w:rsidP="00A44A2B">
      <w:pPr>
        <w:pStyle w:val="Prrafodelista"/>
        <w:numPr>
          <w:ilvl w:val="0"/>
          <w:numId w:val="38"/>
        </w:numPr>
        <w:spacing w:before="100" w:beforeAutospacing="1" w:after="100" w:afterAutospacing="1" w:line="240" w:lineRule="auto"/>
        <w:ind w:left="360"/>
        <w:contextualSpacing/>
        <w:jc w:val="both"/>
        <w:rPr>
          <w:rFonts w:cs="Arial"/>
        </w:rPr>
      </w:pPr>
      <w:r w:rsidRPr="007608C2">
        <w:rPr>
          <w:rFonts w:cs="Arial"/>
        </w:rPr>
        <w:t>Prototipo de gestión del conocimiento, donde se tiene como objetivo diseñar, documentar y validar la estructura del prototipo de la herramienta interactiva de gestión de conocimiento en materia de niñez</w:t>
      </w:r>
      <w:r w:rsidR="00AF4CDA">
        <w:rPr>
          <w:rFonts w:cs="Arial"/>
        </w:rPr>
        <w:t>.</w:t>
      </w:r>
    </w:p>
    <w:p w:rsidR="00F62EE8" w:rsidRPr="007608C2" w:rsidRDefault="00F62EE8" w:rsidP="00F62EE8">
      <w:pPr>
        <w:spacing w:before="100" w:beforeAutospacing="1" w:after="100" w:afterAutospacing="1" w:line="240" w:lineRule="auto"/>
        <w:contextualSpacing/>
        <w:jc w:val="both"/>
        <w:rPr>
          <w:rFonts w:cs="Arial"/>
          <w:bCs/>
        </w:rPr>
      </w:pPr>
      <w:r w:rsidRPr="007608C2">
        <w:rPr>
          <w:rFonts w:cs="Arial"/>
          <w:b/>
        </w:rPr>
        <w:t xml:space="preserve">SUIN – Territorial: </w:t>
      </w:r>
      <w:r w:rsidRPr="007608C2">
        <w:rPr>
          <w:rFonts w:cs="Arial"/>
          <w:bCs/>
        </w:rPr>
        <w:t xml:space="preserve">Se revisó y ajustó el Módulo de Información Territorial para seguimiento a los procesos de gestión de los Consejos de Política Social.  Se desarrollaron mejoras al sistema con la Dirección de Información y Tecnología, para poder brindar a los territorios y al equipo de referentes mejores condiciones de consulta en el mismo.  </w:t>
      </w:r>
    </w:p>
    <w:p w:rsidR="00F62EE8" w:rsidRPr="007608C2" w:rsidRDefault="00F62EE8" w:rsidP="00F62EE8">
      <w:pPr>
        <w:spacing w:before="100" w:beforeAutospacing="1" w:after="100" w:afterAutospacing="1" w:line="240" w:lineRule="auto"/>
        <w:contextualSpacing/>
        <w:jc w:val="both"/>
        <w:rPr>
          <w:rFonts w:cs="Arial"/>
          <w:bCs/>
        </w:rPr>
      </w:pPr>
    </w:p>
    <w:p w:rsidR="00F62EE8" w:rsidRDefault="00F62EE8" w:rsidP="00F62EE8">
      <w:pPr>
        <w:spacing w:before="100" w:beforeAutospacing="1" w:after="100" w:afterAutospacing="1" w:line="240" w:lineRule="auto"/>
        <w:contextualSpacing/>
        <w:jc w:val="both"/>
        <w:rPr>
          <w:rFonts w:cs="Arial"/>
          <w:bCs/>
        </w:rPr>
      </w:pPr>
      <w:r w:rsidRPr="007608C2">
        <w:rPr>
          <w:rFonts w:cs="Arial"/>
          <w:bCs/>
        </w:rPr>
        <w:t>Mediante el Convenio suscrito entre ICBF – UNICEF y Save The Children se llevó a cabo un proceso de construcción colectiva de cartografías sociales, con el fin de fortalecer el SUIN territorialmente (Modulo de Información Territorial de Seguimiento a la Garantía de Derechos) en la planeación, y seguimiento a la garantía de derechos de los niños, niñas y adolescentes.</w:t>
      </w:r>
    </w:p>
    <w:p w:rsidR="002666BD" w:rsidRDefault="002666BD" w:rsidP="00F62EE8">
      <w:pPr>
        <w:spacing w:before="100" w:beforeAutospacing="1" w:after="100" w:afterAutospacing="1" w:line="240" w:lineRule="auto"/>
        <w:contextualSpacing/>
        <w:jc w:val="both"/>
        <w:rPr>
          <w:rFonts w:cs="Arial"/>
          <w:bCs/>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b/>
        </w:rPr>
        <w:t xml:space="preserve">Rendición Pública de Cuentas Nacional: </w:t>
      </w:r>
      <w:r w:rsidRPr="007608C2">
        <w:rPr>
          <w:rFonts w:cs="Arial"/>
        </w:rPr>
        <w:t xml:space="preserve">El presente año corresponde al Gobierno Nacional iniciar nuevamente un proceso de rendición pública de cuentas en el cual se evidencien las acciones, avances y retos en materia de garantía de derechos de niños, niñas y adolescentes y fortalecimiento familiar entre 2012 y 2016. </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Para lo anterior, durante 2017 se llevaron a cabo sesiones del Comité Ejecutivo del SNBF en las que se han definido aspectos como: a) la aprobación de la ruta general de proceso RPC y su cronograma de ejecución; b) análisis y selección de la estrategia de participación ciudadana en el marco del proceso; c) estructura y contenidos del informe de Rendición Pública de Cuentas Nacional sobre la garantía de derechos de la niñez; y d) orientaciones y estructura para el análisis y presentación de la información sobre situación de los derechos de niños, niñas y adolescentes. </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A partir de las directrices dadas por esta instancia, se sistematizaron los insumos iniciales de acuerdo con la estructura de análisis definida. Dichos insumos son: a) matriz por realizaciones y momentos del curso de vida; b) selección de indicadores de acuerdo con la matriz mencionada; c) revisión de los compromisos de los planes nacionales de desarrollo 2010-2014 y 2014-2018, y sistematización de los correspondientes a la niñez de acuerdo con la matriz; d) recopilación de las acciones presentadas en el informe de RPC nacional 2005-2012; y e) revisión y sistematización de las acciones dirigidas a la niñez reportadas en los informes de gestión, informes al congreso e informes de los sistemas de gestión de 22 entidades nacionales entre 2012 y 2016. </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Así pues, se cuenta con una matriz de información para el desarrollo inicial del análisis sobre la garantía de derechos; y adicionalmente, con información sobre las acciones, gestiones y coberturas desarrolladas por entidades nacionales en los últimos 4 años.  </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De otro lado, a partir de la estrategia definida por el Comité Ejecutivo para la participación ciudadana, se cuenta con la propuesta de las orientaciones y fases para este proceso, y estás en desarrollo, las herramientas metodológicas para cada momento y público.</w:t>
      </w:r>
    </w:p>
    <w:p w:rsidR="00F62EE8" w:rsidRPr="007608C2" w:rsidRDefault="00F62EE8" w:rsidP="00A44A2B">
      <w:pPr>
        <w:pStyle w:val="Prrafodelista"/>
        <w:numPr>
          <w:ilvl w:val="0"/>
          <w:numId w:val="99"/>
        </w:numPr>
        <w:spacing w:before="100" w:beforeAutospacing="1" w:after="100" w:afterAutospacing="1" w:line="240" w:lineRule="auto"/>
        <w:contextualSpacing/>
        <w:jc w:val="both"/>
        <w:rPr>
          <w:rFonts w:cs="Arial"/>
          <w:b/>
        </w:rPr>
      </w:pPr>
      <w:r w:rsidRPr="007608C2">
        <w:rPr>
          <w:rFonts w:cs="Arial"/>
          <w:b/>
        </w:rPr>
        <w:t>Componente de Financiamiento</w:t>
      </w:r>
    </w:p>
    <w:p w:rsidR="00AF4CDA" w:rsidRDefault="00F62EE8" w:rsidP="00F62EE8">
      <w:pPr>
        <w:spacing w:before="100" w:beforeAutospacing="1" w:after="100" w:afterAutospacing="1" w:line="240" w:lineRule="auto"/>
        <w:contextualSpacing/>
        <w:jc w:val="both"/>
        <w:rPr>
          <w:rFonts w:cs="Arial"/>
        </w:rPr>
      </w:pPr>
      <w:r w:rsidRPr="007608C2">
        <w:rPr>
          <w:rFonts w:cs="Arial"/>
        </w:rPr>
        <w:t>Este componente comprende el conjunto de acciones y herramientas encaminadas a identificar y gestionar recursos de diversas fuentes de financiación e incidir en el diseño e implementación de los esquemas de asignación, ejecución y seguimiento del gasto público para la formulación de programas y proyectos en coherencia con la perspectiva de derechos, la protección integral y el enfoque diferencial dirigido a garantizar los derechos de los niños, niñas y adolescentes del país, en el ámbito nacional, departamental, munici</w:t>
      </w:r>
      <w:r w:rsidR="00AF4CDA">
        <w:rPr>
          <w:rFonts w:cs="Arial"/>
        </w:rPr>
        <w:t>pal y de territorios indígenas.</w:t>
      </w: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 </w:t>
      </w: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Con el fin de aportar al objetivo del Sistema Nacional de Bienestar Familiar de velar por la garantía de derechos de los niños, niñas y adolescentes, desde el componente de financiamiento, se priorizaron en el Plan de Acción 2015-2018 tres recomendaciones del Comité de Derechos del Niño sobre la asignación de recursos para la protección integral de los derechos de los niños, niñas y adolescentes, consagrados en la Convención de Derechos del Niño. Dichas recomendaciones se refieren a evaluar las necesidades presupuestarias, adoptar un enfoque de derechos a la hora de realizar el presupuesto y llevar a cabo evaluaciones de impacto sobre la forma en que se considera el interés superior de los niños, niñas y adolescentes a la hora de presupuestar.</w:t>
      </w: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lastRenderedPageBreak/>
        <w:t>Lo anterior, sumado a promover en los territorios la importancia de la inversión a favor de la niñez, lo cual representa un avance para el país en la materialización de la protección integral de los niños, niñas y adolescentes.</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jc w:val="both"/>
        <w:rPr>
          <w:rFonts w:cs="Arial"/>
        </w:rPr>
      </w:pPr>
      <w:r w:rsidRPr="007608C2">
        <w:rPr>
          <w:rFonts w:cs="Arial"/>
        </w:rPr>
        <w:t>En 2017 se identifican los siguientes resultados en este componente:</w:t>
      </w:r>
    </w:p>
    <w:p w:rsidR="00F62EE8" w:rsidRPr="007608C2" w:rsidRDefault="00F62EE8" w:rsidP="00F62EE8">
      <w:pPr>
        <w:spacing w:before="100" w:beforeAutospacing="1" w:after="100" w:afterAutospacing="1" w:line="240" w:lineRule="auto"/>
        <w:jc w:val="both"/>
        <w:rPr>
          <w:rFonts w:cs="Arial"/>
          <w:u w:val="single"/>
        </w:rPr>
      </w:pPr>
      <w:r w:rsidRPr="007608C2">
        <w:rPr>
          <w:rFonts w:cs="Arial"/>
          <w:u w:val="single"/>
        </w:rPr>
        <w:t>1. Análisis del gasto público en niñez y a partir de la conformación de la Mesa Nacional de Gasto Público en Niñez</w:t>
      </w:r>
    </w:p>
    <w:p w:rsidR="00F62EE8" w:rsidRPr="007608C2" w:rsidRDefault="00F62EE8" w:rsidP="00F62EE8">
      <w:pPr>
        <w:spacing w:before="100" w:beforeAutospacing="1" w:after="100" w:afterAutospacing="1" w:line="240" w:lineRule="auto"/>
        <w:jc w:val="both"/>
        <w:rPr>
          <w:rFonts w:cs="Arial"/>
        </w:rPr>
      </w:pPr>
      <w:r w:rsidRPr="007608C2">
        <w:rPr>
          <w:rFonts w:cs="Arial"/>
        </w:rPr>
        <w:t>A partir de la conformación de la Mesa Nacional de Gasto Público en Niñez, se ha fortalecido el rol del SNBF en el análisis de fuentes y seguimiento a los recursos públicos enfocados en los niños, niñas, adolescentes y sus familias. Lo anterior, se evidencia en los siguientes resultados: i) Propuesta de orientaciones sobre el financiamiento de las acciones dirigidas a garantizar los derechos de los niños, niñas y adolescentes en los departamentos y municipios para el proceso de Asistencia a la Rendición Pública de Cuentas Territorial, ii) Análisis del Gasto Público en Niñez en Colombia, que consiste en una proyección financiera de los recursos requeridos para el funcionamiento de la Ruta Integral de Atenciones para la Infancia y la Adolescencia, iii) Concertación y diseño, en coordinación con la Federación Nacional de Departamentos, de una Mesa de Trabajo con Secretarios de Hacienda Departamentales sobre las orientaciones para el análisis de los indicadores del Gasto Público Social y del Gasto Público en Niñez y Juventud en el marco del proceso de Rendición Pública de Cuentas Territorial.</w:t>
      </w:r>
    </w:p>
    <w:p w:rsidR="00F62EE8" w:rsidRPr="007608C2" w:rsidRDefault="00F62EE8" w:rsidP="00F62EE8">
      <w:pPr>
        <w:spacing w:before="100" w:beforeAutospacing="1" w:after="100" w:afterAutospacing="1" w:line="240" w:lineRule="auto"/>
        <w:jc w:val="both"/>
        <w:rPr>
          <w:rFonts w:eastAsia="Times New Roman" w:cs="Arial"/>
          <w:lang w:eastAsia="es-CO"/>
        </w:rPr>
      </w:pPr>
      <w:r w:rsidRPr="007608C2">
        <w:rPr>
          <w:rFonts w:cs="Arial"/>
        </w:rPr>
        <w:t>Desde 2016, la Dirección del SNBF, con apoyo de UNICEF, desarrolló en un riguroso análisis del gasto público en niñez. En marco a la Mesa de Gasto Público en Niñez se di</w:t>
      </w:r>
      <w:r w:rsidR="00D4291B" w:rsidRPr="007608C2">
        <w:rPr>
          <w:rFonts w:cs="Arial"/>
        </w:rPr>
        <w:t>o</w:t>
      </w:r>
      <w:r w:rsidRPr="007608C2">
        <w:rPr>
          <w:rFonts w:cs="Arial"/>
        </w:rPr>
        <w:t xml:space="preserve"> inicio a la elaboración de la metodología de identificación del gasto público en niñez – Nación, el cual busca ser el modelo de identificación a implementar en el país con el fin de dar respuesta tanto a los organismos internacionales como a las entidades del orden nacional sobre los recursos que destina el país para garantizar los derechos de los niños, niñas y adolescentes, además de ser un instrumento para la toma de decisiones en materia de políticas públicas referidas al tema. Durante el primer semestre de 2017, se llevó a cabo el piloto de la metodología con cuatro entidades del Gobierno Central, que concentran la mayor cantidad de recursos (MEN-ICBF-DPS-SENA) y se obtuvieron los siguientes resultados:</w:t>
      </w:r>
    </w:p>
    <w:p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eastAsia="Times New Roman" w:cs="Arial"/>
          <w:b/>
          <w:lang w:eastAsia="es-CO"/>
        </w:rPr>
      </w:pPr>
      <w:r w:rsidRPr="007608C2">
        <w:rPr>
          <w:rFonts w:eastAsia="Times New Roman" w:cs="Arial"/>
          <w:lang w:eastAsia="es-CO"/>
        </w:rPr>
        <w:t>El presupuesto a precios corrientes para Niños, Niñas y Adolescentes presentó un crecimiento del 4,68%, pero en términos reales el presupuesto se redujo en 1%.</w:t>
      </w:r>
    </w:p>
    <w:p w:rsidR="00F62EE8" w:rsidRPr="007608C2" w:rsidRDefault="00F62EE8" w:rsidP="00F62EE8">
      <w:pPr>
        <w:pStyle w:val="Prrafodelista"/>
        <w:spacing w:before="100" w:beforeAutospacing="1" w:after="100" w:afterAutospacing="1" w:line="240" w:lineRule="auto"/>
        <w:ind w:left="720"/>
        <w:contextualSpacing/>
        <w:jc w:val="both"/>
        <w:rPr>
          <w:rFonts w:eastAsia="Times New Roman" w:cs="Arial"/>
          <w:b/>
          <w:lang w:eastAsia="es-CO"/>
        </w:rPr>
      </w:pPr>
    </w:p>
    <w:p w:rsidR="004F4DD7" w:rsidRDefault="00F62EE8" w:rsidP="007E242E">
      <w:pPr>
        <w:pStyle w:val="Prrafodelista"/>
        <w:spacing w:before="100" w:beforeAutospacing="1" w:after="100" w:afterAutospacing="1" w:line="240" w:lineRule="auto"/>
        <w:jc w:val="center"/>
        <w:rPr>
          <w:rFonts w:eastAsia="Times New Roman" w:cs="Arial"/>
          <w:sz w:val="16"/>
          <w:szCs w:val="16"/>
          <w:lang w:eastAsia="es-CO"/>
        </w:rPr>
      </w:pPr>
      <w:r w:rsidRPr="007608C2">
        <w:rPr>
          <w:rFonts w:cs="Arial"/>
          <w:noProof/>
          <w:lang w:val="es-CO" w:eastAsia="es-CO"/>
        </w:rPr>
        <w:lastRenderedPageBreak/>
        <w:drawing>
          <wp:inline distT="0" distB="0" distL="0" distR="0" wp14:anchorId="6101DABB" wp14:editId="281F5F82">
            <wp:extent cx="4699103" cy="2004181"/>
            <wp:effectExtent l="0" t="0" r="6350" b="15240"/>
            <wp:docPr id="476" name="Gráfico 4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62EE8" w:rsidRPr="007E242E" w:rsidRDefault="00F62EE8" w:rsidP="004F4DD7">
      <w:pPr>
        <w:pStyle w:val="Prrafodelista"/>
        <w:spacing w:after="100" w:afterAutospacing="1" w:line="240" w:lineRule="auto"/>
        <w:jc w:val="center"/>
        <w:rPr>
          <w:rFonts w:eastAsia="Times New Roman" w:cs="Arial"/>
          <w:b/>
          <w:i/>
          <w:u w:val="single"/>
          <w:lang w:eastAsia="es-CO"/>
        </w:rPr>
      </w:pPr>
      <w:r w:rsidRPr="007E242E">
        <w:rPr>
          <w:rFonts w:eastAsia="Times New Roman" w:cs="Arial"/>
          <w:sz w:val="16"/>
          <w:szCs w:val="16"/>
          <w:lang w:eastAsia="es-CO"/>
        </w:rPr>
        <w:t>Fuente: Elaboración Propia</w:t>
      </w:r>
    </w:p>
    <w:p w:rsidR="00F62EE8" w:rsidRDefault="00F62EE8" w:rsidP="00A44A2B">
      <w:pPr>
        <w:pStyle w:val="Prrafodelista"/>
        <w:numPr>
          <w:ilvl w:val="0"/>
          <w:numId w:val="37"/>
        </w:numPr>
        <w:spacing w:before="100" w:beforeAutospacing="1" w:after="100" w:afterAutospacing="1" w:line="240" w:lineRule="auto"/>
        <w:ind w:left="360"/>
        <w:contextualSpacing/>
        <w:jc w:val="both"/>
        <w:rPr>
          <w:rFonts w:eastAsia="Times New Roman" w:cs="Arial"/>
          <w:lang w:eastAsia="es-CO"/>
        </w:rPr>
      </w:pPr>
      <w:r w:rsidRPr="007608C2">
        <w:rPr>
          <w:rFonts w:eastAsia="Times New Roman" w:cs="Arial"/>
          <w:lang w:eastAsia="es-CO"/>
        </w:rPr>
        <w:t>El sector educación (SGP y Ministerio de Educación) concentran la mayor parte del presupuesto (67% -69%), les sigue en participación el sector de Inclusión Social y Reconciliación DPS e ICBF (22% - 24%)</w:t>
      </w:r>
    </w:p>
    <w:p w:rsidR="00AF4CDA" w:rsidRPr="007608C2" w:rsidRDefault="00AF4CDA" w:rsidP="00AF4CDA">
      <w:pPr>
        <w:pStyle w:val="Prrafodelista"/>
        <w:spacing w:before="100" w:beforeAutospacing="1" w:after="100" w:afterAutospacing="1" w:line="240" w:lineRule="auto"/>
        <w:ind w:left="360"/>
        <w:contextualSpacing/>
        <w:jc w:val="both"/>
        <w:rPr>
          <w:rFonts w:eastAsia="Times New Roman" w:cs="Arial"/>
          <w:lang w:eastAsia="es-CO"/>
        </w:rPr>
      </w:pPr>
    </w:p>
    <w:p w:rsidR="00F62EE8" w:rsidRPr="007608C2" w:rsidRDefault="004F4DD7" w:rsidP="00F62EE8">
      <w:pPr>
        <w:pStyle w:val="Prrafodelista"/>
        <w:spacing w:before="100" w:beforeAutospacing="1" w:after="100" w:afterAutospacing="1" w:line="240" w:lineRule="auto"/>
        <w:jc w:val="both"/>
        <w:rPr>
          <w:rFonts w:eastAsia="Times New Roman" w:cs="Arial"/>
          <w:b/>
          <w:i/>
          <w:u w:val="single"/>
          <w:lang w:eastAsia="es-CO"/>
        </w:rPr>
      </w:pPr>
      <w:r w:rsidRPr="007608C2">
        <w:rPr>
          <w:rFonts w:cs="Arial"/>
          <w:noProof/>
          <w:lang w:val="es-CO" w:eastAsia="es-CO"/>
        </w:rPr>
        <w:drawing>
          <wp:anchor distT="0" distB="0" distL="114300" distR="114300" simplePos="0" relativeHeight="251816448" behindDoc="1" locked="0" layoutInCell="1" allowOverlap="1" wp14:anchorId="3BDC4410" wp14:editId="3F3615A9">
            <wp:simplePos x="0" y="0"/>
            <wp:positionH relativeFrom="margin">
              <wp:align>left</wp:align>
            </wp:positionH>
            <wp:positionV relativeFrom="paragraph">
              <wp:posOffset>14085</wp:posOffset>
            </wp:positionV>
            <wp:extent cx="5705553" cy="1595727"/>
            <wp:effectExtent l="0" t="0" r="0" b="0"/>
            <wp:wrapNone/>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5553" cy="15957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EE8" w:rsidRPr="007608C2" w:rsidRDefault="00F62EE8" w:rsidP="00F62EE8">
      <w:pPr>
        <w:pStyle w:val="Prrafodelista"/>
        <w:spacing w:before="100" w:beforeAutospacing="1" w:after="100" w:afterAutospacing="1" w:line="240" w:lineRule="auto"/>
        <w:jc w:val="both"/>
        <w:rPr>
          <w:rFonts w:eastAsia="Times New Roman" w:cs="Arial"/>
          <w:b/>
          <w:i/>
          <w:u w:val="single"/>
          <w:lang w:eastAsia="es-CO"/>
        </w:rPr>
      </w:pPr>
    </w:p>
    <w:p w:rsidR="00F62EE8" w:rsidRPr="007608C2" w:rsidRDefault="00F62EE8" w:rsidP="00F62EE8">
      <w:pPr>
        <w:pStyle w:val="Prrafodelista"/>
        <w:spacing w:before="100" w:beforeAutospacing="1" w:after="100" w:afterAutospacing="1" w:line="240" w:lineRule="auto"/>
        <w:jc w:val="both"/>
        <w:rPr>
          <w:rFonts w:eastAsia="Times New Roman" w:cs="Arial"/>
          <w:b/>
          <w:i/>
          <w:u w:val="single"/>
          <w:lang w:eastAsia="es-CO"/>
        </w:rPr>
      </w:pPr>
    </w:p>
    <w:p w:rsidR="00F62EE8" w:rsidRPr="007608C2" w:rsidRDefault="00F62EE8" w:rsidP="00F62EE8">
      <w:pPr>
        <w:pStyle w:val="Prrafodelista"/>
        <w:spacing w:before="100" w:beforeAutospacing="1" w:after="100" w:afterAutospacing="1" w:line="240" w:lineRule="auto"/>
        <w:jc w:val="both"/>
        <w:rPr>
          <w:rFonts w:eastAsia="Times New Roman" w:cs="Arial"/>
          <w:b/>
          <w:i/>
          <w:u w:val="single"/>
          <w:lang w:eastAsia="es-CO"/>
        </w:rPr>
      </w:pPr>
    </w:p>
    <w:p w:rsidR="00F62EE8" w:rsidRPr="007E242E" w:rsidRDefault="00F62EE8" w:rsidP="00F62EE8">
      <w:pPr>
        <w:spacing w:before="100" w:beforeAutospacing="1" w:after="100" w:afterAutospacing="1" w:line="240" w:lineRule="auto"/>
        <w:jc w:val="center"/>
        <w:rPr>
          <w:rFonts w:eastAsia="Times New Roman" w:cs="Arial"/>
          <w:sz w:val="16"/>
          <w:szCs w:val="16"/>
          <w:lang w:eastAsia="es-CO"/>
        </w:rPr>
      </w:pPr>
      <w:r w:rsidRPr="007E242E">
        <w:rPr>
          <w:rFonts w:eastAsia="Times New Roman" w:cs="Arial"/>
          <w:sz w:val="16"/>
          <w:szCs w:val="16"/>
          <w:lang w:eastAsia="es-CO"/>
        </w:rPr>
        <w:t>Fuente: Elaboración Propia</w:t>
      </w:r>
    </w:p>
    <w:p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eastAsia="Times New Roman" w:cs="Arial"/>
          <w:lang w:eastAsia="es-CO"/>
        </w:rPr>
      </w:pPr>
      <w:r w:rsidRPr="007608C2">
        <w:rPr>
          <w:rFonts w:eastAsia="Times New Roman" w:cs="Arial"/>
          <w:lang w:eastAsia="es-CO"/>
        </w:rPr>
        <w:t xml:space="preserve">Las </w:t>
      </w:r>
      <w:r w:rsidRPr="007608C2">
        <w:rPr>
          <w:rFonts w:eastAsia="Times New Roman" w:cs="Arial"/>
          <w:bCs/>
          <w:lang w:eastAsia="es-CO"/>
        </w:rPr>
        <w:t xml:space="preserve">Entidades Territoriales </w:t>
      </w:r>
      <w:r w:rsidRPr="007608C2">
        <w:rPr>
          <w:rFonts w:eastAsia="Times New Roman" w:cs="Arial"/>
          <w:lang w:eastAsia="es-CO"/>
        </w:rPr>
        <w:t xml:space="preserve">concentran </w:t>
      </w:r>
      <w:r w:rsidRPr="007608C2">
        <w:rPr>
          <w:rFonts w:eastAsia="Times New Roman" w:cs="Arial"/>
          <w:bCs/>
          <w:lang w:eastAsia="es-CO"/>
        </w:rPr>
        <w:t xml:space="preserve">más del 70% </w:t>
      </w:r>
      <w:r w:rsidRPr="007608C2">
        <w:rPr>
          <w:rFonts w:eastAsia="Times New Roman" w:cs="Arial"/>
          <w:lang w:eastAsia="es-CO"/>
        </w:rPr>
        <w:t xml:space="preserve">de la Ejecución de los recursos para niños y adolescentes. Esto se debe a que el mayor recurso ejecutado se encuentra en el SGP de </w:t>
      </w:r>
      <w:r w:rsidRPr="007608C2">
        <w:rPr>
          <w:rFonts w:eastAsia="Times New Roman" w:cs="Arial"/>
          <w:bCs/>
          <w:lang w:eastAsia="es-CO"/>
        </w:rPr>
        <w:t>Educación</w:t>
      </w:r>
      <w:r w:rsidRPr="007608C2">
        <w:rPr>
          <w:rFonts w:eastAsia="Times New Roman" w:cs="Arial"/>
          <w:lang w:eastAsia="es-CO"/>
        </w:rPr>
        <w:t xml:space="preserve"> y SGP de </w:t>
      </w:r>
      <w:r w:rsidRPr="007608C2">
        <w:rPr>
          <w:rFonts w:eastAsia="Times New Roman" w:cs="Arial"/>
          <w:bCs/>
          <w:lang w:eastAsia="es-CO"/>
        </w:rPr>
        <w:t>Salud.</w:t>
      </w:r>
      <w:r w:rsidRPr="007608C2">
        <w:rPr>
          <w:rFonts w:eastAsia="Times New Roman" w:cs="Arial"/>
          <w:lang w:eastAsia="es-CO"/>
        </w:rPr>
        <w:t xml:space="preserve"> </w:t>
      </w:r>
    </w:p>
    <w:p w:rsidR="00F62EE8" w:rsidRPr="007608C2" w:rsidRDefault="00F62EE8" w:rsidP="00F62EE8">
      <w:pPr>
        <w:spacing w:before="100" w:beforeAutospacing="1" w:after="100" w:afterAutospacing="1" w:line="240" w:lineRule="auto"/>
        <w:ind w:left="360"/>
        <w:jc w:val="both"/>
        <w:rPr>
          <w:rFonts w:cs="Arial"/>
          <w:lang w:eastAsia="es-CO"/>
        </w:rPr>
      </w:pPr>
      <w:r w:rsidRPr="007608C2">
        <w:rPr>
          <w:rFonts w:cs="Arial"/>
          <w:noProof/>
          <w:lang w:val="es-CO" w:eastAsia="es-CO"/>
        </w:rPr>
        <w:drawing>
          <wp:anchor distT="0" distB="0" distL="114300" distR="114300" simplePos="0" relativeHeight="251815424" behindDoc="1" locked="0" layoutInCell="1" allowOverlap="1" wp14:anchorId="0D0CA0E5" wp14:editId="1F57F8DA">
            <wp:simplePos x="0" y="0"/>
            <wp:positionH relativeFrom="page">
              <wp:align>center</wp:align>
            </wp:positionH>
            <wp:positionV relativeFrom="paragraph">
              <wp:posOffset>83930</wp:posOffset>
            </wp:positionV>
            <wp:extent cx="7421880" cy="1905000"/>
            <wp:effectExtent l="0" t="0" r="0" b="0"/>
            <wp:wrapNone/>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188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EE8" w:rsidRPr="007608C2" w:rsidRDefault="00F62EE8" w:rsidP="00F62EE8">
      <w:pPr>
        <w:spacing w:before="100" w:beforeAutospacing="1" w:after="100" w:afterAutospacing="1" w:line="240" w:lineRule="auto"/>
        <w:ind w:left="360"/>
        <w:jc w:val="both"/>
        <w:rPr>
          <w:rFonts w:cs="Arial"/>
          <w:lang w:eastAsia="es-CO"/>
        </w:rPr>
      </w:pPr>
    </w:p>
    <w:p w:rsidR="00F62EE8" w:rsidRPr="007608C2" w:rsidRDefault="00F62EE8" w:rsidP="00F62EE8">
      <w:pPr>
        <w:spacing w:before="100" w:beforeAutospacing="1" w:after="100" w:afterAutospacing="1" w:line="240" w:lineRule="auto"/>
        <w:ind w:left="360"/>
        <w:jc w:val="both"/>
        <w:rPr>
          <w:rFonts w:cs="Arial"/>
          <w:lang w:eastAsia="es-CO"/>
        </w:rPr>
      </w:pPr>
    </w:p>
    <w:p w:rsidR="00F62EE8" w:rsidRPr="007608C2" w:rsidRDefault="00F62EE8" w:rsidP="00F62EE8">
      <w:pPr>
        <w:spacing w:before="100" w:beforeAutospacing="1" w:after="100" w:afterAutospacing="1" w:line="240" w:lineRule="auto"/>
        <w:ind w:left="360"/>
        <w:jc w:val="both"/>
        <w:rPr>
          <w:rFonts w:cs="Arial"/>
          <w:lang w:eastAsia="es-CO"/>
        </w:rPr>
      </w:pPr>
    </w:p>
    <w:p w:rsidR="00F62EE8" w:rsidRPr="007608C2" w:rsidRDefault="00F62EE8" w:rsidP="00F62EE8">
      <w:pPr>
        <w:spacing w:before="100" w:beforeAutospacing="1" w:after="100" w:afterAutospacing="1" w:line="240" w:lineRule="auto"/>
        <w:ind w:left="360"/>
        <w:jc w:val="both"/>
        <w:rPr>
          <w:rFonts w:cs="Arial"/>
          <w:lang w:eastAsia="es-CO"/>
        </w:rPr>
      </w:pPr>
    </w:p>
    <w:p w:rsidR="00F62EE8" w:rsidRPr="00AF4CDA" w:rsidRDefault="00F62EE8" w:rsidP="00F62EE8">
      <w:pPr>
        <w:pStyle w:val="Prrafodelista"/>
        <w:spacing w:before="100" w:beforeAutospacing="1" w:after="100" w:afterAutospacing="1" w:line="240" w:lineRule="auto"/>
        <w:jc w:val="center"/>
        <w:rPr>
          <w:rFonts w:eastAsia="Times New Roman" w:cs="Arial"/>
          <w:sz w:val="16"/>
          <w:szCs w:val="16"/>
          <w:lang w:eastAsia="es-CO"/>
        </w:rPr>
      </w:pPr>
      <w:r w:rsidRPr="00AF4CDA">
        <w:rPr>
          <w:rFonts w:eastAsia="Times New Roman" w:cs="Arial"/>
          <w:sz w:val="16"/>
          <w:szCs w:val="16"/>
          <w:lang w:eastAsia="es-CO"/>
        </w:rPr>
        <w:t>Fuente: Elaboración Propia</w:t>
      </w:r>
    </w:p>
    <w:p w:rsidR="00F62EE8" w:rsidRPr="007608C2" w:rsidRDefault="00F62EE8" w:rsidP="00F62EE8">
      <w:pPr>
        <w:spacing w:before="100" w:beforeAutospacing="1" w:after="100" w:afterAutospacing="1" w:line="240" w:lineRule="auto"/>
        <w:jc w:val="both"/>
        <w:rPr>
          <w:rFonts w:cs="Arial"/>
        </w:rPr>
      </w:pPr>
      <w:r w:rsidRPr="007608C2">
        <w:rPr>
          <w:rFonts w:cs="Arial"/>
        </w:rPr>
        <w:lastRenderedPageBreak/>
        <w:t xml:space="preserve">Para el segundo semestre de 2017 se llevó a cabo el evento de socialización de la metodología y resultados del primer piloto con las 4 entidades que participaron y 10 más que fueron escogidas para el 2 piloto de medición. Para el segundo piloto, las entidades que conformaron la Mesa de Gasto fueron: </w:t>
      </w:r>
    </w:p>
    <w:p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DAPRE</w:t>
      </w:r>
    </w:p>
    <w:p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Ministerio del Interior.</w:t>
      </w:r>
    </w:p>
    <w:p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Ministerio de Justicia y del Derecho.</w:t>
      </w:r>
    </w:p>
    <w:p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Ministerio de Salud y Protección Social.</w:t>
      </w:r>
    </w:p>
    <w:p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Ministerio del Trabajo.</w:t>
      </w:r>
    </w:p>
    <w:p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La Registraduría Nacional del Estado Civil.</w:t>
      </w:r>
    </w:p>
    <w:p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Ministerio de Cultura.</w:t>
      </w:r>
    </w:p>
    <w:p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Coldeportes</w:t>
      </w:r>
    </w:p>
    <w:p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La Policía Nacional.</w:t>
      </w:r>
    </w:p>
    <w:p w:rsidR="00F62EE8" w:rsidRPr="007608C2" w:rsidRDefault="00F62EE8" w:rsidP="00A44A2B">
      <w:pPr>
        <w:pStyle w:val="Prrafodelista"/>
        <w:numPr>
          <w:ilvl w:val="0"/>
          <w:numId w:val="37"/>
        </w:numPr>
        <w:spacing w:before="100" w:beforeAutospacing="1" w:after="100" w:afterAutospacing="1" w:line="240" w:lineRule="auto"/>
        <w:ind w:left="360"/>
        <w:contextualSpacing/>
        <w:jc w:val="both"/>
        <w:rPr>
          <w:rFonts w:cs="Arial"/>
        </w:rPr>
      </w:pPr>
      <w:r w:rsidRPr="007608C2">
        <w:rPr>
          <w:rFonts w:cs="Arial"/>
        </w:rPr>
        <w:t>La Unidad Administrativa Especial de Atención y Reparación Integral a las Víctimas.</w:t>
      </w:r>
    </w:p>
    <w:p w:rsidR="00F62EE8" w:rsidRPr="007608C2" w:rsidRDefault="00F62EE8" w:rsidP="00F62EE8">
      <w:pPr>
        <w:spacing w:before="100" w:beforeAutospacing="1" w:after="100" w:afterAutospacing="1" w:line="240" w:lineRule="auto"/>
        <w:jc w:val="both"/>
        <w:rPr>
          <w:rFonts w:cs="Arial"/>
        </w:rPr>
      </w:pPr>
      <w:r w:rsidRPr="007608C2">
        <w:rPr>
          <w:rFonts w:cs="Arial"/>
        </w:rPr>
        <w:t>Paralelamente se replicó el ejercicio de medición de gasto público territorial  a través de la metodología FUT creada por el SNBF. Esto con el ánimo de conocer un Gasto Público Nacional en NNA.</w:t>
      </w:r>
    </w:p>
    <w:p w:rsidR="00F62EE8" w:rsidRPr="007608C2" w:rsidRDefault="00F62EE8" w:rsidP="00F62EE8">
      <w:pPr>
        <w:spacing w:before="100" w:beforeAutospacing="1" w:after="100" w:afterAutospacing="1" w:line="240" w:lineRule="auto"/>
        <w:jc w:val="both"/>
        <w:rPr>
          <w:rFonts w:cs="Arial"/>
        </w:rPr>
      </w:pPr>
      <w:r w:rsidRPr="007608C2">
        <w:rPr>
          <w:rFonts w:cs="Arial"/>
        </w:rPr>
        <w:t>D</w:t>
      </w:r>
      <w:r w:rsidR="00AF4CDA">
        <w:rPr>
          <w:rFonts w:cs="Arial"/>
        </w:rPr>
        <w:t xml:space="preserve">e igual manera en el marco del </w:t>
      </w:r>
      <w:r w:rsidRPr="007608C2">
        <w:rPr>
          <w:rFonts w:cs="Arial"/>
        </w:rPr>
        <w:t>convenio 1299 de 2017 entre UNICEF, Save the Children y el ICBF se realizó un documento de orientaciones para la asistencia técnica en territorio en materia</w:t>
      </w:r>
      <w:r w:rsidR="00D4291B" w:rsidRPr="007608C2">
        <w:rPr>
          <w:rFonts w:cs="Arial"/>
        </w:rPr>
        <w:t xml:space="preserve"> de planeación y presupuestación</w:t>
      </w:r>
      <w:r w:rsidRPr="007608C2">
        <w:rPr>
          <w:rFonts w:cs="Arial"/>
        </w:rPr>
        <w:t>, con la que permite evidenciar los principales falencias o vacíos en estos dos temas. Por esta razón, se comienza la construcción de un Documento Pedagógico de Fuentes de Financiación con el objetivo de orientar a las entidades territoriales para la consecución de otras fuentes de recursos, diferentes a los definidos en el SGP por crecimiento real de la economía, y que puedan ser dirigidos a la primea infancia, infancia y adolescencia.</w:t>
      </w:r>
    </w:p>
    <w:p w:rsidR="00F62EE8" w:rsidRPr="007608C2" w:rsidRDefault="00F62EE8" w:rsidP="00F62EE8">
      <w:pPr>
        <w:spacing w:before="100" w:beforeAutospacing="1" w:after="100" w:afterAutospacing="1" w:line="240" w:lineRule="auto"/>
        <w:jc w:val="both"/>
        <w:rPr>
          <w:rFonts w:cs="Arial"/>
        </w:rPr>
      </w:pPr>
      <w:r w:rsidRPr="007608C2">
        <w:rPr>
          <w:rFonts w:cs="Arial"/>
        </w:rPr>
        <w:t>Adicionalmente, se realizó un ajuste a los 5 tutoriales de Modelo tipo de proyecto por sectores (salud, educación, cultura, Coldeportes e infraestructura), y de esta manera focalizar las problemáticas de estos. Se ajustaron así:  1) Prevención del Embarazo Adolescente (</w:t>
      </w:r>
      <w:r w:rsidRPr="007608C2">
        <w:rPr>
          <w:rFonts w:cs="Arial"/>
          <w:b/>
        </w:rPr>
        <w:t>Salud</w:t>
      </w:r>
      <w:r w:rsidRPr="007608C2">
        <w:rPr>
          <w:rFonts w:cs="Arial"/>
        </w:rPr>
        <w:t xml:space="preserve">), 2) Aprovechamiento del Tiempo Libre </w:t>
      </w:r>
      <w:r w:rsidRPr="007608C2">
        <w:rPr>
          <w:rFonts w:cs="Arial"/>
          <w:b/>
        </w:rPr>
        <w:t>(Deportes),</w:t>
      </w:r>
      <w:r w:rsidRPr="007608C2">
        <w:rPr>
          <w:rFonts w:cs="Arial"/>
        </w:rPr>
        <w:t xml:space="preserve"> 3) Educación Sexual y Reconciliación </w:t>
      </w:r>
      <w:r w:rsidRPr="007608C2">
        <w:rPr>
          <w:rFonts w:cs="Arial"/>
          <w:b/>
        </w:rPr>
        <w:t xml:space="preserve">(Educación), </w:t>
      </w:r>
      <w:r w:rsidRPr="007608C2">
        <w:rPr>
          <w:rFonts w:cs="Arial"/>
        </w:rPr>
        <w:t>4) Prevención del uso de sustancias Psicoactivas (</w:t>
      </w:r>
      <w:r w:rsidRPr="007608C2">
        <w:rPr>
          <w:rFonts w:cs="Arial"/>
          <w:b/>
        </w:rPr>
        <w:t>Educación</w:t>
      </w:r>
      <w:r w:rsidRPr="007608C2">
        <w:rPr>
          <w:rFonts w:cs="Arial"/>
        </w:rPr>
        <w:t>), 5) Tratamiento y rehabilitación con consumo de sustancias psicoactivas (</w:t>
      </w:r>
      <w:r w:rsidRPr="007608C2">
        <w:rPr>
          <w:rFonts w:cs="Arial"/>
          <w:b/>
        </w:rPr>
        <w:t>Salud</w:t>
      </w:r>
      <w:r w:rsidRPr="007608C2">
        <w:rPr>
          <w:rFonts w:cs="Arial"/>
        </w:rPr>
        <w:t xml:space="preserve">). Estos documentos tienen como objetivo poner a disposición de las entidades territoriales una herramienta que facilite la formulación, cargue, monitoreo y evaluación de proyectos y programas de inversión pública y de igual manera dejar un guía que permita a las Entidades Territoriales construir proyectos de acuerdo con las necesidades propias de cada uno. </w:t>
      </w:r>
    </w:p>
    <w:p w:rsidR="00F62EE8" w:rsidRPr="007608C2" w:rsidRDefault="00F62EE8" w:rsidP="00F62EE8">
      <w:pPr>
        <w:spacing w:before="100" w:beforeAutospacing="1" w:after="100" w:afterAutospacing="1" w:line="240" w:lineRule="auto"/>
        <w:jc w:val="both"/>
        <w:rPr>
          <w:rFonts w:cs="Arial"/>
        </w:rPr>
      </w:pPr>
      <w:r w:rsidRPr="007608C2">
        <w:rPr>
          <w:rFonts w:cs="Arial"/>
        </w:rPr>
        <w:t>2. En relación con los recursos del Sistema General de Participaciones (SGP) asignados para la Atención Integral a la Primera Infancia, se realizaron las siguientes acciones:</w:t>
      </w:r>
    </w:p>
    <w:p w:rsidR="00F62EE8" w:rsidRPr="007608C2" w:rsidRDefault="00D4291B" w:rsidP="00F62EE8">
      <w:pPr>
        <w:spacing w:before="100" w:beforeAutospacing="1" w:after="100" w:afterAutospacing="1" w:line="240" w:lineRule="auto"/>
        <w:contextualSpacing/>
        <w:jc w:val="both"/>
        <w:rPr>
          <w:rFonts w:cs="Arial"/>
        </w:rPr>
      </w:pPr>
      <w:r w:rsidRPr="007608C2">
        <w:rPr>
          <w:rFonts w:cs="Arial"/>
        </w:rPr>
        <w:t>Se llevó</w:t>
      </w:r>
      <w:r w:rsidR="00F62EE8" w:rsidRPr="007608C2">
        <w:rPr>
          <w:rFonts w:cs="Arial"/>
        </w:rPr>
        <w:t xml:space="preserve"> a cabo un proceso de socialización del CONPES 3887 de 2017 en los 22 departamentos del territorio nacional, este ejercicio se realizó con el acompañamiento de las entidades de la Comisión Intersectorial de Primera Infancia, Ministerio de Salud, Ministerio de Cultura, </w:t>
      </w:r>
      <w:r w:rsidR="00F62EE8" w:rsidRPr="007608C2">
        <w:rPr>
          <w:rFonts w:cs="Arial"/>
        </w:rPr>
        <w:lastRenderedPageBreak/>
        <w:t>Coldeportes, ICBF, MEN y el aporte el grupo de infraestructura de la D</w:t>
      </w:r>
      <w:r w:rsidR="00E76E71">
        <w:rPr>
          <w:rFonts w:cs="Arial"/>
        </w:rPr>
        <w:t>irección Administrativa de ICBF.</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Por otro lado, mediante</w:t>
      </w:r>
      <w:r w:rsidRPr="007608C2">
        <w:rPr>
          <w:rFonts w:cs="Arial"/>
          <w:bCs/>
        </w:rPr>
        <w:t xml:space="preserve"> el Convenio suscrito entre ICBF – UNICEF y Save The Children se desarrollaron herramientas que buscan brindar orientaciones para la asistencia técnica en la planeación y presupuestación de acciones dirigidas a los niños, niñas y adolescentes, un ABC de fuentes de financiación y un documento guía sobre los proyectos de inversión.</w:t>
      </w:r>
    </w:p>
    <w:p w:rsidR="00F62EE8" w:rsidRPr="007608C2" w:rsidRDefault="00F62EE8" w:rsidP="00A44A2B">
      <w:pPr>
        <w:pStyle w:val="Prrafodelista"/>
        <w:numPr>
          <w:ilvl w:val="0"/>
          <w:numId w:val="99"/>
        </w:numPr>
        <w:spacing w:before="100" w:beforeAutospacing="1" w:after="100" w:afterAutospacing="1" w:line="240" w:lineRule="auto"/>
        <w:contextualSpacing/>
        <w:jc w:val="both"/>
        <w:rPr>
          <w:rFonts w:cs="Arial"/>
          <w:b/>
        </w:rPr>
      </w:pPr>
      <w:r w:rsidRPr="007608C2">
        <w:rPr>
          <w:rFonts w:cs="Arial"/>
          <w:b/>
        </w:rPr>
        <w:t>Componente de Fortalecimiento Técnico</w:t>
      </w:r>
    </w:p>
    <w:p w:rsidR="00F62EE8" w:rsidRPr="007608C2" w:rsidRDefault="00F62EE8" w:rsidP="00F62EE8">
      <w:pPr>
        <w:spacing w:before="100" w:beforeAutospacing="1" w:after="100" w:afterAutospacing="1" w:line="240" w:lineRule="auto"/>
        <w:jc w:val="both"/>
        <w:rPr>
          <w:rFonts w:cs="Arial"/>
        </w:rPr>
      </w:pPr>
      <w:r w:rsidRPr="007608C2">
        <w:rPr>
          <w:rFonts w:cs="Arial"/>
        </w:rPr>
        <w:t>Este componente comprende el conjunto de procesos orientados a la cualificación de los equipos humanos y de los procedimientos operacionales y de articulación entre los diversos agentes del SNBF, con el fin de brindar herramientas conceptuales, jurídicas y técnicas para la formulación de políticas públicas, el diseño de estrategias, la implementación de programas y el seguimiento de los mismos para que la política impacte, a través de acciones y servicios, en la protección integral de las niñas, niños y adolescentes. Este componente impacta directamente en la protección integral de niños, niñas y adolescentes al:</w:t>
      </w:r>
    </w:p>
    <w:p w:rsidR="00F62EE8"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AF4CDA">
        <w:rPr>
          <w:rFonts w:cs="Arial"/>
        </w:rPr>
        <w:t>Organizar, generar y difundir conocimientos evaluables y transferibles que logren incidir oportunamente en escenarios de decisión e influencia sobre el ejercicio de los derechos de la infancia y la adolescencia.</w:t>
      </w:r>
    </w:p>
    <w:p w:rsidR="00AF4CDA" w:rsidRPr="00AF4CDA" w:rsidRDefault="00AF4CDA" w:rsidP="00AF4CDA">
      <w:pPr>
        <w:pStyle w:val="Prrafodelista"/>
        <w:autoSpaceDE w:val="0"/>
        <w:autoSpaceDN w:val="0"/>
        <w:spacing w:before="100" w:beforeAutospacing="1" w:after="100" w:afterAutospacing="1" w:line="240" w:lineRule="auto"/>
        <w:ind w:left="360"/>
        <w:contextualSpacing/>
        <w:jc w:val="both"/>
        <w:rPr>
          <w:rFonts w:cs="Arial"/>
        </w:rPr>
      </w:pPr>
    </w:p>
    <w:p w:rsidR="00F62EE8" w:rsidRPr="00AF4CDA"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AF4CDA">
        <w:rPr>
          <w:rFonts w:cs="Arial"/>
        </w:rPr>
        <w:t>Facilitar el abordaje de problemáticas específicas que afectan las condiciones de la infancia y la adolescencia desde un enfoque territorial, articulando acciones para la atención prioritaria e integral que puede</w:t>
      </w:r>
      <w:r w:rsidR="00AF4CDA" w:rsidRPr="00AF4CDA">
        <w:rPr>
          <w:rFonts w:cs="Arial"/>
        </w:rPr>
        <w:t>n modificar dichas condiciones.</w:t>
      </w:r>
    </w:p>
    <w:p w:rsidR="00AF4CDA" w:rsidRPr="00AF4CDA" w:rsidRDefault="00AF4CDA" w:rsidP="00AF4CDA">
      <w:pPr>
        <w:pStyle w:val="Prrafodelista"/>
        <w:autoSpaceDE w:val="0"/>
        <w:autoSpaceDN w:val="0"/>
        <w:spacing w:before="100" w:beforeAutospacing="1" w:after="100" w:afterAutospacing="1" w:line="240" w:lineRule="auto"/>
        <w:ind w:left="360"/>
        <w:contextualSpacing/>
        <w:jc w:val="both"/>
        <w:rPr>
          <w:rFonts w:cs="Arial"/>
        </w:rPr>
      </w:pPr>
    </w:p>
    <w:p w:rsidR="00AF4CDA"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AF4CDA">
        <w:rPr>
          <w:rFonts w:cs="Arial"/>
        </w:rPr>
        <w:t>Promover alianzas estratégicas para optimizar recursos y conocimientos frente al impacto en la garantía de derechos de niños, niñas y adolescentes.</w:t>
      </w:r>
    </w:p>
    <w:p w:rsidR="00AF4CDA" w:rsidRPr="00AF4CDA" w:rsidRDefault="00AF4CDA" w:rsidP="00AF4CDA">
      <w:pPr>
        <w:pStyle w:val="Prrafodelista"/>
        <w:autoSpaceDE w:val="0"/>
        <w:autoSpaceDN w:val="0"/>
        <w:spacing w:before="100" w:beforeAutospacing="1" w:after="100" w:afterAutospacing="1" w:line="240" w:lineRule="auto"/>
        <w:ind w:left="360"/>
        <w:contextualSpacing/>
        <w:jc w:val="both"/>
        <w:rPr>
          <w:rFonts w:cs="Arial"/>
        </w:rPr>
      </w:pPr>
    </w:p>
    <w:p w:rsidR="00F62EE8" w:rsidRPr="00AF4CDA"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AF4CDA">
        <w:rPr>
          <w:rFonts w:cs="Arial"/>
        </w:rPr>
        <w:t>Armonizar las agendas institucionales en materia de fortalecimiento técnico de acuerdo a las prioridades nacionales y territoriales en materia de niñez, adolescencia y fortalecimiento familiar para responder oportuna e integralmente a las necesidades de los niños, niñas y adolescentes en los territorios.</w:t>
      </w:r>
    </w:p>
    <w:p w:rsidR="00F62EE8" w:rsidRPr="007608C2" w:rsidRDefault="00F62EE8" w:rsidP="00F62EE8">
      <w:pPr>
        <w:spacing w:before="100" w:beforeAutospacing="1" w:after="100" w:afterAutospacing="1" w:line="240" w:lineRule="auto"/>
        <w:jc w:val="both"/>
        <w:rPr>
          <w:rFonts w:cs="Arial"/>
        </w:rPr>
      </w:pPr>
      <w:r w:rsidRPr="007608C2">
        <w:rPr>
          <w:rFonts w:cs="Arial"/>
        </w:rPr>
        <w:t xml:space="preserve">Para la presente vigencia se resaltan los resultados frente a: </w:t>
      </w:r>
    </w:p>
    <w:p w:rsidR="00F62EE8" w:rsidRPr="007608C2" w:rsidRDefault="00F62EE8" w:rsidP="00F62EE8">
      <w:pPr>
        <w:spacing w:before="100" w:beforeAutospacing="1" w:after="100" w:afterAutospacing="1" w:line="240" w:lineRule="auto"/>
        <w:jc w:val="both"/>
        <w:rPr>
          <w:rFonts w:cs="Arial"/>
          <w:b/>
        </w:rPr>
      </w:pPr>
      <w:r w:rsidRPr="007608C2">
        <w:rPr>
          <w:rFonts w:cs="Arial"/>
          <w:b/>
        </w:rPr>
        <w:t>1. Asistencia técnica</w:t>
      </w:r>
    </w:p>
    <w:p w:rsidR="00F62EE8" w:rsidRPr="007608C2" w:rsidRDefault="00F62EE8" w:rsidP="00F62EE8">
      <w:pPr>
        <w:spacing w:before="100" w:beforeAutospacing="1" w:after="100" w:afterAutospacing="1" w:line="240" w:lineRule="auto"/>
        <w:jc w:val="both"/>
        <w:rPr>
          <w:rFonts w:cs="Arial"/>
        </w:rPr>
      </w:pPr>
      <w:r w:rsidRPr="007608C2">
        <w:rPr>
          <w:rFonts w:cs="Arial"/>
        </w:rPr>
        <w:t xml:space="preserve">- Acompañamiento en la realización de mesas intersectoriales de salud, con el acompañamiento del sector salud, cuyos objetivos fueron: lograr un esquema de  articulación territorial, que permita hacer el seguimiento de la garantía del derecho a la salud de niños, niñas y adolescentes, bajo protección del ICBF, que presentan necesidades en materia de salud; resolver la situación de salud de los niños, niñas y adolescentes monitoreados en el esquema de seguimiento y  gestionar la resolución de las brechas en la garantía del derecho a la salud de los niños niñas y adolescentes.  Las mesas fueron realizadas bajo el liderazgo de la Dirección de Protección en: Guajira, Sucre, Boyacá, Casanare, Valle, Chocó y </w:t>
      </w:r>
      <w:r w:rsidR="00E76E71" w:rsidRPr="007608C2">
        <w:rPr>
          <w:rFonts w:cs="Arial"/>
        </w:rPr>
        <w:t>Cauca. -</w:t>
      </w:r>
      <w:r w:rsidRPr="007608C2">
        <w:rPr>
          <w:rFonts w:cs="Arial"/>
        </w:rPr>
        <w:t xml:space="preserve"> Acompañamiento en la realización de </w:t>
      </w:r>
      <w:r w:rsidRPr="007608C2">
        <w:rPr>
          <w:rFonts w:cs="Arial"/>
        </w:rPr>
        <w:lastRenderedPageBreak/>
        <w:t xml:space="preserve">encuentros territoriales con el objetivo de Gestionar la atención en salud de los adolescentes y jóvenes del Sistema de Responsabilidad Penal para Adolescentes con los diferentes actores del sistema, a partir de la ruta de Promoción y Mantenimiento de la salud y rutas específicas implementadas en territorio. Los encuentros se realizaron en: Quindío, Nariño, San Andrés, Amazonas, Tolima y Santander.- En relación con los grupos étnicos, el PND definió desarrollar el acompañamiento técnico y administrativo para fortalecer y generar capacidades organizativas y comunitarias en la atención de las semillas de vida, según demanda de las comunidades indígenas. Para facilitar esta asistencia técnica, la Dirección del SNBF </w:t>
      </w:r>
      <w:r w:rsidR="004F4DD7" w:rsidRPr="007608C2">
        <w:rPr>
          <w:rFonts w:cs="Arial"/>
        </w:rPr>
        <w:t>realizó actividades</w:t>
      </w:r>
      <w:r w:rsidRPr="007608C2">
        <w:rPr>
          <w:rFonts w:cs="Arial"/>
        </w:rPr>
        <w:t xml:space="preserve"> que permitan definir rutas de asistencia técnica para dar acompañamiento a las comunidades que así lo soliciten. Con el objetivo de establecer las necesidades y las rutas, en el primer semestre de 2017, se abrió un proceso de convocatoria pública por medio de un concurso de méritos que fue declarado desierto. En este momento se inició un nuevo proceso con el objetivo de ejecutarlo en la vigencia 2018.</w:t>
      </w:r>
    </w:p>
    <w:p w:rsidR="00F62EE8" w:rsidRPr="007608C2" w:rsidRDefault="00F62EE8" w:rsidP="00F62EE8">
      <w:pPr>
        <w:spacing w:before="100" w:beforeAutospacing="1" w:after="100" w:afterAutospacing="1" w:line="240" w:lineRule="auto"/>
        <w:jc w:val="both"/>
        <w:rPr>
          <w:rFonts w:cs="Arial"/>
          <w:lang w:val="es-CO"/>
        </w:rPr>
      </w:pPr>
      <w:r w:rsidRPr="007608C2">
        <w:rPr>
          <w:rFonts w:cs="Arial"/>
        </w:rPr>
        <w:t xml:space="preserve">- Se acompañaron </w:t>
      </w:r>
      <w:r w:rsidRPr="007608C2">
        <w:rPr>
          <w:rFonts w:cs="Arial"/>
          <w:lang w:val="es-CO" w:eastAsia="es-CO"/>
        </w:rPr>
        <w:t xml:space="preserve">a 1133 entidades territoriales para la gestión de las políticas de primera infancia, infancia, adolescencia y fortalecimiento familiar, así como todas aquellas políticas intersectoriales que se encuentran en los territorios. - Con relación al fortalecimiento técnico a las instancias del SNBF fortaleciéndose fortaleció el funcionamiento de los Consejos Territoriales de Política Social y de todas las instancias de operación y desarrollo técnico que en las entidades territoriales están establecidas en el marco del CPS, así como las instancias de participación de niños, niñas y adolescentes. Adicionalmente, se brindó asistencia permanente a entidades territoriales priorizadas por la Dirección en cuanto a intervenciones integrales, dadas sus características de marginalidad y riesgo permanente frente a la vulneración de derechos de los niños, niñas y adolescentes. </w:t>
      </w:r>
    </w:p>
    <w:p w:rsidR="00F62EE8" w:rsidRPr="007608C2" w:rsidRDefault="00F62EE8" w:rsidP="00F62EE8">
      <w:pPr>
        <w:spacing w:before="100" w:beforeAutospacing="1" w:after="100" w:afterAutospacing="1" w:line="240" w:lineRule="auto"/>
        <w:jc w:val="both"/>
        <w:rPr>
          <w:rFonts w:cs="Arial"/>
          <w:b/>
        </w:rPr>
      </w:pPr>
      <w:r w:rsidRPr="007608C2">
        <w:rPr>
          <w:rFonts w:cs="Arial"/>
          <w:b/>
        </w:rPr>
        <w:t xml:space="preserve">- Acciones adelantadas en el Departamento de Chocó: </w:t>
      </w:r>
    </w:p>
    <w:p w:rsidR="00F62EE8" w:rsidRPr="00D06C24" w:rsidRDefault="00F62EE8" w:rsidP="00A44A2B">
      <w:pPr>
        <w:pStyle w:val="Prrafodelista"/>
        <w:numPr>
          <w:ilvl w:val="0"/>
          <w:numId w:val="39"/>
        </w:numPr>
        <w:spacing w:before="100" w:beforeAutospacing="1" w:after="100" w:afterAutospacing="1" w:line="240" w:lineRule="auto"/>
        <w:contextualSpacing/>
        <w:jc w:val="both"/>
        <w:rPr>
          <w:rFonts w:cs="Arial"/>
        </w:rPr>
      </w:pPr>
      <w:r w:rsidRPr="007608C2">
        <w:rPr>
          <w:rFonts w:cs="Arial"/>
          <w:bCs/>
        </w:rPr>
        <w:t>Acompañamiento técnico a los equipos territoriales en la construcción de planes de acción en las instancias de decisión y operación, teniendo en cuenta las prioridades de los planes de desarrollo municipales a favor de la infancia y</w:t>
      </w:r>
      <w:r w:rsidR="00D06C24">
        <w:rPr>
          <w:rFonts w:cs="Arial"/>
          <w:bCs/>
        </w:rPr>
        <w:t xml:space="preserve"> la adolescencia del 2016-2017.</w:t>
      </w:r>
    </w:p>
    <w:p w:rsidR="00D06C24" w:rsidRPr="007608C2" w:rsidRDefault="00D06C24" w:rsidP="00D06C24">
      <w:pPr>
        <w:pStyle w:val="Prrafodelista"/>
        <w:spacing w:before="100" w:beforeAutospacing="1" w:after="100" w:afterAutospacing="1" w:line="240" w:lineRule="auto"/>
        <w:ind w:left="720"/>
        <w:contextualSpacing/>
        <w:jc w:val="both"/>
        <w:rPr>
          <w:rFonts w:cs="Arial"/>
        </w:rPr>
      </w:pPr>
    </w:p>
    <w:p w:rsidR="00F62EE8" w:rsidRDefault="00F62EE8" w:rsidP="00A44A2B">
      <w:pPr>
        <w:pStyle w:val="Prrafodelista"/>
        <w:numPr>
          <w:ilvl w:val="0"/>
          <w:numId w:val="39"/>
        </w:numPr>
        <w:spacing w:before="100" w:beforeAutospacing="1" w:after="100" w:afterAutospacing="1" w:line="240" w:lineRule="auto"/>
        <w:contextualSpacing/>
        <w:jc w:val="both"/>
        <w:rPr>
          <w:rFonts w:cs="Arial"/>
        </w:rPr>
      </w:pPr>
      <w:r w:rsidRPr="007608C2">
        <w:rPr>
          <w:rFonts w:cs="Arial"/>
        </w:rPr>
        <w:t>Socialización el marco conceptual de la Ley de Cero a Siempre.</w:t>
      </w:r>
    </w:p>
    <w:p w:rsidR="00D06C24" w:rsidRPr="007608C2" w:rsidRDefault="00D06C24" w:rsidP="00D06C24">
      <w:pPr>
        <w:pStyle w:val="Prrafodelista"/>
        <w:spacing w:before="100" w:beforeAutospacing="1" w:after="100" w:afterAutospacing="1" w:line="240" w:lineRule="auto"/>
        <w:ind w:left="720"/>
        <w:contextualSpacing/>
        <w:jc w:val="both"/>
        <w:rPr>
          <w:rFonts w:cs="Arial"/>
        </w:rPr>
      </w:pPr>
    </w:p>
    <w:p w:rsidR="00D06C24" w:rsidRPr="00D06C24" w:rsidRDefault="00F62EE8" w:rsidP="00A44A2B">
      <w:pPr>
        <w:pStyle w:val="Prrafodelista"/>
        <w:numPr>
          <w:ilvl w:val="0"/>
          <w:numId w:val="39"/>
        </w:numPr>
        <w:spacing w:before="100" w:beforeAutospacing="1" w:after="100" w:afterAutospacing="1" w:line="240" w:lineRule="auto"/>
        <w:contextualSpacing/>
        <w:jc w:val="both"/>
        <w:rPr>
          <w:bCs/>
        </w:rPr>
      </w:pPr>
      <w:r w:rsidRPr="00D06C24">
        <w:rPr>
          <w:rFonts w:cs="Arial"/>
          <w:bCs/>
        </w:rPr>
        <w:t>Fortalecimiento técnico para la construcción e implementación de la Ruta Integral de Atenciones RIA, en los entes territoriales priorizados 2017 (</w:t>
      </w:r>
      <w:r w:rsidRPr="00D06C24">
        <w:rPr>
          <w:bCs/>
        </w:rPr>
        <w:t>Tado, Istmina, Condoto, Novita, Litoral del San Juan, Atrato, Rio Quito, Acandi, Unguia, Carmen del Darién, Bojaya, Medio Atrato, Medio San Juan, Sipi).</w:t>
      </w:r>
    </w:p>
    <w:p w:rsidR="00D06C24" w:rsidRPr="00D06C24" w:rsidRDefault="00D06C24" w:rsidP="00D06C24">
      <w:pPr>
        <w:pStyle w:val="Prrafodelista"/>
        <w:spacing w:before="100" w:beforeAutospacing="1" w:after="100" w:afterAutospacing="1" w:line="240" w:lineRule="auto"/>
        <w:ind w:left="720"/>
        <w:contextualSpacing/>
        <w:jc w:val="both"/>
        <w:rPr>
          <w:bCs/>
        </w:rPr>
      </w:pPr>
    </w:p>
    <w:p w:rsidR="00F62EE8" w:rsidRDefault="00F62EE8" w:rsidP="00A44A2B">
      <w:pPr>
        <w:pStyle w:val="Prrafodelista"/>
        <w:numPr>
          <w:ilvl w:val="0"/>
          <w:numId w:val="39"/>
        </w:numPr>
        <w:spacing w:before="100" w:beforeAutospacing="1" w:after="100" w:afterAutospacing="1" w:line="240" w:lineRule="auto"/>
        <w:contextualSpacing/>
        <w:jc w:val="both"/>
        <w:rPr>
          <w:rFonts w:cs="Arial"/>
          <w:bCs/>
        </w:rPr>
      </w:pPr>
      <w:r w:rsidRPr="00D06C24">
        <w:rPr>
          <w:rFonts w:cs="Arial"/>
          <w:bCs/>
        </w:rPr>
        <w:t>Socialización de las guías orientadoras sobre conformación de las mesas de participación para niños, niñas y adolescentes en la gestión pública territorial.</w:t>
      </w:r>
    </w:p>
    <w:p w:rsidR="00D06C24" w:rsidRPr="00D06C24" w:rsidRDefault="00D06C24" w:rsidP="00D06C24">
      <w:pPr>
        <w:pStyle w:val="Prrafodelista"/>
        <w:spacing w:before="100" w:beforeAutospacing="1" w:after="100" w:afterAutospacing="1" w:line="240" w:lineRule="auto"/>
        <w:ind w:left="720"/>
        <w:contextualSpacing/>
        <w:jc w:val="both"/>
        <w:rPr>
          <w:rFonts w:cs="Arial"/>
          <w:bCs/>
        </w:rPr>
      </w:pPr>
    </w:p>
    <w:p w:rsidR="00F62EE8" w:rsidRDefault="00F62EE8" w:rsidP="00A44A2B">
      <w:pPr>
        <w:pStyle w:val="Prrafodelista"/>
        <w:numPr>
          <w:ilvl w:val="0"/>
          <w:numId w:val="39"/>
        </w:numPr>
        <w:spacing w:before="100" w:beforeAutospacing="1" w:after="100" w:afterAutospacing="1" w:line="240" w:lineRule="auto"/>
        <w:contextualSpacing/>
        <w:jc w:val="both"/>
        <w:rPr>
          <w:rFonts w:cs="Arial"/>
          <w:bCs/>
        </w:rPr>
      </w:pPr>
      <w:r w:rsidRPr="00D06C24">
        <w:rPr>
          <w:rFonts w:cs="Arial"/>
          <w:bCs/>
        </w:rPr>
        <w:t>Fortalecimiento de capacidades a los 30 secretarios técnicos del departamento del Chocó, en relación al diligenciamiento y cargue de las actas de los consejos de política social Módulo de Información Territorial (MIT).</w:t>
      </w:r>
    </w:p>
    <w:p w:rsidR="00D06C24" w:rsidRPr="00D06C24" w:rsidRDefault="00D06C24" w:rsidP="00D06C24">
      <w:pPr>
        <w:pStyle w:val="Prrafodelista"/>
        <w:rPr>
          <w:rFonts w:cs="Arial"/>
          <w:bCs/>
        </w:rPr>
      </w:pPr>
    </w:p>
    <w:p w:rsidR="00F62EE8" w:rsidRPr="00D06C24" w:rsidRDefault="00F62EE8" w:rsidP="00A44A2B">
      <w:pPr>
        <w:pStyle w:val="Prrafodelista"/>
        <w:numPr>
          <w:ilvl w:val="0"/>
          <w:numId w:val="39"/>
        </w:numPr>
        <w:spacing w:before="100" w:beforeAutospacing="1" w:after="100" w:afterAutospacing="1" w:line="240" w:lineRule="auto"/>
        <w:contextualSpacing/>
        <w:jc w:val="both"/>
        <w:rPr>
          <w:rFonts w:cs="Arial"/>
          <w:bCs/>
        </w:rPr>
      </w:pPr>
      <w:r w:rsidRPr="00D06C24">
        <w:rPr>
          <w:rFonts w:cs="Arial"/>
          <w:bCs/>
        </w:rPr>
        <w:lastRenderedPageBreak/>
        <w:t>Socialización del CONPES 3887 – Atención Integral de la Prim</w:t>
      </w:r>
      <w:r w:rsidR="00D06C24" w:rsidRPr="00D06C24">
        <w:rPr>
          <w:rFonts w:cs="Arial"/>
          <w:bCs/>
        </w:rPr>
        <w:t>era en el departamento del Chocó</w:t>
      </w:r>
      <w:r w:rsidRPr="00D06C24">
        <w:rPr>
          <w:rFonts w:cs="Arial"/>
          <w:bCs/>
        </w:rPr>
        <w:t>.</w:t>
      </w:r>
    </w:p>
    <w:p w:rsidR="00D06C24" w:rsidRPr="00D06C24" w:rsidRDefault="00D06C24" w:rsidP="00D06C24">
      <w:pPr>
        <w:pStyle w:val="Prrafodelista"/>
        <w:spacing w:before="100" w:beforeAutospacing="1" w:after="100" w:afterAutospacing="1" w:line="240" w:lineRule="auto"/>
        <w:ind w:left="720"/>
        <w:contextualSpacing/>
        <w:jc w:val="both"/>
        <w:rPr>
          <w:rFonts w:cs="Arial"/>
          <w:bCs/>
        </w:rPr>
      </w:pPr>
    </w:p>
    <w:p w:rsidR="00F62EE8" w:rsidRPr="00D06C24" w:rsidRDefault="00F62EE8" w:rsidP="00A44A2B">
      <w:pPr>
        <w:pStyle w:val="Prrafodelista"/>
        <w:numPr>
          <w:ilvl w:val="0"/>
          <w:numId w:val="39"/>
        </w:numPr>
        <w:spacing w:before="100" w:beforeAutospacing="1" w:after="100" w:afterAutospacing="1" w:line="240" w:lineRule="auto"/>
        <w:contextualSpacing/>
        <w:jc w:val="both"/>
        <w:rPr>
          <w:rFonts w:cs="Arial"/>
          <w:bCs/>
        </w:rPr>
      </w:pPr>
      <w:r w:rsidRPr="00D06C24">
        <w:rPr>
          <w:rFonts w:cs="Arial"/>
          <w:bCs/>
        </w:rPr>
        <w:t>Socialización de los compromisos de la Tutela N° 2016-097-01, Fundación para la Atención de la niñez en el departamento del Chocó –FANICH-, relacionada con la niñez indígena en el Departamento del Chocó.</w:t>
      </w:r>
    </w:p>
    <w:p w:rsidR="00D06C24" w:rsidRPr="00D06C24" w:rsidRDefault="00D06C24" w:rsidP="00D06C24">
      <w:pPr>
        <w:pStyle w:val="Prrafodelista"/>
        <w:spacing w:before="100" w:beforeAutospacing="1" w:after="100" w:afterAutospacing="1" w:line="240" w:lineRule="auto"/>
        <w:ind w:left="720"/>
        <w:contextualSpacing/>
        <w:jc w:val="both"/>
        <w:rPr>
          <w:rFonts w:cs="Arial"/>
          <w:bCs/>
        </w:rPr>
      </w:pPr>
    </w:p>
    <w:p w:rsidR="00F62EE8" w:rsidRPr="00D06C24" w:rsidRDefault="00F62EE8" w:rsidP="00A44A2B">
      <w:pPr>
        <w:pStyle w:val="Prrafodelista"/>
        <w:numPr>
          <w:ilvl w:val="0"/>
          <w:numId w:val="39"/>
        </w:numPr>
        <w:spacing w:before="100" w:beforeAutospacing="1" w:after="100" w:afterAutospacing="1" w:line="240" w:lineRule="auto"/>
        <w:contextualSpacing/>
        <w:jc w:val="both"/>
        <w:rPr>
          <w:rFonts w:cs="Arial"/>
          <w:bCs/>
        </w:rPr>
      </w:pPr>
      <w:r w:rsidRPr="00D06C24">
        <w:rPr>
          <w:rFonts w:cs="Arial"/>
          <w:bCs/>
        </w:rPr>
        <w:t>Se estableció un diálogo con el señor Gobernador del departamento del Chocó, los alcaldes de Lloró, Rio Sucio y los delegados de los municipios de Bagadó y Bojaya en la ciudad de Quibdó, los días 28 y 30 de junio, con el fin de socializar las medidas urgentes y estructurales contempladas en la Acción de Tutela. Se establecieron los siguientes compromisos de articulación y gestión en lo que le compete al ICBF como rector del Sistema Nacional de Bienestar Familiar:</w:t>
      </w:r>
    </w:p>
    <w:p w:rsidR="00C73C1C" w:rsidRPr="007608C2" w:rsidRDefault="00C73C1C" w:rsidP="00C73C1C">
      <w:pPr>
        <w:pStyle w:val="Prrafodelista"/>
        <w:spacing w:before="100" w:beforeAutospacing="1" w:after="100" w:afterAutospacing="1" w:line="240" w:lineRule="auto"/>
        <w:ind w:left="720"/>
        <w:contextualSpacing/>
        <w:jc w:val="both"/>
        <w:rPr>
          <w:rFonts w:cs="Arial"/>
        </w:rPr>
      </w:pPr>
    </w:p>
    <w:tbl>
      <w:tblPr>
        <w:tblStyle w:val="Tablaconcuadrcula"/>
        <w:tblW w:w="0" w:type="auto"/>
        <w:jc w:val="center"/>
        <w:tblBorders>
          <w:top w:val="single" w:sz="4" w:space="0" w:color="76922E"/>
          <w:left w:val="single" w:sz="4" w:space="0" w:color="76922E"/>
          <w:bottom w:val="single" w:sz="4" w:space="0" w:color="76922E"/>
          <w:right w:val="single" w:sz="4" w:space="0" w:color="76922E"/>
          <w:insideH w:val="single" w:sz="4" w:space="0" w:color="76922E"/>
          <w:insideV w:val="single" w:sz="4" w:space="0" w:color="76922E"/>
        </w:tblBorders>
        <w:tblLook w:val="04A0" w:firstRow="1" w:lastRow="0" w:firstColumn="1" w:lastColumn="0" w:noHBand="0" w:noVBand="1"/>
      </w:tblPr>
      <w:tblGrid>
        <w:gridCol w:w="9395"/>
      </w:tblGrid>
      <w:tr w:rsidR="00F62EE8" w:rsidRPr="00D06C24" w:rsidTr="00D06C24">
        <w:trPr>
          <w:jc w:val="center"/>
        </w:trPr>
        <w:tc>
          <w:tcPr>
            <w:tcW w:w="0" w:type="auto"/>
            <w:shd w:val="clear" w:color="auto" w:fill="76922E"/>
          </w:tcPr>
          <w:p w:rsidR="00F62EE8" w:rsidRPr="00D06C24" w:rsidRDefault="00F62EE8" w:rsidP="007509AA">
            <w:pPr>
              <w:pStyle w:val="Prrafodelista"/>
              <w:spacing w:before="100" w:beforeAutospacing="1" w:after="100" w:afterAutospacing="1" w:line="240" w:lineRule="auto"/>
              <w:ind w:left="0"/>
              <w:contextualSpacing/>
              <w:jc w:val="center"/>
              <w:rPr>
                <w:rFonts w:cs="Arial"/>
                <w:b/>
                <w:sz w:val="20"/>
                <w:szCs w:val="20"/>
              </w:rPr>
            </w:pPr>
            <w:r w:rsidRPr="00D06C24">
              <w:rPr>
                <w:rFonts w:cs="Arial"/>
                <w:b/>
                <w:color w:val="FFFFFF" w:themeColor="background1"/>
                <w:sz w:val="20"/>
                <w:szCs w:val="20"/>
              </w:rPr>
              <w:t>Compromisos de articulación y gestión Tutela No. 2016-097-01 Chocó</w:t>
            </w:r>
          </w:p>
        </w:tc>
      </w:tr>
      <w:tr w:rsidR="00F62EE8" w:rsidRPr="00D06C24" w:rsidTr="00D06C24">
        <w:trPr>
          <w:jc w:val="center"/>
        </w:trPr>
        <w:tc>
          <w:tcPr>
            <w:tcW w:w="0" w:type="auto"/>
          </w:tcPr>
          <w:p w:rsidR="00F62EE8" w:rsidRPr="00D06C24" w:rsidRDefault="00F62EE8" w:rsidP="007509AA">
            <w:pPr>
              <w:pStyle w:val="Prrafodelista"/>
              <w:spacing w:before="100" w:beforeAutospacing="1" w:after="100" w:afterAutospacing="1" w:line="240" w:lineRule="auto"/>
              <w:ind w:left="0"/>
              <w:contextualSpacing/>
              <w:jc w:val="both"/>
              <w:rPr>
                <w:rFonts w:cs="Arial"/>
                <w:sz w:val="20"/>
                <w:szCs w:val="20"/>
              </w:rPr>
            </w:pPr>
            <w:r w:rsidRPr="00D06C24">
              <w:rPr>
                <w:rFonts w:cs="Arial"/>
                <w:sz w:val="20"/>
                <w:szCs w:val="20"/>
              </w:rPr>
              <w:t>Establecer mesas de trabajo conjunto con la Gobernación del Chocó, alcaldías (Riosucio, Lloró, Bagadó, Bojayá, Pie Pato, Pizarro) y el ICBF a través la Dirección del SNBF, para definir la ruta de trabajo conforme a las orientaciones dadas por el Departamento Administrativo de la Presidencia de la República –DAPRE-, con el fin de dar cumplimiento a las medidas urgentes y estructurales a favor de la niñez.</w:t>
            </w:r>
          </w:p>
        </w:tc>
      </w:tr>
      <w:tr w:rsidR="00F62EE8" w:rsidRPr="00D06C24" w:rsidTr="00D06C24">
        <w:trPr>
          <w:jc w:val="center"/>
        </w:trPr>
        <w:tc>
          <w:tcPr>
            <w:tcW w:w="0" w:type="auto"/>
          </w:tcPr>
          <w:p w:rsidR="00F62EE8" w:rsidRPr="00D06C24" w:rsidRDefault="00F62EE8" w:rsidP="007509AA">
            <w:pPr>
              <w:pStyle w:val="Prrafodelista"/>
              <w:spacing w:before="100" w:beforeAutospacing="1" w:after="100" w:afterAutospacing="1" w:line="240" w:lineRule="auto"/>
              <w:ind w:left="0"/>
              <w:contextualSpacing/>
              <w:jc w:val="both"/>
              <w:rPr>
                <w:rFonts w:cs="Arial"/>
                <w:sz w:val="20"/>
                <w:szCs w:val="20"/>
              </w:rPr>
            </w:pPr>
            <w:r w:rsidRPr="00D06C24">
              <w:rPr>
                <w:rFonts w:cs="Arial"/>
                <w:sz w:val="20"/>
                <w:szCs w:val="20"/>
              </w:rPr>
              <w:t>La Gobernación, los alcaldes de Lloró, Riosucio y los delegados de Bagadó y Bojayá participantes de la reunión, están en disposición de apoyar el plan de trabajo conjunto coordinado por el DAPRE, para levantar línea base de los programas con que cuentan los entes territoriales para atender a la niñez.</w:t>
            </w:r>
          </w:p>
        </w:tc>
      </w:tr>
      <w:tr w:rsidR="00F62EE8" w:rsidRPr="00D06C24" w:rsidTr="00D06C24">
        <w:trPr>
          <w:jc w:val="center"/>
        </w:trPr>
        <w:tc>
          <w:tcPr>
            <w:tcW w:w="0" w:type="auto"/>
          </w:tcPr>
          <w:p w:rsidR="00F62EE8" w:rsidRPr="00D06C24" w:rsidRDefault="00F62EE8" w:rsidP="007509AA">
            <w:pPr>
              <w:pStyle w:val="Prrafodelista"/>
              <w:spacing w:before="100" w:beforeAutospacing="1" w:after="100" w:afterAutospacing="1" w:line="240" w:lineRule="auto"/>
              <w:ind w:left="0"/>
              <w:contextualSpacing/>
              <w:jc w:val="both"/>
              <w:rPr>
                <w:rFonts w:cs="Arial"/>
                <w:sz w:val="20"/>
                <w:szCs w:val="20"/>
              </w:rPr>
            </w:pPr>
            <w:r w:rsidRPr="00D06C24">
              <w:rPr>
                <w:rFonts w:cs="Arial"/>
                <w:sz w:val="20"/>
                <w:szCs w:val="20"/>
              </w:rPr>
              <w:t>Con base en el levantamiento de la línea base de los programas con los que cuentan los entes territoriales, se aportará para la construcción del plan de acción con metas a corto, mediano y largo plazo para dar cumplimiento a las medidas contempladas en la tutela.</w:t>
            </w:r>
          </w:p>
        </w:tc>
      </w:tr>
      <w:tr w:rsidR="00F62EE8" w:rsidRPr="00D06C24" w:rsidTr="00D06C24">
        <w:trPr>
          <w:jc w:val="center"/>
        </w:trPr>
        <w:tc>
          <w:tcPr>
            <w:tcW w:w="0" w:type="auto"/>
          </w:tcPr>
          <w:p w:rsidR="00F62EE8" w:rsidRPr="00D06C24" w:rsidRDefault="00F62EE8" w:rsidP="007509AA">
            <w:pPr>
              <w:pStyle w:val="Prrafodelista"/>
              <w:spacing w:before="100" w:beforeAutospacing="1" w:after="100" w:afterAutospacing="1" w:line="240" w:lineRule="auto"/>
              <w:ind w:left="0"/>
              <w:contextualSpacing/>
              <w:jc w:val="both"/>
              <w:rPr>
                <w:rFonts w:cs="Arial"/>
                <w:sz w:val="20"/>
                <w:szCs w:val="20"/>
              </w:rPr>
            </w:pPr>
            <w:r w:rsidRPr="00D06C24">
              <w:rPr>
                <w:rFonts w:cs="Arial"/>
                <w:sz w:val="20"/>
                <w:szCs w:val="20"/>
              </w:rPr>
              <w:t>Realizar una reunión de trabajo convocada por la Gobernación, con el fin de levantar un diagnóstico situacional que recoja todas las situaciones críticas que afecta la niñez.</w:t>
            </w:r>
          </w:p>
        </w:tc>
      </w:tr>
    </w:tbl>
    <w:p w:rsidR="00F62EE8" w:rsidRPr="007608C2" w:rsidRDefault="00F62EE8" w:rsidP="00A44A2B">
      <w:pPr>
        <w:pStyle w:val="Prrafodelista"/>
        <w:numPr>
          <w:ilvl w:val="0"/>
          <w:numId w:val="39"/>
        </w:numPr>
        <w:spacing w:before="100" w:beforeAutospacing="1" w:after="100" w:afterAutospacing="1" w:line="240" w:lineRule="auto"/>
        <w:contextualSpacing/>
        <w:jc w:val="both"/>
        <w:rPr>
          <w:rFonts w:cs="Arial"/>
        </w:rPr>
      </w:pPr>
      <w:r w:rsidRPr="007608C2">
        <w:rPr>
          <w:rFonts w:cs="Arial"/>
        </w:rPr>
        <w:t>Asimismo, el 13 de julio de 2017 se realizó una presentación del fallo de tutela en el marco de la sesión del Comité Ejecutivo del Sistema Nacional de Bienestar Familiar, en tanto instancia de operación, planificación y evaluación de acciones del SNBF, en donde se acordó, una vez finalizada la etapa de recopilación, consolidación y análisis de información recolectada bajo la coordinación de la Presidencia de la República, se realizará un taller de trabajo amplio con la participación de varias entidades, a fin de trabajar los mecanismos y procesos de articulación y adecuación de la oferta para poder generar respuestas integrales desde las acciones del Gobierno</w:t>
      </w:r>
    </w:p>
    <w:p w:rsidR="00F62EE8" w:rsidRPr="007608C2" w:rsidRDefault="00F62EE8" w:rsidP="00F62EE8">
      <w:pPr>
        <w:spacing w:before="100" w:beforeAutospacing="1" w:after="100" w:afterAutospacing="1" w:line="240" w:lineRule="auto"/>
        <w:jc w:val="both"/>
        <w:rPr>
          <w:rFonts w:cs="Arial"/>
        </w:rPr>
      </w:pPr>
      <w:r w:rsidRPr="007608C2">
        <w:rPr>
          <w:rFonts w:cs="Arial"/>
        </w:rPr>
        <w:t>Por otro lado, el ICBF desarrolló un  Convenio de Asociación No 1299 suscrito el 15 de mayo de 2017 con el Fondo de las Naciones Unidas para la Infancia UNICEF y la Fundación Save the Children Colombia con el objeto de “</w:t>
      </w:r>
      <w:r w:rsidRPr="007608C2">
        <w:rPr>
          <w:rFonts w:cs="Arial"/>
          <w:i/>
          <w:u w:val="single"/>
        </w:rPr>
        <w:t>Aunar esfuerzos técnicos, administrativos, humanos y financieros con el fin de fortalecer la capacidad de gestión de los agentes del Sistema Nacional de Bienestar Familiar para incidir en el monitoreo e implementación de la garantía de los derechos de los niños, niñas y adolescentes y el fortalecimiento familiar en los ámbitos nacional, departamental y municipal</w:t>
      </w:r>
      <w:r w:rsidRPr="007608C2">
        <w:rPr>
          <w:rFonts w:cs="Arial"/>
        </w:rPr>
        <w:t>. Dentro de las diferentes líneas de trabajo establecidas en el convenio, se priorizaron acciones dirigidas al Departamento del Chocó que se relacionan a continuación:</w:t>
      </w:r>
    </w:p>
    <w:tbl>
      <w:tblPr>
        <w:tblStyle w:val="Tablaconcuadrcula"/>
        <w:tblW w:w="0" w:type="auto"/>
        <w:jc w:val="center"/>
        <w:tblBorders>
          <w:top w:val="single" w:sz="4" w:space="0" w:color="76922E"/>
          <w:left w:val="single" w:sz="4" w:space="0" w:color="76922E"/>
          <w:bottom w:val="single" w:sz="4" w:space="0" w:color="76922E"/>
          <w:right w:val="single" w:sz="4" w:space="0" w:color="76922E"/>
          <w:insideH w:val="single" w:sz="4" w:space="0" w:color="76922E"/>
          <w:insideV w:val="single" w:sz="4" w:space="0" w:color="76922E"/>
        </w:tblBorders>
        <w:tblLook w:val="04A0" w:firstRow="1" w:lastRow="0" w:firstColumn="1" w:lastColumn="0" w:noHBand="0" w:noVBand="1"/>
      </w:tblPr>
      <w:tblGrid>
        <w:gridCol w:w="9395"/>
      </w:tblGrid>
      <w:tr w:rsidR="00F62EE8" w:rsidRPr="00D06C24" w:rsidTr="00D06C24">
        <w:trPr>
          <w:jc w:val="center"/>
        </w:trPr>
        <w:tc>
          <w:tcPr>
            <w:tcW w:w="0" w:type="auto"/>
            <w:shd w:val="clear" w:color="auto" w:fill="76922E"/>
          </w:tcPr>
          <w:p w:rsidR="00F62EE8" w:rsidRPr="00D06C24" w:rsidRDefault="00F62EE8" w:rsidP="007509AA">
            <w:pPr>
              <w:pStyle w:val="Prrafodelista"/>
              <w:spacing w:before="100" w:beforeAutospacing="1" w:after="100" w:afterAutospacing="1" w:line="240" w:lineRule="auto"/>
              <w:ind w:left="0"/>
              <w:contextualSpacing/>
              <w:jc w:val="center"/>
              <w:rPr>
                <w:rFonts w:cs="Arial"/>
                <w:b/>
                <w:sz w:val="20"/>
                <w:szCs w:val="20"/>
              </w:rPr>
            </w:pPr>
            <w:r w:rsidRPr="00D06C24">
              <w:rPr>
                <w:rFonts w:cs="Arial"/>
                <w:b/>
                <w:color w:val="FFFFFF" w:themeColor="background1"/>
                <w:sz w:val="20"/>
                <w:szCs w:val="20"/>
              </w:rPr>
              <w:lastRenderedPageBreak/>
              <w:t xml:space="preserve">Acciones </w:t>
            </w:r>
            <w:r w:rsidRPr="00D06C24">
              <w:rPr>
                <w:rFonts w:cs="Arial"/>
                <w:b/>
                <w:color w:val="FFFFFF" w:themeColor="background1"/>
                <w:sz w:val="20"/>
                <w:szCs w:val="20"/>
                <w:shd w:val="clear" w:color="auto" w:fill="76922E"/>
              </w:rPr>
              <w:t>dirigidas al Departamento del Chocó en el marc</w:t>
            </w:r>
            <w:r w:rsidR="00D06C24">
              <w:rPr>
                <w:rFonts w:cs="Arial"/>
                <w:b/>
                <w:color w:val="FFFFFF" w:themeColor="background1"/>
                <w:sz w:val="20"/>
                <w:szCs w:val="20"/>
                <w:shd w:val="clear" w:color="auto" w:fill="76922E"/>
              </w:rPr>
              <w:t xml:space="preserve">o del Convenio de Asociación No. </w:t>
            </w:r>
            <w:r w:rsidRPr="00D06C24">
              <w:rPr>
                <w:rFonts w:cs="Arial"/>
                <w:b/>
                <w:color w:val="FFFFFF" w:themeColor="background1"/>
                <w:sz w:val="20"/>
                <w:szCs w:val="20"/>
                <w:shd w:val="clear" w:color="auto" w:fill="76922E"/>
              </w:rPr>
              <w:t>1299</w:t>
            </w:r>
          </w:p>
        </w:tc>
      </w:tr>
      <w:tr w:rsidR="00F62EE8" w:rsidRPr="00D06C24" w:rsidTr="00D06C24">
        <w:trPr>
          <w:jc w:val="center"/>
        </w:trPr>
        <w:tc>
          <w:tcPr>
            <w:tcW w:w="0" w:type="auto"/>
          </w:tcPr>
          <w:p w:rsidR="00F62EE8" w:rsidRPr="00D06C24" w:rsidRDefault="00F62EE8" w:rsidP="007509AA">
            <w:pPr>
              <w:spacing w:before="100" w:beforeAutospacing="1" w:after="100" w:afterAutospacing="1" w:line="240" w:lineRule="auto"/>
              <w:contextualSpacing/>
              <w:jc w:val="both"/>
              <w:rPr>
                <w:rFonts w:cs="Arial"/>
                <w:sz w:val="20"/>
                <w:szCs w:val="20"/>
              </w:rPr>
            </w:pPr>
            <w:r w:rsidRPr="00D06C24">
              <w:rPr>
                <w:rFonts w:cs="Arial"/>
                <w:sz w:val="20"/>
                <w:szCs w:val="20"/>
              </w:rPr>
              <w:t xml:space="preserve">Acompañamiento técnico para la Gestión de la atención de los niños y niñas en la primera infancia, conforme a las Rutas Integrales de Atenciones para la Primera Infancia (RIA) en 14 territorios priorizados. (Unguia, Acandi, Carmen Del Darién, Riosucio, Bojaya, Medio Atrato, Rio Quito, Atrato, Tado, Istmina, Medio San Juan, Litoral Del San Juan Novita y Condoto. </w:t>
            </w:r>
          </w:p>
        </w:tc>
      </w:tr>
      <w:tr w:rsidR="00F62EE8" w:rsidRPr="00D06C24" w:rsidTr="00D06C24">
        <w:trPr>
          <w:jc w:val="center"/>
        </w:trPr>
        <w:tc>
          <w:tcPr>
            <w:tcW w:w="0" w:type="auto"/>
          </w:tcPr>
          <w:p w:rsidR="00F62EE8" w:rsidRPr="00D06C24" w:rsidRDefault="00F62EE8" w:rsidP="007509AA">
            <w:pPr>
              <w:autoSpaceDE w:val="0"/>
              <w:autoSpaceDN w:val="0"/>
              <w:adjustRightInd w:val="0"/>
              <w:spacing w:before="100" w:beforeAutospacing="1" w:after="100" w:afterAutospacing="1" w:line="240" w:lineRule="auto"/>
              <w:contextualSpacing/>
              <w:jc w:val="both"/>
              <w:rPr>
                <w:rFonts w:cs="Arial"/>
                <w:sz w:val="20"/>
                <w:szCs w:val="20"/>
              </w:rPr>
            </w:pPr>
            <w:r w:rsidRPr="00D06C24">
              <w:rPr>
                <w:rFonts w:cs="Arial"/>
                <w:sz w:val="20"/>
                <w:szCs w:val="20"/>
              </w:rPr>
              <w:t xml:space="preserve">Asistencia técnica a las entidades territoriales priorizadas con la presentación y socialización de la herramienta tecnológica que facilitará el proceso de </w:t>
            </w:r>
            <w:r w:rsidRPr="00D06C24">
              <w:rPr>
                <w:rFonts w:cs="Arial"/>
                <w:sz w:val="20"/>
                <w:szCs w:val="20"/>
                <w:lang w:eastAsia="es-CO"/>
              </w:rPr>
              <w:t xml:space="preserve">la Implementación territorial de la Política de Estado para el Desarrollo Integral de la Primera Infancia </w:t>
            </w:r>
            <w:r w:rsidRPr="00D06C24">
              <w:rPr>
                <w:rFonts w:cs="Arial"/>
                <w:sz w:val="20"/>
                <w:szCs w:val="20"/>
              </w:rPr>
              <w:t>y permitirá registrar los desarrollos que vaya teniendo en el territorio.</w:t>
            </w:r>
          </w:p>
        </w:tc>
      </w:tr>
      <w:tr w:rsidR="00F62EE8" w:rsidRPr="00D06C24" w:rsidTr="00D06C24">
        <w:trPr>
          <w:jc w:val="center"/>
        </w:trPr>
        <w:tc>
          <w:tcPr>
            <w:tcW w:w="0" w:type="auto"/>
          </w:tcPr>
          <w:p w:rsidR="00F62EE8" w:rsidRPr="00D06C24" w:rsidRDefault="00F62EE8" w:rsidP="007509AA">
            <w:pPr>
              <w:spacing w:before="100" w:beforeAutospacing="1" w:after="100" w:afterAutospacing="1" w:line="240" w:lineRule="auto"/>
              <w:contextualSpacing/>
              <w:jc w:val="both"/>
              <w:rPr>
                <w:rFonts w:cs="Arial"/>
                <w:sz w:val="20"/>
                <w:szCs w:val="20"/>
              </w:rPr>
            </w:pPr>
            <w:r w:rsidRPr="00D06C24">
              <w:rPr>
                <w:rFonts w:eastAsia="Times New Roman" w:cs="Arial"/>
                <w:sz w:val="20"/>
                <w:szCs w:val="20"/>
                <w:lang w:eastAsia="es-ES"/>
              </w:rPr>
              <w:t xml:space="preserve">En la actualidad se está </w:t>
            </w:r>
            <w:r w:rsidRPr="00D06C24">
              <w:rPr>
                <w:rFonts w:cs="Arial"/>
                <w:sz w:val="20"/>
                <w:szCs w:val="20"/>
                <w:lang w:eastAsia="es-ES"/>
              </w:rPr>
              <w:t xml:space="preserve">trabajando en el diseño de una metodología sistemática y comprensiva que permita </w:t>
            </w:r>
            <w:r w:rsidRPr="00D06C24">
              <w:rPr>
                <w:rFonts w:cs="Arial"/>
                <w:b/>
                <w:sz w:val="20"/>
                <w:szCs w:val="20"/>
                <w:u w:val="single"/>
                <w:lang w:eastAsia="es-ES"/>
              </w:rPr>
              <w:t>realizar un análisis situacional de los derechos de la niñez</w:t>
            </w:r>
            <w:r w:rsidRPr="00D06C24">
              <w:rPr>
                <w:rFonts w:cs="Arial"/>
                <w:sz w:val="20"/>
                <w:szCs w:val="20"/>
                <w:lang w:eastAsia="es-ES"/>
              </w:rPr>
              <w:t xml:space="preserve"> en los municipios priorizados como Quibdó y Lloró.  Dicho análisis abordara los siguientes tres aspectos: a) Revisión de las tendencias, avances y rezagos en el ejercicio de los derechos de niños, niñas y adolescentes; b) Análisis de las causas y factores determinantes de la vulneración de sus derechos; y c) Elaboración de recomendaciones y acciones para superar los cuellos de botella identificados, con base en la evidencia y las lecciones aprendidas de las actividades que ha implementado el Estado. </w:t>
            </w:r>
          </w:p>
        </w:tc>
      </w:tr>
      <w:tr w:rsidR="00F62EE8" w:rsidRPr="00D06C24" w:rsidTr="00D06C24">
        <w:trPr>
          <w:jc w:val="center"/>
        </w:trPr>
        <w:tc>
          <w:tcPr>
            <w:tcW w:w="0" w:type="auto"/>
          </w:tcPr>
          <w:p w:rsidR="00F62EE8" w:rsidRPr="00D06C24" w:rsidRDefault="00F62EE8" w:rsidP="007509AA">
            <w:pPr>
              <w:pStyle w:val="Prrafodelista"/>
              <w:spacing w:before="100" w:beforeAutospacing="1" w:after="100" w:afterAutospacing="1" w:line="240" w:lineRule="auto"/>
              <w:ind w:left="0"/>
              <w:contextualSpacing/>
              <w:jc w:val="both"/>
              <w:rPr>
                <w:rFonts w:cs="Arial"/>
                <w:sz w:val="20"/>
                <w:szCs w:val="20"/>
              </w:rPr>
            </w:pPr>
            <w:r w:rsidRPr="00D06C24">
              <w:rPr>
                <w:rFonts w:cs="Arial"/>
                <w:sz w:val="20"/>
                <w:szCs w:val="20"/>
              </w:rPr>
              <w:t>Realizar una reunión de trabajo convocada por la Gobernación, con el fin de levantar un diagnóstico situacional que recoja todas las situaciones críticas que afecta la niñez.</w:t>
            </w:r>
          </w:p>
        </w:tc>
      </w:tr>
      <w:tr w:rsidR="00F62EE8" w:rsidRPr="00D06C24" w:rsidTr="00D06C24">
        <w:trPr>
          <w:jc w:val="center"/>
        </w:trPr>
        <w:tc>
          <w:tcPr>
            <w:tcW w:w="0" w:type="auto"/>
          </w:tcPr>
          <w:p w:rsidR="00F62EE8" w:rsidRPr="00D06C24" w:rsidRDefault="00F62EE8" w:rsidP="007509AA">
            <w:pPr>
              <w:spacing w:before="100" w:beforeAutospacing="1" w:after="100" w:afterAutospacing="1" w:line="240" w:lineRule="auto"/>
              <w:contextualSpacing/>
              <w:jc w:val="both"/>
              <w:rPr>
                <w:rFonts w:cs="Arial"/>
                <w:bCs/>
                <w:iCs/>
                <w:sz w:val="20"/>
                <w:szCs w:val="20"/>
                <w:lang w:eastAsia="es-ES"/>
              </w:rPr>
            </w:pPr>
          </w:p>
          <w:p w:rsidR="00F62EE8" w:rsidRPr="00D06C24" w:rsidRDefault="00F62EE8" w:rsidP="007509AA">
            <w:pPr>
              <w:spacing w:before="100" w:beforeAutospacing="1" w:after="100" w:afterAutospacing="1" w:line="240" w:lineRule="auto"/>
              <w:contextualSpacing/>
              <w:jc w:val="both"/>
              <w:rPr>
                <w:rFonts w:cs="Arial"/>
                <w:sz w:val="20"/>
                <w:szCs w:val="20"/>
                <w:lang w:eastAsia="es-ES"/>
              </w:rPr>
            </w:pPr>
            <w:r w:rsidRPr="00D06C24">
              <w:rPr>
                <w:rFonts w:cs="Arial"/>
                <w:bCs/>
                <w:iCs/>
                <w:sz w:val="20"/>
                <w:szCs w:val="20"/>
                <w:lang w:eastAsia="es-ES"/>
              </w:rPr>
              <w:t xml:space="preserve">Se inició con el desarrollo de la fase de alistamiento de la estrategia “Territorios Amigos de la Niñez (TAN)” </w:t>
            </w:r>
            <w:r w:rsidRPr="00D06C24">
              <w:rPr>
                <w:rFonts w:cs="Arial"/>
                <w:sz w:val="20"/>
                <w:szCs w:val="20"/>
              </w:rPr>
              <w:t xml:space="preserve">con el fin de reconocer los esfuerzos de los territorios en torno al desarrollo sostenible, poniendo a la niñez en el centro de las decisiones para el caso del Chocó se priorizo la </w:t>
            </w:r>
            <w:r w:rsidRPr="00D06C24">
              <w:rPr>
                <w:rFonts w:cs="Arial"/>
                <w:sz w:val="20"/>
                <w:szCs w:val="20"/>
                <w:lang w:eastAsia="es-ES"/>
              </w:rPr>
              <w:t xml:space="preserve">Gobernación, Nuquí, Bahía Solano y Jurado los cuales como cuenta con los siguientes temas de trabajo: </w:t>
            </w:r>
          </w:p>
          <w:p w:rsidR="00F62EE8" w:rsidRPr="00D06C24" w:rsidRDefault="00F62EE8" w:rsidP="00A44A2B">
            <w:pPr>
              <w:pStyle w:val="Prrafodelista"/>
              <w:numPr>
                <w:ilvl w:val="0"/>
                <w:numId w:val="41"/>
              </w:numPr>
              <w:spacing w:before="100" w:beforeAutospacing="1" w:after="100" w:afterAutospacing="1" w:line="240" w:lineRule="auto"/>
              <w:contextualSpacing/>
              <w:jc w:val="both"/>
              <w:rPr>
                <w:rFonts w:cs="Arial"/>
                <w:sz w:val="20"/>
                <w:szCs w:val="20"/>
                <w:lang w:eastAsia="es-ES"/>
              </w:rPr>
            </w:pPr>
            <w:r w:rsidRPr="00D06C24">
              <w:rPr>
                <w:rFonts w:cs="Arial"/>
                <w:b/>
                <w:sz w:val="20"/>
                <w:szCs w:val="20"/>
                <w:lang w:eastAsia="es-ES"/>
              </w:rPr>
              <w:t>Gestión del Riesgo</w:t>
            </w:r>
            <w:r w:rsidRPr="00D06C24">
              <w:rPr>
                <w:rFonts w:cs="Arial"/>
                <w:sz w:val="20"/>
                <w:szCs w:val="20"/>
                <w:lang w:eastAsia="es-ES"/>
              </w:rPr>
              <w:t>: enfocado en identificar los actores e instancias responsables de la respuesta en emergencia y si existían acciones diferenciales en materia de niñez.</w:t>
            </w:r>
          </w:p>
          <w:p w:rsidR="00F62EE8" w:rsidRPr="00D06C24" w:rsidRDefault="00F62EE8" w:rsidP="00A44A2B">
            <w:pPr>
              <w:pStyle w:val="Prrafodelista"/>
              <w:numPr>
                <w:ilvl w:val="2"/>
                <w:numId w:val="41"/>
              </w:numPr>
              <w:spacing w:before="100" w:beforeAutospacing="1" w:after="100" w:afterAutospacing="1" w:line="240" w:lineRule="auto"/>
              <w:ind w:left="720"/>
              <w:contextualSpacing/>
              <w:jc w:val="both"/>
              <w:rPr>
                <w:rFonts w:cs="Arial"/>
                <w:sz w:val="20"/>
                <w:szCs w:val="20"/>
                <w:lang w:eastAsia="es-ES"/>
              </w:rPr>
            </w:pPr>
            <w:r w:rsidRPr="00D06C24">
              <w:rPr>
                <w:rFonts w:cs="Arial"/>
                <w:b/>
                <w:sz w:val="20"/>
                <w:szCs w:val="20"/>
                <w:lang w:eastAsia="es-ES"/>
              </w:rPr>
              <w:t>Participación con enfoque étnico</w:t>
            </w:r>
            <w:r w:rsidRPr="00D06C24">
              <w:rPr>
                <w:rFonts w:cs="Arial"/>
                <w:sz w:val="20"/>
                <w:szCs w:val="20"/>
                <w:lang w:eastAsia="es-ES"/>
              </w:rPr>
              <w:t>: con el objetivo de precisar las orientaciones para la Guía de participación efectiva de niños, niñas y adolescentes con enfoque étnico.</w:t>
            </w:r>
          </w:p>
          <w:p w:rsidR="00F62EE8" w:rsidRPr="00D06C24" w:rsidRDefault="00F62EE8" w:rsidP="00A44A2B">
            <w:pPr>
              <w:pStyle w:val="Prrafodelista"/>
              <w:numPr>
                <w:ilvl w:val="2"/>
                <w:numId w:val="41"/>
              </w:numPr>
              <w:spacing w:before="100" w:beforeAutospacing="1" w:after="100" w:afterAutospacing="1" w:line="240" w:lineRule="auto"/>
              <w:ind w:left="720"/>
              <w:contextualSpacing/>
              <w:jc w:val="both"/>
              <w:rPr>
                <w:rFonts w:cs="Arial"/>
                <w:sz w:val="20"/>
                <w:szCs w:val="20"/>
                <w:lang w:eastAsia="es-ES"/>
              </w:rPr>
            </w:pPr>
            <w:r w:rsidRPr="00D06C24">
              <w:rPr>
                <w:rFonts w:cs="Arial"/>
                <w:b/>
                <w:sz w:val="20"/>
                <w:szCs w:val="20"/>
                <w:lang w:eastAsia="es-ES"/>
              </w:rPr>
              <w:t>Discapacidad e instrumentos de política para Plan de acción del SNBF:</w:t>
            </w:r>
            <w:r w:rsidRPr="00D06C24">
              <w:rPr>
                <w:rFonts w:cs="Arial"/>
                <w:sz w:val="20"/>
                <w:szCs w:val="20"/>
                <w:lang w:eastAsia="es-ES"/>
              </w:rPr>
              <w:t xml:space="preserve"> identificación de instrumentos de política y de planeación existentes en el territorio, que incluyan acciones dirigidas a la niñez y al fortalecimiento familiar, así como, el reconocimiento de las instancias y agentes presentes en el territorio que desarrollan dichas acciones. En los cuatro territorios ya se dio inicio a la formulación del plan de acción del SNBF, con el fin de generar un proceso de articulación y coordinación de las acciones de todos los agentes e instancias que hacen parte de este sistema en el territorio, desde una lógica de formulación intersectorial e Inter sistémica. </w:t>
            </w:r>
            <w:r w:rsidRPr="00D06C24">
              <w:rPr>
                <w:rFonts w:cs="Arial"/>
                <w:b/>
                <w:sz w:val="20"/>
                <w:szCs w:val="20"/>
                <w:lang w:eastAsia="es-ES"/>
              </w:rPr>
              <w:t xml:space="preserve">Actores públicos y privados: </w:t>
            </w:r>
            <w:r w:rsidRPr="00D06C24">
              <w:rPr>
                <w:rFonts w:cs="Arial"/>
                <w:sz w:val="20"/>
                <w:szCs w:val="20"/>
                <w:lang w:eastAsia="es-ES"/>
              </w:rPr>
              <w:t>con el objetivo de identificar las acciones realizadas por actores de diversas naturalezas en los diferentes departamentos y municipios en favor de la niñez.</w:t>
            </w:r>
          </w:p>
          <w:p w:rsidR="00F62EE8" w:rsidRPr="00D06C24" w:rsidRDefault="00F62EE8" w:rsidP="00A44A2B">
            <w:pPr>
              <w:pStyle w:val="Prrafodelista"/>
              <w:numPr>
                <w:ilvl w:val="2"/>
                <w:numId w:val="41"/>
              </w:numPr>
              <w:spacing w:before="100" w:beforeAutospacing="1" w:after="100" w:afterAutospacing="1" w:line="240" w:lineRule="auto"/>
              <w:ind w:left="720"/>
              <w:contextualSpacing/>
              <w:jc w:val="both"/>
              <w:rPr>
                <w:rFonts w:cs="Arial"/>
                <w:sz w:val="20"/>
                <w:szCs w:val="20"/>
                <w:lang w:eastAsia="es-ES"/>
              </w:rPr>
            </w:pPr>
            <w:r w:rsidRPr="00D06C24">
              <w:rPr>
                <w:rFonts w:cs="Arial"/>
                <w:b/>
                <w:sz w:val="20"/>
                <w:szCs w:val="20"/>
                <w:lang w:eastAsia="es-ES"/>
              </w:rPr>
              <w:t>Financiamiento:</w:t>
            </w:r>
            <w:r w:rsidRPr="00D06C24">
              <w:rPr>
                <w:rFonts w:cs="Arial"/>
                <w:sz w:val="20"/>
                <w:szCs w:val="20"/>
                <w:lang w:eastAsia="es-ES"/>
              </w:rPr>
              <w:t xml:space="preserve"> el levantamiento de la información prevista permitirá construir orientaciones para la asistencia técnica en la planeación y presupuestación de acciones dirigidas a los niños, niñas y adolescentes en los diferentes departamentos y municipios.</w:t>
            </w:r>
          </w:p>
          <w:p w:rsidR="00F62EE8" w:rsidRDefault="00F62EE8" w:rsidP="00A44A2B">
            <w:pPr>
              <w:pStyle w:val="Prrafodelista"/>
              <w:numPr>
                <w:ilvl w:val="2"/>
                <w:numId w:val="41"/>
              </w:numPr>
              <w:spacing w:before="100" w:beforeAutospacing="1" w:after="100" w:afterAutospacing="1" w:line="240" w:lineRule="auto"/>
              <w:ind w:left="720"/>
              <w:contextualSpacing/>
              <w:jc w:val="both"/>
              <w:rPr>
                <w:rFonts w:cs="Arial"/>
                <w:sz w:val="20"/>
                <w:szCs w:val="20"/>
                <w:lang w:eastAsia="es-ES"/>
              </w:rPr>
            </w:pPr>
            <w:r w:rsidRPr="00D06C24">
              <w:rPr>
                <w:rFonts w:cs="Arial"/>
                <w:sz w:val="20"/>
                <w:szCs w:val="20"/>
                <w:lang w:eastAsia="es-ES"/>
              </w:rPr>
              <w:t>En los tres municipios, Juradó, Bahía Solano y Nuquí, se re-estructuraron los proyectos de inversión que se habían formulado en el segundo semestre de 2016, y se cuenta con sus respectivos planes operativos. Lo proyectos de inversión que se han acompañado a formular en el marco de la alianza entre SNBF, Save the Children y Unicef, atienden las siguientes temáticas:</w:t>
            </w:r>
          </w:p>
          <w:p w:rsidR="00D06C24" w:rsidRPr="00D06C24" w:rsidRDefault="00D06C24" w:rsidP="00D06C24">
            <w:pPr>
              <w:pStyle w:val="Prrafodelista"/>
              <w:spacing w:before="100" w:beforeAutospacing="1" w:after="100" w:afterAutospacing="1" w:line="240" w:lineRule="auto"/>
              <w:ind w:left="720"/>
              <w:contextualSpacing/>
              <w:jc w:val="both"/>
              <w:rPr>
                <w:rFonts w:cs="Arial"/>
                <w:sz w:val="20"/>
                <w:szCs w:val="20"/>
                <w:lang w:eastAsia="es-ES"/>
              </w:rPr>
            </w:pPr>
          </w:p>
          <w:p w:rsidR="00F62EE8" w:rsidRPr="00D06C24" w:rsidRDefault="00F62EE8" w:rsidP="00A44A2B">
            <w:pPr>
              <w:pStyle w:val="Prrafodelista"/>
              <w:numPr>
                <w:ilvl w:val="0"/>
                <w:numId w:val="40"/>
              </w:numPr>
              <w:spacing w:before="100" w:beforeAutospacing="1" w:after="100" w:afterAutospacing="1" w:line="240" w:lineRule="auto"/>
              <w:ind w:left="1645"/>
              <w:contextualSpacing/>
              <w:jc w:val="both"/>
              <w:rPr>
                <w:rFonts w:cs="Arial"/>
                <w:sz w:val="20"/>
                <w:szCs w:val="20"/>
                <w:lang w:eastAsia="es-ES"/>
              </w:rPr>
            </w:pPr>
            <w:r w:rsidRPr="00D06C24">
              <w:rPr>
                <w:rFonts w:cs="Arial"/>
                <w:sz w:val="20"/>
                <w:szCs w:val="20"/>
                <w:lang w:eastAsia="es-ES"/>
              </w:rPr>
              <w:t>Juradó: Rescate de tradiciones culturales</w:t>
            </w:r>
          </w:p>
          <w:p w:rsidR="00F62EE8" w:rsidRPr="00D06C24" w:rsidRDefault="00F62EE8" w:rsidP="00A44A2B">
            <w:pPr>
              <w:pStyle w:val="Prrafodelista"/>
              <w:numPr>
                <w:ilvl w:val="0"/>
                <w:numId w:val="40"/>
              </w:numPr>
              <w:spacing w:before="100" w:beforeAutospacing="1" w:after="100" w:afterAutospacing="1" w:line="240" w:lineRule="auto"/>
              <w:ind w:left="1645"/>
              <w:contextualSpacing/>
              <w:jc w:val="both"/>
              <w:rPr>
                <w:rFonts w:cs="Arial"/>
                <w:sz w:val="20"/>
                <w:szCs w:val="20"/>
              </w:rPr>
            </w:pPr>
            <w:r w:rsidRPr="00D06C24">
              <w:rPr>
                <w:rFonts w:cs="Arial"/>
                <w:sz w:val="20"/>
                <w:szCs w:val="20"/>
              </w:rPr>
              <w:t xml:space="preserve">Bahía Solano: Ocupación sana de tiempo libre </w:t>
            </w:r>
          </w:p>
          <w:p w:rsidR="00F62EE8" w:rsidRPr="00D06C24" w:rsidRDefault="00F62EE8" w:rsidP="00A44A2B">
            <w:pPr>
              <w:pStyle w:val="Prrafodelista"/>
              <w:numPr>
                <w:ilvl w:val="0"/>
                <w:numId w:val="40"/>
              </w:numPr>
              <w:spacing w:before="100" w:beforeAutospacing="1" w:after="100" w:afterAutospacing="1" w:line="240" w:lineRule="auto"/>
              <w:ind w:left="1645"/>
              <w:contextualSpacing/>
              <w:jc w:val="both"/>
              <w:rPr>
                <w:rFonts w:cs="Arial"/>
                <w:sz w:val="20"/>
                <w:szCs w:val="20"/>
              </w:rPr>
            </w:pPr>
            <w:r w:rsidRPr="00D06C24">
              <w:rPr>
                <w:rFonts w:cs="Arial"/>
                <w:sz w:val="20"/>
                <w:szCs w:val="20"/>
              </w:rPr>
              <w:t>Nuquí: Prevención de embarazo a temprana edad</w:t>
            </w:r>
          </w:p>
          <w:p w:rsidR="00F62EE8" w:rsidRPr="00D06C24" w:rsidRDefault="00F62EE8" w:rsidP="007509AA">
            <w:pPr>
              <w:pStyle w:val="Prrafodelista"/>
              <w:spacing w:before="100" w:beforeAutospacing="1" w:after="100" w:afterAutospacing="1" w:line="240" w:lineRule="auto"/>
              <w:ind w:left="0"/>
              <w:contextualSpacing/>
              <w:jc w:val="both"/>
              <w:rPr>
                <w:rFonts w:cs="Arial"/>
                <w:sz w:val="20"/>
                <w:szCs w:val="20"/>
              </w:rPr>
            </w:pPr>
          </w:p>
        </w:tc>
      </w:tr>
    </w:tbl>
    <w:p w:rsidR="00F62EE8" w:rsidRPr="007608C2" w:rsidRDefault="00F62EE8" w:rsidP="00F62EE8">
      <w:pPr>
        <w:spacing w:before="100" w:beforeAutospacing="1" w:after="100" w:afterAutospacing="1" w:line="240" w:lineRule="auto"/>
        <w:jc w:val="both"/>
        <w:rPr>
          <w:rFonts w:cs="Arial"/>
          <w:b/>
        </w:rPr>
      </w:pPr>
      <w:r w:rsidRPr="007608C2">
        <w:rPr>
          <w:rFonts w:cs="Arial"/>
          <w:b/>
        </w:rPr>
        <w:lastRenderedPageBreak/>
        <w:t>c. Formación</w:t>
      </w:r>
    </w:p>
    <w:p w:rsidR="00F62EE8" w:rsidRPr="007608C2" w:rsidRDefault="00F62EE8" w:rsidP="00F62EE8">
      <w:pPr>
        <w:spacing w:before="100" w:beforeAutospacing="1" w:after="100" w:afterAutospacing="1" w:line="240" w:lineRule="auto"/>
        <w:jc w:val="both"/>
        <w:rPr>
          <w:rFonts w:cs="Arial"/>
        </w:rPr>
      </w:pPr>
      <w:r w:rsidRPr="007608C2">
        <w:rPr>
          <w:rFonts w:cs="Arial"/>
        </w:rPr>
        <w:t>Un aspecto fundamental de las acciones de fortalecimiento técnico es la oferta de formación. Frente a este tema se mencionan los principales logros:</w:t>
      </w:r>
    </w:p>
    <w:p w:rsidR="00F62EE8" w:rsidRPr="007608C2" w:rsidRDefault="00F62EE8" w:rsidP="00A44A2B">
      <w:pPr>
        <w:pStyle w:val="Prrafodelista"/>
        <w:numPr>
          <w:ilvl w:val="0"/>
          <w:numId w:val="36"/>
        </w:numPr>
        <w:spacing w:before="100" w:beforeAutospacing="1" w:after="100" w:afterAutospacing="1" w:line="240" w:lineRule="auto"/>
        <w:contextualSpacing/>
        <w:jc w:val="both"/>
        <w:rPr>
          <w:rFonts w:cs="Arial"/>
        </w:rPr>
      </w:pPr>
      <w:r w:rsidRPr="00D534CF">
        <w:rPr>
          <w:rFonts w:cs="Arial"/>
        </w:rPr>
        <w:t>Curso de Formación Interinstitucional en el Sistema de Responsabilidad Penal para Adolescentes:</w:t>
      </w:r>
      <w:r w:rsidR="00D534CF">
        <w:rPr>
          <w:rFonts w:cs="Arial"/>
        </w:rPr>
        <w:t xml:space="preserve"> d</w:t>
      </w:r>
      <w:r w:rsidRPr="007608C2">
        <w:rPr>
          <w:rFonts w:cs="Arial"/>
        </w:rPr>
        <w:t xml:space="preserve">urante la vigencia 2017 se formaron a </w:t>
      </w:r>
      <w:r w:rsidRPr="00706C42">
        <w:rPr>
          <w:rFonts w:cs="Arial"/>
        </w:rPr>
        <w:t>423</w:t>
      </w:r>
      <w:r w:rsidRPr="007608C2">
        <w:rPr>
          <w:rFonts w:cs="Arial"/>
          <w:b/>
          <w:bCs/>
        </w:rPr>
        <w:t xml:space="preserve"> </w:t>
      </w:r>
      <w:r w:rsidRPr="007608C2">
        <w:rPr>
          <w:rFonts w:cs="Arial"/>
        </w:rPr>
        <w:t xml:space="preserve">jueces, fiscales, defensores técnicos, defensores de familia, procuradores, funcionarios de la policía de infancia y adolescencia, de las Regionales ICBF de las alcaldías y gobernaciones y otras entidades, al igual que representantes de los operadores de servicios de SRPA de </w:t>
      </w:r>
      <w:r w:rsidRPr="007608C2">
        <w:rPr>
          <w:rFonts w:cs="Arial"/>
          <w:b/>
        </w:rPr>
        <w:t>9</w:t>
      </w:r>
      <w:r w:rsidRPr="007608C2">
        <w:rPr>
          <w:rFonts w:cs="Arial"/>
        </w:rPr>
        <w:t xml:space="preserve"> departamentos (Montería, Cartagena, San Andrés, Chocó, Sincelejo, Riohacha, Santa Marta, Yopal y Leticia). Este curso se desarrolla en articulación con la Fiscalía General de la Nación, el Consejo Superior de la Judicatura, la Escuela Judicial Rodrigo Lara Bonilla, el Ministerio de Salud y Protección Social y Unicef Colombia.</w:t>
      </w:r>
    </w:p>
    <w:p w:rsidR="00F62EE8" w:rsidRPr="007608C2" w:rsidRDefault="00F62EE8" w:rsidP="00F62EE8">
      <w:pPr>
        <w:pStyle w:val="Prrafodelista"/>
        <w:spacing w:before="100" w:beforeAutospacing="1" w:after="100" w:afterAutospacing="1" w:line="240" w:lineRule="auto"/>
        <w:ind w:left="720"/>
        <w:contextualSpacing/>
        <w:jc w:val="both"/>
        <w:rPr>
          <w:rFonts w:cs="Arial"/>
        </w:rPr>
      </w:pPr>
    </w:p>
    <w:p w:rsidR="00F62EE8" w:rsidRPr="007608C2" w:rsidRDefault="00F62EE8" w:rsidP="00F62EE8">
      <w:pPr>
        <w:pStyle w:val="Prrafodelista"/>
        <w:spacing w:before="100" w:beforeAutospacing="1" w:after="100" w:afterAutospacing="1" w:line="240" w:lineRule="auto"/>
        <w:jc w:val="both"/>
        <w:rPr>
          <w:rFonts w:cs="Arial"/>
        </w:rPr>
      </w:pPr>
      <w:r w:rsidRPr="007608C2">
        <w:rPr>
          <w:rFonts w:cs="Arial"/>
        </w:rPr>
        <w:t xml:space="preserve">Con el curso se impacta directamente en la finalidad del SRPA establecida en el Libro II del Código de la Infancia y la Adolescencia, lo cual redunda en la garantía de derechos de los adolescentes y jóvenes en conflicto de la ley penal, de la siguiente manera: </w:t>
      </w:r>
    </w:p>
    <w:p w:rsidR="00F62EE8" w:rsidRPr="004C35AF"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4C35AF">
        <w:rPr>
          <w:rFonts w:cs="Arial"/>
        </w:rPr>
        <w:t>Incremento en la utilización de medidas no privativas de la libertad impuestas por el juez a los adolescentes y jóvenes en conflicto con la ley penal de acuerdo a lo establecido en la Ley 1098 de 2006 y a</w:t>
      </w:r>
      <w:r w:rsidR="004C35AF" w:rsidRPr="004C35AF">
        <w:rPr>
          <w:rFonts w:cs="Arial"/>
        </w:rPr>
        <w:t xml:space="preserve"> la normatividad internacional.</w:t>
      </w:r>
    </w:p>
    <w:p w:rsidR="004C35AF" w:rsidRPr="004C35AF" w:rsidRDefault="004C35AF" w:rsidP="004C35AF">
      <w:pPr>
        <w:pStyle w:val="Prrafodelista"/>
        <w:autoSpaceDE w:val="0"/>
        <w:autoSpaceDN w:val="0"/>
        <w:spacing w:before="100" w:beforeAutospacing="1" w:after="100" w:afterAutospacing="1" w:line="240" w:lineRule="auto"/>
        <w:ind w:left="360"/>
        <w:contextualSpacing/>
        <w:jc w:val="both"/>
        <w:rPr>
          <w:rFonts w:cs="Arial"/>
        </w:rPr>
      </w:pPr>
    </w:p>
    <w:p w:rsidR="00F62EE8" w:rsidRPr="004C35AF"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4C35AF">
        <w:rPr>
          <w:rFonts w:cs="Arial"/>
        </w:rPr>
        <w:t>Adopción de un enfoque restaurativo en los procesos y medidas del SRPA por parte de los operadores judiciales y agentes del SNBF que integran el SRPA.</w:t>
      </w:r>
    </w:p>
    <w:p w:rsidR="004C35AF" w:rsidRPr="004C35AF" w:rsidRDefault="004C35AF" w:rsidP="004C35AF">
      <w:pPr>
        <w:pStyle w:val="Prrafodelista"/>
        <w:autoSpaceDE w:val="0"/>
        <w:autoSpaceDN w:val="0"/>
        <w:spacing w:before="100" w:beforeAutospacing="1" w:after="100" w:afterAutospacing="1" w:line="240" w:lineRule="auto"/>
        <w:ind w:left="360"/>
        <w:contextualSpacing/>
        <w:jc w:val="both"/>
        <w:rPr>
          <w:rFonts w:cs="Arial"/>
        </w:rPr>
      </w:pPr>
    </w:p>
    <w:p w:rsidR="00F62EE8" w:rsidRPr="004C35AF"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4C35AF">
        <w:rPr>
          <w:rFonts w:cs="Arial"/>
        </w:rPr>
        <w:t>Incremento en los principios de oportunidad utilizados por la Fiscalía General de la Nación, como mecanismo de des judicialización en el cual el Estado le ofrece al adolescente una atención integral por fuera del proceso penal en la que debe concurrir una oferta institucional que atienda la problemática que lleva al adolescente a la comisión de delitos y en algunos casos, a la reiteración de los mismos.</w:t>
      </w:r>
    </w:p>
    <w:p w:rsidR="004C35AF" w:rsidRPr="004C35AF" w:rsidRDefault="004C35AF" w:rsidP="004C35AF">
      <w:pPr>
        <w:pStyle w:val="Prrafodelista"/>
        <w:autoSpaceDE w:val="0"/>
        <w:autoSpaceDN w:val="0"/>
        <w:spacing w:before="100" w:beforeAutospacing="1" w:after="100" w:afterAutospacing="1" w:line="240" w:lineRule="auto"/>
        <w:ind w:left="360"/>
        <w:contextualSpacing/>
        <w:jc w:val="both"/>
        <w:rPr>
          <w:rFonts w:cs="Arial"/>
        </w:rPr>
      </w:pPr>
    </w:p>
    <w:p w:rsidR="00F62EE8" w:rsidRPr="004C35AF"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4C35AF">
        <w:rPr>
          <w:rFonts w:cs="Arial"/>
        </w:rPr>
        <w:t>Incremento en la utilización de mecanismos apropiados y asertivos para la atención a los adolescentes vinculados al SRPA que presentan consumo de sustancias psicoactivas y problemas de salud mental, de acuerdo al principio del interés superior del niño y al derecho a la rehabilitación y resocialización.</w:t>
      </w:r>
    </w:p>
    <w:p w:rsidR="00F62EE8" w:rsidRPr="007608C2" w:rsidRDefault="00F62EE8" w:rsidP="00A44A2B">
      <w:pPr>
        <w:numPr>
          <w:ilvl w:val="0"/>
          <w:numId w:val="36"/>
        </w:numPr>
        <w:spacing w:before="100" w:beforeAutospacing="1" w:after="100" w:afterAutospacing="1" w:line="240" w:lineRule="auto"/>
        <w:jc w:val="both"/>
        <w:rPr>
          <w:rFonts w:cs="Arial"/>
        </w:rPr>
      </w:pPr>
      <w:r w:rsidRPr="00D534CF">
        <w:rPr>
          <w:rFonts w:cs="Arial"/>
        </w:rPr>
        <w:t>Diplomado en derechos de Infancia, Adolescencia, Juventud y Familia:</w:t>
      </w:r>
      <w:r w:rsidR="00D534CF">
        <w:rPr>
          <w:rFonts w:cs="Arial"/>
        </w:rPr>
        <w:t xml:space="preserve"> e</w:t>
      </w:r>
      <w:r w:rsidRPr="007608C2">
        <w:rPr>
          <w:rFonts w:cs="Arial"/>
        </w:rPr>
        <w:t>ste diplomado se diseñó e implementó de forma virtual y presencial, con el propósito de fortalecer la protección integral de niños, niñas y adolescentes al interior de las familias y en las comunidades en las cuales hacen presencia el ICBF, el Departamento Administrativo para la Prosperidad Social, la Armada Nacional, el Grupo de Acción Integral del Ejército Nacional y la especialidad de Infancia y Adolescencia de la Policía Nacional.</w:t>
      </w:r>
    </w:p>
    <w:p w:rsidR="00F62EE8" w:rsidRPr="007608C2" w:rsidRDefault="00F62EE8" w:rsidP="00F62EE8">
      <w:pPr>
        <w:spacing w:before="100" w:beforeAutospacing="1" w:after="100" w:afterAutospacing="1" w:line="240" w:lineRule="auto"/>
        <w:ind w:left="720"/>
        <w:jc w:val="both"/>
        <w:rPr>
          <w:rFonts w:cs="Arial"/>
        </w:rPr>
      </w:pPr>
      <w:r w:rsidRPr="007608C2">
        <w:rPr>
          <w:rFonts w:cs="Arial"/>
        </w:rPr>
        <w:t xml:space="preserve">Durante el 2017 se formaron a través de la modalidad presencial: 70 oficiales, suboficiales y soldados profesionales del Grupo de Acción Integral del Ejercito Nacional y 50 Oficiales </w:t>
      </w:r>
      <w:r w:rsidRPr="007608C2">
        <w:rPr>
          <w:rFonts w:cs="Arial"/>
        </w:rPr>
        <w:lastRenderedPageBreak/>
        <w:t xml:space="preserve">suboficiales e infantes de marina del grupo de Acción Integral de la armada nacional.  De la modalidad virtual, se formaron: 200 profesionales de Prosperidad Social del programa más familias en acción, red unidos, SNAIS, 200 oficiales, suboficiales y soldados profesionales del Grupo de Acción Integral del Ejercito Nacional, 100 Oficiales suboficiales e infantes de marina del grupo de Acción Integral de la armada nacional. </w:t>
      </w:r>
    </w:p>
    <w:p w:rsidR="00F62EE8" w:rsidRPr="007608C2" w:rsidRDefault="00F62EE8" w:rsidP="00A44A2B">
      <w:pPr>
        <w:numPr>
          <w:ilvl w:val="0"/>
          <w:numId w:val="36"/>
        </w:numPr>
        <w:spacing w:after="0" w:line="240" w:lineRule="auto"/>
        <w:ind w:left="714" w:hanging="357"/>
        <w:jc w:val="both"/>
        <w:rPr>
          <w:rFonts w:cs="Arial"/>
        </w:rPr>
      </w:pPr>
      <w:r w:rsidRPr="007608C2">
        <w:rPr>
          <w:rFonts w:cs="Arial"/>
        </w:rPr>
        <w:t>Adicionalmente, en términos generales dentro del componente de fortalecimiento técnico del SNBF se diseñó y aplicó una encuesta virtual dirigida a los agentes públicos del Sistema con el fin de levantar la oferta nacional y territorial existente en materia de protección integral de niños, niñas y adolescentes; se hizo un levantamiento inicial del presupuesto invertido en formación, capacitación y asistencia técnica por parte de 12 agentes públicos del SNBF, se logró la vinculación del Departamento Administrativo de la Función Pública, Colciencias, Asociación Colombiana de Universidades, Colombia Joven e ICBF – Dirección de Planeación y Control de Gestión para el diseño y estructuración del componente y se articuló con el Departamento Administrativo de la Función Pública y el Ministerio de las Tecnologías de la Información y las Comunicaciones para la presentación de los avances en el diseño del componente en el II Encuentro Nacional de Gestión del Conocimiento liderado por estas dos (2) entidades y pendiente de realizarse en el mes de septiembre de la presente vigencia.</w:t>
      </w:r>
    </w:p>
    <w:p w:rsidR="00F62EE8" w:rsidRPr="007608C2" w:rsidRDefault="00F62EE8" w:rsidP="00F62EE8">
      <w:pPr>
        <w:spacing w:after="0" w:line="240" w:lineRule="auto"/>
        <w:ind w:left="720"/>
        <w:jc w:val="both"/>
        <w:rPr>
          <w:rFonts w:cs="Arial"/>
        </w:rPr>
      </w:pPr>
    </w:p>
    <w:p w:rsidR="00F62EE8" w:rsidRPr="007608C2" w:rsidRDefault="00F62EE8" w:rsidP="00A44A2B">
      <w:pPr>
        <w:pStyle w:val="Prrafodelista"/>
        <w:numPr>
          <w:ilvl w:val="0"/>
          <w:numId w:val="36"/>
        </w:numPr>
        <w:spacing w:after="0" w:line="240" w:lineRule="auto"/>
        <w:contextualSpacing/>
        <w:jc w:val="both"/>
        <w:rPr>
          <w:rFonts w:cs="Arial"/>
          <w:lang w:val="es-CO" w:eastAsia="es-CO"/>
        </w:rPr>
      </w:pPr>
      <w:r w:rsidRPr="007608C2">
        <w:rPr>
          <w:rFonts w:eastAsia="Times New Roman" w:cs="Arial"/>
          <w:bCs/>
        </w:rPr>
        <w:t xml:space="preserve">Capacitación y actualización de normas de registro civil, identificación y protección de datos. </w:t>
      </w:r>
      <w:r w:rsidRPr="007608C2">
        <w:rPr>
          <w:rFonts w:eastAsia="Times New Roman" w:cs="Arial"/>
        </w:rPr>
        <w:t>Actividad desarrollada con la Registraduría Nacional del Estado Civil. Este proceso de capacitación impacta directamente en la garantía del derecho a la identidad de los niños, niñas y adolescentes y por ende, contribuye a su protección integral, facilitando el acceso a otros derechos y servicios como la salud, la educación, el empleo. El tema del Registro Civil merezca particular atención y que la Registraduría Nacional tenga como compromiso permanente, generar condiciones para garantizar el derecho a la identidad y al reconocimiento de la personalidad jurídica, además de adelantar estrategias encaminadas a mejorar el servicio y ampliar su cobertura.</w:t>
      </w:r>
    </w:p>
    <w:p w:rsidR="00F62EE8" w:rsidRPr="007608C2" w:rsidRDefault="00F62EE8" w:rsidP="00F62EE8">
      <w:pPr>
        <w:pStyle w:val="Prrafodelista"/>
        <w:spacing w:before="100" w:beforeAutospacing="1" w:after="100" w:afterAutospacing="1" w:line="240" w:lineRule="auto"/>
        <w:jc w:val="both"/>
        <w:rPr>
          <w:rFonts w:cs="Arial"/>
        </w:rPr>
      </w:pPr>
      <w:r w:rsidRPr="007608C2">
        <w:rPr>
          <w:rFonts w:cs="Arial"/>
        </w:rPr>
        <w:t>El objetivo de los talleres fue fortalecer y promover la labor de quienes día a día tienen la responsabilidad de dar trámite a los registros del estado civil, dado que el seminario además de contener los fundamentos legales en la materia, expone de una manera sencilla cada uno de los aspectos relacionados con el registro del estado civil; teniendo en cuenta la importancia que reviste esta función, siendo un compromiso permanente de adelantar programas encaminados a ampliar su cobertura y a mejorarla, que conlleve una natural estrategia y pedagogía de la regulación de este sistema entre sus operadores y usuarios para crear así una cultura en torno a este servicio.</w:t>
      </w:r>
    </w:p>
    <w:p w:rsidR="00F62EE8" w:rsidRPr="007608C2" w:rsidRDefault="00F62EE8" w:rsidP="00F62EE8">
      <w:pPr>
        <w:pStyle w:val="Prrafodelista"/>
        <w:spacing w:before="100" w:beforeAutospacing="1" w:after="100" w:afterAutospacing="1" w:line="240" w:lineRule="auto"/>
        <w:jc w:val="both"/>
        <w:rPr>
          <w:rFonts w:cs="Arial"/>
        </w:rPr>
      </w:pPr>
      <w:r w:rsidRPr="007608C2">
        <w:rPr>
          <w:rFonts w:cs="Arial"/>
        </w:rPr>
        <w:t xml:space="preserve">Durante la vigencia 2017, se formaron </w:t>
      </w:r>
      <w:r w:rsidRPr="00706C42">
        <w:rPr>
          <w:rFonts w:cs="Arial"/>
          <w:bCs/>
        </w:rPr>
        <w:t>162</w:t>
      </w:r>
      <w:r w:rsidRPr="007608C2">
        <w:rPr>
          <w:rFonts w:cs="Arial"/>
        </w:rPr>
        <w:t xml:space="preserve"> Defensores de Familia, de las Regionales de Atlántico, Bolívar, Boyacá, Quindío, Risaralda, Santander, Tolima y Valle del Cauca. De igual manera, durante el  2017 se han adelantado siete (7) </w:t>
      </w:r>
      <w:r w:rsidRPr="007608C2">
        <w:rPr>
          <w:rFonts w:cs="Arial"/>
          <w:bCs/>
          <w:i/>
        </w:rPr>
        <w:t>Talleres de Fortalecimiento en Valores Cívicos y Democráticos</w:t>
      </w:r>
      <w:r w:rsidRPr="007608C2">
        <w:rPr>
          <w:rFonts w:cs="Arial"/>
          <w:b/>
          <w:bCs/>
        </w:rPr>
        <w:t xml:space="preserve"> </w:t>
      </w:r>
      <w:r w:rsidRPr="007608C2">
        <w:rPr>
          <w:rFonts w:cs="Arial"/>
        </w:rPr>
        <w:t xml:space="preserve">en las Regionales de Arauca, Caquetá, Cesar, La Guajira Magdalena, , Meta y  Putumayo, para la población beneficiaria de la oferta de servicios de la Dirección de Niñez y Adolescencia del ICBF, a la fecha se han beneficiado </w:t>
      </w:r>
      <w:r w:rsidRPr="007608C2">
        <w:rPr>
          <w:rFonts w:cs="Arial"/>
          <w:b/>
          <w:bCs/>
        </w:rPr>
        <w:t>513</w:t>
      </w:r>
      <w:r w:rsidRPr="007608C2">
        <w:rPr>
          <w:rFonts w:cs="Arial"/>
        </w:rPr>
        <w:t xml:space="preserve"> niños, niñas y adolescentes, los talleres tienen como fin que los asistentes adquieran un </w:t>
      </w:r>
      <w:r w:rsidRPr="007608C2">
        <w:rPr>
          <w:rFonts w:cs="Arial"/>
        </w:rPr>
        <w:lastRenderedPageBreak/>
        <w:t xml:space="preserve">compromiso ciudadano con su municipio, departamento y país, y estimulándolos a ser ciudadanos consientes de la importancia del derecho a la participación. El fortalecimiento, promoción y desarrollo de valores cívicos y democráticos nos permitirá que las nuevas generaciones de colombianos, puedan desarrollarse en un nuevo marco de decisión, elección, concertación, conciliación y nuevos consensos sobre los principales problemas familiares, sociales, económicos y políticos y en escenarios de postconflicto y reconciliación. </w:t>
      </w:r>
    </w:p>
    <w:p w:rsidR="00F62EE8" w:rsidRPr="007608C2" w:rsidRDefault="00F62EE8" w:rsidP="00F62EE8">
      <w:pPr>
        <w:pStyle w:val="Prrafodelista"/>
        <w:spacing w:before="100" w:beforeAutospacing="1" w:after="100" w:afterAutospacing="1" w:line="240" w:lineRule="auto"/>
        <w:jc w:val="both"/>
        <w:rPr>
          <w:rFonts w:cs="Arial"/>
        </w:rPr>
      </w:pPr>
      <w:r w:rsidRPr="007608C2">
        <w:rPr>
          <w:rFonts w:cs="Arial"/>
        </w:rPr>
        <w:t xml:space="preserve">La formación en valores cívicos y democráticos se realizó de manera didáctica, a través de la explicación de una réplica del museo y junto a la recreación del proceso de elaboración de los documentos de identidad. Adicional a lo anterior, se lleva a cabo una simulación de un proceso electoral, donde los candidatos son personajes de ciencia ficción (superhéroes), representando cada uno un valor cívico y democrático. </w:t>
      </w:r>
    </w:p>
    <w:p w:rsidR="00F62EE8" w:rsidRPr="007608C2" w:rsidRDefault="00F62EE8" w:rsidP="00F62EE8">
      <w:pPr>
        <w:spacing w:before="100" w:beforeAutospacing="1" w:after="100" w:afterAutospacing="1" w:line="240" w:lineRule="auto"/>
        <w:jc w:val="both"/>
        <w:rPr>
          <w:rFonts w:cs="Arial"/>
        </w:rPr>
      </w:pPr>
      <w:r w:rsidRPr="007608C2">
        <w:rPr>
          <w:rFonts w:cs="Arial"/>
        </w:rPr>
        <w:t>Finalmente, en el marco del Convenio No. 1299 de 2017, suscrito entre el Instituto Colombiano de Bienestar Familiar, la Fundación Save the Children y Unicef Colombia, se contrató a un metodólogo y se diseñó la metodología para el desarrollo de dos (2) jornadas de trabajo del taller de expertos en gestión del conocimiento del SNBF, el cual tenía como fin, generar recomendaciones prácticas para el diseño, la implementación y la evaluación del Componente de Gestión del Conocimiento del Sistema Nacional de Bienestar Familiar, hoy fortalecimiento técnico del SNBF.</w:t>
      </w:r>
    </w:p>
    <w:p w:rsidR="00F62EE8" w:rsidRPr="007608C2" w:rsidRDefault="00706C42" w:rsidP="00A44A2B">
      <w:pPr>
        <w:pStyle w:val="Prrafodelista"/>
        <w:numPr>
          <w:ilvl w:val="0"/>
          <w:numId w:val="99"/>
        </w:numPr>
        <w:spacing w:before="100" w:beforeAutospacing="1" w:after="100" w:afterAutospacing="1" w:line="240" w:lineRule="auto"/>
        <w:contextualSpacing/>
        <w:jc w:val="both"/>
        <w:rPr>
          <w:rFonts w:cs="Arial"/>
          <w:b/>
        </w:rPr>
      </w:pPr>
      <w:r>
        <w:rPr>
          <w:rFonts w:cs="Arial"/>
          <w:b/>
        </w:rPr>
        <w:t>Componente de e</w:t>
      </w:r>
      <w:r w:rsidR="00F62EE8" w:rsidRPr="007608C2">
        <w:rPr>
          <w:rFonts w:cs="Arial"/>
          <w:b/>
        </w:rPr>
        <w:t>nfoque diferencial</w:t>
      </w: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El componente de enfoque diferencial busca reconocer y visibilizar las particularidades históricas, sociales, culturales y organizativas propias de algunos individuos, familias y comunidades que han sido históricamente discriminados en razón a su identidad étnica, orientación sexual, género, discapacidad, entre otros. Busca la inclusión del enfoque diferencial en el ciclo de la política pública de primera infancia, infancia, adolescencia y fortalecimiento familiar, la participación en instancias, el fortalecimiento técnico, la movilización social, el gasto público para garantizar los derechos de los niños, niñas y adolescentes de especial protección constitucional y su debido seguimiento y evaluación, tanto en el ámbito nacional, como territorial.</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Este componente hacía parte de las estrategias de orden transversal y no existía como tal sino a partir de 2017. Sin embargo, en el marco de dichas acciones se pueden reconocer los siguientes resultados: </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La Dirección del SNBF ejerce la secretaría de la Mesa de Seguimiento a la Situación de la Niñez Indígena y la Mesa técnica para la incorporación del enfoque étnico en los instrumentos de política pública relacionados con la primera infancia, la infancia, la adolescencia y las familias y comunidades Negras, Afrocolombianas, Raizales y Palenqueras. Se redefinió y limito el alcance de la Mesa de Seguimiento a la Situación de la Niñez, Indígena y la Mesa Técnica, y en el mismo año se realizaron dos (2) reuniones para reactivar su funcionamiento. </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En cumplimiento de los compromisos de Plan Nacional de Desarrollo, en particular lo concerniente al pueblo Rrom, durante el 2017 se arrancó el proceso de recolección de insumos </w:t>
      </w:r>
      <w:r w:rsidRPr="007608C2">
        <w:rPr>
          <w:rFonts w:cs="Arial"/>
        </w:rPr>
        <w:lastRenderedPageBreak/>
        <w:t>en las 8 Kumpanias Rrom para la construcción del capítulo de infancia y familia Rrom en el marco de la Ley Gitana, proceso que se desarrolla con la comunidad.</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Adicionalmente, en términos de articulación se logró avanzar con el Ministerio del Interior, el Ministerio de Educación, la CIPI, el ICBF y el Ministerio de Salud, en aspectos relacionados con el abordaje técnico del enfoque diferencial étnico y el acompañamiento en procesos como la tutela de Arauca, la implementación de las modalidades propias, y la estrategia de violencia sexual, entre otros. En el mismo sentido, la Dirección del SNBF ha participado en diferentes escenarios de articulación intersectorial para la implementación de acciones de carácter diferencial, como: la mesa de diversidad, la mesa intersectorial del municipio de Arauca y de Tame para el seguimiento a las órdenes de la tutela, el seguimiento al proceso de modalidades propias, la mesa de conflicto armado, entre otros.</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De manera especial se resalta la coordinación de escenarios de diálogo interinstitucional y comunitario en el departamento de Arauca, en el marco del fallo de tutela expedido para las comunidades Sikuani y Makaguan, en razón a las problemáticas que vienen presentando estas comunidades, principalmente en lo relacionado con consumo de sustancias psicoactivas y alta permanencia en calle.</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Con la finalidad de posicionar y visibilizar el enfoque diferencial étnico, la Dirección del SNBF, a través de los referentes en el territorio ha desarrollado jornadas de acompañamiento y asistencia técnica a las alcaldías y otros actores institucionales del ámbito local. En este sentido, se destacan las acciones de acompañamiento técnico y metodológico: i) en el Departamento del Putumayo, en coordinación con la Gobernación, para fortalecer los procesos de participación y diálogo con los grupos étnicos en el marco de la política pública de primera infancia, infancia, adolescencia y fortalecimiento familiar, ii)  a la Dirección de Primera Infancia y la Comisión Intersectorial de Primera Infancia en el proceso de concertación e implementación del Modalidades Propias e Interculturales de educación inicial, iii) al Comité Regional de Infancia y Adolescencia CRIA del norte del Cauca, en lo relacionado con la participación de los grupos étnicos en las instancias del SNBF.</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A través de las acciones del componente de enfoque diferencial la Dirección del SNBF ha desarrollado acciones de diseño y socialización de un instrumento para revisar con diferentes Direcciones Regionales la problemática de la mendicidad en el pueblo Embera, en articulación con la Dirección de Protección, y ha liderado la consolidación de la estrategia de articulación interinstitucional e intercultural con autoridades y pueblos indígenas para la detección, prevención y atención integral de la violencia sexual y de género contra niñas, niños, adolescentes, mujeres, familias y comunidades indígenas fortalecida con experiencias territoriales desarrolladas en los departamentos de Putumayo, Cauca, Casanare, Vaupés, Córdoba y Guainía.</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En lo concerniente al empoderamiento de la mujer, la Dirección apoyó la formulación e implementación de un capítulo de niñez y familia que las mujeres del pueblo Arhuaco de la Sierra Nevada de Santa Marta construyeron e incluyeron en el plan de salvaguarda de su pueblo. Esta acción busca reconocer el rol femenino con su poder protector de la niñez, la familia, la madre tierra y la humanidad. Las acciones se proponen en educación propia, salud, economía viva de </w:t>
      </w:r>
      <w:r w:rsidRPr="007608C2">
        <w:rPr>
          <w:rFonts w:cs="Arial"/>
        </w:rPr>
        <w:lastRenderedPageBreak/>
        <w:t>la naturaleza propia, mujer y territorio, organización de la mujer, fortalecimiento de las kankurwas y conservación de las semillas in-situ.</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En 2017 se realizó el último encuentro territorial de mujeres étnicas, rurales y campesinas en Villavicencio, en el que participaron 20 mujeres de los departamentos de Arauca, Amazonas, Vichada, Vaupés, Casanare, Caquetá, Meta, Guainía y Guaviare y un encuentro nacional con representantes de cada uno de los departamentos. Los resultados más relevantes de este encuentro son el fortalecimiento de las experiencias a partir de las lecciones compartidas y reflexionadas en colectivo y por grupos territoriales; la apuesta colectiva por la resistencia, la resiliencia, la reivindicación y la reconciliación, desde la construcción de sus saberes; además de la generación de recomendaciones de fortalecimiento organizativo de las mujeres, o lideradas por mujeres que benefician a su niñez, a sus familias y comunidades.</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En el encuentro nacional se realizaron cartas a partir de los conocimientos adquiridos a las instancias territoriales para buscar la inclusión de las organizaciones de mujeres en las instancias del SNBF a nivel territorial. </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De igual forma, se socializaron las conclusiones de los cuatro encuentros realizados a varias entidades del nivel nacional como: la Consejería Presidencial para la Equidad de la Mujer, la Dirección de Mujer Rural del Ministerio de Agricultura y Desarrollo rural, el Ministerio del Interior, la Contraloría General de la República, Fina Agro, Banco Agrario, Artesanías de Colombia, SENA, ICBF, UARIV, DPS, Ministerio de Salud y Protección Social y organizaciones nacionales e internacionales como UNICEF, Save The Children, War Child, Fondo Acción, entre otras  con el fin de aportarle a las mujeres herramientas prácticas para su empoderamiento, y garantizando la articulación de diferentes agentes en torno al fortalecimiento de las mujeres como agentes del SNBF.</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Reconociendo a la Consejería Presidencial para la Equidad de la Mujer como una entidad clave para el fortalecimiento del enfoque de género y su transversalización en el desarrollo del Sistema Nacional de Bienestar Familiar, se llevó a cabo un proceso la inclusión de actividades de esta entidad en el plan de acción del SNBF.</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Frente a los compromisos sobre niños, niñas y adolescentes con discapacidad, la Dirección del SNBF ejerce la secretaría técnica de la Mesa de Discapacidad interna del ICBF (Resolución 9313 de 2016). En el marco de esta instancia se ha logrado visibilizar y articular internamente en el ICBF la Política Pública de Discapacidad, elaborar una guía para el registro de las variables de discapacidad en los sistemas de información del ICBF desde las Direcciones Misionales en acompañamiento con la Dirección de Planeación, el reporte por parte de la Dirección de Aseguramiento a la Calidad de visitas de inspección a modalidades de atención de población con discapacidad, y el acompañamiento de la Dirección de Gestión Regional en el seguimiento a los planes de acción del modelo de enfoque diferencial del Instituto. Desde que se nombró a la Dirección del SNBF como secretaría técnica de la Mesa Técnica de Discapacidad del ICBF no sólo se ha trabajado con las áreas misionales y las áreas de apoyo, sino que adicionalmente se ha fortalecido la articulación con otras entidades del Estado (Ministerio del Interior, Ministerio de Salud, Presidencia de la República bajo el liderazgo del Plan Presidencial para la Inclusión de las Personas con discapacidad). Por esta razón, una de las líneas del Convenio 1299 del 2017 se </w:t>
      </w:r>
      <w:r w:rsidRPr="007608C2">
        <w:rPr>
          <w:rFonts w:cs="Arial"/>
        </w:rPr>
        <w:lastRenderedPageBreak/>
        <w:t>realizó un análisis normativo y contextual que dé orientaciones para la articulación para la garantía de los derechos de niños, niñas y adolescentes con discapacidad según las competencias de cada Sistema, para fortalecer este proceso, principalmente en el territorio.</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jc w:val="both"/>
        <w:rPr>
          <w:rFonts w:cs="Arial"/>
        </w:rPr>
      </w:pPr>
      <w:r w:rsidRPr="007608C2">
        <w:rPr>
          <w:rFonts w:cs="Arial"/>
        </w:rPr>
        <w:t>La garantía de los derechos de los niños, niñas y adolescentes con discapacidad se venía verificando en el plan de acción del SNBF a través de los reportes realizados por el Ministerio de Salud y Protección como ente rector del Sistema Nacional de Discapacidad.</w:t>
      </w:r>
    </w:p>
    <w:p w:rsidR="00F62EE8" w:rsidRPr="007608C2" w:rsidRDefault="00F62EE8" w:rsidP="00F62EE8">
      <w:pPr>
        <w:spacing w:before="100" w:beforeAutospacing="1" w:after="100" w:afterAutospacing="1" w:line="240" w:lineRule="auto"/>
        <w:ind w:left="360"/>
        <w:contextualSpacing/>
        <w:jc w:val="both"/>
        <w:rPr>
          <w:rFonts w:cs="Arial"/>
        </w:rPr>
      </w:pPr>
      <w:r w:rsidRPr="007608C2">
        <w:rPr>
          <w:rFonts w:cs="Arial"/>
          <w:b/>
        </w:rPr>
        <w:t>F. Componente de Movilización Social, Sector Privado y Familia</w:t>
      </w:r>
    </w:p>
    <w:p w:rsidR="00F62EE8" w:rsidRPr="007608C2" w:rsidRDefault="00F62EE8" w:rsidP="00F62EE8">
      <w:pPr>
        <w:pStyle w:val="NormalWeb"/>
        <w:shd w:val="clear" w:color="auto" w:fill="FFFFFF"/>
        <w:jc w:val="both"/>
        <w:rPr>
          <w:rFonts w:ascii="Arial" w:hAnsi="Arial" w:cs="Arial"/>
          <w:sz w:val="22"/>
          <w:szCs w:val="22"/>
        </w:rPr>
      </w:pPr>
      <w:r w:rsidRPr="007608C2">
        <w:rPr>
          <w:rFonts w:ascii="Arial" w:hAnsi="Arial" w:cs="Arial"/>
          <w:sz w:val="22"/>
          <w:szCs w:val="22"/>
        </w:rPr>
        <w:t>Este componente se orienta a potenciar el ejercicio de la movilización social de la sociedad civil, el sector privado, la academia y la cooperación internacional en el marco de la protección integral de la primera infancia, infancia y adolescencia y el fortalecimiento familiar en los diferentes ámbitos, para posicionar la importancia social en torno a la garantía y exigibilidad de derechos y la corresponsabilidad de la sociedad y la familia.</w:t>
      </w:r>
    </w:p>
    <w:p w:rsidR="00F62EE8" w:rsidRPr="007608C2" w:rsidRDefault="00F62EE8" w:rsidP="00F62EE8">
      <w:pPr>
        <w:spacing w:before="100" w:beforeAutospacing="1" w:after="100" w:afterAutospacing="1" w:line="240" w:lineRule="auto"/>
        <w:jc w:val="both"/>
        <w:rPr>
          <w:rFonts w:cs="Arial"/>
          <w:lang w:eastAsia="es-CO"/>
        </w:rPr>
      </w:pPr>
      <w:r w:rsidRPr="007608C2">
        <w:rPr>
          <w:rFonts w:cs="Arial"/>
          <w:lang w:eastAsia="es-CO"/>
        </w:rPr>
        <w:t xml:space="preserve">A través de la estructuración, desarrollo e implementación de este componente, se contribuye a la garantía de los derechos de los niños, niñas y adolescentes de la siguiente manera: </w:t>
      </w:r>
    </w:p>
    <w:p w:rsidR="00F62EE8"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Sensibilizando a la sociedad y a la familia, sobre la importancia del reconocimiento de los niños, las niñas y los adolescentes como sujetos titulares de derechos y que estos son prevalentes, lo que obliga a toda la sociedad en su conjunto a velar por el bienestar y la garantía material y efectiva.</w:t>
      </w:r>
    </w:p>
    <w:p w:rsidR="00D534CF" w:rsidRPr="007608C2" w:rsidRDefault="00D534CF" w:rsidP="00D534CF">
      <w:pPr>
        <w:pStyle w:val="Prrafodelista"/>
        <w:autoSpaceDE w:val="0"/>
        <w:autoSpaceDN w:val="0"/>
        <w:spacing w:before="100" w:beforeAutospacing="1" w:after="100" w:afterAutospacing="1" w:line="240" w:lineRule="auto"/>
        <w:ind w:left="360"/>
        <w:contextualSpacing/>
        <w:jc w:val="both"/>
        <w:rPr>
          <w:rFonts w:cs="Arial"/>
        </w:rPr>
      </w:pPr>
    </w:p>
    <w:p w:rsidR="00F62EE8"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D534CF">
        <w:rPr>
          <w:rFonts w:cs="Arial"/>
        </w:rPr>
        <w:t>Generando trasformaciones culturales para influir en imaginarios sociales donde la primera infancia, la infancia y la adolescencia sean una prioridad social, política, técnica y financiera.</w:t>
      </w:r>
    </w:p>
    <w:p w:rsidR="00D534CF" w:rsidRPr="00D534CF" w:rsidRDefault="00D534CF" w:rsidP="00D534CF">
      <w:pPr>
        <w:pStyle w:val="Prrafodelista"/>
        <w:autoSpaceDE w:val="0"/>
        <w:autoSpaceDN w:val="0"/>
        <w:spacing w:before="100" w:beforeAutospacing="1" w:after="100" w:afterAutospacing="1" w:line="240" w:lineRule="auto"/>
        <w:ind w:left="360"/>
        <w:contextualSpacing/>
        <w:jc w:val="both"/>
        <w:rPr>
          <w:rFonts w:cs="Arial"/>
        </w:rPr>
      </w:pPr>
    </w:p>
    <w:p w:rsidR="00F62EE8"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D534CF">
        <w:rPr>
          <w:rFonts w:cs="Arial"/>
        </w:rPr>
        <w:t>Posicionando la importancia del control social en torno a la garantía y exigibilidad de derechos de los niños, las niñas y los adolescentes y la corresponsabilidad de la sociedad y la familia.</w:t>
      </w:r>
    </w:p>
    <w:p w:rsidR="00D534CF" w:rsidRPr="00D534CF" w:rsidRDefault="00D534CF" w:rsidP="00D534CF">
      <w:pPr>
        <w:pStyle w:val="Prrafodelista"/>
        <w:autoSpaceDE w:val="0"/>
        <w:autoSpaceDN w:val="0"/>
        <w:spacing w:before="100" w:beforeAutospacing="1" w:after="100" w:afterAutospacing="1" w:line="240" w:lineRule="auto"/>
        <w:ind w:left="360"/>
        <w:contextualSpacing/>
        <w:jc w:val="both"/>
        <w:rPr>
          <w:rFonts w:cs="Arial"/>
        </w:rPr>
      </w:pPr>
    </w:p>
    <w:p w:rsidR="00F62EE8" w:rsidRPr="007608C2"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D534CF">
        <w:rPr>
          <w:rFonts w:cs="Arial"/>
        </w:rPr>
        <w:t xml:space="preserve">Generando espacios de construcción colectiva, que promuevan el diálogo y la concertación de acciones conjuntas con los diferentes agentes, para la producción de capital social en el marco de la protección integral de los niños, niñas adolescentes y el fortalecimiento familiar. </w:t>
      </w: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Se identifican los siguientes resultados en la vigencia 2017: </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A44A2B">
      <w:pPr>
        <w:numPr>
          <w:ilvl w:val="0"/>
          <w:numId w:val="35"/>
        </w:numPr>
        <w:spacing w:before="100" w:beforeAutospacing="1" w:after="100" w:afterAutospacing="1" w:line="240" w:lineRule="auto"/>
        <w:ind w:left="360"/>
        <w:contextualSpacing/>
        <w:jc w:val="both"/>
        <w:rPr>
          <w:rFonts w:cs="Arial"/>
        </w:rPr>
      </w:pPr>
      <w:r w:rsidRPr="007608C2">
        <w:rPr>
          <w:rFonts w:cs="Arial"/>
        </w:rPr>
        <w:t xml:space="preserve">A través del convenio de Asociación 1299 de 2017 entre ICBF – Save The Children – UNICEF, se ha desarrollado actividades relacionadas con el desarrollo de la línea de movilización social, el cual tiene como objetivo desarrollar dos acciones como retos fundamentales: por un lado, la elaboración de un estado del arte desde la revisión documental de experiencias anteriores de estrategias de movilización social nacionales y territoriales enmarcadas en políticas para la primera infancia, infancia y adolescencia y fortalecimiento familiar. Además de los aportes de diferentes agentes considerados clave por su experiencia en la definición de políticas, programas, estrategias y proyectos para la protección integral de los niños, niñas y adolescentes. </w:t>
      </w:r>
    </w:p>
    <w:p w:rsidR="00F62EE8" w:rsidRDefault="00F62EE8" w:rsidP="00A44A2B">
      <w:pPr>
        <w:numPr>
          <w:ilvl w:val="0"/>
          <w:numId w:val="35"/>
        </w:numPr>
        <w:spacing w:before="100" w:beforeAutospacing="1" w:after="100" w:afterAutospacing="1" w:line="240" w:lineRule="auto"/>
        <w:ind w:left="360"/>
        <w:contextualSpacing/>
        <w:jc w:val="both"/>
        <w:rPr>
          <w:rFonts w:cs="Arial"/>
        </w:rPr>
      </w:pPr>
      <w:r w:rsidRPr="007608C2">
        <w:rPr>
          <w:rFonts w:cs="Arial"/>
        </w:rPr>
        <w:lastRenderedPageBreak/>
        <w:t>Por otro parte , se define la construcción de una estrategia de movilización social en el marco del SNBF, con el fin que recoja las recomendaciones y hallazgos del estado del arte, así como también con los talleres de construcción en los ámbitos nacional, departamental, municipal y distrital, para que logre definir propuestas de manera participativa con los diferentes agentes en el ciclo de las políticas públicas y las iniciativas y gestiones realizadas en el marco de la protección integral de los niños, niñas y adolescentes y el fortalecimiento familiar. Los anteriores productos y acciones se concretarán entre los meses de</w:t>
      </w:r>
      <w:r w:rsidR="00793F2B">
        <w:rPr>
          <w:rFonts w:cs="Arial"/>
        </w:rPr>
        <w:t xml:space="preserve"> noviembre y diciembre de 2017.</w:t>
      </w:r>
    </w:p>
    <w:p w:rsidR="00793F2B" w:rsidRPr="007608C2" w:rsidRDefault="00793F2B" w:rsidP="00793F2B">
      <w:pPr>
        <w:spacing w:before="100" w:beforeAutospacing="1" w:after="100" w:afterAutospacing="1" w:line="240" w:lineRule="auto"/>
        <w:ind w:left="360"/>
        <w:contextualSpacing/>
        <w:jc w:val="both"/>
        <w:rPr>
          <w:rFonts w:cs="Arial"/>
        </w:rPr>
      </w:pPr>
    </w:p>
    <w:p w:rsidR="00F62EE8" w:rsidRPr="007608C2" w:rsidRDefault="00F62EE8" w:rsidP="00A44A2B">
      <w:pPr>
        <w:numPr>
          <w:ilvl w:val="0"/>
          <w:numId w:val="35"/>
        </w:numPr>
        <w:spacing w:before="100" w:beforeAutospacing="1" w:after="100" w:afterAutospacing="1" w:line="240" w:lineRule="auto"/>
        <w:ind w:left="360"/>
        <w:contextualSpacing/>
        <w:jc w:val="both"/>
        <w:rPr>
          <w:rFonts w:cs="Arial"/>
        </w:rPr>
      </w:pPr>
      <w:r w:rsidRPr="007608C2">
        <w:rPr>
          <w:rFonts w:cs="Arial"/>
        </w:rPr>
        <w:t>Por su parte, Adicionalmente en la línea de Corresponsabilidad Empresarial, se han realizado diálogos estratégicos con 22 representantes de entidades de la Mesa de Infancia y Adolescencia de Santander y con 30 delegados de la Gobernación de Cundinamarca y de empresas de este departamento; 32 delegados del sector público y privado del departamento de Cundinamarca, 26 de Antioquia y 28 Boyacá, con el propósito de presentar la Estrategia Nacional de Empresa y Derechos de la Niñez, para la posterior aplicación de la herramienta de autodiagnóstico (construida conjuntamente entre el ICBF, UNICEF y la Corporación Compartamos con Colombia), a empresas de los departamentos en mención para promover la corresponsabilidad del sector privado para la protección integral de los derechos de la niñez, de tal manera que se prevenga, proteja y remedie cualquier riesgo de impacto en los niños, las niñas y los adolescentes. Así mismo, se encuentra en proceso de revisión, la ruta de acompañamiento a empresas y la propuesta reglamentación del artículo 10 del Código de Infancia y Adolescencia, referido a los lineamientos de corresponsabilidad y obligaciones concurrentes a las empresas públicas y privadas en relación con los derechos de los niños, niñas y adolescentes en la actividad empresarial.</w:t>
      </w:r>
    </w:p>
    <w:p w:rsidR="00F62EE8" w:rsidRPr="007608C2" w:rsidRDefault="00F62EE8" w:rsidP="00F62EE8">
      <w:pPr>
        <w:spacing w:before="100" w:beforeAutospacing="1" w:after="100" w:afterAutospacing="1" w:line="240" w:lineRule="auto"/>
        <w:ind w:left="720"/>
        <w:contextualSpacing/>
        <w:jc w:val="both"/>
        <w:rPr>
          <w:rFonts w:cs="Arial"/>
        </w:rPr>
      </w:pPr>
    </w:p>
    <w:p w:rsidR="00C73C1C" w:rsidRPr="007608C2" w:rsidRDefault="00C73C1C" w:rsidP="004F4DD7">
      <w:pPr>
        <w:spacing w:after="0" w:line="240" w:lineRule="auto"/>
        <w:ind w:left="720"/>
        <w:contextualSpacing/>
        <w:jc w:val="both"/>
        <w:rPr>
          <w:rFonts w:cs="Arial"/>
        </w:rPr>
      </w:pPr>
    </w:p>
    <w:p w:rsidR="00F62EE8" w:rsidRPr="007608C2" w:rsidRDefault="00F62EE8" w:rsidP="00F62EE8">
      <w:pPr>
        <w:spacing w:before="100" w:beforeAutospacing="1" w:after="100" w:afterAutospacing="1" w:line="240" w:lineRule="auto"/>
        <w:ind w:left="360"/>
        <w:contextualSpacing/>
        <w:jc w:val="both"/>
        <w:rPr>
          <w:rFonts w:cs="Arial"/>
          <w:b/>
        </w:rPr>
      </w:pPr>
      <w:r w:rsidRPr="007608C2">
        <w:rPr>
          <w:rFonts w:cs="Arial"/>
          <w:b/>
        </w:rPr>
        <w:t>G. Componente de Participación y Comunicación Social</w:t>
      </w:r>
    </w:p>
    <w:p w:rsidR="00F62EE8" w:rsidRPr="007608C2" w:rsidRDefault="00F62EE8" w:rsidP="00F62EE8">
      <w:pPr>
        <w:spacing w:before="100" w:beforeAutospacing="1" w:after="100" w:afterAutospacing="1" w:line="240" w:lineRule="auto"/>
        <w:contextualSpacing/>
        <w:jc w:val="both"/>
        <w:rPr>
          <w:rFonts w:cs="Arial"/>
          <w:b/>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Este componente se dirige al cumplimiento de dos objetivos. En primer lugar, se concentra en consolidar los procesos de diálogo intergeneracional e incidencia de los niños, niñas y adolescentes en todos los ámbitos de su vida con especial énfasis en la gestión pública, mediante, la promoción y garantía de su derecho a la participación en los ámbitos nacional y territorial. En segundo lugar, se orienta a promover el conocimiento social de los derechos, los alcances de la acción pública que los garantiza, y los cambios culturales y de relaciones sociales favorables para el ejercicio pleno de los derechos, a través de acciones de difusión y comunicación con diferentes actores institucionales y sociales.</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 xml:space="preserve">Las acciones desarrolladas en este componente responden a dos principios centrales para el logro de la protección integral de niños, niñas y adolescentes, como lo son: la Participación y la Corresponsabilidad. Estos principios, contenidos tanto en la Convención sobre los Derechos del Niño, como en la Ley 1098 de 2006 Código de la Infancia y la Adolescencia, indican por un lado, que la participación no es solo un derecho de los niños, niñas y adolescentes, sino que también debe asumirse como una perspectiva para la acción ya que potencia y favorece el ejercicio de otros derechos; y por otra parte, que al promover y generar escenarios de diálogo entre niños, niñas y adolescentes, adultos e instituciones; y difundir acciones transformadoras de la situación </w:t>
      </w:r>
      <w:r w:rsidRPr="007608C2">
        <w:rPr>
          <w:rFonts w:cs="Arial"/>
        </w:rPr>
        <w:lastRenderedPageBreak/>
        <w:t xml:space="preserve">de ellos y ellas; se potencia la exigibilidad de los derechos, la cohesión social y se mejoran las acciones públicas, lo que en síntesis, contribuye a un mejor y mayor garantía de derechos.  </w:t>
      </w:r>
    </w:p>
    <w:p w:rsidR="00F62EE8" w:rsidRPr="007608C2" w:rsidRDefault="00F62EE8" w:rsidP="00F62EE8">
      <w:pPr>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contextualSpacing/>
        <w:jc w:val="both"/>
        <w:rPr>
          <w:rFonts w:cs="Arial"/>
        </w:rPr>
      </w:pPr>
      <w:r w:rsidRPr="007608C2">
        <w:rPr>
          <w:rFonts w:cs="Arial"/>
        </w:rPr>
        <w:t>Se identifican los siguientes resultados en la vigencia 2017:</w:t>
      </w:r>
    </w:p>
    <w:p w:rsidR="00F62EE8"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Aunque se cuenta con documentos técnicos y herramientas con las que brinda asistencia técnica a los agentes territoriales y nacionales, se elaboraron dos productos para complementar la apropiación y difusión de estos contenidos, y una tercera herramienta que tiene como propósito promover la participación con grupos étnicos. Se desarrollaron tres prototipos de juego como herramienta pedagógica para la difusión y apropiación tanto de los contenidos centrales en torno a la participación de niños, niñas y adolescentes, como de la ruta para la conformación y el fortalecimiento de las mesas territoriales de participación.</w:t>
      </w:r>
    </w:p>
    <w:p w:rsidR="00793F2B" w:rsidRPr="007608C2" w:rsidRDefault="00793F2B" w:rsidP="00793F2B">
      <w:pPr>
        <w:pStyle w:val="Prrafodelista"/>
        <w:autoSpaceDE w:val="0"/>
        <w:autoSpaceDN w:val="0"/>
        <w:spacing w:before="100" w:beforeAutospacing="1" w:after="100" w:afterAutospacing="1" w:line="240" w:lineRule="auto"/>
        <w:ind w:left="360"/>
        <w:contextualSpacing/>
        <w:jc w:val="both"/>
        <w:rPr>
          <w:rFonts w:cs="Arial"/>
        </w:rPr>
      </w:pPr>
    </w:p>
    <w:p w:rsidR="00F62EE8"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Se desarrolló el documento ABC de la participación en el que se sintetizan las ideas centrales de otras herramientas técnicas y se exponen de forma didáctica y con ejemplos cotid</w:t>
      </w:r>
      <w:r w:rsidR="00793F2B">
        <w:rPr>
          <w:rFonts w:cs="Arial"/>
        </w:rPr>
        <w:t>ianos los contenidos expuestos.</w:t>
      </w:r>
    </w:p>
    <w:p w:rsidR="00793F2B" w:rsidRPr="00793F2B" w:rsidRDefault="00793F2B" w:rsidP="00793F2B">
      <w:pPr>
        <w:pStyle w:val="Prrafodelista"/>
        <w:autoSpaceDE w:val="0"/>
        <w:autoSpaceDN w:val="0"/>
        <w:spacing w:before="100" w:beforeAutospacing="1" w:after="100" w:afterAutospacing="1" w:line="240" w:lineRule="auto"/>
        <w:ind w:left="360"/>
        <w:contextualSpacing/>
        <w:jc w:val="both"/>
        <w:rPr>
          <w:rFonts w:cs="Arial"/>
        </w:rPr>
      </w:pPr>
    </w:p>
    <w:p w:rsidR="00F62EE8"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Se cuenta con el diseño de la guía para la promoción de la participación de niños, niñas y adolescentes con grupos étnicos. Dicha guía, está estructurada en dos secciones. La primera se centra en proveer orientaciones generales sobre el tema y sobre la diversidad de los grupos étnicos. La segunda parte, busca ejemplificar la aplicación y el ajuste de metodologías de participación desarrolladas para el fortalecimiento de las mesas de participación, con niños, niñas y adolescentes de grupos étnicos. En el marco de la coordinación de la Mesa Nacional de Participación de Niños, Niñas y Adolescentes se ha discutido una propuesta para la selección del niño, niña y adolescente invitado permanente al Consejo Nacional de Participación Ciudadana, mecanismo que está por definirse. Así mismo, se adelantó la retroalimentación y el ajuste del proyecto de resolución para la reglamentación de esta instancia técnica del SNBF. Dicha instancia técnica conformada por 6 entidades del gobierno, 4 organizacion</w:t>
      </w:r>
      <w:r w:rsidR="00793F2B">
        <w:rPr>
          <w:rFonts w:cs="Arial"/>
        </w:rPr>
        <w:t>es no gubernamentales y UNICEF.</w:t>
      </w:r>
    </w:p>
    <w:p w:rsidR="00793F2B" w:rsidRPr="00793F2B" w:rsidRDefault="00793F2B" w:rsidP="00793F2B">
      <w:pPr>
        <w:pStyle w:val="Prrafodelista"/>
        <w:autoSpaceDE w:val="0"/>
        <w:autoSpaceDN w:val="0"/>
        <w:spacing w:before="100" w:beforeAutospacing="1" w:after="100" w:afterAutospacing="1" w:line="240" w:lineRule="auto"/>
        <w:ind w:left="360"/>
        <w:contextualSpacing/>
        <w:jc w:val="both"/>
        <w:rPr>
          <w:rFonts w:cs="Arial"/>
        </w:rPr>
      </w:pPr>
    </w:p>
    <w:p w:rsidR="00F62EE8" w:rsidRPr="007608C2"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 xml:space="preserve">Se brindó apoyo a la Unidad para la Atención y la Reparación Integral a las Víctimas frente a la implementación del Protocolo de Participación de niños, niñas y adolescentes víctimas del conflicto armado (PPNNAV). Dicho apoyo técnico y de gestión se ha coordinado con el Grupo de Niñez y Juventud de la Unidad para la Atención y Reparación de las Víctimas quienes en el marco de la coordinación de acciones con el ICBF solicitaron la revisión y ajuste de este instrumento tras 2 años de su pilotaje e implementación territorial. Dicha revisión está en proceso y se ha centrado en identificar los puntos de articulación entre las instancias del SNARIV y del SNBF. Se concertaron indicadores de participación con entidades nacionales a partir de los registros administrativos con los que cuentan. Al respecto, de los indicadores concertados con 5 agentes del SNBF, se cuenta con el reporte actualizado del ICBF, y en proceso de carga de 2 entidades nacionales (Unidad de Organizaciones Solidarias y Colciencias), ya que las otras por cambios en el registro de la información, propusieron la revisión de los inicialmente propuestos. Esto último es el caso para el Ministerio de Educación Nacional y el Ministerio de Salud y Protección Social. </w:t>
      </w:r>
    </w:p>
    <w:p w:rsidR="00F62EE8" w:rsidRDefault="00F62EE8" w:rsidP="00A44A2B">
      <w:pPr>
        <w:pStyle w:val="Prrafodelista"/>
        <w:numPr>
          <w:ilvl w:val="0"/>
          <w:numId w:val="100"/>
        </w:numPr>
        <w:spacing w:before="100" w:beforeAutospacing="1" w:after="100" w:afterAutospacing="1" w:line="240" w:lineRule="auto"/>
        <w:contextualSpacing/>
        <w:jc w:val="both"/>
        <w:rPr>
          <w:rFonts w:cs="Arial"/>
        </w:rPr>
      </w:pPr>
      <w:r w:rsidRPr="007608C2">
        <w:rPr>
          <w:rFonts w:cs="Arial"/>
        </w:rPr>
        <w:lastRenderedPageBreak/>
        <w:t>Desde la Dirección del Sistema Nacional de Bienestar Familiar y en consonancia con el objetivo trazado en Comunicación Social, se elaboraron comunicados de prensa y videos institucionales los cuales se han difundido en la página web del ICBF y en otros medios.</w:t>
      </w:r>
    </w:p>
    <w:p w:rsidR="00793F2B" w:rsidRPr="007608C2" w:rsidRDefault="00793F2B" w:rsidP="00793F2B">
      <w:pPr>
        <w:pStyle w:val="Prrafodelista"/>
        <w:spacing w:before="100" w:beforeAutospacing="1" w:after="100" w:afterAutospacing="1" w:line="240" w:lineRule="auto"/>
        <w:ind w:left="360"/>
        <w:contextualSpacing/>
        <w:jc w:val="both"/>
        <w:rPr>
          <w:rFonts w:cs="Arial"/>
        </w:rPr>
      </w:pPr>
    </w:p>
    <w:p w:rsidR="00F62EE8" w:rsidRPr="007608C2" w:rsidRDefault="00F62EE8" w:rsidP="00A44A2B">
      <w:pPr>
        <w:pStyle w:val="Prrafodelista"/>
        <w:numPr>
          <w:ilvl w:val="0"/>
          <w:numId w:val="100"/>
        </w:numPr>
        <w:spacing w:before="100" w:beforeAutospacing="1" w:after="100" w:afterAutospacing="1" w:line="240" w:lineRule="auto"/>
        <w:contextualSpacing/>
        <w:jc w:val="both"/>
        <w:rPr>
          <w:rFonts w:cs="Arial"/>
        </w:rPr>
      </w:pPr>
      <w:r w:rsidRPr="007608C2">
        <w:rPr>
          <w:rFonts w:cs="Arial"/>
        </w:rPr>
        <w:t>Se realizaron caracterizaciones de las mesas de participación que están conformadas con el fin de establecer el estado actual de las mismas y los mecanismos de fortalecimiento para su correcto funcionamiento. Además, en coordinación con la Dirección de Niñez y Adolescencia se llevaron a cabo talleres de entrega del Kit de herramientas de la participación significativa de los niños, niñas y adolescentes desde las regionales con los enlaces y referentes de ambas direcciones.</w:t>
      </w:r>
    </w:p>
    <w:p w:rsidR="00F62EE8" w:rsidRPr="007608C2" w:rsidRDefault="00F62EE8" w:rsidP="00F62EE8">
      <w:pPr>
        <w:autoSpaceDE w:val="0"/>
        <w:autoSpaceDN w:val="0"/>
        <w:adjustRightInd w:val="0"/>
        <w:spacing w:before="100" w:beforeAutospacing="1" w:after="100" w:afterAutospacing="1" w:line="240" w:lineRule="auto"/>
        <w:contextualSpacing/>
        <w:jc w:val="both"/>
        <w:rPr>
          <w:rFonts w:cs="Arial"/>
        </w:rPr>
      </w:pPr>
      <w:r w:rsidRPr="007608C2">
        <w:rPr>
          <w:rFonts w:cs="Arial"/>
        </w:rPr>
        <w:t>Se ha brindado orientación para que las entidades territoriales conformen mesas de participación. En este sentido en 11 departamentos se ha creado esta instancia para un porcentaje de cumplimiento de esta acción del 34,37%. De los 1.101 Municipios y las 20 localidades del D.C., en total, en 497 entes territoriales se encuentra conformada dicha instancia de operación para un porcentaje de cumplimiento del 44,3%.</w:t>
      </w:r>
    </w:p>
    <w:p w:rsidR="00F62EE8" w:rsidRPr="007608C2" w:rsidRDefault="00F62EE8" w:rsidP="00F62EE8">
      <w:pPr>
        <w:autoSpaceDE w:val="0"/>
        <w:autoSpaceDN w:val="0"/>
        <w:adjustRightInd w:val="0"/>
        <w:spacing w:before="100" w:beforeAutospacing="1" w:after="100" w:afterAutospacing="1" w:line="240" w:lineRule="auto"/>
        <w:contextualSpacing/>
        <w:jc w:val="both"/>
        <w:rPr>
          <w:rFonts w:cs="Arial"/>
        </w:rPr>
      </w:pPr>
    </w:p>
    <w:p w:rsidR="00F62EE8" w:rsidRPr="007608C2" w:rsidRDefault="00F62EE8" w:rsidP="00F62EE8">
      <w:pPr>
        <w:spacing w:before="100" w:beforeAutospacing="1" w:after="100" w:afterAutospacing="1" w:line="240" w:lineRule="auto"/>
        <w:ind w:left="360"/>
        <w:contextualSpacing/>
        <w:jc w:val="both"/>
        <w:rPr>
          <w:rFonts w:cs="Arial"/>
          <w:b/>
        </w:rPr>
      </w:pPr>
      <w:r w:rsidRPr="007608C2">
        <w:rPr>
          <w:rFonts w:cs="Arial"/>
          <w:b/>
        </w:rPr>
        <w:t>H. Atención en emergencias</w:t>
      </w:r>
    </w:p>
    <w:p w:rsidR="00F62EE8" w:rsidRPr="007608C2" w:rsidRDefault="00F62EE8" w:rsidP="00F62EE8">
      <w:pPr>
        <w:spacing w:before="100" w:beforeAutospacing="1" w:after="100" w:afterAutospacing="1" w:line="240" w:lineRule="auto"/>
        <w:ind w:left="360"/>
        <w:contextualSpacing/>
        <w:jc w:val="both"/>
        <w:rPr>
          <w:rFonts w:cs="Arial"/>
          <w:b/>
        </w:rPr>
      </w:pPr>
    </w:p>
    <w:p w:rsidR="00F62EE8" w:rsidRPr="007608C2" w:rsidRDefault="00F62EE8" w:rsidP="00F62EE8">
      <w:pPr>
        <w:spacing w:before="100" w:beforeAutospacing="1" w:after="100" w:afterAutospacing="1" w:line="240" w:lineRule="auto"/>
        <w:jc w:val="both"/>
        <w:rPr>
          <w:rFonts w:cs="Arial"/>
        </w:rPr>
      </w:pPr>
      <w:r w:rsidRPr="007608C2">
        <w:rPr>
          <w:rFonts w:cs="Arial"/>
        </w:rPr>
        <w:t>El Sistema Nacional de Bienestar Familiar (SNBF) tiene dentro sus objetivos el logro de la protección integral de la primera infancia, infancia y adolescencia a través de una respuesta articulada y oportuna del Estado, incluyendo dentro de los derechos de protección la atención de los riesgos y efectos producidos por desastres naturales y demás situaciones de emergencia.  Así mismo, el Sistema Nacional de Gestión del Riesgo de Desastres (SNGRD) se concibe como el conjunto de entidades públicas, privadas y comunitarias, de políticas, normas, procesos, recursos, planes, estrategias, instrumentos, mecanismos, que se aplica de manera organizada para garantizar la gestión del riesgo en el país, lo cual conlleva necesariamente a revisar la interrelación de las entidades que conforman el Sistema Nacional de Bienestar Familiar (SNBF) y el Sistema Nacional de Gestión del Riesgo de Desastres (SNGRD, con el fin de generar una articulación inter-sistémica que permita identificar la necesidad de incorporar los temas de primera infancia y adolescencia en la gestión del riesgo de desastres.</w:t>
      </w:r>
    </w:p>
    <w:p w:rsidR="00F62EE8" w:rsidRPr="007608C2" w:rsidRDefault="00F62EE8" w:rsidP="00F62EE8">
      <w:pPr>
        <w:spacing w:before="100" w:beforeAutospacing="1" w:after="100" w:afterAutospacing="1" w:line="240" w:lineRule="auto"/>
        <w:jc w:val="both"/>
        <w:rPr>
          <w:rFonts w:cs="Arial"/>
        </w:rPr>
      </w:pPr>
      <w:r w:rsidRPr="007608C2">
        <w:rPr>
          <w:rFonts w:cs="Arial"/>
        </w:rPr>
        <w:t>Se identifican los siguientes resultados en la vigencia 2017:</w:t>
      </w:r>
    </w:p>
    <w:p w:rsidR="00F62EE8"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Se desarrollaron jornadas de trabajo y mesas técnicas entre el Instituto Colombiano de Bienestar Familiar (ICBF), UNICEF, Save The Children, Comisión Intersectorial para la primera infancia (CIPI), Unidad Nacional para la Gestión del Riesgo</w:t>
      </w:r>
      <w:r w:rsidR="00994797">
        <w:rPr>
          <w:rFonts w:cs="Arial"/>
        </w:rPr>
        <w:t xml:space="preserve"> de Desastres (UNGRD), para la </w:t>
      </w:r>
      <w:r w:rsidRPr="007608C2">
        <w:rPr>
          <w:rFonts w:cs="Arial"/>
        </w:rPr>
        <w:t>estructuración de documentos orientadores sobre la gestión de riesgos con enfo</w:t>
      </w:r>
      <w:r w:rsidR="00994797">
        <w:rPr>
          <w:rFonts w:cs="Arial"/>
        </w:rPr>
        <w:t>que de niñez.</w:t>
      </w:r>
    </w:p>
    <w:p w:rsidR="00994797" w:rsidRPr="007608C2" w:rsidRDefault="00994797" w:rsidP="00994797">
      <w:pPr>
        <w:pStyle w:val="Prrafodelista"/>
        <w:autoSpaceDE w:val="0"/>
        <w:autoSpaceDN w:val="0"/>
        <w:spacing w:before="100" w:beforeAutospacing="1" w:after="100" w:afterAutospacing="1" w:line="240" w:lineRule="auto"/>
        <w:ind w:left="360"/>
        <w:contextualSpacing/>
        <w:jc w:val="both"/>
        <w:rPr>
          <w:rFonts w:cs="Arial"/>
        </w:rPr>
      </w:pPr>
    </w:p>
    <w:p w:rsidR="00F62EE8"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 xml:space="preserve">Se elaboraron documentos que buscan contribuir al fortalecimiento del Sistema Nacional de Bienestar Familiar en el marco de la normatividad del Sistema Nacional de Gestión del riesgo de desastres, uno de estos es el de “Contenidos y Herramientas Técnicas del Enfoque de Niñez en la Gestión del Riesgo de Desastres”, que incluye un Mapeo de actores de la gestión del riesgo de desastres que permite la identificación de los diferentes agentes y su rol en la gestión del riesgo, así mismo se generaron unas orientaciones para construir el enfoque de </w:t>
      </w:r>
      <w:r w:rsidRPr="007608C2">
        <w:rPr>
          <w:rFonts w:cs="Arial"/>
        </w:rPr>
        <w:lastRenderedPageBreak/>
        <w:t>niñez en la preparación, respuesta y recuperación frente a emergencia del Sistema Nacional de Gestión del Riesgo de Desastres.</w:t>
      </w:r>
      <w:r w:rsidR="00D4291B" w:rsidRPr="007608C2">
        <w:rPr>
          <w:rFonts w:cs="Arial"/>
        </w:rPr>
        <w:t xml:space="preserve"> </w:t>
      </w:r>
      <w:r w:rsidRPr="007608C2">
        <w:rPr>
          <w:rFonts w:cs="Arial"/>
        </w:rPr>
        <w:t xml:space="preserve">Se estructuró un documento sobre la Ruta de </w:t>
      </w:r>
      <w:r w:rsidR="00994797" w:rsidRPr="007608C2">
        <w:rPr>
          <w:rFonts w:cs="Arial"/>
        </w:rPr>
        <w:t>respuesta en</w:t>
      </w:r>
      <w:r w:rsidRPr="007608C2">
        <w:rPr>
          <w:rFonts w:cs="Arial"/>
        </w:rPr>
        <w:t xml:space="preserve"> situaciones de desastre y ofrece una línea para coordinar a los agentes e instancias del Sistema Nacional de Bienestar Familiar, en función de la protección integral de Niños, Niñas, Adolecentes </w:t>
      </w:r>
      <w:r w:rsidR="00994797">
        <w:rPr>
          <w:rFonts w:cs="Arial"/>
        </w:rPr>
        <w:t>y el fortalecimiento familiar.</w:t>
      </w:r>
    </w:p>
    <w:p w:rsidR="00994797" w:rsidRPr="00994797" w:rsidRDefault="00994797" w:rsidP="00994797">
      <w:pPr>
        <w:pStyle w:val="Prrafodelista"/>
        <w:autoSpaceDE w:val="0"/>
        <w:autoSpaceDN w:val="0"/>
        <w:spacing w:before="100" w:beforeAutospacing="1" w:after="100" w:afterAutospacing="1" w:line="240" w:lineRule="auto"/>
        <w:ind w:left="360"/>
        <w:contextualSpacing/>
        <w:jc w:val="both"/>
        <w:rPr>
          <w:rFonts w:cs="Arial"/>
        </w:rPr>
      </w:pPr>
    </w:p>
    <w:p w:rsidR="00F62EE8" w:rsidRPr="007608C2" w:rsidRDefault="00F62EE8"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Luego de la Creciente Súbita en el Municipio de Corinto en Cauca el 7 de noviembre de 2017, que afecto a más de 300 familias, la Dirección del SNBF  lideró las acciones de atención de la emergencia coordinado con la Dirección del ICBF, para lo cual se participó activamente en el Puesto de Mando Unificado PMU, planeando y ejecutando las estrategias que permitiera que después del pasado 8 de noviembre, logrando que tanto al interior del Instituto de Bienestar Familiar, como con los Agentes del Sistema Nacional de Bienestar Familiar se trabajara sin cansancio y en 10 días retornara a la normalización de los diferentes servicios que se brindan en la zona.</w:t>
      </w:r>
    </w:p>
    <w:p w:rsidR="00476120" w:rsidRPr="007608C2" w:rsidRDefault="00476120" w:rsidP="000D0DF1">
      <w:pPr>
        <w:pStyle w:val="Ttulo2"/>
        <w:numPr>
          <w:ilvl w:val="2"/>
          <w:numId w:val="160"/>
        </w:numPr>
        <w:rPr>
          <w:rFonts w:cs="Arial"/>
          <w:b/>
        </w:rPr>
      </w:pPr>
      <w:bookmarkStart w:id="114" w:name="_Toc505183074"/>
      <w:r w:rsidRPr="007608C2">
        <w:rPr>
          <w:rFonts w:cs="Arial"/>
          <w:b/>
        </w:rPr>
        <w:t>L</w:t>
      </w:r>
      <w:r w:rsidR="00E60C8C" w:rsidRPr="007608C2">
        <w:rPr>
          <w:rFonts w:cs="Arial"/>
          <w:b/>
        </w:rPr>
        <w:t xml:space="preserve">OGROS </w:t>
      </w:r>
      <w:r w:rsidRPr="007608C2">
        <w:rPr>
          <w:rFonts w:cs="Arial"/>
          <w:b/>
        </w:rPr>
        <w:t>2017</w:t>
      </w:r>
      <w:bookmarkEnd w:id="114"/>
    </w:p>
    <w:p w:rsidR="00C73C1C" w:rsidRPr="00B2542C"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lang w:eastAsia="es-CO"/>
        </w:rPr>
        <w:t xml:space="preserve">Se fortaleció el rol del ICBF como rector del SNBF a través de sus instancias de </w:t>
      </w:r>
      <w:r w:rsidRPr="007608C2">
        <w:rPr>
          <w:rFonts w:cs="Arial"/>
        </w:rPr>
        <w:t xml:space="preserve">coordinación, logrando materializar avances importantes y generando procesos que coadyuvan el desarrollo de componentes del sistema y a fortalecer decisiones de política pública que permitieron garantizar la protección integral de los niños, las niñas y los adolescentes. Cabe resaltar que en febrero de 2017 sesionó el Consejo Nacional de Política Social el cual aprobó la Estrategia Nacional para la Prevención del Embarazo en la Adolescencia y se brindaron orientaciones para la consolidación de la atención de los adolescentes en el Sistema de Responsabilidad Penal para Adolescentes. Adicionalmente </w:t>
      </w:r>
      <w:r w:rsidRPr="00B2542C">
        <w:rPr>
          <w:rFonts w:cs="Arial"/>
        </w:rPr>
        <w:t>se realizó seguimiento y monitoreo al funcionamiento de los Consejos de Política Social en el primer trimestre de 2017; se elaboró y entregó a la Procuraduría General de la Nación el Informe de Seguimiento a los Procesos de Gestión de los Consejos de Política Social del año 2016 y se elaboró el informe del funcionamiento de los mismos para el primer semestre de 2017.</w:t>
      </w:r>
    </w:p>
    <w:p w:rsidR="00B2542C" w:rsidRPr="00B2542C" w:rsidRDefault="00B2542C" w:rsidP="00B2542C">
      <w:pPr>
        <w:pStyle w:val="Prrafodelista"/>
        <w:autoSpaceDE w:val="0"/>
        <w:autoSpaceDN w:val="0"/>
        <w:spacing w:before="100" w:beforeAutospacing="1" w:after="100" w:afterAutospacing="1" w:line="240" w:lineRule="auto"/>
        <w:ind w:left="360"/>
        <w:contextualSpacing/>
        <w:jc w:val="both"/>
        <w:rPr>
          <w:rFonts w:cs="Arial"/>
        </w:rPr>
      </w:pPr>
    </w:p>
    <w:p w:rsidR="00B2542C"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A través del acompañamiento a los Consejos de Política Social en el ámbito territorial se logró que éstos formulen planes de acción, incluyan en su estructura las mesas de infancia, adolescencia y familia, las mesas de participación de niños y niñas, y se realice un seguimiento a la formulación e implementación de las políticas públicas de infancia y adolescencia.</w:t>
      </w:r>
    </w:p>
    <w:p w:rsidR="00B2542C" w:rsidRPr="00B2542C" w:rsidRDefault="00B2542C" w:rsidP="00B2542C">
      <w:pPr>
        <w:pStyle w:val="Prrafodelista"/>
        <w:autoSpaceDE w:val="0"/>
        <w:autoSpaceDN w:val="0"/>
        <w:spacing w:before="100" w:beforeAutospacing="1" w:after="100" w:afterAutospacing="1" w:line="240" w:lineRule="auto"/>
        <w:ind w:left="360"/>
        <w:contextualSpacing/>
        <w:jc w:val="both"/>
        <w:rPr>
          <w:rFonts w:cs="Arial"/>
        </w:rPr>
      </w:pPr>
    </w:p>
    <w:p w:rsidR="00C73C1C"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Se finalizó la construcción del Plan de Acción Nacional del SNBF, instrumento de gestión del Sistema que logra el compromiso de los agentes del SNBF del orden nacional con la protección integral de niños, niñas y adolescentes y a su vez contribuye al cumplimiento de las metas de gobierno en el cuatrienio a partir de la articulación del SNBF. Se realizó el seguimiento al Plan, contando con el reporte de los agentes frente a los avances en 2016. En cuanto al ámbito territorial, se definió la herramienta de planeación del SNBF y se elaboraron dos documentos de orientación para los territorios: un ABC de los planes de acción del SNBF en territorio y un ABC de las políticas públi</w:t>
      </w:r>
      <w:r w:rsidR="00B2542C">
        <w:rPr>
          <w:rFonts w:cs="Arial"/>
        </w:rPr>
        <w:t>cas de infancia y adolescencia.</w:t>
      </w:r>
    </w:p>
    <w:p w:rsidR="00B2542C" w:rsidRPr="00B2542C" w:rsidRDefault="00B2542C" w:rsidP="00B2542C">
      <w:pPr>
        <w:pStyle w:val="Prrafodelista"/>
        <w:rPr>
          <w:rFonts w:cs="Arial"/>
        </w:rPr>
      </w:pPr>
    </w:p>
    <w:p w:rsidR="00C73C1C"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lastRenderedPageBreak/>
        <w:t>El Comité Ejecutivo del SNBF se continúa consolidando como la instancia de coordinación, operación y evaluación del SNBF en el cual se discuten y validan las diferentes herramientas de gestión del SNBF, las propuestas de política pública relacionadas con la protección integral de niños, niñas y adolescentes y el fortalecimiento familiar, propuestas de índole normativo, entre otras.  Durante 2017 se ha avanzado en aprobar la ruta para el desarrollo de la Rendición Publica de Cuentas Nacional sobre la Garantía de los derechos de la Niñez;  se presentó concepto sobre la modificación del Decreto 859 de 1995 que creó el Comité Nacional de Erradicación de Trabajo Infantil; se presentó retroalimentación sobre la Guía para la elaboración de Planes de Acción del SNBF en territorio y se ha hecho el seguimiento a los compromisos que quedaron de la sesión No. 10 del Consejo Nacional de Política Social.</w:t>
      </w:r>
    </w:p>
    <w:p w:rsidR="00B2542C" w:rsidRPr="007608C2" w:rsidRDefault="00B2542C" w:rsidP="00B2542C">
      <w:pPr>
        <w:pStyle w:val="Prrafodelista"/>
        <w:autoSpaceDE w:val="0"/>
        <w:autoSpaceDN w:val="0"/>
        <w:spacing w:before="100" w:beforeAutospacing="1" w:after="100" w:afterAutospacing="1" w:line="240" w:lineRule="auto"/>
        <w:ind w:left="360"/>
        <w:contextualSpacing/>
        <w:jc w:val="both"/>
        <w:rPr>
          <w:rFonts w:cs="Arial"/>
        </w:rPr>
      </w:pPr>
    </w:p>
    <w:p w:rsidR="00C73C1C"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Se alcanzó a consolidar el proceso de Rendición Pública de Cuentas sobre la Garantía de los Derechos de la Niñez en el marco del Comité Ejecutivo del SNBF. Además, se definió la estructura de análisis de la información y categorización de insumos con el fin de que las entidades que integran el SNBF validen y</w:t>
      </w:r>
      <w:r w:rsidR="00B2542C">
        <w:rPr>
          <w:rFonts w:cs="Arial"/>
        </w:rPr>
        <w:t xml:space="preserve"> complementen esta información.</w:t>
      </w:r>
    </w:p>
    <w:p w:rsidR="00B2542C" w:rsidRPr="00B2542C" w:rsidRDefault="00B2542C" w:rsidP="005A33F9">
      <w:pPr>
        <w:pStyle w:val="Prrafodelista"/>
        <w:autoSpaceDE w:val="0"/>
        <w:autoSpaceDN w:val="0"/>
        <w:spacing w:before="100" w:beforeAutospacing="1" w:after="100" w:afterAutospacing="1" w:line="240" w:lineRule="auto"/>
        <w:ind w:left="360"/>
        <w:contextualSpacing/>
        <w:jc w:val="both"/>
        <w:rPr>
          <w:rFonts w:cs="Arial"/>
        </w:rPr>
      </w:pPr>
    </w:p>
    <w:p w:rsidR="00C73C1C"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 xml:space="preserve">Se generó incidencia en los planes de desarrollo del 100% de las entidades territoriales del país, lo que permitió un avance en materia de planeación para los temas de niñez en todo el territorio nacional. Cabe anotar que en este proceso se recogieron aprendizajes de los procesos anteriores y se avanzó en contar con una herramienta alienada con las orientaciones de planeación nacional que facilitó la planeación territorial. En el 2017 </w:t>
      </w:r>
      <w:r w:rsidRPr="00B2542C">
        <w:rPr>
          <w:rFonts w:cs="Arial"/>
        </w:rPr>
        <w:t>se realizó la revisión y ajuste de las versiones de documentos de valoración de planes de desarrollo individuales, agregados por departamento y</w:t>
      </w:r>
      <w:r w:rsidRPr="007608C2">
        <w:rPr>
          <w:rFonts w:cs="Arial"/>
        </w:rPr>
        <w:t xml:space="preserve"> s</w:t>
      </w:r>
      <w:r w:rsidRPr="00B2542C">
        <w:rPr>
          <w:rFonts w:cs="Arial"/>
        </w:rPr>
        <w:t>é están definiendo los agregados de los análisis individuales de planes de desarrollo: nacional, departamental, prioridades de</w:t>
      </w:r>
      <w:r w:rsidR="00B2542C">
        <w:rPr>
          <w:rFonts w:cs="Arial"/>
        </w:rPr>
        <w:t xml:space="preserve"> políticas públicas nacionales.</w:t>
      </w:r>
    </w:p>
    <w:p w:rsidR="00B2542C" w:rsidRPr="005A33F9" w:rsidRDefault="00B2542C" w:rsidP="005A33F9">
      <w:pPr>
        <w:pStyle w:val="Prrafodelista"/>
        <w:autoSpaceDE w:val="0"/>
        <w:autoSpaceDN w:val="0"/>
        <w:spacing w:before="100" w:beforeAutospacing="1" w:after="100" w:afterAutospacing="1" w:line="240" w:lineRule="auto"/>
        <w:ind w:left="360"/>
        <w:contextualSpacing/>
        <w:jc w:val="both"/>
        <w:rPr>
          <w:rFonts w:cs="Arial"/>
        </w:rPr>
      </w:pPr>
    </w:p>
    <w:p w:rsidR="005A33F9"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 xml:space="preserve">Se afianzó la labor de alcaldías y gobernaciones frente a sus responsabilidades con la niñez, y se </w:t>
      </w:r>
      <w:r w:rsidRPr="00B2542C">
        <w:rPr>
          <w:rFonts w:cs="Arial"/>
        </w:rPr>
        <w:t xml:space="preserve">posicionó el esquema de seguimiento a la Garantía de Derechos de los niños, niñas y adolescentes a través del </w:t>
      </w:r>
      <w:r w:rsidRPr="007608C2">
        <w:rPr>
          <w:rFonts w:cs="Arial"/>
        </w:rPr>
        <w:t>acompañamiento técnico a los municipios y departamentos, el mejoramiento del Sistema Único de Información de la Niñez –SUIN-,</w:t>
      </w:r>
      <w:r w:rsidRPr="00B2542C">
        <w:rPr>
          <w:rFonts w:cs="Arial"/>
        </w:rPr>
        <w:t xml:space="preserve"> y el acompañamiento técnico a las entidades territoriales para el diligenciamiento del Módulo de Información Territorial de dicho sistema de información.</w:t>
      </w:r>
    </w:p>
    <w:p w:rsidR="00C73C1C" w:rsidRPr="005A33F9" w:rsidRDefault="00C73C1C" w:rsidP="005A33F9">
      <w:pPr>
        <w:pStyle w:val="Prrafodelista"/>
        <w:autoSpaceDE w:val="0"/>
        <w:autoSpaceDN w:val="0"/>
        <w:spacing w:before="100" w:beforeAutospacing="1" w:after="100" w:afterAutospacing="1" w:line="240" w:lineRule="auto"/>
        <w:ind w:left="360"/>
        <w:contextualSpacing/>
        <w:jc w:val="both"/>
        <w:rPr>
          <w:rFonts w:cs="Arial"/>
        </w:rPr>
      </w:pPr>
    </w:p>
    <w:p w:rsidR="00C73C1C"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 xml:space="preserve">Se desarrolló un fortalecimiento de la gestión territorial con el acompañamiento y seguimiento de la </w:t>
      </w:r>
      <w:r w:rsidRPr="00B2542C">
        <w:rPr>
          <w:rFonts w:cs="Arial"/>
        </w:rPr>
        <w:t>Ruta Integral de Atenciones</w:t>
      </w:r>
      <w:r w:rsidRPr="007608C2">
        <w:rPr>
          <w:rFonts w:cs="Arial"/>
        </w:rPr>
        <w:t>, mediante un proceso de asistencia técnica para la gestión de las políticas públicas de primera infancia con desarrollos metodológicos que han facilitado a los territorios el acercamiento y abordaje de los fundamentos políticos, técnicos y de gestión para la atención integral a la primera infancia, con avances heterogéneos que responden a las particularidades de cada territorio. Se comunicó a los referentes del SNBF los objetivos y lineamientos contemplados dentro del marco de implementación del Sistema de Seguimiento al Desarrollo Integral (SSNN), además de promover el proceso temprano de incidencia del Sistema en las Mesas de Infancia, Adolescencia y Fortalecimiento Familiar –MIAFF- y en los Consejos de Política Social territoriales.</w:t>
      </w:r>
    </w:p>
    <w:p w:rsidR="005A33F9" w:rsidRPr="00B2542C" w:rsidRDefault="005A33F9" w:rsidP="005A33F9">
      <w:pPr>
        <w:pStyle w:val="Prrafodelista"/>
        <w:autoSpaceDE w:val="0"/>
        <w:autoSpaceDN w:val="0"/>
        <w:spacing w:before="100" w:beforeAutospacing="1" w:after="100" w:afterAutospacing="1" w:line="240" w:lineRule="auto"/>
        <w:ind w:left="360"/>
        <w:contextualSpacing/>
        <w:jc w:val="both"/>
        <w:rPr>
          <w:rFonts w:cs="Arial"/>
        </w:rPr>
      </w:pPr>
    </w:p>
    <w:p w:rsidR="00C73C1C" w:rsidRPr="00B2542C"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B2542C">
        <w:rPr>
          <w:rFonts w:cs="Arial"/>
        </w:rPr>
        <w:t xml:space="preserve">Articulación del SNBF para el manejo de la emergencia en el municipio Mocoa, Departamento del Putumayo, relacionada con la atención a los niños, niñas y adolescentes y las familias. </w:t>
      </w:r>
      <w:r w:rsidRPr="00B2542C">
        <w:rPr>
          <w:rFonts w:cs="Arial"/>
        </w:rPr>
        <w:lastRenderedPageBreak/>
        <w:t xml:space="preserve">Articulación de las entidades que conforman la Unidad de Riesgo de Desastres –SNGRD- y apoyo en la coordinación de las Unidades Móviles del ICBF para orientar el monitoreo situación de los derechos de los niños, niñas, adolescentes y familias ubicadas en los albergues instalados en el municipio. </w:t>
      </w:r>
    </w:p>
    <w:p w:rsidR="00476120" w:rsidRPr="007608C2" w:rsidRDefault="00476120" w:rsidP="000D0DF1">
      <w:pPr>
        <w:pStyle w:val="Ttulo2"/>
        <w:numPr>
          <w:ilvl w:val="2"/>
          <w:numId w:val="160"/>
        </w:numPr>
        <w:rPr>
          <w:rFonts w:cs="Arial"/>
          <w:b/>
        </w:rPr>
      </w:pPr>
      <w:bookmarkStart w:id="115" w:name="_Toc505183075"/>
      <w:r w:rsidRPr="007608C2">
        <w:rPr>
          <w:rFonts w:cs="Arial"/>
          <w:b/>
        </w:rPr>
        <w:t>R</w:t>
      </w:r>
      <w:r w:rsidR="00E60C8C" w:rsidRPr="007608C2">
        <w:rPr>
          <w:rFonts w:cs="Arial"/>
          <w:b/>
        </w:rPr>
        <w:t>ETOS</w:t>
      </w:r>
      <w:r w:rsidRPr="007608C2">
        <w:rPr>
          <w:rFonts w:cs="Arial"/>
          <w:b/>
        </w:rPr>
        <w:t xml:space="preserve"> 2018</w:t>
      </w:r>
      <w:bookmarkEnd w:id="115"/>
    </w:p>
    <w:p w:rsidR="00C73C1C"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lang w:eastAsia="es-CO"/>
        </w:rPr>
        <w:t xml:space="preserve">Realizar evaluación del Plan de Acción del SNBF 2015-2018, así como, implementarlo y </w:t>
      </w:r>
      <w:r w:rsidRPr="007608C2">
        <w:rPr>
          <w:rFonts w:cs="Arial"/>
        </w:rPr>
        <w:t>hacerle seguimiento, el cual requiere de la gestión permanente del equipo del SNBF y del compromiso de las entidades que conforman el</w:t>
      </w:r>
      <w:r w:rsidR="005A33F9">
        <w:rPr>
          <w:rFonts w:cs="Arial"/>
        </w:rPr>
        <w:t xml:space="preserve"> Sistema en el ámbito nacional.</w:t>
      </w:r>
    </w:p>
    <w:p w:rsidR="005A33F9" w:rsidRPr="007608C2" w:rsidRDefault="005A33F9" w:rsidP="005A33F9">
      <w:pPr>
        <w:pStyle w:val="Prrafodelista"/>
        <w:autoSpaceDE w:val="0"/>
        <w:autoSpaceDN w:val="0"/>
        <w:spacing w:before="100" w:beforeAutospacing="1" w:after="100" w:afterAutospacing="1" w:line="240" w:lineRule="auto"/>
        <w:ind w:left="360"/>
        <w:contextualSpacing/>
        <w:jc w:val="both"/>
        <w:rPr>
          <w:rFonts w:cs="Arial"/>
        </w:rPr>
      </w:pPr>
    </w:p>
    <w:p w:rsidR="00C73C1C"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Formular los planes de acción del SNBF a nivel territorial a partir de la herramienta construida para tal fin y con las orientaciones consignadas en el ABC de los Planes de Acción del SNBF.</w:t>
      </w:r>
    </w:p>
    <w:p w:rsidR="005A33F9" w:rsidRPr="005A33F9" w:rsidRDefault="005A33F9" w:rsidP="005A33F9">
      <w:pPr>
        <w:pStyle w:val="Prrafodelista"/>
        <w:autoSpaceDE w:val="0"/>
        <w:autoSpaceDN w:val="0"/>
        <w:spacing w:before="100" w:beforeAutospacing="1" w:after="100" w:afterAutospacing="1" w:line="240" w:lineRule="auto"/>
        <w:ind w:left="360"/>
        <w:contextualSpacing/>
        <w:jc w:val="both"/>
        <w:rPr>
          <w:rFonts w:cs="Arial"/>
        </w:rPr>
      </w:pPr>
    </w:p>
    <w:p w:rsidR="00C73C1C"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5A33F9">
        <w:rPr>
          <w:rFonts w:cs="Arial"/>
        </w:rPr>
        <w:t xml:space="preserve">Continuar el trabajo de </w:t>
      </w:r>
      <w:r w:rsidRPr="007608C2">
        <w:rPr>
          <w:rFonts w:cs="Arial"/>
        </w:rPr>
        <w:t>articulación interna para la aplicación del Modelo de Enfoque Diferencial de Derechos del ICBF y potenciar las acciones que se realizan en el marco del SNBF con grupos étnicos y poblaciones víctima</w:t>
      </w:r>
      <w:r w:rsidR="005A33F9">
        <w:rPr>
          <w:rFonts w:cs="Arial"/>
        </w:rPr>
        <w:t xml:space="preserve"> con discapacidad, entre otras.</w:t>
      </w:r>
    </w:p>
    <w:p w:rsidR="005A33F9" w:rsidRPr="005A33F9" w:rsidRDefault="005A33F9" w:rsidP="005A33F9">
      <w:pPr>
        <w:pStyle w:val="Prrafodelista"/>
        <w:autoSpaceDE w:val="0"/>
        <w:autoSpaceDN w:val="0"/>
        <w:spacing w:before="100" w:beforeAutospacing="1" w:after="100" w:afterAutospacing="1" w:line="240" w:lineRule="auto"/>
        <w:ind w:left="360"/>
        <w:contextualSpacing/>
        <w:jc w:val="both"/>
        <w:rPr>
          <w:rFonts w:cs="Arial"/>
        </w:rPr>
      </w:pPr>
    </w:p>
    <w:p w:rsidR="00C73C1C"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Consolidar la metodología de medición del gasto público en niñez para iniciar su implementación con todas las entidades del orden nacional a finales de 2017.</w:t>
      </w:r>
    </w:p>
    <w:p w:rsidR="005A33F9" w:rsidRPr="005A33F9" w:rsidRDefault="005A33F9" w:rsidP="005A33F9">
      <w:pPr>
        <w:pStyle w:val="Prrafodelista"/>
        <w:autoSpaceDE w:val="0"/>
        <w:autoSpaceDN w:val="0"/>
        <w:spacing w:before="100" w:beforeAutospacing="1" w:after="100" w:afterAutospacing="1" w:line="240" w:lineRule="auto"/>
        <w:ind w:left="360"/>
        <w:contextualSpacing/>
        <w:jc w:val="both"/>
        <w:rPr>
          <w:rFonts w:cs="Arial"/>
        </w:rPr>
      </w:pPr>
    </w:p>
    <w:p w:rsidR="00E629A5" w:rsidRPr="00E629A5"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5A33F9">
        <w:rPr>
          <w:rFonts w:cs="Arial"/>
        </w:rPr>
        <w:t>Acompañar a las entidades territoriales en la implementación de sus Planes de Desarrollo, mediante asistencia técnica</w:t>
      </w:r>
      <w:r w:rsidRPr="007608C2">
        <w:rPr>
          <w:rFonts w:cs="Arial"/>
        </w:rPr>
        <w:t xml:space="preserve"> en el desarrollo de sus políticas orientadas a la protección integral de niños, niñas y adolescentes y el fortalecimiento de las familias como entornos protectores y garantes de derechos para esta población.</w:t>
      </w:r>
    </w:p>
    <w:p w:rsidR="005A33F9" w:rsidRPr="005A33F9" w:rsidRDefault="005A33F9" w:rsidP="00E629A5">
      <w:pPr>
        <w:pStyle w:val="Prrafodelista"/>
        <w:autoSpaceDE w:val="0"/>
        <w:autoSpaceDN w:val="0"/>
        <w:spacing w:before="100" w:beforeAutospacing="1" w:after="100" w:afterAutospacing="1" w:line="240" w:lineRule="auto"/>
        <w:ind w:left="360"/>
        <w:contextualSpacing/>
        <w:jc w:val="both"/>
        <w:rPr>
          <w:rFonts w:cs="Arial"/>
        </w:rPr>
      </w:pPr>
    </w:p>
    <w:p w:rsidR="00E629A5"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Fortalecer la rectoría del SNBF en los ámbitos nacional y local a partir de la elaboración de un balance sobre la capacidad de articulación, la identificación de roles de todos los agentes, y el seguimiento a la realización de la garantía de los derechos.</w:t>
      </w:r>
    </w:p>
    <w:p w:rsidR="00C73C1C" w:rsidRPr="00E629A5" w:rsidRDefault="00C73C1C" w:rsidP="00E629A5">
      <w:pPr>
        <w:pStyle w:val="Prrafodelista"/>
        <w:autoSpaceDE w:val="0"/>
        <w:autoSpaceDN w:val="0"/>
        <w:spacing w:before="100" w:beforeAutospacing="1" w:after="100" w:afterAutospacing="1" w:line="240" w:lineRule="auto"/>
        <w:ind w:left="360"/>
        <w:contextualSpacing/>
        <w:jc w:val="both"/>
        <w:rPr>
          <w:rFonts w:cs="Arial"/>
        </w:rPr>
      </w:pPr>
    </w:p>
    <w:p w:rsidR="00C73C1C" w:rsidRPr="007608C2" w:rsidRDefault="00C73C1C" w:rsidP="00A44A2B">
      <w:pPr>
        <w:pStyle w:val="Prrafodelista"/>
        <w:numPr>
          <w:ilvl w:val="0"/>
          <w:numId w:val="98"/>
        </w:numPr>
        <w:autoSpaceDE w:val="0"/>
        <w:autoSpaceDN w:val="0"/>
        <w:spacing w:before="100" w:beforeAutospacing="1" w:after="100" w:afterAutospacing="1" w:line="240" w:lineRule="auto"/>
        <w:contextualSpacing/>
        <w:jc w:val="both"/>
        <w:rPr>
          <w:rFonts w:cs="Arial"/>
        </w:rPr>
      </w:pPr>
      <w:r w:rsidRPr="007608C2">
        <w:rPr>
          <w:rFonts w:cs="Arial"/>
        </w:rPr>
        <w:t xml:space="preserve">Implementar la estrategia de asistencia técnica para la formulación de los planes de acción del SNBF en territorio, de manera que alcaldías y gobernaciones cuenten con una sola herramienta de gestión que les permita consignar las acciones dirigidas a la niñez y realizar su seguimiento de manera periódica. </w:t>
      </w:r>
    </w:p>
    <w:p w:rsidR="00C73C1C" w:rsidRPr="007608C2" w:rsidRDefault="00C73C1C" w:rsidP="00C73C1C">
      <w:pPr>
        <w:pStyle w:val="Prrafodelista"/>
        <w:spacing w:before="100" w:beforeAutospacing="1" w:after="100" w:afterAutospacing="1" w:line="240" w:lineRule="auto"/>
        <w:ind w:left="360"/>
        <w:contextualSpacing/>
        <w:jc w:val="both"/>
        <w:rPr>
          <w:rFonts w:cs="Arial"/>
        </w:rPr>
      </w:pPr>
    </w:p>
    <w:p w:rsidR="00D10FF2" w:rsidRPr="007608C2" w:rsidRDefault="00D10FF2" w:rsidP="00D31DC2">
      <w:pPr>
        <w:pStyle w:val="Prrafodelista"/>
        <w:spacing w:before="100" w:beforeAutospacing="1" w:after="100" w:afterAutospacing="1" w:line="240" w:lineRule="auto"/>
        <w:ind w:left="720"/>
        <w:contextualSpacing/>
        <w:jc w:val="both"/>
        <w:rPr>
          <w:rFonts w:cs="Arial"/>
        </w:rPr>
      </w:pPr>
    </w:p>
    <w:p w:rsidR="00D10FF2" w:rsidRPr="007608C2" w:rsidRDefault="00D10FF2" w:rsidP="00D31DC2">
      <w:pPr>
        <w:pStyle w:val="Prrafodelista"/>
        <w:spacing w:before="100" w:beforeAutospacing="1" w:after="100" w:afterAutospacing="1" w:line="240" w:lineRule="auto"/>
        <w:ind w:left="720"/>
        <w:contextualSpacing/>
        <w:jc w:val="both"/>
        <w:rPr>
          <w:rFonts w:cs="Arial"/>
        </w:rPr>
      </w:pPr>
    </w:p>
    <w:p w:rsidR="00D10FF2" w:rsidRPr="007608C2" w:rsidRDefault="00D10FF2" w:rsidP="00D31DC2">
      <w:pPr>
        <w:pStyle w:val="Prrafodelista"/>
        <w:spacing w:before="100" w:beforeAutospacing="1" w:after="100" w:afterAutospacing="1" w:line="240" w:lineRule="auto"/>
        <w:ind w:left="720"/>
        <w:contextualSpacing/>
        <w:jc w:val="both"/>
        <w:rPr>
          <w:rFonts w:cs="Arial"/>
        </w:rPr>
      </w:pPr>
    </w:p>
    <w:p w:rsidR="00D10FF2" w:rsidRPr="007608C2" w:rsidRDefault="00D10FF2" w:rsidP="00D31DC2">
      <w:pPr>
        <w:pStyle w:val="Prrafodelista"/>
        <w:spacing w:before="100" w:beforeAutospacing="1" w:after="100" w:afterAutospacing="1" w:line="240" w:lineRule="auto"/>
        <w:ind w:left="720"/>
        <w:contextualSpacing/>
        <w:jc w:val="both"/>
        <w:rPr>
          <w:rFonts w:cs="Arial"/>
        </w:rPr>
      </w:pPr>
    </w:p>
    <w:p w:rsidR="00D10FF2" w:rsidRPr="007608C2" w:rsidRDefault="00D10FF2" w:rsidP="00D31DC2">
      <w:pPr>
        <w:pStyle w:val="Prrafodelista"/>
        <w:spacing w:before="100" w:beforeAutospacing="1" w:after="100" w:afterAutospacing="1" w:line="240" w:lineRule="auto"/>
        <w:ind w:left="720"/>
        <w:contextualSpacing/>
        <w:jc w:val="both"/>
        <w:rPr>
          <w:rFonts w:cs="Arial"/>
        </w:rPr>
      </w:pPr>
    </w:p>
    <w:p w:rsidR="00D10FF2" w:rsidRPr="007608C2" w:rsidRDefault="00D10FF2" w:rsidP="00D31DC2">
      <w:pPr>
        <w:pStyle w:val="Prrafodelista"/>
        <w:spacing w:before="100" w:beforeAutospacing="1" w:after="100" w:afterAutospacing="1" w:line="240" w:lineRule="auto"/>
        <w:ind w:left="720"/>
        <w:contextualSpacing/>
        <w:jc w:val="both"/>
        <w:rPr>
          <w:rFonts w:cs="Arial"/>
        </w:rPr>
      </w:pPr>
    </w:p>
    <w:p w:rsidR="00D10FF2" w:rsidRPr="007608C2" w:rsidRDefault="00D10FF2" w:rsidP="00D31DC2">
      <w:pPr>
        <w:pStyle w:val="Prrafodelista"/>
        <w:spacing w:before="100" w:beforeAutospacing="1" w:after="100" w:afterAutospacing="1" w:line="240" w:lineRule="auto"/>
        <w:ind w:left="720"/>
        <w:contextualSpacing/>
        <w:jc w:val="both"/>
        <w:rPr>
          <w:rFonts w:cs="Arial"/>
        </w:rPr>
      </w:pPr>
    </w:p>
    <w:p w:rsidR="00D10FF2" w:rsidRPr="007608C2" w:rsidRDefault="00D10FF2" w:rsidP="00D31DC2">
      <w:pPr>
        <w:pStyle w:val="Prrafodelista"/>
        <w:spacing w:before="100" w:beforeAutospacing="1" w:after="100" w:afterAutospacing="1" w:line="240" w:lineRule="auto"/>
        <w:ind w:left="720"/>
        <w:contextualSpacing/>
        <w:jc w:val="both"/>
        <w:rPr>
          <w:rFonts w:cs="Arial"/>
        </w:rPr>
      </w:pPr>
    </w:p>
    <w:p w:rsidR="00D10FF2" w:rsidRPr="007608C2" w:rsidRDefault="00D10FF2" w:rsidP="00D31DC2">
      <w:pPr>
        <w:pStyle w:val="Prrafodelista"/>
        <w:spacing w:before="100" w:beforeAutospacing="1" w:after="100" w:afterAutospacing="1" w:line="240" w:lineRule="auto"/>
        <w:ind w:left="720"/>
        <w:contextualSpacing/>
        <w:jc w:val="both"/>
        <w:rPr>
          <w:rFonts w:cs="Arial"/>
        </w:rPr>
      </w:pPr>
    </w:p>
    <w:p w:rsidR="00376A88" w:rsidRPr="007608C2" w:rsidRDefault="000E0283" w:rsidP="000D0DF1">
      <w:pPr>
        <w:pStyle w:val="Ttulo1"/>
        <w:numPr>
          <w:ilvl w:val="1"/>
          <w:numId w:val="160"/>
        </w:numPr>
        <w:rPr>
          <w:rFonts w:cs="Arial"/>
          <w:kern w:val="0"/>
          <w:lang w:val="es-CO" w:eastAsia="es-CO"/>
        </w:rPr>
      </w:pPr>
      <w:hyperlink w:anchor="_Toc478635888" w:history="1">
        <w:bookmarkStart w:id="116" w:name="_Toc505183076"/>
        <w:r w:rsidR="00376A88" w:rsidRPr="007608C2">
          <w:rPr>
            <w:rStyle w:val="Hipervnculo"/>
            <w:rFonts w:cs="Arial"/>
            <w:color w:val="auto"/>
            <w:u w:val="none"/>
          </w:rPr>
          <w:t>ASUNTOS TRANSVERSALES</w:t>
        </w:r>
        <w:r w:rsidR="00D10FF2" w:rsidRPr="007608C2">
          <w:rPr>
            <w:rStyle w:val="Refdenotaalpie"/>
            <w:rFonts w:cs="Arial"/>
          </w:rPr>
          <w:footnoteReference w:id="18"/>
        </w:r>
        <w:bookmarkEnd w:id="116"/>
        <w:r w:rsidR="00376A88" w:rsidRPr="007608C2">
          <w:rPr>
            <w:rStyle w:val="Hipervnculo"/>
            <w:rFonts w:cs="Arial"/>
            <w:color w:val="auto"/>
            <w:u w:val="none"/>
          </w:rPr>
          <w:t xml:space="preserve"> </w:t>
        </w:r>
      </w:hyperlink>
    </w:p>
    <w:p w:rsidR="00D46B4D" w:rsidRPr="007608C2" w:rsidRDefault="00D46B4D" w:rsidP="00572111">
      <w:pPr>
        <w:spacing w:after="0"/>
        <w:rPr>
          <w:rFonts w:eastAsia="Times New Roman" w:cs="Arial"/>
          <w:b/>
          <w:noProof/>
          <w:highlight w:val="yellow"/>
        </w:rPr>
      </w:pPr>
      <w:r w:rsidRPr="007608C2">
        <w:rPr>
          <w:rFonts w:cs="Arial"/>
          <w:highlight w:val="yellow"/>
        </w:rPr>
        <w:fldChar w:fldCharType="begin"/>
      </w:r>
      <w:r w:rsidRPr="007608C2">
        <w:rPr>
          <w:rFonts w:cs="Arial"/>
          <w:highlight w:val="yellow"/>
        </w:rPr>
        <w:instrText xml:space="preserve"> HYPERLINK \l "_Toc478635889" </w:instrText>
      </w:r>
      <w:r w:rsidRPr="007608C2">
        <w:rPr>
          <w:rFonts w:cs="Arial"/>
          <w:highlight w:val="yellow"/>
        </w:rPr>
        <w:fldChar w:fldCharType="separate"/>
      </w:r>
      <w:bookmarkStart w:id="117" w:name="_Toc504462088"/>
    </w:p>
    <w:p w:rsidR="00D46B4D" w:rsidRPr="007608C2" w:rsidRDefault="00D46B4D" w:rsidP="000D0DF1">
      <w:pPr>
        <w:pStyle w:val="Prrafodelista"/>
        <w:keepNext/>
        <w:keepLines/>
        <w:numPr>
          <w:ilvl w:val="2"/>
          <w:numId w:val="160"/>
        </w:numPr>
        <w:spacing w:before="40" w:after="0"/>
        <w:outlineLvl w:val="1"/>
        <w:rPr>
          <w:rFonts w:eastAsiaTheme="majorEastAsia" w:cs="Arial"/>
          <w:b/>
          <w:noProof/>
          <w:szCs w:val="26"/>
        </w:rPr>
      </w:pPr>
      <w:r w:rsidRPr="007608C2">
        <w:rPr>
          <w:rFonts w:eastAsia="Times New Roman" w:cs="Arial"/>
          <w:b/>
          <w:bCs/>
          <w:noProof/>
          <w:kern w:val="32"/>
          <w:szCs w:val="26"/>
        </w:rPr>
        <w:t xml:space="preserve"> </w:t>
      </w:r>
      <w:bookmarkStart w:id="118" w:name="_Toc505183077"/>
      <w:r w:rsidRPr="007608C2">
        <w:rPr>
          <w:rFonts w:eastAsia="Times New Roman" w:cs="Arial"/>
          <w:b/>
          <w:bCs/>
          <w:noProof/>
          <w:kern w:val="32"/>
          <w:szCs w:val="26"/>
        </w:rPr>
        <w:t>Gestión del ICBF en La Guajira</w:t>
      </w:r>
      <w:bookmarkEnd w:id="117"/>
      <w:bookmarkEnd w:id="118"/>
      <w:r w:rsidRPr="007608C2">
        <w:rPr>
          <w:rFonts w:eastAsia="Times New Roman" w:cs="Arial"/>
          <w:b/>
          <w:bCs/>
          <w:noProof/>
          <w:kern w:val="32"/>
          <w:szCs w:val="26"/>
        </w:rPr>
        <w:fldChar w:fldCharType="end"/>
      </w:r>
    </w:p>
    <w:p w:rsidR="00D46B4D" w:rsidRPr="007608C2" w:rsidRDefault="00D46B4D" w:rsidP="00D46B4D">
      <w:pPr>
        <w:pBdr>
          <w:top w:val="nil"/>
          <w:left w:val="nil"/>
          <w:bottom w:val="nil"/>
          <w:right w:val="nil"/>
          <w:between w:val="nil"/>
          <w:bar w:val="nil"/>
        </w:pBdr>
        <w:spacing w:before="100" w:beforeAutospacing="1" w:after="100" w:afterAutospacing="1" w:line="240" w:lineRule="auto"/>
        <w:jc w:val="both"/>
        <w:rPr>
          <w:rFonts w:cs="Arial"/>
          <w:lang w:val="es-CO" w:eastAsia="es-CO"/>
        </w:rPr>
      </w:pPr>
      <w:r w:rsidRPr="007608C2">
        <w:rPr>
          <w:rFonts w:cs="Arial"/>
          <w:lang w:val="es-CO" w:eastAsia="es-CO"/>
        </w:rPr>
        <w:t xml:space="preserve">El ICBF participa permanente en diversos espacios de construcción interinstitucional y actividades en torno a la atención de la población en La Guajira. Entre las que se destacan la Alianza por la vida y el agua, instancia que desde junio de 2015 articula la oferta institucional para responder a la emergencia del departamento, acompañando los procesos de concertación con las comunidades indígenas y de articulación con los entes territoriales. </w:t>
      </w:r>
    </w:p>
    <w:p w:rsidR="00D46B4D" w:rsidRPr="007608C2" w:rsidRDefault="00D46B4D" w:rsidP="00D46B4D">
      <w:pPr>
        <w:pBdr>
          <w:top w:val="nil"/>
          <w:left w:val="nil"/>
          <w:bottom w:val="nil"/>
          <w:right w:val="nil"/>
          <w:between w:val="nil"/>
          <w:bar w:val="nil"/>
        </w:pBdr>
        <w:spacing w:before="100" w:beforeAutospacing="1" w:after="100" w:afterAutospacing="1" w:line="240" w:lineRule="auto"/>
        <w:jc w:val="both"/>
        <w:rPr>
          <w:rFonts w:cs="Arial"/>
          <w:lang w:val="es-CO" w:eastAsia="es-CO"/>
        </w:rPr>
      </w:pPr>
      <w:r w:rsidRPr="007608C2">
        <w:rPr>
          <w:rFonts w:cs="Arial"/>
          <w:lang w:val="es-CO" w:eastAsia="es-CO"/>
        </w:rPr>
        <w:t>En este marco y bajo el liderazgo de la Dirección de Gobierno y Áreas Estratégicas de Presidencia de la República, la Subdirección General del ICBF, realiza las siguientes actividades:</w:t>
      </w:r>
    </w:p>
    <w:p w:rsidR="00D46B4D" w:rsidRDefault="00D46B4D" w:rsidP="00A44A2B">
      <w:pPr>
        <w:numPr>
          <w:ilvl w:val="0"/>
          <w:numId w:val="46"/>
        </w:numPr>
        <w:spacing w:before="100" w:beforeAutospacing="1" w:after="100" w:afterAutospacing="1" w:line="240" w:lineRule="auto"/>
        <w:ind w:left="567" w:hanging="425"/>
        <w:contextualSpacing/>
        <w:jc w:val="both"/>
        <w:rPr>
          <w:rFonts w:cs="Arial"/>
        </w:rPr>
      </w:pPr>
      <w:r w:rsidRPr="007608C2">
        <w:rPr>
          <w:rFonts w:cs="Arial"/>
        </w:rPr>
        <w:t>Presenta mensualmente un informe de avances sobre sus gestiones en el departamento, con el fin de que sea agregado a los remitidos por otras instituciones de la Alianza y presentado a diferentes tribunales, entes de control y Altas Cortes.</w:t>
      </w:r>
    </w:p>
    <w:p w:rsidR="003A34E5" w:rsidRPr="007608C2" w:rsidRDefault="003A34E5" w:rsidP="003A34E5">
      <w:pPr>
        <w:spacing w:before="100" w:beforeAutospacing="1" w:after="100" w:afterAutospacing="1" w:line="240" w:lineRule="auto"/>
        <w:ind w:left="567"/>
        <w:contextualSpacing/>
        <w:jc w:val="both"/>
        <w:rPr>
          <w:rFonts w:cs="Arial"/>
        </w:rPr>
      </w:pPr>
    </w:p>
    <w:p w:rsidR="00D46B4D" w:rsidRDefault="00D46B4D" w:rsidP="00A44A2B">
      <w:pPr>
        <w:numPr>
          <w:ilvl w:val="0"/>
          <w:numId w:val="46"/>
        </w:numPr>
        <w:spacing w:before="100" w:beforeAutospacing="1" w:after="100" w:afterAutospacing="1" w:line="240" w:lineRule="auto"/>
        <w:ind w:left="567" w:hanging="425"/>
        <w:contextualSpacing/>
        <w:jc w:val="both"/>
        <w:rPr>
          <w:rFonts w:cs="Arial"/>
        </w:rPr>
      </w:pPr>
      <w:r w:rsidRPr="007608C2">
        <w:rPr>
          <w:rFonts w:cs="Arial"/>
        </w:rPr>
        <w:t>Actualiza periódicamente la ficha de gestión gubernamental.</w:t>
      </w:r>
    </w:p>
    <w:p w:rsidR="003A34E5" w:rsidRPr="007608C2" w:rsidRDefault="003A34E5" w:rsidP="003A34E5">
      <w:pPr>
        <w:spacing w:before="100" w:beforeAutospacing="1" w:after="100" w:afterAutospacing="1" w:line="240" w:lineRule="auto"/>
        <w:contextualSpacing/>
        <w:jc w:val="both"/>
        <w:rPr>
          <w:rFonts w:cs="Arial"/>
        </w:rPr>
      </w:pPr>
    </w:p>
    <w:p w:rsidR="00D46B4D" w:rsidRDefault="00D46B4D" w:rsidP="00A44A2B">
      <w:pPr>
        <w:numPr>
          <w:ilvl w:val="0"/>
          <w:numId w:val="46"/>
        </w:numPr>
        <w:spacing w:before="100" w:beforeAutospacing="1" w:after="100" w:afterAutospacing="1" w:line="240" w:lineRule="auto"/>
        <w:ind w:left="567" w:hanging="425"/>
        <w:contextualSpacing/>
        <w:jc w:val="both"/>
        <w:rPr>
          <w:rFonts w:cs="Arial"/>
        </w:rPr>
      </w:pPr>
      <w:r w:rsidRPr="007608C2">
        <w:rPr>
          <w:rFonts w:cs="Arial"/>
        </w:rPr>
        <w:t>Asiste a las reuniones de seguimiento y a las mesas temáticas de Agua, Salud y Nutrición y de Información.</w:t>
      </w:r>
    </w:p>
    <w:p w:rsidR="003A34E5" w:rsidRPr="007608C2" w:rsidRDefault="003A34E5" w:rsidP="003A34E5">
      <w:pPr>
        <w:spacing w:before="100" w:beforeAutospacing="1" w:after="100" w:afterAutospacing="1" w:line="240" w:lineRule="auto"/>
        <w:contextualSpacing/>
        <w:jc w:val="both"/>
        <w:rPr>
          <w:rFonts w:cs="Arial"/>
        </w:rPr>
      </w:pPr>
    </w:p>
    <w:p w:rsidR="00D46B4D" w:rsidRDefault="00D46B4D" w:rsidP="00A44A2B">
      <w:pPr>
        <w:numPr>
          <w:ilvl w:val="0"/>
          <w:numId w:val="46"/>
        </w:numPr>
        <w:spacing w:before="100" w:beforeAutospacing="1" w:after="100" w:afterAutospacing="1" w:line="240" w:lineRule="auto"/>
        <w:ind w:left="567" w:hanging="425"/>
        <w:contextualSpacing/>
        <w:jc w:val="both"/>
        <w:rPr>
          <w:rFonts w:cs="Arial"/>
        </w:rPr>
      </w:pPr>
      <w:r w:rsidRPr="007608C2">
        <w:rPr>
          <w:rFonts w:cs="Arial"/>
        </w:rPr>
        <w:t>Participa en las giras, reuniones con entes territoriales y sesiones de concertación programados por el Gobierno Nacional</w:t>
      </w:r>
      <w:r w:rsidRPr="007608C2">
        <w:rPr>
          <w:rFonts w:cs="Arial"/>
          <w:vertAlign w:val="superscript"/>
        </w:rPr>
        <w:footnoteReference w:id="19"/>
      </w:r>
      <w:r w:rsidRPr="007608C2">
        <w:rPr>
          <w:rFonts w:cs="Arial"/>
        </w:rPr>
        <w:t>.</w:t>
      </w:r>
    </w:p>
    <w:p w:rsidR="003A34E5" w:rsidRPr="007608C2" w:rsidRDefault="003A34E5" w:rsidP="003A34E5">
      <w:pPr>
        <w:spacing w:before="100" w:beforeAutospacing="1" w:after="100" w:afterAutospacing="1" w:line="240" w:lineRule="auto"/>
        <w:contextualSpacing/>
        <w:jc w:val="both"/>
        <w:rPr>
          <w:rFonts w:cs="Arial"/>
        </w:rPr>
      </w:pPr>
    </w:p>
    <w:p w:rsidR="00D46B4D" w:rsidRPr="007608C2" w:rsidRDefault="00D46B4D" w:rsidP="00D46B4D">
      <w:pPr>
        <w:spacing w:before="100" w:beforeAutospacing="1" w:after="100" w:afterAutospacing="1" w:line="240" w:lineRule="auto"/>
        <w:contextualSpacing/>
        <w:jc w:val="both"/>
        <w:rPr>
          <w:rFonts w:cs="Arial"/>
          <w:lang w:val="es-CO" w:eastAsia="es-CO"/>
        </w:rPr>
      </w:pPr>
      <w:r w:rsidRPr="007608C2">
        <w:rPr>
          <w:rFonts w:cs="Arial"/>
        </w:rPr>
        <w:t xml:space="preserve">En relación con las </w:t>
      </w:r>
      <w:r w:rsidRPr="007608C2">
        <w:rPr>
          <w:rFonts w:cs="Arial"/>
          <w:lang w:val="es-CO" w:eastAsia="es-CO"/>
        </w:rPr>
        <w:t xml:space="preserve">Medidas cautelares No. 51 de 2015 y ampliación, desde el segundo semestre de 2015 y en concordancia con los lineamientos del Ministerio de Relaciones Exteriores, el ICBF participa en el diseño, financiación y coordinación de acciones en torno a las disposiciones de la Corte Interamericana de Derechos Humanos (CIDH); en los espacios de trabajo conjunto con los peticionarios (Sr. Javier Rojas y Sra. Carolina Sáchica) y en la presentación de avances de gestión en la Alta Guajira. </w:t>
      </w:r>
    </w:p>
    <w:p w:rsidR="00D46B4D" w:rsidRPr="007608C2" w:rsidRDefault="00D46B4D" w:rsidP="00D46B4D">
      <w:pPr>
        <w:spacing w:before="100" w:beforeAutospacing="1" w:after="100" w:afterAutospacing="1" w:line="240" w:lineRule="auto"/>
        <w:contextualSpacing/>
        <w:jc w:val="both"/>
        <w:rPr>
          <w:rFonts w:cs="Arial"/>
          <w:lang w:val="es-CO" w:eastAsia="es-CO"/>
        </w:rPr>
      </w:pPr>
    </w:p>
    <w:p w:rsidR="00D46B4D" w:rsidRPr="007608C2" w:rsidRDefault="00D46B4D" w:rsidP="00D46B4D">
      <w:pPr>
        <w:spacing w:before="100" w:beforeAutospacing="1" w:after="100" w:afterAutospacing="1" w:line="240" w:lineRule="auto"/>
        <w:jc w:val="both"/>
        <w:rPr>
          <w:rFonts w:cs="Arial"/>
          <w:lang w:val="es-CO" w:eastAsia="es-CO"/>
        </w:rPr>
      </w:pPr>
      <w:r w:rsidRPr="007608C2">
        <w:rPr>
          <w:rFonts w:cs="Arial"/>
          <w:lang w:val="es-CO" w:eastAsia="es-CO"/>
        </w:rPr>
        <w:t>Para lo cual, la Subdirección General del ICBF, realizó las siguientes acciones:</w:t>
      </w:r>
    </w:p>
    <w:p w:rsidR="00D46B4D" w:rsidRDefault="00D46B4D" w:rsidP="00A44A2B">
      <w:pPr>
        <w:numPr>
          <w:ilvl w:val="0"/>
          <w:numId w:val="47"/>
        </w:numPr>
        <w:spacing w:before="100" w:beforeAutospacing="1" w:after="100" w:afterAutospacing="1" w:line="240" w:lineRule="auto"/>
        <w:ind w:left="567" w:hanging="425"/>
        <w:contextualSpacing/>
        <w:jc w:val="both"/>
        <w:rPr>
          <w:rFonts w:cs="Arial"/>
        </w:rPr>
      </w:pPr>
      <w:r w:rsidRPr="007608C2">
        <w:rPr>
          <w:rFonts w:cs="Arial"/>
        </w:rPr>
        <w:t>Apoya el diseño de alternativas de trabajo con los peticionarios.</w:t>
      </w:r>
    </w:p>
    <w:p w:rsidR="001C3A4E" w:rsidRPr="007608C2" w:rsidRDefault="001C3A4E" w:rsidP="001C3A4E">
      <w:pPr>
        <w:spacing w:before="100" w:beforeAutospacing="1" w:after="100" w:afterAutospacing="1" w:line="240" w:lineRule="auto"/>
        <w:ind w:left="567"/>
        <w:contextualSpacing/>
        <w:jc w:val="both"/>
        <w:rPr>
          <w:rFonts w:cs="Arial"/>
        </w:rPr>
      </w:pPr>
    </w:p>
    <w:p w:rsidR="001C3A4E" w:rsidRPr="001C3A4E" w:rsidRDefault="00D46B4D" w:rsidP="00A44A2B">
      <w:pPr>
        <w:numPr>
          <w:ilvl w:val="0"/>
          <w:numId w:val="47"/>
        </w:numPr>
        <w:spacing w:before="100" w:beforeAutospacing="1" w:after="100" w:afterAutospacing="1" w:line="240" w:lineRule="auto"/>
        <w:ind w:left="567" w:hanging="425"/>
        <w:contextualSpacing/>
        <w:jc w:val="both"/>
        <w:rPr>
          <w:rFonts w:cs="Arial"/>
        </w:rPr>
      </w:pPr>
      <w:r w:rsidRPr="001C3A4E">
        <w:rPr>
          <w:rFonts w:cs="Arial"/>
        </w:rPr>
        <w:t>Asiste a las reuniones de preparación o seguimiento convocadas por la Dirección de Derechos Humanos de la Cancillería.</w:t>
      </w:r>
    </w:p>
    <w:p w:rsidR="001C3A4E" w:rsidRPr="007608C2" w:rsidRDefault="001C3A4E" w:rsidP="001C3A4E">
      <w:pPr>
        <w:spacing w:before="100" w:beforeAutospacing="1" w:after="100" w:afterAutospacing="1" w:line="240" w:lineRule="auto"/>
        <w:contextualSpacing/>
        <w:jc w:val="both"/>
        <w:rPr>
          <w:rFonts w:cs="Arial"/>
        </w:rPr>
      </w:pPr>
    </w:p>
    <w:p w:rsidR="00D46B4D" w:rsidRDefault="00D46B4D" w:rsidP="00A44A2B">
      <w:pPr>
        <w:numPr>
          <w:ilvl w:val="0"/>
          <w:numId w:val="47"/>
        </w:numPr>
        <w:spacing w:before="100" w:beforeAutospacing="1" w:after="100" w:afterAutospacing="1" w:line="240" w:lineRule="auto"/>
        <w:ind w:left="567" w:hanging="425"/>
        <w:contextualSpacing/>
        <w:jc w:val="both"/>
        <w:rPr>
          <w:rFonts w:cs="Arial"/>
        </w:rPr>
      </w:pPr>
      <w:r w:rsidRPr="007608C2">
        <w:rPr>
          <w:rFonts w:cs="Arial"/>
        </w:rPr>
        <w:t>Responde -desde la competencia del ICBF- los requerimientos de información de la CIDH.</w:t>
      </w:r>
    </w:p>
    <w:p w:rsidR="001C3A4E" w:rsidRPr="007608C2" w:rsidRDefault="001C3A4E" w:rsidP="001C3A4E">
      <w:pPr>
        <w:spacing w:before="100" w:beforeAutospacing="1" w:after="100" w:afterAutospacing="1" w:line="240" w:lineRule="auto"/>
        <w:contextualSpacing/>
        <w:jc w:val="both"/>
        <w:rPr>
          <w:rFonts w:cs="Arial"/>
        </w:rPr>
      </w:pPr>
    </w:p>
    <w:p w:rsidR="00D46B4D" w:rsidRDefault="00D46B4D" w:rsidP="00A44A2B">
      <w:pPr>
        <w:numPr>
          <w:ilvl w:val="0"/>
          <w:numId w:val="47"/>
        </w:numPr>
        <w:spacing w:before="100" w:beforeAutospacing="1" w:after="100" w:afterAutospacing="1" w:line="240" w:lineRule="auto"/>
        <w:ind w:left="567" w:hanging="425"/>
        <w:contextualSpacing/>
        <w:jc w:val="both"/>
        <w:rPr>
          <w:rFonts w:cs="Arial"/>
        </w:rPr>
      </w:pPr>
      <w:r w:rsidRPr="007608C2">
        <w:rPr>
          <w:rFonts w:cs="Arial"/>
        </w:rPr>
        <w:t>Prepara informes específicos de avance en la gestión.</w:t>
      </w:r>
    </w:p>
    <w:p w:rsidR="001C3A4E" w:rsidRPr="007608C2" w:rsidRDefault="001C3A4E" w:rsidP="001C3A4E">
      <w:pPr>
        <w:spacing w:before="100" w:beforeAutospacing="1" w:after="100" w:afterAutospacing="1" w:line="240" w:lineRule="auto"/>
        <w:contextualSpacing/>
        <w:jc w:val="both"/>
        <w:rPr>
          <w:rFonts w:cs="Arial"/>
        </w:rPr>
      </w:pPr>
    </w:p>
    <w:p w:rsidR="00D46B4D" w:rsidRPr="007608C2" w:rsidRDefault="00D46B4D" w:rsidP="00D46B4D">
      <w:pPr>
        <w:spacing w:before="100" w:beforeAutospacing="1" w:after="100" w:afterAutospacing="1" w:line="240" w:lineRule="auto"/>
        <w:contextualSpacing/>
        <w:jc w:val="both"/>
        <w:rPr>
          <w:rFonts w:cs="Arial"/>
          <w:lang w:val="es-CO" w:eastAsia="es-CO"/>
        </w:rPr>
      </w:pPr>
      <w:r w:rsidRPr="007608C2">
        <w:rPr>
          <w:rFonts w:cs="Arial"/>
          <w:lang w:val="es-CO" w:eastAsia="es-CO"/>
        </w:rPr>
        <w:lastRenderedPageBreak/>
        <w:t>En lo que refiere al CONPES para La Guajira, bajo el liderazgo del Departamento Nacional de Planeación y de la Presidencia de la República, y en concordancia con la Sentencia T466 de 2016 de la Corte Constitucional, el ICBF ha contribuido -desde las diferentes Direcciones Misionales, la Dirección de Planeación y Control de Gestión y el SNBF- a la construcción de este documento, muy especialmente en el diseño de los apartes relacionados con primera infancia, niñez, adolescencia y familia.</w:t>
      </w:r>
    </w:p>
    <w:p w:rsidR="00D46B4D" w:rsidRPr="007608C2" w:rsidRDefault="00D46B4D" w:rsidP="00D46B4D">
      <w:pPr>
        <w:spacing w:before="100" w:beforeAutospacing="1" w:after="100" w:afterAutospacing="1" w:line="240" w:lineRule="auto"/>
        <w:jc w:val="both"/>
        <w:rPr>
          <w:rFonts w:cs="Arial"/>
          <w:lang w:val="es-CO" w:eastAsia="es-CO"/>
        </w:rPr>
      </w:pPr>
      <w:r w:rsidRPr="007608C2">
        <w:rPr>
          <w:rFonts w:cs="Arial"/>
          <w:lang w:val="es-CO" w:eastAsia="es-CO"/>
        </w:rPr>
        <w:t>En este marco y con base en las gestiones adelantadas durante los últimos tres años en el departamento, así como de las peticiones de las comunidades guajiras, el ICBF participa en un ejercicio en el marco de la Comisión Intersectorial para la Seguridad Alimentaria y Nutricional – CISAN, que busca revisar y adecuar el hoy texto borrador del CONPES, de manera que se incluya información suficiente para soportar el desarrollo posterior</w:t>
      </w:r>
      <w:r w:rsidRPr="007608C2">
        <w:rPr>
          <w:rFonts w:cs="Arial"/>
          <w:strike/>
          <w:lang w:val="es-CO" w:eastAsia="es-CO"/>
        </w:rPr>
        <w:t>,</w:t>
      </w:r>
      <w:r w:rsidRPr="007608C2">
        <w:rPr>
          <w:rFonts w:cs="Arial"/>
          <w:lang w:val="es-CO" w:eastAsia="es-CO"/>
        </w:rPr>
        <w:t xml:space="preserve"> de un Plan de Seguridad Alimentaria y Nutricional específico para el departamento. Lo anterior, de acuerdo con lo convenido en la sesión extraordinaria de esta instancia que tuvo lugar el pasado 17 de mayo.</w:t>
      </w:r>
    </w:p>
    <w:p w:rsidR="00D46B4D" w:rsidRPr="007608C2" w:rsidRDefault="00D46B4D" w:rsidP="00D46B4D">
      <w:pPr>
        <w:spacing w:before="100" w:beforeAutospacing="1" w:after="100" w:afterAutospacing="1" w:line="240" w:lineRule="auto"/>
        <w:jc w:val="both"/>
        <w:rPr>
          <w:rFonts w:cs="Arial"/>
          <w:b/>
        </w:rPr>
      </w:pPr>
      <w:r w:rsidRPr="007608C2">
        <w:rPr>
          <w:rFonts w:cs="Arial"/>
          <w:lang w:val="es-CO" w:eastAsia="es-CO"/>
        </w:rPr>
        <w:t xml:space="preserve">De otra parte y con miras a acompañar el proceso de socialización y concertación de la propuesta de CONPES para el departamento con las comunidades étnicas, el ICBF participa en los ejercicios de definición de la metodología propuesta por el Ministerio del Interior y el Departamento Nacional de Planeación – DNP.  Las principales </w:t>
      </w:r>
      <w:r w:rsidRPr="007608C2">
        <w:rPr>
          <w:rFonts w:cs="Arial"/>
        </w:rPr>
        <w:t>intervenciones de ICBF en el departamento fueron:</w:t>
      </w:r>
      <w:r w:rsidRPr="007608C2">
        <w:rPr>
          <w:rFonts w:cs="Arial"/>
          <w:b/>
        </w:rPr>
        <w:t xml:space="preserve"> </w:t>
      </w:r>
    </w:p>
    <w:p w:rsidR="00D46B4D" w:rsidRPr="007608C2" w:rsidRDefault="00D46B4D" w:rsidP="00A44A2B">
      <w:pPr>
        <w:numPr>
          <w:ilvl w:val="0"/>
          <w:numId w:val="82"/>
        </w:numPr>
        <w:adjustRightInd w:val="0"/>
        <w:spacing w:before="100" w:beforeAutospacing="1" w:after="100" w:afterAutospacing="1" w:line="240" w:lineRule="auto"/>
        <w:jc w:val="both"/>
        <w:rPr>
          <w:rFonts w:cs="Arial"/>
          <w:b/>
          <w:u w:val="single"/>
        </w:rPr>
      </w:pPr>
      <w:r w:rsidRPr="007608C2">
        <w:rPr>
          <w:rFonts w:cs="Arial"/>
          <w:b/>
          <w:u w:val="single"/>
        </w:rPr>
        <w:t>Atención a la Primera Infancia - Desarrollo inicial de niños y niñas, y prevención de la desnutrición</w:t>
      </w:r>
    </w:p>
    <w:p w:rsidR="00D46B4D" w:rsidRPr="007608C2" w:rsidRDefault="00D46B4D" w:rsidP="00D46B4D">
      <w:pPr>
        <w:spacing w:before="100" w:beforeAutospacing="1" w:after="100" w:afterAutospacing="1" w:line="240" w:lineRule="auto"/>
        <w:jc w:val="both"/>
        <w:rPr>
          <w:rFonts w:eastAsia="Times New Roman" w:cs="Arial"/>
        </w:rPr>
      </w:pPr>
      <w:r w:rsidRPr="007608C2">
        <w:rPr>
          <w:rFonts w:eastAsia="Times New Roman" w:cs="Arial"/>
        </w:rPr>
        <w:t xml:space="preserve">De acuerdo con el reporte del aplicativo Cuéntame y los resultados de los más recientes comités operativos, la atención de Primera Infancia en La Guajira sigue prestándose al 100% de la población. </w:t>
      </w:r>
    </w:p>
    <w:p w:rsidR="00D46B4D" w:rsidRPr="007608C2" w:rsidRDefault="00D46B4D" w:rsidP="00D46B4D">
      <w:pPr>
        <w:jc w:val="both"/>
        <w:rPr>
          <w:rFonts w:eastAsia="Times New Roman" w:cs="Arial"/>
        </w:rPr>
      </w:pPr>
      <w:r w:rsidRPr="007608C2">
        <w:rPr>
          <w:rFonts w:eastAsia="Times New Roman" w:cs="Arial"/>
        </w:rPr>
        <w:t>La mayoría de los contratos de aporte para garantizar la prestación de los servicios de educación, inicial, cuidado y nutrición durante la vigencia 2018, en las modalidades CDI y modalidad propia e intercultural, se firmaron en el cierre de la vigencia 2017, que representan cerca del 98% de la atención.  De acuerdo con las cifras suministradas por la Dirección de Planeación, la siguiente tabla da cuenta de los usuarios programados por municipio:</w:t>
      </w:r>
    </w:p>
    <w:p w:rsidR="00D46B4D" w:rsidRPr="007608C2" w:rsidRDefault="00D46B4D" w:rsidP="00D46B4D">
      <w:pPr>
        <w:spacing w:line="240" w:lineRule="auto"/>
        <w:ind w:left="993" w:hanging="993"/>
        <w:jc w:val="center"/>
        <w:rPr>
          <w:rFonts w:eastAsia="Times New Roman" w:cs="Arial"/>
          <w:b/>
          <w:lang w:val="es-ES_tradnl" w:eastAsia="es-ES_tradnl" w:bidi="x-none"/>
        </w:rPr>
      </w:pPr>
      <w:r w:rsidRPr="007608C2">
        <w:rPr>
          <w:rFonts w:eastAsia="Times New Roman" w:cs="Arial"/>
          <w:b/>
          <w:lang w:val="es-ES_tradnl" w:eastAsia="es-ES_tradnl" w:bidi="x-none"/>
        </w:rPr>
        <w:t>Cupos programados en Modali</w:t>
      </w:r>
      <w:r w:rsidR="001C3A4E">
        <w:rPr>
          <w:rFonts w:eastAsia="Times New Roman" w:cs="Arial"/>
          <w:b/>
          <w:lang w:val="es-ES_tradnl" w:eastAsia="es-ES_tradnl" w:bidi="x-none"/>
        </w:rPr>
        <w:t>dad Propia e Intercultural por M</w:t>
      </w:r>
      <w:r w:rsidRPr="007608C2">
        <w:rPr>
          <w:rFonts w:eastAsia="Times New Roman" w:cs="Arial"/>
          <w:b/>
          <w:lang w:val="es-ES_tradnl" w:eastAsia="es-ES_tradnl" w:bidi="x-none"/>
        </w:rPr>
        <w:t>unicipio</w:t>
      </w:r>
    </w:p>
    <w:tbl>
      <w:tblPr>
        <w:tblStyle w:val="Tabladecuadrcula4-nfasis6"/>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007"/>
        <w:gridCol w:w="1674"/>
      </w:tblGrid>
      <w:tr w:rsidR="00D46B4D" w:rsidRPr="001C3A4E" w:rsidTr="001C3A4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76922E"/>
            <w:noWrap/>
            <w:vAlign w:val="center"/>
          </w:tcPr>
          <w:p w:rsidR="00D46B4D" w:rsidRPr="001C3A4E" w:rsidRDefault="00D46B4D" w:rsidP="00D46B4D">
            <w:pPr>
              <w:spacing w:after="0" w:line="240" w:lineRule="auto"/>
              <w:ind w:firstLineChars="100" w:firstLine="180"/>
              <w:jc w:val="center"/>
              <w:rPr>
                <w:rFonts w:eastAsia="Times New Roman" w:cs="Arial"/>
                <w:sz w:val="18"/>
                <w:szCs w:val="18"/>
              </w:rPr>
            </w:pPr>
            <w:r w:rsidRPr="001C3A4E">
              <w:rPr>
                <w:rFonts w:eastAsia="Times New Roman" w:cs="Arial"/>
                <w:sz w:val="18"/>
                <w:szCs w:val="18"/>
              </w:rPr>
              <w:t>Municipio</w:t>
            </w:r>
          </w:p>
        </w:tc>
        <w:tc>
          <w:tcPr>
            <w:tcW w:w="1674" w:type="dxa"/>
            <w:tcBorders>
              <w:top w:val="none" w:sz="0" w:space="0" w:color="auto"/>
              <w:left w:val="none" w:sz="0" w:space="0" w:color="auto"/>
              <w:bottom w:val="none" w:sz="0" w:space="0" w:color="auto"/>
              <w:right w:val="none" w:sz="0" w:space="0" w:color="auto"/>
            </w:tcBorders>
            <w:shd w:val="clear" w:color="auto" w:fill="76922E"/>
            <w:noWrap/>
            <w:vAlign w:val="center"/>
          </w:tcPr>
          <w:p w:rsidR="00D46B4D" w:rsidRPr="001C3A4E" w:rsidRDefault="001C3A4E" w:rsidP="00D46B4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rPr>
            </w:pPr>
            <w:r>
              <w:rPr>
                <w:rFonts w:eastAsia="Times New Roman" w:cs="Arial"/>
                <w:sz w:val="18"/>
                <w:szCs w:val="18"/>
              </w:rPr>
              <w:t>No. de Cupos C</w:t>
            </w:r>
            <w:r w:rsidR="00D46B4D" w:rsidRPr="001C3A4E">
              <w:rPr>
                <w:rFonts w:eastAsia="Times New Roman" w:cs="Arial"/>
                <w:sz w:val="18"/>
                <w:szCs w:val="18"/>
              </w:rPr>
              <w:t>ontratados</w:t>
            </w:r>
          </w:p>
        </w:tc>
      </w:tr>
      <w:tr w:rsidR="00D46B4D" w:rsidRPr="001C3A4E" w:rsidTr="001C3A4E">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Albania</w:t>
            </w:r>
          </w:p>
        </w:tc>
        <w:tc>
          <w:tcPr>
            <w:tcW w:w="1674" w:type="dxa"/>
            <w:shd w:val="clear" w:color="auto" w:fill="auto"/>
            <w:noWrap/>
            <w:hideMark/>
          </w:tcPr>
          <w:p w:rsidR="00D46B4D" w:rsidRPr="001C3A4E" w:rsidRDefault="00D46B4D" w:rsidP="001C3A4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sz w:val="18"/>
                <w:szCs w:val="18"/>
              </w:rPr>
              <w:t>955</w:t>
            </w:r>
          </w:p>
        </w:tc>
      </w:tr>
      <w:tr w:rsidR="00D46B4D" w:rsidRPr="001C3A4E" w:rsidTr="001C3A4E">
        <w:trPr>
          <w:trHeight w:val="12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Barrancas</w:t>
            </w:r>
          </w:p>
        </w:tc>
        <w:tc>
          <w:tcPr>
            <w:tcW w:w="1674" w:type="dxa"/>
            <w:shd w:val="clear" w:color="auto" w:fill="auto"/>
            <w:noWrap/>
            <w:hideMark/>
          </w:tcPr>
          <w:p w:rsidR="00D46B4D" w:rsidRPr="001C3A4E" w:rsidRDefault="00D46B4D" w:rsidP="001C3A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1C3A4E">
              <w:rPr>
                <w:rFonts w:eastAsia="Times New Roman" w:cs="Arial"/>
                <w:sz w:val="18"/>
                <w:szCs w:val="18"/>
              </w:rPr>
              <w:t>1.513</w:t>
            </w:r>
          </w:p>
        </w:tc>
      </w:tr>
      <w:tr w:rsidR="00D46B4D" w:rsidRPr="001C3A4E" w:rsidTr="001C3A4E">
        <w:trPr>
          <w:cnfStyle w:val="000000100000" w:firstRow="0" w:lastRow="0" w:firstColumn="0" w:lastColumn="0" w:oddVBand="0" w:evenVBand="0" w:oddHBand="1"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Dibulla</w:t>
            </w:r>
          </w:p>
        </w:tc>
        <w:tc>
          <w:tcPr>
            <w:tcW w:w="1674" w:type="dxa"/>
            <w:shd w:val="clear" w:color="auto" w:fill="auto"/>
            <w:noWrap/>
            <w:hideMark/>
          </w:tcPr>
          <w:p w:rsidR="00D46B4D" w:rsidRPr="001C3A4E" w:rsidRDefault="00D46B4D" w:rsidP="001C3A4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sz w:val="18"/>
                <w:szCs w:val="18"/>
              </w:rPr>
              <w:t>2.527</w:t>
            </w:r>
          </w:p>
        </w:tc>
      </w:tr>
      <w:tr w:rsidR="00D46B4D" w:rsidRPr="001C3A4E" w:rsidTr="001C3A4E">
        <w:trPr>
          <w:trHeight w:val="21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6B4D" w:rsidRPr="001C3A4E" w:rsidRDefault="001C3A4E"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Distracción</w:t>
            </w:r>
            <w:r w:rsidR="00D46B4D" w:rsidRPr="001C3A4E">
              <w:rPr>
                <w:rFonts w:eastAsia="Times New Roman" w:cs="Arial"/>
                <w:b w:val="0"/>
                <w:sz w:val="18"/>
                <w:szCs w:val="18"/>
              </w:rPr>
              <w:t xml:space="preserve"> </w:t>
            </w:r>
          </w:p>
        </w:tc>
        <w:tc>
          <w:tcPr>
            <w:tcW w:w="1674" w:type="dxa"/>
            <w:shd w:val="clear" w:color="auto" w:fill="auto"/>
            <w:noWrap/>
            <w:hideMark/>
          </w:tcPr>
          <w:p w:rsidR="00D46B4D" w:rsidRPr="001C3A4E" w:rsidRDefault="00D46B4D" w:rsidP="001C3A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1C3A4E">
              <w:rPr>
                <w:rFonts w:eastAsia="Times New Roman" w:cs="Arial"/>
                <w:sz w:val="18"/>
                <w:szCs w:val="18"/>
              </w:rPr>
              <w:t>246</w:t>
            </w:r>
          </w:p>
        </w:tc>
      </w:tr>
      <w:tr w:rsidR="00D46B4D" w:rsidRPr="001C3A4E" w:rsidTr="001C3A4E">
        <w:trPr>
          <w:cnfStyle w:val="000000100000" w:firstRow="0" w:lastRow="0" w:firstColumn="0" w:lastColumn="0" w:oddVBand="0" w:evenVBand="0" w:oddHBand="1" w:evenHBand="0" w:firstRowFirstColumn="0" w:firstRowLastColumn="0" w:lastRowFirstColumn="0" w:lastRowLastColumn="0"/>
          <w:trHeight w:val="10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El Molino</w:t>
            </w:r>
          </w:p>
        </w:tc>
        <w:tc>
          <w:tcPr>
            <w:tcW w:w="1674" w:type="dxa"/>
            <w:shd w:val="clear" w:color="auto" w:fill="auto"/>
            <w:noWrap/>
            <w:hideMark/>
          </w:tcPr>
          <w:p w:rsidR="00D46B4D" w:rsidRPr="001C3A4E" w:rsidRDefault="00D46B4D" w:rsidP="001C3A4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sz w:val="18"/>
                <w:szCs w:val="18"/>
              </w:rPr>
              <w:t>48</w:t>
            </w:r>
          </w:p>
        </w:tc>
      </w:tr>
      <w:tr w:rsidR="00D46B4D" w:rsidRPr="001C3A4E" w:rsidTr="001C3A4E">
        <w:trPr>
          <w:trHeight w:val="16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Fonseca</w:t>
            </w:r>
          </w:p>
        </w:tc>
        <w:tc>
          <w:tcPr>
            <w:tcW w:w="1674" w:type="dxa"/>
            <w:shd w:val="clear" w:color="auto" w:fill="auto"/>
            <w:noWrap/>
            <w:hideMark/>
          </w:tcPr>
          <w:p w:rsidR="00D46B4D" w:rsidRPr="001C3A4E" w:rsidRDefault="00D46B4D" w:rsidP="001C3A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1C3A4E">
              <w:rPr>
                <w:rFonts w:eastAsia="Times New Roman" w:cs="Arial"/>
                <w:sz w:val="18"/>
                <w:szCs w:val="18"/>
              </w:rPr>
              <w:t>1.067</w:t>
            </w:r>
          </w:p>
        </w:tc>
      </w:tr>
      <w:tr w:rsidR="00D46B4D" w:rsidRPr="001C3A4E" w:rsidTr="001C3A4E">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Hatonuevo</w:t>
            </w:r>
          </w:p>
        </w:tc>
        <w:tc>
          <w:tcPr>
            <w:tcW w:w="1674" w:type="dxa"/>
            <w:shd w:val="clear" w:color="auto" w:fill="auto"/>
            <w:noWrap/>
            <w:hideMark/>
          </w:tcPr>
          <w:p w:rsidR="00D46B4D" w:rsidRPr="001C3A4E" w:rsidRDefault="00D46B4D" w:rsidP="001C3A4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sz w:val="18"/>
                <w:szCs w:val="18"/>
              </w:rPr>
              <w:t>645</w:t>
            </w:r>
          </w:p>
        </w:tc>
      </w:tr>
      <w:tr w:rsidR="00D46B4D" w:rsidRPr="001C3A4E" w:rsidTr="001C3A4E">
        <w:trPr>
          <w:trHeight w:val="10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 xml:space="preserve">La Jagua </w:t>
            </w:r>
          </w:p>
        </w:tc>
        <w:tc>
          <w:tcPr>
            <w:tcW w:w="1674" w:type="dxa"/>
            <w:shd w:val="clear" w:color="auto" w:fill="auto"/>
            <w:noWrap/>
            <w:hideMark/>
          </w:tcPr>
          <w:p w:rsidR="00D46B4D" w:rsidRPr="001C3A4E" w:rsidRDefault="00D46B4D" w:rsidP="001C3A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1C3A4E">
              <w:rPr>
                <w:rFonts w:eastAsia="Times New Roman" w:cs="Arial"/>
                <w:sz w:val="18"/>
                <w:szCs w:val="18"/>
              </w:rPr>
              <w:t>72</w:t>
            </w:r>
          </w:p>
        </w:tc>
      </w:tr>
      <w:tr w:rsidR="00D46B4D" w:rsidRPr="001C3A4E" w:rsidTr="001C3A4E">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Maicao</w:t>
            </w:r>
          </w:p>
        </w:tc>
        <w:tc>
          <w:tcPr>
            <w:tcW w:w="1674" w:type="dxa"/>
            <w:shd w:val="clear" w:color="auto" w:fill="auto"/>
            <w:noWrap/>
            <w:hideMark/>
          </w:tcPr>
          <w:p w:rsidR="00D46B4D" w:rsidRPr="001C3A4E" w:rsidRDefault="00D46B4D" w:rsidP="001C3A4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sz w:val="18"/>
                <w:szCs w:val="18"/>
              </w:rPr>
              <w:t>6.526</w:t>
            </w:r>
          </w:p>
        </w:tc>
      </w:tr>
      <w:tr w:rsidR="00D46B4D" w:rsidRPr="001C3A4E" w:rsidTr="001C3A4E">
        <w:trPr>
          <w:trHeight w:val="19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Manaure</w:t>
            </w:r>
          </w:p>
        </w:tc>
        <w:tc>
          <w:tcPr>
            <w:tcW w:w="1674" w:type="dxa"/>
            <w:shd w:val="clear" w:color="auto" w:fill="auto"/>
            <w:noWrap/>
            <w:hideMark/>
          </w:tcPr>
          <w:p w:rsidR="00D46B4D" w:rsidRPr="001C3A4E" w:rsidRDefault="00D46B4D" w:rsidP="001C3A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1C3A4E">
              <w:rPr>
                <w:rFonts w:eastAsia="Times New Roman" w:cs="Arial"/>
                <w:sz w:val="18"/>
                <w:szCs w:val="18"/>
              </w:rPr>
              <w:t>11.232</w:t>
            </w:r>
          </w:p>
        </w:tc>
      </w:tr>
      <w:tr w:rsidR="00D46B4D" w:rsidRPr="001C3A4E" w:rsidTr="001C3A4E">
        <w:trPr>
          <w:cnfStyle w:val="000000100000" w:firstRow="0" w:lastRow="0" w:firstColumn="0" w:lastColumn="0" w:oddVBand="0" w:evenVBand="0" w:oddHBand="1" w:evenHBand="0" w:firstRowFirstColumn="0" w:firstRowLastColumn="0" w:lastRowFirstColumn="0" w:lastRowLastColumn="0"/>
          <w:trHeight w:val="8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lastRenderedPageBreak/>
              <w:t>Riohacha</w:t>
            </w:r>
          </w:p>
        </w:tc>
        <w:tc>
          <w:tcPr>
            <w:tcW w:w="1674" w:type="dxa"/>
            <w:shd w:val="clear" w:color="auto" w:fill="auto"/>
            <w:noWrap/>
            <w:hideMark/>
          </w:tcPr>
          <w:p w:rsidR="00D46B4D" w:rsidRPr="001C3A4E" w:rsidRDefault="00D46B4D" w:rsidP="001C3A4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sz w:val="18"/>
                <w:szCs w:val="18"/>
              </w:rPr>
              <w:t>12.169</w:t>
            </w:r>
          </w:p>
        </w:tc>
      </w:tr>
      <w:tr w:rsidR="00D46B4D" w:rsidRPr="001C3A4E" w:rsidTr="001C3A4E">
        <w:trPr>
          <w:trHeight w:val="14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 xml:space="preserve">San Juan Del Cesar </w:t>
            </w:r>
          </w:p>
        </w:tc>
        <w:tc>
          <w:tcPr>
            <w:tcW w:w="1674" w:type="dxa"/>
            <w:shd w:val="clear" w:color="auto" w:fill="auto"/>
            <w:noWrap/>
            <w:hideMark/>
          </w:tcPr>
          <w:p w:rsidR="00D46B4D" w:rsidRPr="001C3A4E" w:rsidRDefault="00D46B4D" w:rsidP="001C3A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1C3A4E">
              <w:rPr>
                <w:rFonts w:eastAsia="Times New Roman" w:cs="Arial"/>
                <w:sz w:val="18"/>
                <w:szCs w:val="18"/>
              </w:rPr>
              <w:t>1.091</w:t>
            </w:r>
          </w:p>
        </w:tc>
      </w:tr>
      <w:tr w:rsidR="00D46B4D" w:rsidRPr="001C3A4E" w:rsidTr="001C3A4E">
        <w:trPr>
          <w:cnfStyle w:val="000000100000" w:firstRow="0" w:lastRow="0" w:firstColumn="0" w:lastColumn="0" w:oddVBand="0" w:evenVBand="0" w:oddHBand="1" w:evenHBand="0"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Uribia</w:t>
            </w:r>
          </w:p>
        </w:tc>
        <w:tc>
          <w:tcPr>
            <w:tcW w:w="1674" w:type="dxa"/>
            <w:shd w:val="clear" w:color="auto" w:fill="auto"/>
            <w:noWrap/>
            <w:hideMark/>
          </w:tcPr>
          <w:p w:rsidR="00D46B4D" w:rsidRPr="001C3A4E" w:rsidRDefault="00D46B4D" w:rsidP="001C3A4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sz w:val="18"/>
                <w:szCs w:val="18"/>
              </w:rPr>
              <w:t>13.065</w:t>
            </w:r>
          </w:p>
        </w:tc>
      </w:tr>
      <w:tr w:rsidR="00D46B4D" w:rsidRPr="001C3A4E" w:rsidTr="001C3A4E">
        <w:trPr>
          <w:trHeight w:val="8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Villanueva</w:t>
            </w:r>
          </w:p>
        </w:tc>
        <w:tc>
          <w:tcPr>
            <w:tcW w:w="1674" w:type="dxa"/>
            <w:shd w:val="clear" w:color="auto" w:fill="auto"/>
            <w:noWrap/>
            <w:hideMark/>
          </w:tcPr>
          <w:p w:rsidR="00D46B4D" w:rsidRPr="001C3A4E" w:rsidRDefault="00D46B4D" w:rsidP="001C3A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1C3A4E">
              <w:rPr>
                <w:rFonts w:eastAsia="Times New Roman" w:cs="Arial"/>
                <w:sz w:val="18"/>
                <w:szCs w:val="18"/>
              </w:rPr>
              <w:t>89</w:t>
            </w:r>
          </w:p>
        </w:tc>
      </w:tr>
      <w:tr w:rsidR="00D46B4D" w:rsidRPr="001C3A4E" w:rsidTr="001C3A4E">
        <w:trPr>
          <w:cnfStyle w:val="000000100000" w:firstRow="0" w:lastRow="0" w:firstColumn="0" w:lastColumn="0" w:oddVBand="0" w:evenVBand="0" w:oddHBand="1" w:evenHBand="0" w:firstRowFirstColumn="0" w:firstRowLastColumn="0" w:lastRowFirstColumn="0" w:lastRowLastColumn="0"/>
          <w:trHeight w:val="12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2EFDA"/>
            <w:noWrap/>
            <w:hideMark/>
          </w:tcPr>
          <w:p w:rsidR="00D46B4D" w:rsidRPr="001C3A4E" w:rsidRDefault="00D46B4D" w:rsidP="00D46B4D">
            <w:pPr>
              <w:spacing w:after="0" w:line="240" w:lineRule="auto"/>
              <w:ind w:firstLineChars="100" w:firstLine="180"/>
              <w:rPr>
                <w:rFonts w:eastAsia="Times New Roman" w:cs="Arial"/>
                <w:sz w:val="18"/>
                <w:szCs w:val="18"/>
              </w:rPr>
            </w:pPr>
            <w:r w:rsidRPr="001C3A4E">
              <w:rPr>
                <w:rFonts w:eastAsia="Times New Roman" w:cs="Arial"/>
                <w:sz w:val="18"/>
                <w:szCs w:val="18"/>
              </w:rPr>
              <w:t>Total</w:t>
            </w:r>
          </w:p>
        </w:tc>
        <w:tc>
          <w:tcPr>
            <w:tcW w:w="1674" w:type="dxa"/>
            <w:shd w:val="clear" w:color="auto" w:fill="E2EFDA"/>
            <w:noWrap/>
            <w:hideMark/>
          </w:tcPr>
          <w:p w:rsidR="00D46B4D" w:rsidRPr="001C3A4E" w:rsidRDefault="00D46B4D" w:rsidP="001C3A4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b/>
                <w:sz w:val="18"/>
                <w:szCs w:val="18"/>
              </w:rPr>
              <w:t>51.245</w:t>
            </w:r>
          </w:p>
        </w:tc>
      </w:tr>
    </w:tbl>
    <w:p w:rsidR="00D46B4D" w:rsidRPr="001C3A4E" w:rsidRDefault="00D46B4D" w:rsidP="00D46B4D">
      <w:pPr>
        <w:spacing w:line="240" w:lineRule="auto"/>
        <w:jc w:val="center"/>
        <w:rPr>
          <w:rFonts w:eastAsia="Times New Roman" w:cs="Arial"/>
          <w:sz w:val="16"/>
          <w:szCs w:val="16"/>
          <w:lang w:val="es-ES_tradnl" w:eastAsia="es-ES_tradnl" w:bidi="x-none"/>
        </w:rPr>
      </w:pPr>
      <w:r w:rsidRPr="001C3A4E">
        <w:rPr>
          <w:rFonts w:eastAsia="Times New Roman" w:cs="Arial"/>
          <w:sz w:val="16"/>
          <w:szCs w:val="16"/>
          <w:lang w:val="es-ES_tradnl" w:eastAsia="es-ES_tradnl" w:bidi="x-none"/>
        </w:rPr>
        <w:t>Fuente: Metas sociales y financieras consolidadas por la Dirección de Planeación (15/01/2018)</w:t>
      </w:r>
    </w:p>
    <w:p w:rsidR="00D46B4D" w:rsidRPr="007608C2" w:rsidRDefault="00D46B4D" w:rsidP="00D46B4D">
      <w:pPr>
        <w:spacing w:line="240" w:lineRule="auto"/>
        <w:ind w:left="993" w:hanging="993"/>
        <w:jc w:val="center"/>
        <w:rPr>
          <w:rFonts w:eastAsia="Times New Roman" w:cs="Arial"/>
          <w:b/>
          <w:lang w:val="es-ES_tradnl" w:eastAsia="es-ES_tradnl" w:bidi="x-none"/>
        </w:rPr>
      </w:pPr>
      <w:r w:rsidRPr="007608C2">
        <w:rPr>
          <w:rFonts w:eastAsia="Times New Roman" w:cs="Arial"/>
          <w:b/>
          <w:lang w:val="es-ES_tradnl" w:eastAsia="es-ES_tradnl" w:bidi="x-none"/>
        </w:rPr>
        <w:t>Cupos contratados en Modalidad CDI por municipio</w:t>
      </w:r>
    </w:p>
    <w:tbl>
      <w:tblPr>
        <w:tblStyle w:val="Tabladecuadrcula4-nfasis6"/>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007"/>
        <w:gridCol w:w="1816"/>
      </w:tblGrid>
      <w:tr w:rsidR="00D46B4D" w:rsidRPr="001C3A4E" w:rsidTr="00D8405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76922E"/>
            <w:noWrap/>
            <w:vAlign w:val="center"/>
          </w:tcPr>
          <w:p w:rsidR="00D46B4D" w:rsidRPr="001C3A4E" w:rsidRDefault="00D46B4D" w:rsidP="00D46B4D">
            <w:pPr>
              <w:spacing w:after="0" w:line="240" w:lineRule="auto"/>
              <w:ind w:firstLineChars="100" w:firstLine="180"/>
              <w:jc w:val="center"/>
              <w:rPr>
                <w:rFonts w:eastAsia="Times New Roman" w:cs="Arial"/>
                <w:sz w:val="18"/>
                <w:szCs w:val="18"/>
              </w:rPr>
            </w:pPr>
            <w:r w:rsidRPr="001C3A4E">
              <w:rPr>
                <w:rFonts w:eastAsia="Times New Roman" w:cs="Arial"/>
                <w:sz w:val="18"/>
                <w:szCs w:val="18"/>
              </w:rPr>
              <w:t>Municipio</w:t>
            </w:r>
          </w:p>
        </w:tc>
        <w:tc>
          <w:tcPr>
            <w:tcW w:w="1816" w:type="dxa"/>
            <w:tcBorders>
              <w:top w:val="none" w:sz="0" w:space="0" w:color="auto"/>
              <w:left w:val="none" w:sz="0" w:space="0" w:color="auto"/>
              <w:bottom w:val="none" w:sz="0" w:space="0" w:color="auto"/>
              <w:right w:val="none" w:sz="0" w:space="0" w:color="auto"/>
            </w:tcBorders>
            <w:shd w:val="clear" w:color="auto" w:fill="76922E"/>
            <w:noWrap/>
            <w:vAlign w:val="center"/>
          </w:tcPr>
          <w:p w:rsidR="00D46B4D" w:rsidRPr="001C3A4E" w:rsidRDefault="00D8405E" w:rsidP="00D46B4D">
            <w:pPr>
              <w:spacing w:after="0" w:line="240" w:lineRule="auto"/>
              <w:ind w:firstLine="200"/>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rPr>
            </w:pPr>
            <w:r>
              <w:rPr>
                <w:rFonts w:eastAsia="Times New Roman" w:cs="Arial"/>
                <w:sz w:val="18"/>
                <w:szCs w:val="18"/>
              </w:rPr>
              <w:t>No. de Cupos C</w:t>
            </w:r>
            <w:r w:rsidR="00D46B4D" w:rsidRPr="001C3A4E">
              <w:rPr>
                <w:rFonts w:eastAsia="Times New Roman" w:cs="Arial"/>
                <w:sz w:val="18"/>
                <w:szCs w:val="18"/>
              </w:rPr>
              <w:t>ontratados</w:t>
            </w:r>
          </w:p>
        </w:tc>
      </w:tr>
      <w:tr w:rsidR="00D46B4D" w:rsidRPr="001C3A4E" w:rsidTr="00D8405E">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Albania</w:t>
            </w:r>
          </w:p>
        </w:tc>
        <w:tc>
          <w:tcPr>
            <w:tcW w:w="1816" w:type="dxa"/>
            <w:shd w:val="clear" w:color="auto" w:fill="auto"/>
            <w:noWrap/>
            <w:hideMark/>
          </w:tcPr>
          <w:p w:rsidR="00D46B4D" w:rsidRPr="001C3A4E" w:rsidRDefault="00D46B4D" w:rsidP="00D840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sz w:val="18"/>
                <w:szCs w:val="18"/>
              </w:rPr>
              <w:t>172</w:t>
            </w:r>
          </w:p>
        </w:tc>
      </w:tr>
      <w:tr w:rsidR="00D46B4D" w:rsidRPr="001C3A4E" w:rsidTr="00D8405E">
        <w:trPr>
          <w:trHeight w:val="11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Barrancas</w:t>
            </w:r>
          </w:p>
        </w:tc>
        <w:tc>
          <w:tcPr>
            <w:tcW w:w="1816" w:type="dxa"/>
            <w:shd w:val="clear" w:color="auto" w:fill="auto"/>
            <w:noWrap/>
            <w:hideMark/>
          </w:tcPr>
          <w:p w:rsidR="00D46B4D" w:rsidRPr="001C3A4E" w:rsidRDefault="00D46B4D" w:rsidP="00D840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1C3A4E">
              <w:rPr>
                <w:rFonts w:eastAsia="Times New Roman" w:cs="Arial"/>
                <w:sz w:val="18"/>
                <w:szCs w:val="18"/>
              </w:rPr>
              <w:t>464</w:t>
            </w:r>
          </w:p>
        </w:tc>
      </w:tr>
      <w:tr w:rsidR="00D46B4D" w:rsidRPr="001C3A4E" w:rsidTr="00D8405E">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Dibulla</w:t>
            </w:r>
          </w:p>
        </w:tc>
        <w:tc>
          <w:tcPr>
            <w:tcW w:w="1816" w:type="dxa"/>
            <w:shd w:val="clear" w:color="auto" w:fill="auto"/>
            <w:noWrap/>
            <w:hideMark/>
          </w:tcPr>
          <w:p w:rsidR="00D46B4D" w:rsidRPr="001C3A4E" w:rsidRDefault="00D46B4D" w:rsidP="00D840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sz w:val="18"/>
                <w:szCs w:val="18"/>
              </w:rPr>
              <w:t>248</w:t>
            </w:r>
          </w:p>
        </w:tc>
      </w:tr>
      <w:tr w:rsidR="00D46B4D" w:rsidRPr="001C3A4E" w:rsidTr="00D8405E">
        <w:trPr>
          <w:trHeight w:val="6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 xml:space="preserve">Distraccion </w:t>
            </w:r>
          </w:p>
        </w:tc>
        <w:tc>
          <w:tcPr>
            <w:tcW w:w="1816" w:type="dxa"/>
            <w:shd w:val="clear" w:color="auto" w:fill="auto"/>
            <w:noWrap/>
            <w:hideMark/>
          </w:tcPr>
          <w:p w:rsidR="00D46B4D" w:rsidRPr="001C3A4E" w:rsidRDefault="00D46B4D" w:rsidP="00D840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1C3A4E">
              <w:rPr>
                <w:rFonts w:eastAsia="Times New Roman" w:cs="Arial"/>
                <w:sz w:val="18"/>
                <w:szCs w:val="18"/>
              </w:rPr>
              <w:t>406</w:t>
            </w:r>
          </w:p>
        </w:tc>
      </w:tr>
      <w:tr w:rsidR="00D46B4D" w:rsidRPr="001C3A4E" w:rsidTr="00D8405E">
        <w:trPr>
          <w:cnfStyle w:val="000000100000" w:firstRow="0" w:lastRow="0" w:firstColumn="0" w:lastColumn="0" w:oddVBand="0" w:evenVBand="0" w:oddHBand="1" w:evenHBand="0" w:firstRowFirstColumn="0" w:firstRowLastColumn="0" w:lastRowFirstColumn="0" w:lastRowLastColumn="0"/>
          <w:trHeight w:val="10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El Molino</w:t>
            </w:r>
          </w:p>
        </w:tc>
        <w:tc>
          <w:tcPr>
            <w:tcW w:w="1816" w:type="dxa"/>
            <w:shd w:val="clear" w:color="auto" w:fill="auto"/>
            <w:noWrap/>
            <w:hideMark/>
          </w:tcPr>
          <w:p w:rsidR="00D46B4D" w:rsidRPr="001C3A4E" w:rsidRDefault="00D46B4D" w:rsidP="00D840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sz w:val="18"/>
                <w:szCs w:val="18"/>
              </w:rPr>
              <w:t>180</w:t>
            </w:r>
          </w:p>
        </w:tc>
      </w:tr>
      <w:tr w:rsidR="00D46B4D" w:rsidRPr="001C3A4E" w:rsidTr="00D8405E">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Fonseca</w:t>
            </w:r>
          </w:p>
        </w:tc>
        <w:tc>
          <w:tcPr>
            <w:tcW w:w="1816" w:type="dxa"/>
            <w:shd w:val="clear" w:color="auto" w:fill="auto"/>
            <w:noWrap/>
            <w:hideMark/>
          </w:tcPr>
          <w:p w:rsidR="00D46B4D" w:rsidRPr="001C3A4E" w:rsidRDefault="00D46B4D" w:rsidP="00D840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1C3A4E">
              <w:rPr>
                <w:rFonts w:eastAsia="Times New Roman" w:cs="Arial"/>
                <w:sz w:val="18"/>
                <w:szCs w:val="18"/>
              </w:rPr>
              <w:t>1.235</w:t>
            </w:r>
          </w:p>
        </w:tc>
      </w:tr>
      <w:tr w:rsidR="00D46B4D" w:rsidRPr="001C3A4E" w:rsidTr="00D8405E">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Hatonuevo</w:t>
            </w:r>
          </w:p>
        </w:tc>
        <w:tc>
          <w:tcPr>
            <w:tcW w:w="1816" w:type="dxa"/>
            <w:shd w:val="clear" w:color="auto" w:fill="auto"/>
            <w:noWrap/>
            <w:hideMark/>
          </w:tcPr>
          <w:p w:rsidR="00D46B4D" w:rsidRPr="001C3A4E" w:rsidRDefault="00D46B4D" w:rsidP="00D840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sz w:val="18"/>
                <w:szCs w:val="18"/>
              </w:rPr>
              <w:t>519</w:t>
            </w:r>
          </w:p>
        </w:tc>
      </w:tr>
      <w:tr w:rsidR="00D46B4D" w:rsidRPr="001C3A4E" w:rsidTr="00D8405E">
        <w:trPr>
          <w:trHeight w:val="8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Las Jaguas</w:t>
            </w:r>
          </w:p>
        </w:tc>
        <w:tc>
          <w:tcPr>
            <w:tcW w:w="1816" w:type="dxa"/>
            <w:shd w:val="clear" w:color="auto" w:fill="auto"/>
            <w:noWrap/>
            <w:hideMark/>
          </w:tcPr>
          <w:p w:rsidR="00D46B4D" w:rsidRPr="001C3A4E" w:rsidRDefault="00D46B4D" w:rsidP="00D840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1C3A4E">
              <w:rPr>
                <w:rFonts w:eastAsia="Times New Roman" w:cs="Arial"/>
                <w:sz w:val="18"/>
                <w:szCs w:val="18"/>
              </w:rPr>
              <w:t>49</w:t>
            </w:r>
          </w:p>
        </w:tc>
      </w:tr>
      <w:tr w:rsidR="00D46B4D" w:rsidRPr="001C3A4E" w:rsidTr="00D8405E">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Maicao</w:t>
            </w:r>
          </w:p>
        </w:tc>
        <w:tc>
          <w:tcPr>
            <w:tcW w:w="1816" w:type="dxa"/>
            <w:shd w:val="clear" w:color="auto" w:fill="auto"/>
            <w:noWrap/>
            <w:hideMark/>
          </w:tcPr>
          <w:p w:rsidR="00D46B4D" w:rsidRPr="001C3A4E" w:rsidRDefault="00D46B4D" w:rsidP="00D840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sz w:val="18"/>
                <w:szCs w:val="18"/>
              </w:rPr>
              <w:t>3.232</w:t>
            </w:r>
          </w:p>
        </w:tc>
      </w:tr>
      <w:tr w:rsidR="00D46B4D" w:rsidRPr="001C3A4E" w:rsidTr="00D8405E">
        <w:trPr>
          <w:trHeight w:val="19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Manaure</w:t>
            </w:r>
          </w:p>
        </w:tc>
        <w:tc>
          <w:tcPr>
            <w:tcW w:w="1816" w:type="dxa"/>
            <w:shd w:val="clear" w:color="auto" w:fill="auto"/>
            <w:noWrap/>
            <w:hideMark/>
          </w:tcPr>
          <w:p w:rsidR="00D46B4D" w:rsidRPr="001C3A4E" w:rsidRDefault="00D46B4D" w:rsidP="00D840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1C3A4E">
              <w:rPr>
                <w:rFonts w:eastAsia="Times New Roman" w:cs="Arial"/>
                <w:sz w:val="18"/>
                <w:szCs w:val="18"/>
              </w:rPr>
              <w:t>940</w:t>
            </w:r>
          </w:p>
        </w:tc>
      </w:tr>
      <w:tr w:rsidR="00D46B4D" w:rsidRPr="001C3A4E" w:rsidTr="00D8405E">
        <w:trPr>
          <w:cnfStyle w:val="000000100000" w:firstRow="0" w:lastRow="0" w:firstColumn="0" w:lastColumn="0" w:oddVBand="0" w:evenVBand="0" w:oddHBand="1" w:evenHBand="0"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Riohacha</w:t>
            </w:r>
          </w:p>
        </w:tc>
        <w:tc>
          <w:tcPr>
            <w:tcW w:w="1816" w:type="dxa"/>
            <w:shd w:val="clear" w:color="auto" w:fill="auto"/>
            <w:noWrap/>
            <w:hideMark/>
          </w:tcPr>
          <w:p w:rsidR="00D46B4D" w:rsidRPr="001C3A4E" w:rsidRDefault="00D46B4D" w:rsidP="00D840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sz w:val="18"/>
                <w:szCs w:val="18"/>
              </w:rPr>
              <w:t>4.024</w:t>
            </w:r>
          </w:p>
        </w:tc>
      </w:tr>
      <w:tr w:rsidR="00D46B4D" w:rsidRPr="001C3A4E" w:rsidTr="00D8405E">
        <w:trPr>
          <w:trHeight w:val="12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 xml:space="preserve">San Juan Del Cesar </w:t>
            </w:r>
          </w:p>
        </w:tc>
        <w:tc>
          <w:tcPr>
            <w:tcW w:w="1816" w:type="dxa"/>
            <w:shd w:val="clear" w:color="auto" w:fill="auto"/>
            <w:noWrap/>
            <w:hideMark/>
          </w:tcPr>
          <w:p w:rsidR="00D46B4D" w:rsidRPr="001C3A4E" w:rsidRDefault="00D46B4D" w:rsidP="00D840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1C3A4E">
              <w:rPr>
                <w:rFonts w:eastAsia="Times New Roman" w:cs="Arial"/>
                <w:sz w:val="18"/>
                <w:szCs w:val="18"/>
              </w:rPr>
              <w:t>782</w:t>
            </w:r>
          </w:p>
        </w:tc>
      </w:tr>
      <w:tr w:rsidR="00D46B4D" w:rsidRPr="001C3A4E" w:rsidTr="00D8405E">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Uribia</w:t>
            </w:r>
          </w:p>
        </w:tc>
        <w:tc>
          <w:tcPr>
            <w:tcW w:w="1816" w:type="dxa"/>
            <w:shd w:val="clear" w:color="auto" w:fill="auto"/>
            <w:noWrap/>
            <w:hideMark/>
          </w:tcPr>
          <w:p w:rsidR="00D46B4D" w:rsidRPr="001C3A4E" w:rsidRDefault="00D46B4D" w:rsidP="00D840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sz w:val="18"/>
                <w:szCs w:val="18"/>
              </w:rPr>
              <w:t>1.470</w:t>
            </w:r>
          </w:p>
        </w:tc>
      </w:tr>
      <w:tr w:rsidR="00D46B4D" w:rsidRPr="001C3A4E" w:rsidTr="00D8405E">
        <w:trPr>
          <w:trHeight w:val="20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Urumita</w:t>
            </w:r>
          </w:p>
        </w:tc>
        <w:tc>
          <w:tcPr>
            <w:tcW w:w="1816" w:type="dxa"/>
            <w:shd w:val="clear" w:color="auto" w:fill="auto"/>
            <w:noWrap/>
            <w:hideMark/>
          </w:tcPr>
          <w:p w:rsidR="00D46B4D" w:rsidRPr="001C3A4E" w:rsidRDefault="00D46B4D" w:rsidP="00D840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1C3A4E">
              <w:rPr>
                <w:rFonts w:eastAsia="Times New Roman" w:cs="Arial"/>
                <w:sz w:val="18"/>
                <w:szCs w:val="18"/>
              </w:rPr>
              <w:t>478</w:t>
            </w:r>
          </w:p>
        </w:tc>
      </w:tr>
      <w:tr w:rsidR="00D46B4D" w:rsidRPr="001C3A4E" w:rsidTr="00D8405E">
        <w:trPr>
          <w:cnfStyle w:val="000000100000" w:firstRow="0" w:lastRow="0" w:firstColumn="0" w:lastColumn="0" w:oddVBand="0" w:evenVBand="0" w:oddHBand="1" w:evenHBand="0" w:firstRowFirstColumn="0" w:firstRowLastColumn="0" w:lastRowFirstColumn="0" w:lastRowLastColumn="0"/>
          <w:trHeight w:val="11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46B4D" w:rsidRPr="001C3A4E" w:rsidRDefault="00D46B4D" w:rsidP="00D46B4D">
            <w:pPr>
              <w:spacing w:after="0" w:line="240" w:lineRule="auto"/>
              <w:ind w:firstLineChars="100" w:firstLine="180"/>
              <w:rPr>
                <w:rFonts w:eastAsia="Times New Roman" w:cs="Arial"/>
                <w:b w:val="0"/>
                <w:sz w:val="18"/>
                <w:szCs w:val="18"/>
              </w:rPr>
            </w:pPr>
            <w:r w:rsidRPr="001C3A4E">
              <w:rPr>
                <w:rFonts w:eastAsia="Times New Roman" w:cs="Arial"/>
                <w:b w:val="0"/>
                <w:sz w:val="18"/>
                <w:szCs w:val="18"/>
              </w:rPr>
              <w:t>Villanueva</w:t>
            </w:r>
          </w:p>
        </w:tc>
        <w:tc>
          <w:tcPr>
            <w:tcW w:w="1816" w:type="dxa"/>
            <w:shd w:val="clear" w:color="auto" w:fill="auto"/>
            <w:noWrap/>
            <w:hideMark/>
          </w:tcPr>
          <w:p w:rsidR="00D46B4D" w:rsidRPr="001C3A4E" w:rsidRDefault="00D46B4D" w:rsidP="00D840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1C3A4E">
              <w:rPr>
                <w:rFonts w:eastAsia="Times New Roman" w:cs="Arial"/>
                <w:sz w:val="18"/>
                <w:szCs w:val="18"/>
              </w:rPr>
              <w:t>1.057</w:t>
            </w:r>
          </w:p>
        </w:tc>
      </w:tr>
      <w:tr w:rsidR="00D46B4D" w:rsidRPr="001C3A4E" w:rsidTr="00D8405E">
        <w:trPr>
          <w:trHeight w:val="1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2EFDA"/>
            <w:noWrap/>
          </w:tcPr>
          <w:p w:rsidR="00D46B4D" w:rsidRPr="00D8405E" w:rsidRDefault="00D46B4D" w:rsidP="00D8405E">
            <w:pPr>
              <w:spacing w:after="0" w:line="240" w:lineRule="auto"/>
              <w:ind w:firstLineChars="100" w:firstLine="180"/>
              <w:rPr>
                <w:rFonts w:eastAsia="Times New Roman" w:cs="Arial"/>
                <w:sz w:val="18"/>
                <w:szCs w:val="18"/>
              </w:rPr>
            </w:pPr>
            <w:r w:rsidRPr="00D8405E">
              <w:rPr>
                <w:rFonts w:eastAsia="Times New Roman" w:cs="Arial"/>
                <w:sz w:val="18"/>
                <w:szCs w:val="18"/>
              </w:rPr>
              <w:t>Total</w:t>
            </w:r>
          </w:p>
        </w:tc>
        <w:tc>
          <w:tcPr>
            <w:tcW w:w="1816" w:type="dxa"/>
            <w:shd w:val="clear" w:color="auto" w:fill="E2EFDA"/>
            <w:noWrap/>
          </w:tcPr>
          <w:p w:rsidR="00D46B4D" w:rsidRPr="00D8405E" w:rsidRDefault="00D46B4D" w:rsidP="00D8405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sz w:val="18"/>
                <w:szCs w:val="18"/>
              </w:rPr>
            </w:pPr>
            <w:r w:rsidRPr="00D8405E">
              <w:rPr>
                <w:rFonts w:eastAsia="Times New Roman" w:cs="Arial"/>
                <w:b/>
                <w:sz w:val="18"/>
                <w:szCs w:val="18"/>
              </w:rPr>
              <w:t>15.256</w:t>
            </w:r>
          </w:p>
        </w:tc>
      </w:tr>
    </w:tbl>
    <w:p w:rsidR="00D46B4D" w:rsidRPr="00D8405E" w:rsidRDefault="00D46B4D" w:rsidP="00D46B4D">
      <w:pPr>
        <w:spacing w:line="240" w:lineRule="auto"/>
        <w:jc w:val="center"/>
        <w:rPr>
          <w:rFonts w:eastAsia="Times New Roman" w:cs="Arial"/>
          <w:sz w:val="16"/>
          <w:szCs w:val="16"/>
          <w:lang w:val="es-ES_tradnl" w:eastAsia="es-ES_tradnl" w:bidi="x-none"/>
        </w:rPr>
      </w:pPr>
      <w:r w:rsidRPr="00D8405E">
        <w:rPr>
          <w:rFonts w:eastAsia="Times New Roman" w:cs="Arial"/>
          <w:sz w:val="16"/>
          <w:szCs w:val="16"/>
          <w:lang w:val="es-ES_tradnl" w:eastAsia="es-ES_tradnl" w:bidi="x-none"/>
        </w:rPr>
        <w:t>Fuente: Metas sociales y financieras consolidadas por la Dirección de Planeación (15/01/2018)</w:t>
      </w:r>
    </w:p>
    <w:p w:rsidR="00D46B4D" w:rsidRPr="007608C2" w:rsidRDefault="00D46B4D" w:rsidP="00D46B4D">
      <w:pPr>
        <w:spacing w:after="0" w:line="240" w:lineRule="auto"/>
        <w:jc w:val="both"/>
        <w:rPr>
          <w:rFonts w:eastAsia="Times New Roman" w:cs="Arial"/>
        </w:rPr>
      </w:pPr>
      <w:r w:rsidRPr="007608C2">
        <w:rPr>
          <w:rFonts w:eastAsia="Times New Roman" w:cs="Arial"/>
        </w:rPr>
        <w:t xml:space="preserve">Adicionalmente, a partir del análisis de listas de espera y otras solicitudes de ampliación de cobertura presentadas durante 2017, se realizarán en los días siguientes adiciones a los contratos de aportes actuales que permitan aumentar 5.200 usuarios atendidos en la actual vigencia. Esta ampliación permite llegar a atender </w:t>
      </w:r>
      <w:r w:rsidRPr="004E21F6">
        <w:rPr>
          <w:rFonts w:eastAsia="Times New Roman" w:cs="Arial"/>
        </w:rPr>
        <w:t>56.445</w:t>
      </w:r>
      <w:r w:rsidRPr="007608C2">
        <w:rPr>
          <w:rFonts w:eastAsia="Times New Roman" w:cs="Arial"/>
        </w:rPr>
        <w:t xml:space="preserve"> usuarios en modalidad propia para un total de </w:t>
      </w:r>
      <w:r w:rsidRPr="007608C2">
        <w:rPr>
          <w:rFonts w:eastAsia="Times New Roman" w:cs="Arial"/>
          <w:b/>
        </w:rPr>
        <w:t>81.188</w:t>
      </w:r>
      <w:r w:rsidRPr="007608C2">
        <w:rPr>
          <w:rFonts w:eastAsia="Times New Roman" w:cs="Arial"/>
        </w:rPr>
        <w:t xml:space="preserve"> usuarios en todos los servicios de primera infancia. Lo anterior se traduce en un presupuesto a ejecutar, hasta 31/07/2018, de $143.230.319.394</w:t>
      </w:r>
      <w:r w:rsidRPr="007608C2">
        <w:rPr>
          <w:rFonts w:eastAsia="Times New Roman" w:cs="Arial"/>
          <w:vertAlign w:val="superscript"/>
        </w:rPr>
        <w:footnoteReference w:id="20"/>
      </w:r>
      <w:r w:rsidRPr="007608C2">
        <w:rPr>
          <w:rFonts w:eastAsia="Times New Roman" w:cs="Arial"/>
        </w:rPr>
        <w:t>.</w:t>
      </w:r>
    </w:p>
    <w:p w:rsidR="00D46B4D" w:rsidRPr="007608C2" w:rsidRDefault="00D46B4D" w:rsidP="00D46B4D">
      <w:pPr>
        <w:spacing w:before="100" w:beforeAutospacing="1" w:after="100" w:afterAutospacing="1" w:line="240" w:lineRule="auto"/>
        <w:jc w:val="both"/>
        <w:rPr>
          <w:rFonts w:eastAsia="Times New Roman" w:cs="Arial"/>
        </w:rPr>
      </w:pPr>
      <w:r w:rsidRPr="007608C2">
        <w:rPr>
          <w:rFonts w:eastAsia="Times New Roman" w:cs="Arial"/>
        </w:rPr>
        <w:t xml:space="preserve">Finalmente, se presentaron las siguientes actividades especiales: i) la Dirección Regional ICBF La Guajira participó del espacio y diálogo con autoridades y comunidades en el marco de la minga nacional indígena en la cual se revisó la concertación de los componentes técnicos de la atención. En este escenario se sostuvo la posición del ICBF frente a la autonomía en la selección de las EAS y la disposición para concertar los componentes técnicos; ii) La Dirección de Primera Infancia dispuso los recursos para que los usuarios del servicio de Hogares Infantiles contaran con la entrega de un paquete con ración para preparar, que garantice el 70% del requerimiento nutricional diario, durante los días de receso del servicio. De acuerdo con lo anterior a todos los usuarios del departamento en este servicio se les ha garantizado el componente nutricional durante los días de receso en la prestación de los servicios; iii) Se socializó con el equipo de la Dirección Regional ICBF La Guajira y los coordinadores de los centros zonales, el resultado del </w:t>
      </w:r>
      <w:r w:rsidRPr="007608C2">
        <w:rPr>
          <w:rFonts w:eastAsia="Times New Roman" w:cs="Arial"/>
        </w:rPr>
        <w:lastRenderedPageBreak/>
        <w:t xml:space="preserve">trabajo conjunto de zonificación de la atención en el departamento de La Guajira. Gracias a este trabajo, se podrá garantizar mayor funcionalidad en la prestación de los servicios de primera infancia y, por lo tanto, en la garantía de los derechos para los beneficiarios. Dicho proceso se centró en los municipios de Maicao, Manaure, Riohacha y Uribia. </w:t>
      </w:r>
    </w:p>
    <w:p w:rsidR="00D46B4D" w:rsidRPr="007608C2" w:rsidRDefault="00D46B4D" w:rsidP="00A44A2B">
      <w:pPr>
        <w:numPr>
          <w:ilvl w:val="0"/>
          <w:numId w:val="81"/>
        </w:numPr>
        <w:adjustRightInd w:val="0"/>
        <w:spacing w:before="100" w:beforeAutospacing="1" w:after="100" w:afterAutospacing="1" w:line="240" w:lineRule="auto"/>
        <w:jc w:val="both"/>
        <w:rPr>
          <w:rFonts w:cs="Arial"/>
          <w:b/>
          <w:u w:val="single"/>
        </w:rPr>
      </w:pPr>
      <w:r w:rsidRPr="007608C2">
        <w:rPr>
          <w:rFonts w:cs="Arial"/>
          <w:b/>
          <w:u w:val="single"/>
        </w:rPr>
        <w:t xml:space="preserve">Funcionamiento permanente de 11 Unidades Móviles </w:t>
      </w:r>
    </w:p>
    <w:p w:rsidR="00D46B4D" w:rsidRPr="007608C2" w:rsidRDefault="00D46B4D" w:rsidP="00D46B4D">
      <w:pPr>
        <w:pBdr>
          <w:top w:val="nil"/>
          <w:left w:val="nil"/>
          <w:bottom w:val="nil"/>
          <w:right w:val="nil"/>
          <w:between w:val="nil"/>
          <w:bar w:val="nil"/>
        </w:pBdr>
        <w:spacing w:before="100" w:beforeAutospacing="1" w:after="100" w:afterAutospacing="1" w:line="240" w:lineRule="auto"/>
        <w:jc w:val="both"/>
        <w:rPr>
          <w:rFonts w:cs="Arial"/>
          <w:lang w:val="es-ES_tradnl"/>
        </w:rPr>
      </w:pPr>
      <w:r w:rsidRPr="007608C2">
        <w:rPr>
          <w:rFonts w:cs="Arial"/>
        </w:rPr>
        <w:t>La Regional La Guajira cuenta con 10 unidades móviles y 1 itinerante para la atención y caracterización de rancherías en el departamento, conformadas en total por 45 profesionales (4 profesionales por Unidad Móvil y 1 coordinador). Dentro del equipo se incluyen hablantes de wayuunaiki, quienes facilitan la interacción con la comunidad y permiten responder a sus necesidades de manera diferencial. Los equipos en campo se desplazan indistintamente a atender a una comunidad o a hacer seguimiento a un caso puntual, razón por la cual los resultados de sus actuaciones son reportados en acumulados de atenciones con un mes de diferencia.</w:t>
      </w:r>
      <w:r w:rsidRPr="007608C2">
        <w:rPr>
          <w:rFonts w:cs="Arial"/>
          <w:lang w:val="es-ES_tradnl"/>
        </w:rPr>
        <w:t xml:space="preserve"> </w:t>
      </w:r>
      <w:r w:rsidRPr="007608C2">
        <w:rPr>
          <w:rFonts w:eastAsia="Times New Roman" w:cs="Arial"/>
          <w:lang w:val="es-ES_tradnl"/>
        </w:rPr>
        <w:t xml:space="preserve">Así, de acuerdo con los datos que reposan en la Base de Datos Registro Único de Unidades Móviles (RUUM), la siguiente es la atención para el período 2 de enero a 31 de diciembre de 2017: </w:t>
      </w:r>
    </w:p>
    <w:p w:rsidR="00D46B4D" w:rsidRDefault="00D46B4D" w:rsidP="00D46B4D">
      <w:pPr>
        <w:spacing w:after="0" w:line="240" w:lineRule="auto"/>
        <w:jc w:val="center"/>
        <w:rPr>
          <w:rFonts w:cs="Arial"/>
          <w:b/>
        </w:rPr>
      </w:pPr>
      <w:r w:rsidRPr="007608C2">
        <w:rPr>
          <w:rFonts w:cs="Arial"/>
          <w:b/>
        </w:rPr>
        <w:t xml:space="preserve">Total de población atendida </w:t>
      </w:r>
      <w:r w:rsidR="00DD0446">
        <w:rPr>
          <w:rFonts w:cs="Arial"/>
          <w:b/>
        </w:rPr>
        <w:t>por las unidades móviles en el departamento de L</w:t>
      </w:r>
      <w:r w:rsidRPr="007608C2">
        <w:rPr>
          <w:rFonts w:cs="Arial"/>
          <w:b/>
        </w:rPr>
        <w:t>a Guajira</w:t>
      </w:r>
    </w:p>
    <w:p w:rsidR="004E21F6" w:rsidRPr="007608C2" w:rsidRDefault="004E21F6" w:rsidP="00D46B4D">
      <w:pPr>
        <w:spacing w:after="0" w:line="240" w:lineRule="auto"/>
        <w:jc w:val="center"/>
        <w:rPr>
          <w:rFonts w:cs="Arial"/>
          <w:b/>
        </w:rPr>
      </w:pPr>
    </w:p>
    <w:tbl>
      <w:tblPr>
        <w:tblW w:w="7661"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CellMar>
          <w:left w:w="70" w:type="dxa"/>
          <w:right w:w="70" w:type="dxa"/>
        </w:tblCellMar>
        <w:tblLook w:val="04A0" w:firstRow="1" w:lastRow="0" w:firstColumn="1" w:lastColumn="0" w:noHBand="0" w:noVBand="1"/>
      </w:tblPr>
      <w:tblGrid>
        <w:gridCol w:w="1991"/>
        <w:gridCol w:w="850"/>
        <w:gridCol w:w="709"/>
        <w:gridCol w:w="709"/>
        <w:gridCol w:w="709"/>
        <w:gridCol w:w="708"/>
        <w:gridCol w:w="993"/>
        <w:gridCol w:w="992"/>
      </w:tblGrid>
      <w:tr w:rsidR="00D46B4D" w:rsidRPr="00A55A2D" w:rsidTr="00A55A2D">
        <w:trPr>
          <w:trHeight w:val="62"/>
          <w:jc w:val="center"/>
        </w:trPr>
        <w:tc>
          <w:tcPr>
            <w:tcW w:w="1991" w:type="dxa"/>
            <w:shd w:val="clear" w:color="auto" w:fill="76923C"/>
            <w:noWrap/>
            <w:vAlign w:val="center"/>
            <w:hideMark/>
          </w:tcPr>
          <w:p w:rsidR="00D46B4D" w:rsidRPr="00A55A2D" w:rsidRDefault="00D46B4D" w:rsidP="00D46B4D">
            <w:pPr>
              <w:spacing w:after="0" w:line="240" w:lineRule="auto"/>
              <w:rPr>
                <w:rFonts w:eastAsia="Times New Roman" w:cs="Arial"/>
                <w:b/>
                <w:bCs/>
                <w:color w:val="FFFFFF" w:themeColor="background1"/>
                <w:sz w:val="18"/>
                <w:szCs w:val="18"/>
                <w:lang w:eastAsia="es-CO"/>
              </w:rPr>
            </w:pPr>
            <w:r w:rsidRPr="00A55A2D">
              <w:rPr>
                <w:rFonts w:eastAsia="Times New Roman" w:cs="Arial"/>
                <w:b/>
                <w:bCs/>
                <w:color w:val="FFFFFF" w:themeColor="background1"/>
                <w:sz w:val="18"/>
                <w:szCs w:val="18"/>
                <w:lang w:eastAsia="es-CO"/>
              </w:rPr>
              <w:t>Municipio</w:t>
            </w:r>
          </w:p>
        </w:tc>
        <w:tc>
          <w:tcPr>
            <w:tcW w:w="850" w:type="dxa"/>
            <w:shd w:val="clear" w:color="auto" w:fill="76923C"/>
            <w:vAlign w:val="center"/>
            <w:hideMark/>
          </w:tcPr>
          <w:p w:rsidR="00D46B4D" w:rsidRPr="00A55A2D" w:rsidRDefault="00D46B4D" w:rsidP="00D46B4D">
            <w:pPr>
              <w:spacing w:after="0" w:line="240" w:lineRule="auto"/>
              <w:jc w:val="center"/>
              <w:rPr>
                <w:rFonts w:eastAsia="Times New Roman" w:cs="Arial"/>
                <w:b/>
                <w:bCs/>
                <w:color w:val="FFFFFF" w:themeColor="background1"/>
                <w:sz w:val="18"/>
                <w:szCs w:val="18"/>
                <w:lang w:eastAsia="es-CO"/>
              </w:rPr>
            </w:pPr>
            <w:r w:rsidRPr="00A55A2D">
              <w:rPr>
                <w:rFonts w:eastAsia="Times New Roman" w:cs="Arial"/>
                <w:b/>
                <w:bCs/>
                <w:color w:val="FFFFFF" w:themeColor="background1"/>
                <w:sz w:val="18"/>
                <w:szCs w:val="18"/>
                <w:lang w:eastAsia="es-CO"/>
              </w:rPr>
              <w:t>0-5 años</w:t>
            </w:r>
          </w:p>
        </w:tc>
        <w:tc>
          <w:tcPr>
            <w:tcW w:w="709" w:type="dxa"/>
            <w:shd w:val="clear" w:color="auto" w:fill="76923C"/>
            <w:vAlign w:val="center"/>
            <w:hideMark/>
          </w:tcPr>
          <w:p w:rsidR="00D46B4D" w:rsidRPr="00A55A2D" w:rsidRDefault="00D46B4D" w:rsidP="00D46B4D">
            <w:pPr>
              <w:spacing w:after="0" w:line="240" w:lineRule="auto"/>
              <w:jc w:val="center"/>
              <w:rPr>
                <w:rFonts w:eastAsia="Times New Roman" w:cs="Arial"/>
                <w:b/>
                <w:bCs/>
                <w:color w:val="FFFFFF" w:themeColor="background1"/>
                <w:sz w:val="18"/>
                <w:szCs w:val="18"/>
                <w:lang w:eastAsia="es-CO"/>
              </w:rPr>
            </w:pPr>
            <w:r w:rsidRPr="00A55A2D">
              <w:rPr>
                <w:rFonts w:eastAsia="Times New Roman" w:cs="Arial"/>
                <w:b/>
                <w:bCs/>
                <w:color w:val="FFFFFF" w:themeColor="background1"/>
                <w:sz w:val="18"/>
                <w:szCs w:val="18"/>
                <w:lang w:eastAsia="es-CO"/>
              </w:rPr>
              <w:t>6-12 años</w:t>
            </w:r>
          </w:p>
        </w:tc>
        <w:tc>
          <w:tcPr>
            <w:tcW w:w="709" w:type="dxa"/>
            <w:shd w:val="clear" w:color="auto" w:fill="76923C"/>
            <w:vAlign w:val="center"/>
            <w:hideMark/>
          </w:tcPr>
          <w:p w:rsidR="00D46B4D" w:rsidRPr="00A55A2D" w:rsidRDefault="00D46B4D" w:rsidP="00D46B4D">
            <w:pPr>
              <w:spacing w:after="0" w:line="240" w:lineRule="auto"/>
              <w:jc w:val="center"/>
              <w:rPr>
                <w:rFonts w:eastAsia="Times New Roman" w:cs="Arial"/>
                <w:b/>
                <w:bCs/>
                <w:color w:val="FFFFFF" w:themeColor="background1"/>
                <w:sz w:val="18"/>
                <w:szCs w:val="18"/>
                <w:lang w:eastAsia="es-CO"/>
              </w:rPr>
            </w:pPr>
            <w:r w:rsidRPr="00A55A2D">
              <w:rPr>
                <w:rFonts w:eastAsia="Times New Roman" w:cs="Arial"/>
                <w:b/>
                <w:bCs/>
                <w:color w:val="FFFFFF" w:themeColor="background1"/>
                <w:sz w:val="18"/>
                <w:szCs w:val="18"/>
                <w:lang w:eastAsia="es-CO"/>
              </w:rPr>
              <w:t>13-17 años</w:t>
            </w:r>
          </w:p>
        </w:tc>
        <w:tc>
          <w:tcPr>
            <w:tcW w:w="709" w:type="dxa"/>
            <w:shd w:val="clear" w:color="auto" w:fill="76923C"/>
            <w:vAlign w:val="center"/>
            <w:hideMark/>
          </w:tcPr>
          <w:p w:rsidR="00D46B4D" w:rsidRPr="00A55A2D" w:rsidRDefault="00D46B4D" w:rsidP="00D46B4D">
            <w:pPr>
              <w:spacing w:after="0" w:line="240" w:lineRule="auto"/>
              <w:jc w:val="center"/>
              <w:rPr>
                <w:rFonts w:eastAsia="Times New Roman" w:cs="Arial"/>
                <w:b/>
                <w:bCs/>
                <w:color w:val="FFFFFF" w:themeColor="background1"/>
                <w:sz w:val="18"/>
                <w:szCs w:val="18"/>
                <w:lang w:eastAsia="es-CO"/>
              </w:rPr>
            </w:pPr>
            <w:r w:rsidRPr="00A55A2D">
              <w:rPr>
                <w:rFonts w:eastAsia="Times New Roman" w:cs="Arial"/>
                <w:b/>
                <w:bCs/>
                <w:color w:val="FFFFFF" w:themeColor="background1"/>
                <w:sz w:val="18"/>
                <w:szCs w:val="18"/>
                <w:lang w:eastAsia="es-CO"/>
              </w:rPr>
              <w:t>18-25 años</w:t>
            </w:r>
          </w:p>
        </w:tc>
        <w:tc>
          <w:tcPr>
            <w:tcW w:w="708" w:type="dxa"/>
            <w:shd w:val="clear" w:color="auto" w:fill="76923C"/>
            <w:vAlign w:val="center"/>
            <w:hideMark/>
          </w:tcPr>
          <w:p w:rsidR="00D46B4D" w:rsidRPr="00A55A2D" w:rsidRDefault="00D46B4D" w:rsidP="00D46B4D">
            <w:pPr>
              <w:spacing w:after="0" w:line="240" w:lineRule="auto"/>
              <w:jc w:val="center"/>
              <w:rPr>
                <w:rFonts w:eastAsia="Times New Roman" w:cs="Arial"/>
                <w:b/>
                <w:bCs/>
                <w:color w:val="FFFFFF" w:themeColor="background1"/>
                <w:sz w:val="18"/>
                <w:szCs w:val="18"/>
                <w:lang w:eastAsia="es-CO"/>
              </w:rPr>
            </w:pPr>
            <w:r w:rsidRPr="00A55A2D">
              <w:rPr>
                <w:rFonts w:eastAsia="Times New Roman" w:cs="Arial"/>
                <w:b/>
                <w:bCs/>
                <w:color w:val="FFFFFF" w:themeColor="background1"/>
                <w:sz w:val="18"/>
                <w:szCs w:val="18"/>
                <w:lang w:eastAsia="es-CO"/>
              </w:rPr>
              <w:t>26-51 años</w:t>
            </w:r>
          </w:p>
        </w:tc>
        <w:tc>
          <w:tcPr>
            <w:tcW w:w="993" w:type="dxa"/>
            <w:shd w:val="clear" w:color="auto" w:fill="76923C"/>
            <w:vAlign w:val="center"/>
            <w:hideMark/>
          </w:tcPr>
          <w:p w:rsidR="00D46B4D" w:rsidRPr="00A55A2D" w:rsidRDefault="00D46B4D" w:rsidP="00D46B4D">
            <w:pPr>
              <w:spacing w:after="0" w:line="240" w:lineRule="auto"/>
              <w:jc w:val="center"/>
              <w:rPr>
                <w:rFonts w:eastAsia="Times New Roman" w:cs="Arial"/>
                <w:b/>
                <w:bCs/>
                <w:color w:val="FFFFFF" w:themeColor="background1"/>
                <w:sz w:val="18"/>
                <w:szCs w:val="18"/>
                <w:lang w:eastAsia="es-CO"/>
              </w:rPr>
            </w:pPr>
            <w:r w:rsidRPr="00A55A2D">
              <w:rPr>
                <w:rFonts w:eastAsia="Times New Roman" w:cs="Arial"/>
                <w:b/>
                <w:bCs/>
                <w:color w:val="FFFFFF" w:themeColor="background1"/>
                <w:sz w:val="18"/>
                <w:szCs w:val="18"/>
                <w:lang w:eastAsia="es-CO"/>
              </w:rPr>
              <w:t>Tercera edad</w:t>
            </w:r>
          </w:p>
        </w:tc>
        <w:tc>
          <w:tcPr>
            <w:tcW w:w="992" w:type="dxa"/>
            <w:shd w:val="clear" w:color="auto" w:fill="76923C"/>
            <w:vAlign w:val="center"/>
            <w:hideMark/>
          </w:tcPr>
          <w:p w:rsidR="00D46B4D" w:rsidRPr="00A55A2D" w:rsidRDefault="00A55A2D" w:rsidP="00D46B4D">
            <w:pPr>
              <w:spacing w:after="0" w:line="240" w:lineRule="auto"/>
              <w:jc w:val="center"/>
              <w:rPr>
                <w:rFonts w:eastAsia="Times New Roman" w:cs="Arial"/>
                <w:b/>
                <w:bCs/>
                <w:color w:val="FFFFFF" w:themeColor="background1"/>
                <w:sz w:val="18"/>
                <w:szCs w:val="18"/>
                <w:lang w:eastAsia="es-CO"/>
              </w:rPr>
            </w:pPr>
            <w:r>
              <w:rPr>
                <w:rFonts w:eastAsia="Times New Roman" w:cs="Arial"/>
                <w:b/>
                <w:bCs/>
                <w:color w:val="FFFFFF" w:themeColor="background1"/>
                <w:sz w:val="18"/>
                <w:szCs w:val="18"/>
                <w:lang w:eastAsia="es-CO"/>
              </w:rPr>
              <w:t>Total G</w:t>
            </w:r>
            <w:r w:rsidR="00D46B4D" w:rsidRPr="00A55A2D">
              <w:rPr>
                <w:rFonts w:eastAsia="Times New Roman" w:cs="Arial"/>
                <w:b/>
                <w:bCs/>
                <w:color w:val="FFFFFF" w:themeColor="background1"/>
                <w:sz w:val="18"/>
                <w:szCs w:val="18"/>
                <w:lang w:eastAsia="es-CO"/>
              </w:rPr>
              <w:t>eneral</w:t>
            </w:r>
          </w:p>
        </w:tc>
      </w:tr>
      <w:tr w:rsidR="00D46B4D" w:rsidRPr="00A55A2D" w:rsidTr="004E21F6">
        <w:trPr>
          <w:trHeight w:val="62"/>
          <w:jc w:val="center"/>
        </w:trPr>
        <w:tc>
          <w:tcPr>
            <w:tcW w:w="1991" w:type="dxa"/>
            <w:shd w:val="clear" w:color="auto" w:fill="auto"/>
            <w:noWrap/>
            <w:vAlign w:val="bottom"/>
            <w:hideMark/>
          </w:tcPr>
          <w:p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Albania</w:t>
            </w:r>
          </w:p>
        </w:tc>
        <w:tc>
          <w:tcPr>
            <w:tcW w:w="850"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w:t>
            </w:r>
          </w:p>
        </w:tc>
        <w:tc>
          <w:tcPr>
            <w:tcW w:w="709"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709"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709"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w:t>
            </w:r>
          </w:p>
        </w:tc>
        <w:tc>
          <w:tcPr>
            <w:tcW w:w="708"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w:t>
            </w:r>
          </w:p>
        </w:tc>
        <w:tc>
          <w:tcPr>
            <w:tcW w:w="993"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992"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w:t>
            </w:r>
          </w:p>
        </w:tc>
      </w:tr>
      <w:tr w:rsidR="00D46B4D" w:rsidRPr="00A55A2D" w:rsidTr="004E21F6">
        <w:trPr>
          <w:trHeight w:val="62"/>
          <w:jc w:val="center"/>
        </w:trPr>
        <w:tc>
          <w:tcPr>
            <w:tcW w:w="1991" w:type="dxa"/>
            <w:shd w:val="clear" w:color="auto" w:fill="auto"/>
            <w:noWrap/>
            <w:vAlign w:val="bottom"/>
            <w:hideMark/>
          </w:tcPr>
          <w:p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Maicao</w:t>
            </w:r>
          </w:p>
        </w:tc>
        <w:tc>
          <w:tcPr>
            <w:tcW w:w="850"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709"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709"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709"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w:t>
            </w:r>
          </w:p>
        </w:tc>
        <w:tc>
          <w:tcPr>
            <w:tcW w:w="708"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993"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w:t>
            </w:r>
          </w:p>
        </w:tc>
        <w:tc>
          <w:tcPr>
            <w:tcW w:w="992"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2</w:t>
            </w:r>
          </w:p>
        </w:tc>
      </w:tr>
      <w:tr w:rsidR="00D46B4D" w:rsidRPr="00A55A2D" w:rsidTr="004E21F6">
        <w:trPr>
          <w:trHeight w:val="62"/>
          <w:jc w:val="center"/>
        </w:trPr>
        <w:tc>
          <w:tcPr>
            <w:tcW w:w="1991" w:type="dxa"/>
            <w:shd w:val="clear" w:color="auto" w:fill="auto"/>
            <w:noWrap/>
            <w:vAlign w:val="bottom"/>
            <w:hideMark/>
          </w:tcPr>
          <w:p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Manaure</w:t>
            </w:r>
          </w:p>
        </w:tc>
        <w:tc>
          <w:tcPr>
            <w:tcW w:w="850"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1.815</w:t>
            </w:r>
          </w:p>
        </w:tc>
        <w:tc>
          <w:tcPr>
            <w:tcW w:w="709"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1.625</w:t>
            </w:r>
          </w:p>
        </w:tc>
        <w:tc>
          <w:tcPr>
            <w:tcW w:w="709"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767</w:t>
            </w:r>
          </w:p>
        </w:tc>
        <w:tc>
          <w:tcPr>
            <w:tcW w:w="709"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629</w:t>
            </w:r>
          </w:p>
        </w:tc>
        <w:tc>
          <w:tcPr>
            <w:tcW w:w="708"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1.276</w:t>
            </w:r>
          </w:p>
        </w:tc>
        <w:tc>
          <w:tcPr>
            <w:tcW w:w="993"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397</w:t>
            </w:r>
          </w:p>
        </w:tc>
        <w:tc>
          <w:tcPr>
            <w:tcW w:w="992"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6.509</w:t>
            </w:r>
          </w:p>
        </w:tc>
      </w:tr>
      <w:tr w:rsidR="00D46B4D" w:rsidRPr="00A55A2D" w:rsidTr="004E21F6">
        <w:trPr>
          <w:trHeight w:val="62"/>
          <w:jc w:val="center"/>
        </w:trPr>
        <w:tc>
          <w:tcPr>
            <w:tcW w:w="1991" w:type="dxa"/>
            <w:shd w:val="clear" w:color="auto" w:fill="auto"/>
            <w:noWrap/>
            <w:vAlign w:val="bottom"/>
            <w:hideMark/>
          </w:tcPr>
          <w:p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Riohacha</w:t>
            </w:r>
          </w:p>
        </w:tc>
        <w:tc>
          <w:tcPr>
            <w:tcW w:w="850"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540</w:t>
            </w:r>
          </w:p>
        </w:tc>
        <w:tc>
          <w:tcPr>
            <w:tcW w:w="709"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400</w:t>
            </w:r>
          </w:p>
        </w:tc>
        <w:tc>
          <w:tcPr>
            <w:tcW w:w="709"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158</w:t>
            </w:r>
          </w:p>
        </w:tc>
        <w:tc>
          <w:tcPr>
            <w:tcW w:w="709"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235</w:t>
            </w:r>
          </w:p>
        </w:tc>
        <w:tc>
          <w:tcPr>
            <w:tcW w:w="708"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342</w:t>
            </w:r>
          </w:p>
        </w:tc>
        <w:tc>
          <w:tcPr>
            <w:tcW w:w="993"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74</w:t>
            </w:r>
          </w:p>
        </w:tc>
        <w:tc>
          <w:tcPr>
            <w:tcW w:w="992"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1749</w:t>
            </w:r>
          </w:p>
        </w:tc>
      </w:tr>
      <w:tr w:rsidR="00D46B4D" w:rsidRPr="00A55A2D" w:rsidTr="004E21F6">
        <w:trPr>
          <w:trHeight w:val="62"/>
          <w:jc w:val="center"/>
        </w:trPr>
        <w:tc>
          <w:tcPr>
            <w:tcW w:w="1991" w:type="dxa"/>
            <w:shd w:val="clear" w:color="auto" w:fill="auto"/>
            <w:noWrap/>
            <w:vAlign w:val="bottom"/>
            <w:hideMark/>
          </w:tcPr>
          <w:p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Uribia</w:t>
            </w:r>
          </w:p>
        </w:tc>
        <w:tc>
          <w:tcPr>
            <w:tcW w:w="850"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1.375</w:t>
            </w:r>
          </w:p>
        </w:tc>
        <w:tc>
          <w:tcPr>
            <w:tcW w:w="709"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1.279</w:t>
            </w:r>
          </w:p>
        </w:tc>
        <w:tc>
          <w:tcPr>
            <w:tcW w:w="709"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522</w:t>
            </w:r>
          </w:p>
        </w:tc>
        <w:tc>
          <w:tcPr>
            <w:tcW w:w="709"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501</w:t>
            </w:r>
          </w:p>
        </w:tc>
        <w:tc>
          <w:tcPr>
            <w:tcW w:w="708"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1.018</w:t>
            </w:r>
          </w:p>
        </w:tc>
        <w:tc>
          <w:tcPr>
            <w:tcW w:w="993"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308</w:t>
            </w:r>
          </w:p>
        </w:tc>
        <w:tc>
          <w:tcPr>
            <w:tcW w:w="992"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5.003</w:t>
            </w:r>
          </w:p>
        </w:tc>
      </w:tr>
      <w:tr w:rsidR="00D46B4D" w:rsidRPr="00A55A2D" w:rsidTr="004E21F6">
        <w:trPr>
          <w:trHeight w:val="62"/>
          <w:jc w:val="center"/>
        </w:trPr>
        <w:tc>
          <w:tcPr>
            <w:tcW w:w="1991" w:type="dxa"/>
            <w:shd w:val="clear" w:color="auto" w:fill="auto"/>
            <w:noWrap/>
            <w:vAlign w:val="bottom"/>
            <w:hideMark/>
          </w:tcPr>
          <w:p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Fonseca</w:t>
            </w:r>
          </w:p>
        </w:tc>
        <w:tc>
          <w:tcPr>
            <w:tcW w:w="850"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13</w:t>
            </w:r>
          </w:p>
        </w:tc>
        <w:tc>
          <w:tcPr>
            <w:tcW w:w="709"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20</w:t>
            </w:r>
          </w:p>
        </w:tc>
        <w:tc>
          <w:tcPr>
            <w:tcW w:w="709"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6</w:t>
            </w:r>
          </w:p>
        </w:tc>
        <w:tc>
          <w:tcPr>
            <w:tcW w:w="709"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w:t>
            </w:r>
          </w:p>
        </w:tc>
        <w:tc>
          <w:tcPr>
            <w:tcW w:w="708"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20</w:t>
            </w:r>
          </w:p>
        </w:tc>
        <w:tc>
          <w:tcPr>
            <w:tcW w:w="993"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7</w:t>
            </w:r>
          </w:p>
        </w:tc>
        <w:tc>
          <w:tcPr>
            <w:tcW w:w="992"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67</w:t>
            </w:r>
          </w:p>
        </w:tc>
      </w:tr>
      <w:tr w:rsidR="00D46B4D" w:rsidRPr="00A55A2D" w:rsidTr="004E21F6">
        <w:trPr>
          <w:trHeight w:val="62"/>
          <w:jc w:val="center"/>
        </w:trPr>
        <w:tc>
          <w:tcPr>
            <w:tcW w:w="1991" w:type="dxa"/>
            <w:shd w:val="clear" w:color="auto" w:fill="auto"/>
            <w:noWrap/>
            <w:vAlign w:val="bottom"/>
            <w:hideMark/>
          </w:tcPr>
          <w:p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San Juan del Cesar</w:t>
            </w:r>
          </w:p>
        </w:tc>
        <w:tc>
          <w:tcPr>
            <w:tcW w:w="850"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6</w:t>
            </w:r>
          </w:p>
        </w:tc>
        <w:tc>
          <w:tcPr>
            <w:tcW w:w="709"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10</w:t>
            </w:r>
          </w:p>
        </w:tc>
        <w:tc>
          <w:tcPr>
            <w:tcW w:w="709"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w:t>
            </w:r>
          </w:p>
        </w:tc>
        <w:tc>
          <w:tcPr>
            <w:tcW w:w="709"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6</w:t>
            </w:r>
          </w:p>
        </w:tc>
        <w:tc>
          <w:tcPr>
            <w:tcW w:w="708"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9</w:t>
            </w:r>
          </w:p>
        </w:tc>
        <w:tc>
          <w:tcPr>
            <w:tcW w:w="993"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w:t>
            </w:r>
          </w:p>
        </w:tc>
        <w:tc>
          <w:tcPr>
            <w:tcW w:w="992"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35</w:t>
            </w:r>
          </w:p>
        </w:tc>
      </w:tr>
      <w:tr w:rsidR="00D46B4D" w:rsidRPr="00A55A2D" w:rsidTr="004E21F6">
        <w:trPr>
          <w:trHeight w:val="62"/>
          <w:jc w:val="center"/>
        </w:trPr>
        <w:tc>
          <w:tcPr>
            <w:tcW w:w="1991" w:type="dxa"/>
            <w:shd w:val="clear" w:color="auto" w:fill="auto"/>
            <w:noWrap/>
            <w:vAlign w:val="bottom"/>
            <w:hideMark/>
          </w:tcPr>
          <w:p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Urumita</w:t>
            </w:r>
          </w:p>
        </w:tc>
        <w:tc>
          <w:tcPr>
            <w:tcW w:w="850"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83</w:t>
            </w:r>
          </w:p>
        </w:tc>
        <w:tc>
          <w:tcPr>
            <w:tcW w:w="709"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38</w:t>
            </w:r>
          </w:p>
        </w:tc>
        <w:tc>
          <w:tcPr>
            <w:tcW w:w="709"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10</w:t>
            </w:r>
          </w:p>
        </w:tc>
        <w:tc>
          <w:tcPr>
            <w:tcW w:w="709"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29</w:t>
            </w:r>
          </w:p>
        </w:tc>
        <w:tc>
          <w:tcPr>
            <w:tcW w:w="708"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56</w:t>
            </w:r>
          </w:p>
        </w:tc>
        <w:tc>
          <w:tcPr>
            <w:tcW w:w="993"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5</w:t>
            </w:r>
          </w:p>
        </w:tc>
        <w:tc>
          <w:tcPr>
            <w:tcW w:w="992"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221</w:t>
            </w:r>
          </w:p>
        </w:tc>
      </w:tr>
      <w:tr w:rsidR="00D46B4D" w:rsidRPr="00A55A2D" w:rsidTr="004E21F6">
        <w:trPr>
          <w:trHeight w:val="62"/>
          <w:jc w:val="center"/>
        </w:trPr>
        <w:tc>
          <w:tcPr>
            <w:tcW w:w="1991" w:type="dxa"/>
            <w:shd w:val="clear" w:color="auto" w:fill="auto"/>
            <w:noWrap/>
            <w:vAlign w:val="bottom"/>
            <w:hideMark/>
          </w:tcPr>
          <w:p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Barrancas</w:t>
            </w:r>
          </w:p>
        </w:tc>
        <w:tc>
          <w:tcPr>
            <w:tcW w:w="850"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63</w:t>
            </w:r>
          </w:p>
        </w:tc>
        <w:tc>
          <w:tcPr>
            <w:tcW w:w="709"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30</w:t>
            </w:r>
          </w:p>
        </w:tc>
        <w:tc>
          <w:tcPr>
            <w:tcW w:w="709"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6</w:t>
            </w:r>
          </w:p>
        </w:tc>
        <w:tc>
          <w:tcPr>
            <w:tcW w:w="709"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20</w:t>
            </w:r>
          </w:p>
        </w:tc>
        <w:tc>
          <w:tcPr>
            <w:tcW w:w="708"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32</w:t>
            </w:r>
          </w:p>
        </w:tc>
        <w:tc>
          <w:tcPr>
            <w:tcW w:w="993"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5</w:t>
            </w:r>
          </w:p>
        </w:tc>
        <w:tc>
          <w:tcPr>
            <w:tcW w:w="992"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156</w:t>
            </w:r>
          </w:p>
        </w:tc>
      </w:tr>
      <w:tr w:rsidR="00D46B4D" w:rsidRPr="00A55A2D" w:rsidTr="004E21F6">
        <w:trPr>
          <w:trHeight w:val="62"/>
          <w:jc w:val="center"/>
        </w:trPr>
        <w:tc>
          <w:tcPr>
            <w:tcW w:w="1991" w:type="dxa"/>
            <w:shd w:val="clear" w:color="auto" w:fill="auto"/>
            <w:noWrap/>
            <w:vAlign w:val="bottom"/>
            <w:hideMark/>
          </w:tcPr>
          <w:p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Villanueva</w:t>
            </w:r>
          </w:p>
        </w:tc>
        <w:tc>
          <w:tcPr>
            <w:tcW w:w="850"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9</w:t>
            </w:r>
          </w:p>
        </w:tc>
        <w:tc>
          <w:tcPr>
            <w:tcW w:w="709"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20</w:t>
            </w:r>
          </w:p>
        </w:tc>
        <w:tc>
          <w:tcPr>
            <w:tcW w:w="709"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11</w:t>
            </w:r>
          </w:p>
        </w:tc>
        <w:tc>
          <w:tcPr>
            <w:tcW w:w="709"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9</w:t>
            </w:r>
          </w:p>
        </w:tc>
        <w:tc>
          <w:tcPr>
            <w:tcW w:w="708"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23</w:t>
            </w:r>
          </w:p>
        </w:tc>
        <w:tc>
          <w:tcPr>
            <w:tcW w:w="993"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12</w:t>
            </w:r>
          </w:p>
        </w:tc>
        <w:tc>
          <w:tcPr>
            <w:tcW w:w="992" w:type="dxa"/>
            <w:shd w:val="clear" w:color="auto" w:fill="auto"/>
            <w:noWrap/>
            <w:vAlign w:val="bottom"/>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84</w:t>
            </w:r>
          </w:p>
        </w:tc>
      </w:tr>
      <w:tr w:rsidR="00D46B4D" w:rsidRPr="00A55A2D" w:rsidTr="00A55A2D">
        <w:trPr>
          <w:trHeight w:val="62"/>
          <w:jc w:val="center"/>
        </w:trPr>
        <w:tc>
          <w:tcPr>
            <w:tcW w:w="1991" w:type="dxa"/>
            <w:shd w:val="clear" w:color="auto" w:fill="E2EFDA"/>
            <w:noWrap/>
            <w:vAlign w:val="bottom"/>
            <w:hideMark/>
          </w:tcPr>
          <w:p w:rsidR="00D46B4D" w:rsidRPr="00A55A2D" w:rsidRDefault="00D46B4D" w:rsidP="00D46B4D">
            <w:pPr>
              <w:spacing w:after="0" w:line="240" w:lineRule="auto"/>
              <w:rPr>
                <w:rFonts w:eastAsia="Times New Roman" w:cs="Arial"/>
                <w:b/>
                <w:bCs/>
                <w:sz w:val="18"/>
                <w:szCs w:val="18"/>
                <w:lang w:eastAsia="es-CO"/>
              </w:rPr>
            </w:pPr>
            <w:r w:rsidRPr="00A55A2D">
              <w:rPr>
                <w:rFonts w:eastAsia="Times New Roman" w:cs="Arial"/>
                <w:b/>
                <w:bCs/>
                <w:sz w:val="18"/>
                <w:szCs w:val="18"/>
                <w:lang w:eastAsia="es-CO"/>
              </w:rPr>
              <w:t>Total general</w:t>
            </w:r>
          </w:p>
        </w:tc>
        <w:tc>
          <w:tcPr>
            <w:tcW w:w="850" w:type="dxa"/>
            <w:shd w:val="clear" w:color="auto" w:fill="E2EFDA"/>
            <w:noWrap/>
            <w:vAlign w:val="bottom"/>
            <w:hideMark/>
          </w:tcPr>
          <w:p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3.905</w:t>
            </w:r>
          </w:p>
        </w:tc>
        <w:tc>
          <w:tcPr>
            <w:tcW w:w="709" w:type="dxa"/>
            <w:shd w:val="clear" w:color="auto" w:fill="E2EFDA"/>
            <w:noWrap/>
            <w:vAlign w:val="bottom"/>
            <w:hideMark/>
          </w:tcPr>
          <w:p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3.422</w:t>
            </w:r>
          </w:p>
        </w:tc>
        <w:tc>
          <w:tcPr>
            <w:tcW w:w="709" w:type="dxa"/>
            <w:shd w:val="clear" w:color="auto" w:fill="E2EFDA"/>
            <w:noWrap/>
            <w:vAlign w:val="bottom"/>
            <w:hideMark/>
          </w:tcPr>
          <w:p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1.483</w:t>
            </w:r>
          </w:p>
        </w:tc>
        <w:tc>
          <w:tcPr>
            <w:tcW w:w="709" w:type="dxa"/>
            <w:shd w:val="clear" w:color="auto" w:fill="E2EFDA"/>
            <w:noWrap/>
            <w:vAlign w:val="bottom"/>
            <w:hideMark/>
          </w:tcPr>
          <w:p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1.432</w:t>
            </w:r>
          </w:p>
        </w:tc>
        <w:tc>
          <w:tcPr>
            <w:tcW w:w="708" w:type="dxa"/>
            <w:shd w:val="clear" w:color="auto" w:fill="E2EFDA"/>
            <w:noWrap/>
            <w:vAlign w:val="bottom"/>
            <w:hideMark/>
          </w:tcPr>
          <w:p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2.777</w:t>
            </w:r>
          </w:p>
        </w:tc>
        <w:tc>
          <w:tcPr>
            <w:tcW w:w="993" w:type="dxa"/>
            <w:shd w:val="clear" w:color="auto" w:fill="E2EFDA"/>
            <w:noWrap/>
            <w:vAlign w:val="bottom"/>
            <w:hideMark/>
          </w:tcPr>
          <w:p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810</w:t>
            </w:r>
          </w:p>
        </w:tc>
        <w:tc>
          <w:tcPr>
            <w:tcW w:w="992" w:type="dxa"/>
            <w:shd w:val="clear" w:color="auto" w:fill="E2EFDA"/>
            <w:noWrap/>
            <w:vAlign w:val="bottom"/>
            <w:hideMark/>
          </w:tcPr>
          <w:p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13.829</w:t>
            </w:r>
          </w:p>
        </w:tc>
      </w:tr>
    </w:tbl>
    <w:p w:rsidR="00D46B4D" w:rsidRPr="007608C2" w:rsidRDefault="00D46B4D" w:rsidP="00D46B4D">
      <w:pPr>
        <w:spacing w:after="0" w:line="240" w:lineRule="auto"/>
        <w:ind w:left="1416" w:hanging="1416"/>
        <w:jc w:val="center"/>
        <w:rPr>
          <w:rFonts w:cs="Arial"/>
          <w:sz w:val="16"/>
        </w:rPr>
      </w:pPr>
      <w:r w:rsidRPr="007608C2">
        <w:rPr>
          <w:rFonts w:cs="Arial"/>
          <w:sz w:val="16"/>
        </w:rPr>
        <w:t>Fuente: Base de datos RUUM - Registro único de Unidades Móviles con corte al 31 de diciembre de 2017</w:t>
      </w:r>
    </w:p>
    <w:p w:rsidR="00DD0446" w:rsidRDefault="00DD0446" w:rsidP="00D46B4D">
      <w:pPr>
        <w:spacing w:after="0" w:line="240" w:lineRule="auto"/>
        <w:jc w:val="center"/>
        <w:rPr>
          <w:rFonts w:cs="Arial"/>
          <w:b/>
        </w:rPr>
      </w:pP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CellMar>
          <w:left w:w="70" w:type="dxa"/>
          <w:right w:w="70" w:type="dxa"/>
        </w:tblCellMar>
        <w:tblLook w:val="04A0" w:firstRow="1" w:lastRow="0" w:firstColumn="1" w:lastColumn="0" w:noHBand="0" w:noVBand="1"/>
      </w:tblPr>
      <w:tblGrid>
        <w:gridCol w:w="3681"/>
        <w:gridCol w:w="2126"/>
      </w:tblGrid>
      <w:tr w:rsidR="00D46B4D" w:rsidRPr="00DD0446" w:rsidTr="00DD0446">
        <w:trPr>
          <w:trHeight w:val="62"/>
          <w:tblHeader/>
          <w:jc w:val="center"/>
        </w:trPr>
        <w:tc>
          <w:tcPr>
            <w:tcW w:w="3681" w:type="dxa"/>
            <w:shd w:val="clear" w:color="auto" w:fill="76923C"/>
            <w:noWrap/>
            <w:vAlign w:val="center"/>
            <w:hideMark/>
          </w:tcPr>
          <w:p w:rsidR="00D46B4D" w:rsidRPr="00DD0446" w:rsidRDefault="00D46B4D" w:rsidP="00D46B4D">
            <w:pPr>
              <w:spacing w:after="0" w:line="240" w:lineRule="auto"/>
              <w:jc w:val="center"/>
              <w:rPr>
                <w:rFonts w:eastAsia="Times New Roman" w:cs="Arial"/>
                <w:color w:val="FFFFFF" w:themeColor="background1"/>
                <w:sz w:val="18"/>
                <w:szCs w:val="18"/>
                <w:lang w:eastAsia="es-CO"/>
              </w:rPr>
            </w:pPr>
            <w:r w:rsidRPr="00DD0446">
              <w:rPr>
                <w:rFonts w:cs="Arial"/>
                <w:b/>
                <w:color w:val="FFFFFF" w:themeColor="background1"/>
                <w:sz w:val="18"/>
                <w:szCs w:val="18"/>
              </w:rPr>
              <w:t xml:space="preserve">Total </w:t>
            </w:r>
            <w:r w:rsidR="00DD0446">
              <w:rPr>
                <w:rFonts w:cs="Arial"/>
                <w:b/>
                <w:color w:val="FFFFFF" w:themeColor="background1"/>
                <w:sz w:val="18"/>
                <w:szCs w:val="18"/>
              </w:rPr>
              <w:t>Familias Atendida por las Unidades Móviles en e</w:t>
            </w:r>
            <w:r w:rsidR="00DD0446" w:rsidRPr="00DD0446">
              <w:rPr>
                <w:rFonts w:cs="Arial"/>
                <w:b/>
                <w:color w:val="FFFFFF" w:themeColor="background1"/>
                <w:sz w:val="18"/>
                <w:szCs w:val="18"/>
              </w:rPr>
              <w:t>l Departam</w:t>
            </w:r>
            <w:r w:rsidR="00DD0446">
              <w:rPr>
                <w:rFonts w:cs="Arial"/>
                <w:b/>
                <w:color w:val="FFFFFF" w:themeColor="background1"/>
                <w:sz w:val="18"/>
                <w:szCs w:val="18"/>
              </w:rPr>
              <w:t>ento de l</w:t>
            </w:r>
            <w:r w:rsidR="00DD0446" w:rsidRPr="00DD0446">
              <w:rPr>
                <w:rFonts w:cs="Arial"/>
                <w:b/>
                <w:color w:val="FFFFFF" w:themeColor="background1"/>
                <w:sz w:val="18"/>
                <w:szCs w:val="18"/>
              </w:rPr>
              <w:t>a Guajira</w:t>
            </w:r>
            <w:r w:rsidR="00DD0446">
              <w:rPr>
                <w:rFonts w:cs="Arial"/>
                <w:b/>
                <w:color w:val="FFFFFF" w:themeColor="background1"/>
                <w:sz w:val="18"/>
                <w:szCs w:val="18"/>
              </w:rPr>
              <w:t xml:space="preserve"> </w:t>
            </w:r>
            <w:r w:rsidR="00DD0446">
              <w:rPr>
                <w:rFonts w:eastAsia="Times New Roman" w:cs="Arial"/>
                <w:b/>
                <w:color w:val="FFFFFF" w:themeColor="background1"/>
                <w:sz w:val="18"/>
                <w:szCs w:val="18"/>
                <w:lang w:eastAsia="es-CO"/>
              </w:rPr>
              <w:t>M</w:t>
            </w:r>
            <w:r w:rsidR="00DD0446" w:rsidRPr="00DD0446">
              <w:rPr>
                <w:rFonts w:eastAsia="Times New Roman" w:cs="Arial"/>
                <w:b/>
                <w:color w:val="FFFFFF" w:themeColor="background1"/>
                <w:sz w:val="18"/>
                <w:szCs w:val="18"/>
                <w:lang w:eastAsia="es-CO"/>
              </w:rPr>
              <w:t>unicipio</w:t>
            </w:r>
          </w:p>
        </w:tc>
        <w:tc>
          <w:tcPr>
            <w:tcW w:w="2126" w:type="dxa"/>
            <w:shd w:val="clear" w:color="auto" w:fill="76923C"/>
            <w:vAlign w:val="center"/>
            <w:hideMark/>
          </w:tcPr>
          <w:p w:rsidR="00D46B4D" w:rsidRPr="00DD0446" w:rsidRDefault="00D46B4D" w:rsidP="00D46B4D">
            <w:pPr>
              <w:spacing w:after="0" w:line="240" w:lineRule="auto"/>
              <w:jc w:val="center"/>
              <w:rPr>
                <w:rFonts w:eastAsia="Times New Roman" w:cs="Arial"/>
                <w:b/>
                <w:color w:val="FFFFFF" w:themeColor="background1"/>
                <w:sz w:val="18"/>
                <w:szCs w:val="18"/>
                <w:lang w:eastAsia="es-CO"/>
              </w:rPr>
            </w:pPr>
            <w:r w:rsidRPr="00DD0446">
              <w:rPr>
                <w:rFonts w:eastAsia="Times New Roman" w:cs="Arial"/>
                <w:b/>
                <w:color w:val="FFFFFF" w:themeColor="background1"/>
                <w:sz w:val="18"/>
                <w:szCs w:val="18"/>
                <w:lang w:eastAsia="es-CO"/>
              </w:rPr>
              <w:t>Cantidad de familias</w:t>
            </w:r>
          </w:p>
        </w:tc>
      </w:tr>
      <w:tr w:rsidR="00D46B4D" w:rsidRPr="00DD0446" w:rsidTr="00DD0446">
        <w:trPr>
          <w:trHeight w:val="62"/>
          <w:tblHeader/>
          <w:jc w:val="center"/>
        </w:trPr>
        <w:tc>
          <w:tcPr>
            <w:tcW w:w="3681" w:type="dxa"/>
            <w:shd w:val="clear" w:color="auto" w:fill="auto"/>
            <w:noWrap/>
            <w:vAlign w:val="center"/>
            <w:hideMark/>
          </w:tcPr>
          <w:p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Albania</w:t>
            </w:r>
          </w:p>
        </w:tc>
        <w:tc>
          <w:tcPr>
            <w:tcW w:w="2126" w:type="dxa"/>
            <w:shd w:val="clear" w:color="auto" w:fill="auto"/>
            <w:noWrap/>
            <w:vAlign w:val="center"/>
            <w:hideMark/>
          </w:tcPr>
          <w:p w:rsidR="00D46B4D" w:rsidRPr="00DD0446" w:rsidRDefault="00D46B4D" w:rsidP="00DD0446">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1</w:t>
            </w:r>
          </w:p>
        </w:tc>
      </w:tr>
      <w:tr w:rsidR="00D46B4D" w:rsidRPr="00DD0446" w:rsidTr="00DD0446">
        <w:trPr>
          <w:trHeight w:val="62"/>
          <w:tblHeader/>
          <w:jc w:val="center"/>
        </w:trPr>
        <w:tc>
          <w:tcPr>
            <w:tcW w:w="3681" w:type="dxa"/>
            <w:shd w:val="clear" w:color="auto" w:fill="auto"/>
            <w:noWrap/>
            <w:vAlign w:val="center"/>
            <w:hideMark/>
          </w:tcPr>
          <w:p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Maicao</w:t>
            </w:r>
          </w:p>
        </w:tc>
        <w:tc>
          <w:tcPr>
            <w:tcW w:w="2126" w:type="dxa"/>
            <w:shd w:val="clear" w:color="auto" w:fill="auto"/>
            <w:noWrap/>
            <w:vAlign w:val="center"/>
            <w:hideMark/>
          </w:tcPr>
          <w:p w:rsidR="00D46B4D" w:rsidRPr="00DD0446" w:rsidRDefault="00D46B4D" w:rsidP="00DD0446">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1</w:t>
            </w:r>
          </w:p>
        </w:tc>
      </w:tr>
      <w:tr w:rsidR="00D46B4D" w:rsidRPr="00DD0446" w:rsidTr="00DD0446">
        <w:trPr>
          <w:trHeight w:val="62"/>
          <w:tblHeader/>
          <w:jc w:val="center"/>
        </w:trPr>
        <w:tc>
          <w:tcPr>
            <w:tcW w:w="3681" w:type="dxa"/>
            <w:shd w:val="clear" w:color="auto" w:fill="auto"/>
            <w:noWrap/>
            <w:vAlign w:val="center"/>
            <w:hideMark/>
          </w:tcPr>
          <w:p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Manaure</w:t>
            </w:r>
          </w:p>
        </w:tc>
        <w:tc>
          <w:tcPr>
            <w:tcW w:w="2126" w:type="dxa"/>
            <w:shd w:val="clear" w:color="auto" w:fill="auto"/>
            <w:noWrap/>
            <w:vAlign w:val="center"/>
            <w:hideMark/>
          </w:tcPr>
          <w:p w:rsidR="00D46B4D" w:rsidRPr="00DD0446" w:rsidRDefault="00D46B4D" w:rsidP="00DD0446">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1.550</w:t>
            </w:r>
          </w:p>
        </w:tc>
      </w:tr>
      <w:tr w:rsidR="00D46B4D" w:rsidRPr="00DD0446" w:rsidTr="00DD0446">
        <w:trPr>
          <w:trHeight w:val="62"/>
          <w:tblHeader/>
          <w:jc w:val="center"/>
        </w:trPr>
        <w:tc>
          <w:tcPr>
            <w:tcW w:w="3681" w:type="dxa"/>
            <w:shd w:val="clear" w:color="auto" w:fill="auto"/>
            <w:noWrap/>
            <w:vAlign w:val="center"/>
            <w:hideMark/>
          </w:tcPr>
          <w:p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Riohacha</w:t>
            </w:r>
          </w:p>
        </w:tc>
        <w:tc>
          <w:tcPr>
            <w:tcW w:w="2126" w:type="dxa"/>
            <w:shd w:val="clear" w:color="auto" w:fill="auto"/>
            <w:noWrap/>
            <w:vAlign w:val="center"/>
            <w:hideMark/>
          </w:tcPr>
          <w:p w:rsidR="00D46B4D" w:rsidRPr="00DD0446" w:rsidRDefault="00D46B4D" w:rsidP="00DD0446">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489</w:t>
            </w:r>
          </w:p>
        </w:tc>
      </w:tr>
      <w:tr w:rsidR="00D46B4D" w:rsidRPr="00DD0446" w:rsidTr="00DD0446">
        <w:trPr>
          <w:trHeight w:val="62"/>
          <w:tblHeader/>
          <w:jc w:val="center"/>
        </w:trPr>
        <w:tc>
          <w:tcPr>
            <w:tcW w:w="3681" w:type="dxa"/>
            <w:shd w:val="clear" w:color="auto" w:fill="auto"/>
            <w:noWrap/>
            <w:vAlign w:val="center"/>
            <w:hideMark/>
          </w:tcPr>
          <w:p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Uribia</w:t>
            </w:r>
          </w:p>
        </w:tc>
        <w:tc>
          <w:tcPr>
            <w:tcW w:w="2126" w:type="dxa"/>
            <w:shd w:val="clear" w:color="auto" w:fill="auto"/>
            <w:noWrap/>
            <w:vAlign w:val="center"/>
            <w:hideMark/>
          </w:tcPr>
          <w:p w:rsidR="00D46B4D" w:rsidRPr="00DD0446" w:rsidRDefault="00D46B4D" w:rsidP="00DD0446">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1.258</w:t>
            </w:r>
          </w:p>
        </w:tc>
      </w:tr>
      <w:tr w:rsidR="00D46B4D" w:rsidRPr="00DD0446" w:rsidTr="00DD0446">
        <w:trPr>
          <w:trHeight w:val="62"/>
          <w:tblHeader/>
          <w:jc w:val="center"/>
        </w:trPr>
        <w:tc>
          <w:tcPr>
            <w:tcW w:w="3681" w:type="dxa"/>
            <w:shd w:val="clear" w:color="auto" w:fill="auto"/>
            <w:noWrap/>
            <w:vAlign w:val="center"/>
            <w:hideMark/>
          </w:tcPr>
          <w:p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Fonseca</w:t>
            </w:r>
          </w:p>
        </w:tc>
        <w:tc>
          <w:tcPr>
            <w:tcW w:w="2126" w:type="dxa"/>
            <w:shd w:val="clear" w:color="auto" w:fill="auto"/>
            <w:noWrap/>
            <w:vAlign w:val="center"/>
            <w:hideMark/>
          </w:tcPr>
          <w:p w:rsidR="00D46B4D" w:rsidRPr="00DD0446" w:rsidRDefault="00D46B4D" w:rsidP="00DD0446">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15</w:t>
            </w:r>
          </w:p>
        </w:tc>
      </w:tr>
      <w:tr w:rsidR="00D46B4D" w:rsidRPr="00DD0446" w:rsidTr="00DD0446">
        <w:trPr>
          <w:trHeight w:val="62"/>
          <w:tblHeader/>
          <w:jc w:val="center"/>
        </w:trPr>
        <w:tc>
          <w:tcPr>
            <w:tcW w:w="3681" w:type="dxa"/>
            <w:shd w:val="clear" w:color="auto" w:fill="auto"/>
            <w:noWrap/>
            <w:vAlign w:val="center"/>
            <w:hideMark/>
          </w:tcPr>
          <w:p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San Juan del Cesar</w:t>
            </w:r>
          </w:p>
        </w:tc>
        <w:tc>
          <w:tcPr>
            <w:tcW w:w="2126" w:type="dxa"/>
            <w:shd w:val="clear" w:color="auto" w:fill="auto"/>
            <w:noWrap/>
            <w:vAlign w:val="center"/>
            <w:hideMark/>
          </w:tcPr>
          <w:p w:rsidR="00D46B4D" w:rsidRPr="00DD0446" w:rsidRDefault="00D46B4D" w:rsidP="00DD0446">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12</w:t>
            </w:r>
          </w:p>
        </w:tc>
      </w:tr>
      <w:tr w:rsidR="00D46B4D" w:rsidRPr="00DD0446" w:rsidTr="00DD0446">
        <w:trPr>
          <w:trHeight w:val="62"/>
          <w:tblHeader/>
          <w:jc w:val="center"/>
        </w:trPr>
        <w:tc>
          <w:tcPr>
            <w:tcW w:w="3681" w:type="dxa"/>
            <w:shd w:val="clear" w:color="auto" w:fill="auto"/>
            <w:noWrap/>
            <w:vAlign w:val="center"/>
            <w:hideMark/>
          </w:tcPr>
          <w:p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Urumita</w:t>
            </w:r>
          </w:p>
        </w:tc>
        <w:tc>
          <w:tcPr>
            <w:tcW w:w="2126" w:type="dxa"/>
            <w:shd w:val="clear" w:color="auto" w:fill="auto"/>
            <w:noWrap/>
            <w:vAlign w:val="center"/>
            <w:hideMark/>
          </w:tcPr>
          <w:p w:rsidR="00D46B4D" w:rsidRPr="00DD0446" w:rsidRDefault="00D46B4D" w:rsidP="00DD0446">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77</w:t>
            </w:r>
          </w:p>
        </w:tc>
      </w:tr>
      <w:tr w:rsidR="00D46B4D" w:rsidRPr="00DD0446" w:rsidTr="00DD0446">
        <w:trPr>
          <w:trHeight w:val="62"/>
          <w:tblHeader/>
          <w:jc w:val="center"/>
        </w:trPr>
        <w:tc>
          <w:tcPr>
            <w:tcW w:w="3681" w:type="dxa"/>
            <w:shd w:val="clear" w:color="auto" w:fill="auto"/>
            <w:noWrap/>
            <w:vAlign w:val="center"/>
            <w:hideMark/>
          </w:tcPr>
          <w:p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Barrancas</w:t>
            </w:r>
          </w:p>
        </w:tc>
        <w:tc>
          <w:tcPr>
            <w:tcW w:w="2126" w:type="dxa"/>
            <w:shd w:val="clear" w:color="auto" w:fill="auto"/>
            <w:noWrap/>
            <w:vAlign w:val="center"/>
            <w:hideMark/>
          </w:tcPr>
          <w:p w:rsidR="00D46B4D" w:rsidRPr="00DD0446" w:rsidRDefault="00D46B4D" w:rsidP="00DD0446">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58</w:t>
            </w:r>
          </w:p>
        </w:tc>
      </w:tr>
      <w:tr w:rsidR="00D46B4D" w:rsidRPr="00DD0446" w:rsidTr="00DD0446">
        <w:trPr>
          <w:trHeight w:val="62"/>
          <w:tblHeader/>
          <w:jc w:val="center"/>
        </w:trPr>
        <w:tc>
          <w:tcPr>
            <w:tcW w:w="3681" w:type="dxa"/>
            <w:shd w:val="clear" w:color="auto" w:fill="auto"/>
            <w:noWrap/>
            <w:vAlign w:val="center"/>
            <w:hideMark/>
          </w:tcPr>
          <w:p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Villanueva</w:t>
            </w:r>
          </w:p>
        </w:tc>
        <w:tc>
          <w:tcPr>
            <w:tcW w:w="2126" w:type="dxa"/>
            <w:shd w:val="clear" w:color="auto" w:fill="auto"/>
            <w:noWrap/>
            <w:vAlign w:val="center"/>
            <w:hideMark/>
          </w:tcPr>
          <w:p w:rsidR="00D46B4D" w:rsidRPr="00DD0446" w:rsidRDefault="00D46B4D" w:rsidP="00DD0446">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23</w:t>
            </w:r>
          </w:p>
        </w:tc>
      </w:tr>
      <w:tr w:rsidR="00D46B4D" w:rsidRPr="00DD0446" w:rsidTr="00DD0446">
        <w:trPr>
          <w:trHeight w:val="62"/>
          <w:tblHeader/>
          <w:jc w:val="center"/>
        </w:trPr>
        <w:tc>
          <w:tcPr>
            <w:tcW w:w="3681" w:type="dxa"/>
            <w:shd w:val="clear" w:color="auto" w:fill="E2EFDA"/>
            <w:noWrap/>
            <w:vAlign w:val="center"/>
            <w:hideMark/>
          </w:tcPr>
          <w:p w:rsidR="00D46B4D" w:rsidRPr="00DD0446" w:rsidRDefault="00D46B4D" w:rsidP="00D46B4D">
            <w:pPr>
              <w:spacing w:after="0" w:line="240" w:lineRule="auto"/>
              <w:rPr>
                <w:rFonts w:eastAsia="Times New Roman" w:cs="Arial"/>
                <w:b/>
                <w:bCs/>
                <w:sz w:val="18"/>
                <w:szCs w:val="18"/>
                <w:lang w:eastAsia="es-CO"/>
              </w:rPr>
            </w:pPr>
            <w:r w:rsidRPr="00DD0446">
              <w:rPr>
                <w:rFonts w:eastAsia="Times New Roman" w:cs="Arial"/>
                <w:b/>
                <w:bCs/>
                <w:sz w:val="18"/>
                <w:szCs w:val="18"/>
                <w:lang w:eastAsia="es-CO"/>
              </w:rPr>
              <w:t>Total general</w:t>
            </w:r>
          </w:p>
        </w:tc>
        <w:tc>
          <w:tcPr>
            <w:tcW w:w="2126" w:type="dxa"/>
            <w:shd w:val="clear" w:color="auto" w:fill="E2EFDA"/>
            <w:noWrap/>
            <w:vAlign w:val="center"/>
            <w:hideMark/>
          </w:tcPr>
          <w:p w:rsidR="00D46B4D" w:rsidRPr="00DD0446" w:rsidRDefault="00D46B4D" w:rsidP="00DD0446">
            <w:pPr>
              <w:spacing w:after="0" w:line="240" w:lineRule="auto"/>
              <w:jc w:val="center"/>
              <w:rPr>
                <w:rFonts w:eastAsia="Times New Roman" w:cs="Arial"/>
                <w:b/>
                <w:bCs/>
                <w:sz w:val="18"/>
                <w:szCs w:val="18"/>
                <w:lang w:eastAsia="es-CO"/>
              </w:rPr>
            </w:pPr>
            <w:r w:rsidRPr="00DD0446">
              <w:rPr>
                <w:rFonts w:eastAsia="Times New Roman" w:cs="Arial"/>
                <w:b/>
                <w:bCs/>
                <w:sz w:val="18"/>
                <w:szCs w:val="18"/>
                <w:lang w:eastAsia="es-CO"/>
              </w:rPr>
              <w:t>3.484</w:t>
            </w:r>
          </w:p>
        </w:tc>
      </w:tr>
    </w:tbl>
    <w:p w:rsidR="00D46B4D" w:rsidRPr="007608C2" w:rsidRDefault="00D46B4D" w:rsidP="00572111">
      <w:pPr>
        <w:widowControl w:val="0"/>
        <w:spacing w:after="0" w:line="240" w:lineRule="auto"/>
        <w:jc w:val="center"/>
        <w:rPr>
          <w:rFonts w:cs="Arial"/>
          <w:sz w:val="16"/>
        </w:rPr>
      </w:pPr>
      <w:r w:rsidRPr="007608C2">
        <w:rPr>
          <w:rFonts w:cs="Arial"/>
          <w:sz w:val="16"/>
        </w:rPr>
        <w:t>Fuente: Base de datos RUUM - Registro único de Unidades Móviles con corte al 31 de diciembre de 2017</w:t>
      </w:r>
    </w:p>
    <w:p w:rsidR="00D46B4D" w:rsidRPr="007608C2" w:rsidRDefault="00D46B4D" w:rsidP="00D46B4D">
      <w:pPr>
        <w:spacing w:after="0" w:line="240" w:lineRule="auto"/>
        <w:jc w:val="both"/>
        <w:rPr>
          <w:rFonts w:cs="Arial"/>
        </w:rPr>
      </w:pPr>
      <w:r w:rsidRPr="007608C2">
        <w:rPr>
          <w:rFonts w:cs="Arial"/>
        </w:rPr>
        <w:lastRenderedPageBreak/>
        <w:t xml:space="preserve">Frente al total comunidades (rancherías) atendidas por las unidades móviles entre el 02 de enero al 31 de diciembre de 2017 y discriminadas por municipio la información es la siguiente: </w:t>
      </w:r>
    </w:p>
    <w:p w:rsidR="00D46B4D" w:rsidRPr="007608C2" w:rsidRDefault="00D46B4D" w:rsidP="00D46B4D">
      <w:pPr>
        <w:widowControl w:val="0"/>
        <w:tabs>
          <w:tab w:val="center" w:pos="4702"/>
        </w:tabs>
        <w:spacing w:after="0" w:line="240" w:lineRule="auto"/>
        <w:jc w:val="center"/>
        <w:rPr>
          <w:rFonts w:cs="Arial"/>
        </w:rPr>
      </w:pPr>
      <w:r w:rsidRPr="007608C2">
        <w:rPr>
          <w:rFonts w:cs="Arial"/>
          <w:b/>
        </w:rPr>
        <w:t xml:space="preserve"> </w:t>
      </w:r>
    </w:p>
    <w:tbl>
      <w:tblPr>
        <w:tblW w:w="3402"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989"/>
        <w:gridCol w:w="1413"/>
      </w:tblGrid>
      <w:tr w:rsidR="00D46B4D" w:rsidRPr="00DD0446" w:rsidTr="00DD0446">
        <w:trPr>
          <w:trHeight w:val="20"/>
          <w:jc w:val="center"/>
        </w:trPr>
        <w:tc>
          <w:tcPr>
            <w:tcW w:w="1989" w:type="dxa"/>
            <w:shd w:val="clear" w:color="auto" w:fill="76923C"/>
            <w:noWrap/>
            <w:vAlign w:val="center"/>
            <w:hideMark/>
          </w:tcPr>
          <w:p w:rsidR="00D46B4D" w:rsidRPr="00DD0446" w:rsidRDefault="00D46B4D" w:rsidP="00DD0446">
            <w:pPr>
              <w:spacing w:after="0" w:line="240" w:lineRule="auto"/>
              <w:jc w:val="center"/>
              <w:rPr>
                <w:rFonts w:eastAsia="Times New Roman" w:cs="Arial"/>
                <w:b/>
                <w:bCs/>
                <w:color w:val="FFFFFF" w:themeColor="background1"/>
                <w:sz w:val="18"/>
                <w:szCs w:val="18"/>
                <w:lang w:eastAsia="es-CO"/>
              </w:rPr>
            </w:pPr>
            <w:r w:rsidRPr="00DD0446">
              <w:rPr>
                <w:rFonts w:eastAsia="Times New Roman" w:cs="Arial"/>
                <w:b/>
                <w:bCs/>
                <w:color w:val="FFFFFF" w:themeColor="background1"/>
                <w:sz w:val="18"/>
                <w:szCs w:val="18"/>
                <w:lang w:eastAsia="es-CO"/>
              </w:rPr>
              <w:t>Municipio</w:t>
            </w:r>
          </w:p>
        </w:tc>
        <w:tc>
          <w:tcPr>
            <w:tcW w:w="1413" w:type="dxa"/>
            <w:shd w:val="clear" w:color="auto" w:fill="76923C"/>
            <w:vAlign w:val="center"/>
            <w:hideMark/>
          </w:tcPr>
          <w:p w:rsidR="00D46B4D" w:rsidRPr="00DD0446" w:rsidRDefault="00DD0446" w:rsidP="00DD0446">
            <w:pPr>
              <w:spacing w:after="0" w:line="240" w:lineRule="auto"/>
              <w:jc w:val="center"/>
              <w:rPr>
                <w:rFonts w:eastAsia="Times New Roman" w:cs="Arial"/>
                <w:b/>
                <w:bCs/>
                <w:color w:val="FFFFFF" w:themeColor="background1"/>
                <w:sz w:val="18"/>
                <w:szCs w:val="18"/>
                <w:lang w:eastAsia="es-CO"/>
              </w:rPr>
            </w:pPr>
            <w:r>
              <w:rPr>
                <w:rFonts w:eastAsia="Times New Roman" w:cs="Arial"/>
                <w:b/>
                <w:bCs/>
                <w:color w:val="FFFFFF" w:themeColor="background1"/>
                <w:sz w:val="18"/>
                <w:szCs w:val="18"/>
                <w:lang w:eastAsia="es-CO"/>
              </w:rPr>
              <w:t>Cantidad de R</w:t>
            </w:r>
            <w:r w:rsidR="00D46B4D" w:rsidRPr="00DD0446">
              <w:rPr>
                <w:rFonts w:eastAsia="Times New Roman" w:cs="Arial"/>
                <w:b/>
                <w:bCs/>
                <w:color w:val="FFFFFF" w:themeColor="background1"/>
                <w:sz w:val="18"/>
                <w:szCs w:val="18"/>
                <w:lang w:eastAsia="es-CO"/>
              </w:rPr>
              <w:t>ancherías</w:t>
            </w:r>
          </w:p>
        </w:tc>
      </w:tr>
      <w:tr w:rsidR="00D46B4D" w:rsidRPr="00DD0446" w:rsidTr="00DD0446">
        <w:trPr>
          <w:trHeight w:val="20"/>
          <w:jc w:val="center"/>
        </w:trPr>
        <w:tc>
          <w:tcPr>
            <w:tcW w:w="1989" w:type="dxa"/>
            <w:shd w:val="clear" w:color="auto" w:fill="auto"/>
            <w:noWrap/>
            <w:vAlign w:val="center"/>
            <w:hideMark/>
          </w:tcPr>
          <w:p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Albania</w:t>
            </w:r>
          </w:p>
        </w:tc>
        <w:tc>
          <w:tcPr>
            <w:tcW w:w="1413" w:type="dxa"/>
            <w:shd w:val="clear" w:color="auto" w:fill="auto"/>
            <w:noWrap/>
            <w:vAlign w:val="center"/>
            <w:hideMark/>
          </w:tcPr>
          <w:p w:rsidR="00D46B4D" w:rsidRPr="00DD0446" w:rsidRDefault="00D46B4D" w:rsidP="00D46B4D">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1</w:t>
            </w:r>
          </w:p>
        </w:tc>
      </w:tr>
      <w:tr w:rsidR="00D46B4D" w:rsidRPr="00DD0446" w:rsidTr="00DD0446">
        <w:trPr>
          <w:trHeight w:val="20"/>
          <w:jc w:val="center"/>
        </w:trPr>
        <w:tc>
          <w:tcPr>
            <w:tcW w:w="1989" w:type="dxa"/>
            <w:shd w:val="clear" w:color="auto" w:fill="auto"/>
            <w:noWrap/>
            <w:vAlign w:val="center"/>
            <w:hideMark/>
          </w:tcPr>
          <w:p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Barrancas</w:t>
            </w:r>
          </w:p>
        </w:tc>
        <w:tc>
          <w:tcPr>
            <w:tcW w:w="1413" w:type="dxa"/>
            <w:shd w:val="clear" w:color="auto" w:fill="auto"/>
            <w:noWrap/>
            <w:vAlign w:val="center"/>
            <w:hideMark/>
          </w:tcPr>
          <w:p w:rsidR="00D46B4D" w:rsidRPr="00DD0446" w:rsidRDefault="00D46B4D" w:rsidP="00D46B4D">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5</w:t>
            </w:r>
          </w:p>
        </w:tc>
      </w:tr>
      <w:tr w:rsidR="00D46B4D" w:rsidRPr="00DD0446" w:rsidTr="00DD0446">
        <w:trPr>
          <w:trHeight w:val="20"/>
          <w:jc w:val="center"/>
        </w:trPr>
        <w:tc>
          <w:tcPr>
            <w:tcW w:w="1989" w:type="dxa"/>
            <w:shd w:val="clear" w:color="auto" w:fill="auto"/>
            <w:noWrap/>
            <w:vAlign w:val="center"/>
            <w:hideMark/>
          </w:tcPr>
          <w:p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Fonseca</w:t>
            </w:r>
          </w:p>
        </w:tc>
        <w:tc>
          <w:tcPr>
            <w:tcW w:w="1413" w:type="dxa"/>
            <w:shd w:val="clear" w:color="auto" w:fill="auto"/>
            <w:noWrap/>
            <w:vAlign w:val="center"/>
            <w:hideMark/>
          </w:tcPr>
          <w:p w:rsidR="00D46B4D" w:rsidRPr="00DD0446" w:rsidRDefault="00D46B4D" w:rsidP="00D46B4D">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1</w:t>
            </w:r>
          </w:p>
        </w:tc>
      </w:tr>
      <w:tr w:rsidR="00D46B4D" w:rsidRPr="00DD0446" w:rsidTr="00DD0446">
        <w:trPr>
          <w:trHeight w:val="20"/>
          <w:jc w:val="center"/>
        </w:trPr>
        <w:tc>
          <w:tcPr>
            <w:tcW w:w="1989" w:type="dxa"/>
            <w:shd w:val="clear" w:color="auto" w:fill="auto"/>
            <w:noWrap/>
            <w:vAlign w:val="center"/>
            <w:hideMark/>
          </w:tcPr>
          <w:p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Maicao</w:t>
            </w:r>
          </w:p>
        </w:tc>
        <w:tc>
          <w:tcPr>
            <w:tcW w:w="1413" w:type="dxa"/>
            <w:shd w:val="clear" w:color="auto" w:fill="auto"/>
            <w:noWrap/>
            <w:vAlign w:val="center"/>
            <w:hideMark/>
          </w:tcPr>
          <w:p w:rsidR="00D46B4D" w:rsidRPr="00DD0446" w:rsidRDefault="00D46B4D" w:rsidP="00D46B4D">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1</w:t>
            </w:r>
          </w:p>
        </w:tc>
      </w:tr>
      <w:tr w:rsidR="00D46B4D" w:rsidRPr="00DD0446" w:rsidTr="00DD0446">
        <w:trPr>
          <w:trHeight w:val="20"/>
          <w:jc w:val="center"/>
        </w:trPr>
        <w:tc>
          <w:tcPr>
            <w:tcW w:w="1989" w:type="dxa"/>
            <w:shd w:val="clear" w:color="auto" w:fill="auto"/>
            <w:noWrap/>
            <w:vAlign w:val="center"/>
            <w:hideMark/>
          </w:tcPr>
          <w:p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Manaure</w:t>
            </w:r>
          </w:p>
        </w:tc>
        <w:tc>
          <w:tcPr>
            <w:tcW w:w="1413" w:type="dxa"/>
            <w:shd w:val="clear" w:color="auto" w:fill="auto"/>
            <w:noWrap/>
            <w:vAlign w:val="center"/>
            <w:hideMark/>
          </w:tcPr>
          <w:p w:rsidR="00D46B4D" w:rsidRPr="00DD0446" w:rsidRDefault="00D46B4D" w:rsidP="00D46B4D">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189</w:t>
            </w:r>
          </w:p>
        </w:tc>
      </w:tr>
      <w:tr w:rsidR="00D46B4D" w:rsidRPr="00DD0446" w:rsidTr="00DD0446">
        <w:trPr>
          <w:trHeight w:val="20"/>
          <w:jc w:val="center"/>
        </w:trPr>
        <w:tc>
          <w:tcPr>
            <w:tcW w:w="1989" w:type="dxa"/>
            <w:shd w:val="clear" w:color="auto" w:fill="auto"/>
            <w:noWrap/>
            <w:vAlign w:val="center"/>
            <w:hideMark/>
          </w:tcPr>
          <w:p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Riohacha</w:t>
            </w:r>
          </w:p>
        </w:tc>
        <w:tc>
          <w:tcPr>
            <w:tcW w:w="1413" w:type="dxa"/>
            <w:shd w:val="clear" w:color="auto" w:fill="auto"/>
            <w:noWrap/>
            <w:vAlign w:val="center"/>
            <w:hideMark/>
          </w:tcPr>
          <w:p w:rsidR="00D46B4D" w:rsidRPr="00DD0446" w:rsidRDefault="00D46B4D" w:rsidP="00D46B4D">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57</w:t>
            </w:r>
          </w:p>
        </w:tc>
      </w:tr>
      <w:tr w:rsidR="00D46B4D" w:rsidRPr="00DD0446" w:rsidTr="00DD0446">
        <w:trPr>
          <w:trHeight w:val="20"/>
          <w:jc w:val="center"/>
        </w:trPr>
        <w:tc>
          <w:tcPr>
            <w:tcW w:w="1989" w:type="dxa"/>
            <w:shd w:val="clear" w:color="auto" w:fill="auto"/>
            <w:noWrap/>
            <w:vAlign w:val="center"/>
            <w:hideMark/>
          </w:tcPr>
          <w:p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San juan del cesar</w:t>
            </w:r>
          </w:p>
        </w:tc>
        <w:tc>
          <w:tcPr>
            <w:tcW w:w="1413" w:type="dxa"/>
            <w:shd w:val="clear" w:color="auto" w:fill="auto"/>
            <w:noWrap/>
            <w:vAlign w:val="center"/>
            <w:hideMark/>
          </w:tcPr>
          <w:p w:rsidR="00D46B4D" w:rsidRPr="00DD0446" w:rsidRDefault="00D46B4D" w:rsidP="00D46B4D">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2</w:t>
            </w:r>
          </w:p>
        </w:tc>
      </w:tr>
      <w:tr w:rsidR="00D46B4D" w:rsidRPr="00DD0446" w:rsidTr="00DD0446">
        <w:trPr>
          <w:trHeight w:val="20"/>
          <w:jc w:val="center"/>
        </w:trPr>
        <w:tc>
          <w:tcPr>
            <w:tcW w:w="1989" w:type="dxa"/>
            <w:shd w:val="clear" w:color="auto" w:fill="auto"/>
            <w:noWrap/>
            <w:vAlign w:val="center"/>
            <w:hideMark/>
          </w:tcPr>
          <w:p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Uribia</w:t>
            </w:r>
          </w:p>
        </w:tc>
        <w:tc>
          <w:tcPr>
            <w:tcW w:w="1413" w:type="dxa"/>
            <w:shd w:val="clear" w:color="auto" w:fill="auto"/>
            <w:noWrap/>
            <w:vAlign w:val="center"/>
            <w:hideMark/>
          </w:tcPr>
          <w:p w:rsidR="00D46B4D" w:rsidRPr="00DD0446" w:rsidRDefault="00D46B4D" w:rsidP="00D46B4D">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198</w:t>
            </w:r>
          </w:p>
        </w:tc>
      </w:tr>
      <w:tr w:rsidR="00D46B4D" w:rsidRPr="00DD0446" w:rsidTr="00DD0446">
        <w:trPr>
          <w:trHeight w:val="20"/>
          <w:jc w:val="center"/>
        </w:trPr>
        <w:tc>
          <w:tcPr>
            <w:tcW w:w="1989" w:type="dxa"/>
            <w:shd w:val="clear" w:color="auto" w:fill="auto"/>
            <w:noWrap/>
            <w:vAlign w:val="center"/>
            <w:hideMark/>
          </w:tcPr>
          <w:p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Urumita</w:t>
            </w:r>
          </w:p>
        </w:tc>
        <w:tc>
          <w:tcPr>
            <w:tcW w:w="1413" w:type="dxa"/>
            <w:shd w:val="clear" w:color="auto" w:fill="auto"/>
            <w:noWrap/>
            <w:vAlign w:val="center"/>
            <w:hideMark/>
          </w:tcPr>
          <w:p w:rsidR="00D46B4D" w:rsidRPr="00DD0446" w:rsidRDefault="00D46B4D" w:rsidP="00D46B4D">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1</w:t>
            </w:r>
          </w:p>
        </w:tc>
      </w:tr>
      <w:tr w:rsidR="00D46B4D" w:rsidRPr="00DD0446" w:rsidTr="00DD0446">
        <w:trPr>
          <w:trHeight w:val="20"/>
          <w:jc w:val="center"/>
        </w:trPr>
        <w:tc>
          <w:tcPr>
            <w:tcW w:w="1989" w:type="dxa"/>
            <w:shd w:val="clear" w:color="auto" w:fill="auto"/>
            <w:noWrap/>
            <w:vAlign w:val="center"/>
            <w:hideMark/>
          </w:tcPr>
          <w:p w:rsidR="00D46B4D" w:rsidRPr="00DD0446" w:rsidRDefault="00D46B4D" w:rsidP="00D46B4D">
            <w:pPr>
              <w:spacing w:after="0" w:line="240" w:lineRule="auto"/>
              <w:rPr>
                <w:rFonts w:eastAsia="Times New Roman" w:cs="Arial"/>
                <w:sz w:val="18"/>
                <w:szCs w:val="18"/>
                <w:lang w:eastAsia="es-CO"/>
              </w:rPr>
            </w:pPr>
            <w:r w:rsidRPr="00DD0446">
              <w:rPr>
                <w:rFonts w:eastAsia="Times New Roman" w:cs="Arial"/>
                <w:sz w:val="18"/>
                <w:szCs w:val="18"/>
                <w:lang w:eastAsia="es-CO"/>
              </w:rPr>
              <w:t>Villanueva</w:t>
            </w:r>
          </w:p>
        </w:tc>
        <w:tc>
          <w:tcPr>
            <w:tcW w:w="1413" w:type="dxa"/>
            <w:shd w:val="clear" w:color="auto" w:fill="auto"/>
            <w:noWrap/>
            <w:vAlign w:val="center"/>
            <w:hideMark/>
          </w:tcPr>
          <w:p w:rsidR="00D46B4D" w:rsidRPr="00DD0446" w:rsidRDefault="00D46B4D" w:rsidP="00D46B4D">
            <w:pPr>
              <w:spacing w:after="0" w:line="240" w:lineRule="auto"/>
              <w:jc w:val="center"/>
              <w:rPr>
                <w:rFonts w:eastAsia="Times New Roman" w:cs="Arial"/>
                <w:sz w:val="18"/>
                <w:szCs w:val="18"/>
                <w:lang w:eastAsia="es-CO"/>
              </w:rPr>
            </w:pPr>
            <w:r w:rsidRPr="00DD0446">
              <w:rPr>
                <w:rFonts w:eastAsia="Times New Roman" w:cs="Arial"/>
                <w:sz w:val="18"/>
                <w:szCs w:val="18"/>
                <w:lang w:eastAsia="es-CO"/>
              </w:rPr>
              <w:t>1</w:t>
            </w:r>
          </w:p>
        </w:tc>
      </w:tr>
      <w:tr w:rsidR="00D46B4D" w:rsidRPr="00DD0446" w:rsidTr="00A55A2D">
        <w:trPr>
          <w:trHeight w:val="20"/>
          <w:jc w:val="center"/>
        </w:trPr>
        <w:tc>
          <w:tcPr>
            <w:tcW w:w="1989" w:type="dxa"/>
            <w:shd w:val="clear" w:color="auto" w:fill="E2EFDA"/>
            <w:noWrap/>
            <w:vAlign w:val="center"/>
            <w:hideMark/>
          </w:tcPr>
          <w:p w:rsidR="00D46B4D" w:rsidRPr="00DD0446" w:rsidRDefault="00D46B4D" w:rsidP="00D46B4D">
            <w:pPr>
              <w:spacing w:after="0" w:line="240" w:lineRule="auto"/>
              <w:rPr>
                <w:rFonts w:eastAsia="Times New Roman" w:cs="Arial"/>
                <w:b/>
                <w:bCs/>
                <w:sz w:val="18"/>
                <w:szCs w:val="18"/>
                <w:lang w:eastAsia="es-CO"/>
              </w:rPr>
            </w:pPr>
            <w:r w:rsidRPr="00DD0446">
              <w:rPr>
                <w:rFonts w:eastAsia="Times New Roman" w:cs="Arial"/>
                <w:b/>
                <w:bCs/>
                <w:sz w:val="18"/>
                <w:szCs w:val="18"/>
                <w:lang w:eastAsia="es-CO"/>
              </w:rPr>
              <w:t>Total general</w:t>
            </w:r>
          </w:p>
        </w:tc>
        <w:tc>
          <w:tcPr>
            <w:tcW w:w="1413" w:type="dxa"/>
            <w:shd w:val="clear" w:color="auto" w:fill="E2EFDA"/>
            <w:noWrap/>
            <w:vAlign w:val="center"/>
            <w:hideMark/>
          </w:tcPr>
          <w:p w:rsidR="00D46B4D" w:rsidRPr="00DD0446" w:rsidRDefault="00D46B4D" w:rsidP="00D46B4D">
            <w:pPr>
              <w:spacing w:after="0" w:line="240" w:lineRule="auto"/>
              <w:jc w:val="center"/>
              <w:rPr>
                <w:rFonts w:eastAsia="Times New Roman" w:cs="Arial"/>
                <w:b/>
                <w:bCs/>
                <w:sz w:val="18"/>
                <w:szCs w:val="18"/>
                <w:lang w:eastAsia="es-CO"/>
              </w:rPr>
            </w:pPr>
            <w:r w:rsidRPr="00DD0446">
              <w:rPr>
                <w:rFonts w:eastAsia="Times New Roman" w:cs="Arial"/>
                <w:b/>
                <w:bCs/>
                <w:sz w:val="18"/>
                <w:szCs w:val="18"/>
                <w:lang w:eastAsia="es-CO"/>
              </w:rPr>
              <w:t>428</w:t>
            </w:r>
          </w:p>
        </w:tc>
      </w:tr>
    </w:tbl>
    <w:p w:rsidR="00D46B4D" w:rsidRPr="00DD0446" w:rsidRDefault="00D46B4D" w:rsidP="00A55A2D">
      <w:pPr>
        <w:widowControl w:val="0"/>
        <w:tabs>
          <w:tab w:val="center" w:pos="4702"/>
        </w:tabs>
        <w:spacing w:after="0" w:line="240" w:lineRule="auto"/>
        <w:jc w:val="center"/>
        <w:rPr>
          <w:rFonts w:cs="Arial"/>
          <w:sz w:val="16"/>
          <w:szCs w:val="16"/>
        </w:rPr>
      </w:pPr>
      <w:r w:rsidRPr="00DD0446">
        <w:rPr>
          <w:rFonts w:cs="Arial"/>
          <w:sz w:val="16"/>
          <w:szCs w:val="16"/>
        </w:rPr>
        <w:t>Fuente: Base de datos RUUM - Registro único de Unidades Móviles con corte al 31 de diciembre de 2017</w:t>
      </w:r>
    </w:p>
    <w:p w:rsidR="00D46B4D" w:rsidRPr="00A55A2D" w:rsidRDefault="00D46B4D" w:rsidP="00A55A2D">
      <w:pPr>
        <w:spacing w:after="0" w:line="240" w:lineRule="auto"/>
        <w:jc w:val="center"/>
        <w:rPr>
          <w:rFonts w:eastAsia="Times New Roman" w:cs="Arial"/>
          <w:sz w:val="16"/>
          <w:szCs w:val="16"/>
          <w:lang w:eastAsia="es-CO"/>
        </w:rPr>
      </w:pPr>
      <w:r w:rsidRPr="00A55A2D">
        <w:rPr>
          <w:rFonts w:cs="Arial"/>
          <w:sz w:val="16"/>
          <w:szCs w:val="16"/>
        </w:rPr>
        <w:t xml:space="preserve">Nota: </w:t>
      </w:r>
      <w:r w:rsidRPr="00A55A2D">
        <w:rPr>
          <w:rFonts w:eastAsia="Times New Roman" w:cs="Arial"/>
          <w:sz w:val="16"/>
          <w:szCs w:val="16"/>
          <w:lang w:eastAsia="es-CO"/>
        </w:rPr>
        <w:t>La cantidad de rancherías son concurrentes por municipios, es decir, una ranchería puede pertenecer a varios municipios; por tanto, la lectura del cuadro no se realiza por la suma de los datos.</w:t>
      </w:r>
    </w:p>
    <w:p w:rsidR="00D46B4D" w:rsidRPr="007608C2" w:rsidRDefault="00D46B4D" w:rsidP="00D46B4D">
      <w:pPr>
        <w:spacing w:after="0" w:line="240" w:lineRule="auto"/>
        <w:jc w:val="both"/>
        <w:rPr>
          <w:rFonts w:eastAsia="Times New Roman" w:cs="Arial"/>
          <w:lang w:eastAsia="es-CO"/>
        </w:rPr>
      </w:pPr>
    </w:p>
    <w:p w:rsidR="00D46B4D" w:rsidRPr="007608C2" w:rsidRDefault="00D46B4D" w:rsidP="00D46B4D">
      <w:pPr>
        <w:spacing w:after="0" w:line="240" w:lineRule="auto"/>
        <w:jc w:val="center"/>
        <w:rPr>
          <w:rFonts w:cs="Arial"/>
          <w:b/>
        </w:rPr>
      </w:pPr>
      <w:r w:rsidRPr="007608C2">
        <w:rPr>
          <w:rFonts w:cs="Arial"/>
          <w:b/>
        </w:rPr>
        <w:t>Total niños, niñas y adolescentes vinculados a programas del ICBF, por grupo etario</w:t>
      </w:r>
    </w:p>
    <w:p w:rsidR="00D46B4D" w:rsidRPr="007608C2" w:rsidRDefault="00D46B4D" w:rsidP="00D46B4D">
      <w:pPr>
        <w:spacing w:after="0" w:line="240" w:lineRule="auto"/>
        <w:jc w:val="center"/>
        <w:rPr>
          <w:rFonts w:cs="Arial"/>
          <w:b/>
        </w:rPr>
      </w:pPr>
    </w:p>
    <w:tbl>
      <w:tblPr>
        <w:tblW w:w="6951"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407"/>
        <w:gridCol w:w="841"/>
        <w:gridCol w:w="850"/>
        <w:gridCol w:w="913"/>
        <w:gridCol w:w="940"/>
      </w:tblGrid>
      <w:tr w:rsidR="00D46B4D" w:rsidRPr="00A55A2D" w:rsidTr="00A55A2D">
        <w:trPr>
          <w:trHeight w:val="62"/>
          <w:jc w:val="center"/>
        </w:trPr>
        <w:tc>
          <w:tcPr>
            <w:tcW w:w="3407" w:type="dxa"/>
            <w:shd w:val="clear" w:color="auto" w:fill="76923C"/>
            <w:noWrap/>
            <w:vAlign w:val="center"/>
            <w:hideMark/>
          </w:tcPr>
          <w:p w:rsidR="00D46B4D" w:rsidRPr="00A55A2D" w:rsidRDefault="00D46B4D" w:rsidP="00D46B4D">
            <w:pPr>
              <w:spacing w:after="0" w:line="240" w:lineRule="auto"/>
              <w:jc w:val="center"/>
              <w:rPr>
                <w:rFonts w:eastAsia="Times New Roman" w:cs="Arial"/>
                <w:b/>
                <w:color w:val="FFFFFF" w:themeColor="background1"/>
                <w:sz w:val="18"/>
                <w:szCs w:val="18"/>
                <w:lang w:eastAsia="es-CO"/>
              </w:rPr>
            </w:pPr>
            <w:r w:rsidRPr="00A55A2D">
              <w:rPr>
                <w:rFonts w:eastAsia="Times New Roman" w:cs="Arial"/>
                <w:b/>
                <w:color w:val="FFFFFF" w:themeColor="background1"/>
                <w:sz w:val="18"/>
                <w:szCs w:val="18"/>
                <w:lang w:eastAsia="es-CO"/>
              </w:rPr>
              <w:t>Programa ICBF</w:t>
            </w:r>
          </w:p>
        </w:tc>
        <w:tc>
          <w:tcPr>
            <w:tcW w:w="841" w:type="dxa"/>
            <w:shd w:val="clear" w:color="auto" w:fill="76923C"/>
            <w:noWrap/>
            <w:vAlign w:val="center"/>
            <w:hideMark/>
          </w:tcPr>
          <w:p w:rsidR="00D46B4D" w:rsidRPr="00A55A2D" w:rsidRDefault="00D46B4D" w:rsidP="00D46B4D">
            <w:pPr>
              <w:spacing w:after="0" w:line="240" w:lineRule="auto"/>
              <w:jc w:val="center"/>
              <w:rPr>
                <w:rFonts w:eastAsia="Times New Roman" w:cs="Arial"/>
                <w:b/>
                <w:color w:val="FFFFFF" w:themeColor="background1"/>
                <w:sz w:val="18"/>
                <w:szCs w:val="18"/>
                <w:lang w:eastAsia="es-CO"/>
              </w:rPr>
            </w:pPr>
            <w:r w:rsidRPr="00A55A2D">
              <w:rPr>
                <w:rFonts w:eastAsia="Times New Roman" w:cs="Arial"/>
                <w:b/>
                <w:color w:val="FFFFFF" w:themeColor="background1"/>
                <w:sz w:val="18"/>
                <w:szCs w:val="18"/>
                <w:lang w:eastAsia="es-CO"/>
              </w:rPr>
              <w:t>0-5 años</w:t>
            </w:r>
          </w:p>
        </w:tc>
        <w:tc>
          <w:tcPr>
            <w:tcW w:w="850" w:type="dxa"/>
            <w:shd w:val="clear" w:color="auto" w:fill="76923C"/>
            <w:noWrap/>
            <w:vAlign w:val="center"/>
            <w:hideMark/>
          </w:tcPr>
          <w:p w:rsidR="00D46B4D" w:rsidRPr="00A55A2D" w:rsidRDefault="00D46B4D" w:rsidP="00D46B4D">
            <w:pPr>
              <w:spacing w:after="0" w:line="240" w:lineRule="auto"/>
              <w:jc w:val="center"/>
              <w:rPr>
                <w:rFonts w:eastAsia="Times New Roman" w:cs="Arial"/>
                <w:b/>
                <w:color w:val="FFFFFF" w:themeColor="background1"/>
                <w:sz w:val="18"/>
                <w:szCs w:val="18"/>
                <w:lang w:eastAsia="es-CO"/>
              </w:rPr>
            </w:pPr>
            <w:r w:rsidRPr="00A55A2D">
              <w:rPr>
                <w:rFonts w:eastAsia="Times New Roman" w:cs="Arial"/>
                <w:b/>
                <w:color w:val="FFFFFF" w:themeColor="background1"/>
                <w:sz w:val="18"/>
                <w:szCs w:val="18"/>
                <w:lang w:eastAsia="es-CO"/>
              </w:rPr>
              <w:t>6-12 años</w:t>
            </w:r>
          </w:p>
        </w:tc>
        <w:tc>
          <w:tcPr>
            <w:tcW w:w="913" w:type="dxa"/>
            <w:shd w:val="clear" w:color="auto" w:fill="76923C"/>
            <w:noWrap/>
            <w:vAlign w:val="center"/>
            <w:hideMark/>
          </w:tcPr>
          <w:p w:rsidR="00D46B4D" w:rsidRPr="00A55A2D" w:rsidRDefault="00D46B4D" w:rsidP="00D46B4D">
            <w:pPr>
              <w:spacing w:after="0" w:line="240" w:lineRule="auto"/>
              <w:jc w:val="center"/>
              <w:rPr>
                <w:rFonts w:eastAsia="Times New Roman" w:cs="Arial"/>
                <w:b/>
                <w:color w:val="FFFFFF" w:themeColor="background1"/>
                <w:sz w:val="18"/>
                <w:szCs w:val="18"/>
                <w:lang w:eastAsia="es-CO"/>
              </w:rPr>
            </w:pPr>
            <w:r w:rsidRPr="00A55A2D">
              <w:rPr>
                <w:rFonts w:eastAsia="Times New Roman" w:cs="Arial"/>
                <w:b/>
                <w:color w:val="FFFFFF" w:themeColor="background1"/>
                <w:sz w:val="18"/>
                <w:szCs w:val="18"/>
                <w:lang w:eastAsia="es-CO"/>
              </w:rPr>
              <w:t>13-17 años</w:t>
            </w:r>
          </w:p>
        </w:tc>
        <w:tc>
          <w:tcPr>
            <w:tcW w:w="940" w:type="dxa"/>
            <w:shd w:val="clear" w:color="auto" w:fill="76923C"/>
            <w:noWrap/>
            <w:vAlign w:val="center"/>
            <w:hideMark/>
          </w:tcPr>
          <w:p w:rsidR="00D46B4D" w:rsidRPr="00A55A2D" w:rsidRDefault="00D46B4D" w:rsidP="00D46B4D">
            <w:pPr>
              <w:spacing w:after="0" w:line="240" w:lineRule="auto"/>
              <w:jc w:val="center"/>
              <w:rPr>
                <w:rFonts w:eastAsia="Times New Roman" w:cs="Arial"/>
                <w:b/>
                <w:color w:val="FFFFFF" w:themeColor="background1"/>
                <w:sz w:val="18"/>
                <w:szCs w:val="18"/>
                <w:lang w:eastAsia="es-CO"/>
              </w:rPr>
            </w:pPr>
            <w:r w:rsidRPr="00A55A2D">
              <w:rPr>
                <w:rFonts w:eastAsia="Times New Roman" w:cs="Arial"/>
                <w:b/>
                <w:color w:val="FFFFFF" w:themeColor="background1"/>
                <w:sz w:val="18"/>
                <w:szCs w:val="18"/>
                <w:lang w:eastAsia="es-CO"/>
              </w:rPr>
              <w:t>Total general</w:t>
            </w:r>
          </w:p>
        </w:tc>
      </w:tr>
      <w:tr w:rsidR="00D46B4D" w:rsidRPr="00A55A2D" w:rsidTr="00A55A2D">
        <w:trPr>
          <w:trHeight w:val="62"/>
          <w:jc w:val="center"/>
        </w:trPr>
        <w:tc>
          <w:tcPr>
            <w:tcW w:w="3407" w:type="dxa"/>
            <w:shd w:val="clear" w:color="auto" w:fill="auto"/>
            <w:noWrap/>
            <w:vAlign w:val="center"/>
            <w:hideMark/>
          </w:tcPr>
          <w:p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CDI Institucional</w:t>
            </w:r>
          </w:p>
        </w:tc>
        <w:tc>
          <w:tcPr>
            <w:tcW w:w="841"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469</w:t>
            </w:r>
          </w:p>
        </w:tc>
        <w:tc>
          <w:tcPr>
            <w:tcW w:w="850"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8</w:t>
            </w:r>
          </w:p>
        </w:tc>
        <w:tc>
          <w:tcPr>
            <w:tcW w:w="913"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w:t>
            </w:r>
          </w:p>
        </w:tc>
        <w:tc>
          <w:tcPr>
            <w:tcW w:w="940"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478</w:t>
            </w:r>
          </w:p>
        </w:tc>
      </w:tr>
      <w:tr w:rsidR="00D46B4D" w:rsidRPr="00A55A2D" w:rsidTr="00A55A2D">
        <w:trPr>
          <w:trHeight w:val="62"/>
          <w:jc w:val="center"/>
        </w:trPr>
        <w:tc>
          <w:tcPr>
            <w:tcW w:w="3407" w:type="dxa"/>
            <w:shd w:val="clear" w:color="auto" w:fill="auto"/>
            <w:noWrap/>
            <w:vAlign w:val="center"/>
            <w:hideMark/>
          </w:tcPr>
          <w:p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CDI Modalidad FAMI</w:t>
            </w:r>
          </w:p>
        </w:tc>
        <w:tc>
          <w:tcPr>
            <w:tcW w:w="841"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w:t>
            </w:r>
          </w:p>
        </w:tc>
        <w:tc>
          <w:tcPr>
            <w:tcW w:w="850"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913"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940"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w:t>
            </w:r>
          </w:p>
        </w:tc>
      </w:tr>
      <w:tr w:rsidR="00D46B4D" w:rsidRPr="00A55A2D" w:rsidTr="00A55A2D">
        <w:trPr>
          <w:trHeight w:val="62"/>
          <w:jc w:val="center"/>
        </w:trPr>
        <w:tc>
          <w:tcPr>
            <w:tcW w:w="3407" w:type="dxa"/>
            <w:shd w:val="clear" w:color="auto" w:fill="auto"/>
            <w:noWrap/>
            <w:vAlign w:val="center"/>
            <w:hideMark/>
          </w:tcPr>
          <w:p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CDI Modalidad Familiar</w:t>
            </w:r>
          </w:p>
        </w:tc>
        <w:tc>
          <w:tcPr>
            <w:tcW w:w="841"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1.046</w:t>
            </w:r>
          </w:p>
        </w:tc>
        <w:tc>
          <w:tcPr>
            <w:tcW w:w="850"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8</w:t>
            </w:r>
          </w:p>
        </w:tc>
        <w:tc>
          <w:tcPr>
            <w:tcW w:w="913"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9</w:t>
            </w:r>
          </w:p>
        </w:tc>
        <w:tc>
          <w:tcPr>
            <w:tcW w:w="940"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1.063</w:t>
            </w:r>
          </w:p>
        </w:tc>
      </w:tr>
      <w:tr w:rsidR="00D46B4D" w:rsidRPr="00A55A2D" w:rsidTr="00A55A2D">
        <w:trPr>
          <w:trHeight w:val="62"/>
          <w:jc w:val="center"/>
        </w:trPr>
        <w:tc>
          <w:tcPr>
            <w:tcW w:w="3407" w:type="dxa"/>
            <w:shd w:val="clear" w:color="auto" w:fill="auto"/>
            <w:noWrap/>
            <w:vAlign w:val="center"/>
            <w:hideMark/>
          </w:tcPr>
          <w:p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FAMI</w:t>
            </w:r>
          </w:p>
        </w:tc>
        <w:tc>
          <w:tcPr>
            <w:tcW w:w="841"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w:t>
            </w:r>
          </w:p>
        </w:tc>
        <w:tc>
          <w:tcPr>
            <w:tcW w:w="850"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913"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940"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w:t>
            </w:r>
          </w:p>
        </w:tc>
      </w:tr>
      <w:tr w:rsidR="00D46B4D" w:rsidRPr="00A55A2D" w:rsidTr="00A55A2D">
        <w:trPr>
          <w:trHeight w:val="62"/>
          <w:jc w:val="center"/>
        </w:trPr>
        <w:tc>
          <w:tcPr>
            <w:tcW w:w="3407" w:type="dxa"/>
            <w:shd w:val="clear" w:color="auto" w:fill="auto"/>
            <w:noWrap/>
            <w:vAlign w:val="center"/>
            <w:hideMark/>
          </w:tcPr>
          <w:p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HCB Tradicional</w:t>
            </w:r>
          </w:p>
        </w:tc>
        <w:tc>
          <w:tcPr>
            <w:tcW w:w="841"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35</w:t>
            </w:r>
          </w:p>
        </w:tc>
        <w:tc>
          <w:tcPr>
            <w:tcW w:w="850"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913"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940"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35</w:t>
            </w:r>
          </w:p>
        </w:tc>
      </w:tr>
      <w:tr w:rsidR="00D46B4D" w:rsidRPr="00A55A2D" w:rsidTr="00A55A2D">
        <w:trPr>
          <w:trHeight w:val="62"/>
          <w:jc w:val="center"/>
        </w:trPr>
        <w:tc>
          <w:tcPr>
            <w:tcW w:w="3407" w:type="dxa"/>
            <w:shd w:val="clear" w:color="auto" w:fill="auto"/>
            <w:noWrap/>
            <w:vAlign w:val="center"/>
            <w:hideMark/>
          </w:tcPr>
          <w:p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HCBF</w:t>
            </w:r>
          </w:p>
        </w:tc>
        <w:tc>
          <w:tcPr>
            <w:tcW w:w="841"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8</w:t>
            </w:r>
          </w:p>
        </w:tc>
        <w:tc>
          <w:tcPr>
            <w:tcW w:w="850"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913"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940"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8</w:t>
            </w:r>
          </w:p>
        </w:tc>
      </w:tr>
      <w:tr w:rsidR="00D46B4D" w:rsidRPr="00A55A2D" w:rsidTr="00A55A2D">
        <w:trPr>
          <w:trHeight w:val="62"/>
          <w:jc w:val="center"/>
        </w:trPr>
        <w:tc>
          <w:tcPr>
            <w:tcW w:w="3407" w:type="dxa"/>
            <w:shd w:val="clear" w:color="auto" w:fill="auto"/>
            <w:noWrap/>
            <w:vAlign w:val="center"/>
            <w:hideMark/>
          </w:tcPr>
          <w:p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Hogar Infantil</w:t>
            </w:r>
          </w:p>
        </w:tc>
        <w:tc>
          <w:tcPr>
            <w:tcW w:w="841"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26</w:t>
            </w:r>
          </w:p>
        </w:tc>
        <w:tc>
          <w:tcPr>
            <w:tcW w:w="850"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w:t>
            </w:r>
          </w:p>
        </w:tc>
        <w:tc>
          <w:tcPr>
            <w:tcW w:w="913"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940"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27</w:t>
            </w:r>
          </w:p>
        </w:tc>
      </w:tr>
      <w:tr w:rsidR="00D46B4D" w:rsidRPr="00A55A2D" w:rsidTr="00A55A2D">
        <w:trPr>
          <w:trHeight w:val="62"/>
          <w:jc w:val="center"/>
        </w:trPr>
        <w:tc>
          <w:tcPr>
            <w:tcW w:w="3407" w:type="dxa"/>
            <w:shd w:val="clear" w:color="auto" w:fill="auto"/>
            <w:noWrap/>
            <w:vAlign w:val="center"/>
            <w:hideMark/>
          </w:tcPr>
          <w:p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 xml:space="preserve">Centros de </w:t>
            </w:r>
            <w:r w:rsidR="00A55A2D" w:rsidRPr="00A55A2D">
              <w:rPr>
                <w:rFonts w:eastAsia="Times New Roman" w:cs="Arial"/>
                <w:sz w:val="18"/>
                <w:szCs w:val="18"/>
                <w:lang w:eastAsia="es-CO"/>
              </w:rPr>
              <w:t>Desarrollo Infantil</w:t>
            </w:r>
            <w:r w:rsidRPr="00A55A2D">
              <w:rPr>
                <w:rFonts w:eastAsia="Times New Roman" w:cs="Arial"/>
                <w:sz w:val="18"/>
                <w:szCs w:val="18"/>
                <w:lang w:eastAsia="es-CO"/>
              </w:rPr>
              <w:t xml:space="preserve"> (CDI)</w:t>
            </w:r>
          </w:p>
        </w:tc>
        <w:tc>
          <w:tcPr>
            <w:tcW w:w="841"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16</w:t>
            </w:r>
          </w:p>
        </w:tc>
        <w:tc>
          <w:tcPr>
            <w:tcW w:w="850"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913"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w:t>
            </w:r>
          </w:p>
        </w:tc>
        <w:tc>
          <w:tcPr>
            <w:tcW w:w="940" w:type="dxa"/>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16</w:t>
            </w:r>
          </w:p>
        </w:tc>
      </w:tr>
      <w:tr w:rsidR="00D46B4D" w:rsidRPr="00A55A2D" w:rsidTr="00A55A2D">
        <w:trPr>
          <w:trHeight w:val="62"/>
          <w:jc w:val="center"/>
        </w:trPr>
        <w:tc>
          <w:tcPr>
            <w:tcW w:w="3407" w:type="dxa"/>
            <w:shd w:val="clear" w:color="auto" w:fill="E2EFDA"/>
            <w:noWrap/>
            <w:vAlign w:val="center"/>
            <w:hideMark/>
          </w:tcPr>
          <w:p w:rsidR="00D46B4D" w:rsidRPr="00A55A2D" w:rsidRDefault="00D46B4D" w:rsidP="00D46B4D">
            <w:pPr>
              <w:spacing w:after="0" w:line="240" w:lineRule="auto"/>
              <w:rPr>
                <w:rFonts w:eastAsia="Times New Roman" w:cs="Arial"/>
                <w:b/>
                <w:bCs/>
                <w:sz w:val="18"/>
                <w:szCs w:val="18"/>
                <w:lang w:eastAsia="es-CO"/>
              </w:rPr>
            </w:pPr>
            <w:r w:rsidRPr="00A55A2D">
              <w:rPr>
                <w:rFonts w:eastAsia="Times New Roman" w:cs="Arial"/>
                <w:b/>
                <w:bCs/>
                <w:sz w:val="18"/>
                <w:szCs w:val="18"/>
                <w:lang w:eastAsia="es-CO"/>
              </w:rPr>
              <w:t>Total general</w:t>
            </w:r>
          </w:p>
        </w:tc>
        <w:tc>
          <w:tcPr>
            <w:tcW w:w="841" w:type="dxa"/>
            <w:shd w:val="clear" w:color="auto" w:fill="E2EFDA"/>
            <w:noWrap/>
            <w:vAlign w:val="center"/>
            <w:hideMark/>
          </w:tcPr>
          <w:p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1.602</w:t>
            </w:r>
          </w:p>
        </w:tc>
        <w:tc>
          <w:tcPr>
            <w:tcW w:w="850" w:type="dxa"/>
            <w:shd w:val="clear" w:color="auto" w:fill="E2EFDA"/>
            <w:noWrap/>
            <w:vAlign w:val="center"/>
            <w:hideMark/>
          </w:tcPr>
          <w:p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17</w:t>
            </w:r>
          </w:p>
        </w:tc>
        <w:tc>
          <w:tcPr>
            <w:tcW w:w="913" w:type="dxa"/>
            <w:shd w:val="clear" w:color="auto" w:fill="E2EFDA"/>
            <w:noWrap/>
            <w:vAlign w:val="center"/>
            <w:hideMark/>
          </w:tcPr>
          <w:p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10</w:t>
            </w:r>
          </w:p>
        </w:tc>
        <w:tc>
          <w:tcPr>
            <w:tcW w:w="940" w:type="dxa"/>
            <w:shd w:val="clear" w:color="auto" w:fill="E2EFDA"/>
            <w:noWrap/>
            <w:vAlign w:val="center"/>
            <w:hideMark/>
          </w:tcPr>
          <w:p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1.629</w:t>
            </w:r>
          </w:p>
        </w:tc>
      </w:tr>
    </w:tbl>
    <w:p w:rsidR="00D46B4D" w:rsidRDefault="00D46B4D" w:rsidP="00D46B4D">
      <w:pPr>
        <w:spacing w:after="0" w:line="240" w:lineRule="auto"/>
        <w:jc w:val="center"/>
        <w:rPr>
          <w:rFonts w:cs="Arial"/>
          <w:sz w:val="16"/>
          <w:szCs w:val="16"/>
        </w:rPr>
      </w:pPr>
      <w:r w:rsidRPr="00A55A2D">
        <w:rPr>
          <w:rFonts w:cs="Arial"/>
          <w:sz w:val="16"/>
          <w:szCs w:val="16"/>
        </w:rPr>
        <w:t>Fuente: Base de datos RUUM - Registro único de Unidades Móviles con corte al 31 de diciembre de 2017</w:t>
      </w:r>
    </w:p>
    <w:p w:rsidR="00A55A2D" w:rsidRPr="00A55A2D" w:rsidRDefault="00A55A2D" w:rsidP="00D46B4D">
      <w:pPr>
        <w:spacing w:after="0" w:line="240" w:lineRule="auto"/>
        <w:jc w:val="center"/>
        <w:rPr>
          <w:rFonts w:cs="Arial"/>
          <w:sz w:val="16"/>
          <w:szCs w:val="16"/>
        </w:rPr>
      </w:pPr>
    </w:p>
    <w:p w:rsidR="00D46B4D" w:rsidRPr="00A55A2D" w:rsidRDefault="00D46B4D" w:rsidP="00D46B4D">
      <w:pPr>
        <w:spacing w:after="0" w:line="240" w:lineRule="auto"/>
        <w:rPr>
          <w:rFonts w:cs="Arial"/>
          <w:sz w:val="16"/>
          <w:szCs w:val="16"/>
        </w:rPr>
      </w:pPr>
    </w:p>
    <w:p w:rsidR="00D46B4D" w:rsidRPr="007608C2" w:rsidRDefault="00D46B4D" w:rsidP="00D46B4D">
      <w:pPr>
        <w:spacing w:after="0" w:line="240" w:lineRule="auto"/>
        <w:jc w:val="center"/>
        <w:rPr>
          <w:rFonts w:cs="Arial"/>
          <w:b/>
        </w:rPr>
      </w:pPr>
      <w:r w:rsidRPr="007608C2">
        <w:rPr>
          <w:rFonts w:cs="Arial"/>
          <w:b/>
        </w:rPr>
        <w:t xml:space="preserve">Otras </w:t>
      </w:r>
      <w:r w:rsidRPr="00A55A2D">
        <w:rPr>
          <w:rFonts w:cs="Arial"/>
          <w:b/>
        </w:rPr>
        <w:t xml:space="preserve">acciones </w:t>
      </w:r>
      <w:r w:rsidRPr="007608C2">
        <w:rPr>
          <w:rFonts w:cs="Arial"/>
          <w:b/>
        </w:rPr>
        <w:t>desarrolladas con niños, niñas y adolescentes, por grupo etario</w:t>
      </w:r>
    </w:p>
    <w:tbl>
      <w:tblPr>
        <w:tblW w:w="0" w:type="auto"/>
        <w:tblInd w:w="-5"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241"/>
        <w:gridCol w:w="1251"/>
        <w:gridCol w:w="1523"/>
        <w:gridCol w:w="1398"/>
        <w:gridCol w:w="1319"/>
        <w:gridCol w:w="1370"/>
        <w:gridCol w:w="1298"/>
      </w:tblGrid>
      <w:tr w:rsidR="00D46B4D" w:rsidRPr="00A55A2D" w:rsidTr="00A55A2D">
        <w:trPr>
          <w:trHeight w:val="62"/>
        </w:trPr>
        <w:tc>
          <w:tcPr>
            <w:tcW w:w="0" w:type="auto"/>
            <w:shd w:val="clear" w:color="auto" w:fill="76923C"/>
            <w:noWrap/>
            <w:vAlign w:val="center"/>
            <w:hideMark/>
          </w:tcPr>
          <w:p w:rsidR="00D46B4D" w:rsidRPr="00A55A2D" w:rsidRDefault="00D46B4D" w:rsidP="00D46B4D">
            <w:pPr>
              <w:spacing w:after="0" w:line="240" w:lineRule="auto"/>
              <w:jc w:val="center"/>
              <w:rPr>
                <w:rFonts w:eastAsia="Times New Roman" w:cs="Arial"/>
                <w:b/>
                <w:bCs/>
                <w:color w:val="FFFFFF" w:themeColor="background1"/>
                <w:sz w:val="18"/>
                <w:szCs w:val="18"/>
                <w:lang w:eastAsia="es-CO"/>
              </w:rPr>
            </w:pPr>
            <w:r w:rsidRPr="00A55A2D">
              <w:rPr>
                <w:rFonts w:eastAsia="Times New Roman" w:cs="Arial"/>
                <w:b/>
                <w:bCs/>
                <w:color w:val="FFFFFF" w:themeColor="background1"/>
                <w:sz w:val="18"/>
                <w:szCs w:val="18"/>
                <w:lang w:eastAsia="es-CO"/>
              </w:rPr>
              <w:t xml:space="preserve">Grupo </w:t>
            </w:r>
            <w:r w:rsidR="00A55A2D" w:rsidRPr="00A55A2D">
              <w:rPr>
                <w:rFonts w:eastAsia="Times New Roman" w:cs="Arial"/>
                <w:b/>
                <w:bCs/>
                <w:color w:val="FFFFFF" w:themeColor="background1"/>
                <w:sz w:val="18"/>
                <w:szCs w:val="18"/>
                <w:lang w:eastAsia="es-CO"/>
              </w:rPr>
              <w:t xml:space="preserve">Etario </w:t>
            </w:r>
          </w:p>
        </w:tc>
        <w:tc>
          <w:tcPr>
            <w:tcW w:w="0" w:type="auto"/>
            <w:shd w:val="clear" w:color="auto" w:fill="76923C"/>
            <w:vAlign w:val="center"/>
            <w:hideMark/>
          </w:tcPr>
          <w:p w:rsidR="00D46B4D" w:rsidRPr="00A55A2D" w:rsidRDefault="00A55A2D" w:rsidP="00D46B4D">
            <w:pPr>
              <w:spacing w:after="0" w:line="240" w:lineRule="auto"/>
              <w:jc w:val="center"/>
              <w:rPr>
                <w:rFonts w:eastAsia="Times New Roman" w:cs="Arial"/>
                <w:b/>
                <w:bCs/>
                <w:color w:val="FFFFFF" w:themeColor="background1"/>
                <w:sz w:val="18"/>
                <w:szCs w:val="18"/>
                <w:lang w:eastAsia="es-CO"/>
              </w:rPr>
            </w:pPr>
            <w:r w:rsidRPr="00A55A2D">
              <w:rPr>
                <w:rFonts w:eastAsia="Times New Roman" w:cs="Arial"/>
                <w:b/>
                <w:bCs/>
                <w:color w:val="FFFFFF" w:themeColor="background1"/>
                <w:sz w:val="18"/>
                <w:szCs w:val="18"/>
                <w:lang w:eastAsia="es-CO"/>
              </w:rPr>
              <w:t xml:space="preserve">  Diagnóstico Inicial </w:t>
            </w:r>
          </w:p>
        </w:tc>
        <w:tc>
          <w:tcPr>
            <w:tcW w:w="0" w:type="auto"/>
            <w:shd w:val="clear" w:color="auto" w:fill="76923C"/>
            <w:vAlign w:val="center"/>
            <w:hideMark/>
          </w:tcPr>
          <w:p w:rsidR="00D46B4D" w:rsidRPr="00A55A2D" w:rsidRDefault="00D46B4D" w:rsidP="00D46B4D">
            <w:pPr>
              <w:spacing w:after="0" w:line="240" w:lineRule="auto"/>
              <w:jc w:val="center"/>
              <w:rPr>
                <w:rFonts w:eastAsia="Times New Roman" w:cs="Arial"/>
                <w:b/>
                <w:bCs/>
                <w:color w:val="FFFFFF" w:themeColor="background1"/>
                <w:sz w:val="18"/>
                <w:szCs w:val="18"/>
                <w:lang w:eastAsia="es-CO"/>
              </w:rPr>
            </w:pPr>
            <w:r w:rsidRPr="00A55A2D">
              <w:rPr>
                <w:rFonts w:eastAsia="Times New Roman" w:cs="Arial"/>
                <w:b/>
                <w:bCs/>
                <w:color w:val="FFFFFF" w:themeColor="background1"/>
                <w:sz w:val="18"/>
                <w:szCs w:val="18"/>
                <w:lang w:eastAsia="es-CO"/>
              </w:rPr>
              <w:t xml:space="preserve">Primeros </w:t>
            </w:r>
            <w:r w:rsidR="00A55A2D" w:rsidRPr="00A55A2D">
              <w:rPr>
                <w:rFonts w:eastAsia="Times New Roman" w:cs="Arial"/>
                <w:b/>
                <w:bCs/>
                <w:color w:val="FFFFFF" w:themeColor="background1"/>
                <w:sz w:val="18"/>
                <w:szCs w:val="18"/>
                <w:lang w:eastAsia="es-CO"/>
              </w:rPr>
              <w:t xml:space="preserve">Auxilios Psicosociales </w:t>
            </w:r>
          </w:p>
        </w:tc>
        <w:tc>
          <w:tcPr>
            <w:tcW w:w="0" w:type="auto"/>
            <w:shd w:val="clear" w:color="auto" w:fill="76923C"/>
            <w:vAlign w:val="center"/>
            <w:hideMark/>
          </w:tcPr>
          <w:p w:rsidR="00D46B4D" w:rsidRPr="00A55A2D" w:rsidRDefault="00A55A2D" w:rsidP="00D46B4D">
            <w:pPr>
              <w:spacing w:after="0" w:line="240" w:lineRule="auto"/>
              <w:jc w:val="center"/>
              <w:rPr>
                <w:rFonts w:eastAsia="Times New Roman" w:cs="Arial"/>
                <w:b/>
                <w:bCs/>
                <w:color w:val="FFFFFF" w:themeColor="background1"/>
                <w:sz w:val="18"/>
                <w:szCs w:val="18"/>
                <w:lang w:eastAsia="es-CO"/>
              </w:rPr>
            </w:pPr>
            <w:r w:rsidRPr="00A55A2D">
              <w:rPr>
                <w:rFonts w:eastAsia="Times New Roman" w:cs="Arial"/>
                <w:b/>
                <w:bCs/>
                <w:color w:val="FFFFFF" w:themeColor="background1"/>
                <w:sz w:val="18"/>
                <w:szCs w:val="18"/>
                <w:lang w:eastAsia="es-CO"/>
              </w:rPr>
              <w:t xml:space="preserve">  </w:t>
            </w:r>
            <w:r w:rsidR="00D46B4D" w:rsidRPr="00A55A2D">
              <w:rPr>
                <w:rFonts w:eastAsia="Times New Roman" w:cs="Arial"/>
                <w:b/>
                <w:bCs/>
                <w:color w:val="FFFFFF" w:themeColor="background1"/>
                <w:sz w:val="18"/>
                <w:szCs w:val="18"/>
                <w:lang w:eastAsia="es-CO"/>
              </w:rPr>
              <w:t xml:space="preserve">Actividades </w:t>
            </w:r>
            <w:r w:rsidRPr="00A55A2D">
              <w:rPr>
                <w:rFonts w:eastAsia="Times New Roman" w:cs="Arial"/>
                <w:b/>
                <w:bCs/>
                <w:color w:val="FFFFFF" w:themeColor="background1"/>
                <w:sz w:val="18"/>
                <w:szCs w:val="18"/>
                <w:lang w:eastAsia="es-CO"/>
              </w:rPr>
              <w:t xml:space="preserve">Artísticas Recreativas </w:t>
            </w:r>
          </w:p>
        </w:tc>
        <w:tc>
          <w:tcPr>
            <w:tcW w:w="0" w:type="auto"/>
            <w:shd w:val="clear" w:color="auto" w:fill="76923C"/>
            <w:vAlign w:val="center"/>
            <w:hideMark/>
          </w:tcPr>
          <w:p w:rsidR="00D46B4D" w:rsidRPr="00A55A2D" w:rsidRDefault="00A55A2D" w:rsidP="00D46B4D">
            <w:pPr>
              <w:spacing w:after="0" w:line="240" w:lineRule="auto"/>
              <w:jc w:val="center"/>
              <w:rPr>
                <w:rFonts w:eastAsia="Times New Roman" w:cs="Arial"/>
                <w:b/>
                <w:bCs/>
                <w:color w:val="FFFFFF" w:themeColor="background1"/>
                <w:sz w:val="18"/>
                <w:szCs w:val="18"/>
                <w:lang w:eastAsia="es-CO"/>
              </w:rPr>
            </w:pPr>
            <w:r w:rsidRPr="00A55A2D">
              <w:rPr>
                <w:rFonts w:eastAsia="Times New Roman" w:cs="Arial"/>
                <w:b/>
                <w:bCs/>
                <w:color w:val="FFFFFF" w:themeColor="background1"/>
                <w:sz w:val="18"/>
                <w:szCs w:val="18"/>
                <w:lang w:eastAsia="es-CO"/>
              </w:rPr>
              <w:t xml:space="preserve">  Remisión</w:t>
            </w:r>
            <w:r w:rsidR="00D46B4D" w:rsidRPr="00A55A2D">
              <w:rPr>
                <w:rFonts w:eastAsia="Times New Roman" w:cs="Arial"/>
                <w:b/>
                <w:bCs/>
                <w:color w:val="FFFFFF" w:themeColor="background1"/>
                <w:sz w:val="18"/>
                <w:szCs w:val="18"/>
                <w:lang w:eastAsia="es-CO"/>
              </w:rPr>
              <w:t xml:space="preserve"> </w:t>
            </w:r>
            <w:r w:rsidRPr="00A55A2D">
              <w:rPr>
                <w:rFonts w:eastAsia="Times New Roman" w:cs="Arial"/>
                <w:b/>
                <w:bCs/>
                <w:color w:val="FFFFFF" w:themeColor="background1"/>
                <w:sz w:val="18"/>
                <w:szCs w:val="18"/>
                <w:lang w:eastAsia="es-CO"/>
              </w:rPr>
              <w:t xml:space="preserve">Otros Programas </w:t>
            </w:r>
            <w:r w:rsidR="00D46B4D" w:rsidRPr="00A55A2D">
              <w:rPr>
                <w:rFonts w:eastAsia="Times New Roman" w:cs="Arial"/>
                <w:b/>
                <w:bCs/>
                <w:color w:val="FFFFFF" w:themeColor="background1"/>
                <w:sz w:val="18"/>
                <w:szCs w:val="18"/>
                <w:lang w:eastAsia="es-CO"/>
              </w:rPr>
              <w:t xml:space="preserve">ICBF </w:t>
            </w:r>
          </w:p>
        </w:tc>
        <w:tc>
          <w:tcPr>
            <w:tcW w:w="0" w:type="auto"/>
            <w:shd w:val="clear" w:color="auto" w:fill="76923C"/>
            <w:vAlign w:val="center"/>
            <w:hideMark/>
          </w:tcPr>
          <w:p w:rsidR="00D46B4D" w:rsidRPr="00A55A2D" w:rsidRDefault="00A55A2D" w:rsidP="00D46B4D">
            <w:pPr>
              <w:spacing w:after="0" w:line="240" w:lineRule="auto"/>
              <w:jc w:val="center"/>
              <w:rPr>
                <w:rFonts w:eastAsia="Times New Roman" w:cs="Arial"/>
                <w:b/>
                <w:bCs/>
                <w:color w:val="FFFFFF" w:themeColor="background1"/>
                <w:sz w:val="18"/>
                <w:szCs w:val="18"/>
                <w:lang w:eastAsia="es-CO"/>
              </w:rPr>
            </w:pPr>
            <w:r w:rsidRPr="00A55A2D">
              <w:rPr>
                <w:rFonts w:eastAsia="Times New Roman" w:cs="Arial"/>
                <w:b/>
                <w:bCs/>
                <w:color w:val="FFFFFF" w:themeColor="background1"/>
                <w:sz w:val="18"/>
                <w:szCs w:val="18"/>
                <w:lang w:eastAsia="es-CO"/>
              </w:rPr>
              <w:t>Remisión</w:t>
            </w:r>
            <w:r w:rsidR="00D46B4D" w:rsidRPr="00A55A2D">
              <w:rPr>
                <w:rFonts w:eastAsia="Times New Roman" w:cs="Arial"/>
                <w:b/>
                <w:bCs/>
                <w:color w:val="FFFFFF" w:themeColor="background1"/>
                <w:sz w:val="18"/>
                <w:szCs w:val="18"/>
                <w:lang w:eastAsia="es-CO"/>
              </w:rPr>
              <w:t xml:space="preserve"> </w:t>
            </w:r>
            <w:r w:rsidRPr="00A55A2D">
              <w:rPr>
                <w:rFonts w:eastAsia="Times New Roman" w:cs="Arial"/>
                <w:b/>
                <w:bCs/>
                <w:color w:val="FFFFFF" w:themeColor="background1"/>
                <w:sz w:val="18"/>
                <w:szCs w:val="18"/>
                <w:lang w:eastAsia="es-CO"/>
              </w:rPr>
              <w:t xml:space="preserve">Otras Entidades </w:t>
            </w:r>
            <w:r w:rsidR="00D46B4D" w:rsidRPr="00A55A2D">
              <w:rPr>
                <w:rFonts w:eastAsia="Times New Roman" w:cs="Arial"/>
                <w:b/>
                <w:bCs/>
                <w:color w:val="FFFFFF" w:themeColor="background1"/>
                <w:sz w:val="18"/>
                <w:szCs w:val="18"/>
                <w:lang w:eastAsia="es-CO"/>
              </w:rPr>
              <w:t xml:space="preserve">SNARIV </w:t>
            </w:r>
            <w:r w:rsidRPr="00A55A2D">
              <w:rPr>
                <w:rFonts w:eastAsia="Times New Roman" w:cs="Arial"/>
                <w:b/>
                <w:bCs/>
                <w:color w:val="FFFFFF" w:themeColor="background1"/>
                <w:sz w:val="18"/>
                <w:szCs w:val="18"/>
                <w:lang w:eastAsia="es-CO"/>
              </w:rPr>
              <w:t xml:space="preserve">Y El </w:t>
            </w:r>
            <w:r w:rsidR="00D46B4D" w:rsidRPr="00A55A2D">
              <w:rPr>
                <w:rFonts w:eastAsia="Times New Roman" w:cs="Arial"/>
                <w:b/>
                <w:bCs/>
                <w:color w:val="FFFFFF" w:themeColor="background1"/>
                <w:sz w:val="18"/>
                <w:szCs w:val="18"/>
                <w:lang w:eastAsia="es-CO"/>
              </w:rPr>
              <w:t xml:space="preserve">SNBF </w:t>
            </w:r>
          </w:p>
        </w:tc>
        <w:tc>
          <w:tcPr>
            <w:tcW w:w="0" w:type="auto"/>
            <w:shd w:val="clear" w:color="auto" w:fill="76923C"/>
            <w:vAlign w:val="center"/>
            <w:hideMark/>
          </w:tcPr>
          <w:p w:rsidR="00D46B4D" w:rsidRPr="00A55A2D" w:rsidRDefault="00A55A2D" w:rsidP="00D46B4D">
            <w:pPr>
              <w:spacing w:after="0" w:line="240" w:lineRule="auto"/>
              <w:jc w:val="center"/>
              <w:rPr>
                <w:rFonts w:eastAsia="Times New Roman" w:cs="Arial"/>
                <w:b/>
                <w:bCs/>
                <w:color w:val="FFFFFF" w:themeColor="background1"/>
                <w:sz w:val="18"/>
                <w:szCs w:val="18"/>
                <w:lang w:eastAsia="es-CO"/>
              </w:rPr>
            </w:pPr>
            <w:r w:rsidRPr="00A55A2D">
              <w:rPr>
                <w:rFonts w:eastAsia="Times New Roman" w:cs="Arial"/>
                <w:b/>
                <w:bCs/>
                <w:color w:val="FFFFFF" w:themeColor="background1"/>
                <w:sz w:val="18"/>
                <w:szCs w:val="18"/>
                <w:lang w:eastAsia="es-CO"/>
              </w:rPr>
              <w:t>Valoración</w:t>
            </w:r>
            <w:r w:rsidR="00D46B4D" w:rsidRPr="00A55A2D">
              <w:rPr>
                <w:rFonts w:eastAsia="Times New Roman" w:cs="Arial"/>
                <w:b/>
                <w:bCs/>
                <w:color w:val="FFFFFF" w:themeColor="background1"/>
                <w:sz w:val="18"/>
                <w:szCs w:val="18"/>
                <w:lang w:eastAsia="es-CO"/>
              </w:rPr>
              <w:t xml:space="preserve"> </w:t>
            </w:r>
            <w:r w:rsidRPr="00A55A2D">
              <w:rPr>
                <w:rFonts w:eastAsia="Times New Roman" w:cs="Arial"/>
                <w:b/>
                <w:bCs/>
                <w:color w:val="FFFFFF" w:themeColor="background1"/>
                <w:sz w:val="18"/>
                <w:szCs w:val="18"/>
                <w:lang w:eastAsia="es-CO"/>
              </w:rPr>
              <w:t xml:space="preserve">Atención Nutricional </w:t>
            </w:r>
          </w:p>
        </w:tc>
      </w:tr>
      <w:tr w:rsidR="00D46B4D" w:rsidRPr="00A55A2D" w:rsidTr="00A55A2D">
        <w:trPr>
          <w:trHeight w:val="62"/>
        </w:trPr>
        <w:tc>
          <w:tcPr>
            <w:tcW w:w="0" w:type="auto"/>
            <w:shd w:val="clear" w:color="auto" w:fill="auto"/>
            <w:noWrap/>
            <w:vAlign w:val="center"/>
            <w:hideMark/>
          </w:tcPr>
          <w:p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0-5 años</w:t>
            </w:r>
          </w:p>
        </w:tc>
        <w:tc>
          <w:tcPr>
            <w:tcW w:w="0" w:type="auto"/>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3.901</w:t>
            </w:r>
          </w:p>
        </w:tc>
        <w:tc>
          <w:tcPr>
            <w:tcW w:w="0" w:type="auto"/>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3.895</w:t>
            </w:r>
          </w:p>
        </w:tc>
        <w:tc>
          <w:tcPr>
            <w:tcW w:w="0" w:type="auto"/>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2.736</w:t>
            </w:r>
          </w:p>
        </w:tc>
        <w:tc>
          <w:tcPr>
            <w:tcW w:w="0" w:type="auto"/>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424</w:t>
            </w:r>
          </w:p>
        </w:tc>
        <w:tc>
          <w:tcPr>
            <w:tcW w:w="0" w:type="auto"/>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755</w:t>
            </w:r>
          </w:p>
        </w:tc>
        <w:tc>
          <w:tcPr>
            <w:tcW w:w="0" w:type="auto"/>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3.673</w:t>
            </w:r>
          </w:p>
        </w:tc>
      </w:tr>
      <w:tr w:rsidR="00D46B4D" w:rsidRPr="00A55A2D" w:rsidTr="00A55A2D">
        <w:trPr>
          <w:trHeight w:val="62"/>
        </w:trPr>
        <w:tc>
          <w:tcPr>
            <w:tcW w:w="0" w:type="auto"/>
            <w:shd w:val="clear" w:color="auto" w:fill="auto"/>
            <w:noWrap/>
            <w:vAlign w:val="center"/>
            <w:hideMark/>
          </w:tcPr>
          <w:p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6-12 años</w:t>
            </w:r>
          </w:p>
        </w:tc>
        <w:tc>
          <w:tcPr>
            <w:tcW w:w="0" w:type="auto"/>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3.415</w:t>
            </w:r>
          </w:p>
        </w:tc>
        <w:tc>
          <w:tcPr>
            <w:tcW w:w="0" w:type="auto"/>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3.407</w:t>
            </w:r>
          </w:p>
        </w:tc>
        <w:tc>
          <w:tcPr>
            <w:tcW w:w="0" w:type="auto"/>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2.428</w:t>
            </w:r>
          </w:p>
        </w:tc>
        <w:tc>
          <w:tcPr>
            <w:tcW w:w="0" w:type="auto"/>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145</w:t>
            </w:r>
          </w:p>
        </w:tc>
        <w:tc>
          <w:tcPr>
            <w:tcW w:w="0" w:type="auto"/>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480</w:t>
            </w:r>
          </w:p>
        </w:tc>
        <w:tc>
          <w:tcPr>
            <w:tcW w:w="0" w:type="auto"/>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3.143</w:t>
            </w:r>
          </w:p>
        </w:tc>
      </w:tr>
      <w:tr w:rsidR="00D46B4D" w:rsidRPr="00A55A2D" w:rsidTr="00A55A2D">
        <w:trPr>
          <w:trHeight w:val="62"/>
        </w:trPr>
        <w:tc>
          <w:tcPr>
            <w:tcW w:w="0" w:type="auto"/>
            <w:shd w:val="clear" w:color="auto" w:fill="auto"/>
            <w:noWrap/>
            <w:vAlign w:val="center"/>
            <w:hideMark/>
          </w:tcPr>
          <w:p w:rsidR="00D46B4D" w:rsidRPr="00A55A2D" w:rsidRDefault="00D46B4D" w:rsidP="00D46B4D">
            <w:pPr>
              <w:spacing w:after="0" w:line="240" w:lineRule="auto"/>
              <w:rPr>
                <w:rFonts w:eastAsia="Times New Roman" w:cs="Arial"/>
                <w:sz w:val="18"/>
                <w:szCs w:val="18"/>
                <w:lang w:eastAsia="es-CO"/>
              </w:rPr>
            </w:pPr>
            <w:r w:rsidRPr="00A55A2D">
              <w:rPr>
                <w:rFonts w:eastAsia="Times New Roman" w:cs="Arial"/>
                <w:sz w:val="18"/>
                <w:szCs w:val="18"/>
                <w:lang w:eastAsia="es-CO"/>
              </w:rPr>
              <w:t>13-17 años</w:t>
            </w:r>
          </w:p>
        </w:tc>
        <w:tc>
          <w:tcPr>
            <w:tcW w:w="0" w:type="auto"/>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1.477</w:t>
            </w:r>
          </w:p>
        </w:tc>
        <w:tc>
          <w:tcPr>
            <w:tcW w:w="0" w:type="auto"/>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1.472</w:t>
            </w:r>
          </w:p>
        </w:tc>
        <w:tc>
          <w:tcPr>
            <w:tcW w:w="0" w:type="auto"/>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997</w:t>
            </w:r>
          </w:p>
        </w:tc>
        <w:tc>
          <w:tcPr>
            <w:tcW w:w="0" w:type="auto"/>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74</w:t>
            </w:r>
          </w:p>
        </w:tc>
        <w:tc>
          <w:tcPr>
            <w:tcW w:w="0" w:type="auto"/>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206</w:t>
            </w:r>
          </w:p>
        </w:tc>
        <w:tc>
          <w:tcPr>
            <w:tcW w:w="0" w:type="auto"/>
            <w:shd w:val="clear" w:color="auto" w:fill="auto"/>
            <w:noWrap/>
            <w:vAlign w:val="center"/>
            <w:hideMark/>
          </w:tcPr>
          <w:p w:rsidR="00D46B4D" w:rsidRPr="00A55A2D" w:rsidRDefault="00D46B4D" w:rsidP="00D46B4D">
            <w:pPr>
              <w:spacing w:after="0" w:line="240" w:lineRule="auto"/>
              <w:jc w:val="center"/>
              <w:rPr>
                <w:rFonts w:eastAsia="Times New Roman" w:cs="Arial"/>
                <w:sz w:val="18"/>
                <w:szCs w:val="18"/>
                <w:lang w:eastAsia="es-CO"/>
              </w:rPr>
            </w:pPr>
            <w:r w:rsidRPr="00A55A2D">
              <w:rPr>
                <w:rFonts w:eastAsia="Times New Roman" w:cs="Arial"/>
                <w:sz w:val="18"/>
                <w:szCs w:val="18"/>
                <w:lang w:eastAsia="es-CO"/>
              </w:rPr>
              <w:t>1.264</w:t>
            </w:r>
          </w:p>
        </w:tc>
      </w:tr>
      <w:tr w:rsidR="00D46B4D" w:rsidRPr="00A55A2D" w:rsidTr="00A55A2D">
        <w:trPr>
          <w:trHeight w:val="62"/>
        </w:trPr>
        <w:tc>
          <w:tcPr>
            <w:tcW w:w="0" w:type="auto"/>
            <w:shd w:val="clear" w:color="auto" w:fill="E2EFDA"/>
            <w:noWrap/>
            <w:vAlign w:val="center"/>
            <w:hideMark/>
          </w:tcPr>
          <w:p w:rsidR="00D46B4D" w:rsidRPr="00A55A2D" w:rsidRDefault="00D46B4D" w:rsidP="00D46B4D">
            <w:pPr>
              <w:spacing w:after="0" w:line="240" w:lineRule="auto"/>
              <w:rPr>
                <w:rFonts w:eastAsia="Times New Roman" w:cs="Arial"/>
                <w:b/>
                <w:bCs/>
                <w:sz w:val="18"/>
                <w:szCs w:val="18"/>
                <w:lang w:eastAsia="es-CO"/>
              </w:rPr>
            </w:pPr>
            <w:r w:rsidRPr="00A55A2D">
              <w:rPr>
                <w:rFonts w:eastAsia="Times New Roman" w:cs="Arial"/>
                <w:b/>
                <w:bCs/>
                <w:sz w:val="18"/>
                <w:szCs w:val="18"/>
                <w:lang w:eastAsia="es-CO"/>
              </w:rPr>
              <w:t>Total</w:t>
            </w:r>
          </w:p>
        </w:tc>
        <w:tc>
          <w:tcPr>
            <w:tcW w:w="0" w:type="auto"/>
            <w:shd w:val="clear" w:color="auto" w:fill="E2EFDA"/>
            <w:noWrap/>
            <w:vAlign w:val="center"/>
            <w:hideMark/>
          </w:tcPr>
          <w:p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8.793</w:t>
            </w:r>
          </w:p>
        </w:tc>
        <w:tc>
          <w:tcPr>
            <w:tcW w:w="0" w:type="auto"/>
            <w:shd w:val="clear" w:color="auto" w:fill="E2EFDA"/>
            <w:noWrap/>
            <w:vAlign w:val="center"/>
            <w:hideMark/>
          </w:tcPr>
          <w:p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8.774</w:t>
            </w:r>
          </w:p>
        </w:tc>
        <w:tc>
          <w:tcPr>
            <w:tcW w:w="0" w:type="auto"/>
            <w:shd w:val="clear" w:color="auto" w:fill="E2EFDA"/>
            <w:noWrap/>
            <w:vAlign w:val="center"/>
            <w:hideMark/>
          </w:tcPr>
          <w:p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6.161</w:t>
            </w:r>
          </w:p>
        </w:tc>
        <w:tc>
          <w:tcPr>
            <w:tcW w:w="0" w:type="auto"/>
            <w:shd w:val="clear" w:color="auto" w:fill="E2EFDA"/>
            <w:noWrap/>
            <w:vAlign w:val="center"/>
            <w:hideMark/>
          </w:tcPr>
          <w:p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643</w:t>
            </w:r>
          </w:p>
        </w:tc>
        <w:tc>
          <w:tcPr>
            <w:tcW w:w="0" w:type="auto"/>
            <w:shd w:val="clear" w:color="auto" w:fill="E2EFDA"/>
            <w:noWrap/>
            <w:vAlign w:val="center"/>
            <w:hideMark/>
          </w:tcPr>
          <w:p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1.441</w:t>
            </w:r>
          </w:p>
        </w:tc>
        <w:tc>
          <w:tcPr>
            <w:tcW w:w="0" w:type="auto"/>
            <w:shd w:val="clear" w:color="auto" w:fill="E2EFDA"/>
            <w:noWrap/>
            <w:vAlign w:val="center"/>
            <w:hideMark/>
          </w:tcPr>
          <w:p w:rsidR="00D46B4D" w:rsidRPr="00A55A2D" w:rsidRDefault="00D46B4D" w:rsidP="00D46B4D">
            <w:pPr>
              <w:spacing w:after="0" w:line="240" w:lineRule="auto"/>
              <w:jc w:val="center"/>
              <w:rPr>
                <w:rFonts w:eastAsia="Times New Roman" w:cs="Arial"/>
                <w:b/>
                <w:bCs/>
                <w:sz w:val="18"/>
                <w:szCs w:val="18"/>
                <w:lang w:eastAsia="es-CO"/>
              </w:rPr>
            </w:pPr>
            <w:r w:rsidRPr="00A55A2D">
              <w:rPr>
                <w:rFonts w:eastAsia="Times New Roman" w:cs="Arial"/>
                <w:b/>
                <w:bCs/>
                <w:sz w:val="18"/>
                <w:szCs w:val="18"/>
                <w:lang w:eastAsia="es-CO"/>
              </w:rPr>
              <w:t>8.080</w:t>
            </w:r>
          </w:p>
        </w:tc>
      </w:tr>
    </w:tbl>
    <w:p w:rsidR="00D46B4D" w:rsidRPr="007608C2" w:rsidRDefault="00D46B4D" w:rsidP="00D46B4D">
      <w:pPr>
        <w:spacing w:after="0" w:line="240" w:lineRule="auto"/>
        <w:jc w:val="center"/>
        <w:rPr>
          <w:rFonts w:cs="Arial"/>
          <w:sz w:val="18"/>
        </w:rPr>
      </w:pPr>
      <w:r w:rsidRPr="007608C2">
        <w:rPr>
          <w:rFonts w:cs="Arial"/>
          <w:sz w:val="18"/>
        </w:rPr>
        <w:t>Fuente: Base de datos RUUM - Registro único de Unidades Móviles con corte al 31 de diciembre de 2017</w:t>
      </w:r>
    </w:p>
    <w:p w:rsidR="00D46B4D" w:rsidRPr="007608C2" w:rsidRDefault="00D46B4D" w:rsidP="00A44A2B">
      <w:pPr>
        <w:numPr>
          <w:ilvl w:val="0"/>
          <w:numId w:val="78"/>
        </w:numPr>
        <w:spacing w:before="100" w:beforeAutospacing="1" w:after="100" w:afterAutospacing="1" w:line="240" w:lineRule="auto"/>
        <w:ind w:left="284" w:hanging="284"/>
        <w:jc w:val="both"/>
        <w:rPr>
          <w:rFonts w:cs="Arial"/>
          <w:b/>
          <w:u w:val="single"/>
        </w:rPr>
      </w:pPr>
      <w:r w:rsidRPr="007608C2">
        <w:rPr>
          <w:rFonts w:cs="Arial"/>
          <w:b/>
          <w:u w:val="single"/>
        </w:rPr>
        <w:t>Centros de Recuperación Nutricional</w:t>
      </w:r>
    </w:p>
    <w:p w:rsidR="00D46B4D" w:rsidRPr="007608C2" w:rsidRDefault="00D46B4D" w:rsidP="00D46B4D">
      <w:pPr>
        <w:spacing w:before="100" w:beforeAutospacing="1" w:after="100" w:afterAutospacing="1" w:line="240" w:lineRule="auto"/>
        <w:jc w:val="both"/>
        <w:rPr>
          <w:rFonts w:cs="Arial"/>
        </w:rPr>
      </w:pPr>
      <w:r w:rsidRPr="007608C2">
        <w:rPr>
          <w:rFonts w:cs="Arial"/>
        </w:rPr>
        <w:t xml:space="preserve">Se cuenta con 2 Centros de Recuperación Nutricional – CRN, uno en el municipio de Manaure con capacidad de 15 cupos/mensuales y el otro en Riohacha con capacidad de 30 cupos/mensuales, para atender a niños y niñas en situación de desnutrición aguda severa. </w:t>
      </w:r>
    </w:p>
    <w:p w:rsidR="00D46B4D" w:rsidRPr="007608C2" w:rsidRDefault="00D46B4D" w:rsidP="00D46B4D">
      <w:pPr>
        <w:spacing w:before="100" w:beforeAutospacing="1" w:after="100" w:afterAutospacing="1" w:line="240" w:lineRule="auto"/>
        <w:jc w:val="both"/>
        <w:rPr>
          <w:rFonts w:cs="Arial"/>
        </w:rPr>
      </w:pPr>
      <w:r w:rsidRPr="007608C2">
        <w:rPr>
          <w:rFonts w:cs="Arial"/>
        </w:rPr>
        <w:lastRenderedPageBreak/>
        <w:t xml:space="preserve">A </w:t>
      </w:r>
      <w:r w:rsidR="000A6664" w:rsidRPr="007608C2">
        <w:rPr>
          <w:rFonts w:cs="Arial"/>
        </w:rPr>
        <w:t>continuación,</w:t>
      </w:r>
      <w:r w:rsidRPr="007608C2">
        <w:rPr>
          <w:rFonts w:cs="Arial"/>
        </w:rPr>
        <w:t xml:space="preserve"> se presenta la cifra acumulada de atención de niños y niñas menores de 5 años con manifestaciones clínicas de desnutrición aguda, en los Centros de Recuperación Nutricional del ICBF en los municipios de Riohacha y Manaure:</w:t>
      </w:r>
    </w:p>
    <w:p w:rsidR="00D46B4D" w:rsidRDefault="00D46B4D" w:rsidP="00D46B4D">
      <w:pPr>
        <w:spacing w:after="0" w:line="240" w:lineRule="auto"/>
        <w:ind w:left="-362"/>
        <w:jc w:val="center"/>
        <w:rPr>
          <w:rFonts w:cs="Arial"/>
          <w:b/>
        </w:rPr>
      </w:pPr>
      <w:r w:rsidRPr="007608C2">
        <w:rPr>
          <w:rFonts w:cs="Arial"/>
          <w:b/>
        </w:rPr>
        <w:t>Atención en Centros de Recuperación Nutricional</w:t>
      </w:r>
    </w:p>
    <w:p w:rsidR="000A6664" w:rsidRPr="007608C2" w:rsidRDefault="000A6664" w:rsidP="00D46B4D">
      <w:pPr>
        <w:spacing w:after="0" w:line="240" w:lineRule="auto"/>
        <w:ind w:left="-362"/>
        <w:jc w:val="center"/>
        <w:rPr>
          <w:rFonts w:cs="Arial"/>
          <w:b/>
        </w:rPr>
      </w:pPr>
    </w:p>
    <w:tbl>
      <w:tblPr>
        <w:tblW w:w="4385"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2080"/>
        <w:gridCol w:w="2305"/>
      </w:tblGrid>
      <w:tr w:rsidR="000A6664" w:rsidRPr="000A6664" w:rsidTr="002A4B49">
        <w:trPr>
          <w:trHeight w:val="188"/>
          <w:jc w:val="center"/>
        </w:trPr>
        <w:tc>
          <w:tcPr>
            <w:tcW w:w="2080" w:type="dxa"/>
            <w:shd w:val="clear" w:color="auto" w:fill="76923C"/>
            <w:vAlign w:val="center"/>
            <w:hideMark/>
          </w:tcPr>
          <w:p w:rsidR="00D46B4D" w:rsidRPr="000A6664" w:rsidRDefault="00D46B4D" w:rsidP="00D46B4D">
            <w:pPr>
              <w:spacing w:after="0" w:line="240" w:lineRule="auto"/>
              <w:jc w:val="both"/>
              <w:rPr>
                <w:rFonts w:eastAsia="Times New Roman" w:cs="Arial"/>
                <w:b/>
                <w:bCs/>
                <w:color w:val="FFFFFF" w:themeColor="background1"/>
                <w:sz w:val="18"/>
                <w:szCs w:val="18"/>
                <w:lang w:eastAsia="es-CO"/>
              </w:rPr>
            </w:pPr>
            <w:r w:rsidRPr="000A6664">
              <w:rPr>
                <w:rFonts w:eastAsia="Times New Roman" w:cs="Arial"/>
                <w:b/>
                <w:bCs/>
                <w:color w:val="FFFFFF" w:themeColor="background1"/>
                <w:sz w:val="18"/>
                <w:szCs w:val="18"/>
                <w:lang w:eastAsia="es-CO"/>
              </w:rPr>
              <w:t>Referente Total 2016</w:t>
            </w:r>
          </w:p>
        </w:tc>
        <w:tc>
          <w:tcPr>
            <w:tcW w:w="2305" w:type="dxa"/>
            <w:vMerge w:val="restart"/>
            <w:shd w:val="clear" w:color="auto" w:fill="76923C"/>
            <w:vAlign w:val="center"/>
            <w:hideMark/>
          </w:tcPr>
          <w:p w:rsidR="00D46B4D" w:rsidRPr="000A6664" w:rsidRDefault="00D46B4D" w:rsidP="00D46B4D">
            <w:pPr>
              <w:spacing w:after="0" w:line="240" w:lineRule="auto"/>
              <w:jc w:val="center"/>
              <w:rPr>
                <w:rFonts w:eastAsia="Times New Roman" w:cs="Arial"/>
                <w:b/>
                <w:bCs/>
                <w:color w:val="FFFFFF" w:themeColor="background1"/>
                <w:sz w:val="18"/>
                <w:szCs w:val="18"/>
                <w:lang w:eastAsia="es-CO"/>
              </w:rPr>
            </w:pPr>
            <w:r w:rsidRPr="000A6664">
              <w:rPr>
                <w:rFonts w:eastAsia="Times New Roman" w:cs="Arial"/>
                <w:b/>
                <w:bCs/>
                <w:color w:val="FFFFFF" w:themeColor="background1"/>
                <w:sz w:val="18"/>
                <w:szCs w:val="18"/>
                <w:lang w:eastAsia="es-CO"/>
              </w:rPr>
              <w:t>532 niños y niñas</w:t>
            </w:r>
          </w:p>
        </w:tc>
      </w:tr>
      <w:tr w:rsidR="000A6664" w:rsidRPr="000A6664" w:rsidTr="002A4B49">
        <w:trPr>
          <w:trHeight w:val="361"/>
          <w:jc w:val="center"/>
        </w:trPr>
        <w:tc>
          <w:tcPr>
            <w:tcW w:w="2080" w:type="dxa"/>
            <w:shd w:val="clear" w:color="auto" w:fill="76923C"/>
            <w:vAlign w:val="center"/>
            <w:hideMark/>
          </w:tcPr>
          <w:p w:rsidR="00D46B4D" w:rsidRPr="000A6664" w:rsidRDefault="00D46B4D" w:rsidP="00D46B4D">
            <w:pPr>
              <w:spacing w:after="0" w:line="240" w:lineRule="auto"/>
              <w:jc w:val="center"/>
              <w:rPr>
                <w:rFonts w:eastAsia="Times New Roman" w:cs="Arial"/>
                <w:b/>
                <w:bCs/>
                <w:color w:val="FFFFFF" w:themeColor="background1"/>
                <w:sz w:val="18"/>
                <w:szCs w:val="18"/>
                <w:lang w:eastAsia="es-CO"/>
              </w:rPr>
            </w:pPr>
            <w:r w:rsidRPr="000A6664">
              <w:rPr>
                <w:rFonts w:eastAsia="Times New Roman" w:cs="Arial"/>
                <w:b/>
                <w:bCs/>
                <w:color w:val="FFFFFF" w:themeColor="background1"/>
                <w:sz w:val="18"/>
                <w:szCs w:val="18"/>
                <w:lang w:eastAsia="es-CO"/>
              </w:rPr>
              <w:t>(Metas sociales y financieras)</w:t>
            </w:r>
          </w:p>
        </w:tc>
        <w:tc>
          <w:tcPr>
            <w:tcW w:w="2305" w:type="dxa"/>
            <w:vMerge/>
            <w:shd w:val="clear" w:color="auto" w:fill="76923C"/>
            <w:vAlign w:val="center"/>
            <w:hideMark/>
          </w:tcPr>
          <w:p w:rsidR="00D46B4D" w:rsidRPr="000A6664" w:rsidRDefault="00D46B4D" w:rsidP="00D46B4D">
            <w:pPr>
              <w:spacing w:after="0" w:line="240" w:lineRule="auto"/>
              <w:jc w:val="center"/>
              <w:rPr>
                <w:rFonts w:eastAsia="Times New Roman" w:cs="Arial"/>
                <w:b/>
                <w:bCs/>
                <w:color w:val="FFFFFF" w:themeColor="background1"/>
                <w:sz w:val="18"/>
                <w:szCs w:val="18"/>
                <w:lang w:eastAsia="es-CO"/>
              </w:rPr>
            </w:pPr>
          </w:p>
        </w:tc>
      </w:tr>
      <w:tr w:rsidR="00D46B4D" w:rsidRPr="000A6664" w:rsidTr="002A4B49">
        <w:trPr>
          <w:trHeight w:val="405"/>
          <w:jc w:val="center"/>
        </w:trPr>
        <w:tc>
          <w:tcPr>
            <w:tcW w:w="2080" w:type="dxa"/>
            <w:shd w:val="clear" w:color="auto" w:fill="E2EFDA"/>
            <w:vAlign w:val="center"/>
            <w:hideMark/>
          </w:tcPr>
          <w:p w:rsidR="00D46B4D" w:rsidRPr="000A6664" w:rsidRDefault="002A4B49" w:rsidP="00D46B4D">
            <w:pPr>
              <w:spacing w:after="0" w:line="240" w:lineRule="auto"/>
              <w:jc w:val="center"/>
              <w:rPr>
                <w:rFonts w:eastAsia="Times New Roman" w:cs="Arial"/>
                <w:b/>
                <w:bCs/>
                <w:sz w:val="18"/>
                <w:szCs w:val="18"/>
                <w:lang w:eastAsia="es-CO"/>
              </w:rPr>
            </w:pPr>
            <w:r w:rsidRPr="000A6664">
              <w:rPr>
                <w:rFonts w:eastAsia="Times New Roman" w:cs="Arial"/>
                <w:b/>
                <w:bCs/>
                <w:sz w:val="18"/>
                <w:szCs w:val="18"/>
                <w:lang w:eastAsia="es-CO"/>
              </w:rPr>
              <w:t>Total 2017</w:t>
            </w:r>
          </w:p>
        </w:tc>
        <w:tc>
          <w:tcPr>
            <w:tcW w:w="2305" w:type="dxa"/>
            <w:shd w:val="clear" w:color="auto" w:fill="E2EFDA"/>
            <w:vAlign w:val="center"/>
            <w:hideMark/>
          </w:tcPr>
          <w:p w:rsidR="00D46B4D" w:rsidRPr="000A6664" w:rsidRDefault="002A4B49" w:rsidP="00D46B4D">
            <w:pPr>
              <w:spacing w:after="0" w:line="240" w:lineRule="auto"/>
              <w:jc w:val="center"/>
              <w:rPr>
                <w:rFonts w:eastAsia="Times New Roman" w:cs="Arial"/>
                <w:b/>
                <w:bCs/>
                <w:sz w:val="18"/>
                <w:szCs w:val="18"/>
                <w:lang w:eastAsia="es-CO"/>
              </w:rPr>
            </w:pPr>
            <w:r>
              <w:rPr>
                <w:rFonts w:eastAsia="Times New Roman" w:cs="Arial"/>
                <w:b/>
                <w:bCs/>
                <w:sz w:val="18"/>
                <w:szCs w:val="18"/>
                <w:lang w:eastAsia="es-CO"/>
              </w:rPr>
              <w:t xml:space="preserve">Niños y </w:t>
            </w:r>
            <w:r w:rsidRPr="000A6664">
              <w:rPr>
                <w:rFonts w:eastAsia="Times New Roman" w:cs="Arial"/>
                <w:b/>
                <w:bCs/>
                <w:sz w:val="18"/>
                <w:szCs w:val="18"/>
                <w:lang w:eastAsia="es-CO"/>
              </w:rPr>
              <w:t>Niñas Atendidos</w:t>
            </w:r>
          </w:p>
        </w:tc>
      </w:tr>
      <w:tr w:rsidR="00D46B4D" w:rsidRPr="000A6664" w:rsidTr="002A4B49">
        <w:trPr>
          <w:trHeight w:val="255"/>
          <w:jc w:val="center"/>
        </w:trPr>
        <w:tc>
          <w:tcPr>
            <w:tcW w:w="2080" w:type="dxa"/>
            <w:shd w:val="clear" w:color="auto" w:fill="auto"/>
            <w:vAlign w:val="center"/>
            <w:hideMark/>
          </w:tcPr>
          <w:p w:rsidR="00D46B4D" w:rsidRPr="000A6664" w:rsidRDefault="00D46B4D" w:rsidP="00D46B4D">
            <w:pPr>
              <w:spacing w:after="0" w:line="240" w:lineRule="auto"/>
              <w:jc w:val="both"/>
              <w:rPr>
                <w:rFonts w:eastAsia="Times New Roman" w:cs="Arial"/>
                <w:bCs/>
                <w:sz w:val="18"/>
                <w:szCs w:val="18"/>
                <w:lang w:eastAsia="es-CO"/>
              </w:rPr>
            </w:pPr>
            <w:r w:rsidRPr="000A6664">
              <w:rPr>
                <w:rFonts w:eastAsia="Times New Roman" w:cs="Arial"/>
                <w:bCs/>
                <w:sz w:val="18"/>
                <w:szCs w:val="18"/>
                <w:lang w:eastAsia="es-CO"/>
              </w:rPr>
              <w:t>31 de marzo</w:t>
            </w:r>
          </w:p>
        </w:tc>
        <w:tc>
          <w:tcPr>
            <w:tcW w:w="2305" w:type="dxa"/>
            <w:shd w:val="clear" w:color="auto" w:fill="auto"/>
            <w:vAlign w:val="center"/>
            <w:hideMark/>
          </w:tcPr>
          <w:p w:rsidR="00D46B4D" w:rsidRPr="000A6664" w:rsidRDefault="00D46B4D" w:rsidP="00D46B4D">
            <w:pPr>
              <w:spacing w:after="0" w:line="240" w:lineRule="auto"/>
              <w:jc w:val="center"/>
              <w:rPr>
                <w:rFonts w:eastAsia="Times New Roman" w:cs="Arial"/>
                <w:bCs/>
                <w:sz w:val="18"/>
                <w:szCs w:val="18"/>
                <w:lang w:eastAsia="es-CO"/>
              </w:rPr>
            </w:pPr>
            <w:r w:rsidRPr="000A6664">
              <w:rPr>
                <w:rFonts w:eastAsia="Times New Roman" w:cs="Arial"/>
                <w:bCs/>
                <w:sz w:val="18"/>
                <w:szCs w:val="18"/>
                <w:lang w:eastAsia="es-CO"/>
              </w:rPr>
              <w:t>115</w:t>
            </w:r>
          </w:p>
        </w:tc>
      </w:tr>
      <w:tr w:rsidR="00D46B4D" w:rsidRPr="000A6664" w:rsidTr="002A4B49">
        <w:trPr>
          <w:trHeight w:val="255"/>
          <w:jc w:val="center"/>
        </w:trPr>
        <w:tc>
          <w:tcPr>
            <w:tcW w:w="2080" w:type="dxa"/>
            <w:shd w:val="clear" w:color="auto" w:fill="auto"/>
            <w:vAlign w:val="center"/>
            <w:hideMark/>
          </w:tcPr>
          <w:p w:rsidR="00D46B4D" w:rsidRPr="000A6664" w:rsidRDefault="00D46B4D" w:rsidP="00D46B4D">
            <w:pPr>
              <w:spacing w:after="0" w:line="240" w:lineRule="auto"/>
              <w:jc w:val="both"/>
              <w:rPr>
                <w:rFonts w:eastAsia="Times New Roman" w:cs="Arial"/>
                <w:bCs/>
                <w:sz w:val="18"/>
                <w:szCs w:val="18"/>
                <w:lang w:eastAsia="es-CO"/>
              </w:rPr>
            </w:pPr>
            <w:r w:rsidRPr="000A6664">
              <w:rPr>
                <w:rFonts w:eastAsia="Times New Roman" w:cs="Arial"/>
                <w:bCs/>
                <w:sz w:val="18"/>
                <w:szCs w:val="18"/>
                <w:lang w:eastAsia="es-CO"/>
              </w:rPr>
              <w:t>30 de abril</w:t>
            </w:r>
          </w:p>
        </w:tc>
        <w:tc>
          <w:tcPr>
            <w:tcW w:w="2305" w:type="dxa"/>
            <w:shd w:val="clear" w:color="auto" w:fill="auto"/>
            <w:vAlign w:val="center"/>
            <w:hideMark/>
          </w:tcPr>
          <w:p w:rsidR="00D46B4D" w:rsidRPr="000A6664" w:rsidRDefault="00D46B4D" w:rsidP="00D46B4D">
            <w:pPr>
              <w:spacing w:after="0" w:line="240" w:lineRule="auto"/>
              <w:jc w:val="center"/>
              <w:rPr>
                <w:rFonts w:eastAsia="Times New Roman" w:cs="Arial"/>
                <w:bCs/>
                <w:sz w:val="18"/>
                <w:szCs w:val="18"/>
                <w:lang w:eastAsia="es-CO"/>
              </w:rPr>
            </w:pPr>
            <w:r w:rsidRPr="000A6664">
              <w:rPr>
                <w:rFonts w:eastAsia="Times New Roman" w:cs="Arial"/>
                <w:bCs/>
                <w:sz w:val="18"/>
                <w:szCs w:val="18"/>
                <w:lang w:eastAsia="es-CO"/>
              </w:rPr>
              <w:t>160</w:t>
            </w:r>
          </w:p>
        </w:tc>
      </w:tr>
      <w:tr w:rsidR="00D46B4D" w:rsidRPr="000A6664" w:rsidTr="002A4B49">
        <w:trPr>
          <w:trHeight w:val="255"/>
          <w:jc w:val="center"/>
        </w:trPr>
        <w:tc>
          <w:tcPr>
            <w:tcW w:w="2080" w:type="dxa"/>
            <w:shd w:val="clear" w:color="auto" w:fill="auto"/>
            <w:vAlign w:val="center"/>
            <w:hideMark/>
          </w:tcPr>
          <w:p w:rsidR="00D46B4D" w:rsidRPr="000A6664" w:rsidRDefault="00D46B4D" w:rsidP="00D46B4D">
            <w:pPr>
              <w:spacing w:after="0" w:line="240" w:lineRule="auto"/>
              <w:jc w:val="both"/>
              <w:rPr>
                <w:rFonts w:eastAsia="Times New Roman" w:cs="Arial"/>
                <w:bCs/>
                <w:sz w:val="18"/>
                <w:szCs w:val="18"/>
                <w:lang w:eastAsia="es-CO"/>
              </w:rPr>
            </w:pPr>
            <w:r w:rsidRPr="000A6664">
              <w:rPr>
                <w:rFonts w:eastAsia="Times New Roman" w:cs="Arial"/>
                <w:bCs/>
                <w:sz w:val="18"/>
                <w:szCs w:val="18"/>
                <w:lang w:eastAsia="es-CO"/>
              </w:rPr>
              <w:t>31 de mayo</w:t>
            </w:r>
          </w:p>
        </w:tc>
        <w:tc>
          <w:tcPr>
            <w:tcW w:w="2305" w:type="dxa"/>
            <w:shd w:val="clear" w:color="auto" w:fill="auto"/>
            <w:vAlign w:val="center"/>
            <w:hideMark/>
          </w:tcPr>
          <w:p w:rsidR="00D46B4D" w:rsidRPr="000A6664" w:rsidRDefault="00D46B4D" w:rsidP="00D46B4D">
            <w:pPr>
              <w:spacing w:after="0" w:line="240" w:lineRule="auto"/>
              <w:jc w:val="center"/>
              <w:rPr>
                <w:rFonts w:eastAsia="Times New Roman" w:cs="Arial"/>
                <w:bCs/>
                <w:sz w:val="18"/>
                <w:szCs w:val="18"/>
                <w:lang w:eastAsia="es-CO"/>
              </w:rPr>
            </w:pPr>
            <w:r w:rsidRPr="000A6664">
              <w:rPr>
                <w:rFonts w:eastAsia="Times New Roman" w:cs="Arial"/>
                <w:bCs/>
                <w:sz w:val="18"/>
                <w:szCs w:val="18"/>
                <w:lang w:eastAsia="es-CO"/>
              </w:rPr>
              <w:t>205</w:t>
            </w:r>
          </w:p>
        </w:tc>
      </w:tr>
      <w:tr w:rsidR="00D46B4D" w:rsidRPr="000A6664" w:rsidTr="002A4B49">
        <w:trPr>
          <w:trHeight w:val="255"/>
          <w:jc w:val="center"/>
        </w:trPr>
        <w:tc>
          <w:tcPr>
            <w:tcW w:w="2080" w:type="dxa"/>
            <w:shd w:val="clear" w:color="auto" w:fill="auto"/>
            <w:vAlign w:val="center"/>
            <w:hideMark/>
          </w:tcPr>
          <w:p w:rsidR="00D46B4D" w:rsidRPr="000A6664" w:rsidRDefault="00D46B4D" w:rsidP="00D46B4D">
            <w:pPr>
              <w:spacing w:after="0" w:line="240" w:lineRule="auto"/>
              <w:jc w:val="both"/>
              <w:rPr>
                <w:rFonts w:eastAsia="Times New Roman" w:cs="Arial"/>
                <w:bCs/>
                <w:sz w:val="18"/>
                <w:szCs w:val="18"/>
                <w:lang w:eastAsia="es-CO"/>
              </w:rPr>
            </w:pPr>
            <w:r w:rsidRPr="000A6664">
              <w:rPr>
                <w:rFonts w:eastAsia="Times New Roman" w:cs="Arial"/>
                <w:bCs/>
                <w:sz w:val="18"/>
                <w:szCs w:val="18"/>
                <w:lang w:eastAsia="es-CO"/>
              </w:rPr>
              <w:t>30 de junio</w:t>
            </w:r>
          </w:p>
        </w:tc>
        <w:tc>
          <w:tcPr>
            <w:tcW w:w="2305" w:type="dxa"/>
            <w:shd w:val="clear" w:color="auto" w:fill="auto"/>
            <w:vAlign w:val="center"/>
            <w:hideMark/>
          </w:tcPr>
          <w:p w:rsidR="00D46B4D" w:rsidRPr="000A6664" w:rsidRDefault="00D46B4D" w:rsidP="00D46B4D">
            <w:pPr>
              <w:spacing w:after="0" w:line="240" w:lineRule="auto"/>
              <w:jc w:val="center"/>
              <w:rPr>
                <w:rFonts w:eastAsia="Times New Roman" w:cs="Arial"/>
                <w:bCs/>
                <w:sz w:val="18"/>
                <w:szCs w:val="18"/>
                <w:lang w:eastAsia="es-CO"/>
              </w:rPr>
            </w:pPr>
            <w:r w:rsidRPr="000A6664">
              <w:rPr>
                <w:rFonts w:eastAsia="Times New Roman" w:cs="Arial"/>
                <w:bCs/>
                <w:sz w:val="18"/>
                <w:szCs w:val="18"/>
                <w:lang w:eastAsia="es-CO"/>
              </w:rPr>
              <w:t>250</w:t>
            </w:r>
          </w:p>
        </w:tc>
      </w:tr>
      <w:tr w:rsidR="00D46B4D" w:rsidRPr="000A6664" w:rsidTr="002A4B49">
        <w:trPr>
          <w:trHeight w:val="255"/>
          <w:jc w:val="center"/>
        </w:trPr>
        <w:tc>
          <w:tcPr>
            <w:tcW w:w="2080" w:type="dxa"/>
            <w:shd w:val="clear" w:color="auto" w:fill="auto"/>
            <w:vAlign w:val="center"/>
            <w:hideMark/>
          </w:tcPr>
          <w:p w:rsidR="00D46B4D" w:rsidRPr="000A6664" w:rsidRDefault="00D46B4D" w:rsidP="00D46B4D">
            <w:pPr>
              <w:spacing w:after="0" w:line="240" w:lineRule="auto"/>
              <w:jc w:val="both"/>
              <w:rPr>
                <w:rFonts w:eastAsia="Times New Roman" w:cs="Arial"/>
                <w:bCs/>
                <w:sz w:val="18"/>
                <w:szCs w:val="18"/>
                <w:lang w:eastAsia="es-CO"/>
              </w:rPr>
            </w:pPr>
            <w:r w:rsidRPr="000A6664">
              <w:rPr>
                <w:rFonts w:eastAsia="Times New Roman" w:cs="Arial"/>
                <w:bCs/>
                <w:sz w:val="18"/>
                <w:szCs w:val="18"/>
                <w:lang w:eastAsia="es-CO"/>
              </w:rPr>
              <w:t>31 de julio</w:t>
            </w:r>
          </w:p>
        </w:tc>
        <w:tc>
          <w:tcPr>
            <w:tcW w:w="2305" w:type="dxa"/>
            <w:shd w:val="clear" w:color="auto" w:fill="auto"/>
            <w:vAlign w:val="center"/>
            <w:hideMark/>
          </w:tcPr>
          <w:p w:rsidR="00D46B4D" w:rsidRPr="000A6664" w:rsidRDefault="00D46B4D" w:rsidP="00D46B4D">
            <w:pPr>
              <w:spacing w:after="0" w:line="240" w:lineRule="auto"/>
              <w:jc w:val="center"/>
              <w:rPr>
                <w:rFonts w:eastAsia="Times New Roman" w:cs="Arial"/>
                <w:bCs/>
                <w:sz w:val="18"/>
                <w:szCs w:val="18"/>
                <w:lang w:eastAsia="es-CO"/>
              </w:rPr>
            </w:pPr>
            <w:r w:rsidRPr="000A6664">
              <w:rPr>
                <w:rFonts w:eastAsia="Times New Roman" w:cs="Arial"/>
                <w:bCs/>
                <w:sz w:val="18"/>
                <w:szCs w:val="18"/>
                <w:lang w:eastAsia="es-CO"/>
              </w:rPr>
              <w:t>286</w:t>
            </w:r>
          </w:p>
        </w:tc>
      </w:tr>
      <w:tr w:rsidR="00D46B4D" w:rsidRPr="000A6664" w:rsidTr="002A4B49">
        <w:trPr>
          <w:trHeight w:val="255"/>
          <w:jc w:val="center"/>
        </w:trPr>
        <w:tc>
          <w:tcPr>
            <w:tcW w:w="2080" w:type="dxa"/>
            <w:shd w:val="clear" w:color="auto" w:fill="auto"/>
            <w:vAlign w:val="center"/>
          </w:tcPr>
          <w:p w:rsidR="00D46B4D" w:rsidRPr="000A6664" w:rsidRDefault="00D46B4D" w:rsidP="00D46B4D">
            <w:pPr>
              <w:spacing w:after="0" w:line="240" w:lineRule="auto"/>
              <w:jc w:val="both"/>
              <w:rPr>
                <w:rFonts w:eastAsia="Times New Roman" w:cs="Arial"/>
                <w:bCs/>
                <w:sz w:val="18"/>
                <w:szCs w:val="18"/>
                <w:lang w:eastAsia="es-CO"/>
              </w:rPr>
            </w:pPr>
            <w:r w:rsidRPr="000A6664">
              <w:rPr>
                <w:rFonts w:eastAsia="Times New Roman" w:cs="Arial"/>
                <w:bCs/>
                <w:sz w:val="18"/>
                <w:szCs w:val="18"/>
                <w:lang w:eastAsia="es-CO"/>
              </w:rPr>
              <w:t>30 de agosto</w:t>
            </w:r>
          </w:p>
        </w:tc>
        <w:tc>
          <w:tcPr>
            <w:tcW w:w="2305" w:type="dxa"/>
            <w:shd w:val="clear" w:color="auto" w:fill="auto"/>
            <w:vAlign w:val="center"/>
          </w:tcPr>
          <w:p w:rsidR="00D46B4D" w:rsidRPr="000A6664" w:rsidRDefault="00D46B4D" w:rsidP="00D46B4D">
            <w:pPr>
              <w:spacing w:after="0" w:line="240" w:lineRule="auto"/>
              <w:jc w:val="center"/>
              <w:rPr>
                <w:rFonts w:eastAsia="Times New Roman" w:cs="Arial"/>
                <w:bCs/>
                <w:sz w:val="18"/>
                <w:szCs w:val="18"/>
                <w:lang w:eastAsia="es-CO"/>
              </w:rPr>
            </w:pPr>
            <w:r w:rsidRPr="000A6664">
              <w:rPr>
                <w:rFonts w:eastAsia="Times New Roman" w:cs="Arial"/>
                <w:bCs/>
                <w:sz w:val="18"/>
                <w:szCs w:val="18"/>
                <w:lang w:eastAsia="es-CO"/>
              </w:rPr>
              <w:t>328</w:t>
            </w:r>
          </w:p>
        </w:tc>
      </w:tr>
      <w:tr w:rsidR="00D46B4D" w:rsidRPr="000A6664" w:rsidTr="002A4B49">
        <w:trPr>
          <w:trHeight w:val="255"/>
          <w:jc w:val="center"/>
        </w:trPr>
        <w:tc>
          <w:tcPr>
            <w:tcW w:w="2080" w:type="dxa"/>
            <w:shd w:val="clear" w:color="auto" w:fill="auto"/>
            <w:vAlign w:val="center"/>
          </w:tcPr>
          <w:p w:rsidR="00D46B4D" w:rsidRPr="000A6664" w:rsidRDefault="00D46B4D" w:rsidP="00D46B4D">
            <w:pPr>
              <w:spacing w:after="0" w:line="240" w:lineRule="auto"/>
              <w:jc w:val="both"/>
              <w:rPr>
                <w:rFonts w:eastAsia="Times New Roman" w:cs="Arial"/>
                <w:bCs/>
                <w:sz w:val="18"/>
                <w:szCs w:val="18"/>
                <w:lang w:eastAsia="es-CO"/>
              </w:rPr>
            </w:pPr>
            <w:r w:rsidRPr="000A6664">
              <w:rPr>
                <w:rFonts w:eastAsia="Times New Roman" w:cs="Arial"/>
                <w:bCs/>
                <w:sz w:val="18"/>
                <w:szCs w:val="18"/>
                <w:lang w:eastAsia="es-CO"/>
              </w:rPr>
              <w:t>30 de septiembre</w:t>
            </w:r>
          </w:p>
        </w:tc>
        <w:tc>
          <w:tcPr>
            <w:tcW w:w="2305" w:type="dxa"/>
            <w:shd w:val="clear" w:color="auto" w:fill="auto"/>
            <w:vAlign w:val="center"/>
          </w:tcPr>
          <w:p w:rsidR="00D46B4D" w:rsidRPr="000A6664" w:rsidRDefault="00D46B4D" w:rsidP="00D46B4D">
            <w:pPr>
              <w:spacing w:after="0" w:line="240" w:lineRule="auto"/>
              <w:jc w:val="center"/>
              <w:rPr>
                <w:rFonts w:eastAsia="Times New Roman" w:cs="Arial"/>
                <w:bCs/>
                <w:sz w:val="18"/>
                <w:szCs w:val="18"/>
                <w:lang w:eastAsia="es-CO"/>
              </w:rPr>
            </w:pPr>
            <w:r w:rsidRPr="000A6664">
              <w:rPr>
                <w:rFonts w:eastAsia="Times New Roman" w:cs="Arial"/>
                <w:bCs/>
                <w:sz w:val="18"/>
                <w:szCs w:val="18"/>
                <w:lang w:eastAsia="es-CO"/>
              </w:rPr>
              <w:t>364</w:t>
            </w:r>
          </w:p>
        </w:tc>
      </w:tr>
      <w:tr w:rsidR="00D46B4D" w:rsidRPr="000A6664" w:rsidTr="002A4B49">
        <w:trPr>
          <w:trHeight w:val="255"/>
          <w:jc w:val="center"/>
        </w:trPr>
        <w:tc>
          <w:tcPr>
            <w:tcW w:w="2080" w:type="dxa"/>
            <w:shd w:val="clear" w:color="auto" w:fill="auto"/>
            <w:vAlign w:val="center"/>
          </w:tcPr>
          <w:p w:rsidR="00D46B4D" w:rsidRPr="000A6664" w:rsidRDefault="00D46B4D" w:rsidP="00D46B4D">
            <w:pPr>
              <w:spacing w:after="0" w:line="240" w:lineRule="auto"/>
              <w:jc w:val="both"/>
              <w:rPr>
                <w:rFonts w:eastAsia="Times New Roman" w:cs="Arial"/>
                <w:bCs/>
                <w:sz w:val="18"/>
                <w:szCs w:val="18"/>
                <w:lang w:eastAsia="es-CO"/>
              </w:rPr>
            </w:pPr>
            <w:r w:rsidRPr="000A6664">
              <w:rPr>
                <w:rFonts w:eastAsia="Times New Roman" w:cs="Arial"/>
                <w:bCs/>
                <w:sz w:val="18"/>
                <w:szCs w:val="18"/>
                <w:lang w:eastAsia="es-CO"/>
              </w:rPr>
              <w:t>31 de octubre</w:t>
            </w:r>
          </w:p>
        </w:tc>
        <w:tc>
          <w:tcPr>
            <w:tcW w:w="2305" w:type="dxa"/>
            <w:shd w:val="clear" w:color="auto" w:fill="auto"/>
            <w:vAlign w:val="center"/>
          </w:tcPr>
          <w:p w:rsidR="00D46B4D" w:rsidRPr="000A6664" w:rsidRDefault="00D46B4D" w:rsidP="00D46B4D">
            <w:pPr>
              <w:spacing w:after="0" w:line="240" w:lineRule="auto"/>
              <w:jc w:val="center"/>
              <w:rPr>
                <w:rFonts w:eastAsia="Times New Roman" w:cs="Arial"/>
                <w:bCs/>
                <w:sz w:val="18"/>
                <w:szCs w:val="18"/>
                <w:lang w:eastAsia="es-CO"/>
              </w:rPr>
            </w:pPr>
            <w:r w:rsidRPr="000A6664">
              <w:rPr>
                <w:rFonts w:eastAsia="Times New Roman" w:cs="Arial"/>
                <w:bCs/>
                <w:sz w:val="18"/>
                <w:szCs w:val="18"/>
                <w:lang w:eastAsia="es-CO"/>
              </w:rPr>
              <w:t>400</w:t>
            </w:r>
          </w:p>
        </w:tc>
      </w:tr>
      <w:tr w:rsidR="00D46B4D" w:rsidRPr="000A6664" w:rsidTr="002A4B49">
        <w:trPr>
          <w:trHeight w:val="255"/>
          <w:jc w:val="center"/>
        </w:trPr>
        <w:tc>
          <w:tcPr>
            <w:tcW w:w="2080" w:type="dxa"/>
            <w:shd w:val="clear" w:color="auto" w:fill="auto"/>
            <w:vAlign w:val="center"/>
          </w:tcPr>
          <w:p w:rsidR="00D46B4D" w:rsidRPr="000A6664" w:rsidRDefault="00D46B4D" w:rsidP="00D46B4D">
            <w:pPr>
              <w:spacing w:after="0" w:line="240" w:lineRule="auto"/>
              <w:jc w:val="both"/>
              <w:rPr>
                <w:rFonts w:eastAsia="Times New Roman" w:cs="Arial"/>
                <w:bCs/>
                <w:sz w:val="18"/>
                <w:szCs w:val="18"/>
                <w:lang w:eastAsia="es-CO"/>
              </w:rPr>
            </w:pPr>
            <w:r w:rsidRPr="000A6664">
              <w:rPr>
                <w:rFonts w:eastAsia="Times New Roman" w:cs="Arial"/>
                <w:bCs/>
                <w:sz w:val="18"/>
                <w:szCs w:val="18"/>
                <w:lang w:eastAsia="es-CO"/>
              </w:rPr>
              <w:t>30 de noviembre</w:t>
            </w:r>
          </w:p>
        </w:tc>
        <w:tc>
          <w:tcPr>
            <w:tcW w:w="2305" w:type="dxa"/>
            <w:shd w:val="clear" w:color="auto" w:fill="auto"/>
            <w:vAlign w:val="center"/>
          </w:tcPr>
          <w:p w:rsidR="00D46B4D" w:rsidRPr="000A6664" w:rsidRDefault="00D46B4D" w:rsidP="00D46B4D">
            <w:pPr>
              <w:spacing w:after="0" w:line="240" w:lineRule="auto"/>
              <w:jc w:val="center"/>
              <w:rPr>
                <w:rFonts w:eastAsia="Times New Roman" w:cs="Arial"/>
                <w:bCs/>
                <w:sz w:val="18"/>
                <w:szCs w:val="18"/>
                <w:lang w:eastAsia="es-CO"/>
              </w:rPr>
            </w:pPr>
            <w:r w:rsidRPr="000A6664">
              <w:rPr>
                <w:rFonts w:eastAsia="Times New Roman" w:cs="Arial"/>
                <w:bCs/>
                <w:sz w:val="18"/>
                <w:szCs w:val="18"/>
                <w:lang w:eastAsia="es-CO"/>
              </w:rPr>
              <w:t>432</w:t>
            </w:r>
          </w:p>
        </w:tc>
      </w:tr>
    </w:tbl>
    <w:p w:rsidR="00D46B4D" w:rsidRPr="002A4B49" w:rsidRDefault="00D46B4D" w:rsidP="00D46B4D">
      <w:pPr>
        <w:spacing w:after="0" w:line="240" w:lineRule="auto"/>
        <w:ind w:left="-2"/>
        <w:jc w:val="center"/>
        <w:rPr>
          <w:rFonts w:cs="Arial"/>
          <w:b/>
          <w:sz w:val="16"/>
          <w:szCs w:val="16"/>
        </w:rPr>
      </w:pPr>
      <w:r w:rsidRPr="002A4B49">
        <w:rPr>
          <w:rFonts w:cs="Arial"/>
          <w:sz w:val="16"/>
          <w:szCs w:val="16"/>
        </w:rPr>
        <w:t>Fuente: Datos Dirección de Nutrición (metas sociales y financieras)</w:t>
      </w:r>
    </w:p>
    <w:p w:rsidR="00D46B4D" w:rsidRPr="007608C2" w:rsidRDefault="00D46B4D" w:rsidP="00D46B4D">
      <w:pPr>
        <w:spacing w:after="0" w:line="240" w:lineRule="auto"/>
        <w:jc w:val="both"/>
        <w:rPr>
          <w:rFonts w:cs="Arial"/>
          <w:lang w:eastAsia="es-CO"/>
        </w:rPr>
      </w:pPr>
    </w:p>
    <w:p w:rsidR="00D46B4D" w:rsidRDefault="00D46B4D" w:rsidP="00D46B4D">
      <w:pPr>
        <w:spacing w:after="0" w:line="240" w:lineRule="auto"/>
        <w:jc w:val="both"/>
        <w:rPr>
          <w:rFonts w:cs="Arial"/>
          <w:lang w:eastAsia="es-CO"/>
        </w:rPr>
      </w:pPr>
      <w:r w:rsidRPr="007608C2">
        <w:rPr>
          <w:rFonts w:cs="Arial"/>
          <w:lang w:eastAsia="es-CO"/>
        </w:rPr>
        <w:t>Estos Centros, recuperan a niños y niñas menores de 5 años con desnutrición aguda, los cuales egresan cuando su estado nutricional es adecuado, es decir, su peso para la talla se encuentra dentro del rango aceptable y así se gestiona la transición a la modalidad de “1.000 días para cambiar el mundo” o, en caso de niños mayores de 2 años, a las modalidades de primera Infancia para garantizar el mantenimiento de su estado nutricional. Con esta modalidad se logró recuperar el 95% de los beneficiarios.</w:t>
      </w:r>
    </w:p>
    <w:p w:rsidR="00D46B4D" w:rsidRPr="007608C2" w:rsidRDefault="00D46B4D" w:rsidP="00A44A2B">
      <w:pPr>
        <w:numPr>
          <w:ilvl w:val="0"/>
          <w:numId w:val="78"/>
        </w:numPr>
        <w:spacing w:before="100" w:beforeAutospacing="1" w:after="100" w:afterAutospacing="1" w:line="240" w:lineRule="auto"/>
        <w:ind w:left="284" w:hanging="284"/>
        <w:jc w:val="both"/>
        <w:rPr>
          <w:rFonts w:cs="Arial"/>
          <w:b/>
          <w:u w:val="single"/>
        </w:rPr>
      </w:pPr>
      <w:r w:rsidRPr="007608C2">
        <w:rPr>
          <w:rFonts w:cs="Arial"/>
          <w:b/>
          <w:bCs/>
          <w:u w:val="single"/>
        </w:rPr>
        <w:t>1000 días para cambiar el mundo</w:t>
      </w:r>
    </w:p>
    <w:p w:rsidR="00D46B4D" w:rsidRPr="007608C2" w:rsidRDefault="00D46B4D" w:rsidP="00D46B4D">
      <w:pPr>
        <w:pBdr>
          <w:top w:val="nil"/>
          <w:left w:val="nil"/>
          <w:bottom w:val="nil"/>
          <w:right w:val="nil"/>
          <w:between w:val="nil"/>
          <w:bar w:val="nil"/>
        </w:pBdr>
        <w:spacing w:before="100" w:beforeAutospacing="1" w:after="100" w:afterAutospacing="1" w:line="240" w:lineRule="auto"/>
        <w:jc w:val="both"/>
        <w:rPr>
          <w:rFonts w:cs="Arial"/>
          <w:lang w:val="es-ES_tradnl"/>
        </w:rPr>
      </w:pPr>
      <w:r w:rsidRPr="007608C2">
        <w:rPr>
          <w:rFonts w:cs="Arial"/>
          <w:lang w:val="es-ES_tradnl"/>
        </w:rPr>
        <w:t xml:space="preserve">Se da inició en abril de 2017 con la operación de la modalidad, a partir de la suscripción de contratos con cuatro (4) operadores distribuido en 14 unidades de servicio en los municipios de Riohacha, Manaure, el sur de La Guajira y Uribia Media y Baja. </w:t>
      </w:r>
    </w:p>
    <w:p w:rsidR="00D46B4D" w:rsidRPr="007608C2" w:rsidRDefault="00D46B4D" w:rsidP="00D46B4D">
      <w:pPr>
        <w:pBdr>
          <w:top w:val="nil"/>
          <w:left w:val="nil"/>
          <w:bottom w:val="nil"/>
          <w:right w:val="nil"/>
          <w:between w:val="nil"/>
          <w:bar w:val="nil"/>
        </w:pBdr>
        <w:spacing w:before="100" w:beforeAutospacing="1" w:after="100" w:afterAutospacing="1" w:line="240" w:lineRule="auto"/>
        <w:jc w:val="both"/>
        <w:rPr>
          <w:rFonts w:cs="Arial"/>
          <w:highlight w:val="cyan"/>
          <w:lang w:val="es-ES_tradnl"/>
        </w:rPr>
      </w:pPr>
      <w:r w:rsidRPr="007608C2">
        <w:rPr>
          <w:rFonts w:cs="Arial"/>
          <w:lang w:val="es-ES_tradnl"/>
        </w:rPr>
        <w:t>A 31 de diciembre la Modalidad atendió 2.239 beneficiarios (936 mujeres gestantes con bajo peso, 1.304 niños y niñas menores de 2 años que ingresaron con desnutrición aguda o riesgo de desnutrición aguda) en Riohacha/Dibulla, Manaure, el Sur de La Guajira y Uribia Media y Baja.  Por lo cual se logró cumplir con el 99% (2.239 beneficiarios) de la meta de atención para la vigencia del 2017 (2.240 beneficiarios), lo anterior según lo programado por Metas Sociales y Financieras propuestas.</w:t>
      </w:r>
    </w:p>
    <w:p w:rsidR="00D46B4D" w:rsidRPr="007608C2" w:rsidRDefault="00D46B4D" w:rsidP="00A44A2B">
      <w:pPr>
        <w:numPr>
          <w:ilvl w:val="0"/>
          <w:numId w:val="78"/>
        </w:numPr>
        <w:spacing w:before="100" w:beforeAutospacing="1" w:after="100" w:afterAutospacing="1" w:line="240" w:lineRule="auto"/>
        <w:ind w:left="284" w:hanging="284"/>
        <w:jc w:val="both"/>
        <w:rPr>
          <w:rFonts w:cs="Arial"/>
          <w:b/>
          <w:u w:val="single"/>
        </w:rPr>
      </w:pPr>
      <w:r w:rsidRPr="007608C2">
        <w:rPr>
          <w:rFonts w:cs="Arial"/>
          <w:b/>
          <w:u w:val="single"/>
        </w:rPr>
        <w:t>Distribución de Alimentos de Alto Valor Nutricional</w:t>
      </w:r>
    </w:p>
    <w:p w:rsidR="00D46B4D" w:rsidRPr="007608C2" w:rsidRDefault="00D46B4D" w:rsidP="00D46B4D">
      <w:pPr>
        <w:pBdr>
          <w:top w:val="nil"/>
          <w:left w:val="nil"/>
          <w:bottom w:val="nil"/>
          <w:right w:val="nil"/>
          <w:between w:val="nil"/>
          <w:bar w:val="nil"/>
        </w:pBdr>
        <w:spacing w:before="100" w:beforeAutospacing="1" w:after="100" w:afterAutospacing="1" w:line="240" w:lineRule="auto"/>
        <w:jc w:val="both"/>
        <w:rPr>
          <w:rFonts w:cs="Arial"/>
        </w:rPr>
      </w:pPr>
      <w:r w:rsidRPr="007608C2">
        <w:rPr>
          <w:rFonts w:cs="Arial"/>
        </w:rPr>
        <w:t xml:space="preserve">En el marco de la atención en las diferentes modalidades de Primera Infancia, Nutrición y Protección en la operación de las Unidades Móviles, y de acuerdo con la información de la </w:t>
      </w:r>
      <w:r w:rsidRPr="007608C2">
        <w:rPr>
          <w:rFonts w:cs="Arial"/>
        </w:rPr>
        <w:lastRenderedPageBreak/>
        <w:t xml:space="preserve">Dirección de Nutrición, el ICBF suministró las siguientes cantidades de alimentos de alto valor nutricional durante el período enero - diciembre de 2017: </w:t>
      </w:r>
    </w:p>
    <w:p w:rsidR="00D46B4D" w:rsidRPr="007608C2" w:rsidRDefault="00D46B4D" w:rsidP="00A44A2B">
      <w:pPr>
        <w:numPr>
          <w:ilvl w:val="0"/>
          <w:numId w:val="45"/>
        </w:numPr>
        <w:spacing w:before="100" w:beforeAutospacing="1" w:after="100" w:afterAutospacing="1" w:line="240" w:lineRule="auto"/>
        <w:contextualSpacing/>
        <w:jc w:val="both"/>
        <w:rPr>
          <w:rFonts w:cs="Arial"/>
        </w:rPr>
      </w:pPr>
      <w:r w:rsidRPr="007608C2">
        <w:rPr>
          <w:rFonts w:cs="Arial"/>
        </w:rPr>
        <w:t xml:space="preserve">Bienestarina Más®:      </w:t>
      </w:r>
      <w:r w:rsidRPr="007608C2">
        <w:rPr>
          <w:rFonts w:cs="Arial"/>
        </w:rPr>
        <w:tab/>
      </w:r>
      <w:r w:rsidRPr="007608C2">
        <w:rPr>
          <w:rFonts w:cs="Arial"/>
        </w:rPr>
        <w:tab/>
      </w:r>
      <w:r w:rsidRPr="007608C2">
        <w:rPr>
          <w:rFonts w:cs="Arial"/>
        </w:rPr>
        <w:tab/>
      </w:r>
      <w:r w:rsidRPr="007608C2">
        <w:rPr>
          <w:rFonts w:cs="Arial"/>
        </w:rPr>
        <w:tab/>
      </w:r>
      <w:r w:rsidRPr="007608C2">
        <w:rPr>
          <w:rFonts w:cs="Arial"/>
        </w:rPr>
        <w:tab/>
        <w:t>827.437    Kilos</w:t>
      </w:r>
    </w:p>
    <w:p w:rsidR="00D46B4D" w:rsidRPr="007608C2" w:rsidRDefault="00D46B4D" w:rsidP="00A44A2B">
      <w:pPr>
        <w:numPr>
          <w:ilvl w:val="0"/>
          <w:numId w:val="45"/>
        </w:numPr>
        <w:spacing w:before="100" w:beforeAutospacing="1" w:after="100" w:afterAutospacing="1" w:line="240" w:lineRule="auto"/>
        <w:contextualSpacing/>
        <w:jc w:val="both"/>
        <w:rPr>
          <w:rFonts w:cs="Arial"/>
        </w:rPr>
      </w:pPr>
      <w:r w:rsidRPr="007608C2">
        <w:rPr>
          <w:rFonts w:cs="Arial"/>
        </w:rPr>
        <w:t xml:space="preserve">Bienestarina Líquida:    </w:t>
      </w:r>
      <w:r w:rsidRPr="007608C2">
        <w:rPr>
          <w:rFonts w:cs="Arial"/>
        </w:rPr>
        <w:tab/>
      </w:r>
      <w:r w:rsidRPr="007608C2">
        <w:rPr>
          <w:rFonts w:cs="Arial"/>
        </w:rPr>
        <w:tab/>
      </w:r>
      <w:r w:rsidRPr="007608C2">
        <w:rPr>
          <w:rFonts w:cs="Arial"/>
        </w:rPr>
        <w:tab/>
      </w:r>
      <w:r w:rsidRPr="007608C2">
        <w:rPr>
          <w:rFonts w:cs="Arial"/>
        </w:rPr>
        <w:tab/>
      </w:r>
      <w:r w:rsidRPr="007608C2">
        <w:rPr>
          <w:rFonts w:cs="Arial"/>
        </w:rPr>
        <w:tab/>
        <w:t>8.937.797 uds.        </w:t>
      </w:r>
    </w:p>
    <w:p w:rsidR="00D46B4D" w:rsidRDefault="00D46B4D" w:rsidP="00A44A2B">
      <w:pPr>
        <w:numPr>
          <w:ilvl w:val="0"/>
          <w:numId w:val="45"/>
        </w:numPr>
        <w:spacing w:before="100" w:beforeAutospacing="1" w:after="100" w:afterAutospacing="1" w:line="240" w:lineRule="auto"/>
        <w:contextualSpacing/>
        <w:jc w:val="both"/>
        <w:rPr>
          <w:rFonts w:cs="Arial"/>
        </w:rPr>
      </w:pPr>
      <w:r w:rsidRPr="007608C2">
        <w:rPr>
          <w:rFonts w:cs="Arial"/>
        </w:rPr>
        <w:t xml:space="preserve">Alimento para la Mujer gestante y Madre Lactante:   </w:t>
      </w:r>
      <w:r w:rsidRPr="007608C2">
        <w:rPr>
          <w:rFonts w:cs="Arial"/>
        </w:rPr>
        <w:tab/>
        <w:t>15.705      kilos</w:t>
      </w:r>
    </w:p>
    <w:p w:rsidR="00870864" w:rsidRPr="007608C2" w:rsidRDefault="00870864" w:rsidP="00870864">
      <w:pPr>
        <w:spacing w:before="100" w:beforeAutospacing="1" w:after="100" w:afterAutospacing="1" w:line="240" w:lineRule="auto"/>
        <w:ind w:left="720"/>
        <w:contextualSpacing/>
        <w:jc w:val="both"/>
        <w:rPr>
          <w:rFonts w:cs="Arial"/>
        </w:rPr>
      </w:pPr>
    </w:p>
    <w:p w:rsidR="00D46B4D" w:rsidRDefault="00D46B4D" w:rsidP="00D46B4D">
      <w:pPr>
        <w:spacing w:before="100" w:beforeAutospacing="1" w:after="100" w:afterAutospacing="1" w:line="240" w:lineRule="auto"/>
        <w:contextualSpacing/>
        <w:jc w:val="both"/>
        <w:rPr>
          <w:rFonts w:cs="Arial"/>
        </w:rPr>
      </w:pPr>
      <w:r w:rsidRPr="007608C2">
        <w:rPr>
          <w:rFonts w:cs="Arial"/>
        </w:rPr>
        <w:t>Adicionalmente, desde la Dirección de Nutrición se realizaron las siguientes acciones:</w:t>
      </w:r>
    </w:p>
    <w:p w:rsidR="00870864" w:rsidRPr="007608C2" w:rsidRDefault="00870864" w:rsidP="00D46B4D">
      <w:pPr>
        <w:spacing w:before="100" w:beforeAutospacing="1" w:after="100" w:afterAutospacing="1" w:line="240" w:lineRule="auto"/>
        <w:contextualSpacing/>
        <w:jc w:val="both"/>
        <w:rPr>
          <w:rFonts w:cs="Arial"/>
        </w:rPr>
      </w:pPr>
    </w:p>
    <w:p w:rsidR="00D46B4D" w:rsidRDefault="00D46B4D" w:rsidP="00A44A2B">
      <w:pPr>
        <w:numPr>
          <w:ilvl w:val="0"/>
          <w:numId w:val="84"/>
        </w:numPr>
        <w:spacing w:before="100" w:beforeAutospacing="1" w:after="100" w:afterAutospacing="1" w:line="240" w:lineRule="auto"/>
        <w:contextualSpacing/>
        <w:jc w:val="both"/>
        <w:rPr>
          <w:rFonts w:cs="Arial"/>
        </w:rPr>
      </w:pPr>
      <w:r w:rsidRPr="007608C2">
        <w:rPr>
          <w:rFonts w:cs="Arial"/>
        </w:rPr>
        <w:t>Coordinación permanente con el sector salud departamental específicamente con la Estrategia de Identificación y Gestión del Riesgo, coordinado por el Ministerio de Salud y Protección Social, con el fin de articular la atención de los niños y niñas menores de 5 años en situación de desnutrición, tanto de los equipos extramurales como de los equipos interdisciplinarios de la Modalidad 1000 días para Cambiar el Mundo.</w:t>
      </w:r>
    </w:p>
    <w:p w:rsidR="00870864" w:rsidRPr="007608C2" w:rsidRDefault="00870864" w:rsidP="00870864">
      <w:pPr>
        <w:spacing w:before="100" w:beforeAutospacing="1" w:after="100" w:afterAutospacing="1" w:line="240" w:lineRule="auto"/>
        <w:ind w:left="360"/>
        <w:contextualSpacing/>
        <w:jc w:val="both"/>
        <w:rPr>
          <w:rFonts w:cs="Arial"/>
        </w:rPr>
      </w:pPr>
    </w:p>
    <w:p w:rsidR="00870864" w:rsidRDefault="00D46B4D" w:rsidP="00A44A2B">
      <w:pPr>
        <w:numPr>
          <w:ilvl w:val="0"/>
          <w:numId w:val="84"/>
        </w:numPr>
        <w:spacing w:before="100" w:beforeAutospacing="1" w:after="100" w:afterAutospacing="1" w:line="240" w:lineRule="auto"/>
        <w:contextualSpacing/>
        <w:jc w:val="both"/>
        <w:rPr>
          <w:rFonts w:cs="Arial"/>
        </w:rPr>
      </w:pPr>
      <w:r w:rsidRPr="007608C2">
        <w:rPr>
          <w:rFonts w:cs="Arial"/>
        </w:rPr>
        <w:t>Con el fin de cualificar la operación de las dos modalidades de la Estrategia de atención y prevención de la desnutrición, se creó el Banco Nacional de Oferentes, mediante la Resolución 12682 del 1 diciembre de 2017, que permite disponer de entidades Administradoras de Servicio calificadas técnica, jurídica y financieramente.</w:t>
      </w:r>
    </w:p>
    <w:p w:rsidR="00D46B4D" w:rsidRPr="007608C2" w:rsidRDefault="00D46B4D" w:rsidP="00870864">
      <w:pPr>
        <w:spacing w:before="100" w:beforeAutospacing="1" w:after="100" w:afterAutospacing="1" w:line="240" w:lineRule="auto"/>
        <w:contextualSpacing/>
        <w:jc w:val="both"/>
        <w:rPr>
          <w:rFonts w:cs="Arial"/>
        </w:rPr>
      </w:pPr>
      <w:r w:rsidRPr="007608C2">
        <w:rPr>
          <w:rFonts w:cs="Arial"/>
        </w:rPr>
        <w:t xml:space="preserve"> </w:t>
      </w:r>
    </w:p>
    <w:p w:rsidR="004F4DD7" w:rsidRPr="004F4DD7" w:rsidRDefault="00D46B4D" w:rsidP="001B1357">
      <w:pPr>
        <w:numPr>
          <w:ilvl w:val="0"/>
          <w:numId w:val="84"/>
        </w:numPr>
        <w:spacing w:before="100" w:beforeAutospacing="1" w:after="100" w:afterAutospacing="1" w:line="240" w:lineRule="auto"/>
        <w:contextualSpacing/>
        <w:jc w:val="both"/>
        <w:rPr>
          <w:rFonts w:cs="Arial"/>
        </w:rPr>
      </w:pPr>
      <w:r w:rsidRPr="004F4DD7">
        <w:rPr>
          <w:rFonts w:cs="Arial"/>
        </w:rPr>
        <w:t xml:space="preserve">Atención de emergencia a 100 niños y niñas menores de 5 años desplazados provenientes de Venezuela, con el suministro de Bienestarina líquida y el </w:t>
      </w:r>
      <w:r w:rsidR="004F4DD7" w:rsidRPr="004F4DD7">
        <w:rPr>
          <w:rFonts w:cs="Arial"/>
        </w:rPr>
        <w:t>diagnóstico</w:t>
      </w:r>
      <w:r w:rsidRPr="004F4DD7">
        <w:rPr>
          <w:rFonts w:cs="Arial"/>
        </w:rPr>
        <w:t xml:space="preserve"> de salud por parte de uno de los médicos pediatras, quienes facilitaron la remisión correspondiente.</w:t>
      </w:r>
    </w:p>
    <w:p w:rsidR="00870864" w:rsidRPr="007608C2" w:rsidRDefault="00870864" w:rsidP="00870864">
      <w:pPr>
        <w:spacing w:before="100" w:beforeAutospacing="1" w:after="100" w:afterAutospacing="1" w:line="240" w:lineRule="auto"/>
        <w:contextualSpacing/>
        <w:jc w:val="both"/>
        <w:rPr>
          <w:rFonts w:cs="Arial"/>
        </w:rPr>
      </w:pPr>
    </w:p>
    <w:p w:rsidR="00D46B4D" w:rsidRDefault="00D46B4D" w:rsidP="00A44A2B">
      <w:pPr>
        <w:numPr>
          <w:ilvl w:val="0"/>
          <w:numId w:val="84"/>
        </w:numPr>
        <w:spacing w:before="100" w:beforeAutospacing="1" w:after="100" w:afterAutospacing="1" w:line="240" w:lineRule="auto"/>
        <w:contextualSpacing/>
        <w:jc w:val="both"/>
        <w:rPr>
          <w:rFonts w:cs="Arial"/>
        </w:rPr>
      </w:pPr>
      <w:r w:rsidRPr="007608C2">
        <w:rPr>
          <w:rFonts w:cs="Arial"/>
        </w:rPr>
        <w:t>Realización de la Mesa Publica de Alimentos de Alto Valor Nutricional, con la participación de 100 personas de las diferentes comunidades y programas del departamento de La Guajira y tuvo como objetivo dar a conocer la gestión del ICBF frente al apoyo alimentario relacionado con los alimentos de alto valor nutricional.</w:t>
      </w:r>
    </w:p>
    <w:p w:rsidR="004F4DD7" w:rsidRDefault="004F4DD7" w:rsidP="004F4DD7">
      <w:pPr>
        <w:spacing w:before="100" w:beforeAutospacing="1" w:after="100" w:afterAutospacing="1" w:line="240" w:lineRule="auto"/>
        <w:ind w:left="360"/>
        <w:contextualSpacing/>
        <w:jc w:val="both"/>
        <w:rPr>
          <w:rFonts w:cs="Arial"/>
        </w:rPr>
      </w:pPr>
    </w:p>
    <w:p w:rsidR="00D46B4D" w:rsidRDefault="00D46B4D" w:rsidP="00A44A2B">
      <w:pPr>
        <w:numPr>
          <w:ilvl w:val="0"/>
          <w:numId w:val="84"/>
        </w:numPr>
        <w:spacing w:before="100" w:beforeAutospacing="1" w:after="100" w:afterAutospacing="1" w:line="240" w:lineRule="auto"/>
        <w:contextualSpacing/>
        <w:jc w:val="both"/>
        <w:rPr>
          <w:rFonts w:cs="Arial"/>
        </w:rPr>
      </w:pPr>
      <w:r w:rsidRPr="007608C2">
        <w:rPr>
          <w:rFonts w:cs="Arial"/>
        </w:rPr>
        <w:t>Como apoyo a los internados de Siapana, Arimasain y Nazareth, en los meses de julio a septiembre de 2017 se entregaron 4.550 kilos de Bienestarina, con el fin que 6.553 niños y niñas y adolescentes recibieran diariamente preparaciones con este alimento de alto valor nutricional, teniendo en cuenta que el programa de Alimentación Escolar- PAE, no había iniciado actividades en el departamento.</w:t>
      </w:r>
    </w:p>
    <w:p w:rsidR="00870864" w:rsidRPr="007608C2" w:rsidRDefault="00870864" w:rsidP="00870864">
      <w:pPr>
        <w:spacing w:before="100" w:beforeAutospacing="1" w:after="100" w:afterAutospacing="1" w:line="240" w:lineRule="auto"/>
        <w:contextualSpacing/>
        <w:jc w:val="both"/>
        <w:rPr>
          <w:rFonts w:cs="Arial"/>
        </w:rPr>
      </w:pPr>
    </w:p>
    <w:p w:rsidR="00D46B4D" w:rsidRDefault="00D46B4D" w:rsidP="00A44A2B">
      <w:pPr>
        <w:numPr>
          <w:ilvl w:val="0"/>
          <w:numId w:val="84"/>
        </w:numPr>
        <w:spacing w:before="100" w:beforeAutospacing="1" w:after="100" w:afterAutospacing="1" w:line="240" w:lineRule="auto"/>
        <w:contextualSpacing/>
        <w:jc w:val="both"/>
        <w:rPr>
          <w:rFonts w:cs="Arial"/>
        </w:rPr>
      </w:pPr>
      <w:r w:rsidRPr="007608C2">
        <w:rPr>
          <w:rFonts w:cs="Arial"/>
        </w:rPr>
        <w:t>Entrega de 37.380 sobres de alimento listo para el consumo – ALC a 2318 niños y niñas con desnutrición aguda y riesgo de desnutrición aguda inscritos en las modalidades de Primera Infancia. Lo anterior se llevó a cabo en el desarrollo de las acciones del servicio Complementario cuyo fin, fue rehabilitar a las niñas y niños con algún tipo de desnutrición aguda o prevenir un deterioro del estado nutricional.</w:t>
      </w:r>
    </w:p>
    <w:p w:rsidR="00870864" w:rsidRPr="007608C2" w:rsidRDefault="00870864" w:rsidP="00870864">
      <w:pPr>
        <w:spacing w:before="100" w:beforeAutospacing="1" w:after="100" w:afterAutospacing="1" w:line="240" w:lineRule="auto"/>
        <w:contextualSpacing/>
        <w:jc w:val="both"/>
        <w:rPr>
          <w:rFonts w:cs="Arial"/>
        </w:rPr>
      </w:pPr>
    </w:p>
    <w:p w:rsidR="00D46B4D" w:rsidRPr="007608C2" w:rsidRDefault="00D46B4D" w:rsidP="00A44A2B">
      <w:pPr>
        <w:numPr>
          <w:ilvl w:val="0"/>
          <w:numId w:val="83"/>
        </w:numPr>
        <w:spacing w:before="100" w:beforeAutospacing="1" w:after="100" w:afterAutospacing="1" w:line="240" w:lineRule="auto"/>
        <w:jc w:val="both"/>
        <w:rPr>
          <w:rFonts w:cs="Arial"/>
          <w:b/>
          <w:u w:val="single"/>
        </w:rPr>
      </w:pPr>
      <w:r w:rsidRPr="007608C2">
        <w:rPr>
          <w:rFonts w:cs="Arial"/>
          <w:b/>
          <w:u w:val="single"/>
        </w:rPr>
        <w:t>Atención a la niñez y adolescencia</w:t>
      </w:r>
    </w:p>
    <w:p w:rsidR="00D46B4D" w:rsidRPr="007608C2" w:rsidRDefault="00D46B4D" w:rsidP="00D46B4D">
      <w:pPr>
        <w:spacing w:before="100" w:beforeAutospacing="1" w:after="100" w:afterAutospacing="1" w:line="240" w:lineRule="auto"/>
        <w:contextualSpacing/>
        <w:jc w:val="both"/>
        <w:rPr>
          <w:rFonts w:cs="Arial"/>
        </w:rPr>
      </w:pPr>
      <w:r w:rsidRPr="007608C2">
        <w:rPr>
          <w:rFonts w:cs="Arial"/>
          <w:b/>
        </w:rPr>
        <w:t xml:space="preserve">Generaciones con Bienestar: </w:t>
      </w:r>
      <w:r w:rsidRPr="007608C2">
        <w:rPr>
          <w:rFonts w:cs="Arial"/>
        </w:rPr>
        <w:t>Para la vigencia 2.017, Generaciones con Bienestar brindó atención a 5.950 niños, niñas</w:t>
      </w:r>
      <w:r w:rsidR="00870864">
        <w:rPr>
          <w:rFonts w:cs="Arial"/>
        </w:rPr>
        <w:t xml:space="preserve"> y adolescentes, de los cuales </w:t>
      </w:r>
      <w:r w:rsidRPr="007608C2">
        <w:rPr>
          <w:rFonts w:cs="Arial"/>
        </w:rPr>
        <w:t xml:space="preserve">2.600 beneficiarios corresponden a </w:t>
      </w:r>
      <w:r w:rsidRPr="007608C2">
        <w:rPr>
          <w:rFonts w:cs="Arial"/>
        </w:rPr>
        <w:lastRenderedPageBreak/>
        <w:t>Generaciones tradicionales y 3.350 beneficiarios a Generaciones Étnicas, tal como se señala en la siguiente tabla:</w:t>
      </w:r>
    </w:p>
    <w:p w:rsidR="00D46B4D" w:rsidRPr="007608C2" w:rsidRDefault="00D46B4D" w:rsidP="004F4DD7">
      <w:pPr>
        <w:spacing w:after="0" w:line="240" w:lineRule="auto"/>
        <w:jc w:val="both"/>
        <w:rPr>
          <w:rFonts w:cs="Arial"/>
          <w:b/>
        </w:rPr>
      </w:pPr>
    </w:p>
    <w:p w:rsidR="00D46B4D" w:rsidRPr="007608C2" w:rsidRDefault="00D46B4D" w:rsidP="004F4DD7">
      <w:pPr>
        <w:spacing w:before="100" w:beforeAutospacing="1" w:after="100" w:afterAutospacing="1" w:line="240" w:lineRule="auto"/>
        <w:jc w:val="center"/>
        <w:rPr>
          <w:rFonts w:cs="Arial"/>
          <w:b/>
        </w:rPr>
      </w:pPr>
      <w:r w:rsidRPr="007608C2">
        <w:rPr>
          <w:rFonts w:cs="Arial"/>
          <w:b/>
        </w:rPr>
        <w:t>Cobertura programada a través del programa GCB 2017 en el Dpto. de La Guajira</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38"/>
        <w:gridCol w:w="2177"/>
        <w:gridCol w:w="1096"/>
        <w:gridCol w:w="1197"/>
        <w:gridCol w:w="1718"/>
      </w:tblGrid>
      <w:tr w:rsidR="00D46B4D" w:rsidRPr="00870864" w:rsidTr="00870864">
        <w:trPr>
          <w:trHeight w:val="526"/>
          <w:jc w:val="center"/>
        </w:trPr>
        <w:tc>
          <w:tcPr>
            <w:tcW w:w="0" w:type="auto"/>
            <w:shd w:val="clear" w:color="auto" w:fill="76923C"/>
            <w:noWrap/>
            <w:vAlign w:val="center"/>
            <w:hideMark/>
          </w:tcPr>
          <w:p w:rsidR="00D46B4D" w:rsidRPr="00870864" w:rsidRDefault="00870864" w:rsidP="00870864">
            <w:pPr>
              <w:spacing w:before="100" w:beforeAutospacing="1" w:after="100" w:afterAutospacing="1" w:line="240" w:lineRule="auto"/>
              <w:jc w:val="center"/>
              <w:rPr>
                <w:rFonts w:cs="Arial"/>
                <w:b/>
                <w:color w:val="FFFFFF" w:themeColor="background1"/>
                <w:sz w:val="18"/>
                <w:szCs w:val="18"/>
              </w:rPr>
            </w:pPr>
            <w:r w:rsidRPr="00870864">
              <w:rPr>
                <w:rFonts w:cs="Arial"/>
                <w:b/>
                <w:color w:val="FFFFFF" w:themeColor="background1"/>
                <w:sz w:val="18"/>
                <w:szCs w:val="18"/>
              </w:rPr>
              <w:t>Municipio</w:t>
            </w:r>
          </w:p>
        </w:tc>
        <w:tc>
          <w:tcPr>
            <w:tcW w:w="0" w:type="auto"/>
            <w:shd w:val="clear" w:color="auto" w:fill="76923C"/>
            <w:vAlign w:val="center"/>
            <w:hideMark/>
          </w:tcPr>
          <w:p w:rsidR="00D46B4D" w:rsidRPr="00870864" w:rsidRDefault="00870864" w:rsidP="00870864">
            <w:pPr>
              <w:spacing w:before="100" w:beforeAutospacing="1" w:after="100" w:afterAutospacing="1" w:line="240" w:lineRule="auto"/>
              <w:jc w:val="center"/>
              <w:rPr>
                <w:rFonts w:cs="Arial"/>
                <w:b/>
                <w:color w:val="FFFFFF" w:themeColor="background1"/>
                <w:sz w:val="18"/>
                <w:szCs w:val="18"/>
              </w:rPr>
            </w:pPr>
            <w:r w:rsidRPr="00870864">
              <w:rPr>
                <w:rFonts w:cs="Arial"/>
                <w:b/>
                <w:color w:val="FFFFFF" w:themeColor="background1"/>
                <w:sz w:val="18"/>
                <w:szCs w:val="18"/>
              </w:rPr>
              <w:t>Cobertura Programada</w:t>
            </w:r>
          </w:p>
        </w:tc>
        <w:tc>
          <w:tcPr>
            <w:tcW w:w="0" w:type="auto"/>
            <w:shd w:val="clear" w:color="auto" w:fill="76923C"/>
            <w:vAlign w:val="center"/>
            <w:hideMark/>
          </w:tcPr>
          <w:p w:rsidR="00D46B4D" w:rsidRPr="00870864" w:rsidRDefault="00870864" w:rsidP="00870864">
            <w:pPr>
              <w:spacing w:before="100" w:beforeAutospacing="1" w:after="100" w:afterAutospacing="1" w:line="240" w:lineRule="auto"/>
              <w:jc w:val="center"/>
              <w:rPr>
                <w:rFonts w:cs="Arial"/>
                <w:b/>
                <w:color w:val="FFFFFF" w:themeColor="background1"/>
                <w:sz w:val="18"/>
                <w:szCs w:val="18"/>
              </w:rPr>
            </w:pPr>
            <w:r w:rsidRPr="00870864">
              <w:rPr>
                <w:rFonts w:cs="Arial"/>
                <w:b/>
                <w:color w:val="FFFFFF" w:themeColor="background1"/>
                <w:sz w:val="18"/>
                <w:szCs w:val="18"/>
              </w:rPr>
              <w:t>NNA</w:t>
            </w:r>
            <w:r w:rsidRPr="00870864">
              <w:rPr>
                <w:rFonts w:cs="Arial"/>
                <w:b/>
                <w:color w:val="FFFFFF" w:themeColor="background1"/>
                <w:sz w:val="18"/>
                <w:szCs w:val="18"/>
              </w:rPr>
              <w:br/>
              <w:t>Atendidos</w:t>
            </w:r>
          </w:p>
        </w:tc>
        <w:tc>
          <w:tcPr>
            <w:tcW w:w="0" w:type="auto"/>
            <w:shd w:val="clear" w:color="auto" w:fill="76923C"/>
            <w:vAlign w:val="center"/>
            <w:hideMark/>
          </w:tcPr>
          <w:p w:rsidR="00D46B4D" w:rsidRPr="00870864" w:rsidRDefault="00870864" w:rsidP="00870864">
            <w:pPr>
              <w:spacing w:before="100" w:beforeAutospacing="1" w:after="100" w:afterAutospacing="1" w:line="240" w:lineRule="auto"/>
              <w:jc w:val="center"/>
              <w:rPr>
                <w:rFonts w:cs="Arial"/>
                <w:b/>
                <w:color w:val="FFFFFF" w:themeColor="background1"/>
                <w:sz w:val="18"/>
                <w:szCs w:val="18"/>
              </w:rPr>
            </w:pPr>
            <w:r w:rsidRPr="00870864">
              <w:rPr>
                <w:rFonts w:cs="Arial"/>
                <w:b/>
                <w:color w:val="FFFFFF" w:themeColor="background1"/>
                <w:sz w:val="18"/>
                <w:szCs w:val="18"/>
              </w:rPr>
              <w:t>% Atención</w:t>
            </w:r>
          </w:p>
        </w:tc>
        <w:tc>
          <w:tcPr>
            <w:tcW w:w="0" w:type="auto"/>
            <w:shd w:val="clear" w:color="auto" w:fill="76923C"/>
            <w:vAlign w:val="center"/>
            <w:hideMark/>
          </w:tcPr>
          <w:p w:rsidR="00D46B4D" w:rsidRPr="00870864" w:rsidRDefault="00870864" w:rsidP="00870864">
            <w:pPr>
              <w:spacing w:before="100" w:beforeAutospacing="1" w:after="100" w:afterAutospacing="1" w:line="240" w:lineRule="auto"/>
              <w:jc w:val="center"/>
              <w:rPr>
                <w:rFonts w:cs="Arial"/>
                <w:b/>
                <w:color w:val="FFFFFF" w:themeColor="background1"/>
                <w:sz w:val="18"/>
                <w:szCs w:val="18"/>
              </w:rPr>
            </w:pPr>
            <w:r w:rsidRPr="00870864">
              <w:rPr>
                <w:rFonts w:cs="Arial"/>
                <w:b/>
                <w:color w:val="FFFFFF" w:themeColor="background1"/>
                <w:sz w:val="18"/>
                <w:szCs w:val="18"/>
              </w:rPr>
              <w:t>Presupuesto</w:t>
            </w:r>
            <w:r w:rsidRPr="00870864">
              <w:rPr>
                <w:rFonts w:cs="Arial"/>
                <w:b/>
                <w:color w:val="FFFFFF" w:themeColor="background1"/>
                <w:sz w:val="18"/>
                <w:szCs w:val="18"/>
              </w:rPr>
              <w:br/>
              <w:t>Apropiado</w:t>
            </w:r>
          </w:p>
        </w:tc>
      </w:tr>
      <w:tr w:rsidR="00D46B4D" w:rsidRPr="00870864" w:rsidTr="00870864">
        <w:trPr>
          <w:trHeight w:val="494"/>
          <w:jc w:val="center"/>
        </w:trPr>
        <w:tc>
          <w:tcPr>
            <w:tcW w:w="0" w:type="auto"/>
            <w:shd w:val="clear" w:color="auto" w:fill="auto"/>
            <w:noWrap/>
            <w:vAlign w:val="center"/>
            <w:hideMark/>
          </w:tcPr>
          <w:p w:rsidR="00870864" w:rsidRPr="00870864" w:rsidRDefault="00870864" w:rsidP="00870864">
            <w:pPr>
              <w:spacing w:after="0" w:line="240" w:lineRule="auto"/>
              <w:ind w:firstLineChars="100" w:firstLine="180"/>
              <w:rPr>
                <w:rFonts w:eastAsia="Times New Roman" w:cs="Arial"/>
                <w:sz w:val="18"/>
                <w:szCs w:val="18"/>
              </w:rPr>
            </w:pPr>
            <w:r w:rsidRPr="00870864">
              <w:rPr>
                <w:rFonts w:eastAsia="Times New Roman" w:cs="Arial"/>
                <w:sz w:val="18"/>
                <w:szCs w:val="18"/>
              </w:rPr>
              <w:t>Generaciones Tradicionales</w:t>
            </w:r>
          </w:p>
          <w:p w:rsidR="00D46B4D" w:rsidRPr="00870864" w:rsidRDefault="00870864" w:rsidP="00870864">
            <w:pPr>
              <w:spacing w:after="0" w:line="240" w:lineRule="auto"/>
              <w:ind w:firstLineChars="100" w:firstLine="180"/>
              <w:rPr>
                <w:rFonts w:eastAsia="Times New Roman" w:cs="Arial"/>
                <w:sz w:val="18"/>
                <w:szCs w:val="18"/>
              </w:rPr>
            </w:pPr>
            <w:r w:rsidRPr="00870864">
              <w:rPr>
                <w:rFonts w:eastAsia="Times New Roman" w:cs="Arial"/>
                <w:sz w:val="18"/>
                <w:szCs w:val="18"/>
              </w:rPr>
              <w:t>con Bienestar</w:t>
            </w:r>
          </w:p>
        </w:tc>
        <w:tc>
          <w:tcPr>
            <w:tcW w:w="0" w:type="auto"/>
            <w:shd w:val="clear" w:color="auto" w:fill="auto"/>
            <w:noWrap/>
            <w:vAlign w:val="center"/>
            <w:hideMark/>
          </w:tcPr>
          <w:p w:rsidR="00D46B4D" w:rsidRPr="00870864" w:rsidRDefault="00D46B4D" w:rsidP="00870864">
            <w:pPr>
              <w:spacing w:before="100" w:beforeAutospacing="1" w:after="0" w:line="240" w:lineRule="auto"/>
              <w:jc w:val="center"/>
              <w:rPr>
                <w:rFonts w:cs="Arial"/>
                <w:sz w:val="18"/>
                <w:szCs w:val="18"/>
              </w:rPr>
            </w:pPr>
            <w:r w:rsidRPr="00870864">
              <w:rPr>
                <w:rFonts w:cs="Arial"/>
                <w:sz w:val="18"/>
                <w:szCs w:val="18"/>
              </w:rPr>
              <w:t>3.400</w:t>
            </w:r>
          </w:p>
        </w:tc>
        <w:tc>
          <w:tcPr>
            <w:tcW w:w="0" w:type="auto"/>
            <w:shd w:val="clear" w:color="auto" w:fill="auto"/>
            <w:noWrap/>
            <w:vAlign w:val="center"/>
            <w:hideMark/>
          </w:tcPr>
          <w:p w:rsidR="00D46B4D" w:rsidRPr="00870864" w:rsidRDefault="00D46B4D" w:rsidP="00870864">
            <w:pPr>
              <w:spacing w:before="100" w:beforeAutospacing="1" w:after="0" w:line="240" w:lineRule="auto"/>
              <w:jc w:val="center"/>
              <w:rPr>
                <w:rFonts w:cs="Arial"/>
                <w:sz w:val="18"/>
                <w:szCs w:val="18"/>
              </w:rPr>
            </w:pPr>
            <w:r w:rsidRPr="00870864">
              <w:rPr>
                <w:rFonts w:cs="Arial"/>
                <w:sz w:val="18"/>
                <w:szCs w:val="18"/>
              </w:rPr>
              <w:t>2.600</w:t>
            </w:r>
          </w:p>
        </w:tc>
        <w:tc>
          <w:tcPr>
            <w:tcW w:w="0" w:type="auto"/>
            <w:shd w:val="clear" w:color="auto" w:fill="auto"/>
            <w:noWrap/>
            <w:vAlign w:val="center"/>
            <w:hideMark/>
          </w:tcPr>
          <w:p w:rsidR="00D46B4D" w:rsidRPr="00870864" w:rsidRDefault="00D46B4D" w:rsidP="00870864">
            <w:pPr>
              <w:spacing w:before="100" w:beforeAutospacing="1" w:after="0" w:line="240" w:lineRule="auto"/>
              <w:jc w:val="center"/>
              <w:rPr>
                <w:rFonts w:cs="Arial"/>
                <w:sz w:val="18"/>
                <w:szCs w:val="18"/>
              </w:rPr>
            </w:pPr>
            <w:r w:rsidRPr="00870864">
              <w:rPr>
                <w:rFonts w:cs="Arial"/>
                <w:sz w:val="18"/>
                <w:szCs w:val="18"/>
              </w:rPr>
              <w:t>76%</w:t>
            </w:r>
          </w:p>
        </w:tc>
        <w:tc>
          <w:tcPr>
            <w:tcW w:w="0" w:type="auto"/>
            <w:shd w:val="clear" w:color="auto" w:fill="auto"/>
            <w:noWrap/>
            <w:vAlign w:val="center"/>
            <w:hideMark/>
          </w:tcPr>
          <w:p w:rsidR="00D46B4D" w:rsidRPr="00870864" w:rsidRDefault="00D46B4D" w:rsidP="00870864">
            <w:pPr>
              <w:spacing w:before="100" w:beforeAutospacing="1" w:after="0" w:line="240" w:lineRule="auto"/>
              <w:jc w:val="both"/>
              <w:rPr>
                <w:rFonts w:cs="Arial"/>
                <w:sz w:val="18"/>
                <w:szCs w:val="18"/>
              </w:rPr>
            </w:pPr>
            <w:r w:rsidRPr="00870864">
              <w:rPr>
                <w:rFonts w:cs="Arial"/>
                <w:sz w:val="18"/>
                <w:szCs w:val="18"/>
              </w:rPr>
              <w:t>$        976.027.000</w:t>
            </w:r>
          </w:p>
        </w:tc>
      </w:tr>
      <w:tr w:rsidR="00D46B4D" w:rsidRPr="00870864" w:rsidTr="00870864">
        <w:trPr>
          <w:trHeight w:val="534"/>
          <w:jc w:val="center"/>
        </w:trPr>
        <w:tc>
          <w:tcPr>
            <w:tcW w:w="0" w:type="auto"/>
            <w:shd w:val="clear" w:color="auto" w:fill="auto"/>
            <w:noWrap/>
            <w:vAlign w:val="center"/>
            <w:hideMark/>
          </w:tcPr>
          <w:p w:rsidR="00D46B4D" w:rsidRPr="00870864" w:rsidRDefault="00870864" w:rsidP="00870864">
            <w:pPr>
              <w:spacing w:after="0" w:line="240" w:lineRule="auto"/>
              <w:ind w:firstLineChars="100" w:firstLine="180"/>
              <w:rPr>
                <w:rFonts w:eastAsia="Times New Roman" w:cs="Arial"/>
                <w:sz w:val="18"/>
                <w:szCs w:val="18"/>
              </w:rPr>
            </w:pPr>
            <w:r w:rsidRPr="00870864">
              <w:rPr>
                <w:rFonts w:eastAsia="Times New Roman" w:cs="Arial"/>
                <w:sz w:val="18"/>
                <w:szCs w:val="18"/>
              </w:rPr>
              <w:t>Generaciones Étnicas</w:t>
            </w:r>
          </w:p>
          <w:p w:rsidR="00D46B4D" w:rsidRPr="00870864" w:rsidRDefault="00870864" w:rsidP="00870864">
            <w:pPr>
              <w:spacing w:after="0" w:line="240" w:lineRule="auto"/>
              <w:ind w:firstLineChars="100" w:firstLine="180"/>
              <w:rPr>
                <w:rFonts w:eastAsia="Times New Roman" w:cs="Arial"/>
                <w:sz w:val="18"/>
                <w:szCs w:val="18"/>
              </w:rPr>
            </w:pPr>
            <w:r w:rsidRPr="00870864">
              <w:rPr>
                <w:rFonts w:eastAsia="Times New Roman" w:cs="Arial"/>
                <w:sz w:val="18"/>
                <w:szCs w:val="18"/>
              </w:rPr>
              <w:t>con Bienestar</w:t>
            </w:r>
          </w:p>
        </w:tc>
        <w:tc>
          <w:tcPr>
            <w:tcW w:w="0" w:type="auto"/>
            <w:shd w:val="clear" w:color="auto" w:fill="auto"/>
            <w:noWrap/>
            <w:vAlign w:val="center"/>
            <w:hideMark/>
          </w:tcPr>
          <w:p w:rsidR="00D46B4D" w:rsidRPr="00870864" w:rsidRDefault="00D46B4D" w:rsidP="00870864">
            <w:pPr>
              <w:spacing w:before="100" w:beforeAutospacing="1" w:after="0" w:line="240" w:lineRule="auto"/>
              <w:jc w:val="center"/>
              <w:rPr>
                <w:rFonts w:cs="Arial"/>
                <w:sz w:val="18"/>
                <w:szCs w:val="18"/>
              </w:rPr>
            </w:pPr>
            <w:r w:rsidRPr="00870864">
              <w:rPr>
                <w:rFonts w:cs="Arial"/>
                <w:sz w:val="18"/>
                <w:szCs w:val="18"/>
              </w:rPr>
              <w:t>4.000</w:t>
            </w:r>
          </w:p>
        </w:tc>
        <w:tc>
          <w:tcPr>
            <w:tcW w:w="0" w:type="auto"/>
            <w:shd w:val="clear" w:color="auto" w:fill="auto"/>
            <w:noWrap/>
            <w:vAlign w:val="center"/>
            <w:hideMark/>
          </w:tcPr>
          <w:p w:rsidR="00D46B4D" w:rsidRPr="00870864" w:rsidRDefault="00D46B4D" w:rsidP="00870864">
            <w:pPr>
              <w:spacing w:before="100" w:beforeAutospacing="1" w:after="0" w:line="240" w:lineRule="auto"/>
              <w:jc w:val="center"/>
              <w:rPr>
                <w:rFonts w:cs="Arial"/>
                <w:sz w:val="18"/>
                <w:szCs w:val="18"/>
              </w:rPr>
            </w:pPr>
            <w:r w:rsidRPr="00870864">
              <w:rPr>
                <w:rFonts w:cs="Arial"/>
                <w:sz w:val="18"/>
                <w:szCs w:val="18"/>
              </w:rPr>
              <w:t>3.350</w:t>
            </w:r>
          </w:p>
        </w:tc>
        <w:tc>
          <w:tcPr>
            <w:tcW w:w="0" w:type="auto"/>
            <w:shd w:val="clear" w:color="auto" w:fill="auto"/>
            <w:noWrap/>
            <w:vAlign w:val="center"/>
            <w:hideMark/>
          </w:tcPr>
          <w:p w:rsidR="00D46B4D" w:rsidRPr="00870864" w:rsidRDefault="00D46B4D" w:rsidP="00870864">
            <w:pPr>
              <w:spacing w:before="100" w:beforeAutospacing="1" w:after="0" w:line="240" w:lineRule="auto"/>
              <w:jc w:val="center"/>
              <w:rPr>
                <w:rFonts w:cs="Arial"/>
                <w:sz w:val="18"/>
                <w:szCs w:val="18"/>
              </w:rPr>
            </w:pPr>
            <w:r w:rsidRPr="00870864">
              <w:rPr>
                <w:rFonts w:cs="Arial"/>
                <w:sz w:val="18"/>
                <w:szCs w:val="18"/>
              </w:rPr>
              <w:t>84%</w:t>
            </w:r>
          </w:p>
        </w:tc>
        <w:tc>
          <w:tcPr>
            <w:tcW w:w="0" w:type="auto"/>
            <w:shd w:val="clear" w:color="auto" w:fill="auto"/>
            <w:noWrap/>
            <w:vAlign w:val="center"/>
            <w:hideMark/>
          </w:tcPr>
          <w:p w:rsidR="00D46B4D" w:rsidRPr="00870864" w:rsidRDefault="00D46B4D" w:rsidP="00870864">
            <w:pPr>
              <w:spacing w:before="100" w:beforeAutospacing="1" w:after="0" w:line="240" w:lineRule="auto"/>
              <w:jc w:val="both"/>
              <w:rPr>
                <w:rFonts w:cs="Arial"/>
                <w:sz w:val="18"/>
                <w:szCs w:val="18"/>
              </w:rPr>
            </w:pPr>
            <w:r w:rsidRPr="00870864">
              <w:rPr>
                <w:rFonts w:cs="Arial"/>
                <w:sz w:val="18"/>
                <w:szCs w:val="18"/>
              </w:rPr>
              <w:t>$    1.443.394.000</w:t>
            </w:r>
          </w:p>
        </w:tc>
      </w:tr>
      <w:tr w:rsidR="00D46B4D" w:rsidRPr="00870864" w:rsidTr="00870864">
        <w:trPr>
          <w:trHeight w:val="315"/>
          <w:jc w:val="center"/>
        </w:trPr>
        <w:tc>
          <w:tcPr>
            <w:tcW w:w="0" w:type="auto"/>
            <w:shd w:val="clear" w:color="auto" w:fill="E2EFDA"/>
            <w:noWrap/>
            <w:vAlign w:val="center"/>
            <w:hideMark/>
          </w:tcPr>
          <w:p w:rsidR="00D46B4D" w:rsidRPr="00870864" w:rsidRDefault="00870864" w:rsidP="00D46B4D">
            <w:pPr>
              <w:spacing w:before="100" w:beforeAutospacing="1" w:after="100" w:afterAutospacing="1" w:line="240" w:lineRule="auto"/>
              <w:jc w:val="both"/>
              <w:rPr>
                <w:rFonts w:cs="Arial"/>
                <w:b/>
                <w:sz w:val="18"/>
                <w:szCs w:val="18"/>
              </w:rPr>
            </w:pPr>
            <w:r>
              <w:rPr>
                <w:rFonts w:cs="Arial"/>
                <w:b/>
                <w:sz w:val="18"/>
                <w:szCs w:val="18"/>
              </w:rPr>
              <w:t>Total</w:t>
            </w:r>
          </w:p>
        </w:tc>
        <w:tc>
          <w:tcPr>
            <w:tcW w:w="0" w:type="auto"/>
            <w:shd w:val="clear" w:color="auto" w:fill="E2EFDA"/>
            <w:noWrap/>
            <w:vAlign w:val="center"/>
            <w:hideMark/>
          </w:tcPr>
          <w:p w:rsidR="00D46B4D" w:rsidRPr="00870864" w:rsidRDefault="00D46B4D" w:rsidP="00870864">
            <w:pPr>
              <w:spacing w:before="100" w:beforeAutospacing="1" w:after="100" w:afterAutospacing="1" w:line="240" w:lineRule="auto"/>
              <w:jc w:val="center"/>
              <w:rPr>
                <w:rFonts w:cs="Arial"/>
                <w:b/>
                <w:bCs/>
                <w:sz w:val="18"/>
                <w:szCs w:val="18"/>
              </w:rPr>
            </w:pPr>
            <w:r w:rsidRPr="00870864">
              <w:rPr>
                <w:rFonts w:cs="Arial"/>
                <w:b/>
                <w:bCs/>
                <w:sz w:val="18"/>
                <w:szCs w:val="18"/>
              </w:rPr>
              <w:t>7.400</w:t>
            </w:r>
          </w:p>
        </w:tc>
        <w:tc>
          <w:tcPr>
            <w:tcW w:w="0" w:type="auto"/>
            <w:shd w:val="clear" w:color="auto" w:fill="E2EFDA"/>
            <w:noWrap/>
            <w:vAlign w:val="center"/>
            <w:hideMark/>
          </w:tcPr>
          <w:p w:rsidR="00D46B4D" w:rsidRPr="00870864" w:rsidRDefault="00D46B4D" w:rsidP="00870864">
            <w:pPr>
              <w:spacing w:before="100" w:beforeAutospacing="1" w:after="100" w:afterAutospacing="1" w:line="240" w:lineRule="auto"/>
              <w:jc w:val="center"/>
              <w:rPr>
                <w:rFonts w:cs="Arial"/>
                <w:b/>
                <w:bCs/>
                <w:sz w:val="18"/>
                <w:szCs w:val="18"/>
              </w:rPr>
            </w:pPr>
            <w:r w:rsidRPr="00870864">
              <w:rPr>
                <w:rFonts w:cs="Arial"/>
                <w:b/>
                <w:bCs/>
                <w:sz w:val="18"/>
                <w:szCs w:val="18"/>
              </w:rPr>
              <w:t>6.750</w:t>
            </w:r>
          </w:p>
        </w:tc>
        <w:tc>
          <w:tcPr>
            <w:tcW w:w="0" w:type="auto"/>
            <w:shd w:val="clear" w:color="auto" w:fill="E2EFDA"/>
            <w:noWrap/>
            <w:vAlign w:val="center"/>
            <w:hideMark/>
          </w:tcPr>
          <w:p w:rsidR="00D46B4D" w:rsidRPr="00870864" w:rsidRDefault="00D46B4D" w:rsidP="00870864">
            <w:pPr>
              <w:spacing w:before="100" w:beforeAutospacing="1" w:after="100" w:afterAutospacing="1" w:line="240" w:lineRule="auto"/>
              <w:jc w:val="center"/>
              <w:rPr>
                <w:rFonts w:cs="Arial"/>
                <w:b/>
                <w:bCs/>
                <w:sz w:val="18"/>
                <w:szCs w:val="18"/>
              </w:rPr>
            </w:pPr>
            <w:r w:rsidRPr="00870864">
              <w:rPr>
                <w:rFonts w:cs="Arial"/>
                <w:b/>
                <w:bCs/>
                <w:sz w:val="18"/>
                <w:szCs w:val="18"/>
              </w:rPr>
              <w:t>91%</w:t>
            </w:r>
          </w:p>
        </w:tc>
        <w:tc>
          <w:tcPr>
            <w:tcW w:w="0" w:type="auto"/>
            <w:shd w:val="clear" w:color="auto" w:fill="E2EFDA"/>
            <w:noWrap/>
            <w:vAlign w:val="center"/>
            <w:hideMark/>
          </w:tcPr>
          <w:p w:rsidR="00D46B4D" w:rsidRPr="00870864" w:rsidRDefault="00D46B4D" w:rsidP="00D46B4D">
            <w:pPr>
              <w:spacing w:before="100" w:beforeAutospacing="1" w:after="100" w:afterAutospacing="1" w:line="240" w:lineRule="auto"/>
              <w:jc w:val="both"/>
              <w:rPr>
                <w:rFonts w:cs="Arial"/>
                <w:b/>
                <w:bCs/>
                <w:sz w:val="18"/>
                <w:szCs w:val="18"/>
              </w:rPr>
            </w:pPr>
            <w:r w:rsidRPr="00870864">
              <w:rPr>
                <w:rFonts w:cs="Arial"/>
                <w:b/>
                <w:bCs/>
                <w:sz w:val="18"/>
                <w:szCs w:val="18"/>
              </w:rPr>
              <w:t>$    2.419.421.000</w:t>
            </w:r>
          </w:p>
        </w:tc>
      </w:tr>
    </w:tbl>
    <w:p w:rsidR="00D46B4D" w:rsidRPr="00870864" w:rsidRDefault="00D46B4D" w:rsidP="00706C42">
      <w:pPr>
        <w:spacing w:after="100" w:afterAutospacing="1" w:line="240" w:lineRule="auto"/>
        <w:jc w:val="center"/>
        <w:rPr>
          <w:rFonts w:cs="Arial"/>
          <w:sz w:val="16"/>
          <w:szCs w:val="16"/>
        </w:rPr>
      </w:pPr>
      <w:r w:rsidRPr="00870864">
        <w:rPr>
          <w:rFonts w:cs="Arial"/>
          <w:sz w:val="16"/>
          <w:szCs w:val="16"/>
        </w:rPr>
        <w:t>Fuente: Reporte MSYF Programación Vigente a 30 de noviembre de 2017</w:t>
      </w:r>
    </w:p>
    <w:p w:rsidR="00D46B4D" w:rsidRPr="007608C2" w:rsidRDefault="00D46B4D" w:rsidP="00D46B4D">
      <w:pPr>
        <w:spacing w:before="100" w:beforeAutospacing="1" w:after="100" w:afterAutospacing="1" w:line="240" w:lineRule="auto"/>
        <w:contextualSpacing/>
        <w:jc w:val="both"/>
        <w:rPr>
          <w:rFonts w:cs="Arial"/>
        </w:rPr>
      </w:pPr>
      <w:r w:rsidRPr="007608C2">
        <w:rPr>
          <w:rFonts w:cs="Arial"/>
        </w:rPr>
        <w:t xml:space="preserve">De otra parte, se llevaron a cabo las siguientes actividades: </w:t>
      </w:r>
    </w:p>
    <w:p w:rsidR="00D46B4D" w:rsidRPr="007608C2" w:rsidRDefault="00D46B4D" w:rsidP="00D46B4D">
      <w:pPr>
        <w:spacing w:before="100" w:beforeAutospacing="1" w:after="100" w:afterAutospacing="1" w:line="240" w:lineRule="auto"/>
        <w:contextualSpacing/>
        <w:jc w:val="both"/>
        <w:rPr>
          <w:rFonts w:cs="Arial"/>
        </w:rPr>
      </w:pPr>
    </w:p>
    <w:p w:rsidR="00D46B4D" w:rsidRPr="007608C2" w:rsidRDefault="00D46B4D" w:rsidP="00D46B4D">
      <w:pPr>
        <w:spacing w:before="100" w:beforeAutospacing="1" w:after="100" w:afterAutospacing="1" w:line="240" w:lineRule="auto"/>
        <w:contextualSpacing/>
        <w:jc w:val="both"/>
        <w:rPr>
          <w:rFonts w:cs="Arial"/>
        </w:rPr>
      </w:pPr>
      <w:r w:rsidRPr="007608C2">
        <w:rPr>
          <w:rFonts w:cs="Arial"/>
          <w:b/>
        </w:rPr>
        <w:t>Articulación interinstitucional</w:t>
      </w:r>
      <w:r w:rsidRPr="007608C2">
        <w:rPr>
          <w:rFonts w:cs="Arial"/>
        </w:rPr>
        <w:t>: Se realizaron articulaciones con las Secretarias de Salud de los municipios del sur del departamento, con el objeto de promover acciones frente a la prevención del embarazo de adolescentes. Así mismo, con la Alcaldía del Municipio de Urumita, se logró participar en la carrera 5 K por la salud, la paz y la reconciliación y con la Secretaria de Salud municipal de Manaure, se participó en el desarrollo de las brigadas de salud oral y prevención del embarazo en adolescentes dentro del plan de intervención colectiva (PIC) del municipio.</w:t>
      </w:r>
    </w:p>
    <w:p w:rsidR="00D46B4D" w:rsidRPr="007608C2" w:rsidRDefault="00D46B4D" w:rsidP="00D46B4D">
      <w:pPr>
        <w:spacing w:before="100" w:beforeAutospacing="1" w:after="100" w:afterAutospacing="1" w:line="240" w:lineRule="auto"/>
        <w:contextualSpacing/>
        <w:jc w:val="both"/>
        <w:rPr>
          <w:rFonts w:cs="Arial"/>
        </w:rPr>
      </w:pPr>
    </w:p>
    <w:p w:rsidR="00D46B4D" w:rsidRPr="007608C2" w:rsidRDefault="00D46B4D" w:rsidP="00D46B4D">
      <w:pPr>
        <w:spacing w:before="100" w:beforeAutospacing="1" w:after="100" w:afterAutospacing="1" w:line="240" w:lineRule="auto"/>
        <w:contextualSpacing/>
        <w:jc w:val="both"/>
        <w:rPr>
          <w:rFonts w:cs="Arial"/>
        </w:rPr>
      </w:pPr>
      <w:r w:rsidRPr="007608C2">
        <w:rPr>
          <w:rFonts w:cs="Arial"/>
        </w:rPr>
        <w:t xml:space="preserve">Con el apoyo de la Fiscalía General de la Nación, se llevó a cabo jornada de capacitación a las comunidades asentadas en el corregimiento de Rio Ancho sobre los temas de prevención de Embarazo en adolescentes y la prevención del abuso sexual contra niños, niñas y adolescentes. </w:t>
      </w:r>
    </w:p>
    <w:p w:rsidR="00D46B4D" w:rsidRPr="007608C2" w:rsidRDefault="00D46B4D" w:rsidP="00D46B4D">
      <w:pPr>
        <w:spacing w:before="100" w:beforeAutospacing="1" w:after="100" w:afterAutospacing="1" w:line="240" w:lineRule="auto"/>
        <w:contextualSpacing/>
        <w:jc w:val="both"/>
        <w:rPr>
          <w:rFonts w:cs="Arial"/>
        </w:rPr>
      </w:pPr>
    </w:p>
    <w:p w:rsidR="00D46B4D" w:rsidRPr="007608C2" w:rsidRDefault="00D46B4D" w:rsidP="00D46B4D">
      <w:pPr>
        <w:spacing w:before="100" w:beforeAutospacing="1" w:after="100" w:afterAutospacing="1" w:line="240" w:lineRule="auto"/>
        <w:contextualSpacing/>
        <w:jc w:val="both"/>
        <w:rPr>
          <w:rFonts w:cs="Arial"/>
        </w:rPr>
      </w:pPr>
      <w:r w:rsidRPr="007608C2">
        <w:rPr>
          <w:rFonts w:cs="Arial"/>
        </w:rPr>
        <w:t xml:space="preserve">Se desarrollaron campañas de prevención en contra de trabajo infantil, principalmente en la comunidad étnica, debido a que, a partir del diagnóstico de derechos, se identificó que algunos niños, niñas y adolescentes desarrollaban actividades para generar ingresos como la venta ilegal de combustibles, la comercialización de artesanías, entre otros. Con las campañas de prevención se logró que los participantes y sus familias comprendieran que el derecho a la educación y el derecho al juego, al deporte y a la recreación debían garantizarse y ser la prioridad, en vez de invertir su tiempo en trabajos que les corresponden a los adultos. </w:t>
      </w:r>
    </w:p>
    <w:p w:rsidR="00D46B4D" w:rsidRPr="007608C2" w:rsidRDefault="00D46B4D" w:rsidP="00D46B4D">
      <w:pPr>
        <w:spacing w:before="100" w:beforeAutospacing="1" w:after="100" w:afterAutospacing="1" w:line="240" w:lineRule="auto"/>
        <w:contextualSpacing/>
        <w:jc w:val="both"/>
        <w:rPr>
          <w:rFonts w:cs="Arial"/>
        </w:rPr>
      </w:pPr>
    </w:p>
    <w:p w:rsidR="00D46B4D" w:rsidRPr="007608C2" w:rsidRDefault="00D46B4D" w:rsidP="00D46B4D">
      <w:pPr>
        <w:spacing w:before="100" w:beforeAutospacing="1" w:after="100" w:afterAutospacing="1" w:line="240" w:lineRule="auto"/>
        <w:contextualSpacing/>
        <w:jc w:val="both"/>
        <w:rPr>
          <w:rFonts w:cs="Arial"/>
        </w:rPr>
      </w:pPr>
      <w:r w:rsidRPr="007608C2">
        <w:rPr>
          <w:rFonts w:cs="Arial"/>
        </w:rPr>
        <w:t>En articulación con el Sistema Nacional de Bienestar Familiar -SNBF- también se trabajó en la prevención del trabajo infantil, logrando como resultado cambios de hábitos en las comunidades, como es el caso de la comunidad de Tabulumana (municipio de Maicao), donde se firmó el pacto en contra del trabajo infantil, de igual manera en el distrito de Riohacha, se realizó un trabajo de sensibilización con los niños, las niñas y adolescentes que acompañan a sus padres en la comercialización de artesanías y sus familias.</w:t>
      </w:r>
    </w:p>
    <w:p w:rsidR="00D46B4D" w:rsidRPr="007608C2" w:rsidRDefault="00D46B4D" w:rsidP="00D46B4D">
      <w:pPr>
        <w:spacing w:before="100" w:beforeAutospacing="1" w:after="100" w:afterAutospacing="1" w:line="240" w:lineRule="auto"/>
        <w:contextualSpacing/>
        <w:jc w:val="both"/>
        <w:rPr>
          <w:rFonts w:cs="Arial"/>
        </w:rPr>
      </w:pPr>
    </w:p>
    <w:p w:rsidR="00D46B4D" w:rsidRPr="007608C2" w:rsidRDefault="00D46B4D" w:rsidP="00D46B4D">
      <w:pPr>
        <w:spacing w:before="100" w:beforeAutospacing="1" w:after="100" w:afterAutospacing="1" w:line="240" w:lineRule="auto"/>
        <w:contextualSpacing/>
        <w:jc w:val="both"/>
        <w:rPr>
          <w:rFonts w:cs="Arial"/>
        </w:rPr>
      </w:pPr>
      <w:r w:rsidRPr="007608C2">
        <w:rPr>
          <w:rFonts w:cs="Arial"/>
        </w:rPr>
        <w:t xml:space="preserve">Se destaca la articulación con diferentes organizaciones, como la Registraduría Nacional de Servicio Civil, que permitió aproximadamente a 86 niños, niñas y adolescentes, fortalecer sus </w:t>
      </w:r>
      <w:r w:rsidRPr="007608C2">
        <w:rPr>
          <w:rFonts w:cs="Arial"/>
        </w:rPr>
        <w:lastRenderedPageBreak/>
        <w:t>competencias para el ejercicio futuro del derecho al voto, como parte del Proyecto Museo Itinerante.</w:t>
      </w:r>
    </w:p>
    <w:p w:rsidR="00D46B4D" w:rsidRPr="007608C2" w:rsidRDefault="00D46B4D" w:rsidP="00D46B4D">
      <w:pPr>
        <w:spacing w:before="100" w:beforeAutospacing="1" w:after="100" w:afterAutospacing="1" w:line="240" w:lineRule="auto"/>
        <w:contextualSpacing/>
        <w:jc w:val="both"/>
        <w:rPr>
          <w:rFonts w:cs="Arial"/>
        </w:rPr>
      </w:pPr>
    </w:p>
    <w:p w:rsidR="00D46B4D" w:rsidRPr="007608C2" w:rsidRDefault="00D46B4D" w:rsidP="00D46B4D">
      <w:pPr>
        <w:spacing w:before="100" w:beforeAutospacing="1" w:after="100" w:afterAutospacing="1" w:line="240" w:lineRule="auto"/>
        <w:contextualSpacing/>
        <w:jc w:val="both"/>
        <w:rPr>
          <w:rFonts w:cs="Arial"/>
        </w:rPr>
      </w:pPr>
      <w:r w:rsidRPr="007608C2">
        <w:rPr>
          <w:rFonts w:cs="Arial"/>
          <w:b/>
        </w:rPr>
        <w:t xml:space="preserve">Experiencias significativas: </w:t>
      </w:r>
      <w:r w:rsidRPr="007608C2">
        <w:rPr>
          <w:rFonts w:cs="Arial"/>
        </w:rPr>
        <w:t>Se realizaron jornadas enfocadas en visibilizar la situación, las condiciones, necesidades y posibilidades que los adultos viven respecto al embarazo de los jóvenes a temprana edad en las comunidades intervenidas, como estrategias pedagógicas según su eje vocacional. Igualmente se desarrolló dentro de las comunidades étnicas espacios para la reflexión de estas problemáticas dentro de su contexto cultural.</w:t>
      </w:r>
    </w:p>
    <w:p w:rsidR="00D46B4D" w:rsidRPr="007608C2" w:rsidRDefault="00D46B4D" w:rsidP="00D46B4D">
      <w:pPr>
        <w:spacing w:before="100" w:beforeAutospacing="1" w:after="100" w:afterAutospacing="1" w:line="240" w:lineRule="auto"/>
        <w:contextualSpacing/>
        <w:jc w:val="both"/>
        <w:rPr>
          <w:rFonts w:cs="Arial"/>
        </w:rPr>
      </w:pPr>
    </w:p>
    <w:p w:rsidR="00D46B4D" w:rsidRPr="007608C2" w:rsidRDefault="00D46B4D" w:rsidP="00D46B4D">
      <w:pPr>
        <w:spacing w:before="100" w:beforeAutospacing="1" w:after="100" w:afterAutospacing="1" w:line="240" w:lineRule="auto"/>
        <w:contextualSpacing/>
        <w:jc w:val="both"/>
        <w:rPr>
          <w:rFonts w:cs="Arial"/>
        </w:rPr>
      </w:pPr>
      <w:r w:rsidRPr="007608C2">
        <w:rPr>
          <w:rFonts w:cs="Arial"/>
        </w:rPr>
        <w:t>Se participó en el primer encuentro departamental de mesas municipales de participación de niños, niñas y adolescentes desarrollado en septiembre, donde se visibilizaron las principales problemáticas de los niños Wiwas en el municipio de San Juan y los resguardos indígenas de la Alta y Media Guajira.</w:t>
      </w:r>
    </w:p>
    <w:p w:rsidR="00D46B4D" w:rsidRPr="007608C2" w:rsidRDefault="00D46B4D" w:rsidP="00D46B4D">
      <w:pPr>
        <w:spacing w:after="160" w:line="259" w:lineRule="auto"/>
        <w:contextualSpacing/>
        <w:jc w:val="both"/>
        <w:rPr>
          <w:rFonts w:cs="Arial"/>
        </w:rPr>
      </w:pPr>
    </w:p>
    <w:p w:rsidR="00D46B4D" w:rsidRPr="007608C2" w:rsidRDefault="00D46B4D" w:rsidP="00D46B4D">
      <w:pPr>
        <w:spacing w:after="160" w:line="259" w:lineRule="auto"/>
        <w:contextualSpacing/>
        <w:jc w:val="both"/>
        <w:rPr>
          <w:rFonts w:cs="Arial"/>
        </w:rPr>
      </w:pPr>
      <w:r w:rsidRPr="007608C2">
        <w:rPr>
          <w:rFonts w:cs="Arial"/>
        </w:rPr>
        <w:t>Fortaleciendo la identidad cultural de los hermanos mayores de la Sierra Nevada: en zona rural del municipio de Dibulla, gracias a la concertación y el acompañamiento permanente de las autoridades tradicionales de la comunidad indígena Kuizchimakke del Resguardo Indígena Kogui en la Vereda Alto San Jorge, se viene fortaleciendo a 50 niños, niñas y adolescentes en el aprendizaje de saberes asociados con sus danzas, cantos y la elaboración de artesanías.</w:t>
      </w:r>
    </w:p>
    <w:p w:rsidR="00D46B4D" w:rsidRPr="007608C2" w:rsidRDefault="00D46B4D" w:rsidP="00D46B4D">
      <w:pPr>
        <w:spacing w:after="160" w:line="259" w:lineRule="auto"/>
        <w:contextualSpacing/>
        <w:jc w:val="both"/>
        <w:rPr>
          <w:rFonts w:cs="Arial"/>
        </w:rPr>
      </w:pPr>
    </w:p>
    <w:p w:rsidR="00D46B4D" w:rsidRPr="007608C2" w:rsidRDefault="00D46B4D" w:rsidP="00D46B4D">
      <w:pPr>
        <w:spacing w:after="160" w:line="259" w:lineRule="auto"/>
        <w:contextualSpacing/>
        <w:jc w:val="both"/>
        <w:rPr>
          <w:rFonts w:cs="Arial"/>
        </w:rPr>
      </w:pPr>
      <w:r w:rsidRPr="007608C2">
        <w:rPr>
          <w:rFonts w:cs="Arial"/>
        </w:rPr>
        <w:t>Empoderamiento de espacios de uso común en la comunidad Wiwa: en el sur del departamento de la Guajira, los niños, niñas y adolescentes de la comunidad indígena Wiwa, residentes en el corregimiento de los Pondores vienen embelleciendo los espacios disponibles en donde realizan sus encuentros vivenciales y cuidando las piezas comunicativas donadas por el operador del programa GCB para la prevención del embarazo en adolescentes.</w:t>
      </w:r>
    </w:p>
    <w:p w:rsidR="00D46B4D" w:rsidRPr="007608C2" w:rsidRDefault="00D46B4D" w:rsidP="00D46B4D">
      <w:pPr>
        <w:spacing w:after="160" w:line="259" w:lineRule="auto"/>
        <w:contextualSpacing/>
        <w:jc w:val="both"/>
        <w:rPr>
          <w:rFonts w:cs="Arial"/>
        </w:rPr>
      </w:pPr>
      <w:r w:rsidRPr="007608C2">
        <w:rPr>
          <w:rFonts w:eastAsia="Times New Roman" w:cs="Arial"/>
        </w:rPr>
        <w:t xml:space="preserve">Los niños, niñas y adolescentes participaron activamente en los procesos de elección de los representantes de los ejercicios de control social y en las mesas municipales de participación en los municipios de Albania, Uribía, Maicao y San Juan del Cesar. </w:t>
      </w:r>
    </w:p>
    <w:p w:rsidR="00D46B4D" w:rsidRPr="007608C2" w:rsidRDefault="00D46B4D" w:rsidP="00D46B4D">
      <w:pPr>
        <w:spacing w:after="160" w:line="259" w:lineRule="auto"/>
        <w:contextualSpacing/>
        <w:jc w:val="both"/>
        <w:rPr>
          <w:rFonts w:cs="Arial"/>
        </w:rPr>
      </w:pPr>
      <w:r w:rsidRPr="007608C2">
        <w:rPr>
          <w:rFonts w:cs="Arial"/>
        </w:rPr>
        <w:t>Fortalecimiento de la lengua propia en los niños</w:t>
      </w:r>
      <w:r w:rsidR="00D4291B" w:rsidRPr="007608C2">
        <w:rPr>
          <w:rFonts w:cs="Arial"/>
        </w:rPr>
        <w:t>,</w:t>
      </w:r>
      <w:r w:rsidRPr="007608C2">
        <w:rPr>
          <w:rFonts w:cs="Arial"/>
        </w:rPr>
        <w:t xml:space="preserve"> niñas y adolescentes de las Comunidades Wayuu, Wiwa y Kogui, específicamente a través de cuentos en lengua propia y en el desarrollo de actividades lúdicas enfocadas a la recuperación de los juegos tradicionales.</w:t>
      </w:r>
    </w:p>
    <w:p w:rsidR="00D46B4D" w:rsidRPr="007608C2" w:rsidRDefault="00D46B4D" w:rsidP="00D46B4D">
      <w:pPr>
        <w:spacing w:after="160" w:line="259" w:lineRule="auto"/>
        <w:contextualSpacing/>
        <w:jc w:val="both"/>
        <w:rPr>
          <w:rFonts w:cs="Arial"/>
        </w:rPr>
      </w:pPr>
    </w:p>
    <w:p w:rsidR="00D46B4D" w:rsidRPr="007608C2" w:rsidRDefault="00D46B4D" w:rsidP="00D46B4D">
      <w:pPr>
        <w:spacing w:after="160" w:line="259" w:lineRule="auto"/>
        <w:contextualSpacing/>
        <w:jc w:val="both"/>
        <w:rPr>
          <w:rFonts w:cs="Arial"/>
        </w:rPr>
      </w:pPr>
      <w:r w:rsidRPr="007608C2">
        <w:rPr>
          <w:rFonts w:cs="Arial"/>
        </w:rPr>
        <w:t xml:space="preserve">Participación activa de los niños, niñas y adolescentes en los espacios de reflexión y diagnóstico frente a las principales problemáticas que los afectan, contando con la representación por parte de los participantes, en 6 de las 15 mesas de participación municipal, en los municipios de Riohacha, Dibulla, Maicao, Manaure, Albania y La Jagua del Pilar. </w:t>
      </w:r>
    </w:p>
    <w:p w:rsidR="00D46B4D" w:rsidRPr="007608C2" w:rsidRDefault="00D46B4D" w:rsidP="00D46B4D">
      <w:pPr>
        <w:spacing w:before="100" w:beforeAutospacing="1" w:after="100" w:afterAutospacing="1" w:line="240" w:lineRule="auto"/>
        <w:contextualSpacing/>
        <w:jc w:val="both"/>
        <w:rPr>
          <w:rFonts w:cs="Arial"/>
          <w:b/>
        </w:rPr>
      </w:pPr>
    </w:p>
    <w:p w:rsidR="00D46B4D" w:rsidRPr="007608C2" w:rsidRDefault="00D46B4D" w:rsidP="00D46B4D">
      <w:pPr>
        <w:spacing w:after="160" w:line="259" w:lineRule="auto"/>
        <w:contextualSpacing/>
        <w:jc w:val="both"/>
        <w:rPr>
          <w:rFonts w:cs="Arial"/>
        </w:rPr>
      </w:pPr>
      <w:r w:rsidRPr="007608C2">
        <w:rPr>
          <w:rFonts w:cs="Arial"/>
          <w:b/>
        </w:rPr>
        <w:t>Estrategia Integral para la promoción y garantía de derechos sexuales y reproductivos con énfasis en prevención de embarazo en la adolescencia (PEA):</w:t>
      </w:r>
      <w:r w:rsidRPr="007608C2">
        <w:rPr>
          <w:rFonts w:cs="Arial"/>
        </w:rPr>
        <w:t xml:space="preserve"> En 2017 se atendieron 210 niños, niñas y adolescentes cumpliendo con el 100 % de la meta programada en los 7 municipios (Albania, Barrancas, Distracción, Fonseca, Maicao, San Juan del Cesar y Villanueva). </w:t>
      </w:r>
    </w:p>
    <w:p w:rsidR="00D46B4D" w:rsidRPr="007608C2" w:rsidRDefault="00D46B4D" w:rsidP="00D46B4D">
      <w:pPr>
        <w:spacing w:after="160" w:line="259" w:lineRule="auto"/>
        <w:contextualSpacing/>
        <w:jc w:val="both"/>
        <w:rPr>
          <w:rFonts w:cs="Arial"/>
        </w:rPr>
      </w:pPr>
    </w:p>
    <w:p w:rsidR="00D46B4D" w:rsidRPr="007608C2" w:rsidRDefault="00D46B4D" w:rsidP="00D46B4D">
      <w:pPr>
        <w:spacing w:after="160" w:line="259" w:lineRule="auto"/>
        <w:contextualSpacing/>
        <w:jc w:val="both"/>
        <w:rPr>
          <w:rFonts w:cs="Arial"/>
        </w:rPr>
      </w:pPr>
      <w:r w:rsidRPr="007608C2">
        <w:rPr>
          <w:rFonts w:cs="Arial"/>
        </w:rPr>
        <w:t xml:space="preserve">Las principales actividades desarrolladas en el marco de la atención descrita, fueron: i) talleres en habilidades para la vida con énfasis en promoción de derechos sexuales y reproductivos ; ii) </w:t>
      </w:r>
      <w:r w:rsidRPr="007608C2">
        <w:rPr>
          <w:rFonts w:cs="Arial"/>
        </w:rPr>
        <w:lastRenderedPageBreak/>
        <w:t>encuentros con cuidadores, familias, educadores para la promoción del diálogo y la participación y; iii)  actividades de movilización educomunicativa por parte de los niños, niñas y adolescentes, estando dirigidas principalmente a otros jóvenes para hablarles de la prevención del embarazo en la adolescencia y lo aprendido durante la ejecución del proyecto “Se Vale”, logrando también dar a conocer los aprendizajes obtenidos en el proyecto destacando aquellos relacionados con las habilidades para la vida y los derechos humanos, sexuales y reproductivos, con exposición de las piezas hechas por los participantes en el idioma wayuunaiki, facilitando de esta manera que la estrategia también fuese conocida por las familias y autoridades indígenas.</w:t>
      </w:r>
    </w:p>
    <w:p w:rsidR="00D46B4D" w:rsidRPr="007608C2" w:rsidRDefault="00D46B4D" w:rsidP="00D46B4D">
      <w:pPr>
        <w:spacing w:before="100" w:beforeAutospacing="1" w:after="100" w:afterAutospacing="1" w:line="240" w:lineRule="auto"/>
        <w:contextualSpacing/>
        <w:jc w:val="both"/>
        <w:rPr>
          <w:rFonts w:cs="Arial"/>
          <w:b/>
        </w:rPr>
      </w:pPr>
    </w:p>
    <w:p w:rsidR="00AD319A" w:rsidRDefault="00D46B4D" w:rsidP="00D46B4D">
      <w:pPr>
        <w:spacing w:before="100" w:beforeAutospacing="1" w:after="100" w:afterAutospacing="1" w:line="240" w:lineRule="auto"/>
        <w:contextualSpacing/>
        <w:jc w:val="both"/>
        <w:rPr>
          <w:rFonts w:cs="Arial"/>
          <w:bCs/>
        </w:rPr>
      </w:pPr>
      <w:r w:rsidRPr="007608C2">
        <w:rPr>
          <w:rFonts w:cs="Arial"/>
          <w:b/>
        </w:rPr>
        <w:t xml:space="preserve">Estrategia de Acciones Masivas de Alto Impacto Social (AMAS): </w:t>
      </w:r>
      <w:r w:rsidRPr="007608C2">
        <w:rPr>
          <w:rFonts w:cs="Arial"/>
          <w:bCs/>
        </w:rPr>
        <w:t>En el marco de esta estrategia se programó la atención a 417 niños, niñas y adolescentes, priorizando cuatro municipios (Fonseca, La Jagua del Pilar, Riohacha y Urumita) con temáticas específicas de prevención de vulneraciones y promoción de derechos; a noviembre se ha cumplido con el 70% de la meta atendiendo a 298 niños, niñas y adolescentes.</w:t>
      </w:r>
    </w:p>
    <w:p w:rsidR="00AD319A" w:rsidRPr="007608C2" w:rsidRDefault="00AD319A" w:rsidP="00D46B4D">
      <w:pPr>
        <w:spacing w:before="100" w:beforeAutospacing="1" w:after="100" w:afterAutospacing="1" w:line="240" w:lineRule="auto"/>
        <w:contextualSpacing/>
        <w:jc w:val="both"/>
        <w:rPr>
          <w:rFonts w:cs="Arial"/>
          <w:bCs/>
        </w:rPr>
      </w:pPr>
    </w:p>
    <w:p w:rsidR="00D46B4D" w:rsidRPr="007608C2" w:rsidRDefault="00D46B4D" w:rsidP="00D46B4D">
      <w:pPr>
        <w:spacing w:before="100" w:beforeAutospacing="1" w:after="100" w:afterAutospacing="1" w:line="240" w:lineRule="auto"/>
        <w:jc w:val="both"/>
        <w:rPr>
          <w:rFonts w:cs="Arial"/>
          <w:bCs/>
        </w:rPr>
      </w:pPr>
      <w:r w:rsidRPr="007608C2">
        <w:rPr>
          <w:rFonts w:cs="Arial"/>
          <w:bCs/>
        </w:rPr>
        <w:t xml:space="preserve">En el marco de esta estrategia se han desarrollado las siguientes acciones en los municipios Fonseca y Riohacha. (i) Desarrollo de los talleres con niños, niñas y adolescentes con énfasis en prevención de reclutamiento, uso y utilización de niños, niñas y adolescentes por parte de grupos armados ilegales, violencias sexuales, consumo de sustancias psicoactivas y embarazo en la adolescencia. (ii) Desarrollo de jornadas de formación en habilidades para la vida periodismo y comunicación para los adolescentes participantes de los Grupos Líder de 2016 y de 2017, con énfasis en el derecho a la participación. iii) En los municipios de la Jagua del Pilar y Urumita se trabajó con 30 niños, niñas y adolescentes en cada municipio. Se dividieron los grupos en dos grupos de 15 participantes en cada municipio y se realizaron con estos grupos 5 sesiones enfocadas en la promoción de derechos con énfasis en convivencia escolar. iv) Se llevó a cabo un foro departamental con integrantes del comité de convivencia escolar para reflexionar junto a actores sociales y educativos en torno a problemáticas de convivencia escolar y generar compromisos en la implementación de las rutas de acción de convivencia escolar. v) Finalmente se realizó una acción de movilización social para clausurar el programa, compartir experiencias y entregar resultados a partir de los insumos sistematizados con los niños, niñas y adolescentes.  </w:t>
      </w:r>
    </w:p>
    <w:p w:rsidR="00D4291B" w:rsidRPr="007608C2" w:rsidRDefault="00D46B4D" w:rsidP="00D46B4D">
      <w:pPr>
        <w:spacing w:before="100" w:beforeAutospacing="1" w:after="100" w:afterAutospacing="1" w:line="240" w:lineRule="auto"/>
        <w:jc w:val="both"/>
        <w:rPr>
          <w:rFonts w:eastAsia="Times New Roman" w:cs="Arial"/>
          <w:shd w:val="clear" w:color="auto" w:fill="FFFFFF"/>
          <w:lang w:val="es-ES_tradnl"/>
        </w:rPr>
      </w:pPr>
      <w:r w:rsidRPr="007608C2">
        <w:rPr>
          <w:rFonts w:eastAsia="Times New Roman" w:cs="Arial"/>
          <w:b/>
        </w:rPr>
        <w:t xml:space="preserve">Escuela de Padres, Madres, Cuidadores y Docentes (Construyendo juntos entornos protectores): </w:t>
      </w:r>
      <w:r w:rsidRPr="007608C2">
        <w:rPr>
          <w:rFonts w:eastAsia="Times New Roman" w:cs="Arial"/>
          <w:shd w:val="clear" w:color="auto" w:fill="FFFFFF"/>
        </w:rPr>
        <w:t>A corte del 30 de noviembre p</w:t>
      </w:r>
      <w:r w:rsidRPr="007608C2">
        <w:rPr>
          <w:rFonts w:eastAsia="Times New Roman" w:cs="Arial"/>
          <w:shd w:val="clear" w:color="auto" w:fill="FFFFFF"/>
          <w:lang w:val="es-ES_tradnl"/>
        </w:rPr>
        <w:t>ara el Departamento de La Guajira se atendieron 1.188 participantes distribuidos de la siguiente manera:</w:t>
      </w:r>
    </w:p>
    <w:p w:rsidR="00D46B4D" w:rsidRPr="007608C2" w:rsidRDefault="00D46B4D" w:rsidP="00D46B4D">
      <w:pPr>
        <w:tabs>
          <w:tab w:val="left" w:pos="-142"/>
          <w:tab w:val="left" w:pos="33"/>
        </w:tabs>
        <w:spacing w:after="0" w:line="240" w:lineRule="auto"/>
        <w:jc w:val="center"/>
        <w:rPr>
          <w:rFonts w:eastAsia="Times New Roman" w:cs="Arial"/>
          <w:b/>
          <w:shd w:val="clear" w:color="auto" w:fill="FFFFFF"/>
          <w:lang w:val="es-ES_tradnl"/>
        </w:rPr>
      </w:pPr>
      <w:r w:rsidRPr="007608C2">
        <w:rPr>
          <w:rFonts w:eastAsia="Times New Roman" w:cs="Arial"/>
          <w:b/>
          <w:shd w:val="clear" w:color="auto" w:fill="FFFFFF"/>
          <w:lang w:val="es-ES_tradnl"/>
        </w:rPr>
        <w:t>Atención Estrategia Construyendo Juntos Entornos Protectores</w:t>
      </w:r>
    </w:p>
    <w:p w:rsidR="00D46B4D" w:rsidRPr="007608C2" w:rsidRDefault="00D46B4D" w:rsidP="00D46B4D">
      <w:pPr>
        <w:tabs>
          <w:tab w:val="left" w:pos="-142"/>
          <w:tab w:val="left" w:pos="33"/>
        </w:tabs>
        <w:spacing w:after="0" w:line="240" w:lineRule="auto"/>
        <w:jc w:val="center"/>
        <w:rPr>
          <w:rFonts w:eastAsia="Times New Roman" w:cs="Arial"/>
          <w:b/>
          <w:shd w:val="clear" w:color="auto" w:fill="FFFFFF"/>
          <w:lang w:val="es-ES_tradnl"/>
        </w:rPr>
      </w:pP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751"/>
        <w:gridCol w:w="1271"/>
        <w:gridCol w:w="1765"/>
        <w:gridCol w:w="861"/>
        <w:gridCol w:w="1879"/>
        <w:gridCol w:w="1868"/>
      </w:tblGrid>
      <w:tr w:rsidR="00D46B4D" w:rsidRPr="00AD319A" w:rsidTr="007B12FA">
        <w:trPr>
          <w:trHeight w:val="581"/>
          <w:jc w:val="center"/>
        </w:trPr>
        <w:tc>
          <w:tcPr>
            <w:tcW w:w="0" w:type="auto"/>
            <w:shd w:val="clear" w:color="auto" w:fill="76923C"/>
            <w:noWrap/>
            <w:vAlign w:val="center"/>
            <w:hideMark/>
          </w:tcPr>
          <w:p w:rsidR="00D46B4D" w:rsidRPr="00AD319A" w:rsidRDefault="00D46B4D" w:rsidP="00D46B4D">
            <w:pPr>
              <w:spacing w:after="0" w:line="240" w:lineRule="auto"/>
              <w:jc w:val="center"/>
              <w:rPr>
                <w:rFonts w:eastAsia="Times New Roman" w:cs="Arial"/>
                <w:b/>
                <w:bCs/>
                <w:color w:val="FFFFFF" w:themeColor="background1"/>
                <w:sz w:val="18"/>
                <w:szCs w:val="18"/>
                <w:lang w:eastAsia="es-CO"/>
              </w:rPr>
            </w:pPr>
            <w:r w:rsidRPr="00AD319A">
              <w:rPr>
                <w:rFonts w:eastAsia="Times New Roman" w:cs="Arial"/>
                <w:b/>
                <w:bCs/>
                <w:color w:val="FFFFFF" w:themeColor="background1"/>
                <w:sz w:val="18"/>
                <w:szCs w:val="18"/>
                <w:lang w:eastAsia="es-CO"/>
              </w:rPr>
              <w:t>Municipio</w:t>
            </w:r>
          </w:p>
        </w:tc>
        <w:tc>
          <w:tcPr>
            <w:tcW w:w="0" w:type="auto"/>
            <w:shd w:val="clear" w:color="auto" w:fill="76923C"/>
            <w:vAlign w:val="center"/>
            <w:hideMark/>
          </w:tcPr>
          <w:p w:rsidR="00D46B4D" w:rsidRPr="00AD319A" w:rsidRDefault="00D46B4D" w:rsidP="00D46B4D">
            <w:pPr>
              <w:spacing w:after="0" w:line="240" w:lineRule="auto"/>
              <w:jc w:val="center"/>
              <w:rPr>
                <w:rFonts w:eastAsia="Times New Roman" w:cs="Arial"/>
                <w:b/>
                <w:bCs/>
                <w:color w:val="FFFFFF" w:themeColor="background1"/>
                <w:sz w:val="18"/>
                <w:szCs w:val="18"/>
                <w:lang w:eastAsia="es-CO"/>
              </w:rPr>
            </w:pPr>
            <w:r w:rsidRPr="00AD319A">
              <w:rPr>
                <w:rFonts w:eastAsia="Times New Roman" w:cs="Arial"/>
                <w:b/>
                <w:bCs/>
                <w:color w:val="FFFFFF" w:themeColor="background1"/>
                <w:sz w:val="18"/>
                <w:szCs w:val="18"/>
                <w:lang w:eastAsia="es-CO"/>
              </w:rPr>
              <w:t xml:space="preserve">Participantes </w:t>
            </w:r>
          </w:p>
        </w:tc>
        <w:tc>
          <w:tcPr>
            <w:tcW w:w="0" w:type="auto"/>
            <w:shd w:val="clear" w:color="auto" w:fill="76923C"/>
            <w:vAlign w:val="center"/>
            <w:hideMark/>
          </w:tcPr>
          <w:p w:rsidR="00D46B4D" w:rsidRPr="00AD319A" w:rsidRDefault="00D46B4D" w:rsidP="00D46B4D">
            <w:pPr>
              <w:spacing w:after="0" w:line="240" w:lineRule="auto"/>
              <w:jc w:val="center"/>
              <w:rPr>
                <w:rFonts w:eastAsia="Times New Roman" w:cs="Arial"/>
                <w:b/>
                <w:bCs/>
                <w:color w:val="FFFFFF" w:themeColor="background1"/>
                <w:sz w:val="18"/>
                <w:szCs w:val="18"/>
                <w:lang w:eastAsia="es-CO"/>
              </w:rPr>
            </w:pPr>
            <w:r w:rsidRPr="00AD319A">
              <w:rPr>
                <w:rFonts w:eastAsia="Times New Roman" w:cs="Arial"/>
                <w:b/>
                <w:bCs/>
                <w:color w:val="FFFFFF" w:themeColor="background1"/>
                <w:sz w:val="18"/>
                <w:szCs w:val="18"/>
                <w:lang w:eastAsia="es-CO"/>
              </w:rPr>
              <w:t>Padres, Madres y cuidadores</w:t>
            </w:r>
          </w:p>
        </w:tc>
        <w:tc>
          <w:tcPr>
            <w:tcW w:w="0" w:type="auto"/>
            <w:shd w:val="clear" w:color="auto" w:fill="76923C"/>
            <w:vAlign w:val="center"/>
            <w:hideMark/>
          </w:tcPr>
          <w:p w:rsidR="00D46B4D" w:rsidRPr="00AD319A" w:rsidRDefault="00D46B4D" w:rsidP="00D46B4D">
            <w:pPr>
              <w:spacing w:after="0" w:line="240" w:lineRule="auto"/>
              <w:jc w:val="center"/>
              <w:rPr>
                <w:rFonts w:eastAsia="Times New Roman" w:cs="Arial"/>
                <w:b/>
                <w:bCs/>
                <w:color w:val="FFFFFF" w:themeColor="background1"/>
                <w:sz w:val="18"/>
                <w:szCs w:val="18"/>
                <w:lang w:eastAsia="es-CO"/>
              </w:rPr>
            </w:pPr>
            <w:r w:rsidRPr="00AD319A">
              <w:rPr>
                <w:rFonts w:eastAsia="Times New Roman" w:cs="Arial"/>
                <w:b/>
                <w:bCs/>
                <w:color w:val="FFFFFF" w:themeColor="background1"/>
                <w:sz w:val="18"/>
                <w:szCs w:val="18"/>
                <w:lang w:eastAsia="es-CO"/>
              </w:rPr>
              <w:t>Familias</w:t>
            </w:r>
          </w:p>
        </w:tc>
        <w:tc>
          <w:tcPr>
            <w:tcW w:w="0" w:type="auto"/>
            <w:shd w:val="clear" w:color="auto" w:fill="76923C"/>
            <w:vAlign w:val="center"/>
            <w:hideMark/>
          </w:tcPr>
          <w:p w:rsidR="00D46B4D" w:rsidRPr="00AD319A" w:rsidRDefault="00D46B4D" w:rsidP="00D46B4D">
            <w:pPr>
              <w:spacing w:after="0" w:line="240" w:lineRule="auto"/>
              <w:jc w:val="center"/>
              <w:rPr>
                <w:rFonts w:eastAsia="Times New Roman" w:cs="Arial"/>
                <w:b/>
                <w:bCs/>
                <w:color w:val="FFFFFF" w:themeColor="background1"/>
                <w:sz w:val="18"/>
                <w:szCs w:val="18"/>
                <w:lang w:eastAsia="es-CO"/>
              </w:rPr>
            </w:pPr>
            <w:r w:rsidRPr="00AD319A">
              <w:rPr>
                <w:rFonts w:eastAsia="Times New Roman" w:cs="Arial"/>
                <w:b/>
                <w:bCs/>
                <w:color w:val="FFFFFF" w:themeColor="background1"/>
                <w:sz w:val="18"/>
                <w:szCs w:val="18"/>
                <w:lang w:eastAsia="es-CO"/>
              </w:rPr>
              <w:t>Niños</w:t>
            </w:r>
            <w:r w:rsidR="00FF76CD" w:rsidRPr="00AD319A">
              <w:rPr>
                <w:rFonts w:eastAsia="Times New Roman" w:cs="Arial"/>
                <w:b/>
                <w:bCs/>
                <w:color w:val="FFFFFF" w:themeColor="background1"/>
                <w:sz w:val="18"/>
                <w:szCs w:val="18"/>
                <w:lang w:eastAsia="es-CO"/>
              </w:rPr>
              <w:t>, Niñas Y Adolescentes</w:t>
            </w:r>
          </w:p>
        </w:tc>
        <w:tc>
          <w:tcPr>
            <w:tcW w:w="0" w:type="auto"/>
            <w:shd w:val="clear" w:color="auto" w:fill="76923C"/>
          </w:tcPr>
          <w:p w:rsidR="00D46B4D" w:rsidRPr="00AD319A" w:rsidRDefault="00D46B4D" w:rsidP="00D46B4D">
            <w:pPr>
              <w:spacing w:after="0" w:line="240" w:lineRule="auto"/>
              <w:jc w:val="center"/>
              <w:rPr>
                <w:rFonts w:eastAsia="Times New Roman" w:cs="Arial"/>
                <w:b/>
                <w:bCs/>
                <w:color w:val="FFFFFF" w:themeColor="background1"/>
                <w:sz w:val="18"/>
                <w:szCs w:val="18"/>
                <w:lang w:eastAsia="es-CO"/>
              </w:rPr>
            </w:pPr>
            <w:r w:rsidRPr="00AD319A">
              <w:rPr>
                <w:rFonts w:eastAsia="Times New Roman" w:cs="Arial"/>
                <w:b/>
                <w:bCs/>
                <w:color w:val="FFFFFF" w:themeColor="background1"/>
                <w:sz w:val="18"/>
                <w:szCs w:val="18"/>
                <w:lang w:eastAsia="es-CO"/>
              </w:rPr>
              <w:t>Docentes y Agentes Educativos</w:t>
            </w:r>
          </w:p>
        </w:tc>
      </w:tr>
      <w:tr w:rsidR="00D46B4D" w:rsidRPr="00AD319A" w:rsidTr="007B12FA">
        <w:trPr>
          <w:trHeight w:val="137"/>
          <w:jc w:val="center"/>
        </w:trPr>
        <w:tc>
          <w:tcPr>
            <w:tcW w:w="0" w:type="auto"/>
            <w:shd w:val="clear" w:color="auto" w:fill="auto"/>
            <w:noWrap/>
            <w:vAlign w:val="center"/>
            <w:hideMark/>
          </w:tcPr>
          <w:p w:rsidR="00D46B4D" w:rsidRPr="00AD319A" w:rsidRDefault="00D46B4D" w:rsidP="00AD319A">
            <w:pPr>
              <w:spacing w:after="0" w:line="240" w:lineRule="auto"/>
              <w:rPr>
                <w:rFonts w:eastAsia="Times New Roman" w:cs="Arial"/>
                <w:sz w:val="18"/>
                <w:szCs w:val="18"/>
                <w:lang w:eastAsia="es-CO"/>
              </w:rPr>
            </w:pPr>
            <w:r w:rsidRPr="00AD319A">
              <w:rPr>
                <w:rFonts w:eastAsia="Times New Roman" w:cs="Arial"/>
                <w:sz w:val="18"/>
                <w:szCs w:val="18"/>
                <w:lang w:eastAsia="es-CO"/>
              </w:rPr>
              <w:t>Riohacha</w:t>
            </w:r>
          </w:p>
        </w:tc>
        <w:tc>
          <w:tcPr>
            <w:tcW w:w="0" w:type="auto"/>
            <w:shd w:val="clear" w:color="auto" w:fill="auto"/>
            <w:noWrap/>
            <w:vAlign w:val="center"/>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270</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150</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111,4</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120</w:t>
            </w:r>
          </w:p>
        </w:tc>
        <w:tc>
          <w:tcPr>
            <w:tcW w:w="0" w:type="auto"/>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shd w:val="clear" w:color="auto" w:fill="FFFFFF"/>
                <w:lang w:val="es-ES_tradnl"/>
              </w:rPr>
              <w:t>30</w:t>
            </w:r>
          </w:p>
        </w:tc>
      </w:tr>
      <w:tr w:rsidR="00D46B4D" w:rsidRPr="00AD319A" w:rsidTr="007B12FA">
        <w:trPr>
          <w:trHeight w:val="214"/>
          <w:jc w:val="center"/>
        </w:trPr>
        <w:tc>
          <w:tcPr>
            <w:tcW w:w="0" w:type="auto"/>
            <w:shd w:val="clear" w:color="auto" w:fill="auto"/>
            <w:noWrap/>
            <w:vAlign w:val="center"/>
            <w:hideMark/>
          </w:tcPr>
          <w:p w:rsidR="00D46B4D" w:rsidRPr="00AD319A" w:rsidRDefault="00D46B4D" w:rsidP="00AD319A">
            <w:pPr>
              <w:spacing w:after="0" w:line="240" w:lineRule="auto"/>
              <w:rPr>
                <w:rFonts w:eastAsia="Times New Roman" w:cs="Arial"/>
                <w:sz w:val="18"/>
                <w:szCs w:val="18"/>
                <w:lang w:eastAsia="es-CO"/>
              </w:rPr>
            </w:pPr>
            <w:r w:rsidRPr="00AD319A">
              <w:rPr>
                <w:rFonts w:eastAsia="Times New Roman" w:cs="Arial"/>
                <w:sz w:val="18"/>
                <w:szCs w:val="18"/>
                <w:lang w:eastAsia="es-CO"/>
              </w:rPr>
              <w:t>Albania</w:t>
            </w:r>
          </w:p>
        </w:tc>
        <w:tc>
          <w:tcPr>
            <w:tcW w:w="0" w:type="auto"/>
            <w:shd w:val="clear" w:color="auto" w:fill="auto"/>
            <w:noWrap/>
            <w:vAlign w:val="center"/>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54</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30</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22,3</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24</w:t>
            </w:r>
          </w:p>
        </w:tc>
        <w:tc>
          <w:tcPr>
            <w:tcW w:w="0" w:type="auto"/>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shd w:val="clear" w:color="auto" w:fill="FFFFFF"/>
                <w:lang w:val="es-ES_tradnl"/>
              </w:rPr>
              <w:t>6</w:t>
            </w:r>
          </w:p>
        </w:tc>
      </w:tr>
      <w:tr w:rsidR="00D46B4D" w:rsidRPr="00AD319A" w:rsidTr="007B12FA">
        <w:trPr>
          <w:trHeight w:val="131"/>
          <w:jc w:val="center"/>
        </w:trPr>
        <w:tc>
          <w:tcPr>
            <w:tcW w:w="0" w:type="auto"/>
            <w:shd w:val="clear" w:color="auto" w:fill="auto"/>
            <w:noWrap/>
            <w:vAlign w:val="center"/>
            <w:hideMark/>
          </w:tcPr>
          <w:p w:rsidR="00D46B4D" w:rsidRPr="00AD319A" w:rsidRDefault="00D46B4D" w:rsidP="00AD319A">
            <w:pPr>
              <w:spacing w:after="0" w:line="240" w:lineRule="auto"/>
              <w:rPr>
                <w:rFonts w:eastAsia="Times New Roman" w:cs="Arial"/>
                <w:sz w:val="18"/>
                <w:szCs w:val="18"/>
                <w:lang w:eastAsia="es-CO"/>
              </w:rPr>
            </w:pPr>
            <w:r w:rsidRPr="00AD319A">
              <w:rPr>
                <w:rFonts w:eastAsia="Times New Roman" w:cs="Arial"/>
                <w:sz w:val="18"/>
                <w:szCs w:val="18"/>
                <w:lang w:eastAsia="es-CO"/>
              </w:rPr>
              <w:t>Barrancas</w:t>
            </w:r>
          </w:p>
        </w:tc>
        <w:tc>
          <w:tcPr>
            <w:tcW w:w="0" w:type="auto"/>
            <w:shd w:val="clear" w:color="auto" w:fill="auto"/>
            <w:noWrap/>
            <w:vAlign w:val="center"/>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54</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30</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22,3</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24</w:t>
            </w:r>
          </w:p>
        </w:tc>
        <w:tc>
          <w:tcPr>
            <w:tcW w:w="0" w:type="auto"/>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shd w:val="clear" w:color="auto" w:fill="FFFFFF"/>
                <w:lang w:val="es-ES_tradnl"/>
              </w:rPr>
              <w:t>6</w:t>
            </w:r>
          </w:p>
        </w:tc>
      </w:tr>
      <w:tr w:rsidR="00D46B4D" w:rsidRPr="00AD319A" w:rsidTr="007B12FA">
        <w:trPr>
          <w:trHeight w:val="56"/>
          <w:jc w:val="center"/>
        </w:trPr>
        <w:tc>
          <w:tcPr>
            <w:tcW w:w="0" w:type="auto"/>
            <w:shd w:val="clear" w:color="auto" w:fill="auto"/>
            <w:noWrap/>
            <w:vAlign w:val="center"/>
            <w:hideMark/>
          </w:tcPr>
          <w:p w:rsidR="00D46B4D" w:rsidRPr="00AD319A" w:rsidRDefault="00D46B4D" w:rsidP="00AD319A">
            <w:pPr>
              <w:spacing w:after="0" w:line="240" w:lineRule="auto"/>
              <w:rPr>
                <w:rFonts w:eastAsia="Times New Roman" w:cs="Arial"/>
                <w:sz w:val="18"/>
                <w:szCs w:val="18"/>
                <w:lang w:eastAsia="es-CO"/>
              </w:rPr>
            </w:pPr>
            <w:r w:rsidRPr="00AD319A">
              <w:rPr>
                <w:rFonts w:eastAsia="Times New Roman" w:cs="Arial"/>
                <w:sz w:val="18"/>
                <w:szCs w:val="18"/>
                <w:lang w:eastAsia="es-CO"/>
              </w:rPr>
              <w:t>Dibulla</w:t>
            </w:r>
          </w:p>
        </w:tc>
        <w:tc>
          <w:tcPr>
            <w:tcW w:w="0" w:type="auto"/>
            <w:shd w:val="clear" w:color="auto" w:fill="auto"/>
            <w:noWrap/>
            <w:vAlign w:val="center"/>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81</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45</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33,4</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36</w:t>
            </w:r>
          </w:p>
        </w:tc>
        <w:tc>
          <w:tcPr>
            <w:tcW w:w="0" w:type="auto"/>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shd w:val="clear" w:color="auto" w:fill="FFFFFF"/>
                <w:lang w:val="es-ES_tradnl"/>
              </w:rPr>
              <w:t>9</w:t>
            </w:r>
          </w:p>
        </w:tc>
      </w:tr>
      <w:tr w:rsidR="00D46B4D" w:rsidRPr="00AD319A" w:rsidTr="007B12FA">
        <w:trPr>
          <w:trHeight w:val="70"/>
          <w:jc w:val="center"/>
        </w:trPr>
        <w:tc>
          <w:tcPr>
            <w:tcW w:w="0" w:type="auto"/>
            <w:shd w:val="clear" w:color="auto" w:fill="auto"/>
            <w:noWrap/>
            <w:vAlign w:val="center"/>
            <w:hideMark/>
          </w:tcPr>
          <w:p w:rsidR="00D46B4D" w:rsidRPr="00AD319A" w:rsidRDefault="00D46B4D" w:rsidP="00AD319A">
            <w:pPr>
              <w:spacing w:after="0" w:line="240" w:lineRule="auto"/>
              <w:rPr>
                <w:rFonts w:eastAsia="Times New Roman" w:cs="Arial"/>
                <w:sz w:val="18"/>
                <w:szCs w:val="18"/>
                <w:lang w:eastAsia="es-CO"/>
              </w:rPr>
            </w:pPr>
            <w:r w:rsidRPr="00AD319A">
              <w:rPr>
                <w:rFonts w:eastAsia="Times New Roman" w:cs="Arial"/>
                <w:sz w:val="18"/>
                <w:szCs w:val="18"/>
                <w:lang w:eastAsia="es-CO"/>
              </w:rPr>
              <w:t>Distracción</w:t>
            </w:r>
          </w:p>
        </w:tc>
        <w:tc>
          <w:tcPr>
            <w:tcW w:w="0" w:type="auto"/>
            <w:shd w:val="clear" w:color="auto" w:fill="auto"/>
            <w:noWrap/>
            <w:vAlign w:val="center"/>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27</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15</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11,1</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12</w:t>
            </w:r>
          </w:p>
        </w:tc>
        <w:tc>
          <w:tcPr>
            <w:tcW w:w="0" w:type="auto"/>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shd w:val="clear" w:color="auto" w:fill="FFFFFF"/>
                <w:lang w:val="es-ES_tradnl"/>
              </w:rPr>
              <w:t>3</w:t>
            </w:r>
          </w:p>
        </w:tc>
      </w:tr>
      <w:tr w:rsidR="00D46B4D" w:rsidRPr="00AD319A" w:rsidTr="007B12FA">
        <w:trPr>
          <w:trHeight w:val="129"/>
          <w:jc w:val="center"/>
        </w:trPr>
        <w:tc>
          <w:tcPr>
            <w:tcW w:w="0" w:type="auto"/>
            <w:shd w:val="clear" w:color="auto" w:fill="auto"/>
            <w:noWrap/>
            <w:vAlign w:val="center"/>
            <w:hideMark/>
          </w:tcPr>
          <w:p w:rsidR="00D46B4D" w:rsidRPr="00AD319A" w:rsidRDefault="00D46B4D" w:rsidP="00AD319A">
            <w:pPr>
              <w:spacing w:after="0" w:line="240" w:lineRule="auto"/>
              <w:rPr>
                <w:rFonts w:eastAsia="Times New Roman" w:cs="Arial"/>
                <w:sz w:val="18"/>
                <w:szCs w:val="18"/>
                <w:lang w:eastAsia="es-CO"/>
              </w:rPr>
            </w:pPr>
            <w:r w:rsidRPr="00AD319A">
              <w:rPr>
                <w:rFonts w:eastAsia="Times New Roman" w:cs="Arial"/>
                <w:sz w:val="18"/>
                <w:szCs w:val="18"/>
                <w:lang w:eastAsia="es-CO"/>
              </w:rPr>
              <w:t>Fonseca</w:t>
            </w:r>
          </w:p>
        </w:tc>
        <w:tc>
          <w:tcPr>
            <w:tcW w:w="0" w:type="auto"/>
            <w:shd w:val="clear" w:color="auto" w:fill="auto"/>
            <w:noWrap/>
            <w:vAlign w:val="center"/>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54</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30</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22,3</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24</w:t>
            </w:r>
          </w:p>
        </w:tc>
        <w:tc>
          <w:tcPr>
            <w:tcW w:w="0" w:type="auto"/>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shd w:val="clear" w:color="auto" w:fill="FFFFFF"/>
                <w:lang w:val="es-ES_tradnl"/>
              </w:rPr>
              <w:t>6</w:t>
            </w:r>
          </w:p>
        </w:tc>
      </w:tr>
      <w:tr w:rsidR="00D46B4D" w:rsidRPr="00AD319A" w:rsidTr="007B12FA">
        <w:trPr>
          <w:trHeight w:val="50"/>
          <w:jc w:val="center"/>
        </w:trPr>
        <w:tc>
          <w:tcPr>
            <w:tcW w:w="0" w:type="auto"/>
            <w:shd w:val="clear" w:color="auto" w:fill="auto"/>
            <w:noWrap/>
            <w:vAlign w:val="center"/>
            <w:hideMark/>
          </w:tcPr>
          <w:p w:rsidR="00D46B4D" w:rsidRPr="00AD319A" w:rsidRDefault="00D46B4D" w:rsidP="00AD319A">
            <w:pPr>
              <w:spacing w:after="0" w:line="240" w:lineRule="auto"/>
              <w:rPr>
                <w:rFonts w:eastAsia="Times New Roman" w:cs="Arial"/>
                <w:sz w:val="18"/>
                <w:szCs w:val="18"/>
                <w:lang w:eastAsia="es-CO"/>
              </w:rPr>
            </w:pPr>
            <w:r w:rsidRPr="00AD319A">
              <w:rPr>
                <w:rFonts w:eastAsia="Times New Roman" w:cs="Arial"/>
                <w:sz w:val="18"/>
                <w:szCs w:val="18"/>
                <w:lang w:eastAsia="es-CO"/>
              </w:rPr>
              <w:t>Hatonuevo</w:t>
            </w:r>
          </w:p>
        </w:tc>
        <w:tc>
          <w:tcPr>
            <w:tcW w:w="0" w:type="auto"/>
            <w:shd w:val="clear" w:color="auto" w:fill="auto"/>
            <w:noWrap/>
            <w:vAlign w:val="center"/>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54</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30</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22,3</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24</w:t>
            </w:r>
          </w:p>
        </w:tc>
        <w:tc>
          <w:tcPr>
            <w:tcW w:w="0" w:type="auto"/>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shd w:val="clear" w:color="auto" w:fill="FFFFFF"/>
                <w:lang w:val="es-ES_tradnl"/>
              </w:rPr>
              <w:t>6</w:t>
            </w:r>
          </w:p>
        </w:tc>
      </w:tr>
      <w:tr w:rsidR="00D46B4D" w:rsidRPr="00AD319A" w:rsidTr="007B12FA">
        <w:trPr>
          <w:trHeight w:val="93"/>
          <w:jc w:val="center"/>
        </w:trPr>
        <w:tc>
          <w:tcPr>
            <w:tcW w:w="0" w:type="auto"/>
            <w:shd w:val="clear" w:color="auto" w:fill="auto"/>
            <w:noWrap/>
            <w:vAlign w:val="center"/>
            <w:hideMark/>
          </w:tcPr>
          <w:p w:rsidR="00D46B4D" w:rsidRPr="00AD319A" w:rsidRDefault="00D46B4D" w:rsidP="00AD319A">
            <w:pPr>
              <w:spacing w:after="0" w:line="240" w:lineRule="auto"/>
              <w:rPr>
                <w:rFonts w:eastAsia="Times New Roman" w:cs="Arial"/>
                <w:sz w:val="18"/>
                <w:szCs w:val="18"/>
                <w:lang w:eastAsia="es-CO"/>
              </w:rPr>
            </w:pPr>
            <w:r w:rsidRPr="00AD319A">
              <w:rPr>
                <w:rFonts w:eastAsia="Times New Roman" w:cs="Arial"/>
                <w:sz w:val="18"/>
                <w:szCs w:val="18"/>
                <w:lang w:eastAsia="es-CO"/>
              </w:rPr>
              <w:lastRenderedPageBreak/>
              <w:t>Maicao</w:t>
            </w:r>
          </w:p>
        </w:tc>
        <w:tc>
          <w:tcPr>
            <w:tcW w:w="0" w:type="auto"/>
            <w:shd w:val="clear" w:color="auto" w:fill="auto"/>
            <w:noWrap/>
            <w:vAlign w:val="center"/>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189</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105</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78</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84</w:t>
            </w:r>
          </w:p>
        </w:tc>
        <w:tc>
          <w:tcPr>
            <w:tcW w:w="0" w:type="auto"/>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shd w:val="clear" w:color="auto" w:fill="FFFFFF"/>
                <w:lang w:val="es-ES_tradnl"/>
              </w:rPr>
              <w:t>21</w:t>
            </w:r>
          </w:p>
        </w:tc>
      </w:tr>
      <w:tr w:rsidR="00D46B4D" w:rsidRPr="00AD319A" w:rsidTr="007B12FA">
        <w:trPr>
          <w:trHeight w:val="56"/>
          <w:jc w:val="center"/>
        </w:trPr>
        <w:tc>
          <w:tcPr>
            <w:tcW w:w="0" w:type="auto"/>
            <w:shd w:val="clear" w:color="auto" w:fill="auto"/>
            <w:noWrap/>
            <w:vAlign w:val="center"/>
            <w:hideMark/>
          </w:tcPr>
          <w:p w:rsidR="00D46B4D" w:rsidRPr="00AD319A" w:rsidRDefault="00D46B4D" w:rsidP="00AD319A">
            <w:pPr>
              <w:spacing w:after="0" w:line="240" w:lineRule="auto"/>
              <w:rPr>
                <w:rFonts w:eastAsia="Times New Roman" w:cs="Arial"/>
                <w:sz w:val="18"/>
                <w:szCs w:val="18"/>
                <w:lang w:eastAsia="es-CO"/>
              </w:rPr>
            </w:pPr>
            <w:r w:rsidRPr="00AD319A">
              <w:rPr>
                <w:rFonts w:eastAsia="Times New Roman" w:cs="Arial"/>
                <w:sz w:val="18"/>
                <w:szCs w:val="18"/>
                <w:lang w:eastAsia="es-CO"/>
              </w:rPr>
              <w:t>Manaure</w:t>
            </w:r>
          </w:p>
        </w:tc>
        <w:tc>
          <w:tcPr>
            <w:tcW w:w="0" w:type="auto"/>
            <w:shd w:val="clear" w:color="auto" w:fill="auto"/>
            <w:noWrap/>
            <w:vAlign w:val="center"/>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108</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60</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44,6</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48</w:t>
            </w:r>
          </w:p>
        </w:tc>
        <w:tc>
          <w:tcPr>
            <w:tcW w:w="0" w:type="auto"/>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shd w:val="clear" w:color="auto" w:fill="FFFFFF"/>
                <w:lang w:val="es-ES_tradnl"/>
              </w:rPr>
              <w:t>12</w:t>
            </w:r>
          </w:p>
        </w:tc>
      </w:tr>
      <w:tr w:rsidR="00D46B4D" w:rsidRPr="00AD319A" w:rsidTr="007B12FA">
        <w:trPr>
          <w:trHeight w:val="56"/>
          <w:jc w:val="center"/>
        </w:trPr>
        <w:tc>
          <w:tcPr>
            <w:tcW w:w="0" w:type="auto"/>
            <w:shd w:val="clear" w:color="auto" w:fill="auto"/>
            <w:noWrap/>
            <w:vAlign w:val="center"/>
            <w:hideMark/>
          </w:tcPr>
          <w:p w:rsidR="00D46B4D" w:rsidRPr="00AD319A" w:rsidRDefault="00D46B4D" w:rsidP="00AD319A">
            <w:pPr>
              <w:spacing w:after="0" w:line="240" w:lineRule="auto"/>
              <w:rPr>
                <w:rFonts w:eastAsia="Times New Roman" w:cs="Arial"/>
                <w:sz w:val="18"/>
                <w:szCs w:val="18"/>
                <w:lang w:eastAsia="es-CO"/>
              </w:rPr>
            </w:pPr>
            <w:r w:rsidRPr="00AD319A">
              <w:rPr>
                <w:rFonts w:eastAsia="Times New Roman" w:cs="Arial"/>
                <w:sz w:val="18"/>
                <w:szCs w:val="18"/>
                <w:lang w:eastAsia="es-CO"/>
              </w:rPr>
              <w:t>San Juan Del Cesar</w:t>
            </w:r>
          </w:p>
        </w:tc>
        <w:tc>
          <w:tcPr>
            <w:tcW w:w="0" w:type="auto"/>
            <w:shd w:val="clear" w:color="auto" w:fill="auto"/>
            <w:noWrap/>
            <w:vAlign w:val="center"/>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108</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60</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44,6</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48</w:t>
            </w:r>
          </w:p>
        </w:tc>
        <w:tc>
          <w:tcPr>
            <w:tcW w:w="0" w:type="auto"/>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shd w:val="clear" w:color="auto" w:fill="FFFFFF"/>
                <w:lang w:val="es-ES_tradnl"/>
              </w:rPr>
              <w:t>12</w:t>
            </w:r>
          </w:p>
        </w:tc>
      </w:tr>
      <w:tr w:rsidR="00D46B4D" w:rsidRPr="00AD319A" w:rsidTr="007B12FA">
        <w:trPr>
          <w:trHeight w:val="56"/>
          <w:jc w:val="center"/>
        </w:trPr>
        <w:tc>
          <w:tcPr>
            <w:tcW w:w="0" w:type="auto"/>
            <w:shd w:val="clear" w:color="auto" w:fill="auto"/>
            <w:noWrap/>
            <w:vAlign w:val="center"/>
            <w:hideMark/>
          </w:tcPr>
          <w:p w:rsidR="00D46B4D" w:rsidRPr="00AD319A" w:rsidRDefault="00D46B4D" w:rsidP="00AD319A">
            <w:pPr>
              <w:spacing w:after="0" w:line="240" w:lineRule="auto"/>
              <w:rPr>
                <w:rFonts w:eastAsia="Times New Roman" w:cs="Arial"/>
                <w:sz w:val="18"/>
                <w:szCs w:val="18"/>
                <w:lang w:eastAsia="es-CO"/>
              </w:rPr>
            </w:pPr>
            <w:r w:rsidRPr="00AD319A">
              <w:rPr>
                <w:rFonts w:eastAsia="Times New Roman" w:cs="Arial"/>
                <w:sz w:val="18"/>
                <w:szCs w:val="18"/>
                <w:lang w:eastAsia="es-CO"/>
              </w:rPr>
              <w:t>Uribia</w:t>
            </w:r>
          </w:p>
        </w:tc>
        <w:tc>
          <w:tcPr>
            <w:tcW w:w="0" w:type="auto"/>
            <w:shd w:val="clear" w:color="auto" w:fill="auto"/>
            <w:noWrap/>
            <w:vAlign w:val="center"/>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162</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90</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66,9</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72</w:t>
            </w:r>
          </w:p>
        </w:tc>
        <w:tc>
          <w:tcPr>
            <w:tcW w:w="0" w:type="auto"/>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shd w:val="clear" w:color="auto" w:fill="FFFFFF"/>
                <w:lang w:val="es-ES_tradnl"/>
              </w:rPr>
              <w:t>18</w:t>
            </w:r>
          </w:p>
        </w:tc>
      </w:tr>
      <w:tr w:rsidR="00D46B4D" w:rsidRPr="00AD319A" w:rsidTr="007B12FA">
        <w:trPr>
          <w:trHeight w:val="56"/>
          <w:jc w:val="center"/>
        </w:trPr>
        <w:tc>
          <w:tcPr>
            <w:tcW w:w="0" w:type="auto"/>
            <w:shd w:val="clear" w:color="auto" w:fill="auto"/>
            <w:noWrap/>
            <w:vAlign w:val="center"/>
            <w:hideMark/>
          </w:tcPr>
          <w:p w:rsidR="00D46B4D" w:rsidRPr="00AD319A" w:rsidRDefault="00D46B4D" w:rsidP="00AD319A">
            <w:pPr>
              <w:spacing w:after="0" w:line="240" w:lineRule="auto"/>
              <w:rPr>
                <w:rFonts w:eastAsia="Times New Roman" w:cs="Arial"/>
                <w:sz w:val="18"/>
                <w:szCs w:val="18"/>
                <w:lang w:eastAsia="es-CO"/>
              </w:rPr>
            </w:pPr>
            <w:r w:rsidRPr="00AD319A">
              <w:rPr>
                <w:rFonts w:eastAsia="Times New Roman" w:cs="Arial"/>
                <w:sz w:val="18"/>
                <w:szCs w:val="18"/>
                <w:lang w:eastAsia="es-CO"/>
              </w:rPr>
              <w:t>Villanueva</w:t>
            </w:r>
          </w:p>
        </w:tc>
        <w:tc>
          <w:tcPr>
            <w:tcW w:w="0" w:type="auto"/>
            <w:shd w:val="clear" w:color="auto" w:fill="auto"/>
            <w:noWrap/>
            <w:vAlign w:val="center"/>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27</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15</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11,1</w:t>
            </w:r>
          </w:p>
        </w:tc>
        <w:tc>
          <w:tcPr>
            <w:tcW w:w="0" w:type="auto"/>
            <w:shd w:val="clear" w:color="auto" w:fill="auto"/>
            <w:noWrap/>
            <w:vAlign w:val="center"/>
            <w:hideMark/>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lang w:eastAsia="es-CO"/>
              </w:rPr>
              <w:t>12</w:t>
            </w:r>
          </w:p>
        </w:tc>
        <w:tc>
          <w:tcPr>
            <w:tcW w:w="0" w:type="auto"/>
          </w:tcPr>
          <w:p w:rsidR="00D46B4D" w:rsidRPr="00AD319A" w:rsidRDefault="00D46B4D" w:rsidP="00D46B4D">
            <w:pPr>
              <w:spacing w:after="0" w:line="240" w:lineRule="auto"/>
              <w:jc w:val="center"/>
              <w:rPr>
                <w:rFonts w:eastAsia="Times New Roman" w:cs="Arial"/>
                <w:sz w:val="18"/>
                <w:szCs w:val="18"/>
                <w:lang w:eastAsia="es-CO"/>
              </w:rPr>
            </w:pPr>
            <w:r w:rsidRPr="00AD319A">
              <w:rPr>
                <w:rFonts w:eastAsia="Times New Roman" w:cs="Arial"/>
                <w:sz w:val="18"/>
                <w:szCs w:val="18"/>
                <w:shd w:val="clear" w:color="auto" w:fill="FFFFFF"/>
                <w:lang w:val="es-ES_tradnl"/>
              </w:rPr>
              <w:t>3</w:t>
            </w:r>
          </w:p>
        </w:tc>
      </w:tr>
      <w:tr w:rsidR="00D46B4D" w:rsidRPr="00AD319A" w:rsidTr="007B12FA">
        <w:trPr>
          <w:trHeight w:val="50"/>
          <w:jc w:val="center"/>
        </w:trPr>
        <w:tc>
          <w:tcPr>
            <w:tcW w:w="0" w:type="auto"/>
            <w:shd w:val="clear" w:color="auto" w:fill="E2EFDA"/>
            <w:noWrap/>
            <w:vAlign w:val="center"/>
            <w:hideMark/>
          </w:tcPr>
          <w:p w:rsidR="00D46B4D" w:rsidRPr="00AD319A" w:rsidRDefault="00D46B4D" w:rsidP="00D46B4D">
            <w:pPr>
              <w:spacing w:after="0" w:line="240" w:lineRule="auto"/>
              <w:jc w:val="center"/>
              <w:rPr>
                <w:rFonts w:eastAsia="Times New Roman" w:cs="Arial"/>
                <w:b/>
                <w:sz w:val="18"/>
                <w:szCs w:val="18"/>
                <w:lang w:eastAsia="es-CO"/>
              </w:rPr>
            </w:pPr>
            <w:r w:rsidRPr="00AD319A">
              <w:rPr>
                <w:rFonts w:eastAsia="Times New Roman" w:cs="Arial"/>
                <w:b/>
                <w:sz w:val="18"/>
                <w:szCs w:val="18"/>
                <w:lang w:eastAsia="es-CO"/>
              </w:rPr>
              <w:t xml:space="preserve">TOTAL </w:t>
            </w:r>
          </w:p>
        </w:tc>
        <w:tc>
          <w:tcPr>
            <w:tcW w:w="0" w:type="auto"/>
            <w:shd w:val="clear" w:color="auto" w:fill="E2EFDA"/>
            <w:noWrap/>
            <w:vAlign w:val="bottom"/>
            <w:hideMark/>
          </w:tcPr>
          <w:p w:rsidR="00D46B4D" w:rsidRPr="00AD319A" w:rsidRDefault="00D46B4D" w:rsidP="00D46B4D">
            <w:pPr>
              <w:spacing w:after="0" w:line="240" w:lineRule="auto"/>
              <w:jc w:val="center"/>
              <w:rPr>
                <w:rFonts w:eastAsia="Times New Roman" w:cs="Arial"/>
                <w:b/>
                <w:sz w:val="18"/>
                <w:szCs w:val="18"/>
                <w:lang w:eastAsia="es-CO"/>
              </w:rPr>
            </w:pPr>
            <w:r w:rsidRPr="00AD319A">
              <w:rPr>
                <w:rFonts w:eastAsia="Times New Roman" w:cs="Arial"/>
                <w:b/>
                <w:sz w:val="18"/>
                <w:szCs w:val="18"/>
                <w:lang w:eastAsia="es-CO"/>
              </w:rPr>
              <w:t>1.188</w:t>
            </w:r>
          </w:p>
        </w:tc>
        <w:tc>
          <w:tcPr>
            <w:tcW w:w="0" w:type="auto"/>
            <w:shd w:val="clear" w:color="auto" w:fill="E2EFDA"/>
            <w:noWrap/>
            <w:vAlign w:val="bottom"/>
            <w:hideMark/>
          </w:tcPr>
          <w:p w:rsidR="00D46B4D" w:rsidRPr="00AD319A" w:rsidRDefault="00D46B4D" w:rsidP="00D46B4D">
            <w:pPr>
              <w:spacing w:after="0" w:line="240" w:lineRule="auto"/>
              <w:jc w:val="center"/>
              <w:rPr>
                <w:rFonts w:eastAsia="Times New Roman" w:cs="Arial"/>
                <w:b/>
                <w:sz w:val="18"/>
                <w:szCs w:val="18"/>
                <w:lang w:eastAsia="es-CO"/>
              </w:rPr>
            </w:pPr>
            <w:r w:rsidRPr="00AD319A">
              <w:rPr>
                <w:rFonts w:eastAsia="Times New Roman" w:cs="Arial"/>
                <w:b/>
                <w:sz w:val="18"/>
                <w:szCs w:val="18"/>
                <w:lang w:eastAsia="es-CO"/>
              </w:rPr>
              <w:t>660</w:t>
            </w:r>
          </w:p>
        </w:tc>
        <w:tc>
          <w:tcPr>
            <w:tcW w:w="0" w:type="auto"/>
            <w:shd w:val="clear" w:color="auto" w:fill="E2EFDA"/>
            <w:noWrap/>
            <w:vAlign w:val="bottom"/>
            <w:hideMark/>
          </w:tcPr>
          <w:p w:rsidR="00D46B4D" w:rsidRPr="00AD319A" w:rsidRDefault="00D46B4D" w:rsidP="00D46B4D">
            <w:pPr>
              <w:spacing w:after="0" w:line="240" w:lineRule="auto"/>
              <w:jc w:val="center"/>
              <w:rPr>
                <w:rFonts w:eastAsia="Times New Roman" w:cs="Arial"/>
                <w:b/>
                <w:sz w:val="18"/>
                <w:szCs w:val="18"/>
                <w:lang w:eastAsia="es-CO"/>
              </w:rPr>
            </w:pPr>
            <w:r w:rsidRPr="00AD319A">
              <w:rPr>
                <w:rFonts w:eastAsia="Times New Roman" w:cs="Arial"/>
                <w:b/>
                <w:sz w:val="18"/>
                <w:szCs w:val="18"/>
                <w:lang w:eastAsia="es-CO"/>
              </w:rPr>
              <w:t>490,3</w:t>
            </w:r>
          </w:p>
        </w:tc>
        <w:tc>
          <w:tcPr>
            <w:tcW w:w="0" w:type="auto"/>
            <w:shd w:val="clear" w:color="auto" w:fill="E2EFDA"/>
            <w:noWrap/>
            <w:vAlign w:val="bottom"/>
            <w:hideMark/>
          </w:tcPr>
          <w:p w:rsidR="00D46B4D" w:rsidRPr="00AD319A" w:rsidRDefault="00D46B4D" w:rsidP="00D46B4D">
            <w:pPr>
              <w:spacing w:after="0" w:line="240" w:lineRule="auto"/>
              <w:jc w:val="center"/>
              <w:rPr>
                <w:rFonts w:eastAsia="Times New Roman" w:cs="Arial"/>
                <w:b/>
                <w:sz w:val="18"/>
                <w:szCs w:val="18"/>
                <w:lang w:eastAsia="es-CO"/>
              </w:rPr>
            </w:pPr>
            <w:r w:rsidRPr="00AD319A">
              <w:rPr>
                <w:rFonts w:eastAsia="Times New Roman" w:cs="Arial"/>
                <w:b/>
                <w:sz w:val="18"/>
                <w:szCs w:val="18"/>
                <w:lang w:eastAsia="es-CO"/>
              </w:rPr>
              <w:t>528</w:t>
            </w:r>
          </w:p>
        </w:tc>
        <w:tc>
          <w:tcPr>
            <w:tcW w:w="0" w:type="auto"/>
            <w:shd w:val="clear" w:color="auto" w:fill="E2EFDA"/>
          </w:tcPr>
          <w:p w:rsidR="00D46B4D" w:rsidRPr="00AD319A" w:rsidRDefault="00D46B4D" w:rsidP="00D46B4D">
            <w:pPr>
              <w:spacing w:after="0" w:line="240" w:lineRule="auto"/>
              <w:jc w:val="center"/>
              <w:rPr>
                <w:rFonts w:eastAsia="Times New Roman" w:cs="Arial"/>
                <w:b/>
                <w:sz w:val="18"/>
                <w:szCs w:val="18"/>
                <w:lang w:eastAsia="es-CO"/>
              </w:rPr>
            </w:pPr>
            <w:r w:rsidRPr="00AD319A">
              <w:rPr>
                <w:rFonts w:eastAsia="Times New Roman" w:cs="Arial"/>
                <w:b/>
                <w:sz w:val="18"/>
                <w:szCs w:val="18"/>
                <w:lang w:eastAsia="es-CO"/>
              </w:rPr>
              <w:t>132</w:t>
            </w:r>
          </w:p>
        </w:tc>
      </w:tr>
    </w:tbl>
    <w:p w:rsidR="00D46B4D" w:rsidRPr="007608C2" w:rsidRDefault="00D46B4D" w:rsidP="00D46B4D">
      <w:pPr>
        <w:tabs>
          <w:tab w:val="left" w:pos="0"/>
        </w:tabs>
        <w:spacing w:line="240" w:lineRule="auto"/>
        <w:jc w:val="center"/>
        <w:rPr>
          <w:rFonts w:cs="Arial"/>
          <w:sz w:val="18"/>
        </w:rPr>
      </w:pPr>
      <w:r w:rsidRPr="00FF76CD">
        <w:rPr>
          <w:rFonts w:cs="Arial"/>
          <w:sz w:val="16"/>
          <w:szCs w:val="16"/>
        </w:rPr>
        <w:t>Fuente: Reporte MSYF Programación Vigente a 30 de noviembre de 2017- Dirección de Planeación y Control de Gestió</w:t>
      </w:r>
      <w:r w:rsidRPr="007608C2">
        <w:rPr>
          <w:rFonts w:cs="Arial"/>
          <w:sz w:val="18"/>
        </w:rPr>
        <w:t>n</w:t>
      </w:r>
    </w:p>
    <w:p w:rsidR="00D46B4D" w:rsidRPr="007608C2" w:rsidRDefault="00D46B4D" w:rsidP="00D46B4D">
      <w:pPr>
        <w:autoSpaceDE w:val="0"/>
        <w:autoSpaceDN w:val="0"/>
        <w:spacing w:after="0" w:line="240" w:lineRule="auto"/>
        <w:rPr>
          <w:rFonts w:eastAsia="Times New Roman" w:cs="Arial"/>
          <w:bCs/>
        </w:rPr>
      </w:pPr>
      <w:r w:rsidRPr="007608C2">
        <w:rPr>
          <w:rFonts w:cs="Arial"/>
          <w:bCs/>
        </w:rPr>
        <w:t> </w:t>
      </w:r>
      <w:r w:rsidRPr="007608C2">
        <w:rPr>
          <w:rFonts w:eastAsia="Times New Roman" w:cs="Arial"/>
          <w:bCs/>
        </w:rPr>
        <w:t>Es importante destacar:</w:t>
      </w:r>
    </w:p>
    <w:p w:rsidR="00D46B4D" w:rsidRPr="007608C2" w:rsidRDefault="00D46B4D" w:rsidP="00D46B4D">
      <w:pPr>
        <w:autoSpaceDE w:val="0"/>
        <w:autoSpaceDN w:val="0"/>
        <w:spacing w:after="0" w:line="240" w:lineRule="auto"/>
        <w:rPr>
          <w:rFonts w:eastAsia="Times New Roman" w:cs="Arial"/>
          <w:b/>
          <w:bCs/>
        </w:rPr>
      </w:pPr>
    </w:p>
    <w:p w:rsidR="00D46B4D" w:rsidRDefault="00D46B4D" w:rsidP="00A44A2B">
      <w:pPr>
        <w:numPr>
          <w:ilvl w:val="0"/>
          <w:numId w:val="90"/>
        </w:numPr>
        <w:spacing w:after="160" w:line="240" w:lineRule="auto"/>
        <w:contextualSpacing/>
        <w:jc w:val="both"/>
        <w:rPr>
          <w:rFonts w:cs="Arial"/>
        </w:rPr>
      </w:pPr>
      <w:r w:rsidRPr="007608C2">
        <w:rPr>
          <w:rFonts w:cs="Arial"/>
        </w:rPr>
        <w:t>Reconocimiento de factores de protección que ofrece el contexto y que hacen parte de las rutas a activar ante situaciones de crisis personal y familiar.</w:t>
      </w:r>
    </w:p>
    <w:p w:rsidR="009A490D" w:rsidRPr="007608C2" w:rsidRDefault="009A490D" w:rsidP="009A490D">
      <w:pPr>
        <w:spacing w:after="160" w:line="240" w:lineRule="auto"/>
        <w:ind w:left="360"/>
        <w:contextualSpacing/>
        <w:jc w:val="both"/>
        <w:rPr>
          <w:rFonts w:cs="Arial"/>
        </w:rPr>
      </w:pPr>
    </w:p>
    <w:p w:rsidR="00D46B4D" w:rsidRDefault="00D46B4D" w:rsidP="00A44A2B">
      <w:pPr>
        <w:numPr>
          <w:ilvl w:val="0"/>
          <w:numId w:val="90"/>
        </w:numPr>
        <w:spacing w:after="160" w:line="240" w:lineRule="auto"/>
        <w:contextualSpacing/>
        <w:jc w:val="both"/>
        <w:rPr>
          <w:rFonts w:cs="Arial"/>
        </w:rPr>
      </w:pPr>
      <w:r w:rsidRPr="007608C2">
        <w:rPr>
          <w:rFonts w:cs="Arial"/>
        </w:rPr>
        <w:t>Vinculación participativa y activa de cada uno de los diferentes grupos en las sesiones de formación, en donde se lograron exponer las experiencias e historias de vida que directamente influyen en los procesos de interacción diaria y que hacen parte de los aspectos a mejorar y/o modificar para generar procesos de cambio activos en donde se construyan entornos protectores.</w:t>
      </w:r>
    </w:p>
    <w:p w:rsidR="009A490D" w:rsidRPr="007608C2" w:rsidRDefault="009A490D" w:rsidP="009A490D">
      <w:pPr>
        <w:spacing w:after="160" w:line="240" w:lineRule="auto"/>
        <w:contextualSpacing/>
        <w:jc w:val="both"/>
        <w:rPr>
          <w:rFonts w:cs="Arial"/>
        </w:rPr>
      </w:pPr>
    </w:p>
    <w:p w:rsidR="00D46B4D" w:rsidRDefault="00D46B4D" w:rsidP="00A44A2B">
      <w:pPr>
        <w:numPr>
          <w:ilvl w:val="0"/>
          <w:numId w:val="90"/>
        </w:numPr>
        <w:spacing w:after="160" w:line="240" w:lineRule="auto"/>
        <w:contextualSpacing/>
        <w:jc w:val="both"/>
        <w:rPr>
          <w:rFonts w:cs="Arial"/>
        </w:rPr>
      </w:pPr>
      <w:r w:rsidRPr="007608C2">
        <w:rPr>
          <w:rFonts w:cs="Arial"/>
        </w:rPr>
        <w:t>Reconocimiento de la importancia de construir un espacio escolar sensible y abierto a identificar las historias de vida de quienes hacen parte de los procesos escolares y de las relaciones que se construyen en sus entornos, tanto familiares como sociales.</w:t>
      </w:r>
    </w:p>
    <w:p w:rsidR="009A490D" w:rsidRPr="007608C2" w:rsidRDefault="009A490D" w:rsidP="009A490D">
      <w:pPr>
        <w:spacing w:after="160" w:line="240" w:lineRule="auto"/>
        <w:contextualSpacing/>
        <w:jc w:val="both"/>
        <w:rPr>
          <w:rFonts w:cs="Arial"/>
        </w:rPr>
      </w:pPr>
    </w:p>
    <w:p w:rsidR="00D46B4D" w:rsidRDefault="00D46B4D" w:rsidP="00A44A2B">
      <w:pPr>
        <w:numPr>
          <w:ilvl w:val="0"/>
          <w:numId w:val="90"/>
        </w:numPr>
        <w:spacing w:after="160" w:line="240" w:lineRule="auto"/>
        <w:contextualSpacing/>
        <w:jc w:val="both"/>
        <w:rPr>
          <w:rFonts w:cs="Arial"/>
        </w:rPr>
      </w:pPr>
      <w:r w:rsidRPr="007608C2">
        <w:rPr>
          <w:rFonts w:cs="Arial"/>
        </w:rPr>
        <w:t>Identificación por parte de los participantes de la importancia de generar entornos protectores, garantes y afectivos para niños, niñas, adolescentes, padres, madres, cuidadores, docentes y agentes educativos; basados en el respeto, el auto reconocimiento y la tolerancia.</w:t>
      </w:r>
    </w:p>
    <w:p w:rsidR="009A490D" w:rsidRPr="007608C2" w:rsidRDefault="009A490D" w:rsidP="009A490D">
      <w:pPr>
        <w:spacing w:after="160" w:line="240" w:lineRule="auto"/>
        <w:contextualSpacing/>
        <w:jc w:val="both"/>
        <w:rPr>
          <w:rFonts w:cs="Arial"/>
        </w:rPr>
      </w:pPr>
    </w:p>
    <w:p w:rsidR="00D46B4D" w:rsidRPr="007608C2" w:rsidRDefault="00D46B4D" w:rsidP="00A44A2B">
      <w:pPr>
        <w:numPr>
          <w:ilvl w:val="0"/>
          <w:numId w:val="90"/>
        </w:numPr>
        <w:spacing w:line="240" w:lineRule="auto"/>
        <w:contextualSpacing/>
        <w:jc w:val="both"/>
        <w:rPr>
          <w:rFonts w:cs="Arial"/>
        </w:rPr>
      </w:pPr>
      <w:r w:rsidRPr="007608C2">
        <w:rPr>
          <w:rFonts w:cs="Arial"/>
        </w:rPr>
        <w:t>La Estrategia ha logrado impactar de manera positiva en las zonas de población wayúu, fortaleciendo la comunicación asertiva, generando conjuntamente a través del diálogo de saberes, replantear las prácticas usuales para disminuir las violencias, siendo la oralidad un ejercicio en el territorio.</w:t>
      </w:r>
    </w:p>
    <w:p w:rsidR="00D46B4D" w:rsidRPr="007608C2" w:rsidRDefault="00D46B4D" w:rsidP="00D46B4D">
      <w:pPr>
        <w:spacing w:line="240" w:lineRule="auto"/>
        <w:ind w:left="720"/>
        <w:contextualSpacing/>
        <w:jc w:val="both"/>
        <w:rPr>
          <w:rFonts w:cs="Arial"/>
        </w:rPr>
      </w:pPr>
    </w:p>
    <w:p w:rsidR="00D46B4D" w:rsidRPr="007608C2" w:rsidRDefault="00D46B4D" w:rsidP="00A44A2B">
      <w:pPr>
        <w:numPr>
          <w:ilvl w:val="0"/>
          <w:numId w:val="85"/>
        </w:numPr>
        <w:spacing w:before="100" w:beforeAutospacing="1" w:after="100" w:afterAutospacing="1" w:line="240" w:lineRule="auto"/>
        <w:jc w:val="both"/>
        <w:rPr>
          <w:rFonts w:cs="Arial"/>
          <w:b/>
          <w:u w:val="single"/>
          <w:lang w:val="es-ES_tradnl"/>
        </w:rPr>
      </w:pPr>
      <w:r w:rsidRPr="007608C2">
        <w:rPr>
          <w:rFonts w:cs="Arial"/>
          <w:b/>
          <w:u w:val="single"/>
          <w:lang w:val="es-ES_tradnl"/>
        </w:rPr>
        <w:t>Atención a Familias y Comunidades</w:t>
      </w:r>
    </w:p>
    <w:p w:rsidR="00D46B4D" w:rsidRPr="007608C2" w:rsidRDefault="00D46B4D" w:rsidP="00D46B4D">
      <w:pPr>
        <w:spacing w:before="100" w:beforeAutospacing="1" w:after="100" w:afterAutospacing="1" w:line="240" w:lineRule="auto"/>
        <w:jc w:val="both"/>
        <w:rPr>
          <w:rFonts w:eastAsia="Times New Roman" w:cs="Arial"/>
          <w:shd w:val="clear" w:color="auto" w:fill="FFFFFF"/>
          <w:lang w:val="es-ES_tradnl"/>
        </w:rPr>
      </w:pPr>
      <w:r w:rsidRPr="007608C2">
        <w:rPr>
          <w:rFonts w:cs="Arial"/>
          <w:b/>
        </w:rPr>
        <w:t xml:space="preserve">Modalidad Familias con Bienestar para la Paz: </w:t>
      </w:r>
      <w:r w:rsidRPr="007608C2">
        <w:rPr>
          <w:rFonts w:eastAsia="Times New Roman" w:cs="Arial"/>
          <w:shd w:val="clear" w:color="auto" w:fill="FFFFFF"/>
          <w:lang w:val="es-ES_tradnl"/>
        </w:rPr>
        <w:t>En el mes de diciembre concluye la atención del 100% de las familias programadas en la vigencia 2017 (1.080 familias), a continuación se detalla por municipio la atención del total de familias:</w:t>
      </w:r>
    </w:p>
    <w:p w:rsidR="00D46B4D" w:rsidRDefault="00D46B4D" w:rsidP="00D46B4D">
      <w:pPr>
        <w:spacing w:after="0" w:line="240" w:lineRule="auto"/>
        <w:jc w:val="center"/>
        <w:rPr>
          <w:rFonts w:eastAsia="Times New Roman" w:cs="Arial"/>
          <w:b/>
        </w:rPr>
      </w:pPr>
      <w:r w:rsidRPr="007608C2">
        <w:rPr>
          <w:rFonts w:eastAsia="Times New Roman" w:cs="Arial"/>
          <w:b/>
        </w:rPr>
        <w:t>Atención Familias con Bienestar para la Paz – La Guajira</w:t>
      </w:r>
    </w:p>
    <w:p w:rsidR="009A490D" w:rsidRPr="007608C2" w:rsidRDefault="009A490D" w:rsidP="00D46B4D">
      <w:pPr>
        <w:spacing w:after="0" w:line="240" w:lineRule="auto"/>
        <w:jc w:val="center"/>
        <w:rPr>
          <w:rFonts w:eastAsia="Times New Roman" w:cs="Arial"/>
          <w:b/>
        </w:rPr>
      </w:pP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0" w:type="dxa"/>
          <w:right w:w="0" w:type="dxa"/>
        </w:tblCellMar>
        <w:tblLook w:val="04A0" w:firstRow="1" w:lastRow="0" w:firstColumn="1" w:lastColumn="0" w:noHBand="0" w:noVBand="1"/>
      </w:tblPr>
      <w:tblGrid>
        <w:gridCol w:w="1751"/>
        <w:gridCol w:w="861"/>
      </w:tblGrid>
      <w:tr w:rsidR="00D46B4D" w:rsidRPr="009A490D" w:rsidTr="009A490D">
        <w:trPr>
          <w:trHeight w:val="170"/>
          <w:jc w:val="center"/>
        </w:trPr>
        <w:tc>
          <w:tcPr>
            <w:tcW w:w="0" w:type="auto"/>
            <w:shd w:val="clear" w:color="auto" w:fill="76923C"/>
            <w:noWrap/>
            <w:tcMar>
              <w:top w:w="15" w:type="dxa"/>
              <w:left w:w="70" w:type="dxa"/>
              <w:bottom w:w="15" w:type="dxa"/>
              <w:right w:w="70" w:type="dxa"/>
            </w:tcMar>
            <w:vAlign w:val="bottom"/>
            <w:hideMark/>
          </w:tcPr>
          <w:p w:rsidR="00D46B4D" w:rsidRPr="009A490D" w:rsidRDefault="009A490D" w:rsidP="00D46B4D">
            <w:pPr>
              <w:spacing w:after="0" w:line="240" w:lineRule="auto"/>
              <w:jc w:val="center"/>
              <w:rPr>
                <w:rFonts w:cs="Arial"/>
                <w:b/>
                <w:bCs/>
                <w:color w:val="FFFFFF" w:themeColor="background1"/>
                <w:sz w:val="18"/>
                <w:szCs w:val="18"/>
                <w:lang w:eastAsia="es-CO"/>
              </w:rPr>
            </w:pPr>
            <w:r w:rsidRPr="009A490D">
              <w:rPr>
                <w:rFonts w:cs="Arial"/>
                <w:b/>
                <w:bCs/>
                <w:color w:val="FFFFFF" w:themeColor="background1"/>
                <w:sz w:val="18"/>
                <w:szCs w:val="18"/>
                <w:lang w:eastAsia="es-CO"/>
              </w:rPr>
              <w:t>Municipio</w:t>
            </w:r>
          </w:p>
        </w:tc>
        <w:tc>
          <w:tcPr>
            <w:tcW w:w="0" w:type="auto"/>
            <w:shd w:val="clear" w:color="auto" w:fill="76923C"/>
            <w:noWrap/>
            <w:tcMar>
              <w:top w:w="15" w:type="dxa"/>
              <w:left w:w="70" w:type="dxa"/>
              <w:bottom w:w="15" w:type="dxa"/>
              <w:right w:w="70" w:type="dxa"/>
            </w:tcMar>
            <w:vAlign w:val="bottom"/>
            <w:hideMark/>
          </w:tcPr>
          <w:p w:rsidR="00D46B4D" w:rsidRPr="009A490D" w:rsidRDefault="009A490D" w:rsidP="00D46B4D">
            <w:pPr>
              <w:spacing w:after="0" w:line="240" w:lineRule="auto"/>
              <w:jc w:val="center"/>
              <w:rPr>
                <w:rFonts w:cs="Arial"/>
                <w:b/>
                <w:bCs/>
                <w:color w:val="FFFFFF" w:themeColor="background1"/>
                <w:sz w:val="18"/>
                <w:szCs w:val="18"/>
                <w:lang w:eastAsia="es-CO"/>
              </w:rPr>
            </w:pPr>
            <w:r w:rsidRPr="009A490D">
              <w:rPr>
                <w:rFonts w:cs="Arial"/>
                <w:b/>
                <w:bCs/>
                <w:color w:val="FFFFFF" w:themeColor="background1"/>
                <w:sz w:val="18"/>
                <w:szCs w:val="18"/>
                <w:lang w:eastAsia="es-CO"/>
              </w:rPr>
              <w:t>Familias</w:t>
            </w:r>
          </w:p>
        </w:tc>
      </w:tr>
      <w:tr w:rsidR="00D46B4D" w:rsidRPr="009A490D" w:rsidTr="009A490D">
        <w:trPr>
          <w:trHeight w:val="202"/>
          <w:jc w:val="center"/>
        </w:trPr>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rPr>
                <w:rFonts w:cs="Arial"/>
                <w:sz w:val="18"/>
                <w:szCs w:val="18"/>
                <w:lang w:eastAsia="es-CO"/>
              </w:rPr>
            </w:pPr>
            <w:r w:rsidRPr="009A490D">
              <w:rPr>
                <w:rFonts w:cs="Arial"/>
                <w:sz w:val="18"/>
                <w:szCs w:val="18"/>
                <w:lang w:eastAsia="es-CO"/>
              </w:rPr>
              <w:t>Riohacha</w:t>
            </w:r>
          </w:p>
        </w:tc>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jc w:val="center"/>
              <w:rPr>
                <w:rFonts w:cs="Arial"/>
                <w:sz w:val="18"/>
                <w:szCs w:val="18"/>
                <w:lang w:eastAsia="es-CO"/>
              </w:rPr>
            </w:pPr>
            <w:r w:rsidRPr="009A490D">
              <w:rPr>
                <w:rFonts w:cs="Arial"/>
                <w:sz w:val="18"/>
                <w:szCs w:val="18"/>
                <w:lang w:eastAsia="es-CO"/>
              </w:rPr>
              <w:t>130</w:t>
            </w:r>
          </w:p>
        </w:tc>
      </w:tr>
      <w:tr w:rsidR="00D46B4D" w:rsidRPr="009A490D" w:rsidTr="009A490D">
        <w:trPr>
          <w:trHeight w:val="79"/>
          <w:jc w:val="center"/>
        </w:trPr>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rPr>
                <w:rFonts w:cs="Arial"/>
                <w:sz w:val="18"/>
                <w:szCs w:val="18"/>
                <w:lang w:eastAsia="es-CO"/>
              </w:rPr>
            </w:pPr>
            <w:r w:rsidRPr="009A490D">
              <w:rPr>
                <w:rFonts w:cs="Arial"/>
                <w:sz w:val="18"/>
                <w:szCs w:val="18"/>
                <w:lang w:eastAsia="es-CO"/>
              </w:rPr>
              <w:t>Dibulla</w:t>
            </w:r>
          </w:p>
        </w:tc>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jc w:val="center"/>
              <w:rPr>
                <w:rFonts w:cs="Arial"/>
                <w:sz w:val="18"/>
                <w:szCs w:val="18"/>
                <w:lang w:eastAsia="es-CO"/>
              </w:rPr>
            </w:pPr>
            <w:r w:rsidRPr="009A490D">
              <w:rPr>
                <w:rFonts w:cs="Arial"/>
                <w:sz w:val="18"/>
                <w:szCs w:val="18"/>
                <w:lang w:eastAsia="es-CO"/>
              </w:rPr>
              <w:t>60</w:t>
            </w:r>
          </w:p>
        </w:tc>
      </w:tr>
      <w:tr w:rsidR="00D46B4D" w:rsidRPr="009A490D" w:rsidTr="009A490D">
        <w:trPr>
          <w:trHeight w:val="96"/>
          <w:jc w:val="center"/>
        </w:trPr>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rPr>
                <w:rFonts w:cs="Arial"/>
                <w:sz w:val="18"/>
                <w:szCs w:val="18"/>
                <w:lang w:eastAsia="es-CO"/>
              </w:rPr>
            </w:pPr>
            <w:r w:rsidRPr="009A490D">
              <w:rPr>
                <w:rFonts w:cs="Arial"/>
                <w:sz w:val="18"/>
                <w:szCs w:val="18"/>
                <w:lang w:eastAsia="es-CO"/>
              </w:rPr>
              <w:t>Barrancas</w:t>
            </w:r>
          </w:p>
        </w:tc>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jc w:val="center"/>
              <w:rPr>
                <w:rFonts w:cs="Arial"/>
                <w:sz w:val="18"/>
                <w:szCs w:val="18"/>
                <w:lang w:eastAsia="es-CO"/>
              </w:rPr>
            </w:pPr>
            <w:r w:rsidRPr="009A490D">
              <w:rPr>
                <w:rFonts w:cs="Arial"/>
                <w:sz w:val="18"/>
                <w:szCs w:val="18"/>
                <w:lang w:eastAsia="es-CO"/>
              </w:rPr>
              <w:t>70</w:t>
            </w:r>
          </w:p>
        </w:tc>
      </w:tr>
      <w:tr w:rsidR="00D46B4D" w:rsidRPr="009A490D" w:rsidTr="009A490D">
        <w:trPr>
          <w:trHeight w:val="115"/>
          <w:jc w:val="center"/>
        </w:trPr>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rPr>
                <w:rFonts w:cs="Arial"/>
                <w:sz w:val="18"/>
                <w:szCs w:val="18"/>
                <w:lang w:eastAsia="es-CO"/>
              </w:rPr>
            </w:pPr>
            <w:r w:rsidRPr="009A490D">
              <w:rPr>
                <w:rFonts w:cs="Arial"/>
                <w:sz w:val="18"/>
                <w:szCs w:val="18"/>
                <w:lang w:eastAsia="es-CO"/>
              </w:rPr>
              <w:t>Distracción</w:t>
            </w:r>
          </w:p>
        </w:tc>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jc w:val="center"/>
              <w:rPr>
                <w:rFonts w:cs="Arial"/>
                <w:sz w:val="18"/>
                <w:szCs w:val="18"/>
                <w:lang w:eastAsia="es-CO"/>
              </w:rPr>
            </w:pPr>
            <w:r w:rsidRPr="009A490D">
              <w:rPr>
                <w:rFonts w:cs="Arial"/>
                <w:sz w:val="18"/>
                <w:szCs w:val="18"/>
                <w:lang w:eastAsia="es-CO"/>
              </w:rPr>
              <w:t>60</w:t>
            </w:r>
          </w:p>
        </w:tc>
      </w:tr>
      <w:tr w:rsidR="00D46B4D" w:rsidRPr="009A490D" w:rsidTr="009A490D">
        <w:trPr>
          <w:trHeight w:val="132"/>
          <w:jc w:val="center"/>
        </w:trPr>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rPr>
                <w:rFonts w:cs="Arial"/>
                <w:sz w:val="18"/>
                <w:szCs w:val="18"/>
                <w:lang w:eastAsia="es-CO"/>
              </w:rPr>
            </w:pPr>
            <w:r w:rsidRPr="009A490D">
              <w:rPr>
                <w:rFonts w:cs="Arial"/>
                <w:sz w:val="18"/>
                <w:szCs w:val="18"/>
                <w:lang w:eastAsia="es-CO"/>
              </w:rPr>
              <w:t>El Molino</w:t>
            </w:r>
          </w:p>
        </w:tc>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jc w:val="center"/>
              <w:rPr>
                <w:rFonts w:cs="Arial"/>
                <w:sz w:val="18"/>
                <w:szCs w:val="18"/>
                <w:lang w:eastAsia="es-CO"/>
              </w:rPr>
            </w:pPr>
            <w:r w:rsidRPr="009A490D">
              <w:rPr>
                <w:rFonts w:cs="Arial"/>
                <w:sz w:val="18"/>
                <w:szCs w:val="18"/>
                <w:lang w:eastAsia="es-CO"/>
              </w:rPr>
              <w:t>60</w:t>
            </w:r>
          </w:p>
        </w:tc>
      </w:tr>
      <w:tr w:rsidR="00D46B4D" w:rsidRPr="009A490D" w:rsidTr="009A490D">
        <w:trPr>
          <w:trHeight w:val="150"/>
          <w:jc w:val="center"/>
        </w:trPr>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rPr>
                <w:rFonts w:cs="Arial"/>
                <w:sz w:val="18"/>
                <w:szCs w:val="18"/>
                <w:lang w:eastAsia="es-CO"/>
              </w:rPr>
            </w:pPr>
            <w:r w:rsidRPr="009A490D">
              <w:rPr>
                <w:rFonts w:cs="Arial"/>
                <w:sz w:val="18"/>
                <w:szCs w:val="18"/>
                <w:lang w:eastAsia="es-CO"/>
              </w:rPr>
              <w:t>Urumita</w:t>
            </w:r>
          </w:p>
        </w:tc>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jc w:val="center"/>
              <w:rPr>
                <w:rFonts w:cs="Arial"/>
                <w:sz w:val="18"/>
                <w:szCs w:val="18"/>
                <w:lang w:eastAsia="es-CO"/>
              </w:rPr>
            </w:pPr>
            <w:r w:rsidRPr="009A490D">
              <w:rPr>
                <w:rFonts w:cs="Arial"/>
                <w:sz w:val="18"/>
                <w:szCs w:val="18"/>
                <w:lang w:eastAsia="es-CO"/>
              </w:rPr>
              <w:t>70</w:t>
            </w:r>
          </w:p>
        </w:tc>
      </w:tr>
      <w:tr w:rsidR="00D46B4D" w:rsidRPr="009A490D" w:rsidTr="009A490D">
        <w:trPr>
          <w:trHeight w:val="46"/>
          <w:jc w:val="center"/>
        </w:trPr>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rPr>
                <w:rFonts w:cs="Arial"/>
                <w:sz w:val="18"/>
                <w:szCs w:val="18"/>
                <w:lang w:eastAsia="es-CO"/>
              </w:rPr>
            </w:pPr>
            <w:r w:rsidRPr="009A490D">
              <w:rPr>
                <w:rFonts w:cs="Arial"/>
                <w:sz w:val="18"/>
                <w:szCs w:val="18"/>
                <w:lang w:eastAsia="es-CO"/>
              </w:rPr>
              <w:lastRenderedPageBreak/>
              <w:t>Villanueva</w:t>
            </w:r>
          </w:p>
        </w:tc>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jc w:val="center"/>
              <w:rPr>
                <w:rFonts w:cs="Arial"/>
                <w:sz w:val="18"/>
                <w:szCs w:val="18"/>
                <w:lang w:eastAsia="es-CO"/>
              </w:rPr>
            </w:pPr>
            <w:r w:rsidRPr="009A490D">
              <w:rPr>
                <w:rFonts w:cs="Arial"/>
                <w:sz w:val="18"/>
                <w:szCs w:val="18"/>
                <w:lang w:eastAsia="es-CO"/>
              </w:rPr>
              <w:t>70</w:t>
            </w:r>
          </w:p>
        </w:tc>
      </w:tr>
      <w:tr w:rsidR="00D46B4D" w:rsidRPr="009A490D" w:rsidTr="009A490D">
        <w:trPr>
          <w:trHeight w:val="46"/>
          <w:jc w:val="center"/>
        </w:trPr>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rPr>
                <w:rFonts w:cs="Arial"/>
                <w:sz w:val="18"/>
                <w:szCs w:val="18"/>
                <w:lang w:eastAsia="es-CO"/>
              </w:rPr>
            </w:pPr>
            <w:r w:rsidRPr="009A490D">
              <w:rPr>
                <w:rFonts w:cs="Arial"/>
                <w:sz w:val="18"/>
                <w:szCs w:val="18"/>
                <w:lang w:eastAsia="es-CO"/>
              </w:rPr>
              <w:t>Fonseca</w:t>
            </w:r>
          </w:p>
        </w:tc>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jc w:val="center"/>
              <w:rPr>
                <w:rFonts w:cs="Arial"/>
                <w:sz w:val="18"/>
                <w:szCs w:val="18"/>
                <w:lang w:eastAsia="es-CO"/>
              </w:rPr>
            </w:pPr>
            <w:r w:rsidRPr="009A490D">
              <w:rPr>
                <w:rFonts w:cs="Arial"/>
                <w:sz w:val="18"/>
                <w:szCs w:val="18"/>
                <w:lang w:eastAsia="es-CO"/>
              </w:rPr>
              <w:t>70</w:t>
            </w:r>
          </w:p>
        </w:tc>
      </w:tr>
      <w:tr w:rsidR="00D46B4D" w:rsidRPr="009A490D" w:rsidTr="009A490D">
        <w:trPr>
          <w:trHeight w:val="63"/>
          <w:jc w:val="center"/>
        </w:trPr>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rPr>
                <w:rFonts w:cs="Arial"/>
                <w:sz w:val="18"/>
                <w:szCs w:val="18"/>
                <w:lang w:eastAsia="es-CO"/>
              </w:rPr>
            </w:pPr>
            <w:r w:rsidRPr="009A490D">
              <w:rPr>
                <w:rFonts w:cs="Arial"/>
                <w:sz w:val="18"/>
                <w:szCs w:val="18"/>
                <w:lang w:eastAsia="es-CO"/>
              </w:rPr>
              <w:t>Hatonuevo</w:t>
            </w:r>
          </w:p>
        </w:tc>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jc w:val="center"/>
              <w:rPr>
                <w:rFonts w:cs="Arial"/>
                <w:sz w:val="18"/>
                <w:szCs w:val="18"/>
                <w:lang w:eastAsia="es-CO"/>
              </w:rPr>
            </w:pPr>
            <w:r w:rsidRPr="009A490D">
              <w:rPr>
                <w:rFonts w:cs="Arial"/>
                <w:sz w:val="18"/>
                <w:szCs w:val="18"/>
                <w:lang w:eastAsia="es-CO"/>
              </w:rPr>
              <w:t>60</w:t>
            </w:r>
          </w:p>
        </w:tc>
      </w:tr>
      <w:tr w:rsidR="00D46B4D" w:rsidRPr="009A490D" w:rsidTr="009A490D">
        <w:trPr>
          <w:trHeight w:val="80"/>
          <w:jc w:val="center"/>
        </w:trPr>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rPr>
                <w:rFonts w:cs="Arial"/>
                <w:sz w:val="18"/>
                <w:szCs w:val="18"/>
                <w:lang w:eastAsia="es-CO"/>
              </w:rPr>
            </w:pPr>
            <w:r w:rsidRPr="009A490D">
              <w:rPr>
                <w:rFonts w:cs="Arial"/>
                <w:sz w:val="18"/>
                <w:szCs w:val="18"/>
                <w:lang w:eastAsia="es-CO"/>
              </w:rPr>
              <w:t>La Jagua Del Pilar</w:t>
            </w:r>
          </w:p>
        </w:tc>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jc w:val="center"/>
              <w:rPr>
                <w:rFonts w:cs="Arial"/>
                <w:sz w:val="18"/>
                <w:szCs w:val="18"/>
                <w:lang w:eastAsia="es-CO"/>
              </w:rPr>
            </w:pPr>
            <w:r w:rsidRPr="009A490D">
              <w:rPr>
                <w:rFonts w:cs="Arial"/>
                <w:sz w:val="18"/>
                <w:szCs w:val="18"/>
                <w:lang w:eastAsia="es-CO"/>
              </w:rPr>
              <w:t>60</w:t>
            </w:r>
          </w:p>
        </w:tc>
      </w:tr>
      <w:tr w:rsidR="00D46B4D" w:rsidRPr="009A490D" w:rsidTr="009A490D">
        <w:trPr>
          <w:trHeight w:val="99"/>
          <w:jc w:val="center"/>
        </w:trPr>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rPr>
                <w:rFonts w:cs="Arial"/>
                <w:sz w:val="18"/>
                <w:szCs w:val="18"/>
                <w:lang w:eastAsia="es-CO"/>
              </w:rPr>
            </w:pPr>
            <w:r w:rsidRPr="009A490D">
              <w:rPr>
                <w:rFonts w:cs="Arial"/>
                <w:sz w:val="18"/>
                <w:szCs w:val="18"/>
                <w:lang w:eastAsia="es-CO"/>
              </w:rPr>
              <w:t>San Juan Del Cesar</w:t>
            </w:r>
          </w:p>
        </w:tc>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jc w:val="center"/>
              <w:rPr>
                <w:rFonts w:cs="Arial"/>
                <w:sz w:val="18"/>
                <w:szCs w:val="18"/>
                <w:lang w:eastAsia="es-CO"/>
              </w:rPr>
            </w:pPr>
            <w:r w:rsidRPr="009A490D">
              <w:rPr>
                <w:rFonts w:cs="Arial"/>
                <w:sz w:val="18"/>
                <w:szCs w:val="18"/>
                <w:lang w:eastAsia="es-CO"/>
              </w:rPr>
              <w:t>70</w:t>
            </w:r>
          </w:p>
        </w:tc>
      </w:tr>
      <w:tr w:rsidR="00D46B4D" w:rsidRPr="009A490D" w:rsidTr="009A490D">
        <w:trPr>
          <w:trHeight w:val="116"/>
          <w:jc w:val="center"/>
        </w:trPr>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rPr>
                <w:rFonts w:cs="Arial"/>
                <w:sz w:val="18"/>
                <w:szCs w:val="18"/>
                <w:lang w:eastAsia="es-CO"/>
              </w:rPr>
            </w:pPr>
            <w:r w:rsidRPr="009A490D">
              <w:rPr>
                <w:rFonts w:cs="Arial"/>
                <w:sz w:val="18"/>
                <w:szCs w:val="18"/>
                <w:lang w:eastAsia="es-CO"/>
              </w:rPr>
              <w:t>Uribia</w:t>
            </w:r>
          </w:p>
        </w:tc>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jc w:val="center"/>
              <w:rPr>
                <w:rFonts w:cs="Arial"/>
                <w:sz w:val="18"/>
                <w:szCs w:val="18"/>
                <w:lang w:eastAsia="es-CO"/>
              </w:rPr>
            </w:pPr>
            <w:r w:rsidRPr="009A490D">
              <w:rPr>
                <w:rFonts w:cs="Arial"/>
                <w:sz w:val="18"/>
                <w:szCs w:val="18"/>
                <w:lang w:eastAsia="es-CO"/>
              </w:rPr>
              <w:t>60</w:t>
            </w:r>
          </w:p>
        </w:tc>
      </w:tr>
      <w:tr w:rsidR="00D46B4D" w:rsidRPr="009A490D" w:rsidTr="009A490D">
        <w:trPr>
          <w:trHeight w:val="135"/>
          <w:jc w:val="center"/>
        </w:trPr>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rPr>
                <w:rFonts w:cs="Arial"/>
                <w:sz w:val="18"/>
                <w:szCs w:val="18"/>
                <w:lang w:eastAsia="es-CO"/>
              </w:rPr>
            </w:pPr>
            <w:r w:rsidRPr="009A490D">
              <w:rPr>
                <w:rFonts w:cs="Arial"/>
                <w:sz w:val="18"/>
                <w:szCs w:val="18"/>
                <w:lang w:eastAsia="es-CO"/>
              </w:rPr>
              <w:t>Manaure</w:t>
            </w:r>
          </w:p>
        </w:tc>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jc w:val="center"/>
              <w:rPr>
                <w:rFonts w:cs="Arial"/>
                <w:sz w:val="18"/>
                <w:szCs w:val="18"/>
                <w:lang w:eastAsia="es-CO"/>
              </w:rPr>
            </w:pPr>
            <w:r w:rsidRPr="009A490D">
              <w:rPr>
                <w:rFonts w:cs="Arial"/>
                <w:sz w:val="18"/>
                <w:szCs w:val="18"/>
                <w:lang w:eastAsia="es-CO"/>
              </w:rPr>
              <w:t>60</w:t>
            </w:r>
          </w:p>
        </w:tc>
      </w:tr>
      <w:tr w:rsidR="00D46B4D" w:rsidRPr="009A490D" w:rsidTr="009A490D">
        <w:trPr>
          <w:trHeight w:val="152"/>
          <w:jc w:val="center"/>
        </w:trPr>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rPr>
                <w:rFonts w:cs="Arial"/>
                <w:sz w:val="18"/>
                <w:szCs w:val="18"/>
                <w:lang w:eastAsia="es-CO"/>
              </w:rPr>
            </w:pPr>
            <w:r w:rsidRPr="009A490D">
              <w:rPr>
                <w:rFonts w:cs="Arial"/>
                <w:sz w:val="18"/>
                <w:szCs w:val="18"/>
                <w:lang w:eastAsia="es-CO"/>
              </w:rPr>
              <w:t>Albania</w:t>
            </w:r>
          </w:p>
        </w:tc>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jc w:val="center"/>
              <w:rPr>
                <w:rFonts w:cs="Arial"/>
                <w:sz w:val="18"/>
                <w:szCs w:val="18"/>
                <w:lang w:eastAsia="es-CO"/>
              </w:rPr>
            </w:pPr>
            <w:r w:rsidRPr="009A490D">
              <w:rPr>
                <w:rFonts w:cs="Arial"/>
                <w:sz w:val="18"/>
                <w:szCs w:val="18"/>
                <w:lang w:eastAsia="es-CO"/>
              </w:rPr>
              <w:t>60</w:t>
            </w:r>
          </w:p>
        </w:tc>
      </w:tr>
      <w:tr w:rsidR="00D46B4D" w:rsidRPr="009A490D" w:rsidTr="009A490D">
        <w:trPr>
          <w:trHeight w:val="171"/>
          <w:jc w:val="center"/>
        </w:trPr>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rPr>
                <w:rFonts w:cs="Arial"/>
                <w:sz w:val="18"/>
                <w:szCs w:val="18"/>
                <w:lang w:eastAsia="es-CO"/>
              </w:rPr>
            </w:pPr>
            <w:r w:rsidRPr="009A490D">
              <w:rPr>
                <w:rFonts w:cs="Arial"/>
                <w:sz w:val="18"/>
                <w:szCs w:val="18"/>
                <w:lang w:eastAsia="es-CO"/>
              </w:rPr>
              <w:t>Maicao</w:t>
            </w:r>
          </w:p>
        </w:tc>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jc w:val="center"/>
              <w:rPr>
                <w:rFonts w:cs="Arial"/>
                <w:sz w:val="18"/>
                <w:szCs w:val="18"/>
                <w:lang w:eastAsia="es-CO"/>
              </w:rPr>
            </w:pPr>
            <w:r w:rsidRPr="009A490D">
              <w:rPr>
                <w:rFonts w:cs="Arial"/>
                <w:sz w:val="18"/>
                <w:szCs w:val="18"/>
                <w:lang w:eastAsia="es-CO"/>
              </w:rPr>
              <w:t>120</w:t>
            </w:r>
          </w:p>
        </w:tc>
      </w:tr>
      <w:tr w:rsidR="00D46B4D" w:rsidRPr="009A490D" w:rsidTr="009A490D">
        <w:trPr>
          <w:trHeight w:val="188"/>
          <w:jc w:val="center"/>
        </w:trPr>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rPr>
                <w:rFonts w:cs="Arial"/>
                <w:b/>
                <w:bCs/>
                <w:sz w:val="18"/>
                <w:szCs w:val="18"/>
                <w:lang w:eastAsia="es-CO"/>
              </w:rPr>
            </w:pPr>
            <w:r w:rsidRPr="009A490D">
              <w:rPr>
                <w:rFonts w:cs="Arial"/>
                <w:b/>
                <w:bCs/>
                <w:sz w:val="18"/>
                <w:szCs w:val="18"/>
                <w:lang w:eastAsia="es-CO"/>
              </w:rPr>
              <w:t>Total</w:t>
            </w:r>
          </w:p>
        </w:tc>
        <w:tc>
          <w:tcPr>
            <w:tcW w:w="0" w:type="auto"/>
            <w:noWrap/>
            <w:tcMar>
              <w:top w:w="15" w:type="dxa"/>
              <w:left w:w="70" w:type="dxa"/>
              <w:bottom w:w="15" w:type="dxa"/>
              <w:right w:w="70" w:type="dxa"/>
            </w:tcMar>
            <w:vAlign w:val="bottom"/>
            <w:hideMark/>
          </w:tcPr>
          <w:p w:rsidR="00D46B4D" w:rsidRPr="009A490D" w:rsidRDefault="009A490D" w:rsidP="00D46B4D">
            <w:pPr>
              <w:spacing w:after="0" w:line="240" w:lineRule="auto"/>
              <w:jc w:val="center"/>
              <w:rPr>
                <w:rFonts w:cs="Arial"/>
                <w:b/>
                <w:bCs/>
                <w:sz w:val="18"/>
                <w:szCs w:val="18"/>
                <w:lang w:eastAsia="es-CO"/>
              </w:rPr>
            </w:pPr>
            <w:r w:rsidRPr="009A490D">
              <w:rPr>
                <w:rFonts w:cs="Arial"/>
                <w:b/>
                <w:bCs/>
                <w:sz w:val="18"/>
                <w:szCs w:val="18"/>
                <w:lang w:eastAsia="es-CO"/>
              </w:rPr>
              <w:t>1.080</w:t>
            </w:r>
          </w:p>
        </w:tc>
      </w:tr>
    </w:tbl>
    <w:p w:rsidR="00D46B4D" w:rsidRPr="00801DEF" w:rsidRDefault="00D46B4D" w:rsidP="00D46B4D">
      <w:pPr>
        <w:spacing w:after="0" w:line="240" w:lineRule="auto"/>
        <w:jc w:val="center"/>
        <w:rPr>
          <w:rFonts w:eastAsia="Times New Roman" w:cs="Arial"/>
          <w:sz w:val="16"/>
          <w:szCs w:val="16"/>
          <w:lang w:eastAsia="es-ES"/>
        </w:rPr>
      </w:pPr>
      <w:r w:rsidRPr="00801DEF">
        <w:rPr>
          <w:rFonts w:eastAsia="Times New Roman" w:cs="Arial"/>
          <w:sz w:val="16"/>
          <w:szCs w:val="16"/>
          <w:lang w:eastAsia="es-ES"/>
        </w:rPr>
        <w:t>Fuente: Equipo de monitoreo y seguimiento Dirección de Familia y Comunidades</w:t>
      </w:r>
    </w:p>
    <w:p w:rsidR="00D46B4D" w:rsidRPr="007608C2" w:rsidRDefault="00D46B4D" w:rsidP="00D46B4D">
      <w:pPr>
        <w:spacing w:after="0" w:line="240" w:lineRule="auto"/>
        <w:jc w:val="both"/>
        <w:rPr>
          <w:rFonts w:eastAsia="Times New Roman" w:cs="Arial"/>
          <w:shd w:val="clear" w:color="auto" w:fill="FFFFFF"/>
          <w:lang w:val="es-ES_tradnl"/>
        </w:rPr>
      </w:pPr>
    </w:p>
    <w:p w:rsidR="00D46B4D" w:rsidRPr="007608C2" w:rsidRDefault="00D46B4D" w:rsidP="00D46B4D">
      <w:pPr>
        <w:spacing w:after="0" w:line="240" w:lineRule="auto"/>
        <w:jc w:val="both"/>
        <w:rPr>
          <w:rFonts w:eastAsia="Times New Roman" w:cs="Arial"/>
          <w:shd w:val="clear" w:color="auto" w:fill="FFFFFF"/>
          <w:lang w:val="es-ES_tradnl"/>
        </w:rPr>
      </w:pPr>
      <w:r w:rsidRPr="007608C2">
        <w:rPr>
          <w:rFonts w:eastAsia="Times New Roman" w:cs="Arial"/>
          <w:shd w:val="clear" w:color="auto" w:fill="FFFFFF"/>
          <w:lang w:val="es-ES_tradnl"/>
        </w:rPr>
        <w:t>Respecto al Banco de Oferentes de Familias con Bienestar para la paz durante el mes de diciembre se realiza la publicación definitiva con un resultado de 6 oferentes habilitados para la regional de la Guajira; actualmente se trabaja en el proceso de contratación con el operador Universidad del Magdalena.</w:t>
      </w:r>
    </w:p>
    <w:p w:rsidR="00D46B4D" w:rsidRPr="007608C2" w:rsidRDefault="00D46B4D" w:rsidP="00D46B4D">
      <w:pPr>
        <w:spacing w:before="100" w:beforeAutospacing="1" w:after="100" w:afterAutospacing="1" w:line="240" w:lineRule="auto"/>
        <w:jc w:val="both"/>
        <w:rPr>
          <w:rFonts w:cs="Arial"/>
        </w:rPr>
      </w:pPr>
      <w:r w:rsidRPr="007608C2">
        <w:rPr>
          <w:rFonts w:cs="Arial"/>
          <w:b/>
        </w:rPr>
        <w:t xml:space="preserve">Modalidad Territorios Étnicos con Bienestar – TEB: </w:t>
      </w:r>
      <w:r w:rsidRPr="007608C2">
        <w:rPr>
          <w:rFonts w:cs="Arial"/>
        </w:rPr>
        <w:t xml:space="preserve">En el mes de diciembre se realizan las actividades de cierre en el marco de la ejecución de 16 proyectos con una cobertura de 3448 familias así: </w:t>
      </w:r>
    </w:p>
    <w:p w:rsidR="00D46B4D" w:rsidRDefault="00D46B4D" w:rsidP="00D46B4D">
      <w:pPr>
        <w:spacing w:after="0" w:line="240" w:lineRule="auto"/>
        <w:jc w:val="center"/>
        <w:rPr>
          <w:rFonts w:cs="Arial"/>
          <w:b/>
        </w:rPr>
      </w:pPr>
      <w:r w:rsidRPr="007608C2">
        <w:rPr>
          <w:rFonts w:cs="Arial"/>
          <w:b/>
        </w:rPr>
        <w:t xml:space="preserve">Atención modalidad Territorios Étnicos con Bienestar </w:t>
      </w:r>
      <w:r w:rsidR="00801DEF">
        <w:rPr>
          <w:rFonts w:cs="Arial"/>
          <w:b/>
        </w:rPr>
        <w:t>–</w:t>
      </w:r>
      <w:r w:rsidRPr="007608C2">
        <w:rPr>
          <w:rFonts w:cs="Arial"/>
          <w:b/>
        </w:rPr>
        <w:t xml:space="preserve"> TEB</w:t>
      </w:r>
    </w:p>
    <w:p w:rsidR="00801DEF" w:rsidRPr="007608C2" w:rsidRDefault="00801DEF" w:rsidP="00D46B4D">
      <w:pPr>
        <w:spacing w:after="0" w:line="240" w:lineRule="auto"/>
        <w:jc w:val="center"/>
        <w:rPr>
          <w:rFonts w:cs="Arial"/>
          <w:b/>
        </w:rPr>
      </w:pP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3468"/>
        <w:gridCol w:w="1237"/>
        <w:gridCol w:w="937"/>
      </w:tblGrid>
      <w:tr w:rsidR="00D46B4D" w:rsidRPr="00801DEF" w:rsidTr="007B12FA">
        <w:trPr>
          <w:tblHeader/>
          <w:jc w:val="center"/>
        </w:trPr>
        <w:tc>
          <w:tcPr>
            <w:tcW w:w="0" w:type="auto"/>
            <w:shd w:val="clear" w:color="auto" w:fill="76923C"/>
          </w:tcPr>
          <w:p w:rsidR="00D46B4D" w:rsidRPr="00801DEF" w:rsidRDefault="00801DEF" w:rsidP="00D46B4D">
            <w:pPr>
              <w:spacing w:after="0" w:line="240" w:lineRule="auto"/>
              <w:jc w:val="center"/>
              <w:rPr>
                <w:rFonts w:cs="Arial"/>
                <w:b/>
                <w:bCs/>
                <w:color w:val="FFFFFF" w:themeColor="background1"/>
                <w:sz w:val="18"/>
                <w:szCs w:val="18"/>
                <w:lang w:eastAsia="es-CO"/>
              </w:rPr>
            </w:pPr>
            <w:r w:rsidRPr="00801DEF">
              <w:rPr>
                <w:rFonts w:cs="Arial"/>
                <w:b/>
                <w:bCs/>
                <w:color w:val="FFFFFF" w:themeColor="background1"/>
                <w:sz w:val="18"/>
                <w:szCs w:val="18"/>
                <w:lang w:eastAsia="es-CO"/>
              </w:rPr>
              <w:t>Municipio</w:t>
            </w:r>
          </w:p>
        </w:tc>
        <w:tc>
          <w:tcPr>
            <w:tcW w:w="0" w:type="auto"/>
            <w:shd w:val="clear" w:color="auto" w:fill="76923C"/>
          </w:tcPr>
          <w:p w:rsidR="00D46B4D" w:rsidRPr="00801DEF" w:rsidRDefault="00801DEF" w:rsidP="00D46B4D">
            <w:pPr>
              <w:spacing w:after="0" w:line="240" w:lineRule="auto"/>
              <w:jc w:val="center"/>
              <w:rPr>
                <w:rFonts w:cs="Arial"/>
                <w:b/>
                <w:bCs/>
                <w:color w:val="FFFFFF" w:themeColor="background1"/>
                <w:sz w:val="18"/>
                <w:szCs w:val="18"/>
                <w:lang w:eastAsia="es-CO"/>
              </w:rPr>
            </w:pPr>
            <w:r w:rsidRPr="00801DEF">
              <w:rPr>
                <w:rFonts w:cs="Arial"/>
                <w:b/>
                <w:bCs/>
                <w:color w:val="FFFFFF" w:themeColor="background1"/>
                <w:sz w:val="18"/>
                <w:szCs w:val="18"/>
                <w:lang w:eastAsia="es-CO"/>
              </w:rPr>
              <w:t># Proyectos</w:t>
            </w:r>
          </w:p>
        </w:tc>
        <w:tc>
          <w:tcPr>
            <w:tcW w:w="0" w:type="auto"/>
            <w:shd w:val="clear" w:color="auto" w:fill="76923C"/>
          </w:tcPr>
          <w:p w:rsidR="00D46B4D" w:rsidRPr="00801DEF" w:rsidRDefault="00801DEF" w:rsidP="00D46B4D">
            <w:pPr>
              <w:spacing w:after="0" w:line="240" w:lineRule="auto"/>
              <w:jc w:val="center"/>
              <w:rPr>
                <w:rFonts w:cs="Arial"/>
                <w:b/>
                <w:bCs/>
                <w:color w:val="FFFFFF" w:themeColor="background1"/>
                <w:sz w:val="18"/>
                <w:szCs w:val="18"/>
                <w:lang w:eastAsia="es-CO"/>
              </w:rPr>
            </w:pPr>
            <w:r w:rsidRPr="00801DEF">
              <w:rPr>
                <w:rFonts w:cs="Arial"/>
                <w:b/>
                <w:bCs/>
                <w:color w:val="FFFFFF" w:themeColor="background1"/>
                <w:sz w:val="18"/>
                <w:szCs w:val="18"/>
                <w:lang w:eastAsia="es-CO"/>
              </w:rPr>
              <w:t>Familias</w:t>
            </w:r>
          </w:p>
        </w:tc>
      </w:tr>
      <w:tr w:rsidR="00D46B4D" w:rsidRPr="00801DEF" w:rsidTr="007B12FA">
        <w:trPr>
          <w:jc w:val="center"/>
        </w:trPr>
        <w:tc>
          <w:tcPr>
            <w:tcW w:w="0" w:type="auto"/>
          </w:tcPr>
          <w:p w:rsidR="00D46B4D" w:rsidRPr="00801DEF" w:rsidRDefault="00D46B4D" w:rsidP="00D46B4D">
            <w:pPr>
              <w:autoSpaceDE w:val="0"/>
              <w:autoSpaceDN w:val="0"/>
              <w:adjustRightInd w:val="0"/>
              <w:spacing w:after="0" w:line="240" w:lineRule="auto"/>
              <w:jc w:val="both"/>
              <w:rPr>
                <w:rFonts w:cs="Arial"/>
                <w:sz w:val="18"/>
                <w:szCs w:val="18"/>
                <w:lang w:val="es-CO" w:eastAsia="es-CO"/>
              </w:rPr>
            </w:pPr>
            <w:r w:rsidRPr="00801DEF">
              <w:rPr>
                <w:rFonts w:cs="Arial"/>
                <w:sz w:val="18"/>
                <w:szCs w:val="18"/>
                <w:lang w:val="es-CO" w:eastAsia="es-CO"/>
              </w:rPr>
              <w:t>Albania</w:t>
            </w:r>
          </w:p>
        </w:tc>
        <w:tc>
          <w:tcPr>
            <w:tcW w:w="0" w:type="auto"/>
          </w:tcPr>
          <w:p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2</w:t>
            </w:r>
          </w:p>
        </w:tc>
        <w:tc>
          <w:tcPr>
            <w:tcW w:w="0" w:type="auto"/>
          </w:tcPr>
          <w:p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300</w:t>
            </w:r>
          </w:p>
        </w:tc>
      </w:tr>
      <w:tr w:rsidR="00D46B4D" w:rsidRPr="00801DEF" w:rsidTr="007B12FA">
        <w:trPr>
          <w:jc w:val="center"/>
        </w:trPr>
        <w:tc>
          <w:tcPr>
            <w:tcW w:w="0" w:type="auto"/>
          </w:tcPr>
          <w:p w:rsidR="00D46B4D" w:rsidRPr="00801DEF" w:rsidRDefault="00D46B4D" w:rsidP="00D46B4D">
            <w:pPr>
              <w:autoSpaceDE w:val="0"/>
              <w:autoSpaceDN w:val="0"/>
              <w:adjustRightInd w:val="0"/>
              <w:spacing w:after="0" w:line="240" w:lineRule="auto"/>
              <w:jc w:val="both"/>
              <w:rPr>
                <w:rFonts w:cs="Arial"/>
                <w:sz w:val="18"/>
                <w:szCs w:val="18"/>
                <w:lang w:val="es-CO" w:eastAsia="es-CO"/>
              </w:rPr>
            </w:pPr>
            <w:r w:rsidRPr="00801DEF">
              <w:rPr>
                <w:rFonts w:cs="Arial"/>
                <w:sz w:val="18"/>
                <w:szCs w:val="18"/>
                <w:lang w:val="es-CO" w:eastAsia="es-CO"/>
              </w:rPr>
              <w:t>Albania – Manaure – Uribia - Riohacha</w:t>
            </w:r>
          </w:p>
        </w:tc>
        <w:tc>
          <w:tcPr>
            <w:tcW w:w="0" w:type="auto"/>
          </w:tcPr>
          <w:p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1</w:t>
            </w:r>
          </w:p>
        </w:tc>
        <w:tc>
          <w:tcPr>
            <w:tcW w:w="0" w:type="auto"/>
          </w:tcPr>
          <w:p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1.583</w:t>
            </w:r>
          </w:p>
        </w:tc>
      </w:tr>
      <w:tr w:rsidR="00D46B4D" w:rsidRPr="00801DEF" w:rsidTr="007B12FA">
        <w:trPr>
          <w:jc w:val="center"/>
        </w:trPr>
        <w:tc>
          <w:tcPr>
            <w:tcW w:w="0" w:type="auto"/>
          </w:tcPr>
          <w:p w:rsidR="00D46B4D" w:rsidRPr="00801DEF" w:rsidRDefault="00D46B4D" w:rsidP="00D46B4D">
            <w:pPr>
              <w:autoSpaceDE w:val="0"/>
              <w:autoSpaceDN w:val="0"/>
              <w:adjustRightInd w:val="0"/>
              <w:spacing w:after="0" w:line="240" w:lineRule="auto"/>
              <w:jc w:val="both"/>
              <w:rPr>
                <w:rFonts w:cs="Arial"/>
                <w:sz w:val="18"/>
                <w:szCs w:val="18"/>
                <w:lang w:val="es-CO" w:eastAsia="es-CO"/>
              </w:rPr>
            </w:pPr>
            <w:r w:rsidRPr="00801DEF">
              <w:rPr>
                <w:rFonts w:cs="Arial"/>
                <w:sz w:val="18"/>
                <w:szCs w:val="18"/>
                <w:lang w:val="es-CO" w:eastAsia="es-CO"/>
              </w:rPr>
              <w:t>Barranca Hatonuevo</w:t>
            </w:r>
          </w:p>
        </w:tc>
        <w:tc>
          <w:tcPr>
            <w:tcW w:w="0" w:type="auto"/>
          </w:tcPr>
          <w:p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1</w:t>
            </w:r>
          </w:p>
        </w:tc>
        <w:tc>
          <w:tcPr>
            <w:tcW w:w="0" w:type="auto"/>
          </w:tcPr>
          <w:p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150</w:t>
            </w:r>
          </w:p>
        </w:tc>
      </w:tr>
      <w:tr w:rsidR="00D46B4D" w:rsidRPr="00801DEF" w:rsidTr="007B12FA">
        <w:trPr>
          <w:jc w:val="center"/>
        </w:trPr>
        <w:tc>
          <w:tcPr>
            <w:tcW w:w="0" w:type="auto"/>
          </w:tcPr>
          <w:p w:rsidR="00D46B4D" w:rsidRPr="00801DEF" w:rsidRDefault="00D46B4D" w:rsidP="00D46B4D">
            <w:pPr>
              <w:autoSpaceDE w:val="0"/>
              <w:autoSpaceDN w:val="0"/>
              <w:adjustRightInd w:val="0"/>
              <w:spacing w:after="0" w:line="240" w:lineRule="auto"/>
              <w:jc w:val="both"/>
              <w:rPr>
                <w:rFonts w:cs="Arial"/>
                <w:sz w:val="18"/>
                <w:szCs w:val="18"/>
                <w:lang w:val="es-CO" w:eastAsia="es-CO"/>
              </w:rPr>
            </w:pPr>
            <w:r w:rsidRPr="00801DEF">
              <w:rPr>
                <w:rFonts w:cs="Arial"/>
                <w:sz w:val="18"/>
                <w:szCs w:val="18"/>
                <w:lang w:val="es-CO" w:eastAsia="es-CO"/>
              </w:rPr>
              <w:t>Maicao</w:t>
            </w:r>
          </w:p>
        </w:tc>
        <w:tc>
          <w:tcPr>
            <w:tcW w:w="0" w:type="auto"/>
          </w:tcPr>
          <w:p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1</w:t>
            </w:r>
          </w:p>
        </w:tc>
        <w:tc>
          <w:tcPr>
            <w:tcW w:w="0" w:type="auto"/>
          </w:tcPr>
          <w:p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75</w:t>
            </w:r>
          </w:p>
        </w:tc>
      </w:tr>
      <w:tr w:rsidR="00D46B4D" w:rsidRPr="00801DEF" w:rsidTr="007B12FA">
        <w:trPr>
          <w:jc w:val="center"/>
        </w:trPr>
        <w:tc>
          <w:tcPr>
            <w:tcW w:w="0" w:type="auto"/>
          </w:tcPr>
          <w:p w:rsidR="00D46B4D" w:rsidRPr="00801DEF" w:rsidRDefault="00D46B4D" w:rsidP="00D46B4D">
            <w:pPr>
              <w:autoSpaceDE w:val="0"/>
              <w:autoSpaceDN w:val="0"/>
              <w:adjustRightInd w:val="0"/>
              <w:spacing w:after="0" w:line="240" w:lineRule="auto"/>
              <w:jc w:val="both"/>
              <w:rPr>
                <w:rFonts w:cs="Arial"/>
                <w:sz w:val="18"/>
                <w:szCs w:val="18"/>
                <w:lang w:val="es-CO" w:eastAsia="es-CO"/>
              </w:rPr>
            </w:pPr>
            <w:r w:rsidRPr="00801DEF">
              <w:rPr>
                <w:rFonts w:cs="Arial"/>
                <w:sz w:val="18"/>
                <w:szCs w:val="18"/>
                <w:lang w:val="es-CO" w:eastAsia="es-CO"/>
              </w:rPr>
              <w:t>Manaure</w:t>
            </w:r>
          </w:p>
        </w:tc>
        <w:tc>
          <w:tcPr>
            <w:tcW w:w="0" w:type="auto"/>
          </w:tcPr>
          <w:p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2</w:t>
            </w:r>
          </w:p>
        </w:tc>
        <w:tc>
          <w:tcPr>
            <w:tcW w:w="0" w:type="auto"/>
          </w:tcPr>
          <w:p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240</w:t>
            </w:r>
          </w:p>
        </w:tc>
      </w:tr>
      <w:tr w:rsidR="00D46B4D" w:rsidRPr="00801DEF" w:rsidTr="007B12FA">
        <w:trPr>
          <w:jc w:val="center"/>
        </w:trPr>
        <w:tc>
          <w:tcPr>
            <w:tcW w:w="0" w:type="auto"/>
          </w:tcPr>
          <w:p w:rsidR="00D46B4D" w:rsidRPr="00801DEF" w:rsidRDefault="00D46B4D" w:rsidP="00D46B4D">
            <w:pPr>
              <w:autoSpaceDE w:val="0"/>
              <w:autoSpaceDN w:val="0"/>
              <w:adjustRightInd w:val="0"/>
              <w:spacing w:after="0" w:line="240" w:lineRule="auto"/>
              <w:jc w:val="both"/>
              <w:rPr>
                <w:rFonts w:cs="Arial"/>
                <w:sz w:val="18"/>
                <w:szCs w:val="18"/>
                <w:lang w:val="es-CO" w:eastAsia="es-CO"/>
              </w:rPr>
            </w:pPr>
            <w:r w:rsidRPr="00801DEF">
              <w:rPr>
                <w:rFonts w:cs="Arial"/>
                <w:sz w:val="18"/>
                <w:szCs w:val="18"/>
                <w:lang w:val="es-CO" w:eastAsia="es-CO"/>
              </w:rPr>
              <w:t>Manaure - Uribia</w:t>
            </w:r>
          </w:p>
        </w:tc>
        <w:tc>
          <w:tcPr>
            <w:tcW w:w="0" w:type="auto"/>
          </w:tcPr>
          <w:p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1</w:t>
            </w:r>
          </w:p>
        </w:tc>
        <w:tc>
          <w:tcPr>
            <w:tcW w:w="0" w:type="auto"/>
          </w:tcPr>
          <w:p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150</w:t>
            </w:r>
          </w:p>
        </w:tc>
      </w:tr>
      <w:tr w:rsidR="00D46B4D" w:rsidRPr="00801DEF" w:rsidTr="007B12FA">
        <w:trPr>
          <w:jc w:val="center"/>
        </w:trPr>
        <w:tc>
          <w:tcPr>
            <w:tcW w:w="0" w:type="auto"/>
          </w:tcPr>
          <w:p w:rsidR="00D46B4D" w:rsidRPr="00801DEF" w:rsidRDefault="00D46B4D" w:rsidP="00D46B4D">
            <w:pPr>
              <w:autoSpaceDE w:val="0"/>
              <w:autoSpaceDN w:val="0"/>
              <w:adjustRightInd w:val="0"/>
              <w:spacing w:after="0" w:line="240" w:lineRule="auto"/>
              <w:jc w:val="both"/>
              <w:rPr>
                <w:rFonts w:cs="Arial"/>
                <w:sz w:val="18"/>
                <w:szCs w:val="18"/>
                <w:lang w:val="es-CO" w:eastAsia="es-CO"/>
              </w:rPr>
            </w:pPr>
            <w:r w:rsidRPr="00801DEF">
              <w:rPr>
                <w:rFonts w:cs="Arial"/>
                <w:sz w:val="18"/>
                <w:szCs w:val="18"/>
                <w:lang w:val="es-CO" w:eastAsia="es-CO"/>
              </w:rPr>
              <w:t>Riohacha</w:t>
            </w:r>
          </w:p>
        </w:tc>
        <w:tc>
          <w:tcPr>
            <w:tcW w:w="0" w:type="auto"/>
          </w:tcPr>
          <w:p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4</w:t>
            </w:r>
          </w:p>
        </w:tc>
        <w:tc>
          <w:tcPr>
            <w:tcW w:w="0" w:type="auto"/>
          </w:tcPr>
          <w:p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420</w:t>
            </w:r>
          </w:p>
        </w:tc>
      </w:tr>
      <w:tr w:rsidR="00D46B4D" w:rsidRPr="00801DEF" w:rsidTr="007B12FA">
        <w:trPr>
          <w:jc w:val="center"/>
        </w:trPr>
        <w:tc>
          <w:tcPr>
            <w:tcW w:w="0" w:type="auto"/>
          </w:tcPr>
          <w:p w:rsidR="00D46B4D" w:rsidRPr="00801DEF" w:rsidRDefault="00D46B4D" w:rsidP="00D46B4D">
            <w:pPr>
              <w:autoSpaceDE w:val="0"/>
              <w:autoSpaceDN w:val="0"/>
              <w:adjustRightInd w:val="0"/>
              <w:spacing w:after="0" w:line="240" w:lineRule="auto"/>
              <w:jc w:val="both"/>
              <w:rPr>
                <w:rFonts w:cs="Arial"/>
                <w:sz w:val="18"/>
                <w:szCs w:val="18"/>
                <w:lang w:val="es-CO" w:eastAsia="es-CO"/>
              </w:rPr>
            </w:pPr>
            <w:r w:rsidRPr="00801DEF">
              <w:rPr>
                <w:rFonts w:cs="Arial"/>
                <w:sz w:val="18"/>
                <w:szCs w:val="18"/>
                <w:lang w:val="es-CO" w:eastAsia="es-CO"/>
              </w:rPr>
              <w:t>San Juan del Cesar</w:t>
            </w:r>
          </w:p>
        </w:tc>
        <w:tc>
          <w:tcPr>
            <w:tcW w:w="0" w:type="auto"/>
          </w:tcPr>
          <w:p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1</w:t>
            </w:r>
          </w:p>
        </w:tc>
        <w:tc>
          <w:tcPr>
            <w:tcW w:w="0" w:type="auto"/>
          </w:tcPr>
          <w:p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120</w:t>
            </w:r>
          </w:p>
        </w:tc>
      </w:tr>
      <w:tr w:rsidR="00D46B4D" w:rsidRPr="00801DEF" w:rsidTr="007B12FA">
        <w:trPr>
          <w:jc w:val="center"/>
        </w:trPr>
        <w:tc>
          <w:tcPr>
            <w:tcW w:w="0" w:type="auto"/>
          </w:tcPr>
          <w:p w:rsidR="00D46B4D" w:rsidRPr="00801DEF" w:rsidRDefault="00D46B4D" w:rsidP="00D46B4D">
            <w:pPr>
              <w:autoSpaceDE w:val="0"/>
              <w:autoSpaceDN w:val="0"/>
              <w:adjustRightInd w:val="0"/>
              <w:spacing w:after="0" w:line="240" w:lineRule="auto"/>
              <w:jc w:val="both"/>
              <w:rPr>
                <w:rFonts w:cs="Arial"/>
                <w:sz w:val="18"/>
                <w:szCs w:val="18"/>
                <w:lang w:val="es-CO" w:eastAsia="es-CO"/>
              </w:rPr>
            </w:pPr>
            <w:r w:rsidRPr="00801DEF">
              <w:rPr>
                <w:rFonts w:cs="Arial"/>
                <w:sz w:val="18"/>
                <w:szCs w:val="18"/>
                <w:lang w:val="es-CO" w:eastAsia="es-CO"/>
              </w:rPr>
              <w:t>San Juan del Cesar – Dibulla - Riohacha</w:t>
            </w:r>
          </w:p>
        </w:tc>
        <w:tc>
          <w:tcPr>
            <w:tcW w:w="0" w:type="auto"/>
          </w:tcPr>
          <w:p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1</w:t>
            </w:r>
          </w:p>
        </w:tc>
        <w:tc>
          <w:tcPr>
            <w:tcW w:w="0" w:type="auto"/>
          </w:tcPr>
          <w:p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150</w:t>
            </w:r>
          </w:p>
        </w:tc>
      </w:tr>
      <w:tr w:rsidR="00D46B4D" w:rsidRPr="00801DEF" w:rsidTr="007B12FA">
        <w:trPr>
          <w:jc w:val="center"/>
        </w:trPr>
        <w:tc>
          <w:tcPr>
            <w:tcW w:w="0" w:type="auto"/>
          </w:tcPr>
          <w:p w:rsidR="00D46B4D" w:rsidRPr="00801DEF" w:rsidRDefault="00D46B4D" w:rsidP="00D46B4D">
            <w:pPr>
              <w:autoSpaceDE w:val="0"/>
              <w:autoSpaceDN w:val="0"/>
              <w:adjustRightInd w:val="0"/>
              <w:spacing w:after="0" w:line="240" w:lineRule="auto"/>
              <w:jc w:val="both"/>
              <w:rPr>
                <w:rFonts w:cs="Arial"/>
                <w:sz w:val="18"/>
                <w:szCs w:val="18"/>
                <w:lang w:val="es-CO" w:eastAsia="es-CO"/>
              </w:rPr>
            </w:pPr>
            <w:r w:rsidRPr="00801DEF">
              <w:rPr>
                <w:rFonts w:cs="Arial"/>
                <w:sz w:val="18"/>
                <w:szCs w:val="18"/>
                <w:lang w:val="es-CO" w:eastAsia="es-CO"/>
              </w:rPr>
              <w:t>Uribia</w:t>
            </w:r>
          </w:p>
        </w:tc>
        <w:tc>
          <w:tcPr>
            <w:tcW w:w="0" w:type="auto"/>
          </w:tcPr>
          <w:p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2</w:t>
            </w:r>
          </w:p>
        </w:tc>
        <w:tc>
          <w:tcPr>
            <w:tcW w:w="0" w:type="auto"/>
          </w:tcPr>
          <w:p w:rsidR="00D46B4D" w:rsidRPr="00801DEF" w:rsidRDefault="00D46B4D" w:rsidP="00D46B4D">
            <w:pPr>
              <w:autoSpaceDE w:val="0"/>
              <w:autoSpaceDN w:val="0"/>
              <w:adjustRightInd w:val="0"/>
              <w:spacing w:after="0" w:line="240" w:lineRule="auto"/>
              <w:jc w:val="center"/>
              <w:rPr>
                <w:rFonts w:cs="Arial"/>
                <w:sz w:val="18"/>
                <w:szCs w:val="18"/>
                <w:lang w:val="es-CO" w:eastAsia="es-CO"/>
              </w:rPr>
            </w:pPr>
            <w:r w:rsidRPr="00801DEF">
              <w:rPr>
                <w:rFonts w:cs="Arial"/>
                <w:sz w:val="18"/>
                <w:szCs w:val="18"/>
                <w:lang w:val="es-CO" w:eastAsia="es-CO"/>
              </w:rPr>
              <w:t>260</w:t>
            </w:r>
          </w:p>
        </w:tc>
      </w:tr>
      <w:tr w:rsidR="00D46B4D" w:rsidRPr="00801DEF" w:rsidTr="007B12FA">
        <w:trPr>
          <w:jc w:val="center"/>
        </w:trPr>
        <w:tc>
          <w:tcPr>
            <w:tcW w:w="0" w:type="auto"/>
          </w:tcPr>
          <w:p w:rsidR="00D46B4D" w:rsidRPr="00801DEF" w:rsidRDefault="00D46B4D" w:rsidP="00D46B4D">
            <w:pPr>
              <w:autoSpaceDE w:val="0"/>
              <w:autoSpaceDN w:val="0"/>
              <w:adjustRightInd w:val="0"/>
              <w:spacing w:after="0" w:line="240" w:lineRule="auto"/>
              <w:jc w:val="both"/>
              <w:rPr>
                <w:rFonts w:cs="Arial"/>
                <w:b/>
                <w:sz w:val="18"/>
                <w:szCs w:val="18"/>
                <w:lang w:val="es-CO" w:eastAsia="es-CO"/>
              </w:rPr>
            </w:pPr>
            <w:r w:rsidRPr="00801DEF">
              <w:rPr>
                <w:rFonts w:cs="Arial"/>
                <w:b/>
                <w:sz w:val="18"/>
                <w:szCs w:val="18"/>
                <w:lang w:val="es-CO" w:eastAsia="es-CO"/>
              </w:rPr>
              <w:t>TOTALES</w:t>
            </w:r>
          </w:p>
        </w:tc>
        <w:tc>
          <w:tcPr>
            <w:tcW w:w="0" w:type="auto"/>
          </w:tcPr>
          <w:p w:rsidR="00D46B4D" w:rsidRPr="00801DEF" w:rsidRDefault="00D46B4D" w:rsidP="00D46B4D">
            <w:pPr>
              <w:autoSpaceDE w:val="0"/>
              <w:autoSpaceDN w:val="0"/>
              <w:adjustRightInd w:val="0"/>
              <w:spacing w:after="0" w:line="240" w:lineRule="auto"/>
              <w:jc w:val="center"/>
              <w:rPr>
                <w:rFonts w:cs="Arial"/>
                <w:b/>
                <w:sz w:val="18"/>
                <w:szCs w:val="18"/>
                <w:lang w:val="es-CO" w:eastAsia="es-CO"/>
              </w:rPr>
            </w:pPr>
            <w:r w:rsidRPr="00801DEF">
              <w:rPr>
                <w:rFonts w:cs="Arial"/>
                <w:b/>
                <w:sz w:val="18"/>
                <w:szCs w:val="18"/>
                <w:lang w:val="es-CO" w:eastAsia="es-CO"/>
              </w:rPr>
              <w:t>16</w:t>
            </w:r>
          </w:p>
        </w:tc>
        <w:tc>
          <w:tcPr>
            <w:tcW w:w="0" w:type="auto"/>
          </w:tcPr>
          <w:p w:rsidR="00D46B4D" w:rsidRPr="00801DEF" w:rsidRDefault="00D46B4D" w:rsidP="00D46B4D">
            <w:pPr>
              <w:autoSpaceDE w:val="0"/>
              <w:autoSpaceDN w:val="0"/>
              <w:adjustRightInd w:val="0"/>
              <w:spacing w:after="0" w:line="240" w:lineRule="auto"/>
              <w:jc w:val="center"/>
              <w:rPr>
                <w:rFonts w:cs="Arial"/>
                <w:b/>
                <w:sz w:val="18"/>
                <w:szCs w:val="18"/>
                <w:lang w:val="es-CO" w:eastAsia="es-CO"/>
              </w:rPr>
            </w:pPr>
            <w:r w:rsidRPr="00801DEF">
              <w:rPr>
                <w:rFonts w:cs="Arial"/>
                <w:b/>
                <w:sz w:val="18"/>
                <w:szCs w:val="18"/>
                <w:lang w:val="es-CO" w:eastAsia="es-CO"/>
              </w:rPr>
              <w:t>3.448</w:t>
            </w:r>
          </w:p>
        </w:tc>
      </w:tr>
    </w:tbl>
    <w:p w:rsidR="00D46B4D" w:rsidRPr="007608C2" w:rsidRDefault="00D46B4D" w:rsidP="00D46B4D">
      <w:pPr>
        <w:spacing w:after="0" w:line="240" w:lineRule="auto"/>
        <w:jc w:val="center"/>
        <w:rPr>
          <w:rFonts w:eastAsia="Times New Roman" w:cs="Arial"/>
          <w:sz w:val="18"/>
          <w:lang w:eastAsia="es-ES"/>
        </w:rPr>
      </w:pPr>
      <w:r w:rsidRPr="007608C2">
        <w:rPr>
          <w:rFonts w:eastAsia="Times New Roman" w:cs="Arial"/>
          <w:sz w:val="18"/>
          <w:lang w:eastAsia="es-ES"/>
        </w:rPr>
        <w:t>Fuente: Equipo de monitoreo y seguimiento Dirección de Familia y Comunidades</w:t>
      </w:r>
    </w:p>
    <w:p w:rsidR="00D46B4D" w:rsidRPr="007608C2" w:rsidRDefault="00D46B4D" w:rsidP="00D46B4D">
      <w:pPr>
        <w:shd w:val="clear" w:color="auto" w:fill="FFFFFF"/>
        <w:spacing w:before="100" w:beforeAutospacing="1" w:after="100" w:afterAutospacing="1" w:line="240" w:lineRule="auto"/>
        <w:jc w:val="both"/>
        <w:rPr>
          <w:rFonts w:eastAsia="Times New Roman" w:cs="Arial"/>
          <w:lang w:val="es-CO"/>
        </w:rPr>
      </w:pPr>
      <w:r w:rsidRPr="007608C2">
        <w:rPr>
          <w:rFonts w:eastAsia="Times New Roman" w:cs="Arial"/>
          <w:lang w:val="es-CO"/>
        </w:rPr>
        <w:t>El ICBF aprobó y contrató 16 proyectos con una inversión inicial de $ 3.136.935.828 pero se realizó una liberación en dos proyectos por ajuste en el tiempo de ejecución teniendo como inversión definitiva $3.124.980.196 para el beneficio de 3.448 familias: 425 afrocolombianas, 2.903 wayuu y 120 wiwas.</w:t>
      </w:r>
    </w:p>
    <w:p w:rsidR="00D46B4D" w:rsidRPr="007608C2" w:rsidRDefault="00D46B4D" w:rsidP="00D46B4D">
      <w:pPr>
        <w:spacing w:before="100" w:beforeAutospacing="1" w:after="100" w:afterAutospacing="1" w:line="240" w:lineRule="auto"/>
        <w:jc w:val="both"/>
        <w:rPr>
          <w:rFonts w:eastAsia="Times New Roman" w:cs="Arial"/>
          <w:lang w:eastAsia="es-ES"/>
        </w:rPr>
      </w:pPr>
      <w:r w:rsidRPr="007608C2">
        <w:rPr>
          <w:rFonts w:cs="Arial"/>
          <w:b/>
        </w:rPr>
        <w:t xml:space="preserve">Modalidad UNAFA: </w:t>
      </w:r>
      <w:r w:rsidRPr="007608C2">
        <w:rPr>
          <w:rFonts w:eastAsia="Times New Roman" w:cs="Arial"/>
          <w:lang w:eastAsia="es-ES"/>
        </w:rPr>
        <w:t>Se logra la atención del 100% de los cupos (90 familias) para la atención de fa</w:t>
      </w:r>
      <w:r w:rsidR="009D3362" w:rsidRPr="007608C2">
        <w:rPr>
          <w:rFonts w:eastAsia="Times New Roman" w:cs="Arial"/>
          <w:lang w:eastAsia="es-ES"/>
        </w:rPr>
        <w:t>milias con niños, niñas y adole</w:t>
      </w:r>
      <w:r w:rsidRPr="007608C2">
        <w:rPr>
          <w:rFonts w:eastAsia="Times New Roman" w:cs="Arial"/>
          <w:lang w:eastAsia="es-ES"/>
        </w:rPr>
        <w:t>scen</w:t>
      </w:r>
      <w:r w:rsidR="009D3362" w:rsidRPr="007608C2">
        <w:rPr>
          <w:rFonts w:eastAsia="Times New Roman" w:cs="Arial"/>
          <w:lang w:eastAsia="es-ES"/>
        </w:rPr>
        <w:t>tes con disca</w:t>
      </w:r>
      <w:r w:rsidRPr="007608C2">
        <w:rPr>
          <w:rFonts w:eastAsia="Times New Roman" w:cs="Arial"/>
          <w:lang w:eastAsia="es-ES"/>
        </w:rPr>
        <w:t>pacidad que pertenezcan o hayan pertenecido a la modalidad hogar gestor en los municipios Barrancas, Distracción, El Molino, Fonseca, Hato Nuevo, Maicao, Manaure y Riohacha, 21 encuentros desarrollados a 31 de diciembre y la respectiva jornada de cierre donde se evaluaron los logros y alcances de la intervención con las familias, a continuación se detalla la atención por municipio:</w:t>
      </w:r>
    </w:p>
    <w:p w:rsidR="00706C42" w:rsidRDefault="00706C42" w:rsidP="00D46B4D">
      <w:pPr>
        <w:spacing w:after="0" w:line="240" w:lineRule="auto"/>
        <w:jc w:val="center"/>
        <w:rPr>
          <w:rFonts w:cs="Arial"/>
          <w:b/>
        </w:rPr>
      </w:pPr>
    </w:p>
    <w:p w:rsidR="001E4A55" w:rsidRDefault="001E4A55" w:rsidP="00D46B4D">
      <w:pPr>
        <w:spacing w:after="0" w:line="240" w:lineRule="auto"/>
        <w:jc w:val="center"/>
        <w:rPr>
          <w:rFonts w:cs="Arial"/>
          <w:b/>
        </w:rPr>
      </w:pPr>
    </w:p>
    <w:p w:rsidR="00D46B4D" w:rsidRDefault="00D46B4D" w:rsidP="00D46B4D">
      <w:pPr>
        <w:spacing w:after="0" w:line="240" w:lineRule="auto"/>
        <w:jc w:val="center"/>
        <w:rPr>
          <w:rFonts w:cs="Arial"/>
          <w:b/>
        </w:rPr>
      </w:pPr>
      <w:r w:rsidRPr="007608C2">
        <w:rPr>
          <w:rFonts w:cs="Arial"/>
          <w:b/>
        </w:rPr>
        <w:t>Atención modalidad UNAFA</w:t>
      </w:r>
    </w:p>
    <w:p w:rsidR="00B44755" w:rsidRPr="007608C2" w:rsidRDefault="00B44755" w:rsidP="00D46B4D">
      <w:pPr>
        <w:spacing w:after="0" w:line="240" w:lineRule="auto"/>
        <w:jc w:val="center"/>
        <w:rPr>
          <w:rFonts w:eastAsia="Times New Roman" w:cs="Arial"/>
          <w:b/>
          <w:lang w:eastAsia="es-ES"/>
        </w:rPr>
      </w:pP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1467"/>
        <w:gridCol w:w="937"/>
      </w:tblGrid>
      <w:tr w:rsidR="00D46B4D" w:rsidRPr="00B44755" w:rsidTr="001E4A55">
        <w:trPr>
          <w:jc w:val="center"/>
        </w:trPr>
        <w:tc>
          <w:tcPr>
            <w:tcW w:w="0" w:type="auto"/>
            <w:shd w:val="clear" w:color="auto" w:fill="76922E"/>
          </w:tcPr>
          <w:p w:rsidR="00D46B4D" w:rsidRPr="00B44755" w:rsidRDefault="00B44755" w:rsidP="00D46B4D">
            <w:pPr>
              <w:autoSpaceDE w:val="0"/>
              <w:autoSpaceDN w:val="0"/>
              <w:adjustRightInd w:val="0"/>
              <w:spacing w:after="0" w:line="240" w:lineRule="auto"/>
              <w:jc w:val="center"/>
              <w:rPr>
                <w:rFonts w:cs="Arial"/>
                <w:b/>
                <w:color w:val="FFFFFF" w:themeColor="background1"/>
                <w:sz w:val="18"/>
                <w:szCs w:val="18"/>
                <w:lang w:val="es-CO" w:eastAsia="es-CO"/>
              </w:rPr>
            </w:pPr>
            <w:r w:rsidRPr="00B44755">
              <w:rPr>
                <w:rFonts w:cs="Arial"/>
                <w:b/>
                <w:color w:val="FFFFFF" w:themeColor="background1"/>
                <w:sz w:val="18"/>
                <w:szCs w:val="18"/>
                <w:lang w:val="es-CO" w:eastAsia="es-CO"/>
              </w:rPr>
              <w:t>Municipio</w:t>
            </w:r>
          </w:p>
        </w:tc>
        <w:tc>
          <w:tcPr>
            <w:tcW w:w="0" w:type="auto"/>
            <w:shd w:val="clear" w:color="auto" w:fill="76922E"/>
          </w:tcPr>
          <w:p w:rsidR="00D46B4D" w:rsidRPr="00B44755" w:rsidRDefault="00B44755" w:rsidP="00D46B4D">
            <w:pPr>
              <w:autoSpaceDE w:val="0"/>
              <w:autoSpaceDN w:val="0"/>
              <w:adjustRightInd w:val="0"/>
              <w:spacing w:after="0" w:line="240" w:lineRule="auto"/>
              <w:jc w:val="center"/>
              <w:rPr>
                <w:rFonts w:cs="Arial"/>
                <w:b/>
                <w:color w:val="FFFFFF" w:themeColor="background1"/>
                <w:sz w:val="18"/>
                <w:szCs w:val="18"/>
                <w:lang w:val="es-CO" w:eastAsia="es-CO"/>
              </w:rPr>
            </w:pPr>
            <w:r w:rsidRPr="00B44755">
              <w:rPr>
                <w:rFonts w:cs="Arial"/>
                <w:b/>
                <w:color w:val="FFFFFF" w:themeColor="background1"/>
                <w:sz w:val="18"/>
                <w:szCs w:val="18"/>
                <w:lang w:val="es-CO" w:eastAsia="es-CO"/>
              </w:rPr>
              <w:t>Familias</w:t>
            </w:r>
          </w:p>
        </w:tc>
      </w:tr>
      <w:tr w:rsidR="00D46B4D" w:rsidRPr="00B44755" w:rsidTr="00B44755">
        <w:trPr>
          <w:trHeight w:val="152"/>
          <w:jc w:val="center"/>
        </w:trPr>
        <w:tc>
          <w:tcPr>
            <w:tcW w:w="0" w:type="auto"/>
          </w:tcPr>
          <w:p w:rsidR="00D46B4D" w:rsidRPr="00B44755" w:rsidRDefault="00B44755" w:rsidP="00D46B4D">
            <w:pPr>
              <w:autoSpaceDE w:val="0"/>
              <w:autoSpaceDN w:val="0"/>
              <w:adjustRightInd w:val="0"/>
              <w:spacing w:after="0" w:line="240" w:lineRule="auto"/>
              <w:jc w:val="both"/>
              <w:rPr>
                <w:rFonts w:cs="Arial"/>
                <w:sz w:val="18"/>
                <w:szCs w:val="18"/>
                <w:lang w:val="es-CO" w:eastAsia="es-CO"/>
              </w:rPr>
            </w:pPr>
            <w:r w:rsidRPr="00B44755">
              <w:rPr>
                <w:rFonts w:cs="Arial"/>
                <w:sz w:val="18"/>
                <w:szCs w:val="18"/>
                <w:lang w:val="es-CO" w:eastAsia="es-CO"/>
              </w:rPr>
              <w:t>Barrancas</w:t>
            </w:r>
          </w:p>
        </w:tc>
        <w:tc>
          <w:tcPr>
            <w:tcW w:w="0" w:type="auto"/>
          </w:tcPr>
          <w:p w:rsidR="00D46B4D" w:rsidRPr="00B44755" w:rsidRDefault="00B44755" w:rsidP="00D46B4D">
            <w:pPr>
              <w:autoSpaceDE w:val="0"/>
              <w:autoSpaceDN w:val="0"/>
              <w:adjustRightInd w:val="0"/>
              <w:spacing w:after="0" w:line="240" w:lineRule="auto"/>
              <w:jc w:val="center"/>
              <w:rPr>
                <w:rFonts w:cs="Arial"/>
                <w:sz w:val="18"/>
                <w:szCs w:val="18"/>
                <w:lang w:val="es-CO" w:eastAsia="es-CO"/>
              </w:rPr>
            </w:pPr>
            <w:r w:rsidRPr="00B44755">
              <w:rPr>
                <w:rFonts w:cs="Arial"/>
                <w:sz w:val="18"/>
                <w:szCs w:val="18"/>
                <w:lang w:val="es-CO" w:eastAsia="es-CO"/>
              </w:rPr>
              <w:t>1</w:t>
            </w:r>
          </w:p>
        </w:tc>
      </w:tr>
      <w:tr w:rsidR="00D46B4D" w:rsidRPr="00B44755" w:rsidTr="00B44755">
        <w:trPr>
          <w:trHeight w:val="199"/>
          <w:jc w:val="center"/>
        </w:trPr>
        <w:tc>
          <w:tcPr>
            <w:tcW w:w="0" w:type="auto"/>
          </w:tcPr>
          <w:p w:rsidR="00D46B4D" w:rsidRPr="00B44755" w:rsidRDefault="00B44755" w:rsidP="00D46B4D">
            <w:pPr>
              <w:autoSpaceDE w:val="0"/>
              <w:autoSpaceDN w:val="0"/>
              <w:adjustRightInd w:val="0"/>
              <w:spacing w:after="0" w:line="240" w:lineRule="auto"/>
              <w:jc w:val="both"/>
              <w:rPr>
                <w:rFonts w:cs="Arial"/>
                <w:sz w:val="18"/>
                <w:szCs w:val="18"/>
                <w:lang w:val="es-CO" w:eastAsia="es-CO"/>
              </w:rPr>
            </w:pPr>
            <w:r w:rsidRPr="00B44755">
              <w:rPr>
                <w:rFonts w:cs="Arial"/>
                <w:sz w:val="18"/>
                <w:szCs w:val="18"/>
                <w:lang w:val="es-CO" w:eastAsia="es-CO"/>
              </w:rPr>
              <w:t>Distracción</w:t>
            </w:r>
          </w:p>
        </w:tc>
        <w:tc>
          <w:tcPr>
            <w:tcW w:w="0" w:type="auto"/>
          </w:tcPr>
          <w:p w:rsidR="00D46B4D" w:rsidRPr="00B44755" w:rsidRDefault="00B44755" w:rsidP="00D46B4D">
            <w:pPr>
              <w:autoSpaceDE w:val="0"/>
              <w:autoSpaceDN w:val="0"/>
              <w:adjustRightInd w:val="0"/>
              <w:spacing w:after="0" w:line="240" w:lineRule="auto"/>
              <w:jc w:val="center"/>
              <w:rPr>
                <w:rFonts w:cs="Arial"/>
                <w:sz w:val="18"/>
                <w:szCs w:val="18"/>
                <w:lang w:val="es-CO" w:eastAsia="es-CO"/>
              </w:rPr>
            </w:pPr>
            <w:r w:rsidRPr="00B44755">
              <w:rPr>
                <w:rFonts w:cs="Arial"/>
                <w:sz w:val="18"/>
                <w:szCs w:val="18"/>
                <w:lang w:val="es-CO" w:eastAsia="es-CO"/>
              </w:rPr>
              <w:t>1</w:t>
            </w:r>
          </w:p>
        </w:tc>
      </w:tr>
      <w:tr w:rsidR="00D46B4D" w:rsidRPr="00B44755" w:rsidTr="00B44755">
        <w:trPr>
          <w:jc w:val="center"/>
        </w:trPr>
        <w:tc>
          <w:tcPr>
            <w:tcW w:w="0" w:type="auto"/>
          </w:tcPr>
          <w:p w:rsidR="00D46B4D" w:rsidRPr="00B44755" w:rsidRDefault="00B44755" w:rsidP="00D46B4D">
            <w:pPr>
              <w:autoSpaceDE w:val="0"/>
              <w:autoSpaceDN w:val="0"/>
              <w:adjustRightInd w:val="0"/>
              <w:spacing w:after="0" w:line="240" w:lineRule="auto"/>
              <w:jc w:val="both"/>
              <w:rPr>
                <w:rFonts w:cs="Arial"/>
                <w:sz w:val="18"/>
                <w:szCs w:val="18"/>
                <w:lang w:val="es-CO" w:eastAsia="es-CO"/>
              </w:rPr>
            </w:pPr>
            <w:r w:rsidRPr="00B44755">
              <w:rPr>
                <w:rFonts w:cs="Arial"/>
                <w:sz w:val="18"/>
                <w:szCs w:val="18"/>
                <w:lang w:val="es-CO" w:eastAsia="es-CO"/>
              </w:rPr>
              <w:t>El Molino</w:t>
            </w:r>
          </w:p>
        </w:tc>
        <w:tc>
          <w:tcPr>
            <w:tcW w:w="0" w:type="auto"/>
          </w:tcPr>
          <w:p w:rsidR="00D46B4D" w:rsidRPr="00B44755" w:rsidRDefault="00B44755" w:rsidP="00D46B4D">
            <w:pPr>
              <w:autoSpaceDE w:val="0"/>
              <w:autoSpaceDN w:val="0"/>
              <w:adjustRightInd w:val="0"/>
              <w:spacing w:after="0" w:line="240" w:lineRule="auto"/>
              <w:jc w:val="center"/>
              <w:rPr>
                <w:rFonts w:cs="Arial"/>
                <w:sz w:val="18"/>
                <w:szCs w:val="18"/>
                <w:lang w:val="es-CO" w:eastAsia="es-CO"/>
              </w:rPr>
            </w:pPr>
            <w:r w:rsidRPr="00B44755">
              <w:rPr>
                <w:rFonts w:cs="Arial"/>
                <w:sz w:val="18"/>
                <w:szCs w:val="18"/>
                <w:lang w:val="es-CO" w:eastAsia="es-CO"/>
              </w:rPr>
              <w:t>1</w:t>
            </w:r>
          </w:p>
        </w:tc>
      </w:tr>
      <w:tr w:rsidR="00D46B4D" w:rsidRPr="00B44755" w:rsidTr="00B44755">
        <w:trPr>
          <w:jc w:val="center"/>
        </w:trPr>
        <w:tc>
          <w:tcPr>
            <w:tcW w:w="0" w:type="auto"/>
          </w:tcPr>
          <w:p w:rsidR="00D46B4D" w:rsidRPr="00B44755" w:rsidRDefault="00B44755" w:rsidP="00D46B4D">
            <w:pPr>
              <w:autoSpaceDE w:val="0"/>
              <w:autoSpaceDN w:val="0"/>
              <w:adjustRightInd w:val="0"/>
              <w:spacing w:after="0" w:line="240" w:lineRule="auto"/>
              <w:jc w:val="both"/>
              <w:rPr>
                <w:rFonts w:cs="Arial"/>
                <w:sz w:val="18"/>
                <w:szCs w:val="18"/>
                <w:lang w:val="es-CO" w:eastAsia="es-CO"/>
              </w:rPr>
            </w:pPr>
            <w:r w:rsidRPr="00B44755">
              <w:rPr>
                <w:rFonts w:cs="Arial"/>
                <w:sz w:val="18"/>
                <w:szCs w:val="18"/>
                <w:lang w:val="es-CO" w:eastAsia="es-CO"/>
              </w:rPr>
              <w:t>Fonseca</w:t>
            </w:r>
          </w:p>
        </w:tc>
        <w:tc>
          <w:tcPr>
            <w:tcW w:w="0" w:type="auto"/>
          </w:tcPr>
          <w:p w:rsidR="00D46B4D" w:rsidRPr="00B44755" w:rsidRDefault="00B44755" w:rsidP="00D46B4D">
            <w:pPr>
              <w:autoSpaceDE w:val="0"/>
              <w:autoSpaceDN w:val="0"/>
              <w:adjustRightInd w:val="0"/>
              <w:spacing w:after="0" w:line="240" w:lineRule="auto"/>
              <w:jc w:val="center"/>
              <w:rPr>
                <w:rFonts w:cs="Arial"/>
                <w:sz w:val="18"/>
                <w:szCs w:val="18"/>
                <w:lang w:val="es-CO" w:eastAsia="es-CO"/>
              </w:rPr>
            </w:pPr>
            <w:r w:rsidRPr="00B44755">
              <w:rPr>
                <w:rFonts w:cs="Arial"/>
                <w:sz w:val="18"/>
                <w:szCs w:val="18"/>
                <w:lang w:val="es-CO" w:eastAsia="es-CO"/>
              </w:rPr>
              <w:t>4</w:t>
            </w:r>
          </w:p>
        </w:tc>
      </w:tr>
      <w:tr w:rsidR="00D46B4D" w:rsidRPr="00B44755" w:rsidTr="00B44755">
        <w:trPr>
          <w:jc w:val="center"/>
        </w:trPr>
        <w:tc>
          <w:tcPr>
            <w:tcW w:w="0" w:type="auto"/>
          </w:tcPr>
          <w:p w:rsidR="00D46B4D" w:rsidRPr="00B44755" w:rsidRDefault="00B44755" w:rsidP="00D46B4D">
            <w:pPr>
              <w:autoSpaceDE w:val="0"/>
              <w:autoSpaceDN w:val="0"/>
              <w:adjustRightInd w:val="0"/>
              <w:spacing w:after="0" w:line="240" w:lineRule="auto"/>
              <w:jc w:val="both"/>
              <w:rPr>
                <w:rFonts w:cs="Arial"/>
                <w:sz w:val="18"/>
                <w:szCs w:val="18"/>
                <w:lang w:val="es-CO" w:eastAsia="es-CO"/>
              </w:rPr>
            </w:pPr>
            <w:r w:rsidRPr="00B44755">
              <w:rPr>
                <w:rFonts w:cs="Arial"/>
                <w:sz w:val="18"/>
                <w:szCs w:val="18"/>
                <w:lang w:val="es-CO" w:eastAsia="es-CO"/>
              </w:rPr>
              <w:t>Hatonuevo</w:t>
            </w:r>
          </w:p>
        </w:tc>
        <w:tc>
          <w:tcPr>
            <w:tcW w:w="0" w:type="auto"/>
          </w:tcPr>
          <w:p w:rsidR="00D46B4D" w:rsidRPr="00B44755" w:rsidRDefault="00B44755" w:rsidP="00D46B4D">
            <w:pPr>
              <w:autoSpaceDE w:val="0"/>
              <w:autoSpaceDN w:val="0"/>
              <w:adjustRightInd w:val="0"/>
              <w:spacing w:after="0" w:line="240" w:lineRule="auto"/>
              <w:jc w:val="center"/>
              <w:rPr>
                <w:rFonts w:cs="Arial"/>
                <w:sz w:val="18"/>
                <w:szCs w:val="18"/>
                <w:lang w:val="es-CO" w:eastAsia="es-CO"/>
              </w:rPr>
            </w:pPr>
            <w:r w:rsidRPr="00B44755">
              <w:rPr>
                <w:rFonts w:cs="Arial"/>
                <w:sz w:val="18"/>
                <w:szCs w:val="18"/>
                <w:lang w:val="es-CO" w:eastAsia="es-CO"/>
              </w:rPr>
              <w:t>7</w:t>
            </w:r>
          </w:p>
        </w:tc>
      </w:tr>
      <w:tr w:rsidR="00D46B4D" w:rsidRPr="00B44755" w:rsidTr="00B44755">
        <w:trPr>
          <w:jc w:val="center"/>
        </w:trPr>
        <w:tc>
          <w:tcPr>
            <w:tcW w:w="0" w:type="auto"/>
          </w:tcPr>
          <w:p w:rsidR="00D46B4D" w:rsidRPr="00B44755" w:rsidRDefault="00B44755" w:rsidP="00D46B4D">
            <w:pPr>
              <w:autoSpaceDE w:val="0"/>
              <w:autoSpaceDN w:val="0"/>
              <w:adjustRightInd w:val="0"/>
              <w:spacing w:after="0" w:line="240" w:lineRule="auto"/>
              <w:jc w:val="both"/>
              <w:rPr>
                <w:rFonts w:cs="Arial"/>
                <w:sz w:val="18"/>
                <w:szCs w:val="18"/>
                <w:lang w:val="es-CO" w:eastAsia="es-CO"/>
              </w:rPr>
            </w:pPr>
            <w:r w:rsidRPr="00B44755">
              <w:rPr>
                <w:rFonts w:cs="Arial"/>
                <w:sz w:val="18"/>
                <w:szCs w:val="18"/>
                <w:lang w:val="es-CO" w:eastAsia="es-CO"/>
              </w:rPr>
              <w:t>Maicao</w:t>
            </w:r>
          </w:p>
        </w:tc>
        <w:tc>
          <w:tcPr>
            <w:tcW w:w="0" w:type="auto"/>
          </w:tcPr>
          <w:p w:rsidR="00D46B4D" w:rsidRPr="00B44755" w:rsidRDefault="00B44755" w:rsidP="00D46B4D">
            <w:pPr>
              <w:autoSpaceDE w:val="0"/>
              <w:autoSpaceDN w:val="0"/>
              <w:adjustRightInd w:val="0"/>
              <w:spacing w:after="0" w:line="240" w:lineRule="auto"/>
              <w:jc w:val="center"/>
              <w:rPr>
                <w:rFonts w:cs="Arial"/>
                <w:sz w:val="18"/>
                <w:szCs w:val="18"/>
                <w:lang w:val="es-CO" w:eastAsia="es-CO"/>
              </w:rPr>
            </w:pPr>
            <w:r w:rsidRPr="00B44755">
              <w:rPr>
                <w:rFonts w:cs="Arial"/>
                <w:sz w:val="18"/>
                <w:szCs w:val="18"/>
                <w:lang w:val="es-CO" w:eastAsia="es-CO"/>
              </w:rPr>
              <w:t>19</w:t>
            </w:r>
          </w:p>
        </w:tc>
      </w:tr>
      <w:tr w:rsidR="00D46B4D" w:rsidRPr="00B44755" w:rsidTr="00B44755">
        <w:trPr>
          <w:jc w:val="center"/>
        </w:trPr>
        <w:tc>
          <w:tcPr>
            <w:tcW w:w="0" w:type="auto"/>
          </w:tcPr>
          <w:p w:rsidR="00D46B4D" w:rsidRPr="00B44755" w:rsidRDefault="00B44755" w:rsidP="00D46B4D">
            <w:pPr>
              <w:autoSpaceDE w:val="0"/>
              <w:autoSpaceDN w:val="0"/>
              <w:adjustRightInd w:val="0"/>
              <w:spacing w:after="0" w:line="240" w:lineRule="auto"/>
              <w:jc w:val="both"/>
              <w:rPr>
                <w:rFonts w:cs="Arial"/>
                <w:sz w:val="18"/>
                <w:szCs w:val="18"/>
                <w:lang w:val="es-CO" w:eastAsia="es-CO"/>
              </w:rPr>
            </w:pPr>
            <w:r w:rsidRPr="00B44755">
              <w:rPr>
                <w:rFonts w:cs="Arial"/>
                <w:sz w:val="18"/>
                <w:szCs w:val="18"/>
                <w:lang w:val="es-CO" w:eastAsia="es-CO"/>
              </w:rPr>
              <w:t>Manaure</w:t>
            </w:r>
          </w:p>
        </w:tc>
        <w:tc>
          <w:tcPr>
            <w:tcW w:w="0" w:type="auto"/>
          </w:tcPr>
          <w:p w:rsidR="00D46B4D" w:rsidRPr="00B44755" w:rsidRDefault="00B44755" w:rsidP="00D46B4D">
            <w:pPr>
              <w:autoSpaceDE w:val="0"/>
              <w:autoSpaceDN w:val="0"/>
              <w:adjustRightInd w:val="0"/>
              <w:spacing w:after="0" w:line="240" w:lineRule="auto"/>
              <w:jc w:val="center"/>
              <w:rPr>
                <w:rFonts w:cs="Arial"/>
                <w:sz w:val="18"/>
                <w:szCs w:val="18"/>
                <w:lang w:val="es-CO" w:eastAsia="es-CO"/>
              </w:rPr>
            </w:pPr>
            <w:r w:rsidRPr="00B44755">
              <w:rPr>
                <w:rFonts w:cs="Arial"/>
                <w:sz w:val="18"/>
                <w:szCs w:val="18"/>
                <w:lang w:val="es-CO" w:eastAsia="es-CO"/>
              </w:rPr>
              <w:t>10</w:t>
            </w:r>
          </w:p>
        </w:tc>
      </w:tr>
      <w:tr w:rsidR="00D46B4D" w:rsidRPr="00B44755" w:rsidTr="00B44755">
        <w:trPr>
          <w:jc w:val="center"/>
        </w:trPr>
        <w:tc>
          <w:tcPr>
            <w:tcW w:w="0" w:type="auto"/>
          </w:tcPr>
          <w:p w:rsidR="00D46B4D" w:rsidRPr="00B44755" w:rsidRDefault="00B44755" w:rsidP="00D46B4D">
            <w:pPr>
              <w:autoSpaceDE w:val="0"/>
              <w:autoSpaceDN w:val="0"/>
              <w:adjustRightInd w:val="0"/>
              <w:spacing w:after="0" w:line="240" w:lineRule="auto"/>
              <w:jc w:val="both"/>
              <w:rPr>
                <w:rFonts w:cs="Arial"/>
                <w:sz w:val="18"/>
                <w:szCs w:val="18"/>
                <w:lang w:val="es-CO" w:eastAsia="es-CO"/>
              </w:rPr>
            </w:pPr>
            <w:r w:rsidRPr="00B44755">
              <w:rPr>
                <w:rFonts w:cs="Arial"/>
                <w:sz w:val="18"/>
                <w:szCs w:val="18"/>
                <w:lang w:val="es-CO" w:eastAsia="es-CO"/>
              </w:rPr>
              <w:t>Riohacha</w:t>
            </w:r>
          </w:p>
        </w:tc>
        <w:tc>
          <w:tcPr>
            <w:tcW w:w="0" w:type="auto"/>
          </w:tcPr>
          <w:p w:rsidR="00D46B4D" w:rsidRPr="00B44755" w:rsidRDefault="00B44755" w:rsidP="00D46B4D">
            <w:pPr>
              <w:autoSpaceDE w:val="0"/>
              <w:autoSpaceDN w:val="0"/>
              <w:adjustRightInd w:val="0"/>
              <w:spacing w:after="0" w:line="240" w:lineRule="auto"/>
              <w:jc w:val="center"/>
              <w:rPr>
                <w:rFonts w:cs="Arial"/>
                <w:sz w:val="18"/>
                <w:szCs w:val="18"/>
                <w:lang w:val="es-CO" w:eastAsia="es-CO"/>
              </w:rPr>
            </w:pPr>
            <w:r w:rsidRPr="00B44755">
              <w:rPr>
                <w:rFonts w:cs="Arial"/>
                <w:sz w:val="18"/>
                <w:szCs w:val="18"/>
                <w:lang w:val="es-CO" w:eastAsia="es-CO"/>
              </w:rPr>
              <w:t>17</w:t>
            </w:r>
          </w:p>
        </w:tc>
      </w:tr>
      <w:tr w:rsidR="00D46B4D" w:rsidRPr="00B44755" w:rsidTr="00B44755">
        <w:trPr>
          <w:jc w:val="center"/>
        </w:trPr>
        <w:tc>
          <w:tcPr>
            <w:tcW w:w="0" w:type="auto"/>
          </w:tcPr>
          <w:p w:rsidR="00D46B4D" w:rsidRPr="00B44755" w:rsidRDefault="00D46B4D" w:rsidP="00D46B4D">
            <w:pPr>
              <w:autoSpaceDE w:val="0"/>
              <w:autoSpaceDN w:val="0"/>
              <w:adjustRightInd w:val="0"/>
              <w:spacing w:after="0" w:line="240" w:lineRule="auto"/>
              <w:jc w:val="both"/>
              <w:rPr>
                <w:rFonts w:cs="Arial"/>
                <w:b/>
                <w:sz w:val="18"/>
                <w:szCs w:val="18"/>
                <w:lang w:val="es-CO" w:eastAsia="es-CO"/>
              </w:rPr>
            </w:pPr>
            <w:r w:rsidRPr="00B44755">
              <w:rPr>
                <w:rFonts w:cs="Arial"/>
                <w:b/>
                <w:sz w:val="18"/>
                <w:szCs w:val="18"/>
                <w:lang w:val="es-CO" w:eastAsia="es-CO"/>
              </w:rPr>
              <w:t>Total</w:t>
            </w:r>
            <w:r w:rsidR="00B44755" w:rsidRPr="00B44755">
              <w:rPr>
                <w:rFonts w:cs="Arial"/>
                <w:b/>
                <w:sz w:val="18"/>
                <w:szCs w:val="18"/>
                <w:lang w:val="es-CO" w:eastAsia="es-CO"/>
              </w:rPr>
              <w:t xml:space="preserve">, </w:t>
            </w:r>
            <w:r w:rsidRPr="00B44755">
              <w:rPr>
                <w:rFonts w:cs="Arial"/>
                <w:b/>
                <w:sz w:val="18"/>
                <w:szCs w:val="18"/>
                <w:lang w:val="es-CO" w:eastAsia="es-CO"/>
              </w:rPr>
              <w:t>Familias</w:t>
            </w:r>
          </w:p>
        </w:tc>
        <w:tc>
          <w:tcPr>
            <w:tcW w:w="0" w:type="auto"/>
          </w:tcPr>
          <w:p w:rsidR="00D46B4D" w:rsidRPr="00B44755" w:rsidRDefault="00B44755" w:rsidP="00D46B4D">
            <w:pPr>
              <w:autoSpaceDE w:val="0"/>
              <w:autoSpaceDN w:val="0"/>
              <w:adjustRightInd w:val="0"/>
              <w:spacing w:after="0" w:line="240" w:lineRule="auto"/>
              <w:jc w:val="center"/>
              <w:rPr>
                <w:rFonts w:cs="Arial"/>
                <w:b/>
                <w:sz w:val="18"/>
                <w:szCs w:val="18"/>
                <w:lang w:val="es-CO" w:eastAsia="es-CO"/>
              </w:rPr>
            </w:pPr>
            <w:r w:rsidRPr="00B44755">
              <w:rPr>
                <w:rFonts w:cs="Arial"/>
                <w:b/>
                <w:sz w:val="18"/>
                <w:szCs w:val="18"/>
                <w:lang w:val="es-CO" w:eastAsia="es-CO"/>
              </w:rPr>
              <w:t>90</w:t>
            </w:r>
            <w:r w:rsidR="00D46B4D" w:rsidRPr="00B44755">
              <w:rPr>
                <w:rFonts w:cs="Arial"/>
                <w:b/>
                <w:sz w:val="18"/>
                <w:szCs w:val="18"/>
                <w:vertAlign w:val="superscript"/>
                <w:lang w:val="es-CO" w:eastAsia="es-CO"/>
              </w:rPr>
              <w:footnoteReference w:id="21"/>
            </w:r>
          </w:p>
        </w:tc>
      </w:tr>
    </w:tbl>
    <w:p w:rsidR="00D46B4D" w:rsidRPr="00B44755" w:rsidRDefault="00D46B4D" w:rsidP="00D46B4D">
      <w:pPr>
        <w:spacing w:after="0" w:line="240" w:lineRule="auto"/>
        <w:jc w:val="center"/>
        <w:rPr>
          <w:rFonts w:eastAsia="Times New Roman" w:cs="Arial"/>
          <w:sz w:val="16"/>
          <w:szCs w:val="16"/>
          <w:lang w:eastAsia="es-ES"/>
        </w:rPr>
      </w:pPr>
      <w:r w:rsidRPr="00B44755">
        <w:rPr>
          <w:rFonts w:eastAsia="Times New Roman" w:cs="Arial"/>
          <w:sz w:val="16"/>
          <w:szCs w:val="16"/>
          <w:lang w:eastAsia="es-ES"/>
        </w:rPr>
        <w:t>Fuente: Equipo de monitoreo y seguimiento Dirección de Familia y Comunidades</w:t>
      </w:r>
    </w:p>
    <w:p w:rsidR="00D46B4D" w:rsidRPr="00B44755" w:rsidRDefault="00D46B4D" w:rsidP="00D46B4D">
      <w:pPr>
        <w:spacing w:after="0" w:line="240" w:lineRule="auto"/>
        <w:jc w:val="both"/>
        <w:rPr>
          <w:rFonts w:eastAsia="Times New Roman" w:cs="Arial"/>
          <w:sz w:val="16"/>
          <w:szCs w:val="16"/>
          <w:lang w:eastAsia="es-ES"/>
        </w:rPr>
      </w:pPr>
    </w:p>
    <w:p w:rsidR="00D46B4D" w:rsidRPr="007608C2" w:rsidRDefault="00D46B4D" w:rsidP="00D46B4D">
      <w:pPr>
        <w:autoSpaceDE w:val="0"/>
        <w:autoSpaceDN w:val="0"/>
        <w:adjustRightInd w:val="0"/>
        <w:spacing w:after="0" w:line="240" w:lineRule="auto"/>
        <w:jc w:val="both"/>
        <w:rPr>
          <w:rFonts w:cs="Arial"/>
          <w:lang w:val="es-CO" w:eastAsia="es-CO"/>
        </w:rPr>
      </w:pPr>
      <w:r w:rsidRPr="007608C2">
        <w:rPr>
          <w:rFonts w:cs="Arial"/>
          <w:lang w:val="es-CO" w:eastAsia="es-CO"/>
        </w:rPr>
        <w:t>Es importante destacar:</w:t>
      </w:r>
    </w:p>
    <w:p w:rsidR="00D46B4D" w:rsidRPr="007608C2" w:rsidRDefault="00D46B4D" w:rsidP="00D46B4D">
      <w:pPr>
        <w:autoSpaceDE w:val="0"/>
        <w:autoSpaceDN w:val="0"/>
        <w:adjustRightInd w:val="0"/>
        <w:spacing w:after="0" w:line="240" w:lineRule="auto"/>
        <w:jc w:val="both"/>
        <w:rPr>
          <w:rFonts w:cs="Arial"/>
          <w:lang w:val="es-CO" w:eastAsia="es-CO"/>
        </w:rPr>
      </w:pPr>
    </w:p>
    <w:p w:rsidR="00D46B4D" w:rsidRDefault="00D46B4D" w:rsidP="00A44A2B">
      <w:pPr>
        <w:numPr>
          <w:ilvl w:val="0"/>
          <w:numId w:val="86"/>
        </w:numPr>
        <w:spacing w:after="0" w:line="240" w:lineRule="auto"/>
        <w:jc w:val="both"/>
        <w:rPr>
          <w:rFonts w:eastAsia="Times New Roman" w:cs="Arial"/>
        </w:rPr>
      </w:pPr>
      <w:r w:rsidRPr="007608C2">
        <w:rPr>
          <w:rFonts w:eastAsia="Times New Roman" w:cs="Arial"/>
        </w:rPr>
        <w:t>Posicionamiento de la modalidad UNAFA en la articulación con instituciones del SNBF.</w:t>
      </w:r>
    </w:p>
    <w:p w:rsidR="00B44755" w:rsidRPr="007608C2" w:rsidRDefault="00B44755" w:rsidP="00B44755">
      <w:pPr>
        <w:spacing w:after="0" w:line="240" w:lineRule="auto"/>
        <w:ind w:left="360"/>
        <w:jc w:val="both"/>
        <w:rPr>
          <w:rFonts w:eastAsia="Times New Roman" w:cs="Arial"/>
        </w:rPr>
      </w:pPr>
    </w:p>
    <w:p w:rsidR="00D46B4D" w:rsidRDefault="00D46B4D" w:rsidP="00A44A2B">
      <w:pPr>
        <w:numPr>
          <w:ilvl w:val="0"/>
          <w:numId w:val="86"/>
        </w:numPr>
        <w:spacing w:after="0" w:line="240" w:lineRule="auto"/>
        <w:jc w:val="both"/>
        <w:rPr>
          <w:rFonts w:eastAsia="Times New Roman" w:cs="Arial"/>
        </w:rPr>
      </w:pPr>
      <w:r w:rsidRPr="007608C2">
        <w:rPr>
          <w:rFonts w:eastAsia="Times New Roman" w:cs="Arial"/>
        </w:rPr>
        <w:t>Articulación entre la Regional y facilitadores para reportar situaciones a las Autoridades Administrativas.</w:t>
      </w:r>
    </w:p>
    <w:p w:rsidR="00B44755" w:rsidRPr="007608C2" w:rsidRDefault="00B44755" w:rsidP="00B44755">
      <w:pPr>
        <w:spacing w:after="0" w:line="240" w:lineRule="auto"/>
        <w:jc w:val="both"/>
        <w:rPr>
          <w:rFonts w:eastAsia="Times New Roman" w:cs="Arial"/>
        </w:rPr>
      </w:pPr>
    </w:p>
    <w:p w:rsidR="00D46B4D" w:rsidRDefault="00D46B4D" w:rsidP="00A44A2B">
      <w:pPr>
        <w:numPr>
          <w:ilvl w:val="0"/>
          <w:numId w:val="86"/>
        </w:numPr>
        <w:spacing w:after="0" w:line="240" w:lineRule="auto"/>
        <w:jc w:val="both"/>
        <w:rPr>
          <w:rFonts w:eastAsia="Times New Roman" w:cs="Arial"/>
        </w:rPr>
      </w:pPr>
      <w:r w:rsidRPr="007608C2">
        <w:rPr>
          <w:rFonts w:eastAsia="Times New Roman" w:cs="Arial"/>
        </w:rPr>
        <w:t>Intercambio de experiencias desde el equipo de las defensorías con los facilitadores.</w:t>
      </w:r>
    </w:p>
    <w:p w:rsidR="00B44755" w:rsidRPr="007608C2" w:rsidRDefault="00B44755" w:rsidP="00B44755">
      <w:pPr>
        <w:spacing w:after="0" w:line="240" w:lineRule="auto"/>
        <w:jc w:val="both"/>
        <w:rPr>
          <w:rFonts w:eastAsia="Times New Roman" w:cs="Arial"/>
        </w:rPr>
      </w:pPr>
    </w:p>
    <w:p w:rsidR="00D46B4D" w:rsidRDefault="00D46B4D" w:rsidP="00A44A2B">
      <w:pPr>
        <w:numPr>
          <w:ilvl w:val="0"/>
          <w:numId w:val="86"/>
        </w:numPr>
        <w:spacing w:after="0" w:line="240" w:lineRule="auto"/>
        <w:jc w:val="both"/>
        <w:rPr>
          <w:rFonts w:eastAsia="Times New Roman" w:cs="Arial"/>
        </w:rPr>
      </w:pPr>
      <w:r w:rsidRPr="007608C2">
        <w:rPr>
          <w:rFonts w:eastAsia="Times New Roman" w:cs="Arial"/>
        </w:rPr>
        <w:t>Gestiones a través del convenio ICBF-SENA.</w:t>
      </w:r>
    </w:p>
    <w:p w:rsidR="00B44755" w:rsidRPr="007608C2" w:rsidRDefault="00B44755" w:rsidP="00B44755">
      <w:pPr>
        <w:spacing w:after="0" w:line="240" w:lineRule="auto"/>
        <w:jc w:val="both"/>
        <w:rPr>
          <w:rFonts w:eastAsia="Times New Roman" w:cs="Arial"/>
        </w:rPr>
      </w:pPr>
    </w:p>
    <w:p w:rsidR="00D46B4D" w:rsidRPr="00B44755" w:rsidRDefault="00D46B4D" w:rsidP="00A44A2B">
      <w:pPr>
        <w:numPr>
          <w:ilvl w:val="0"/>
          <w:numId w:val="86"/>
        </w:numPr>
        <w:spacing w:after="0" w:line="240" w:lineRule="auto"/>
        <w:jc w:val="both"/>
        <w:rPr>
          <w:rFonts w:eastAsia="Times New Roman" w:cs="Arial"/>
        </w:rPr>
      </w:pPr>
      <w:r w:rsidRPr="007608C2">
        <w:rPr>
          <w:rFonts w:cs="Arial"/>
        </w:rPr>
        <w:t>Se impulsaron procesos en beneficio de todas las familias PARD.</w:t>
      </w:r>
    </w:p>
    <w:p w:rsidR="00B44755" w:rsidRPr="007608C2" w:rsidRDefault="00B44755" w:rsidP="00B44755">
      <w:pPr>
        <w:spacing w:after="0" w:line="240" w:lineRule="auto"/>
        <w:jc w:val="both"/>
        <w:rPr>
          <w:rFonts w:eastAsia="Times New Roman" w:cs="Arial"/>
        </w:rPr>
      </w:pPr>
    </w:p>
    <w:p w:rsidR="00D46B4D" w:rsidRDefault="00D46B4D" w:rsidP="00A44A2B">
      <w:pPr>
        <w:numPr>
          <w:ilvl w:val="0"/>
          <w:numId w:val="86"/>
        </w:numPr>
        <w:spacing w:after="0" w:line="240" w:lineRule="auto"/>
        <w:jc w:val="both"/>
        <w:rPr>
          <w:rFonts w:cs="Arial"/>
        </w:rPr>
      </w:pPr>
      <w:r w:rsidRPr="007608C2">
        <w:rPr>
          <w:rFonts w:cs="Arial"/>
        </w:rPr>
        <w:t>Se ha interiorizado y comprendido el trabajo a realizar en torno al fortalecimiento de las dinámicas familiares; los objetivos asociados a esta estrategia han recobrado valor, están visibilizados y se articulan con los componentes de apoyo.</w:t>
      </w:r>
    </w:p>
    <w:p w:rsidR="00B44755" w:rsidRPr="007608C2" w:rsidRDefault="00B44755" w:rsidP="00B44755">
      <w:pPr>
        <w:spacing w:after="0" w:line="240" w:lineRule="auto"/>
        <w:jc w:val="both"/>
        <w:rPr>
          <w:rFonts w:cs="Arial"/>
        </w:rPr>
      </w:pPr>
    </w:p>
    <w:p w:rsidR="00D46B4D" w:rsidRDefault="00D46B4D" w:rsidP="00A44A2B">
      <w:pPr>
        <w:numPr>
          <w:ilvl w:val="0"/>
          <w:numId w:val="86"/>
        </w:numPr>
        <w:spacing w:after="0" w:line="240" w:lineRule="auto"/>
        <w:jc w:val="both"/>
        <w:rPr>
          <w:rFonts w:cs="Arial"/>
        </w:rPr>
      </w:pPr>
      <w:r w:rsidRPr="007608C2">
        <w:rPr>
          <w:rFonts w:cs="Arial"/>
        </w:rPr>
        <w:t>La pertinencia de las modalidades y los proyectos frente a las necesidades de las comunidades y el proceso de concertación desarrollado.</w:t>
      </w:r>
    </w:p>
    <w:p w:rsidR="00B44755" w:rsidRPr="007608C2" w:rsidRDefault="00B44755" w:rsidP="00B44755">
      <w:pPr>
        <w:spacing w:after="0" w:line="240" w:lineRule="auto"/>
        <w:jc w:val="both"/>
        <w:rPr>
          <w:rFonts w:cs="Arial"/>
        </w:rPr>
      </w:pPr>
    </w:p>
    <w:p w:rsidR="00D46B4D" w:rsidRDefault="00D46B4D" w:rsidP="00A44A2B">
      <w:pPr>
        <w:numPr>
          <w:ilvl w:val="0"/>
          <w:numId w:val="86"/>
        </w:numPr>
        <w:spacing w:after="0" w:line="240" w:lineRule="auto"/>
        <w:jc w:val="both"/>
        <w:rPr>
          <w:rFonts w:cs="Arial"/>
        </w:rPr>
      </w:pPr>
      <w:r w:rsidRPr="007608C2">
        <w:rPr>
          <w:rFonts w:cs="Arial"/>
        </w:rPr>
        <w:t>La participación de los jóvenes, mujeres y ancianos en los proyectos, un intercambio permanente de saberes y una construcción de conocimiento que permite ayudar a la pervivencia de las comunidades y sus culturas.</w:t>
      </w:r>
    </w:p>
    <w:p w:rsidR="00B44755" w:rsidRPr="007608C2" w:rsidRDefault="00B44755" w:rsidP="00B44755">
      <w:pPr>
        <w:spacing w:after="0" w:line="240" w:lineRule="auto"/>
        <w:jc w:val="both"/>
        <w:rPr>
          <w:rFonts w:cs="Arial"/>
        </w:rPr>
      </w:pPr>
    </w:p>
    <w:p w:rsidR="00D46B4D" w:rsidRDefault="00D46B4D" w:rsidP="00A44A2B">
      <w:pPr>
        <w:numPr>
          <w:ilvl w:val="0"/>
          <w:numId w:val="86"/>
        </w:numPr>
        <w:spacing w:after="0" w:line="240" w:lineRule="auto"/>
        <w:jc w:val="both"/>
        <w:rPr>
          <w:rFonts w:cs="Arial"/>
        </w:rPr>
      </w:pPr>
      <w:r w:rsidRPr="007608C2">
        <w:rPr>
          <w:rFonts w:cs="Arial"/>
        </w:rPr>
        <w:t>La contribución permanente a la protección y promoción del patrimonio material e inmaterial de las etnias presentes en el territorio de La Guajira.</w:t>
      </w:r>
    </w:p>
    <w:p w:rsidR="00B44755" w:rsidRPr="007608C2" w:rsidRDefault="00B44755" w:rsidP="00B44755">
      <w:pPr>
        <w:spacing w:after="0" w:line="240" w:lineRule="auto"/>
        <w:jc w:val="both"/>
        <w:rPr>
          <w:rFonts w:cs="Arial"/>
        </w:rPr>
      </w:pPr>
    </w:p>
    <w:p w:rsidR="00D46B4D" w:rsidRDefault="00D46B4D" w:rsidP="00A44A2B">
      <w:pPr>
        <w:numPr>
          <w:ilvl w:val="0"/>
          <w:numId w:val="86"/>
        </w:numPr>
        <w:spacing w:after="0" w:line="240" w:lineRule="auto"/>
        <w:jc w:val="both"/>
        <w:rPr>
          <w:rFonts w:cs="Arial"/>
        </w:rPr>
      </w:pPr>
      <w:r w:rsidRPr="007608C2">
        <w:rPr>
          <w:rFonts w:cs="Arial"/>
        </w:rPr>
        <w:lastRenderedPageBreak/>
        <w:t>Los cambios positivos en las interacciones familiares y comunitarias, un retorno a prácticas de cuidado y enseñanza que son saludables y convenientes para los integrantes de las familias.</w:t>
      </w:r>
    </w:p>
    <w:p w:rsidR="00B44755" w:rsidRPr="007608C2" w:rsidRDefault="00B44755" w:rsidP="00B44755">
      <w:pPr>
        <w:spacing w:after="0" w:line="240" w:lineRule="auto"/>
        <w:jc w:val="both"/>
        <w:rPr>
          <w:rFonts w:cs="Arial"/>
        </w:rPr>
      </w:pPr>
    </w:p>
    <w:p w:rsidR="00D46B4D" w:rsidRDefault="00D46B4D" w:rsidP="00A44A2B">
      <w:pPr>
        <w:numPr>
          <w:ilvl w:val="0"/>
          <w:numId w:val="86"/>
        </w:numPr>
        <w:spacing w:after="0" w:line="240" w:lineRule="auto"/>
        <w:jc w:val="both"/>
        <w:rPr>
          <w:rFonts w:cs="Arial"/>
        </w:rPr>
      </w:pPr>
      <w:r w:rsidRPr="007608C2">
        <w:rPr>
          <w:rFonts w:cs="Arial"/>
        </w:rPr>
        <w:t>Se evidencian acciones de fortalecimiento y visibilización del rol de la mujer y de actividades y estrategias en torno a la construcción de paz.</w:t>
      </w:r>
    </w:p>
    <w:p w:rsidR="00B44755" w:rsidRPr="007608C2" w:rsidRDefault="00B44755" w:rsidP="00B44755">
      <w:pPr>
        <w:spacing w:after="0" w:line="240" w:lineRule="auto"/>
        <w:jc w:val="both"/>
        <w:rPr>
          <w:rFonts w:cs="Arial"/>
        </w:rPr>
      </w:pPr>
    </w:p>
    <w:p w:rsidR="00D46B4D" w:rsidRPr="007608C2" w:rsidRDefault="00D46B4D" w:rsidP="00A44A2B">
      <w:pPr>
        <w:numPr>
          <w:ilvl w:val="0"/>
          <w:numId w:val="86"/>
        </w:numPr>
        <w:spacing w:after="0" w:line="240" w:lineRule="auto"/>
        <w:jc w:val="both"/>
        <w:rPr>
          <w:rFonts w:cs="Arial"/>
        </w:rPr>
      </w:pPr>
      <w:r w:rsidRPr="007608C2">
        <w:rPr>
          <w:rFonts w:cs="Arial"/>
        </w:rPr>
        <w:t>Los componentes de apoyo proveen insumos que impactan positivamente a las comunidades y generan procesos de reflexión, análisis y mejora en las condiciones de vida.</w:t>
      </w:r>
    </w:p>
    <w:p w:rsidR="00D46B4D" w:rsidRPr="007608C2" w:rsidRDefault="00D46B4D" w:rsidP="00D46B4D">
      <w:pPr>
        <w:spacing w:after="0" w:line="240" w:lineRule="auto"/>
        <w:ind w:left="720"/>
        <w:jc w:val="both"/>
        <w:rPr>
          <w:rFonts w:cs="Arial"/>
        </w:rPr>
      </w:pPr>
    </w:p>
    <w:p w:rsidR="00D46B4D" w:rsidRDefault="00B44755" w:rsidP="00A44A2B">
      <w:pPr>
        <w:numPr>
          <w:ilvl w:val="0"/>
          <w:numId w:val="87"/>
        </w:numPr>
        <w:spacing w:before="100" w:beforeAutospacing="1" w:after="100" w:afterAutospacing="1" w:line="240" w:lineRule="auto"/>
        <w:contextualSpacing/>
        <w:jc w:val="both"/>
        <w:rPr>
          <w:rFonts w:cs="Arial"/>
          <w:b/>
          <w:u w:val="single"/>
        </w:rPr>
      </w:pPr>
      <w:r>
        <w:rPr>
          <w:rFonts w:cs="Arial"/>
          <w:b/>
          <w:u w:val="single"/>
        </w:rPr>
        <w:t>Eje de protección</w:t>
      </w:r>
    </w:p>
    <w:p w:rsidR="00B44755" w:rsidRPr="007608C2" w:rsidRDefault="00B44755" w:rsidP="00B44755">
      <w:pPr>
        <w:spacing w:before="100" w:beforeAutospacing="1" w:after="100" w:afterAutospacing="1" w:line="240" w:lineRule="auto"/>
        <w:ind w:left="360"/>
        <w:contextualSpacing/>
        <w:jc w:val="both"/>
        <w:rPr>
          <w:rFonts w:cs="Arial"/>
          <w:b/>
          <w:u w:val="single"/>
        </w:rPr>
      </w:pPr>
    </w:p>
    <w:p w:rsidR="00D46B4D" w:rsidRPr="007608C2" w:rsidRDefault="00D46B4D" w:rsidP="00D46B4D">
      <w:pPr>
        <w:tabs>
          <w:tab w:val="left" w:pos="0"/>
        </w:tabs>
        <w:spacing w:before="100" w:beforeAutospacing="1" w:after="100" w:afterAutospacing="1" w:line="240" w:lineRule="auto"/>
        <w:jc w:val="both"/>
        <w:rPr>
          <w:rFonts w:eastAsia="Times New Roman" w:cs="Arial"/>
          <w:lang w:eastAsia="es-ES"/>
        </w:rPr>
      </w:pPr>
      <w:r w:rsidRPr="007608C2">
        <w:rPr>
          <w:rFonts w:eastAsia="Times New Roman" w:cs="Arial"/>
          <w:lang w:eastAsia="es-ES"/>
        </w:rPr>
        <w:t xml:space="preserve">Desde la Dirección de Protección del ICBF, se adelantan acciones institucionales que promueven el restablecimiento de los derechos de niños, niñas, adolescentes, jóvenes, mujeres gestantes, mujeres lactantes cuantos éstos han sido vulnerados, amenazados o inobservados basados en el cumplimiento de los principios del interés superior del niño y la prevalencia de sus derechos. En este sentido, la oferta de esta Dirección es permanente y se ejecuta por demanda. </w:t>
      </w:r>
    </w:p>
    <w:p w:rsidR="00D46B4D" w:rsidRPr="007608C2" w:rsidRDefault="00D46B4D" w:rsidP="00A44A2B">
      <w:pPr>
        <w:numPr>
          <w:ilvl w:val="0"/>
          <w:numId w:val="88"/>
        </w:numPr>
        <w:spacing w:before="100" w:beforeAutospacing="1" w:after="100" w:afterAutospacing="1" w:line="240" w:lineRule="auto"/>
        <w:contextualSpacing/>
        <w:jc w:val="both"/>
        <w:rPr>
          <w:rFonts w:cs="Arial"/>
          <w:b/>
          <w:u w:val="single"/>
        </w:rPr>
      </w:pPr>
      <w:r w:rsidRPr="007608C2">
        <w:rPr>
          <w:rFonts w:cs="Arial"/>
          <w:b/>
          <w:u w:val="single"/>
        </w:rPr>
        <w:t>Articulación interinstitucional – Sistema Nacional de Bienestar Familiar (SNBF)</w:t>
      </w:r>
    </w:p>
    <w:p w:rsidR="00D46B4D" w:rsidRPr="007608C2" w:rsidRDefault="00D46B4D" w:rsidP="00D46B4D">
      <w:pPr>
        <w:spacing w:before="100" w:beforeAutospacing="1" w:after="100" w:afterAutospacing="1" w:line="240" w:lineRule="auto"/>
        <w:ind w:left="284"/>
        <w:contextualSpacing/>
        <w:jc w:val="both"/>
        <w:rPr>
          <w:rFonts w:cs="Arial"/>
        </w:rPr>
      </w:pPr>
    </w:p>
    <w:p w:rsidR="00D46B4D" w:rsidRPr="007608C2" w:rsidRDefault="00D46B4D" w:rsidP="00D46B4D">
      <w:pPr>
        <w:spacing w:before="100" w:beforeAutospacing="1" w:after="100" w:afterAutospacing="1" w:line="240" w:lineRule="auto"/>
        <w:contextualSpacing/>
        <w:jc w:val="both"/>
        <w:rPr>
          <w:rFonts w:cs="Arial"/>
        </w:rPr>
      </w:pPr>
      <w:r w:rsidRPr="007608C2">
        <w:rPr>
          <w:rFonts w:cs="Arial"/>
          <w:b/>
        </w:rPr>
        <w:t xml:space="preserve">Operación y fortalecimiento de las instancias del SNBF 2016 y 2017: </w:t>
      </w:r>
      <w:r w:rsidRPr="007608C2">
        <w:rPr>
          <w:rFonts w:cs="Arial"/>
        </w:rPr>
        <w:t>En el marco del convenio 1299 suscrito entre ICBF, Save The Children y Unicef, se acompañó al Departamento y los municipios de Dibulla, Fonseca, Hatonuevo, Maicao, Manaure, Riohacha, Uribia, Albania y San Juan, en la construcción de Rutas de Atención Integral para la Primera Infancia- RIA; mediante el desarrollo del Encuentro regional de referentes del SNBF, gestoras territoriales, asesor macroregional y nacional para presentar avances en RIA; la consolidación de los planes de acción de la RIA con proyección al año 2018 con el fin de que se le realice seguimiento desde la MIAF y la consolidación del plan departamental de La Guajira del SNBF.</w:t>
      </w:r>
    </w:p>
    <w:p w:rsidR="00D46B4D" w:rsidRPr="007608C2" w:rsidRDefault="00D46B4D" w:rsidP="00D46B4D">
      <w:pPr>
        <w:spacing w:after="0" w:line="240" w:lineRule="auto"/>
        <w:ind w:left="993"/>
        <w:jc w:val="both"/>
        <w:rPr>
          <w:rFonts w:cs="Arial"/>
        </w:rPr>
      </w:pPr>
    </w:p>
    <w:p w:rsidR="00D46B4D" w:rsidRPr="007608C2" w:rsidRDefault="00D46B4D" w:rsidP="003A2FFC">
      <w:pPr>
        <w:spacing w:after="0" w:line="240" w:lineRule="auto"/>
        <w:jc w:val="both"/>
        <w:rPr>
          <w:rFonts w:cs="Arial"/>
          <w:u w:val="single"/>
        </w:rPr>
      </w:pPr>
      <w:r w:rsidRPr="007608C2">
        <w:rPr>
          <w:rFonts w:cs="Arial"/>
        </w:rPr>
        <w:t>Para el desarrollo de los Consejos de Política Social los entes territoriales fueron acompañadas de forma constante por el SNBF, brindado la asistencia técnica para el funcionamiento de esta instancia. Las sesiones realizadas en 2017 se reportan en el Módulo de Información Territorial –MIT-:</w:t>
      </w: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751"/>
        <w:gridCol w:w="801"/>
        <w:gridCol w:w="801"/>
        <w:gridCol w:w="801"/>
        <w:gridCol w:w="801"/>
        <w:gridCol w:w="541"/>
      </w:tblGrid>
      <w:tr w:rsidR="00D46B4D" w:rsidRPr="00D17348" w:rsidTr="00D17348">
        <w:trPr>
          <w:trHeight w:val="300"/>
          <w:jc w:val="center"/>
        </w:trPr>
        <w:tc>
          <w:tcPr>
            <w:tcW w:w="0" w:type="auto"/>
            <w:vMerge w:val="restart"/>
            <w:shd w:val="clear" w:color="auto" w:fill="76923C"/>
            <w:vAlign w:val="center"/>
            <w:hideMark/>
          </w:tcPr>
          <w:p w:rsidR="00D46B4D" w:rsidRPr="00D17348" w:rsidRDefault="00D17348" w:rsidP="00D46B4D">
            <w:pPr>
              <w:spacing w:after="0" w:line="240" w:lineRule="auto"/>
              <w:jc w:val="center"/>
              <w:rPr>
                <w:rFonts w:eastAsia="Times New Roman" w:cs="Arial"/>
                <w:b/>
                <w:color w:val="FFFFFF" w:themeColor="background1"/>
                <w:sz w:val="18"/>
                <w:szCs w:val="18"/>
                <w:lang w:eastAsia="es-CO"/>
              </w:rPr>
            </w:pPr>
            <w:r w:rsidRPr="00D17348">
              <w:rPr>
                <w:rFonts w:eastAsia="Times New Roman" w:cs="Arial"/>
                <w:b/>
                <w:color w:val="FFFFFF" w:themeColor="background1"/>
                <w:sz w:val="18"/>
                <w:szCs w:val="18"/>
                <w:lang w:eastAsia="es-CO"/>
              </w:rPr>
              <w:t>Municipio</w:t>
            </w:r>
          </w:p>
        </w:tc>
        <w:tc>
          <w:tcPr>
            <w:tcW w:w="0" w:type="auto"/>
            <w:gridSpan w:val="4"/>
            <w:shd w:val="clear" w:color="auto" w:fill="76923C"/>
            <w:vAlign w:val="center"/>
            <w:hideMark/>
          </w:tcPr>
          <w:p w:rsidR="00D46B4D" w:rsidRPr="00D17348" w:rsidRDefault="00D17348" w:rsidP="00D46B4D">
            <w:pPr>
              <w:spacing w:after="0" w:line="240" w:lineRule="auto"/>
              <w:jc w:val="center"/>
              <w:rPr>
                <w:rFonts w:eastAsia="Times New Roman" w:cs="Arial"/>
                <w:b/>
                <w:color w:val="FFFFFF" w:themeColor="background1"/>
                <w:sz w:val="18"/>
                <w:szCs w:val="18"/>
                <w:lang w:eastAsia="es-CO"/>
              </w:rPr>
            </w:pPr>
            <w:r w:rsidRPr="00D17348">
              <w:rPr>
                <w:rFonts w:eastAsia="Times New Roman" w:cs="Arial"/>
                <w:b/>
                <w:color w:val="FFFFFF" w:themeColor="background1"/>
                <w:sz w:val="18"/>
                <w:szCs w:val="18"/>
                <w:lang w:eastAsia="es-CO"/>
              </w:rPr>
              <w:t>Trimestre</w:t>
            </w:r>
          </w:p>
        </w:tc>
        <w:tc>
          <w:tcPr>
            <w:tcW w:w="0" w:type="auto"/>
            <w:vMerge w:val="restart"/>
            <w:shd w:val="clear" w:color="auto" w:fill="76923C"/>
            <w:vAlign w:val="center"/>
            <w:hideMark/>
          </w:tcPr>
          <w:p w:rsidR="00D46B4D" w:rsidRPr="00D17348" w:rsidRDefault="00D17348" w:rsidP="00D46B4D">
            <w:pPr>
              <w:spacing w:after="0" w:line="240" w:lineRule="auto"/>
              <w:jc w:val="center"/>
              <w:rPr>
                <w:rFonts w:eastAsia="Times New Roman" w:cs="Arial"/>
                <w:color w:val="FFFFFF" w:themeColor="background1"/>
                <w:sz w:val="18"/>
                <w:szCs w:val="18"/>
                <w:lang w:eastAsia="es-CO"/>
              </w:rPr>
            </w:pPr>
            <w:r w:rsidRPr="00D17348">
              <w:rPr>
                <w:rFonts w:eastAsia="Times New Roman" w:cs="Arial"/>
                <w:color w:val="FFFFFF" w:themeColor="background1"/>
                <w:sz w:val="18"/>
                <w:szCs w:val="18"/>
                <w:lang w:eastAsia="es-CO"/>
              </w:rPr>
              <w:t>Meta</w:t>
            </w:r>
          </w:p>
        </w:tc>
      </w:tr>
      <w:tr w:rsidR="00D46B4D" w:rsidRPr="00D17348" w:rsidTr="00D17348">
        <w:trPr>
          <w:trHeight w:val="300"/>
          <w:jc w:val="center"/>
        </w:trPr>
        <w:tc>
          <w:tcPr>
            <w:tcW w:w="0" w:type="auto"/>
            <w:vMerge/>
            <w:shd w:val="clear" w:color="auto" w:fill="auto"/>
            <w:vAlign w:val="center"/>
            <w:hideMark/>
          </w:tcPr>
          <w:p w:rsidR="00D46B4D" w:rsidRPr="00D17348" w:rsidRDefault="00D46B4D" w:rsidP="00D46B4D">
            <w:pPr>
              <w:spacing w:after="0" w:line="240" w:lineRule="auto"/>
              <w:rPr>
                <w:rFonts w:eastAsia="Times New Roman" w:cs="Arial"/>
                <w:sz w:val="18"/>
                <w:szCs w:val="18"/>
                <w:lang w:eastAsia="es-CO"/>
              </w:rPr>
            </w:pPr>
          </w:p>
        </w:tc>
        <w:tc>
          <w:tcPr>
            <w:tcW w:w="0" w:type="auto"/>
            <w:shd w:val="clear" w:color="auto" w:fill="EAF1DD" w:themeFill="accent3" w:themeFillTint="33"/>
            <w:vAlign w:val="center"/>
            <w:hideMark/>
          </w:tcPr>
          <w:p w:rsidR="00D46B4D" w:rsidRPr="00D17348" w:rsidRDefault="00D46B4D" w:rsidP="00D46B4D">
            <w:pPr>
              <w:spacing w:after="0" w:line="240" w:lineRule="auto"/>
              <w:jc w:val="center"/>
              <w:rPr>
                <w:rFonts w:eastAsia="Times New Roman" w:cs="Arial"/>
                <w:b/>
                <w:sz w:val="18"/>
                <w:szCs w:val="18"/>
                <w:lang w:eastAsia="es-CO"/>
              </w:rPr>
            </w:pPr>
            <w:r w:rsidRPr="00D17348">
              <w:rPr>
                <w:rFonts w:eastAsia="Times New Roman" w:cs="Arial"/>
                <w:b/>
                <w:sz w:val="18"/>
                <w:szCs w:val="18"/>
                <w:lang w:eastAsia="es-CO"/>
              </w:rPr>
              <w:t>2017-01</w:t>
            </w:r>
          </w:p>
        </w:tc>
        <w:tc>
          <w:tcPr>
            <w:tcW w:w="0" w:type="auto"/>
            <w:shd w:val="clear" w:color="auto" w:fill="EAF1DD" w:themeFill="accent3" w:themeFillTint="33"/>
            <w:vAlign w:val="center"/>
            <w:hideMark/>
          </w:tcPr>
          <w:p w:rsidR="00D46B4D" w:rsidRPr="00D17348" w:rsidRDefault="00D46B4D" w:rsidP="00D46B4D">
            <w:pPr>
              <w:spacing w:after="0" w:line="240" w:lineRule="auto"/>
              <w:jc w:val="center"/>
              <w:rPr>
                <w:rFonts w:eastAsia="Times New Roman" w:cs="Arial"/>
                <w:b/>
                <w:sz w:val="18"/>
                <w:szCs w:val="18"/>
                <w:lang w:eastAsia="es-CO"/>
              </w:rPr>
            </w:pPr>
            <w:r w:rsidRPr="00D17348">
              <w:rPr>
                <w:rFonts w:eastAsia="Times New Roman" w:cs="Arial"/>
                <w:b/>
                <w:sz w:val="18"/>
                <w:szCs w:val="18"/>
                <w:lang w:eastAsia="es-CO"/>
              </w:rPr>
              <w:t>2017-02</w:t>
            </w:r>
          </w:p>
        </w:tc>
        <w:tc>
          <w:tcPr>
            <w:tcW w:w="0" w:type="auto"/>
            <w:shd w:val="clear" w:color="auto" w:fill="EAF1DD" w:themeFill="accent3" w:themeFillTint="33"/>
            <w:vAlign w:val="center"/>
            <w:hideMark/>
          </w:tcPr>
          <w:p w:rsidR="00D46B4D" w:rsidRPr="00D17348" w:rsidRDefault="00D46B4D" w:rsidP="00D46B4D">
            <w:pPr>
              <w:spacing w:after="0" w:line="240" w:lineRule="auto"/>
              <w:jc w:val="center"/>
              <w:rPr>
                <w:rFonts w:eastAsia="Times New Roman" w:cs="Arial"/>
                <w:b/>
                <w:sz w:val="18"/>
                <w:szCs w:val="18"/>
                <w:lang w:eastAsia="es-CO"/>
              </w:rPr>
            </w:pPr>
            <w:r w:rsidRPr="00D17348">
              <w:rPr>
                <w:rFonts w:eastAsia="Times New Roman" w:cs="Arial"/>
                <w:b/>
                <w:sz w:val="18"/>
                <w:szCs w:val="18"/>
                <w:lang w:eastAsia="es-CO"/>
              </w:rPr>
              <w:t>2017-03</w:t>
            </w:r>
          </w:p>
        </w:tc>
        <w:tc>
          <w:tcPr>
            <w:tcW w:w="0" w:type="auto"/>
            <w:shd w:val="clear" w:color="auto" w:fill="EAF1DD" w:themeFill="accent3" w:themeFillTint="33"/>
            <w:vAlign w:val="center"/>
            <w:hideMark/>
          </w:tcPr>
          <w:p w:rsidR="00D46B4D" w:rsidRPr="00D17348" w:rsidRDefault="00D46B4D" w:rsidP="00D46B4D">
            <w:pPr>
              <w:spacing w:after="0" w:line="240" w:lineRule="auto"/>
              <w:jc w:val="center"/>
              <w:rPr>
                <w:rFonts w:eastAsia="Times New Roman" w:cs="Arial"/>
                <w:b/>
                <w:sz w:val="18"/>
                <w:szCs w:val="18"/>
                <w:lang w:eastAsia="es-CO"/>
              </w:rPr>
            </w:pPr>
            <w:r w:rsidRPr="00D17348">
              <w:rPr>
                <w:rFonts w:eastAsia="Times New Roman" w:cs="Arial"/>
                <w:b/>
                <w:sz w:val="18"/>
                <w:szCs w:val="18"/>
                <w:lang w:eastAsia="es-CO"/>
              </w:rPr>
              <w:t>2017-04</w:t>
            </w:r>
          </w:p>
        </w:tc>
        <w:tc>
          <w:tcPr>
            <w:tcW w:w="0" w:type="auto"/>
            <w:vMerge/>
            <w:shd w:val="clear" w:color="auto" w:fill="auto"/>
            <w:vAlign w:val="center"/>
            <w:hideMark/>
          </w:tcPr>
          <w:p w:rsidR="00D46B4D" w:rsidRPr="00D17348" w:rsidRDefault="00D46B4D" w:rsidP="00D46B4D">
            <w:pPr>
              <w:spacing w:after="0" w:line="240" w:lineRule="auto"/>
              <w:rPr>
                <w:rFonts w:eastAsia="Times New Roman" w:cs="Arial"/>
                <w:sz w:val="18"/>
                <w:szCs w:val="18"/>
                <w:lang w:eastAsia="es-CO"/>
              </w:rPr>
            </w:pPr>
          </w:p>
        </w:tc>
      </w:tr>
      <w:tr w:rsidR="00D46B4D" w:rsidRPr="00D17348" w:rsidTr="002A7156">
        <w:trPr>
          <w:trHeight w:val="97"/>
          <w:jc w:val="center"/>
        </w:trPr>
        <w:tc>
          <w:tcPr>
            <w:tcW w:w="0" w:type="auto"/>
            <w:shd w:val="clear" w:color="auto" w:fill="auto"/>
            <w:vAlign w:val="center"/>
            <w:hideMark/>
          </w:tcPr>
          <w:p w:rsidR="00D46B4D" w:rsidRPr="00D17348" w:rsidRDefault="00D46B4D"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Gobernación</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r w:rsidR="00D46B4D" w:rsidRPr="00D17348" w:rsidTr="002A7156">
        <w:trPr>
          <w:trHeight w:val="214"/>
          <w:jc w:val="center"/>
        </w:trPr>
        <w:tc>
          <w:tcPr>
            <w:tcW w:w="0" w:type="auto"/>
            <w:shd w:val="clear" w:color="auto" w:fill="auto"/>
            <w:vAlign w:val="center"/>
            <w:hideMark/>
          </w:tcPr>
          <w:p w:rsidR="00D46B4D" w:rsidRPr="00D17348" w:rsidRDefault="00D46B4D"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Albania</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r w:rsidR="00D46B4D" w:rsidRPr="00D17348" w:rsidTr="002A7156">
        <w:trPr>
          <w:trHeight w:val="50"/>
          <w:jc w:val="center"/>
        </w:trPr>
        <w:tc>
          <w:tcPr>
            <w:tcW w:w="0" w:type="auto"/>
            <w:shd w:val="clear" w:color="auto" w:fill="auto"/>
            <w:vAlign w:val="center"/>
            <w:hideMark/>
          </w:tcPr>
          <w:p w:rsidR="00D46B4D" w:rsidRPr="00D17348" w:rsidRDefault="00D46B4D"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Barrancas</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r w:rsidR="00D46B4D" w:rsidRPr="00D17348" w:rsidTr="002A7156">
        <w:trPr>
          <w:trHeight w:val="50"/>
          <w:jc w:val="center"/>
        </w:trPr>
        <w:tc>
          <w:tcPr>
            <w:tcW w:w="0" w:type="auto"/>
            <w:shd w:val="clear" w:color="auto" w:fill="auto"/>
            <w:vAlign w:val="center"/>
            <w:hideMark/>
          </w:tcPr>
          <w:p w:rsidR="00D46B4D" w:rsidRPr="00D17348" w:rsidRDefault="00D46B4D"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Dibulla</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0</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 </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r w:rsidR="00D46B4D" w:rsidRPr="00D17348" w:rsidTr="002A7156">
        <w:trPr>
          <w:trHeight w:val="128"/>
          <w:jc w:val="center"/>
        </w:trPr>
        <w:tc>
          <w:tcPr>
            <w:tcW w:w="0" w:type="auto"/>
            <w:shd w:val="clear" w:color="auto" w:fill="auto"/>
            <w:vAlign w:val="center"/>
            <w:hideMark/>
          </w:tcPr>
          <w:p w:rsidR="00D46B4D" w:rsidRPr="00D17348" w:rsidRDefault="003A70D3"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Distracción</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0</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2</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r w:rsidR="00D46B4D" w:rsidRPr="00D17348" w:rsidTr="002A7156">
        <w:trPr>
          <w:trHeight w:val="50"/>
          <w:jc w:val="center"/>
        </w:trPr>
        <w:tc>
          <w:tcPr>
            <w:tcW w:w="0" w:type="auto"/>
            <w:shd w:val="clear" w:color="auto" w:fill="auto"/>
            <w:vAlign w:val="center"/>
            <w:hideMark/>
          </w:tcPr>
          <w:p w:rsidR="00D46B4D" w:rsidRPr="00D17348" w:rsidRDefault="00D46B4D"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El Molino</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r w:rsidR="00D46B4D" w:rsidRPr="00D17348" w:rsidTr="002A7156">
        <w:trPr>
          <w:trHeight w:val="80"/>
          <w:jc w:val="center"/>
        </w:trPr>
        <w:tc>
          <w:tcPr>
            <w:tcW w:w="0" w:type="auto"/>
            <w:shd w:val="clear" w:color="auto" w:fill="auto"/>
            <w:vAlign w:val="center"/>
            <w:hideMark/>
          </w:tcPr>
          <w:p w:rsidR="00D46B4D" w:rsidRPr="00D17348" w:rsidRDefault="00D46B4D"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Fonseca</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 </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2</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r w:rsidR="00D46B4D" w:rsidRPr="00D17348" w:rsidTr="003A70D3">
        <w:trPr>
          <w:trHeight w:val="55"/>
          <w:jc w:val="center"/>
        </w:trPr>
        <w:tc>
          <w:tcPr>
            <w:tcW w:w="0" w:type="auto"/>
            <w:shd w:val="clear" w:color="auto" w:fill="auto"/>
            <w:vAlign w:val="center"/>
            <w:hideMark/>
          </w:tcPr>
          <w:p w:rsidR="00D46B4D" w:rsidRPr="00D17348" w:rsidRDefault="00D46B4D"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Hatonuevo</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r w:rsidR="00D46B4D" w:rsidRPr="00D17348" w:rsidTr="003A70D3">
        <w:trPr>
          <w:trHeight w:val="160"/>
          <w:jc w:val="center"/>
        </w:trPr>
        <w:tc>
          <w:tcPr>
            <w:tcW w:w="0" w:type="auto"/>
            <w:shd w:val="clear" w:color="auto" w:fill="auto"/>
            <w:vAlign w:val="center"/>
            <w:hideMark/>
          </w:tcPr>
          <w:p w:rsidR="00D46B4D" w:rsidRPr="00D17348" w:rsidRDefault="00D46B4D"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La Jagua Del Pilar</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r w:rsidR="00D46B4D" w:rsidRPr="00D17348" w:rsidTr="003A70D3">
        <w:trPr>
          <w:trHeight w:val="135"/>
          <w:jc w:val="center"/>
        </w:trPr>
        <w:tc>
          <w:tcPr>
            <w:tcW w:w="0" w:type="auto"/>
            <w:shd w:val="clear" w:color="auto" w:fill="auto"/>
            <w:vAlign w:val="center"/>
            <w:hideMark/>
          </w:tcPr>
          <w:p w:rsidR="00D46B4D" w:rsidRPr="00D17348" w:rsidRDefault="00D46B4D"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Maicao</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r w:rsidR="00D46B4D" w:rsidRPr="00D17348" w:rsidTr="003A70D3">
        <w:trPr>
          <w:trHeight w:val="112"/>
          <w:jc w:val="center"/>
        </w:trPr>
        <w:tc>
          <w:tcPr>
            <w:tcW w:w="0" w:type="auto"/>
            <w:shd w:val="clear" w:color="auto" w:fill="auto"/>
            <w:vAlign w:val="center"/>
            <w:hideMark/>
          </w:tcPr>
          <w:p w:rsidR="00D46B4D" w:rsidRPr="00D17348" w:rsidRDefault="00D46B4D"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Manaure</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r w:rsidR="00D46B4D" w:rsidRPr="00D17348" w:rsidTr="003A70D3">
        <w:trPr>
          <w:trHeight w:val="88"/>
          <w:jc w:val="center"/>
        </w:trPr>
        <w:tc>
          <w:tcPr>
            <w:tcW w:w="0" w:type="auto"/>
            <w:shd w:val="clear" w:color="auto" w:fill="auto"/>
            <w:vAlign w:val="center"/>
            <w:hideMark/>
          </w:tcPr>
          <w:p w:rsidR="00D46B4D" w:rsidRPr="00D17348" w:rsidRDefault="00D46B4D"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Riohacha</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 </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2</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r w:rsidR="00D46B4D" w:rsidRPr="00D17348" w:rsidTr="003A70D3">
        <w:trPr>
          <w:trHeight w:val="63"/>
          <w:jc w:val="center"/>
        </w:trPr>
        <w:tc>
          <w:tcPr>
            <w:tcW w:w="0" w:type="auto"/>
            <w:shd w:val="clear" w:color="auto" w:fill="auto"/>
            <w:vAlign w:val="center"/>
            <w:hideMark/>
          </w:tcPr>
          <w:p w:rsidR="00D46B4D" w:rsidRPr="00D17348" w:rsidRDefault="00D46B4D" w:rsidP="00D46B4D">
            <w:pPr>
              <w:spacing w:after="0" w:line="240" w:lineRule="auto"/>
              <w:rPr>
                <w:rFonts w:eastAsia="Times New Roman" w:cs="Arial"/>
                <w:sz w:val="18"/>
                <w:szCs w:val="18"/>
                <w:lang w:eastAsia="es-CO"/>
              </w:rPr>
            </w:pPr>
            <w:r w:rsidRPr="00D17348">
              <w:rPr>
                <w:rFonts w:eastAsia="Times New Roman" w:cs="Arial"/>
                <w:sz w:val="18"/>
                <w:szCs w:val="18"/>
                <w:lang w:eastAsia="es-CO"/>
              </w:rPr>
              <w:lastRenderedPageBreak/>
              <w:t>San Juan Del Cesar</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r w:rsidR="00D46B4D" w:rsidRPr="00D17348" w:rsidTr="003A70D3">
        <w:trPr>
          <w:trHeight w:val="182"/>
          <w:jc w:val="center"/>
        </w:trPr>
        <w:tc>
          <w:tcPr>
            <w:tcW w:w="0" w:type="auto"/>
            <w:shd w:val="clear" w:color="auto" w:fill="auto"/>
            <w:vAlign w:val="center"/>
            <w:hideMark/>
          </w:tcPr>
          <w:p w:rsidR="00D46B4D" w:rsidRPr="00D17348" w:rsidRDefault="00D46B4D"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Uribia</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0</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 </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r w:rsidR="00D46B4D" w:rsidRPr="00D17348" w:rsidTr="002A7156">
        <w:trPr>
          <w:trHeight w:val="50"/>
          <w:jc w:val="center"/>
        </w:trPr>
        <w:tc>
          <w:tcPr>
            <w:tcW w:w="0" w:type="auto"/>
            <w:shd w:val="clear" w:color="auto" w:fill="auto"/>
            <w:vAlign w:val="center"/>
            <w:hideMark/>
          </w:tcPr>
          <w:p w:rsidR="00D46B4D" w:rsidRPr="00D17348" w:rsidRDefault="00D46B4D"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Urumita</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r w:rsidR="00D46B4D" w:rsidRPr="00D17348" w:rsidTr="002A7156">
        <w:trPr>
          <w:trHeight w:val="50"/>
          <w:jc w:val="center"/>
        </w:trPr>
        <w:tc>
          <w:tcPr>
            <w:tcW w:w="0" w:type="auto"/>
            <w:shd w:val="clear" w:color="auto" w:fill="auto"/>
            <w:vAlign w:val="center"/>
            <w:hideMark/>
          </w:tcPr>
          <w:p w:rsidR="00D46B4D" w:rsidRPr="00D17348" w:rsidRDefault="00D46B4D" w:rsidP="00D46B4D">
            <w:pPr>
              <w:spacing w:after="0" w:line="240" w:lineRule="auto"/>
              <w:rPr>
                <w:rFonts w:eastAsia="Times New Roman" w:cs="Arial"/>
                <w:sz w:val="18"/>
                <w:szCs w:val="18"/>
                <w:lang w:eastAsia="es-CO"/>
              </w:rPr>
            </w:pPr>
            <w:r w:rsidRPr="00D17348">
              <w:rPr>
                <w:rFonts w:eastAsia="Times New Roman" w:cs="Arial"/>
                <w:sz w:val="18"/>
                <w:szCs w:val="18"/>
                <w:lang w:eastAsia="es-CO"/>
              </w:rPr>
              <w:t>Villanueva</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1</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sz w:val="18"/>
                <w:szCs w:val="18"/>
                <w:lang w:eastAsia="es-CO"/>
              </w:rPr>
            </w:pPr>
            <w:r w:rsidRPr="00D17348">
              <w:rPr>
                <w:rFonts w:eastAsia="Times New Roman" w:cs="Arial"/>
                <w:sz w:val="18"/>
                <w:szCs w:val="18"/>
                <w:lang w:eastAsia="es-CO"/>
              </w:rPr>
              <w:t> </w:t>
            </w:r>
          </w:p>
        </w:tc>
        <w:tc>
          <w:tcPr>
            <w:tcW w:w="0" w:type="auto"/>
            <w:shd w:val="clear" w:color="auto" w:fill="auto"/>
            <w:vAlign w:val="center"/>
            <w:hideMark/>
          </w:tcPr>
          <w:p w:rsidR="00D46B4D" w:rsidRPr="00D17348" w:rsidRDefault="00D46B4D" w:rsidP="00D46B4D">
            <w:pPr>
              <w:spacing w:after="0" w:line="240" w:lineRule="auto"/>
              <w:jc w:val="center"/>
              <w:rPr>
                <w:rFonts w:eastAsia="Times New Roman" w:cs="Arial"/>
                <w:i/>
                <w:iCs/>
                <w:sz w:val="18"/>
                <w:szCs w:val="18"/>
                <w:lang w:eastAsia="es-CO"/>
              </w:rPr>
            </w:pPr>
            <w:r w:rsidRPr="00D17348">
              <w:rPr>
                <w:rFonts w:eastAsia="Times New Roman" w:cs="Arial"/>
                <w:i/>
                <w:iCs/>
                <w:sz w:val="18"/>
                <w:szCs w:val="18"/>
                <w:lang w:eastAsia="es-CO"/>
              </w:rPr>
              <w:t>4</w:t>
            </w:r>
          </w:p>
        </w:tc>
      </w:tr>
    </w:tbl>
    <w:p w:rsidR="00D46B4D" w:rsidRPr="00D17348" w:rsidRDefault="00D46B4D" w:rsidP="00D17348">
      <w:pPr>
        <w:spacing w:after="0" w:line="240" w:lineRule="auto"/>
        <w:jc w:val="center"/>
        <w:rPr>
          <w:rFonts w:cs="Arial"/>
          <w:sz w:val="16"/>
          <w:szCs w:val="16"/>
        </w:rPr>
      </w:pPr>
      <w:r w:rsidRPr="00D17348">
        <w:rPr>
          <w:rFonts w:cs="Arial"/>
          <w:sz w:val="16"/>
          <w:szCs w:val="16"/>
        </w:rPr>
        <w:t>Fuente: Módulo de Información Territorial –MIT-, 15 de enero de 2018</w:t>
      </w:r>
    </w:p>
    <w:p w:rsidR="00D46B4D" w:rsidRPr="007608C2" w:rsidRDefault="00D46B4D" w:rsidP="00D17348">
      <w:pPr>
        <w:spacing w:after="0" w:line="240" w:lineRule="auto"/>
        <w:jc w:val="center"/>
        <w:rPr>
          <w:rFonts w:cs="Arial"/>
        </w:rPr>
      </w:pPr>
    </w:p>
    <w:p w:rsidR="00D46B4D" w:rsidRPr="007608C2" w:rsidRDefault="00D46B4D" w:rsidP="00D46B4D">
      <w:pPr>
        <w:spacing w:after="0" w:line="240" w:lineRule="auto"/>
        <w:jc w:val="both"/>
        <w:rPr>
          <w:rFonts w:cs="Arial"/>
        </w:rPr>
      </w:pPr>
      <w:r w:rsidRPr="007608C2">
        <w:rPr>
          <w:rFonts w:cs="Arial"/>
        </w:rPr>
        <w:t>A pesar de que los municipios de Dibulla, Uribia y Villanueva no realizaron el registro en el MIT de la última sesión del consejo de política social, según el seguimiento que realiza la Dirección del SNBF es importante señalar que estos municipios sí hicieron sus respectivas sesiones de consejo en el mes de diciembre.</w:t>
      </w:r>
    </w:p>
    <w:p w:rsidR="00D46B4D" w:rsidRPr="007608C2" w:rsidRDefault="00D46B4D" w:rsidP="00D46B4D">
      <w:pPr>
        <w:spacing w:after="0" w:line="240" w:lineRule="auto"/>
        <w:jc w:val="both"/>
        <w:rPr>
          <w:rFonts w:cs="Arial"/>
        </w:rPr>
      </w:pPr>
    </w:p>
    <w:p w:rsidR="00D46B4D" w:rsidRPr="007608C2" w:rsidRDefault="00D46B4D" w:rsidP="00D46B4D">
      <w:pPr>
        <w:spacing w:after="0" w:line="240" w:lineRule="auto"/>
        <w:jc w:val="both"/>
        <w:rPr>
          <w:rFonts w:cs="Arial"/>
        </w:rPr>
      </w:pPr>
      <w:r w:rsidRPr="007608C2">
        <w:rPr>
          <w:rFonts w:cs="Arial"/>
        </w:rPr>
        <w:t xml:space="preserve">Dentro de los principales temas abordados en los consejos de política social estuvieron: Política pública de primera infancia, problemáticas asociadas a la desnutrición, direccionamiento y seguimiento de los recursos CONPES para la primera infancia, mesas de participación de niños, niñas y adolescentes y sistema de seguimiento niño a niño, entre otros. </w:t>
      </w:r>
    </w:p>
    <w:p w:rsidR="00D46B4D" w:rsidRPr="007608C2" w:rsidRDefault="00D46B4D" w:rsidP="00D46B4D">
      <w:pPr>
        <w:spacing w:before="100" w:beforeAutospacing="1" w:after="100" w:afterAutospacing="1" w:line="240" w:lineRule="auto"/>
        <w:contextualSpacing/>
        <w:jc w:val="both"/>
        <w:rPr>
          <w:rFonts w:cs="Arial"/>
          <w:b/>
        </w:rPr>
      </w:pPr>
    </w:p>
    <w:p w:rsidR="00D46B4D" w:rsidRDefault="00D46B4D" w:rsidP="00D46B4D">
      <w:pPr>
        <w:spacing w:before="100" w:beforeAutospacing="1" w:after="100" w:afterAutospacing="1" w:line="240" w:lineRule="auto"/>
        <w:contextualSpacing/>
        <w:jc w:val="both"/>
        <w:rPr>
          <w:rFonts w:cs="Arial"/>
        </w:rPr>
      </w:pPr>
      <w:r w:rsidRPr="007608C2">
        <w:rPr>
          <w:rFonts w:cs="Arial"/>
          <w:b/>
        </w:rPr>
        <w:t xml:space="preserve">Fortalecimiento socio-organizativo y del tejido familiar en comunidades de la etnia wayuú 2016 y 2017: </w:t>
      </w:r>
      <w:r w:rsidRPr="007608C2">
        <w:rPr>
          <w:rFonts w:cs="Arial"/>
        </w:rPr>
        <w:t>Este proyecto llevado a cabo en convenio con la fundación Fundalianza en los municipios Manaure, Uribia, Riohacha y Maicao, finalizó el 30 de noviembre de 2017. Dentro de las acciones que se han adelantado, de acuerdo con el plan operativo del proyecto, se destacan:</w:t>
      </w:r>
    </w:p>
    <w:p w:rsidR="002A7156" w:rsidRDefault="002A7156" w:rsidP="00D46B4D">
      <w:pPr>
        <w:spacing w:before="100" w:beforeAutospacing="1" w:after="100" w:afterAutospacing="1" w:line="240" w:lineRule="auto"/>
        <w:contextualSpacing/>
        <w:jc w:val="both"/>
        <w:rPr>
          <w:rFonts w:cs="Arial"/>
        </w:rPr>
      </w:pPr>
    </w:p>
    <w:p w:rsidR="002A7156" w:rsidRDefault="00D46B4D" w:rsidP="00A44A2B">
      <w:pPr>
        <w:numPr>
          <w:ilvl w:val="0"/>
          <w:numId w:val="89"/>
        </w:numPr>
        <w:spacing w:before="100" w:beforeAutospacing="1" w:after="100" w:afterAutospacing="1" w:line="240" w:lineRule="auto"/>
        <w:contextualSpacing/>
        <w:jc w:val="both"/>
        <w:rPr>
          <w:rFonts w:cs="Arial"/>
        </w:rPr>
      </w:pPr>
      <w:r w:rsidRPr="007608C2">
        <w:rPr>
          <w:rFonts w:cs="Arial"/>
        </w:rPr>
        <w:t>Se realizó evaluación de satisfacción en donde se midió en términos cuantitativos y cualitativos la calidad del proceso.</w:t>
      </w:r>
    </w:p>
    <w:p w:rsidR="002A7156" w:rsidRPr="002A7156" w:rsidRDefault="002A7156" w:rsidP="002A7156">
      <w:pPr>
        <w:spacing w:before="100" w:beforeAutospacing="1" w:after="100" w:afterAutospacing="1" w:line="240" w:lineRule="auto"/>
        <w:ind w:left="720"/>
        <w:contextualSpacing/>
        <w:jc w:val="both"/>
        <w:rPr>
          <w:rFonts w:cs="Arial"/>
        </w:rPr>
      </w:pPr>
    </w:p>
    <w:p w:rsidR="00D46B4D" w:rsidRDefault="00D46B4D" w:rsidP="00A44A2B">
      <w:pPr>
        <w:numPr>
          <w:ilvl w:val="0"/>
          <w:numId w:val="89"/>
        </w:numPr>
        <w:spacing w:before="100" w:beforeAutospacing="1" w:after="100" w:afterAutospacing="1" w:line="240" w:lineRule="auto"/>
        <w:contextualSpacing/>
        <w:jc w:val="both"/>
        <w:rPr>
          <w:rFonts w:cs="Arial"/>
        </w:rPr>
      </w:pPr>
      <w:r w:rsidRPr="007608C2">
        <w:rPr>
          <w:rFonts w:cs="Arial"/>
        </w:rPr>
        <w:t>Se elaboró un documento de sistematización de resultados, con las lecciones aprendidas y las experiencias adquiridas durante el periodo de los años 2016 – 2017.</w:t>
      </w:r>
    </w:p>
    <w:p w:rsidR="002A7156" w:rsidRPr="007608C2" w:rsidRDefault="002A7156" w:rsidP="002A7156">
      <w:pPr>
        <w:spacing w:before="100" w:beforeAutospacing="1" w:after="100" w:afterAutospacing="1" w:line="240" w:lineRule="auto"/>
        <w:contextualSpacing/>
        <w:jc w:val="both"/>
        <w:rPr>
          <w:rFonts w:cs="Arial"/>
        </w:rPr>
      </w:pPr>
    </w:p>
    <w:p w:rsidR="00D46B4D" w:rsidRDefault="00D46B4D" w:rsidP="00A44A2B">
      <w:pPr>
        <w:numPr>
          <w:ilvl w:val="0"/>
          <w:numId w:val="89"/>
        </w:numPr>
        <w:spacing w:before="100" w:beforeAutospacing="1" w:after="100" w:afterAutospacing="1" w:line="240" w:lineRule="auto"/>
        <w:contextualSpacing/>
        <w:jc w:val="both"/>
        <w:rPr>
          <w:rFonts w:cs="Arial"/>
        </w:rPr>
      </w:pPr>
      <w:r w:rsidRPr="007608C2">
        <w:rPr>
          <w:rFonts w:cs="Arial"/>
        </w:rPr>
        <w:t>Se realizó informe de monitoreo de las 2.500 familias intervenidas durante el 2016 y de los casos reportados de vulneración de derechos de niños, niñas y a</w:t>
      </w:r>
      <w:r w:rsidR="002A7156">
        <w:rPr>
          <w:rFonts w:cs="Arial"/>
        </w:rPr>
        <w:t>dolescentes a agentes del SNBF.</w:t>
      </w:r>
    </w:p>
    <w:p w:rsidR="002A7156" w:rsidRPr="007608C2" w:rsidRDefault="002A7156" w:rsidP="002A7156">
      <w:pPr>
        <w:spacing w:before="100" w:beforeAutospacing="1" w:after="100" w:afterAutospacing="1" w:line="240" w:lineRule="auto"/>
        <w:contextualSpacing/>
        <w:jc w:val="both"/>
        <w:rPr>
          <w:rFonts w:cs="Arial"/>
        </w:rPr>
      </w:pPr>
    </w:p>
    <w:p w:rsidR="00D46B4D" w:rsidRPr="007608C2" w:rsidRDefault="00D46B4D" w:rsidP="00D46B4D">
      <w:pPr>
        <w:spacing w:before="100" w:beforeAutospacing="1" w:after="100" w:afterAutospacing="1" w:line="240" w:lineRule="auto"/>
        <w:contextualSpacing/>
        <w:jc w:val="both"/>
        <w:rPr>
          <w:rFonts w:cs="Arial"/>
        </w:rPr>
      </w:pPr>
      <w:r w:rsidRPr="007608C2">
        <w:rPr>
          <w:rFonts w:cs="Arial"/>
          <w:b/>
        </w:rPr>
        <w:t xml:space="preserve">Jornadas de identificación y registro: </w:t>
      </w:r>
      <w:r w:rsidRPr="007608C2">
        <w:rPr>
          <w:rFonts w:cs="Arial"/>
        </w:rPr>
        <w:t>Para la vigencia 2017, desde el 27 de enero se adelantaron las jornadas de documentación, registro e identificación en los municipios de Dibulla, Albania, La Jagua del Pilar, El Molino, Riohacha, Hatonuevo, Barrancas, Fonseca, Maicao, Manaure y Uribía, donde se han identificado 19.565 personas así Registro Civil de Nacimiento: 3.697, Tarjetas de Identidad: 8.104 y Cedulas de Ciudadanía: 7.764. Lo anterior corresponde al 61% de la población entre niños, niñas, adolescentes y jóvenes.</w:t>
      </w:r>
    </w:p>
    <w:p w:rsidR="00F25CAB" w:rsidRPr="007608C2" w:rsidRDefault="00F25CAB" w:rsidP="00D46B4D">
      <w:pPr>
        <w:pBdr>
          <w:top w:val="nil"/>
          <w:left w:val="nil"/>
          <w:bottom w:val="nil"/>
          <w:right w:val="nil"/>
          <w:between w:val="nil"/>
          <w:bar w:val="nil"/>
        </w:pBdr>
        <w:spacing w:before="100" w:beforeAutospacing="1" w:after="100" w:afterAutospacing="1" w:line="240" w:lineRule="auto"/>
        <w:jc w:val="both"/>
        <w:rPr>
          <w:rFonts w:cs="Arial"/>
          <w:b/>
        </w:rPr>
      </w:pPr>
    </w:p>
    <w:p w:rsidR="00D46B4D" w:rsidRPr="007608C2" w:rsidRDefault="00D46B4D" w:rsidP="00D46B4D">
      <w:pPr>
        <w:pBdr>
          <w:top w:val="nil"/>
          <w:left w:val="nil"/>
          <w:bottom w:val="nil"/>
          <w:right w:val="nil"/>
          <w:between w:val="nil"/>
          <w:bar w:val="nil"/>
        </w:pBdr>
        <w:spacing w:before="100" w:beforeAutospacing="1" w:after="100" w:afterAutospacing="1" w:line="240" w:lineRule="auto"/>
        <w:jc w:val="both"/>
        <w:rPr>
          <w:rFonts w:cs="Arial"/>
        </w:rPr>
      </w:pPr>
      <w:r w:rsidRPr="007608C2">
        <w:rPr>
          <w:rFonts w:cs="Arial"/>
          <w:b/>
        </w:rPr>
        <w:t>Diseño del Sistema de Información Unificado para La Guajira</w:t>
      </w:r>
      <w:r w:rsidRPr="007608C2">
        <w:rPr>
          <w:rFonts w:cs="Arial"/>
        </w:rPr>
        <w:t>: Para la implementación del proyecto piloto del Sistema de Información Interinstitucional y la caracterización inicial requerida, los equipos técnicos de Prosperidad Social, ICBF y el DANE trabajaron en la construcción de un documento preliminar del formulario de levantamiento de información, el cual contiene 11 capítulos y tiene como objetivo conocer las condiciones de las comunidades de Uribia, Manaure, Riohacha y Maicao del pueblo wayuu en términos de acceso al agua, alimentación y salud.</w:t>
      </w:r>
    </w:p>
    <w:p w:rsidR="00D46B4D" w:rsidRPr="007608C2" w:rsidRDefault="00D46B4D" w:rsidP="00D46B4D">
      <w:pPr>
        <w:pBdr>
          <w:top w:val="nil"/>
          <w:left w:val="nil"/>
          <w:bottom w:val="nil"/>
          <w:right w:val="nil"/>
          <w:between w:val="nil"/>
          <w:bar w:val="nil"/>
        </w:pBdr>
        <w:spacing w:before="100" w:beforeAutospacing="1" w:after="100" w:afterAutospacing="1" w:line="240" w:lineRule="auto"/>
        <w:jc w:val="both"/>
        <w:rPr>
          <w:rFonts w:cs="Arial"/>
        </w:rPr>
      </w:pPr>
      <w:r w:rsidRPr="007608C2">
        <w:rPr>
          <w:rFonts w:cs="Arial"/>
        </w:rPr>
        <w:lastRenderedPageBreak/>
        <w:t xml:space="preserve">El documento terminado fue socializado por parte de Prosperidad Social en el mes de agosto a cada una de las Entidades que hacen parte de la Alianza por el Agua y la Vida. Se recibieron observaciones por parte de las entidades, que fueron consolidadas en un documento final. Actualmente se encuentran realizando la malla de validación y el manual que utilizarán los encuestadores. </w:t>
      </w:r>
    </w:p>
    <w:p w:rsidR="00D46B4D" w:rsidRPr="007608C2" w:rsidRDefault="00D46B4D" w:rsidP="00D46B4D">
      <w:pPr>
        <w:pBdr>
          <w:top w:val="nil"/>
          <w:left w:val="nil"/>
          <w:bottom w:val="nil"/>
          <w:right w:val="nil"/>
          <w:between w:val="nil"/>
          <w:bar w:val="nil"/>
        </w:pBdr>
        <w:spacing w:before="100" w:beforeAutospacing="1" w:after="100" w:afterAutospacing="1" w:line="240" w:lineRule="auto"/>
        <w:jc w:val="both"/>
        <w:rPr>
          <w:rFonts w:cs="Arial"/>
        </w:rPr>
      </w:pPr>
      <w:r w:rsidRPr="007608C2">
        <w:rPr>
          <w:rFonts w:cs="Arial"/>
        </w:rPr>
        <w:t>Con respecto al Proyecto de Cooperación Sur-Sur, a la fecha se han realizado 6 videoconferencias de las cuales han participado el Ministerio de Primera Infancia de la Provincia de Salta Argentina, Prosperidad Social, APC y la Cancillería Argentina. En estas videoconferencias se han definido los pasos a seguir en cuanto a migración y adaptación de la plataforma tecnológica en los servidores de Prosperidad Social, así como la presentación de los equipos técnicos los cuales serán los encargados de poner en funcionamiento la herramienta. Actualmente los equipos han realizado las configuraciones de los servicios tecnológicos en los servidores de Prosperidad Social y el equipo del MPI realizo una aplicación móvil de captura de datos acorde a las preguntas contenidas en el formulario de prueba enviado. Esta actividad se encuentra en la etapa de transferencia de conocimientos entre los equipos tecnológicos las cuales están enfocadas en la entender la tecnología utilizada en la aplicación y tener las capacidades de administrar y configurar la herramienta tecnológica por parte del equipo tecnológico de Prosperidad Social. Actualmente el Ministerio de la primera Infancia realizó el envío de una copia de seguridad de la Estructura de Base de Datos y sus códigos, para ir adelantando el estudio de estos y comprender el funcionamiento de la aplicación. Estamos a la espera de la transferencia del código fuente de la aplicación el cual sería entregado después de la firma de acta del acuerdo entre los dos gobiernos.</w:t>
      </w:r>
    </w:p>
    <w:p w:rsidR="00D46B4D" w:rsidRPr="007608C2" w:rsidRDefault="000E0283" w:rsidP="000D0DF1">
      <w:pPr>
        <w:pStyle w:val="Prrafodelista"/>
        <w:keepNext/>
        <w:keepLines/>
        <w:numPr>
          <w:ilvl w:val="2"/>
          <w:numId w:val="160"/>
        </w:numPr>
        <w:spacing w:before="40" w:after="0"/>
        <w:outlineLvl w:val="1"/>
        <w:rPr>
          <w:rFonts w:eastAsiaTheme="majorEastAsia" w:cs="Arial"/>
          <w:b/>
          <w:noProof/>
          <w:szCs w:val="26"/>
        </w:rPr>
      </w:pPr>
      <w:hyperlink w:anchor="_Toc478635890" w:history="1">
        <w:bookmarkStart w:id="119" w:name="_Toc505183078"/>
        <w:bookmarkStart w:id="120" w:name="_Toc504462089"/>
        <w:r w:rsidR="00D46B4D" w:rsidRPr="007608C2">
          <w:rPr>
            <w:rFonts w:eastAsia="Times New Roman" w:cs="Arial"/>
            <w:b/>
            <w:bCs/>
            <w:noProof/>
            <w:kern w:val="32"/>
            <w:szCs w:val="26"/>
          </w:rPr>
          <w:t>Modelo de Enfoque Diferencial de Derechos</w:t>
        </w:r>
        <w:bookmarkEnd w:id="119"/>
        <w:r w:rsidR="00D46B4D" w:rsidRPr="007608C2">
          <w:rPr>
            <w:rFonts w:eastAsia="Times New Roman" w:cs="Arial"/>
            <w:b/>
            <w:bCs/>
            <w:noProof/>
            <w:kern w:val="32"/>
            <w:szCs w:val="26"/>
          </w:rPr>
          <w:t xml:space="preserve"> </w:t>
        </w:r>
        <w:bookmarkEnd w:id="120"/>
      </w:hyperlink>
    </w:p>
    <w:p w:rsidR="00D46B4D" w:rsidRPr="007608C2" w:rsidRDefault="00D46B4D" w:rsidP="00D46B4D">
      <w:pPr>
        <w:spacing w:before="100" w:beforeAutospacing="1" w:after="100" w:afterAutospacing="1" w:line="240" w:lineRule="auto"/>
        <w:jc w:val="both"/>
        <w:rPr>
          <w:rFonts w:cs="Arial"/>
        </w:rPr>
      </w:pPr>
      <w:r w:rsidRPr="007608C2">
        <w:rPr>
          <w:rFonts w:cs="Arial"/>
        </w:rPr>
        <w:t xml:space="preserve">En el marco de las funciones asignadas a la Subdirección General, durante el 2017 se apoyaron y desarrollaron las siguientes acciones:  </w:t>
      </w:r>
    </w:p>
    <w:p w:rsidR="00D46B4D" w:rsidRPr="007608C2" w:rsidRDefault="00D46B4D" w:rsidP="00D46B4D">
      <w:pPr>
        <w:spacing w:before="100" w:beforeAutospacing="1" w:after="100" w:afterAutospacing="1" w:line="240" w:lineRule="auto"/>
        <w:jc w:val="both"/>
        <w:rPr>
          <w:rFonts w:cs="Arial"/>
        </w:rPr>
      </w:pPr>
      <w:r w:rsidRPr="007608C2">
        <w:rPr>
          <w:rFonts w:cs="Arial"/>
        </w:rPr>
        <w:t>Se realizó el ejercicio de revisión del Documento Modelo de Enfoque Diferencial y como resultado de la revisión del mismo, se evidenció que para la implementación, seguimiento y evaluación, era necesario que se aprobará y adoptará mediante acto administrativo, para lo cual s</w:t>
      </w:r>
      <w:r w:rsidR="003C1FF4">
        <w:rPr>
          <w:rFonts w:cs="Arial"/>
        </w:rPr>
        <w:t xml:space="preserve">e expidió la Resolución 12 </w:t>
      </w:r>
      <w:r w:rsidRPr="007608C2">
        <w:rPr>
          <w:rFonts w:cs="Arial"/>
        </w:rPr>
        <w:t>del 2 de marzo de 2017  “por la cual se adopta el Modelo de Enfoque Diferencial de Derechos del Instituto Colombiano de Bienestar Familiar”.</w:t>
      </w:r>
    </w:p>
    <w:p w:rsidR="00D46B4D" w:rsidRPr="007608C2" w:rsidRDefault="00D46B4D" w:rsidP="00D46B4D">
      <w:pPr>
        <w:spacing w:before="100" w:beforeAutospacing="1" w:after="100" w:afterAutospacing="1" w:line="240" w:lineRule="auto"/>
        <w:jc w:val="both"/>
        <w:rPr>
          <w:rFonts w:cs="Arial"/>
        </w:rPr>
      </w:pPr>
      <w:r w:rsidRPr="007608C2">
        <w:rPr>
          <w:rFonts w:cs="Arial"/>
        </w:rPr>
        <w:t>De otra parte, se conformaron las mesas técnicas de los componentes de género, diversidad sexual y étnico, del Modelo, con el objeto de brindar orientaciones técnicas a las direcciones misiones y áreas de apoyo en la implementación del Modelo en los programas y servicios de la entidad; entre otras acciones a destacar se informa:</w:t>
      </w:r>
    </w:p>
    <w:p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Proceso de Asistencia Técnica a las Direcciones Regionales de Arauca, Atlántico, Chocó, Santander, Norte de Santander, Vichada, Guainía, Vaupés, Putumayo, Quindío, Bogotá y Cundinamarca para la formulación de los planes de acciones de implementación del modelo a nivel regional.</w:t>
      </w:r>
    </w:p>
    <w:p w:rsidR="002A7156" w:rsidRPr="007608C2" w:rsidRDefault="002A7156" w:rsidP="002A7156">
      <w:pPr>
        <w:spacing w:before="100" w:beforeAutospacing="1" w:after="100" w:afterAutospacing="1" w:line="240" w:lineRule="auto"/>
        <w:ind w:left="720"/>
        <w:contextualSpacing/>
        <w:jc w:val="both"/>
        <w:rPr>
          <w:rFonts w:cs="Arial"/>
        </w:rPr>
      </w:pPr>
    </w:p>
    <w:p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lastRenderedPageBreak/>
        <w:t>Proceso de acompañamiento a la Defensoría del Pueblo en el Marco del Diplomado dictado a funcionarios y contratistas de la Defensoría del Pueblo y la Procuraduría, en los módulos de enfoque Diferenc</w:t>
      </w:r>
      <w:r w:rsidR="002A7156">
        <w:rPr>
          <w:rFonts w:cs="Arial"/>
        </w:rPr>
        <w:t>ial Étnico y enfoque de Género.</w:t>
      </w:r>
    </w:p>
    <w:p w:rsidR="002A7156" w:rsidRPr="007608C2" w:rsidRDefault="002A7156" w:rsidP="002A7156">
      <w:pPr>
        <w:spacing w:before="100" w:beforeAutospacing="1" w:after="100" w:afterAutospacing="1" w:line="240" w:lineRule="auto"/>
        <w:contextualSpacing/>
        <w:jc w:val="both"/>
        <w:rPr>
          <w:rFonts w:cs="Arial"/>
        </w:rPr>
      </w:pPr>
    </w:p>
    <w:p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Procesos de acompañamiento a las diferentes instancias convocadas por el Ministerio del Interior, la Procuraduría General de la Republica, el Departamento Nacional de Planeación, para la implementación del Enfoque Diferencial.</w:t>
      </w:r>
    </w:p>
    <w:p w:rsidR="002A7156" w:rsidRPr="007608C2" w:rsidRDefault="002A7156" w:rsidP="002A7156">
      <w:pPr>
        <w:spacing w:before="100" w:beforeAutospacing="1" w:after="100" w:afterAutospacing="1" w:line="240" w:lineRule="auto"/>
        <w:contextualSpacing/>
        <w:jc w:val="both"/>
        <w:rPr>
          <w:rFonts w:cs="Arial"/>
        </w:rPr>
      </w:pPr>
    </w:p>
    <w:p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Proceso de acompañamiento para la implementación del enfoque diferencial, en los acuerd</w:t>
      </w:r>
      <w:r w:rsidR="002A7156">
        <w:rPr>
          <w:rFonts w:cs="Arial"/>
        </w:rPr>
        <w:t>os de paz con grupos étnicos.</w:t>
      </w:r>
    </w:p>
    <w:p w:rsidR="002A7156" w:rsidRPr="007608C2" w:rsidRDefault="002A7156" w:rsidP="002A7156">
      <w:pPr>
        <w:spacing w:before="100" w:beforeAutospacing="1" w:after="100" w:afterAutospacing="1" w:line="240" w:lineRule="auto"/>
        <w:contextualSpacing/>
        <w:jc w:val="both"/>
        <w:rPr>
          <w:rFonts w:cs="Arial"/>
        </w:rPr>
      </w:pPr>
    </w:p>
    <w:p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Articulación con las direcciones misionales para brindar respuesta a los diferentes requerimientos en materia de enfoque diferencial.</w:t>
      </w:r>
    </w:p>
    <w:p w:rsidR="003C1FF4" w:rsidRPr="007608C2" w:rsidRDefault="003C1FF4" w:rsidP="003C1FF4">
      <w:pPr>
        <w:spacing w:before="100" w:beforeAutospacing="1" w:after="100" w:afterAutospacing="1" w:line="240" w:lineRule="auto"/>
        <w:contextualSpacing/>
        <w:jc w:val="both"/>
        <w:rPr>
          <w:rFonts w:cs="Arial"/>
        </w:rPr>
      </w:pPr>
    </w:p>
    <w:p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Articulación con las Oficina Asesora Jurídica para la revisión y respuesta de tutelas enmarcadas en la atención concertación y el proceso de consulta previa de grupos étnicos.</w:t>
      </w:r>
    </w:p>
    <w:p w:rsidR="003C1FF4" w:rsidRPr="007608C2" w:rsidRDefault="003C1FF4" w:rsidP="003C1FF4">
      <w:pPr>
        <w:spacing w:before="100" w:beforeAutospacing="1" w:after="100" w:afterAutospacing="1" w:line="240" w:lineRule="auto"/>
        <w:contextualSpacing/>
        <w:jc w:val="both"/>
        <w:rPr>
          <w:rFonts w:cs="Arial"/>
        </w:rPr>
      </w:pPr>
    </w:p>
    <w:p w:rsidR="003C1FF4" w:rsidRPr="003C1FF4" w:rsidRDefault="00D46B4D" w:rsidP="00A44A2B">
      <w:pPr>
        <w:numPr>
          <w:ilvl w:val="0"/>
          <w:numId w:val="151"/>
        </w:numPr>
        <w:spacing w:before="100" w:beforeAutospacing="1" w:after="100" w:afterAutospacing="1" w:line="240" w:lineRule="auto"/>
        <w:contextualSpacing/>
        <w:jc w:val="both"/>
        <w:rPr>
          <w:rFonts w:cs="Arial"/>
        </w:rPr>
      </w:pPr>
      <w:r w:rsidRPr="003C1FF4">
        <w:rPr>
          <w:rFonts w:cs="Arial"/>
        </w:rPr>
        <w:t xml:space="preserve">Acompañamiento a las direcciones misionales en los procesos de concertación en la implementación de programas </w:t>
      </w:r>
      <w:r w:rsidR="003C1FF4" w:rsidRPr="003C1FF4">
        <w:rPr>
          <w:rFonts w:cs="Arial"/>
        </w:rPr>
        <w:t>y servicios con grupos étnicos.</w:t>
      </w:r>
    </w:p>
    <w:p w:rsidR="003C1FF4" w:rsidRDefault="003C1FF4" w:rsidP="003C1FF4">
      <w:pPr>
        <w:spacing w:before="100" w:beforeAutospacing="1" w:after="100" w:afterAutospacing="1" w:line="240" w:lineRule="auto"/>
        <w:contextualSpacing/>
        <w:jc w:val="both"/>
        <w:rPr>
          <w:rFonts w:cs="Arial"/>
        </w:rPr>
      </w:pPr>
    </w:p>
    <w:p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Coordinación con las direcciones misionales para la concertación y seguimiento de los planes de reparación colectiva de sujetos de grupos étnicos.</w:t>
      </w:r>
    </w:p>
    <w:p w:rsidR="003C1FF4" w:rsidRPr="007608C2" w:rsidRDefault="003C1FF4" w:rsidP="003C1FF4">
      <w:pPr>
        <w:spacing w:before="100" w:beforeAutospacing="1" w:after="100" w:afterAutospacing="1" w:line="240" w:lineRule="auto"/>
        <w:ind w:left="720"/>
        <w:contextualSpacing/>
        <w:jc w:val="both"/>
        <w:rPr>
          <w:rFonts w:cs="Arial"/>
        </w:rPr>
      </w:pPr>
    </w:p>
    <w:p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Coordinación con las direcciones misionales para la concertación y seguimiento de las sentencias de restitución de derecho territoriales de sujetos colectivos de grupos étnicos.</w:t>
      </w:r>
    </w:p>
    <w:p w:rsidR="003C1FF4" w:rsidRPr="007608C2" w:rsidRDefault="003C1FF4" w:rsidP="003C1FF4">
      <w:pPr>
        <w:spacing w:before="100" w:beforeAutospacing="1" w:after="100" w:afterAutospacing="1" w:line="240" w:lineRule="auto"/>
        <w:ind w:left="720"/>
        <w:contextualSpacing/>
        <w:jc w:val="both"/>
        <w:rPr>
          <w:rFonts w:cs="Arial"/>
        </w:rPr>
      </w:pPr>
    </w:p>
    <w:p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Acompañamiento a la Dirección de Planeación en el seguimiento de los compromisos del ICBF con grupos étnicos, en el marco del Plan Na</w:t>
      </w:r>
      <w:r w:rsidR="003C1FF4">
        <w:rPr>
          <w:rFonts w:cs="Arial"/>
        </w:rPr>
        <w:t>cional de Desarrollo 2014-2018.</w:t>
      </w:r>
    </w:p>
    <w:p w:rsidR="003C1FF4" w:rsidRPr="007608C2" w:rsidRDefault="003C1FF4" w:rsidP="003C1FF4">
      <w:pPr>
        <w:spacing w:before="100" w:beforeAutospacing="1" w:after="100" w:afterAutospacing="1" w:line="240" w:lineRule="auto"/>
        <w:contextualSpacing/>
        <w:jc w:val="both"/>
        <w:rPr>
          <w:rFonts w:cs="Arial"/>
        </w:rPr>
      </w:pPr>
    </w:p>
    <w:p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Coordinación con el Misterio del Interior para el acompañamiento en los diferentes procesos desarrollados por la entidad con grupos étnicos.</w:t>
      </w:r>
    </w:p>
    <w:p w:rsidR="003C1FF4" w:rsidRPr="007608C2" w:rsidRDefault="003C1FF4" w:rsidP="003C1FF4">
      <w:pPr>
        <w:spacing w:before="100" w:beforeAutospacing="1" w:after="100" w:afterAutospacing="1" w:line="240" w:lineRule="auto"/>
        <w:contextualSpacing/>
        <w:jc w:val="both"/>
        <w:rPr>
          <w:rFonts w:cs="Arial"/>
        </w:rPr>
      </w:pPr>
    </w:p>
    <w:p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Apoyo técnico a la mesa Técnica del Estudio Nacional de la Situación Alimentaria y Nutricional de los Pueblos Indígenas – ENSANI.</w:t>
      </w:r>
    </w:p>
    <w:p w:rsidR="003C1FF4" w:rsidRPr="007608C2" w:rsidRDefault="003C1FF4" w:rsidP="003C1FF4">
      <w:pPr>
        <w:spacing w:before="100" w:beforeAutospacing="1" w:after="100" w:afterAutospacing="1" w:line="240" w:lineRule="auto"/>
        <w:contextualSpacing/>
        <w:jc w:val="both"/>
        <w:rPr>
          <w:rFonts w:cs="Arial"/>
        </w:rPr>
      </w:pPr>
    </w:p>
    <w:p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Acompañamiento en los procesos de concertación para la formulación del plan integral de atención humanitaria con enfoque diferencial en el marco del desastre natural de Mocoa.</w:t>
      </w:r>
    </w:p>
    <w:p w:rsidR="003C1FF4" w:rsidRPr="007608C2" w:rsidRDefault="003C1FF4" w:rsidP="003C1FF4">
      <w:pPr>
        <w:spacing w:before="100" w:beforeAutospacing="1" w:after="100" w:afterAutospacing="1" w:line="240" w:lineRule="auto"/>
        <w:contextualSpacing/>
        <w:jc w:val="both"/>
        <w:rPr>
          <w:rFonts w:cs="Arial"/>
        </w:rPr>
      </w:pPr>
    </w:p>
    <w:p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Coordinación con la Oficina de Control Interno de Gestión para la revisión y validación de la respuesta a la auditoria especial de la Contraloría General, en lo relacionado con Enfoque Diferencial.</w:t>
      </w:r>
    </w:p>
    <w:p w:rsidR="003C1FF4" w:rsidRPr="007608C2" w:rsidRDefault="003C1FF4" w:rsidP="003C1FF4">
      <w:pPr>
        <w:spacing w:before="100" w:beforeAutospacing="1" w:after="100" w:afterAutospacing="1" w:line="240" w:lineRule="auto"/>
        <w:contextualSpacing/>
        <w:jc w:val="both"/>
        <w:rPr>
          <w:rFonts w:cs="Arial"/>
        </w:rPr>
      </w:pPr>
    </w:p>
    <w:p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Coordinación con la Oficina de Control Interno de Gestión y las direcciones misionales para la atención de la auditoria especial en el marco del cumplimiento del Objetivo de Desarrollo Sostenible número 5 en materia de derechos de la mujer.</w:t>
      </w:r>
    </w:p>
    <w:p w:rsidR="00AE3066" w:rsidRPr="007608C2" w:rsidRDefault="00AE3066" w:rsidP="00AE3066">
      <w:pPr>
        <w:spacing w:before="100" w:beforeAutospacing="1" w:after="100" w:afterAutospacing="1" w:line="240" w:lineRule="auto"/>
        <w:contextualSpacing/>
        <w:jc w:val="both"/>
        <w:rPr>
          <w:rFonts w:cs="Arial"/>
        </w:rPr>
      </w:pPr>
    </w:p>
    <w:p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Coordinar y acompañar el proceso de seguimiento de los autos de la corte constitucional.</w:t>
      </w:r>
    </w:p>
    <w:p w:rsidR="00AE3066" w:rsidRPr="007608C2" w:rsidRDefault="00AE3066" w:rsidP="00AE3066">
      <w:pPr>
        <w:spacing w:before="100" w:beforeAutospacing="1" w:after="100" w:afterAutospacing="1" w:line="240" w:lineRule="auto"/>
        <w:contextualSpacing/>
        <w:jc w:val="both"/>
        <w:rPr>
          <w:rFonts w:cs="Arial"/>
        </w:rPr>
      </w:pPr>
    </w:p>
    <w:p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Proceso de coordinación y apoyo en el marco del proceso de definición del estatuto Raizal.</w:t>
      </w:r>
    </w:p>
    <w:p w:rsidR="00AE3066" w:rsidRPr="007608C2" w:rsidRDefault="00AE3066" w:rsidP="00AE3066">
      <w:pPr>
        <w:spacing w:before="100" w:beforeAutospacing="1" w:after="100" w:afterAutospacing="1" w:line="240" w:lineRule="auto"/>
        <w:contextualSpacing/>
        <w:jc w:val="both"/>
        <w:rPr>
          <w:rFonts w:cs="Arial"/>
        </w:rPr>
      </w:pPr>
    </w:p>
    <w:p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Proceso de coordinación y apoyo en el marco de la mesa de articulación entre la justicia propia y la justicia ordinaria.</w:t>
      </w:r>
    </w:p>
    <w:p w:rsidR="00AE3066" w:rsidRPr="007608C2" w:rsidRDefault="00AE3066" w:rsidP="00AE3066">
      <w:pPr>
        <w:spacing w:before="100" w:beforeAutospacing="1" w:after="100" w:afterAutospacing="1" w:line="240" w:lineRule="auto"/>
        <w:contextualSpacing/>
        <w:jc w:val="both"/>
        <w:rPr>
          <w:rFonts w:cs="Arial"/>
        </w:rPr>
      </w:pPr>
    </w:p>
    <w:p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Apoyo técnico en el marco de la mesa de la estrategia de detección, atención y prevención de la violencia sexual en pueblos indígenas como compromiso del Plan Nacional de Desarrollo 2014-2018.</w:t>
      </w:r>
    </w:p>
    <w:p w:rsidR="00AE3066" w:rsidRPr="007608C2" w:rsidRDefault="00AE3066" w:rsidP="00AE3066">
      <w:pPr>
        <w:spacing w:before="100" w:beforeAutospacing="1" w:after="100" w:afterAutospacing="1" w:line="240" w:lineRule="auto"/>
        <w:contextualSpacing/>
        <w:jc w:val="both"/>
        <w:rPr>
          <w:rFonts w:cs="Arial"/>
        </w:rPr>
      </w:pPr>
    </w:p>
    <w:p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Apoyo en el marco de la mesa para la definición del capítulo étnico en la formulación de la Política Publica de Trabajo infantil.</w:t>
      </w:r>
    </w:p>
    <w:p w:rsidR="00AE3066" w:rsidRPr="007608C2" w:rsidRDefault="00AE3066" w:rsidP="00AE3066">
      <w:pPr>
        <w:spacing w:before="100" w:beforeAutospacing="1" w:after="100" w:afterAutospacing="1" w:line="240" w:lineRule="auto"/>
        <w:contextualSpacing/>
        <w:jc w:val="both"/>
        <w:rPr>
          <w:rFonts w:cs="Arial"/>
        </w:rPr>
      </w:pPr>
    </w:p>
    <w:p w:rsidR="00010C2E" w:rsidRPr="00010C2E" w:rsidRDefault="00D46B4D" w:rsidP="00A44A2B">
      <w:pPr>
        <w:numPr>
          <w:ilvl w:val="0"/>
          <w:numId w:val="151"/>
        </w:numPr>
        <w:spacing w:before="100" w:beforeAutospacing="1" w:after="100" w:afterAutospacing="1" w:line="240" w:lineRule="auto"/>
        <w:contextualSpacing/>
        <w:jc w:val="both"/>
        <w:rPr>
          <w:rFonts w:cs="Arial"/>
        </w:rPr>
      </w:pPr>
      <w:r w:rsidRPr="00010C2E">
        <w:rPr>
          <w:rFonts w:cs="Arial"/>
        </w:rPr>
        <w:t>Participación en la instancia de la comisión revisión del reglamento de la Comisión Intersectorial de Garantías para las Mujeres Lideresas y Defensoras de los Derechos Humanos.</w:t>
      </w:r>
    </w:p>
    <w:p w:rsidR="00AE3066" w:rsidRPr="007608C2" w:rsidRDefault="00AE3066" w:rsidP="00010C2E">
      <w:pPr>
        <w:spacing w:before="100" w:beforeAutospacing="1" w:after="100" w:afterAutospacing="1" w:line="240" w:lineRule="auto"/>
        <w:ind w:left="720"/>
        <w:contextualSpacing/>
        <w:jc w:val="both"/>
        <w:rPr>
          <w:rFonts w:cs="Arial"/>
        </w:rPr>
      </w:pPr>
    </w:p>
    <w:p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Coordinación con la mesa N</w:t>
      </w:r>
      <w:r w:rsidR="005639EF">
        <w:rPr>
          <w:rFonts w:cs="Arial"/>
        </w:rPr>
        <w:t>acional de Dialogo del pueblo R</w:t>
      </w:r>
      <w:r w:rsidRPr="007608C2">
        <w:rPr>
          <w:rFonts w:cs="Arial"/>
        </w:rPr>
        <w:t>om con el objeto de definir las acciones a desarrollar para el cumplimiento del compromiso del PND  204-2018 en cuanto a la definición del capítulo étnico de la Política de Niñez y Adolescencia.</w:t>
      </w:r>
    </w:p>
    <w:p w:rsidR="00010C2E" w:rsidRPr="007608C2" w:rsidRDefault="00010C2E" w:rsidP="00010C2E">
      <w:pPr>
        <w:spacing w:before="100" w:beforeAutospacing="1" w:after="100" w:afterAutospacing="1" w:line="240" w:lineRule="auto"/>
        <w:ind w:left="720"/>
        <w:contextualSpacing/>
        <w:jc w:val="both"/>
        <w:rPr>
          <w:rFonts w:cs="Arial"/>
        </w:rPr>
      </w:pPr>
    </w:p>
    <w:p w:rsidR="00010C2E"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Coordinación con las Direcciones Regionales de Valle del Cauca, Cauca, Casanare y Choco y con las direcciones misionales para la participación de la entidad en las reuniones de las Mingas desarrolladas por los pueblos indígenas.</w:t>
      </w:r>
    </w:p>
    <w:p w:rsidR="00D46B4D" w:rsidRPr="007608C2" w:rsidRDefault="00D46B4D" w:rsidP="00010C2E">
      <w:pPr>
        <w:spacing w:before="100" w:beforeAutospacing="1" w:after="100" w:afterAutospacing="1" w:line="240" w:lineRule="auto"/>
        <w:ind w:left="720"/>
        <w:contextualSpacing/>
        <w:jc w:val="both"/>
        <w:rPr>
          <w:rFonts w:cs="Arial"/>
        </w:rPr>
      </w:pPr>
      <w:r w:rsidRPr="007608C2">
        <w:rPr>
          <w:rFonts w:cs="Arial"/>
        </w:rPr>
        <w:t xml:space="preserve"> </w:t>
      </w:r>
    </w:p>
    <w:p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Revisión de la resolución de conformación de la comisión interinstitucional por el Agua y la Vida del Choco.</w:t>
      </w:r>
    </w:p>
    <w:p w:rsidR="00010C2E" w:rsidRPr="007608C2" w:rsidRDefault="00010C2E" w:rsidP="00010C2E">
      <w:pPr>
        <w:spacing w:before="100" w:beforeAutospacing="1" w:after="100" w:afterAutospacing="1" w:line="240" w:lineRule="auto"/>
        <w:contextualSpacing/>
        <w:jc w:val="both"/>
        <w:rPr>
          <w:rFonts w:cs="Arial"/>
        </w:rPr>
      </w:pPr>
    </w:p>
    <w:p w:rsidR="00D46B4D"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Revisión de los estatutos de la comisión intersectorial para la protección de mujeres líderes y lideresas.</w:t>
      </w:r>
    </w:p>
    <w:p w:rsidR="00010C2E" w:rsidRPr="007608C2" w:rsidRDefault="00010C2E" w:rsidP="00010C2E">
      <w:pPr>
        <w:spacing w:before="100" w:beforeAutospacing="1" w:after="100" w:afterAutospacing="1" w:line="240" w:lineRule="auto"/>
        <w:contextualSpacing/>
        <w:jc w:val="both"/>
        <w:rPr>
          <w:rFonts w:cs="Arial"/>
        </w:rPr>
      </w:pPr>
    </w:p>
    <w:p w:rsidR="00D46B4D" w:rsidRPr="007608C2" w:rsidRDefault="00D46B4D" w:rsidP="00A44A2B">
      <w:pPr>
        <w:numPr>
          <w:ilvl w:val="0"/>
          <w:numId w:val="151"/>
        </w:numPr>
        <w:spacing w:before="100" w:beforeAutospacing="1" w:after="100" w:afterAutospacing="1" w:line="240" w:lineRule="auto"/>
        <w:contextualSpacing/>
        <w:jc w:val="both"/>
        <w:rPr>
          <w:rFonts w:cs="Arial"/>
        </w:rPr>
      </w:pPr>
      <w:r w:rsidRPr="007608C2">
        <w:rPr>
          <w:rFonts w:cs="Arial"/>
        </w:rPr>
        <w:t>Participación en la mesa técnica de la estrategia de detección, atención y prevención de la violencia sexual en comunidades indígenas.</w:t>
      </w:r>
    </w:p>
    <w:p w:rsidR="00D46B4D" w:rsidRPr="007608C2" w:rsidRDefault="00D46B4D" w:rsidP="00D46B4D">
      <w:pPr>
        <w:autoSpaceDE w:val="0"/>
        <w:autoSpaceDN w:val="0"/>
        <w:spacing w:before="100" w:beforeAutospacing="1" w:after="100" w:afterAutospacing="1" w:line="240" w:lineRule="auto"/>
        <w:ind w:left="349"/>
        <w:contextualSpacing/>
        <w:jc w:val="both"/>
        <w:rPr>
          <w:rFonts w:cs="Arial"/>
        </w:rPr>
      </w:pPr>
    </w:p>
    <w:p w:rsidR="00D46B4D" w:rsidRPr="007608C2" w:rsidRDefault="00D46B4D" w:rsidP="000D0DF1">
      <w:pPr>
        <w:pStyle w:val="Ttulo2"/>
        <w:numPr>
          <w:ilvl w:val="2"/>
          <w:numId w:val="160"/>
        </w:numPr>
        <w:rPr>
          <w:rFonts w:cs="Arial"/>
          <w:b/>
        </w:rPr>
      </w:pPr>
      <w:bookmarkStart w:id="121" w:name="_Toc505183079"/>
      <w:r w:rsidRPr="007608C2">
        <w:rPr>
          <w:rFonts w:cs="Arial"/>
          <w:b/>
        </w:rPr>
        <w:t>Posconflicto</w:t>
      </w:r>
      <w:bookmarkEnd w:id="121"/>
    </w:p>
    <w:p w:rsidR="00D46B4D" w:rsidRPr="007608C2" w:rsidRDefault="00D46B4D" w:rsidP="00D46B4D">
      <w:pPr>
        <w:autoSpaceDE w:val="0"/>
        <w:autoSpaceDN w:val="0"/>
        <w:spacing w:before="100" w:beforeAutospacing="1" w:after="100" w:afterAutospacing="1" w:line="240" w:lineRule="auto"/>
        <w:contextualSpacing/>
        <w:jc w:val="both"/>
        <w:rPr>
          <w:rFonts w:cs="Arial"/>
          <w:b/>
          <w:u w:val="single"/>
        </w:rPr>
      </w:pPr>
      <w:r w:rsidRPr="007608C2">
        <w:rPr>
          <w:rFonts w:cs="Arial"/>
          <w:b/>
          <w:u w:val="single"/>
        </w:rPr>
        <w:t>Desvinculación de niños, niñas y adolescentes de grupos armados al margen de la ley</w:t>
      </w:r>
    </w:p>
    <w:p w:rsidR="00D46B4D" w:rsidRPr="007608C2" w:rsidRDefault="00D46B4D" w:rsidP="00D46B4D">
      <w:pPr>
        <w:autoSpaceDE w:val="0"/>
        <w:autoSpaceDN w:val="0"/>
        <w:adjustRightInd w:val="0"/>
        <w:jc w:val="both"/>
        <w:rPr>
          <w:rFonts w:cs="Arial"/>
        </w:rPr>
      </w:pPr>
    </w:p>
    <w:p w:rsidR="00D46B4D" w:rsidRPr="007608C2" w:rsidRDefault="00D46B4D" w:rsidP="00D46B4D">
      <w:pPr>
        <w:autoSpaceDE w:val="0"/>
        <w:autoSpaceDN w:val="0"/>
        <w:adjustRightInd w:val="0"/>
        <w:jc w:val="both"/>
        <w:rPr>
          <w:rFonts w:cs="Arial"/>
        </w:rPr>
      </w:pPr>
      <w:r w:rsidRPr="007608C2">
        <w:rPr>
          <w:rFonts w:cs="Arial"/>
        </w:rPr>
        <w:t xml:space="preserve">En cumplimiento de las responsabilidades derivadas del acuerdo de paz, así como de sus obligaciones misionales, el ICBF ha trabajado de manera articulada con la Consejería Presidencial para los Derechos Humanos en la implementación del Programa Camino Diferencial </w:t>
      </w:r>
      <w:r w:rsidRPr="007608C2">
        <w:rPr>
          <w:rFonts w:cs="Arial"/>
        </w:rPr>
        <w:lastRenderedPageBreak/>
        <w:t>de Vida, el cual está orientado a la reincorporación de niños, niñas, jóvenes y adolescentes desmovilizados de las FARC – EP, así como en la apertura del Proceso Administrativo de Restablecimiento de Derechos.</w:t>
      </w:r>
    </w:p>
    <w:p w:rsidR="00D46B4D" w:rsidRPr="007608C2" w:rsidRDefault="00D46B4D" w:rsidP="00D46B4D">
      <w:pPr>
        <w:jc w:val="both"/>
        <w:rPr>
          <w:rFonts w:cs="Arial"/>
        </w:rPr>
      </w:pPr>
      <w:r w:rsidRPr="007608C2">
        <w:rPr>
          <w:rFonts w:cs="Arial"/>
        </w:rPr>
        <w:t>El día 11 se septiembre de 2017, se culminó de manera efectiva el proceso de salida de niños, niñas y adolescentes de los campamentos de las FARC-EP, para un total de 124 adolescentes y jóvenes que salieron de los campamentos. En cumplimiento de lo establecido en el marco del programa en su totalidad fueron ubicados en lugares transitorios de acogida (LTA), con los siguientes resultados:</w:t>
      </w:r>
    </w:p>
    <w:tbl>
      <w:tblPr>
        <w:tblW w:w="9395" w:type="dxa"/>
        <w:tblInd w:w="-10"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642"/>
        <w:gridCol w:w="2726"/>
        <w:gridCol w:w="2558"/>
        <w:gridCol w:w="1498"/>
        <w:gridCol w:w="971"/>
      </w:tblGrid>
      <w:tr w:rsidR="00D46B4D" w:rsidRPr="007608C2" w:rsidTr="005639EF">
        <w:trPr>
          <w:cantSplit/>
          <w:trHeight w:val="125"/>
          <w:tblHeader/>
        </w:trPr>
        <w:tc>
          <w:tcPr>
            <w:tcW w:w="1642" w:type="dxa"/>
            <w:shd w:val="clear" w:color="auto" w:fill="76923C"/>
            <w:vAlign w:val="center"/>
            <w:hideMark/>
          </w:tcPr>
          <w:p w:rsidR="00D46B4D" w:rsidRPr="005639EF" w:rsidRDefault="005639EF" w:rsidP="00D46B4D">
            <w:pPr>
              <w:spacing w:after="0"/>
              <w:jc w:val="center"/>
              <w:rPr>
                <w:rFonts w:cs="Arial"/>
                <w:b/>
                <w:bCs/>
                <w:color w:val="FFFFFF" w:themeColor="background1"/>
                <w:sz w:val="18"/>
                <w:szCs w:val="18"/>
              </w:rPr>
            </w:pPr>
            <w:r w:rsidRPr="005639EF">
              <w:rPr>
                <w:rFonts w:cs="Arial"/>
                <w:b/>
                <w:bCs/>
                <w:color w:val="FFFFFF" w:themeColor="background1"/>
                <w:sz w:val="18"/>
                <w:szCs w:val="18"/>
              </w:rPr>
              <w:t>Departamento</w:t>
            </w:r>
          </w:p>
        </w:tc>
        <w:tc>
          <w:tcPr>
            <w:tcW w:w="2726" w:type="dxa"/>
            <w:shd w:val="clear" w:color="auto" w:fill="76923C"/>
            <w:vAlign w:val="center"/>
            <w:hideMark/>
          </w:tcPr>
          <w:p w:rsidR="00D46B4D" w:rsidRPr="005639EF" w:rsidRDefault="005639EF" w:rsidP="00D46B4D">
            <w:pPr>
              <w:spacing w:after="0"/>
              <w:jc w:val="center"/>
              <w:rPr>
                <w:rFonts w:cs="Arial"/>
                <w:b/>
                <w:bCs/>
                <w:color w:val="FFFFFF" w:themeColor="background1"/>
                <w:sz w:val="18"/>
                <w:szCs w:val="18"/>
              </w:rPr>
            </w:pPr>
            <w:r>
              <w:rPr>
                <w:rFonts w:cs="Arial"/>
                <w:b/>
                <w:bCs/>
                <w:color w:val="FFFFFF" w:themeColor="background1"/>
                <w:sz w:val="18"/>
                <w:szCs w:val="18"/>
              </w:rPr>
              <w:t>Zona Veredal d</w:t>
            </w:r>
            <w:r w:rsidRPr="005639EF">
              <w:rPr>
                <w:rFonts w:cs="Arial"/>
                <w:b/>
                <w:bCs/>
                <w:color w:val="FFFFFF" w:themeColor="background1"/>
                <w:sz w:val="18"/>
                <w:szCs w:val="18"/>
              </w:rPr>
              <w:t>e Transición</w:t>
            </w:r>
          </w:p>
        </w:tc>
        <w:tc>
          <w:tcPr>
            <w:tcW w:w="2558" w:type="dxa"/>
            <w:shd w:val="clear" w:color="auto" w:fill="76923C"/>
            <w:vAlign w:val="center"/>
            <w:hideMark/>
          </w:tcPr>
          <w:p w:rsidR="00D46B4D" w:rsidRPr="005639EF" w:rsidRDefault="005639EF" w:rsidP="00D46B4D">
            <w:pPr>
              <w:spacing w:after="0"/>
              <w:jc w:val="center"/>
              <w:rPr>
                <w:rFonts w:cs="Arial"/>
                <w:b/>
                <w:bCs/>
                <w:color w:val="FFFFFF" w:themeColor="background1"/>
                <w:sz w:val="18"/>
                <w:szCs w:val="18"/>
              </w:rPr>
            </w:pPr>
            <w:r>
              <w:rPr>
                <w:rFonts w:cs="Arial"/>
                <w:b/>
                <w:bCs/>
                <w:color w:val="FFFFFF" w:themeColor="background1"/>
                <w:sz w:val="18"/>
                <w:szCs w:val="18"/>
              </w:rPr>
              <w:t>Zona de Recepción de l</w:t>
            </w:r>
            <w:r w:rsidRPr="005639EF">
              <w:rPr>
                <w:rFonts w:cs="Arial"/>
                <w:b/>
                <w:bCs/>
                <w:color w:val="FFFFFF" w:themeColor="background1"/>
                <w:sz w:val="18"/>
                <w:szCs w:val="18"/>
              </w:rPr>
              <w:t>os Adolescentes</w:t>
            </w:r>
          </w:p>
        </w:tc>
        <w:tc>
          <w:tcPr>
            <w:tcW w:w="1498" w:type="dxa"/>
            <w:shd w:val="clear" w:color="auto" w:fill="76923C"/>
            <w:vAlign w:val="center"/>
            <w:hideMark/>
          </w:tcPr>
          <w:p w:rsidR="00D46B4D" w:rsidRPr="005639EF" w:rsidRDefault="005639EF" w:rsidP="00D46B4D">
            <w:pPr>
              <w:spacing w:after="0"/>
              <w:jc w:val="center"/>
              <w:rPr>
                <w:rFonts w:cs="Arial"/>
                <w:b/>
                <w:bCs/>
                <w:color w:val="FFFFFF" w:themeColor="background1"/>
                <w:sz w:val="18"/>
                <w:szCs w:val="18"/>
              </w:rPr>
            </w:pPr>
            <w:r w:rsidRPr="005639EF">
              <w:rPr>
                <w:rFonts w:cs="Arial"/>
                <w:b/>
                <w:bCs/>
                <w:color w:val="FFFFFF" w:themeColor="background1"/>
                <w:sz w:val="18"/>
                <w:szCs w:val="18"/>
              </w:rPr>
              <w:t>Adolescentes Atendidos</w:t>
            </w:r>
          </w:p>
        </w:tc>
        <w:tc>
          <w:tcPr>
            <w:tcW w:w="971" w:type="dxa"/>
            <w:shd w:val="clear" w:color="auto" w:fill="76923C"/>
            <w:vAlign w:val="center"/>
            <w:hideMark/>
          </w:tcPr>
          <w:p w:rsidR="00D46B4D" w:rsidRPr="005639EF" w:rsidRDefault="005639EF" w:rsidP="00D46B4D">
            <w:pPr>
              <w:spacing w:after="0"/>
              <w:jc w:val="center"/>
              <w:rPr>
                <w:rFonts w:cs="Arial"/>
                <w:b/>
                <w:bCs/>
                <w:color w:val="FFFFFF" w:themeColor="background1"/>
                <w:sz w:val="18"/>
                <w:szCs w:val="18"/>
              </w:rPr>
            </w:pPr>
            <w:r>
              <w:rPr>
                <w:rFonts w:cs="Arial"/>
                <w:b/>
                <w:bCs/>
                <w:color w:val="FFFFFF" w:themeColor="background1"/>
                <w:sz w:val="18"/>
                <w:szCs w:val="18"/>
              </w:rPr>
              <w:t>Fecha d</w:t>
            </w:r>
            <w:r w:rsidRPr="005639EF">
              <w:rPr>
                <w:rFonts w:cs="Arial"/>
                <w:b/>
                <w:bCs/>
                <w:color w:val="FFFFFF" w:themeColor="background1"/>
                <w:sz w:val="18"/>
                <w:szCs w:val="18"/>
              </w:rPr>
              <w:t>e Entrega</w:t>
            </w:r>
          </w:p>
        </w:tc>
      </w:tr>
      <w:tr w:rsidR="00D46B4D" w:rsidRPr="007608C2" w:rsidTr="005639EF">
        <w:trPr>
          <w:trHeight w:val="101"/>
        </w:trPr>
        <w:tc>
          <w:tcPr>
            <w:tcW w:w="1642" w:type="dxa"/>
            <w:shd w:val="clear" w:color="auto" w:fill="auto"/>
            <w:vAlign w:val="center"/>
            <w:hideMark/>
          </w:tcPr>
          <w:p w:rsidR="00D46B4D" w:rsidRPr="005639EF" w:rsidRDefault="00D46B4D" w:rsidP="00D46B4D">
            <w:pPr>
              <w:spacing w:after="0"/>
              <w:rPr>
                <w:rFonts w:cs="Arial"/>
                <w:bCs/>
                <w:sz w:val="18"/>
                <w:szCs w:val="18"/>
              </w:rPr>
            </w:pPr>
            <w:r w:rsidRPr="005639EF">
              <w:rPr>
                <w:rFonts w:cs="Arial"/>
                <w:bCs/>
                <w:sz w:val="18"/>
                <w:szCs w:val="18"/>
              </w:rPr>
              <w:t>Antioquia</w:t>
            </w:r>
          </w:p>
        </w:tc>
        <w:tc>
          <w:tcPr>
            <w:tcW w:w="2726" w:type="dxa"/>
            <w:shd w:val="clear" w:color="auto" w:fill="auto"/>
            <w:vAlign w:val="center"/>
            <w:hideMark/>
          </w:tcPr>
          <w:p w:rsidR="00D46B4D" w:rsidRPr="005639EF" w:rsidRDefault="00D46B4D" w:rsidP="00D46B4D">
            <w:pPr>
              <w:spacing w:after="0"/>
              <w:rPr>
                <w:rFonts w:cs="Arial"/>
                <w:sz w:val="18"/>
                <w:szCs w:val="18"/>
              </w:rPr>
            </w:pPr>
            <w:r w:rsidRPr="005639EF">
              <w:rPr>
                <w:rFonts w:cs="Arial"/>
                <w:sz w:val="18"/>
                <w:szCs w:val="18"/>
              </w:rPr>
              <w:t>Santa Lucía - Ituango</w:t>
            </w:r>
          </w:p>
        </w:tc>
        <w:tc>
          <w:tcPr>
            <w:tcW w:w="2558" w:type="dxa"/>
            <w:shd w:val="clear" w:color="auto" w:fill="auto"/>
            <w:vAlign w:val="center"/>
            <w:hideMark/>
          </w:tcPr>
          <w:p w:rsidR="00D46B4D" w:rsidRPr="005639EF" w:rsidRDefault="00D46B4D" w:rsidP="00D46B4D">
            <w:pPr>
              <w:spacing w:after="0"/>
              <w:rPr>
                <w:rFonts w:cs="Arial"/>
                <w:sz w:val="18"/>
                <w:szCs w:val="18"/>
              </w:rPr>
            </w:pPr>
            <w:r w:rsidRPr="005639EF">
              <w:rPr>
                <w:rFonts w:cs="Arial"/>
                <w:sz w:val="18"/>
                <w:szCs w:val="18"/>
              </w:rPr>
              <w:t>LTA Rionegro- Antioquia</w:t>
            </w:r>
          </w:p>
        </w:tc>
        <w:tc>
          <w:tcPr>
            <w:tcW w:w="1498" w:type="dxa"/>
            <w:shd w:val="clear" w:color="auto" w:fill="auto"/>
            <w:vAlign w:val="center"/>
            <w:hideMark/>
          </w:tcPr>
          <w:p w:rsidR="00D46B4D" w:rsidRPr="005639EF" w:rsidRDefault="00D46B4D" w:rsidP="00D46B4D">
            <w:pPr>
              <w:spacing w:after="0"/>
              <w:jc w:val="center"/>
              <w:rPr>
                <w:rFonts w:cs="Arial"/>
                <w:sz w:val="18"/>
                <w:szCs w:val="18"/>
              </w:rPr>
            </w:pPr>
            <w:r w:rsidRPr="005639EF">
              <w:rPr>
                <w:rFonts w:cs="Arial"/>
                <w:sz w:val="18"/>
                <w:szCs w:val="18"/>
              </w:rPr>
              <w:t>13</w:t>
            </w:r>
          </w:p>
        </w:tc>
        <w:tc>
          <w:tcPr>
            <w:tcW w:w="971" w:type="dxa"/>
            <w:shd w:val="clear" w:color="auto" w:fill="auto"/>
            <w:vAlign w:val="center"/>
            <w:hideMark/>
          </w:tcPr>
          <w:p w:rsidR="00D46B4D" w:rsidRPr="005639EF" w:rsidRDefault="00D46B4D" w:rsidP="00D46B4D">
            <w:pPr>
              <w:spacing w:after="0"/>
              <w:jc w:val="right"/>
              <w:rPr>
                <w:rFonts w:cs="Arial"/>
                <w:sz w:val="18"/>
                <w:szCs w:val="18"/>
              </w:rPr>
            </w:pPr>
            <w:r w:rsidRPr="005639EF">
              <w:rPr>
                <w:rFonts w:cs="Arial"/>
                <w:sz w:val="18"/>
                <w:szCs w:val="18"/>
              </w:rPr>
              <w:t>11-sep-16</w:t>
            </w:r>
          </w:p>
        </w:tc>
      </w:tr>
      <w:tr w:rsidR="00D46B4D" w:rsidRPr="007608C2" w:rsidTr="005639EF">
        <w:trPr>
          <w:trHeight w:val="75"/>
        </w:trPr>
        <w:tc>
          <w:tcPr>
            <w:tcW w:w="1642" w:type="dxa"/>
            <w:shd w:val="clear" w:color="auto" w:fill="auto"/>
            <w:vAlign w:val="center"/>
            <w:hideMark/>
          </w:tcPr>
          <w:p w:rsidR="00D46B4D" w:rsidRPr="005639EF" w:rsidRDefault="00D46B4D" w:rsidP="00D46B4D">
            <w:pPr>
              <w:spacing w:after="0"/>
              <w:rPr>
                <w:rFonts w:cs="Arial"/>
                <w:bCs/>
                <w:sz w:val="18"/>
                <w:szCs w:val="18"/>
              </w:rPr>
            </w:pPr>
            <w:r w:rsidRPr="005639EF">
              <w:rPr>
                <w:rFonts w:cs="Arial"/>
                <w:bCs/>
                <w:sz w:val="18"/>
                <w:szCs w:val="18"/>
              </w:rPr>
              <w:t>Antioquia</w:t>
            </w:r>
          </w:p>
        </w:tc>
        <w:tc>
          <w:tcPr>
            <w:tcW w:w="2726" w:type="dxa"/>
            <w:shd w:val="clear" w:color="auto" w:fill="auto"/>
            <w:vAlign w:val="center"/>
            <w:hideMark/>
          </w:tcPr>
          <w:p w:rsidR="00D46B4D" w:rsidRPr="005639EF" w:rsidRDefault="00D46B4D" w:rsidP="00D46B4D">
            <w:pPr>
              <w:spacing w:after="0"/>
              <w:rPr>
                <w:rFonts w:cs="Arial"/>
                <w:sz w:val="18"/>
                <w:szCs w:val="18"/>
              </w:rPr>
            </w:pPr>
            <w:r w:rsidRPr="005639EF">
              <w:rPr>
                <w:rFonts w:cs="Arial"/>
                <w:sz w:val="18"/>
                <w:szCs w:val="18"/>
              </w:rPr>
              <w:t>Llano Grande - Dabeiba y Gallo - Tierralta</w:t>
            </w:r>
          </w:p>
        </w:tc>
        <w:tc>
          <w:tcPr>
            <w:tcW w:w="2558" w:type="dxa"/>
            <w:shd w:val="clear" w:color="auto" w:fill="auto"/>
            <w:vAlign w:val="center"/>
            <w:hideMark/>
          </w:tcPr>
          <w:p w:rsidR="00D46B4D" w:rsidRPr="005639EF" w:rsidRDefault="00D46B4D" w:rsidP="00D46B4D">
            <w:pPr>
              <w:spacing w:after="0"/>
              <w:rPr>
                <w:rFonts w:cs="Arial"/>
                <w:sz w:val="18"/>
                <w:szCs w:val="18"/>
              </w:rPr>
            </w:pPr>
            <w:r w:rsidRPr="005639EF">
              <w:rPr>
                <w:rFonts w:cs="Arial"/>
                <w:sz w:val="18"/>
                <w:szCs w:val="18"/>
              </w:rPr>
              <w:t>LTA Dabeiba - Antioquia</w:t>
            </w:r>
          </w:p>
        </w:tc>
        <w:tc>
          <w:tcPr>
            <w:tcW w:w="1498" w:type="dxa"/>
            <w:shd w:val="clear" w:color="auto" w:fill="auto"/>
            <w:vAlign w:val="center"/>
            <w:hideMark/>
          </w:tcPr>
          <w:p w:rsidR="00D46B4D" w:rsidRPr="005639EF" w:rsidRDefault="00D46B4D" w:rsidP="00D46B4D">
            <w:pPr>
              <w:spacing w:after="0"/>
              <w:jc w:val="center"/>
              <w:rPr>
                <w:rFonts w:cs="Arial"/>
                <w:sz w:val="18"/>
                <w:szCs w:val="18"/>
              </w:rPr>
            </w:pPr>
            <w:r w:rsidRPr="005639EF">
              <w:rPr>
                <w:rFonts w:cs="Arial"/>
                <w:sz w:val="18"/>
                <w:szCs w:val="18"/>
              </w:rPr>
              <w:t>7</w:t>
            </w:r>
          </w:p>
        </w:tc>
        <w:tc>
          <w:tcPr>
            <w:tcW w:w="971" w:type="dxa"/>
            <w:shd w:val="clear" w:color="auto" w:fill="auto"/>
            <w:vAlign w:val="center"/>
            <w:hideMark/>
          </w:tcPr>
          <w:p w:rsidR="00D46B4D" w:rsidRPr="005639EF" w:rsidRDefault="00D46B4D" w:rsidP="00D46B4D">
            <w:pPr>
              <w:spacing w:after="0"/>
              <w:jc w:val="right"/>
              <w:rPr>
                <w:rFonts w:cs="Arial"/>
                <w:sz w:val="18"/>
                <w:szCs w:val="18"/>
              </w:rPr>
            </w:pPr>
            <w:r w:rsidRPr="005639EF">
              <w:rPr>
                <w:rFonts w:cs="Arial"/>
                <w:sz w:val="18"/>
                <w:szCs w:val="18"/>
              </w:rPr>
              <w:t>04-mar-17</w:t>
            </w:r>
          </w:p>
        </w:tc>
      </w:tr>
      <w:tr w:rsidR="00D46B4D" w:rsidRPr="007608C2" w:rsidTr="005639EF">
        <w:trPr>
          <w:trHeight w:val="192"/>
        </w:trPr>
        <w:tc>
          <w:tcPr>
            <w:tcW w:w="1642" w:type="dxa"/>
            <w:shd w:val="clear" w:color="auto" w:fill="auto"/>
            <w:vAlign w:val="center"/>
            <w:hideMark/>
          </w:tcPr>
          <w:p w:rsidR="00D46B4D" w:rsidRPr="005639EF" w:rsidRDefault="00D46B4D" w:rsidP="00D46B4D">
            <w:pPr>
              <w:spacing w:after="0"/>
              <w:rPr>
                <w:rFonts w:cs="Arial"/>
                <w:bCs/>
                <w:sz w:val="18"/>
                <w:szCs w:val="18"/>
              </w:rPr>
            </w:pPr>
            <w:r w:rsidRPr="005639EF">
              <w:rPr>
                <w:rFonts w:cs="Arial"/>
                <w:bCs/>
                <w:sz w:val="18"/>
                <w:szCs w:val="18"/>
              </w:rPr>
              <w:t>Norte de Santander</w:t>
            </w:r>
          </w:p>
        </w:tc>
        <w:tc>
          <w:tcPr>
            <w:tcW w:w="2726" w:type="dxa"/>
            <w:shd w:val="clear" w:color="auto" w:fill="auto"/>
            <w:vAlign w:val="center"/>
            <w:hideMark/>
          </w:tcPr>
          <w:p w:rsidR="00D46B4D" w:rsidRPr="005639EF" w:rsidRDefault="00D46B4D" w:rsidP="00D46B4D">
            <w:pPr>
              <w:spacing w:after="0"/>
              <w:rPr>
                <w:rFonts w:cs="Arial"/>
                <w:sz w:val="18"/>
                <w:szCs w:val="18"/>
              </w:rPr>
            </w:pPr>
            <w:r w:rsidRPr="005639EF">
              <w:rPr>
                <w:rFonts w:cs="Arial"/>
                <w:sz w:val="18"/>
                <w:szCs w:val="18"/>
              </w:rPr>
              <w:t>Caño Indio - Tibú</w:t>
            </w:r>
          </w:p>
        </w:tc>
        <w:tc>
          <w:tcPr>
            <w:tcW w:w="2558" w:type="dxa"/>
            <w:shd w:val="clear" w:color="auto" w:fill="auto"/>
            <w:vAlign w:val="center"/>
            <w:hideMark/>
          </w:tcPr>
          <w:p w:rsidR="00D46B4D" w:rsidRPr="005639EF" w:rsidRDefault="00D46B4D" w:rsidP="00D46B4D">
            <w:pPr>
              <w:spacing w:after="0"/>
              <w:rPr>
                <w:rFonts w:cs="Arial"/>
                <w:sz w:val="18"/>
                <w:szCs w:val="18"/>
              </w:rPr>
            </w:pPr>
            <w:r w:rsidRPr="005639EF">
              <w:rPr>
                <w:rFonts w:cs="Arial"/>
                <w:sz w:val="18"/>
                <w:szCs w:val="18"/>
              </w:rPr>
              <w:t>LTA Tibú - Norte de Santander</w:t>
            </w:r>
          </w:p>
        </w:tc>
        <w:tc>
          <w:tcPr>
            <w:tcW w:w="1498" w:type="dxa"/>
            <w:shd w:val="clear" w:color="auto" w:fill="auto"/>
            <w:vAlign w:val="center"/>
            <w:hideMark/>
          </w:tcPr>
          <w:p w:rsidR="00D46B4D" w:rsidRPr="005639EF" w:rsidRDefault="00D46B4D" w:rsidP="00D46B4D">
            <w:pPr>
              <w:spacing w:after="0"/>
              <w:jc w:val="center"/>
              <w:rPr>
                <w:rFonts w:cs="Arial"/>
                <w:sz w:val="18"/>
                <w:szCs w:val="18"/>
              </w:rPr>
            </w:pPr>
            <w:r w:rsidRPr="005639EF">
              <w:rPr>
                <w:rFonts w:cs="Arial"/>
                <w:sz w:val="18"/>
                <w:szCs w:val="18"/>
              </w:rPr>
              <w:t>6</w:t>
            </w:r>
          </w:p>
        </w:tc>
        <w:tc>
          <w:tcPr>
            <w:tcW w:w="971" w:type="dxa"/>
            <w:shd w:val="clear" w:color="auto" w:fill="auto"/>
            <w:vAlign w:val="center"/>
            <w:hideMark/>
          </w:tcPr>
          <w:p w:rsidR="00D46B4D" w:rsidRPr="005639EF" w:rsidRDefault="00D46B4D" w:rsidP="00D46B4D">
            <w:pPr>
              <w:spacing w:after="0"/>
              <w:jc w:val="right"/>
              <w:rPr>
                <w:rFonts w:cs="Arial"/>
                <w:sz w:val="18"/>
                <w:szCs w:val="18"/>
              </w:rPr>
            </w:pPr>
            <w:r w:rsidRPr="005639EF">
              <w:rPr>
                <w:rFonts w:cs="Arial"/>
                <w:sz w:val="18"/>
                <w:szCs w:val="18"/>
              </w:rPr>
              <w:t>10-mar-17</w:t>
            </w:r>
          </w:p>
        </w:tc>
      </w:tr>
      <w:tr w:rsidR="00D46B4D" w:rsidRPr="007608C2" w:rsidTr="005639EF">
        <w:trPr>
          <w:trHeight w:val="43"/>
        </w:trPr>
        <w:tc>
          <w:tcPr>
            <w:tcW w:w="1642" w:type="dxa"/>
            <w:shd w:val="clear" w:color="auto" w:fill="auto"/>
            <w:vAlign w:val="center"/>
            <w:hideMark/>
          </w:tcPr>
          <w:p w:rsidR="00D46B4D" w:rsidRPr="005639EF" w:rsidRDefault="00D46B4D" w:rsidP="00D46B4D">
            <w:pPr>
              <w:spacing w:after="0"/>
              <w:rPr>
                <w:rFonts w:cs="Arial"/>
                <w:bCs/>
                <w:sz w:val="18"/>
                <w:szCs w:val="18"/>
              </w:rPr>
            </w:pPr>
            <w:r w:rsidRPr="005639EF">
              <w:rPr>
                <w:rFonts w:cs="Arial"/>
                <w:bCs/>
                <w:sz w:val="18"/>
                <w:szCs w:val="18"/>
              </w:rPr>
              <w:t>Guaviare</w:t>
            </w:r>
          </w:p>
        </w:tc>
        <w:tc>
          <w:tcPr>
            <w:tcW w:w="2726" w:type="dxa"/>
            <w:shd w:val="clear" w:color="auto" w:fill="auto"/>
            <w:vAlign w:val="center"/>
            <w:hideMark/>
          </w:tcPr>
          <w:p w:rsidR="00D46B4D" w:rsidRPr="005639EF" w:rsidRDefault="00D46B4D" w:rsidP="00D46B4D">
            <w:pPr>
              <w:spacing w:after="0"/>
              <w:rPr>
                <w:rFonts w:cs="Arial"/>
                <w:sz w:val="18"/>
                <w:szCs w:val="18"/>
              </w:rPr>
            </w:pPr>
            <w:r w:rsidRPr="005639EF">
              <w:rPr>
                <w:rFonts w:cs="Arial"/>
                <w:sz w:val="18"/>
                <w:szCs w:val="18"/>
              </w:rPr>
              <w:t>Charras - San José del Guaviare</w:t>
            </w:r>
          </w:p>
        </w:tc>
        <w:tc>
          <w:tcPr>
            <w:tcW w:w="2558" w:type="dxa"/>
            <w:shd w:val="clear" w:color="auto" w:fill="auto"/>
            <w:vAlign w:val="center"/>
            <w:hideMark/>
          </w:tcPr>
          <w:p w:rsidR="00D46B4D" w:rsidRPr="005639EF" w:rsidRDefault="00D46B4D" w:rsidP="00D46B4D">
            <w:pPr>
              <w:spacing w:after="0"/>
              <w:rPr>
                <w:rFonts w:cs="Arial"/>
                <w:sz w:val="18"/>
                <w:szCs w:val="18"/>
              </w:rPr>
            </w:pPr>
            <w:r w:rsidRPr="005639EF">
              <w:rPr>
                <w:rFonts w:cs="Arial"/>
                <w:sz w:val="18"/>
                <w:szCs w:val="18"/>
              </w:rPr>
              <w:t>LTA San José del Guaviare - Guaviare</w:t>
            </w:r>
          </w:p>
        </w:tc>
        <w:tc>
          <w:tcPr>
            <w:tcW w:w="1498" w:type="dxa"/>
            <w:shd w:val="clear" w:color="auto" w:fill="auto"/>
            <w:vAlign w:val="center"/>
            <w:hideMark/>
          </w:tcPr>
          <w:p w:rsidR="00D46B4D" w:rsidRPr="005639EF" w:rsidRDefault="00D46B4D" w:rsidP="00D46B4D">
            <w:pPr>
              <w:spacing w:after="0"/>
              <w:jc w:val="center"/>
              <w:rPr>
                <w:rFonts w:cs="Arial"/>
                <w:sz w:val="18"/>
                <w:szCs w:val="18"/>
              </w:rPr>
            </w:pPr>
            <w:r w:rsidRPr="005639EF">
              <w:rPr>
                <w:rFonts w:cs="Arial"/>
                <w:sz w:val="18"/>
                <w:szCs w:val="18"/>
              </w:rPr>
              <w:t>2</w:t>
            </w:r>
          </w:p>
        </w:tc>
        <w:tc>
          <w:tcPr>
            <w:tcW w:w="971" w:type="dxa"/>
            <w:shd w:val="clear" w:color="auto" w:fill="auto"/>
            <w:vAlign w:val="center"/>
            <w:hideMark/>
          </w:tcPr>
          <w:p w:rsidR="00D46B4D" w:rsidRPr="005639EF" w:rsidRDefault="00D46B4D" w:rsidP="00D46B4D">
            <w:pPr>
              <w:spacing w:after="0"/>
              <w:jc w:val="right"/>
              <w:rPr>
                <w:rFonts w:cs="Arial"/>
                <w:sz w:val="18"/>
                <w:szCs w:val="18"/>
              </w:rPr>
            </w:pPr>
            <w:r w:rsidRPr="005639EF">
              <w:rPr>
                <w:rFonts w:cs="Arial"/>
                <w:sz w:val="18"/>
                <w:szCs w:val="18"/>
              </w:rPr>
              <w:t>15-mar-17</w:t>
            </w:r>
          </w:p>
        </w:tc>
      </w:tr>
      <w:tr w:rsidR="00D46B4D" w:rsidRPr="007608C2" w:rsidTr="005639EF">
        <w:trPr>
          <w:trHeight w:val="43"/>
        </w:trPr>
        <w:tc>
          <w:tcPr>
            <w:tcW w:w="1642" w:type="dxa"/>
            <w:shd w:val="clear" w:color="auto" w:fill="auto"/>
            <w:vAlign w:val="center"/>
            <w:hideMark/>
          </w:tcPr>
          <w:p w:rsidR="00D46B4D" w:rsidRPr="005639EF" w:rsidRDefault="00D46B4D" w:rsidP="00D46B4D">
            <w:pPr>
              <w:spacing w:after="0"/>
              <w:rPr>
                <w:rFonts w:cs="Arial"/>
                <w:bCs/>
                <w:sz w:val="18"/>
                <w:szCs w:val="18"/>
              </w:rPr>
            </w:pPr>
            <w:r w:rsidRPr="005639EF">
              <w:rPr>
                <w:rFonts w:cs="Arial"/>
                <w:bCs/>
                <w:sz w:val="18"/>
                <w:szCs w:val="18"/>
              </w:rPr>
              <w:t>Meta</w:t>
            </w:r>
          </w:p>
        </w:tc>
        <w:tc>
          <w:tcPr>
            <w:tcW w:w="2726" w:type="dxa"/>
            <w:shd w:val="clear" w:color="auto" w:fill="auto"/>
            <w:vAlign w:val="center"/>
            <w:hideMark/>
          </w:tcPr>
          <w:p w:rsidR="00D46B4D" w:rsidRPr="005639EF" w:rsidRDefault="00D46B4D" w:rsidP="00D46B4D">
            <w:pPr>
              <w:spacing w:after="0"/>
              <w:rPr>
                <w:rFonts w:cs="Arial"/>
                <w:sz w:val="18"/>
                <w:szCs w:val="18"/>
              </w:rPr>
            </w:pPr>
            <w:r w:rsidRPr="005639EF">
              <w:rPr>
                <w:rFonts w:cs="Arial"/>
                <w:sz w:val="18"/>
                <w:szCs w:val="18"/>
              </w:rPr>
              <w:t>La Guajira - Mesetas y Yari - La Macarena</w:t>
            </w:r>
          </w:p>
        </w:tc>
        <w:tc>
          <w:tcPr>
            <w:tcW w:w="2558" w:type="dxa"/>
            <w:shd w:val="clear" w:color="auto" w:fill="auto"/>
            <w:vAlign w:val="center"/>
            <w:hideMark/>
          </w:tcPr>
          <w:p w:rsidR="00D46B4D" w:rsidRPr="005639EF" w:rsidRDefault="00D46B4D" w:rsidP="00D46B4D">
            <w:pPr>
              <w:spacing w:after="0"/>
              <w:rPr>
                <w:rFonts w:cs="Arial"/>
                <w:sz w:val="18"/>
                <w:szCs w:val="18"/>
              </w:rPr>
            </w:pPr>
            <w:r w:rsidRPr="005639EF">
              <w:rPr>
                <w:rFonts w:cs="Arial"/>
                <w:sz w:val="18"/>
                <w:szCs w:val="18"/>
              </w:rPr>
              <w:t>LTA Granada - Meta</w:t>
            </w:r>
          </w:p>
        </w:tc>
        <w:tc>
          <w:tcPr>
            <w:tcW w:w="1498" w:type="dxa"/>
            <w:shd w:val="clear" w:color="auto" w:fill="auto"/>
            <w:vAlign w:val="center"/>
            <w:hideMark/>
          </w:tcPr>
          <w:p w:rsidR="00D46B4D" w:rsidRPr="005639EF" w:rsidRDefault="00D46B4D" w:rsidP="00D46B4D">
            <w:pPr>
              <w:spacing w:after="0"/>
              <w:jc w:val="center"/>
              <w:rPr>
                <w:rFonts w:cs="Arial"/>
                <w:sz w:val="18"/>
                <w:szCs w:val="18"/>
              </w:rPr>
            </w:pPr>
            <w:r w:rsidRPr="005639EF">
              <w:rPr>
                <w:rFonts w:cs="Arial"/>
                <w:sz w:val="18"/>
                <w:szCs w:val="18"/>
              </w:rPr>
              <w:t>7</w:t>
            </w:r>
          </w:p>
        </w:tc>
        <w:tc>
          <w:tcPr>
            <w:tcW w:w="971" w:type="dxa"/>
            <w:shd w:val="clear" w:color="auto" w:fill="auto"/>
            <w:vAlign w:val="center"/>
            <w:hideMark/>
          </w:tcPr>
          <w:p w:rsidR="00D46B4D" w:rsidRPr="005639EF" w:rsidRDefault="00D46B4D" w:rsidP="00D46B4D">
            <w:pPr>
              <w:spacing w:after="0"/>
              <w:jc w:val="right"/>
              <w:rPr>
                <w:rFonts w:cs="Arial"/>
                <w:sz w:val="18"/>
                <w:szCs w:val="18"/>
              </w:rPr>
            </w:pPr>
            <w:r w:rsidRPr="005639EF">
              <w:rPr>
                <w:rFonts w:cs="Arial"/>
                <w:sz w:val="18"/>
                <w:szCs w:val="18"/>
              </w:rPr>
              <w:t>27-mar-17</w:t>
            </w:r>
          </w:p>
        </w:tc>
      </w:tr>
      <w:tr w:rsidR="00D46B4D" w:rsidRPr="007608C2" w:rsidTr="005639EF">
        <w:trPr>
          <w:trHeight w:val="43"/>
        </w:trPr>
        <w:tc>
          <w:tcPr>
            <w:tcW w:w="1642" w:type="dxa"/>
            <w:shd w:val="clear" w:color="auto" w:fill="auto"/>
            <w:vAlign w:val="center"/>
            <w:hideMark/>
          </w:tcPr>
          <w:p w:rsidR="00D46B4D" w:rsidRPr="005639EF" w:rsidRDefault="00D46B4D" w:rsidP="00D46B4D">
            <w:pPr>
              <w:spacing w:after="0"/>
              <w:rPr>
                <w:rFonts w:cs="Arial"/>
                <w:bCs/>
                <w:sz w:val="18"/>
                <w:szCs w:val="18"/>
              </w:rPr>
            </w:pPr>
            <w:r w:rsidRPr="005639EF">
              <w:rPr>
                <w:rFonts w:cs="Arial"/>
                <w:bCs/>
                <w:sz w:val="18"/>
                <w:szCs w:val="18"/>
              </w:rPr>
              <w:t>Tolima</w:t>
            </w:r>
          </w:p>
        </w:tc>
        <w:tc>
          <w:tcPr>
            <w:tcW w:w="2726" w:type="dxa"/>
            <w:shd w:val="clear" w:color="auto" w:fill="auto"/>
            <w:vAlign w:val="center"/>
            <w:hideMark/>
          </w:tcPr>
          <w:p w:rsidR="00D46B4D" w:rsidRPr="005639EF" w:rsidRDefault="00D46B4D" w:rsidP="00D46B4D">
            <w:pPr>
              <w:spacing w:after="0"/>
              <w:rPr>
                <w:rFonts w:cs="Arial"/>
                <w:sz w:val="18"/>
                <w:szCs w:val="18"/>
              </w:rPr>
            </w:pPr>
            <w:r w:rsidRPr="005639EF">
              <w:rPr>
                <w:rFonts w:cs="Arial"/>
                <w:sz w:val="18"/>
                <w:szCs w:val="18"/>
              </w:rPr>
              <w:t>La Fila - Icononzo</w:t>
            </w:r>
          </w:p>
        </w:tc>
        <w:tc>
          <w:tcPr>
            <w:tcW w:w="2558" w:type="dxa"/>
            <w:shd w:val="clear" w:color="auto" w:fill="auto"/>
            <w:vAlign w:val="center"/>
            <w:hideMark/>
          </w:tcPr>
          <w:p w:rsidR="00D46B4D" w:rsidRPr="005639EF" w:rsidRDefault="00D46B4D" w:rsidP="00D46B4D">
            <w:pPr>
              <w:spacing w:after="0"/>
              <w:rPr>
                <w:rFonts w:cs="Arial"/>
                <w:sz w:val="18"/>
                <w:szCs w:val="18"/>
              </w:rPr>
            </w:pPr>
            <w:r w:rsidRPr="005639EF">
              <w:rPr>
                <w:rFonts w:cs="Arial"/>
                <w:sz w:val="18"/>
                <w:szCs w:val="18"/>
              </w:rPr>
              <w:t>LTA Granada - Meta</w:t>
            </w:r>
          </w:p>
        </w:tc>
        <w:tc>
          <w:tcPr>
            <w:tcW w:w="1498" w:type="dxa"/>
            <w:shd w:val="clear" w:color="auto" w:fill="auto"/>
            <w:vAlign w:val="center"/>
            <w:hideMark/>
          </w:tcPr>
          <w:p w:rsidR="00D46B4D" w:rsidRPr="005639EF" w:rsidRDefault="00D46B4D" w:rsidP="00D46B4D">
            <w:pPr>
              <w:spacing w:after="0"/>
              <w:jc w:val="center"/>
              <w:rPr>
                <w:rFonts w:cs="Arial"/>
                <w:sz w:val="18"/>
                <w:szCs w:val="18"/>
              </w:rPr>
            </w:pPr>
            <w:r w:rsidRPr="005639EF">
              <w:rPr>
                <w:rFonts w:cs="Arial"/>
                <w:sz w:val="18"/>
                <w:szCs w:val="18"/>
              </w:rPr>
              <w:t>1</w:t>
            </w:r>
          </w:p>
        </w:tc>
        <w:tc>
          <w:tcPr>
            <w:tcW w:w="971" w:type="dxa"/>
            <w:shd w:val="clear" w:color="auto" w:fill="auto"/>
            <w:vAlign w:val="center"/>
            <w:hideMark/>
          </w:tcPr>
          <w:p w:rsidR="00D46B4D" w:rsidRPr="005639EF" w:rsidRDefault="00D46B4D" w:rsidP="00D46B4D">
            <w:pPr>
              <w:spacing w:after="0"/>
              <w:jc w:val="right"/>
              <w:rPr>
                <w:rFonts w:cs="Arial"/>
                <w:sz w:val="18"/>
                <w:szCs w:val="18"/>
              </w:rPr>
            </w:pPr>
            <w:r w:rsidRPr="005639EF">
              <w:rPr>
                <w:rFonts w:cs="Arial"/>
                <w:sz w:val="18"/>
                <w:szCs w:val="18"/>
              </w:rPr>
              <w:t>29-mar-17</w:t>
            </w:r>
          </w:p>
        </w:tc>
      </w:tr>
      <w:tr w:rsidR="00D46B4D" w:rsidRPr="007608C2" w:rsidTr="005639EF">
        <w:trPr>
          <w:trHeight w:val="43"/>
        </w:trPr>
        <w:tc>
          <w:tcPr>
            <w:tcW w:w="1642" w:type="dxa"/>
            <w:shd w:val="clear" w:color="auto" w:fill="auto"/>
            <w:vAlign w:val="center"/>
            <w:hideMark/>
          </w:tcPr>
          <w:p w:rsidR="00D46B4D" w:rsidRPr="005639EF" w:rsidRDefault="00D46B4D" w:rsidP="00D46B4D">
            <w:pPr>
              <w:spacing w:after="0"/>
              <w:rPr>
                <w:rFonts w:cs="Arial"/>
                <w:bCs/>
                <w:sz w:val="18"/>
                <w:szCs w:val="18"/>
              </w:rPr>
            </w:pPr>
            <w:r w:rsidRPr="005639EF">
              <w:rPr>
                <w:rFonts w:cs="Arial"/>
                <w:bCs/>
                <w:sz w:val="18"/>
                <w:szCs w:val="18"/>
              </w:rPr>
              <w:t>Meta</w:t>
            </w:r>
          </w:p>
        </w:tc>
        <w:tc>
          <w:tcPr>
            <w:tcW w:w="2726" w:type="dxa"/>
            <w:shd w:val="clear" w:color="auto" w:fill="auto"/>
            <w:vAlign w:val="center"/>
            <w:hideMark/>
          </w:tcPr>
          <w:p w:rsidR="00D46B4D" w:rsidRPr="005639EF" w:rsidRDefault="00D46B4D" w:rsidP="00D46B4D">
            <w:pPr>
              <w:spacing w:after="0"/>
              <w:rPr>
                <w:rFonts w:cs="Arial"/>
                <w:sz w:val="18"/>
                <w:szCs w:val="18"/>
              </w:rPr>
            </w:pPr>
            <w:r w:rsidRPr="005639EF">
              <w:rPr>
                <w:rFonts w:cs="Arial"/>
                <w:sz w:val="18"/>
                <w:szCs w:val="18"/>
              </w:rPr>
              <w:t>La Cooperativa/La Reforma -Vistahermosa</w:t>
            </w:r>
          </w:p>
        </w:tc>
        <w:tc>
          <w:tcPr>
            <w:tcW w:w="2558" w:type="dxa"/>
            <w:shd w:val="clear" w:color="auto" w:fill="auto"/>
            <w:vAlign w:val="center"/>
            <w:hideMark/>
          </w:tcPr>
          <w:p w:rsidR="00D46B4D" w:rsidRPr="005639EF" w:rsidRDefault="00D46B4D" w:rsidP="00D46B4D">
            <w:pPr>
              <w:spacing w:after="0"/>
              <w:rPr>
                <w:rFonts w:cs="Arial"/>
                <w:sz w:val="18"/>
                <w:szCs w:val="18"/>
              </w:rPr>
            </w:pPr>
            <w:r w:rsidRPr="005639EF">
              <w:rPr>
                <w:rFonts w:cs="Arial"/>
                <w:sz w:val="18"/>
                <w:szCs w:val="18"/>
              </w:rPr>
              <w:t>LTA Granada - Meta</w:t>
            </w:r>
          </w:p>
        </w:tc>
        <w:tc>
          <w:tcPr>
            <w:tcW w:w="1498" w:type="dxa"/>
            <w:shd w:val="clear" w:color="auto" w:fill="auto"/>
            <w:vAlign w:val="center"/>
            <w:hideMark/>
          </w:tcPr>
          <w:p w:rsidR="00D46B4D" w:rsidRPr="005639EF" w:rsidRDefault="00D46B4D" w:rsidP="00D46B4D">
            <w:pPr>
              <w:spacing w:after="0"/>
              <w:jc w:val="center"/>
              <w:rPr>
                <w:rFonts w:cs="Arial"/>
                <w:sz w:val="18"/>
                <w:szCs w:val="18"/>
              </w:rPr>
            </w:pPr>
            <w:r w:rsidRPr="005639EF">
              <w:rPr>
                <w:rFonts w:cs="Arial"/>
                <w:sz w:val="18"/>
                <w:szCs w:val="18"/>
              </w:rPr>
              <w:t>5</w:t>
            </w:r>
          </w:p>
        </w:tc>
        <w:tc>
          <w:tcPr>
            <w:tcW w:w="971" w:type="dxa"/>
            <w:shd w:val="clear" w:color="auto" w:fill="auto"/>
            <w:vAlign w:val="center"/>
            <w:hideMark/>
          </w:tcPr>
          <w:p w:rsidR="00D46B4D" w:rsidRPr="005639EF" w:rsidRDefault="00D46B4D" w:rsidP="00D46B4D">
            <w:pPr>
              <w:spacing w:after="0"/>
              <w:jc w:val="right"/>
              <w:rPr>
                <w:rFonts w:cs="Arial"/>
                <w:sz w:val="18"/>
                <w:szCs w:val="18"/>
              </w:rPr>
            </w:pPr>
            <w:r w:rsidRPr="005639EF">
              <w:rPr>
                <w:rFonts w:cs="Arial"/>
                <w:sz w:val="18"/>
                <w:szCs w:val="18"/>
              </w:rPr>
              <w:t>31-mar-17</w:t>
            </w:r>
          </w:p>
        </w:tc>
      </w:tr>
      <w:tr w:rsidR="00D46B4D" w:rsidRPr="007608C2" w:rsidTr="005639EF">
        <w:trPr>
          <w:trHeight w:val="43"/>
        </w:trPr>
        <w:tc>
          <w:tcPr>
            <w:tcW w:w="1642" w:type="dxa"/>
            <w:shd w:val="clear" w:color="auto" w:fill="auto"/>
            <w:vAlign w:val="center"/>
            <w:hideMark/>
          </w:tcPr>
          <w:p w:rsidR="00D46B4D" w:rsidRPr="005639EF" w:rsidRDefault="00D46B4D" w:rsidP="00D46B4D">
            <w:pPr>
              <w:spacing w:after="0"/>
              <w:rPr>
                <w:rFonts w:cs="Arial"/>
                <w:bCs/>
                <w:sz w:val="18"/>
                <w:szCs w:val="18"/>
              </w:rPr>
            </w:pPr>
            <w:r w:rsidRPr="005639EF">
              <w:rPr>
                <w:rFonts w:cs="Arial"/>
                <w:bCs/>
                <w:sz w:val="18"/>
                <w:szCs w:val="18"/>
              </w:rPr>
              <w:t>Antioquia</w:t>
            </w:r>
          </w:p>
        </w:tc>
        <w:tc>
          <w:tcPr>
            <w:tcW w:w="2726" w:type="dxa"/>
            <w:shd w:val="clear" w:color="auto" w:fill="auto"/>
            <w:vAlign w:val="center"/>
            <w:hideMark/>
          </w:tcPr>
          <w:p w:rsidR="00D46B4D" w:rsidRPr="005639EF" w:rsidRDefault="00D46B4D" w:rsidP="00D46B4D">
            <w:pPr>
              <w:spacing w:after="0"/>
              <w:rPr>
                <w:rFonts w:cs="Arial"/>
                <w:sz w:val="18"/>
                <w:szCs w:val="18"/>
              </w:rPr>
            </w:pPr>
            <w:r w:rsidRPr="005639EF">
              <w:rPr>
                <w:rFonts w:cs="Arial"/>
                <w:sz w:val="18"/>
                <w:szCs w:val="18"/>
              </w:rPr>
              <w:t>Carrizal - Remedios</w:t>
            </w:r>
          </w:p>
        </w:tc>
        <w:tc>
          <w:tcPr>
            <w:tcW w:w="2558" w:type="dxa"/>
            <w:shd w:val="clear" w:color="auto" w:fill="auto"/>
            <w:vAlign w:val="center"/>
            <w:hideMark/>
          </w:tcPr>
          <w:p w:rsidR="00D46B4D" w:rsidRPr="005639EF" w:rsidRDefault="00D46B4D" w:rsidP="00D46B4D">
            <w:pPr>
              <w:spacing w:after="0"/>
              <w:rPr>
                <w:rFonts w:cs="Arial"/>
                <w:sz w:val="18"/>
                <w:szCs w:val="18"/>
              </w:rPr>
            </w:pPr>
            <w:r w:rsidRPr="005639EF">
              <w:rPr>
                <w:rFonts w:cs="Arial"/>
                <w:sz w:val="18"/>
                <w:szCs w:val="18"/>
              </w:rPr>
              <w:t>LTA Remedios - Antioquia</w:t>
            </w:r>
          </w:p>
        </w:tc>
        <w:tc>
          <w:tcPr>
            <w:tcW w:w="1498" w:type="dxa"/>
            <w:shd w:val="clear" w:color="auto" w:fill="auto"/>
            <w:vAlign w:val="center"/>
            <w:hideMark/>
          </w:tcPr>
          <w:p w:rsidR="00D46B4D" w:rsidRPr="005639EF" w:rsidRDefault="00D46B4D" w:rsidP="00D46B4D">
            <w:pPr>
              <w:spacing w:after="0"/>
              <w:jc w:val="center"/>
              <w:rPr>
                <w:rFonts w:cs="Arial"/>
                <w:sz w:val="18"/>
                <w:szCs w:val="18"/>
              </w:rPr>
            </w:pPr>
            <w:r w:rsidRPr="005639EF">
              <w:rPr>
                <w:rFonts w:cs="Arial"/>
                <w:sz w:val="18"/>
                <w:szCs w:val="18"/>
              </w:rPr>
              <w:t>8</w:t>
            </w:r>
          </w:p>
        </w:tc>
        <w:tc>
          <w:tcPr>
            <w:tcW w:w="971" w:type="dxa"/>
            <w:shd w:val="clear" w:color="auto" w:fill="auto"/>
            <w:vAlign w:val="center"/>
            <w:hideMark/>
          </w:tcPr>
          <w:p w:rsidR="00D46B4D" w:rsidRPr="005639EF" w:rsidRDefault="00D46B4D" w:rsidP="00D46B4D">
            <w:pPr>
              <w:spacing w:after="0"/>
              <w:jc w:val="right"/>
              <w:rPr>
                <w:rFonts w:cs="Arial"/>
                <w:sz w:val="18"/>
                <w:szCs w:val="18"/>
              </w:rPr>
            </w:pPr>
            <w:r w:rsidRPr="005639EF">
              <w:rPr>
                <w:rFonts w:cs="Arial"/>
                <w:sz w:val="18"/>
                <w:szCs w:val="18"/>
              </w:rPr>
              <w:t>02-abr-17</w:t>
            </w:r>
          </w:p>
        </w:tc>
      </w:tr>
      <w:tr w:rsidR="00D46B4D" w:rsidRPr="007608C2" w:rsidTr="005639EF">
        <w:trPr>
          <w:trHeight w:val="43"/>
        </w:trPr>
        <w:tc>
          <w:tcPr>
            <w:tcW w:w="1642" w:type="dxa"/>
            <w:shd w:val="clear" w:color="auto" w:fill="auto"/>
            <w:vAlign w:val="center"/>
            <w:hideMark/>
          </w:tcPr>
          <w:p w:rsidR="00D46B4D" w:rsidRPr="005639EF" w:rsidRDefault="00D46B4D" w:rsidP="00D46B4D">
            <w:pPr>
              <w:spacing w:after="0"/>
              <w:rPr>
                <w:rFonts w:cs="Arial"/>
                <w:bCs/>
                <w:sz w:val="18"/>
                <w:szCs w:val="18"/>
              </w:rPr>
            </w:pPr>
            <w:r w:rsidRPr="005639EF">
              <w:rPr>
                <w:rFonts w:cs="Arial"/>
                <w:bCs/>
                <w:sz w:val="18"/>
                <w:szCs w:val="18"/>
              </w:rPr>
              <w:t>Guaviare</w:t>
            </w:r>
          </w:p>
        </w:tc>
        <w:tc>
          <w:tcPr>
            <w:tcW w:w="2726" w:type="dxa"/>
            <w:shd w:val="clear" w:color="auto" w:fill="auto"/>
            <w:vAlign w:val="center"/>
            <w:hideMark/>
          </w:tcPr>
          <w:p w:rsidR="00D46B4D" w:rsidRPr="005639EF" w:rsidRDefault="00D46B4D" w:rsidP="00D46B4D">
            <w:pPr>
              <w:spacing w:after="0"/>
              <w:rPr>
                <w:rFonts w:cs="Arial"/>
                <w:sz w:val="18"/>
                <w:szCs w:val="18"/>
              </w:rPr>
            </w:pPr>
            <w:r w:rsidRPr="005639EF">
              <w:rPr>
                <w:rFonts w:cs="Arial"/>
                <w:sz w:val="18"/>
                <w:szCs w:val="18"/>
              </w:rPr>
              <w:t>Colinas - El Retorno</w:t>
            </w:r>
          </w:p>
        </w:tc>
        <w:tc>
          <w:tcPr>
            <w:tcW w:w="2558" w:type="dxa"/>
            <w:shd w:val="clear" w:color="auto" w:fill="auto"/>
            <w:vAlign w:val="center"/>
            <w:hideMark/>
          </w:tcPr>
          <w:p w:rsidR="00D46B4D" w:rsidRPr="005639EF" w:rsidRDefault="00D46B4D" w:rsidP="00D46B4D">
            <w:pPr>
              <w:spacing w:after="0"/>
              <w:rPr>
                <w:rFonts w:cs="Arial"/>
                <w:sz w:val="18"/>
                <w:szCs w:val="18"/>
              </w:rPr>
            </w:pPr>
            <w:r w:rsidRPr="005639EF">
              <w:rPr>
                <w:rFonts w:cs="Arial"/>
                <w:sz w:val="18"/>
                <w:szCs w:val="18"/>
              </w:rPr>
              <w:t>LTA San José del Guaviare - Guaviare</w:t>
            </w:r>
          </w:p>
        </w:tc>
        <w:tc>
          <w:tcPr>
            <w:tcW w:w="1498" w:type="dxa"/>
            <w:shd w:val="clear" w:color="auto" w:fill="auto"/>
            <w:vAlign w:val="center"/>
            <w:hideMark/>
          </w:tcPr>
          <w:p w:rsidR="00D46B4D" w:rsidRPr="005639EF" w:rsidRDefault="00D46B4D" w:rsidP="00D46B4D">
            <w:pPr>
              <w:spacing w:after="0"/>
              <w:jc w:val="center"/>
              <w:rPr>
                <w:rFonts w:cs="Arial"/>
                <w:sz w:val="18"/>
                <w:szCs w:val="18"/>
              </w:rPr>
            </w:pPr>
            <w:r w:rsidRPr="005639EF">
              <w:rPr>
                <w:rFonts w:cs="Arial"/>
                <w:sz w:val="18"/>
                <w:szCs w:val="18"/>
              </w:rPr>
              <w:t>8</w:t>
            </w:r>
          </w:p>
        </w:tc>
        <w:tc>
          <w:tcPr>
            <w:tcW w:w="971" w:type="dxa"/>
            <w:shd w:val="clear" w:color="auto" w:fill="auto"/>
            <w:vAlign w:val="center"/>
            <w:hideMark/>
          </w:tcPr>
          <w:p w:rsidR="00D46B4D" w:rsidRPr="005639EF" w:rsidRDefault="00D46B4D" w:rsidP="00D46B4D">
            <w:pPr>
              <w:spacing w:after="0"/>
              <w:jc w:val="right"/>
              <w:rPr>
                <w:rFonts w:cs="Arial"/>
                <w:sz w:val="18"/>
                <w:szCs w:val="18"/>
              </w:rPr>
            </w:pPr>
            <w:r w:rsidRPr="005639EF">
              <w:rPr>
                <w:rFonts w:cs="Arial"/>
                <w:sz w:val="18"/>
                <w:szCs w:val="18"/>
              </w:rPr>
              <w:t>02-abr-17</w:t>
            </w:r>
          </w:p>
        </w:tc>
      </w:tr>
      <w:tr w:rsidR="00D46B4D" w:rsidRPr="007608C2" w:rsidTr="005639EF">
        <w:trPr>
          <w:trHeight w:val="43"/>
        </w:trPr>
        <w:tc>
          <w:tcPr>
            <w:tcW w:w="1642" w:type="dxa"/>
            <w:shd w:val="clear" w:color="auto" w:fill="auto"/>
            <w:vAlign w:val="center"/>
            <w:hideMark/>
          </w:tcPr>
          <w:p w:rsidR="00D46B4D" w:rsidRPr="005639EF" w:rsidRDefault="00D46B4D" w:rsidP="00D46B4D">
            <w:pPr>
              <w:spacing w:after="0"/>
              <w:rPr>
                <w:rFonts w:cs="Arial"/>
                <w:bCs/>
                <w:sz w:val="18"/>
                <w:szCs w:val="18"/>
              </w:rPr>
            </w:pPr>
            <w:r w:rsidRPr="005639EF">
              <w:rPr>
                <w:rFonts w:cs="Arial"/>
                <w:bCs/>
                <w:sz w:val="18"/>
                <w:szCs w:val="18"/>
              </w:rPr>
              <w:t>Antioquia</w:t>
            </w:r>
          </w:p>
        </w:tc>
        <w:tc>
          <w:tcPr>
            <w:tcW w:w="2726" w:type="dxa"/>
            <w:shd w:val="clear" w:color="auto" w:fill="auto"/>
            <w:vAlign w:val="center"/>
            <w:hideMark/>
          </w:tcPr>
          <w:p w:rsidR="00D46B4D" w:rsidRPr="005639EF" w:rsidRDefault="00D46B4D" w:rsidP="00D46B4D">
            <w:pPr>
              <w:spacing w:after="0"/>
              <w:rPr>
                <w:rFonts w:cs="Arial"/>
                <w:sz w:val="18"/>
                <w:szCs w:val="18"/>
              </w:rPr>
            </w:pPr>
            <w:r w:rsidRPr="005639EF">
              <w:rPr>
                <w:rFonts w:cs="Arial"/>
                <w:sz w:val="18"/>
                <w:szCs w:val="18"/>
              </w:rPr>
              <w:t>Vidri - Vigía del Fuerte</w:t>
            </w:r>
          </w:p>
        </w:tc>
        <w:tc>
          <w:tcPr>
            <w:tcW w:w="2558" w:type="dxa"/>
            <w:shd w:val="clear" w:color="auto" w:fill="auto"/>
            <w:vAlign w:val="center"/>
            <w:hideMark/>
          </w:tcPr>
          <w:p w:rsidR="00D46B4D" w:rsidRPr="005639EF" w:rsidRDefault="00D46B4D" w:rsidP="00D46B4D">
            <w:pPr>
              <w:spacing w:after="0"/>
              <w:rPr>
                <w:rFonts w:cs="Arial"/>
                <w:sz w:val="18"/>
                <w:szCs w:val="18"/>
              </w:rPr>
            </w:pPr>
            <w:r w:rsidRPr="005639EF">
              <w:rPr>
                <w:rFonts w:cs="Arial"/>
                <w:sz w:val="18"/>
                <w:szCs w:val="18"/>
              </w:rPr>
              <w:t>LTA Dabeiba - Antioquia</w:t>
            </w:r>
          </w:p>
        </w:tc>
        <w:tc>
          <w:tcPr>
            <w:tcW w:w="1498" w:type="dxa"/>
            <w:shd w:val="clear" w:color="auto" w:fill="auto"/>
            <w:vAlign w:val="center"/>
            <w:hideMark/>
          </w:tcPr>
          <w:p w:rsidR="00D46B4D" w:rsidRPr="005639EF" w:rsidRDefault="00D46B4D" w:rsidP="00D46B4D">
            <w:pPr>
              <w:spacing w:after="0"/>
              <w:jc w:val="center"/>
              <w:rPr>
                <w:rFonts w:cs="Arial"/>
                <w:sz w:val="18"/>
                <w:szCs w:val="18"/>
              </w:rPr>
            </w:pPr>
            <w:r w:rsidRPr="005639EF">
              <w:rPr>
                <w:rFonts w:cs="Arial"/>
                <w:sz w:val="18"/>
                <w:szCs w:val="18"/>
              </w:rPr>
              <w:t>3</w:t>
            </w:r>
          </w:p>
        </w:tc>
        <w:tc>
          <w:tcPr>
            <w:tcW w:w="971" w:type="dxa"/>
            <w:shd w:val="clear" w:color="auto" w:fill="auto"/>
            <w:vAlign w:val="center"/>
            <w:hideMark/>
          </w:tcPr>
          <w:p w:rsidR="00D46B4D" w:rsidRPr="005639EF" w:rsidRDefault="00D46B4D" w:rsidP="00D46B4D">
            <w:pPr>
              <w:spacing w:after="0"/>
              <w:jc w:val="right"/>
              <w:rPr>
                <w:rFonts w:cs="Arial"/>
                <w:sz w:val="18"/>
                <w:szCs w:val="18"/>
              </w:rPr>
            </w:pPr>
            <w:r w:rsidRPr="005639EF">
              <w:rPr>
                <w:rFonts w:cs="Arial"/>
                <w:sz w:val="18"/>
                <w:szCs w:val="18"/>
              </w:rPr>
              <w:t>10-abr-17</w:t>
            </w:r>
          </w:p>
        </w:tc>
      </w:tr>
      <w:tr w:rsidR="00D46B4D" w:rsidRPr="007608C2" w:rsidTr="005639EF">
        <w:trPr>
          <w:trHeight w:val="43"/>
        </w:trPr>
        <w:tc>
          <w:tcPr>
            <w:tcW w:w="1642" w:type="dxa"/>
            <w:shd w:val="clear" w:color="auto" w:fill="auto"/>
            <w:vAlign w:val="center"/>
            <w:hideMark/>
          </w:tcPr>
          <w:p w:rsidR="00D46B4D" w:rsidRPr="005639EF" w:rsidRDefault="00D46B4D" w:rsidP="00D46B4D">
            <w:pPr>
              <w:spacing w:after="0"/>
              <w:rPr>
                <w:rFonts w:cs="Arial"/>
                <w:bCs/>
                <w:sz w:val="18"/>
                <w:szCs w:val="18"/>
              </w:rPr>
            </w:pPr>
            <w:r w:rsidRPr="005639EF">
              <w:rPr>
                <w:rFonts w:cs="Arial"/>
                <w:bCs/>
                <w:sz w:val="18"/>
                <w:szCs w:val="18"/>
              </w:rPr>
              <w:t>Caquetá</w:t>
            </w:r>
          </w:p>
        </w:tc>
        <w:tc>
          <w:tcPr>
            <w:tcW w:w="2726" w:type="dxa"/>
            <w:shd w:val="clear" w:color="auto" w:fill="auto"/>
            <w:vAlign w:val="center"/>
            <w:hideMark/>
          </w:tcPr>
          <w:p w:rsidR="00D46B4D" w:rsidRPr="005639EF" w:rsidRDefault="00D46B4D" w:rsidP="00D46B4D">
            <w:pPr>
              <w:spacing w:after="0"/>
              <w:rPr>
                <w:rFonts w:cs="Arial"/>
                <w:sz w:val="18"/>
                <w:szCs w:val="18"/>
              </w:rPr>
            </w:pPr>
            <w:r w:rsidRPr="005639EF">
              <w:rPr>
                <w:rFonts w:cs="Arial"/>
                <w:sz w:val="18"/>
                <w:szCs w:val="18"/>
              </w:rPr>
              <w:t>El Carmen - La Montañita</w:t>
            </w:r>
          </w:p>
        </w:tc>
        <w:tc>
          <w:tcPr>
            <w:tcW w:w="2558" w:type="dxa"/>
            <w:shd w:val="clear" w:color="auto" w:fill="auto"/>
            <w:vAlign w:val="center"/>
            <w:hideMark/>
          </w:tcPr>
          <w:p w:rsidR="00D46B4D" w:rsidRPr="005639EF" w:rsidRDefault="00D46B4D" w:rsidP="00D46B4D">
            <w:pPr>
              <w:spacing w:after="0"/>
              <w:rPr>
                <w:rFonts w:cs="Arial"/>
                <w:sz w:val="18"/>
                <w:szCs w:val="18"/>
              </w:rPr>
            </w:pPr>
            <w:r w:rsidRPr="005639EF">
              <w:rPr>
                <w:rFonts w:cs="Arial"/>
                <w:sz w:val="18"/>
                <w:szCs w:val="18"/>
              </w:rPr>
              <w:t>LTA La Montañita - Caquetá</w:t>
            </w:r>
          </w:p>
        </w:tc>
        <w:tc>
          <w:tcPr>
            <w:tcW w:w="1498" w:type="dxa"/>
            <w:shd w:val="clear" w:color="auto" w:fill="auto"/>
            <w:vAlign w:val="center"/>
            <w:hideMark/>
          </w:tcPr>
          <w:p w:rsidR="00D46B4D" w:rsidRPr="005639EF" w:rsidRDefault="00D46B4D" w:rsidP="00D46B4D">
            <w:pPr>
              <w:spacing w:after="0"/>
              <w:jc w:val="center"/>
              <w:rPr>
                <w:rFonts w:cs="Arial"/>
                <w:sz w:val="18"/>
                <w:szCs w:val="18"/>
              </w:rPr>
            </w:pPr>
            <w:r w:rsidRPr="005639EF">
              <w:rPr>
                <w:rFonts w:cs="Arial"/>
                <w:sz w:val="18"/>
                <w:szCs w:val="18"/>
              </w:rPr>
              <w:t>13</w:t>
            </w:r>
          </w:p>
        </w:tc>
        <w:tc>
          <w:tcPr>
            <w:tcW w:w="971" w:type="dxa"/>
            <w:shd w:val="clear" w:color="auto" w:fill="auto"/>
            <w:vAlign w:val="center"/>
            <w:hideMark/>
          </w:tcPr>
          <w:p w:rsidR="00D46B4D" w:rsidRPr="005639EF" w:rsidRDefault="00D46B4D" w:rsidP="00D46B4D">
            <w:pPr>
              <w:spacing w:after="0"/>
              <w:jc w:val="right"/>
              <w:rPr>
                <w:rFonts w:cs="Arial"/>
                <w:sz w:val="18"/>
                <w:szCs w:val="18"/>
              </w:rPr>
            </w:pPr>
            <w:r w:rsidRPr="005639EF">
              <w:rPr>
                <w:rFonts w:cs="Arial"/>
                <w:sz w:val="18"/>
                <w:szCs w:val="18"/>
              </w:rPr>
              <w:t>27-abr-17</w:t>
            </w:r>
          </w:p>
        </w:tc>
      </w:tr>
      <w:tr w:rsidR="00D46B4D" w:rsidRPr="007608C2" w:rsidTr="005639EF">
        <w:trPr>
          <w:trHeight w:val="43"/>
        </w:trPr>
        <w:tc>
          <w:tcPr>
            <w:tcW w:w="1642" w:type="dxa"/>
            <w:shd w:val="clear" w:color="auto" w:fill="auto"/>
            <w:vAlign w:val="center"/>
            <w:hideMark/>
          </w:tcPr>
          <w:p w:rsidR="00D46B4D" w:rsidRPr="005639EF" w:rsidRDefault="00D46B4D" w:rsidP="00D46B4D">
            <w:pPr>
              <w:spacing w:after="0"/>
              <w:rPr>
                <w:rFonts w:cs="Arial"/>
                <w:bCs/>
                <w:sz w:val="18"/>
                <w:szCs w:val="18"/>
              </w:rPr>
            </w:pPr>
            <w:r w:rsidRPr="005639EF">
              <w:rPr>
                <w:rFonts w:cs="Arial"/>
                <w:bCs/>
                <w:sz w:val="18"/>
                <w:szCs w:val="18"/>
              </w:rPr>
              <w:t>Arauca</w:t>
            </w:r>
          </w:p>
        </w:tc>
        <w:tc>
          <w:tcPr>
            <w:tcW w:w="2726" w:type="dxa"/>
            <w:shd w:val="clear" w:color="auto" w:fill="auto"/>
            <w:noWrap/>
            <w:vAlign w:val="center"/>
            <w:hideMark/>
          </w:tcPr>
          <w:p w:rsidR="00D46B4D" w:rsidRPr="005639EF" w:rsidRDefault="00D46B4D" w:rsidP="00D46B4D">
            <w:pPr>
              <w:spacing w:after="0"/>
              <w:rPr>
                <w:rFonts w:cs="Arial"/>
                <w:sz w:val="18"/>
                <w:szCs w:val="18"/>
              </w:rPr>
            </w:pPr>
            <w:r w:rsidRPr="005639EF">
              <w:rPr>
                <w:rFonts w:cs="Arial"/>
                <w:sz w:val="18"/>
                <w:szCs w:val="18"/>
              </w:rPr>
              <w:t>Filipinas - Arauquita</w:t>
            </w:r>
          </w:p>
        </w:tc>
        <w:tc>
          <w:tcPr>
            <w:tcW w:w="2558" w:type="dxa"/>
            <w:shd w:val="clear" w:color="auto" w:fill="auto"/>
            <w:noWrap/>
            <w:vAlign w:val="center"/>
            <w:hideMark/>
          </w:tcPr>
          <w:p w:rsidR="00D46B4D" w:rsidRPr="005639EF" w:rsidRDefault="00D46B4D" w:rsidP="00D46B4D">
            <w:pPr>
              <w:spacing w:after="0"/>
              <w:rPr>
                <w:rFonts w:cs="Arial"/>
                <w:sz w:val="18"/>
                <w:szCs w:val="18"/>
              </w:rPr>
            </w:pPr>
            <w:r w:rsidRPr="005639EF">
              <w:rPr>
                <w:rFonts w:cs="Arial"/>
                <w:sz w:val="18"/>
                <w:szCs w:val="18"/>
              </w:rPr>
              <w:t>LTA Arauca - Arauca</w:t>
            </w:r>
          </w:p>
        </w:tc>
        <w:tc>
          <w:tcPr>
            <w:tcW w:w="1498" w:type="dxa"/>
            <w:shd w:val="clear" w:color="auto" w:fill="auto"/>
            <w:vAlign w:val="center"/>
            <w:hideMark/>
          </w:tcPr>
          <w:p w:rsidR="00D46B4D" w:rsidRPr="005639EF" w:rsidRDefault="00D46B4D" w:rsidP="00D46B4D">
            <w:pPr>
              <w:spacing w:after="0"/>
              <w:jc w:val="center"/>
              <w:rPr>
                <w:rFonts w:cs="Arial"/>
                <w:sz w:val="18"/>
                <w:szCs w:val="18"/>
              </w:rPr>
            </w:pPr>
            <w:r w:rsidRPr="005639EF">
              <w:rPr>
                <w:rFonts w:cs="Arial"/>
                <w:sz w:val="18"/>
                <w:szCs w:val="18"/>
              </w:rPr>
              <w:t>5</w:t>
            </w:r>
          </w:p>
        </w:tc>
        <w:tc>
          <w:tcPr>
            <w:tcW w:w="971" w:type="dxa"/>
            <w:shd w:val="clear" w:color="auto" w:fill="auto"/>
            <w:vAlign w:val="center"/>
            <w:hideMark/>
          </w:tcPr>
          <w:p w:rsidR="00D46B4D" w:rsidRPr="005639EF" w:rsidRDefault="00D46B4D" w:rsidP="00D46B4D">
            <w:pPr>
              <w:spacing w:after="0"/>
              <w:jc w:val="right"/>
              <w:rPr>
                <w:rFonts w:cs="Arial"/>
                <w:sz w:val="18"/>
                <w:szCs w:val="18"/>
              </w:rPr>
            </w:pPr>
            <w:r w:rsidRPr="005639EF">
              <w:rPr>
                <w:rFonts w:cs="Arial"/>
                <w:sz w:val="18"/>
                <w:szCs w:val="18"/>
              </w:rPr>
              <w:t>28-abr-17</w:t>
            </w:r>
          </w:p>
        </w:tc>
      </w:tr>
      <w:tr w:rsidR="00D46B4D" w:rsidRPr="007608C2" w:rsidTr="005639EF">
        <w:trPr>
          <w:trHeight w:val="43"/>
        </w:trPr>
        <w:tc>
          <w:tcPr>
            <w:tcW w:w="1642" w:type="dxa"/>
            <w:shd w:val="clear" w:color="auto" w:fill="auto"/>
            <w:vAlign w:val="center"/>
            <w:hideMark/>
          </w:tcPr>
          <w:p w:rsidR="00D46B4D" w:rsidRPr="005639EF" w:rsidRDefault="00D46B4D" w:rsidP="00D46B4D">
            <w:pPr>
              <w:spacing w:after="0"/>
              <w:rPr>
                <w:rFonts w:cs="Arial"/>
                <w:bCs/>
                <w:sz w:val="18"/>
                <w:szCs w:val="18"/>
              </w:rPr>
            </w:pPr>
            <w:r w:rsidRPr="005639EF">
              <w:rPr>
                <w:rFonts w:cs="Arial"/>
                <w:bCs/>
                <w:sz w:val="18"/>
                <w:szCs w:val="18"/>
              </w:rPr>
              <w:t>Putumayo</w:t>
            </w:r>
          </w:p>
        </w:tc>
        <w:tc>
          <w:tcPr>
            <w:tcW w:w="2726" w:type="dxa"/>
            <w:shd w:val="clear" w:color="auto" w:fill="auto"/>
            <w:noWrap/>
            <w:vAlign w:val="center"/>
            <w:hideMark/>
          </w:tcPr>
          <w:p w:rsidR="00D46B4D" w:rsidRPr="005639EF" w:rsidRDefault="00D46B4D" w:rsidP="00D46B4D">
            <w:pPr>
              <w:spacing w:after="0"/>
              <w:rPr>
                <w:rFonts w:cs="Arial"/>
                <w:sz w:val="18"/>
                <w:szCs w:val="18"/>
              </w:rPr>
            </w:pPr>
            <w:r w:rsidRPr="005639EF">
              <w:rPr>
                <w:rFonts w:cs="Arial"/>
                <w:sz w:val="18"/>
                <w:szCs w:val="18"/>
              </w:rPr>
              <w:t>La Carmelita/La Pradera - Puerto Asís</w:t>
            </w:r>
          </w:p>
        </w:tc>
        <w:tc>
          <w:tcPr>
            <w:tcW w:w="2558" w:type="dxa"/>
            <w:shd w:val="clear" w:color="auto" w:fill="auto"/>
            <w:noWrap/>
            <w:vAlign w:val="center"/>
            <w:hideMark/>
          </w:tcPr>
          <w:p w:rsidR="00D46B4D" w:rsidRPr="005639EF" w:rsidRDefault="00D46B4D" w:rsidP="00D46B4D">
            <w:pPr>
              <w:spacing w:after="0"/>
              <w:rPr>
                <w:rFonts w:cs="Arial"/>
                <w:sz w:val="18"/>
                <w:szCs w:val="18"/>
              </w:rPr>
            </w:pPr>
            <w:r w:rsidRPr="005639EF">
              <w:rPr>
                <w:rFonts w:cs="Arial"/>
                <w:sz w:val="18"/>
                <w:szCs w:val="18"/>
              </w:rPr>
              <w:t>LTA Puerto Asís - Putumayo</w:t>
            </w:r>
          </w:p>
        </w:tc>
        <w:tc>
          <w:tcPr>
            <w:tcW w:w="1498" w:type="dxa"/>
            <w:shd w:val="clear" w:color="auto" w:fill="auto"/>
            <w:vAlign w:val="center"/>
            <w:hideMark/>
          </w:tcPr>
          <w:p w:rsidR="00D46B4D" w:rsidRPr="005639EF" w:rsidRDefault="00D46B4D" w:rsidP="00D46B4D">
            <w:pPr>
              <w:spacing w:after="0"/>
              <w:jc w:val="center"/>
              <w:rPr>
                <w:rFonts w:cs="Arial"/>
                <w:sz w:val="18"/>
                <w:szCs w:val="18"/>
              </w:rPr>
            </w:pPr>
            <w:r w:rsidRPr="005639EF">
              <w:rPr>
                <w:rFonts w:cs="Arial"/>
                <w:sz w:val="18"/>
                <w:szCs w:val="18"/>
              </w:rPr>
              <w:t>10</w:t>
            </w:r>
          </w:p>
        </w:tc>
        <w:tc>
          <w:tcPr>
            <w:tcW w:w="971" w:type="dxa"/>
            <w:shd w:val="clear" w:color="auto" w:fill="auto"/>
            <w:vAlign w:val="center"/>
            <w:hideMark/>
          </w:tcPr>
          <w:p w:rsidR="00D46B4D" w:rsidRPr="005639EF" w:rsidRDefault="00D46B4D" w:rsidP="00D46B4D">
            <w:pPr>
              <w:spacing w:after="0"/>
              <w:jc w:val="right"/>
              <w:rPr>
                <w:rFonts w:cs="Arial"/>
                <w:sz w:val="18"/>
                <w:szCs w:val="18"/>
              </w:rPr>
            </w:pPr>
            <w:r w:rsidRPr="005639EF">
              <w:rPr>
                <w:rFonts w:cs="Arial"/>
                <w:sz w:val="18"/>
                <w:szCs w:val="18"/>
              </w:rPr>
              <w:t>12-may-17</w:t>
            </w:r>
          </w:p>
        </w:tc>
      </w:tr>
      <w:tr w:rsidR="00D46B4D" w:rsidRPr="007608C2" w:rsidTr="005639EF">
        <w:trPr>
          <w:trHeight w:val="43"/>
        </w:trPr>
        <w:tc>
          <w:tcPr>
            <w:tcW w:w="1642" w:type="dxa"/>
            <w:shd w:val="clear" w:color="auto" w:fill="auto"/>
            <w:vAlign w:val="center"/>
            <w:hideMark/>
          </w:tcPr>
          <w:p w:rsidR="00D46B4D" w:rsidRPr="005639EF" w:rsidRDefault="00D46B4D" w:rsidP="00D46B4D">
            <w:pPr>
              <w:spacing w:after="0"/>
              <w:rPr>
                <w:rFonts w:cs="Arial"/>
                <w:bCs/>
                <w:sz w:val="18"/>
                <w:szCs w:val="18"/>
              </w:rPr>
            </w:pPr>
            <w:r w:rsidRPr="005639EF">
              <w:rPr>
                <w:rFonts w:cs="Arial"/>
                <w:bCs/>
                <w:sz w:val="18"/>
                <w:szCs w:val="18"/>
              </w:rPr>
              <w:t>Putumayo</w:t>
            </w:r>
          </w:p>
        </w:tc>
        <w:tc>
          <w:tcPr>
            <w:tcW w:w="2726" w:type="dxa"/>
            <w:shd w:val="clear" w:color="auto" w:fill="auto"/>
            <w:noWrap/>
            <w:vAlign w:val="center"/>
            <w:hideMark/>
          </w:tcPr>
          <w:p w:rsidR="00D46B4D" w:rsidRPr="005639EF" w:rsidRDefault="00D46B4D" w:rsidP="00D46B4D">
            <w:pPr>
              <w:spacing w:after="0"/>
              <w:rPr>
                <w:rFonts w:cs="Arial"/>
                <w:sz w:val="18"/>
                <w:szCs w:val="18"/>
              </w:rPr>
            </w:pPr>
            <w:r w:rsidRPr="005639EF">
              <w:rPr>
                <w:rFonts w:cs="Arial"/>
                <w:sz w:val="18"/>
                <w:szCs w:val="18"/>
              </w:rPr>
              <w:t>La Carmelita/La Pradera - Puerto Asís</w:t>
            </w:r>
          </w:p>
        </w:tc>
        <w:tc>
          <w:tcPr>
            <w:tcW w:w="2558" w:type="dxa"/>
            <w:shd w:val="clear" w:color="auto" w:fill="auto"/>
            <w:noWrap/>
            <w:vAlign w:val="center"/>
            <w:hideMark/>
          </w:tcPr>
          <w:p w:rsidR="00D46B4D" w:rsidRPr="005639EF" w:rsidRDefault="00D46B4D" w:rsidP="00D46B4D">
            <w:pPr>
              <w:spacing w:after="0"/>
              <w:rPr>
                <w:rFonts w:cs="Arial"/>
                <w:sz w:val="18"/>
                <w:szCs w:val="18"/>
              </w:rPr>
            </w:pPr>
            <w:r w:rsidRPr="005639EF">
              <w:rPr>
                <w:rFonts w:cs="Arial"/>
                <w:sz w:val="18"/>
                <w:szCs w:val="18"/>
              </w:rPr>
              <w:t>LTA Puerto Asís - Putumayo</w:t>
            </w:r>
          </w:p>
        </w:tc>
        <w:tc>
          <w:tcPr>
            <w:tcW w:w="1498" w:type="dxa"/>
            <w:shd w:val="clear" w:color="auto" w:fill="auto"/>
            <w:vAlign w:val="center"/>
            <w:hideMark/>
          </w:tcPr>
          <w:p w:rsidR="00D46B4D" w:rsidRPr="005639EF" w:rsidRDefault="00D46B4D" w:rsidP="00D46B4D">
            <w:pPr>
              <w:spacing w:after="0"/>
              <w:jc w:val="center"/>
              <w:rPr>
                <w:rFonts w:cs="Arial"/>
                <w:sz w:val="18"/>
                <w:szCs w:val="18"/>
              </w:rPr>
            </w:pPr>
            <w:r w:rsidRPr="005639EF">
              <w:rPr>
                <w:rFonts w:cs="Arial"/>
                <w:sz w:val="18"/>
                <w:szCs w:val="18"/>
              </w:rPr>
              <w:t>9</w:t>
            </w:r>
          </w:p>
        </w:tc>
        <w:tc>
          <w:tcPr>
            <w:tcW w:w="971" w:type="dxa"/>
            <w:shd w:val="clear" w:color="auto" w:fill="auto"/>
            <w:vAlign w:val="center"/>
            <w:hideMark/>
          </w:tcPr>
          <w:p w:rsidR="00D46B4D" w:rsidRPr="005639EF" w:rsidRDefault="00D46B4D" w:rsidP="00D46B4D">
            <w:pPr>
              <w:spacing w:after="0"/>
              <w:jc w:val="right"/>
              <w:rPr>
                <w:rFonts w:cs="Arial"/>
                <w:sz w:val="18"/>
                <w:szCs w:val="18"/>
              </w:rPr>
            </w:pPr>
            <w:r w:rsidRPr="005639EF">
              <w:rPr>
                <w:rFonts w:cs="Arial"/>
                <w:sz w:val="18"/>
                <w:szCs w:val="18"/>
              </w:rPr>
              <w:t>15-ago-17</w:t>
            </w:r>
          </w:p>
        </w:tc>
      </w:tr>
      <w:tr w:rsidR="00D46B4D" w:rsidRPr="007608C2" w:rsidTr="005639EF">
        <w:trPr>
          <w:trHeight w:val="43"/>
        </w:trPr>
        <w:tc>
          <w:tcPr>
            <w:tcW w:w="1642" w:type="dxa"/>
            <w:shd w:val="clear" w:color="auto" w:fill="auto"/>
            <w:vAlign w:val="center"/>
            <w:hideMark/>
          </w:tcPr>
          <w:p w:rsidR="00D46B4D" w:rsidRPr="005639EF" w:rsidRDefault="00D46B4D" w:rsidP="00D46B4D">
            <w:pPr>
              <w:spacing w:after="0"/>
              <w:rPr>
                <w:rFonts w:cs="Arial"/>
                <w:bCs/>
                <w:sz w:val="18"/>
                <w:szCs w:val="18"/>
              </w:rPr>
            </w:pPr>
            <w:r w:rsidRPr="005639EF">
              <w:rPr>
                <w:rFonts w:cs="Arial"/>
                <w:bCs/>
                <w:sz w:val="18"/>
                <w:szCs w:val="18"/>
              </w:rPr>
              <w:t>Caquetá</w:t>
            </w:r>
          </w:p>
        </w:tc>
        <w:tc>
          <w:tcPr>
            <w:tcW w:w="2726" w:type="dxa"/>
            <w:shd w:val="clear" w:color="auto" w:fill="auto"/>
            <w:vAlign w:val="center"/>
            <w:hideMark/>
          </w:tcPr>
          <w:p w:rsidR="00D46B4D" w:rsidRPr="005639EF" w:rsidRDefault="00D46B4D" w:rsidP="00D46B4D">
            <w:pPr>
              <w:spacing w:after="0"/>
              <w:rPr>
                <w:rFonts w:cs="Arial"/>
                <w:sz w:val="18"/>
                <w:szCs w:val="18"/>
              </w:rPr>
            </w:pPr>
            <w:r w:rsidRPr="005639EF">
              <w:rPr>
                <w:rFonts w:cs="Arial"/>
                <w:sz w:val="18"/>
                <w:szCs w:val="18"/>
              </w:rPr>
              <w:t>El Carmen - La Montañita</w:t>
            </w:r>
          </w:p>
        </w:tc>
        <w:tc>
          <w:tcPr>
            <w:tcW w:w="2558" w:type="dxa"/>
            <w:shd w:val="clear" w:color="auto" w:fill="auto"/>
            <w:vAlign w:val="center"/>
            <w:hideMark/>
          </w:tcPr>
          <w:p w:rsidR="00D46B4D" w:rsidRPr="005639EF" w:rsidRDefault="00D46B4D" w:rsidP="00D46B4D">
            <w:pPr>
              <w:spacing w:after="0"/>
              <w:rPr>
                <w:rFonts w:cs="Arial"/>
                <w:sz w:val="18"/>
                <w:szCs w:val="18"/>
              </w:rPr>
            </w:pPr>
            <w:r w:rsidRPr="005639EF">
              <w:rPr>
                <w:rFonts w:cs="Arial"/>
                <w:sz w:val="18"/>
                <w:szCs w:val="18"/>
              </w:rPr>
              <w:t>LTA La Montañita - Caquetá</w:t>
            </w:r>
          </w:p>
        </w:tc>
        <w:tc>
          <w:tcPr>
            <w:tcW w:w="1498" w:type="dxa"/>
            <w:shd w:val="clear" w:color="auto" w:fill="auto"/>
            <w:vAlign w:val="center"/>
            <w:hideMark/>
          </w:tcPr>
          <w:p w:rsidR="00D46B4D" w:rsidRPr="005639EF" w:rsidRDefault="00D46B4D" w:rsidP="00D46B4D">
            <w:pPr>
              <w:spacing w:after="0"/>
              <w:jc w:val="center"/>
              <w:rPr>
                <w:rFonts w:cs="Arial"/>
                <w:sz w:val="18"/>
                <w:szCs w:val="18"/>
              </w:rPr>
            </w:pPr>
            <w:r w:rsidRPr="005639EF">
              <w:rPr>
                <w:rFonts w:cs="Arial"/>
                <w:sz w:val="18"/>
                <w:szCs w:val="18"/>
              </w:rPr>
              <w:t>5</w:t>
            </w:r>
          </w:p>
        </w:tc>
        <w:tc>
          <w:tcPr>
            <w:tcW w:w="971" w:type="dxa"/>
            <w:shd w:val="clear" w:color="auto" w:fill="auto"/>
            <w:vAlign w:val="center"/>
            <w:hideMark/>
          </w:tcPr>
          <w:p w:rsidR="00D46B4D" w:rsidRPr="005639EF" w:rsidRDefault="00D46B4D" w:rsidP="00D46B4D">
            <w:pPr>
              <w:spacing w:after="0"/>
              <w:jc w:val="right"/>
              <w:rPr>
                <w:rFonts w:cs="Arial"/>
                <w:sz w:val="18"/>
                <w:szCs w:val="18"/>
              </w:rPr>
            </w:pPr>
            <w:r w:rsidRPr="005639EF">
              <w:rPr>
                <w:rFonts w:cs="Arial"/>
                <w:sz w:val="18"/>
                <w:szCs w:val="18"/>
              </w:rPr>
              <w:t>15-ago-17</w:t>
            </w:r>
          </w:p>
        </w:tc>
      </w:tr>
      <w:tr w:rsidR="00D46B4D" w:rsidRPr="007608C2" w:rsidTr="005639EF">
        <w:trPr>
          <w:trHeight w:val="43"/>
        </w:trPr>
        <w:tc>
          <w:tcPr>
            <w:tcW w:w="1642" w:type="dxa"/>
            <w:shd w:val="clear" w:color="auto" w:fill="auto"/>
            <w:vAlign w:val="center"/>
            <w:hideMark/>
          </w:tcPr>
          <w:p w:rsidR="00D46B4D" w:rsidRPr="005639EF" w:rsidRDefault="00D46B4D" w:rsidP="00D46B4D">
            <w:pPr>
              <w:spacing w:after="0"/>
              <w:rPr>
                <w:rFonts w:cs="Arial"/>
                <w:bCs/>
                <w:sz w:val="18"/>
                <w:szCs w:val="18"/>
              </w:rPr>
            </w:pPr>
            <w:r w:rsidRPr="005639EF">
              <w:rPr>
                <w:rFonts w:cs="Arial"/>
                <w:bCs/>
                <w:sz w:val="18"/>
                <w:szCs w:val="18"/>
              </w:rPr>
              <w:t>Cauca</w:t>
            </w:r>
          </w:p>
        </w:tc>
        <w:tc>
          <w:tcPr>
            <w:tcW w:w="2726" w:type="dxa"/>
            <w:shd w:val="clear" w:color="auto" w:fill="auto"/>
            <w:vAlign w:val="center"/>
            <w:hideMark/>
          </w:tcPr>
          <w:p w:rsidR="00D46B4D" w:rsidRPr="005639EF" w:rsidRDefault="00D46B4D" w:rsidP="00D46B4D">
            <w:pPr>
              <w:spacing w:after="0"/>
              <w:rPr>
                <w:rFonts w:cs="Arial"/>
                <w:sz w:val="18"/>
                <w:szCs w:val="18"/>
              </w:rPr>
            </w:pPr>
            <w:r w:rsidRPr="005639EF">
              <w:rPr>
                <w:rFonts w:cs="Arial"/>
                <w:sz w:val="18"/>
                <w:szCs w:val="18"/>
              </w:rPr>
              <w:t>Los Monos San Antonio - Caldono - Cauca</w:t>
            </w:r>
          </w:p>
        </w:tc>
        <w:tc>
          <w:tcPr>
            <w:tcW w:w="2558" w:type="dxa"/>
            <w:shd w:val="clear" w:color="auto" w:fill="auto"/>
            <w:vAlign w:val="center"/>
            <w:hideMark/>
          </w:tcPr>
          <w:p w:rsidR="00D46B4D" w:rsidRPr="005639EF" w:rsidRDefault="00D46B4D" w:rsidP="00D46B4D">
            <w:pPr>
              <w:spacing w:after="0"/>
              <w:rPr>
                <w:rFonts w:cs="Arial"/>
                <w:sz w:val="18"/>
                <w:szCs w:val="18"/>
              </w:rPr>
            </w:pPr>
            <w:r w:rsidRPr="005639EF">
              <w:rPr>
                <w:rFonts w:cs="Arial"/>
                <w:sz w:val="18"/>
                <w:szCs w:val="18"/>
              </w:rPr>
              <w:t>LTA La Montañita - Caquetá</w:t>
            </w:r>
          </w:p>
        </w:tc>
        <w:tc>
          <w:tcPr>
            <w:tcW w:w="1498" w:type="dxa"/>
            <w:shd w:val="clear" w:color="auto" w:fill="auto"/>
            <w:vAlign w:val="center"/>
            <w:hideMark/>
          </w:tcPr>
          <w:p w:rsidR="00D46B4D" w:rsidRPr="005639EF" w:rsidRDefault="00D46B4D" w:rsidP="00D46B4D">
            <w:pPr>
              <w:spacing w:after="0"/>
              <w:jc w:val="center"/>
              <w:rPr>
                <w:rFonts w:cs="Arial"/>
                <w:sz w:val="18"/>
                <w:szCs w:val="18"/>
              </w:rPr>
            </w:pPr>
            <w:r w:rsidRPr="005639EF">
              <w:rPr>
                <w:rFonts w:cs="Arial"/>
                <w:sz w:val="18"/>
                <w:szCs w:val="18"/>
              </w:rPr>
              <w:t>2</w:t>
            </w:r>
          </w:p>
        </w:tc>
        <w:tc>
          <w:tcPr>
            <w:tcW w:w="971" w:type="dxa"/>
            <w:shd w:val="clear" w:color="auto" w:fill="auto"/>
            <w:vAlign w:val="center"/>
            <w:hideMark/>
          </w:tcPr>
          <w:p w:rsidR="00D46B4D" w:rsidRPr="005639EF" w:rsidRDefault="00D46B4D" w:rsidP="00D46B4D">
            <w:pPr>
              <w:spacing w:after="0"/>
              <w:jc w:val="right"/>
              <w:rPr>
                <w:rFonts w:cs="Arial"/>
                <w:sz w:val="18"/>
                <w:szCs w:val="18"/>
              </w:rPr>
            </w:pPr>
            <w:r w:rsidRPr="005639EF">
              <w:rPr>
                <w:rFonts w:cs="Arial"/>
                <w:sz w:val="18"/>
                <w:szCs w:val="18"/>
              </w:rPr>
              <w:t>15-ago-17</w:t>
            </w:r>
          </w:p>
        </w:tc>
      </w:tr>
      <w:tr w:rsidR="00D46B4D" w:rsidRPr="007608C2" w:rsidTr="005639EF">
        <w:trPr>
          <w:trHeight w:val="43"/>
        </w:trPr>
        <w:tc>
          <w:tcPr>
            <w:tcW w:w="1642" w:type="dxa"/>
            <w:shd w:val="clear" w:color="auto" w:fill="auto"/>
            <w:vAlign w:val="center"/>
            <w:hideMark/>
          </w:tcPr>
          <w:p w:rsidR="00D46B4D" w:rsidRPr="005639EF" w:rsidRDefault="00D46B4D" w:rsidP="00D46B4D">
            <w:pPr>
              <w:spacing w:after="0"/>
              <w:rPr>
                <w:rFonts w:cs="Arial"/>
                <w:bCs/>
                <w:sz w:val="18"/>
                <w:szCs w:val="18"/>
              </w:rPr>
            </w:pPr>
            <w:r w:rsidRPr="005639EF">
              <w:rPr>
                <w:rFonts w:cs="Arial"/>
                <w:bCs/>
                <w:sz w:val="18"/>
                <w:szCs w:val="18"/>
              </w:rPr>
              <w:t>Norte de Santander</w:t>
            </w:r>
          </w:p>
        </w:tc>
        <w:tc>
          <w:tcPr>
            <w:tcW w:w="2726" w:type="dxa"/>
            <w:shd w:val="clear" w:color="auto" w:fill="auto"/>
            <w:vAlign w:val="center"/>
            <w:hideMark/>
          </w:tcPr>
          <w:p w:rsidR="00D46B4D" w:rsidRPr="005639EF" w:rsidRDefault="00D46B4D" w:rsidP="00D46B4D">
            <w:pPr>
              <w:spacing w:after="0"/>
              <w:rPr>
                <w:rFonts w:cs="Arial"/>
                <w:sz w:val="18"/>
                <w:szCs w:val="18"/>
              </w:rPr>
            </w:pPr>
            <w:r w:rsidRPr="005639EF">
              <w:rPr>
                <w:rFonts w:cs="Arial"/>
                <w:sz w:val="18"/>
                <w:szCs w:val="18"/>
              </w:rPr>
              <w:t>Caño Indio - Tibú</w:t>
            </w:r>
          </w:p>
        </w:tc>
        <w:tc>
          <w:tcPr>
            <w:tcW w:w="2558" w:type="dxa"/>
            <w:shd w:val="clear" w:color="auto" w:fill="auto"/>
            <w:noWrap/>
            <w:vAlign w:val="center"/>
            <w:hideMark/>
          </w:tcPr>
          <w:p w:rsidR="00D46B4D" w:rsidRPr="005639EF" w:rsidRDefault="00D46B4D" w:rsidP="00D46B4D">
            <w:pPr>
              <w:spacing w:after="0"/>
              <w:rPr>
                <w:rFonts w:cs="Arial"/>
                <w:sz w:val="18"/>
                <w:szCs w:val="18"/>
              </w:rPr>
            </w:pPr>
            <w:r w:rsidRPr="005639EF">
              <w:rPr>
                <w:rFonts w:cs="Arial"/>
                <w:sz w:val="18"/>
                <w:szCs w:val="18"/>
              </w:rPr>
              <w:t>LTA Arauca - Arauca</w:t>
            </w:r>
          </w:p>
        </w:tc>
        <w:tc>
          <w:tcPr>
            <w:tcW w:w="1498" w:type="dxa"/>
            <w:shd w:val="clear" w:color="auto" w:fill="auto"/>
            <w:vAlign w:val="center"/>
            <w:hideMark/>
          </w:tcPr>
          <w:p w:rsidR="00D46B4D" w:rsidRPr="005639EF" w:rsidRDefault="00D46B4D" w:rsidP="00D46B4D">
            <w:pPr>
              <w:spacing w:after="0"/>
              <w:jc w:val="center"/>
              <w:rPr>
                <w:rFonts w:cs="Arial"/>
                <w:sz w:val="18"/>
                <w:szCs w:val="18"/>
              </w:rPr>
            </w:pPr>
            <w:r w:rsidRPr="005639EF">
              <w:rPr>
                <w:rFonts w:cs="Arial"/>
                <w:sz w:val="18"/>
                <w:szCs w:val="18"/>
              </w:rPr>
              <w:t>1</w:t>
            </w:r>
          </w:p>
        </w:tc>
        <w:tc>
          <w:tcPr>
            <w:tcW w:w="971" w:type="dxa"/>
            <w:shd w:val="clear" w:color="auto" w:fill="auto"/>
            <w:vAlign w:val="center"/>
            <w:hideMark/>
          </w:tcPr>
          <w:p w:rsidR="00D46B4D" w:rsidRPr="005639EF" w:rsidRDefault="00D46B4D" w:rsidP="00D46B4D">
            <w:pPr>
              <w:spacing w:after="0"/>
              <w:jc w:val="right"/>
              <w:rPr>
                <w:rFonts w:cs="Arial"/>
                <w:sz w:val="18"/>
                <w:szCs w:val="18"/>
              </w:rPr>
            </w:pPr>
            <w:r w:rsidRPr="005639EF">
              <w:rPr>
                <w:rFonts w:cs="Arial"/>
                <w:sz w:val="18"/>
                <w:szCs w:val="18"/>
              </w:rPr>
              <w:t>15-ago-17</w:t>
            </w:r>
          </w:p>
        </w:tc>
      </w:tr>
      <w:tr w:rsidR="00D46B4D" w:rsidRPr="007608C2" w:rsidTr="005639EF">
        <w:trPr>
          <w:trHeight w:val="43"/>
        </w:trPr>
        <w:tc>
          <w:tcPr>
            <w:tcW w:w="1642" w:type="dxa"/>
            <w:shd w:val="clear" w:color="auto" w:fill="auto"/>
            <w:vAlign w:val="center"/>
            <w:hideMark/>
          </w:tcPr>
          <w:p w:rsidR="00D46B4D" w:rsidRPr="005639EF" w:rsidRDefault="00D46B4D" w:rsidP="00D46B4D">
            <w:pPr>
              <w:spacing w:after="0"/>
              <w:rPr>
                <w:rFonts w:cs="Arial"/>
                <w:bCs/>
                <w:sz w:val="18"/>
                <w:szCs w:val="18"/>
              </w:rPr>
            </w:pPr>
            <w:r w:rsidRPr="005639EF">
              <w:rPr>
                <w:rFonts w:cs="Arial"/>
                <w:bCs/>
                <w:sz w:val="18"/>
                <w:szCs w:val="18"/>
              </w:rPr>
              <w:t>Antioquia</w:t>
            </w:r>
          </w:p>
        </w:tc>
        <w:tc>
          <w:tcPr>
            <w:tcW w:w="2726" w:type="dxa"/>
            <w:shd w:val="clear" w:color="auto" w:fill="auto"/>
            <w:noWrap/>
            <w:vAlign w:val="center"/>
            <w:hideMark/>
          </w:tcPr>
          <w:p w:rsidR="00D46B4D" w:rsidRPr="005639EF" w:rsidRDefault="00D46B4D" w:rsidP="00D46B4D">
            <w:pPr>
              <w:spacing w:after="0"/>
              <w:rPr>
                <w:rFonts w:cs="Arial"/>
                <w:sz w:val="18"/>
                <w:szCs w:val="18"/>
              </w:rPr>
            </w:pPr>
            <w:r w:rsidRPr="005639EF">
              <w:rPr>
                <w:rFonts w:cs="Arial"/>
                <w:sz w:val="18"/>
                <w:szCs w:val="18"/>
              </w:rPr>
              <w:t>Anorí - Antioquia</w:t>
            </w:r>
          </w:p>
        </w:tc>
        <w:tc>
          <w:tcPr>
            <w:tcW w:w="2558" w:type="dxa"/>
            <w:shd w:val="clear" w:color="auto" w:fill="auto"/>
            <w:noWrap/>
            <w:vAlign w:val="center"/>
            <w:hideMark/>
          </w:tcPr>
          <w:p w:rsidR="00D46B4D" w:rsidRPr="005639EF" w:rsidRDefault="00D46B4D" w:rsidP="00D46B4D">
            <w:pPr>
              <w:spacing w:after="0"/>
              <w:rPr>
                <w:rFonts w:cs="Arial"/>
                <w:sz w:val="18"/>
                <w:szCs w:val="18"/>
              </w:rPr>
            </w:pPr>
            <w:r w:rsidRPr="005639EF">
              <w:rPr>
                <w:rFonts w:cs="Arial"/>
                <w:sz w:val="18"/>
                <w:szCs w:val="18"/>
              </w:rPr>
              <w:t>Anorí - Antioquia</w:t>
            </w:r>
          </w:p>
        </w:tc>
        <w:tc>
          <w:tcPr>
            <w:tcW w:w="1498" w:type="dxa"/>
            <w:shd w:val="clear" w:color="auto" w:fill="auto"/>
            <w:vAlign w:val="center"/>
            <w:hideMark/>
          </w:tcPr>
          <w:p w:rsidR="00D46B4D" w:rsidRPr="005639EF" w:rsidRDefault="00D46B4D" w:rsidP="00D46B4D">
            <w:pPr>
              <w:spacing w:after="0"/>
              <w:jc w:val="center"/>
              <w:rPr>
                <w:rFonts w:cs="Arial"/>
                <w:sz w:val="18"/>
                <w:szCs w:val="18"/>
              </w:rPr>
            </w:pPr>
            <w:r w:rsidRPr="005639EF">
              <w:rPr>
                <w:rFonts w:cs="Arial"/>
                <w:sz w:val="18"/>
                <w:szCs w:val="18"/>
              </w:rPr>
              <w:t>2</w:t>
            </w:r>
          </w:p>
        </w:tc>
        <w:tc>
          <w:tcPr>
            <w:tcW w:w="971" w:type="dxa"/>
            <w:shd w:val="clear" w:color="auto" w:fill="auto"/>
            <w:vAlign w:val="center"/>
            <w:hideMark/>
          </w:tcPr>
          <w:p w:rsidR="00D46B4D" w:rsidRPr="005639EF" w:rsidRDefault="00D46B4D" w:rsidP="00D46B4D">
            <w:pPr>
              <w:spacing w:after="0"/>
              <w:jc w:val="right"/>
              <w:rPr>
                <w:rFonts w:cs="Arial"/>
                <w:sz w:val="18"/>
                <w:szCs w:val="18"/>
              </w:rPr>
            </w:pPr>
            <w:r w:rsidRPr="005639EF">
              <w:rPr>
                <w:rFonts w:cs="Arial"/>
                <w:sz w:val="18"/>
                <w:szCs w:val="18"/>
              </w:rPr>
              <w:t>15-ago-17</w:t>
            </w:r>
          </w:p>
        </w:tc>
      </w:tr>
      <w:tr w:rsidR="00D46B4D" w:rsidRPr="007608C2" w:rsidTr="005639EF">
        <w:trPr>
          <w:trHeight w:val="43"/>
        </w:trPr>
        <w:tc>
          <w:tcPr>
            <w:tcW w:w="1642" w:type="dxa"/>
            <w:shd w:val="clear" w:color="auto" w:fill="auto"/>
            <w:vAlign w:val="center"/>
            <w:hideMark/>
          </w:tcPr>
          <w:p w:rsidR="00D46B4D" w:rsidRPr="005639EF" w:rsidRDefault="00D46B4D" w:rsidP="00D46B4D">
            <w:pPr>
              <w:spacing w:after="0"/>
              <w:rPr>
                <w:rFonts w:cs="Arial"/>
                <w:bCs/>
                <w:sz w:val="18"/>
                <w:szCs w:val="18"/>
              </w:rPr>
            </w:pPr>
            <w:r w:rsidRPr="005639EF">
              <w:rPr>
                <w:rFonts w:cs="Arial"/>
                <w:bCs/>
                <w:sz w:val="18"/>
                <w:szCs w:val="18"/>
              </w:rPr>
              <w:t>Tolima</w:t>
            </w:r>
          </w:p>
        </w:tc>
        <w:tc>
          <w:tcPr>
            <w:tcW w:w="2726" w:type="dxa"/>
            <w:shd w:val="clear" w:color="auto" w:fill="auto"/>
            <w:noWrap/>
            <w:vAlign w:val="center"/>
            <w:hideMark/>
          </w:tcPr>
          <w:p w:rsidR="00D46B4D" w:rsidRPr="005639EF" w:rsidRDefault="00D46B4D" w:rsidP="00D46B4D">
            <w:pPr>
              <w:spacing w:after="0"/>
              <w:rPr>
                <w:rFonts w:cs="Arial"/>
                <w:sz w:val="18"/>
                <w:szCs w:val="18"/>
              </w:rPr>
            </w:pPr>
            <w:r w:rsidRPr="005639EF">
              <w:rPr>
                <w:rFonts w:cs="Arial"/>
                <w:sz w:val="18"/>
                <w:szCs w:val="18"/>
              </w:rPr>
              <w:t>El Jordán - Planadas - Tolima</w:t>
            </w:r>
          </w:p>
        </w:tc>
        <w:tc>
          <w:tcPr>
            <w:tcW w:w="2558" w:type="dxa"/>
            <w:shd w:val="clear" w:color="auto" w:fill="auto"/>
            <w:noWrap/>
            <w:vAlign w:val="center"/>
            <w:hideMark/>
          </w:tcPr>
          <w:p w:rsidR="00D46B4D" w:rsidRPr="005639EF" w:rsidRDefault="00D46B4D" w:rsidP="00D46B4D">
            <w:pPr>
              <w:spacing w:after="0"/>
              <w:rPr>
                <w:rFonts w:cs="Arial"/>
                <w:sz w:val="18"/>
                <w:szCs w:val="18"/>
              </w:rPr>
            </w:pPr>
            <w:r w:rsidRPr="005639EF">
              <w:rPr>
                <w:rFonts w:cs="Arial"/>
                <w:sz w:val="18"/>
                <w:szCs w:val="18"/>
              </w:rPr>
              <w:t>Planadas - Tolima</w:t>
            </w:r>
          </w:p>
        </w:tc>
        <w:tc>
          <w:tcPr>
            <w:tcW w:w="1498" w:type="dxa"/>
            <w:shd w:val="clear" w:color="auto" w:fill="auto"/>
            <w:vAlign w:val="center"/>
            <w:hideMark/>
          </w:tcPr>
          <w:p w:rsidR="00D46B4D" w:rsidRPr="005639EF" w:rsidRDefault="00D46B4D" w:rsidP="00D46B4D">
            <w:pPr>
              <w:spacing w:after="0"/>
              <w:jc w:val="center"/>
              <w:rPr>
                <w:rFonts w:cs="Arial"/>
                <w:sz w:val="18"/>
                <w:szCs w:val="18"/>
              </w:rPr>
            </w:pPr>
            <w:r w:rsidRPr="005639EF">
              <w:rPr>
                <w:rFonts w:cs="Arial"/>
                <w:sz w:val="18"/>
                <w:szCs w:val="18"/>
              </w:rPr>
              <w:t>2</w:t>
            </w:r>
          </w:p>
        </w:tc>
        <w:tc>
          <w:tcPr>
            <w:tcW w:w="971" w:type="dxa"/>
            <w:shd w:val="clear" w:color="auto" w:fill="auto"/>
            <w:vAlign w:val="center"/>
            <w:hideMark/>
          </w:tcPr>
          <w:p w:rsidR="00D46B4D" w:rsidRPr="005639EF" w:rsidRDefault="00D46B4D" w:rsidP="00D46B4D">
            <w:pPr>
              <w:spacing w:after="0"/>
              <w:jc w:val="right"/>
              <w:rPr>
                <w:rFonts w:cs="Arial"/>
                <w:sz w:val="18"/>
                <w:szCs w:val="18"/>
              </w:rPr>
            </w:pPr>
            <w:r w:rsidRPr="005639EF">
              <w:rPr>
                <w:rFonts w:cs="Arial"/>
                <w:sz w:val="18"/>
                <w:szCs w:val="18"/>
              </w:rPr>
              <w:t>15-ago-17</w:t>
            </w:r>
          </w:p>
        </w:tc>
      </w:tr>
      <w:tr w:rsidR="00D46B4D" w:rsidRPr="007608C2" w:rsidTr="005639EF">
        <w:trPr>
          <w:trHeight w:val="43"/>
        </w:trPr>
        <w:tc>
          <w:tcPr>
            <w:tcW w:w="1642" w:type="dxa"/>
            <w:shd w:val="clear" w:color="auto" w:fill="auto"/>
            <w:vAlign w:val="center"/>
            <w:hideMark/>
          </w:tcPr>
          <w:p w:rsidR="00D46B4D" w:rsidRPr="005639EF" w:rsidRDefault="00D46B4D" w:rsidP="00D46B4D">
            <w:pPr>
              <w:spacing w:after="0"/>
              <w:rPr>
                <w:rFonts w:cs="Arial"/>
                <w:bCs/>
                <w:sz w:val="18"/>
                <w:szCs w:val="18"/>
              </w:rPr>
            </w:pPr>
            <w:r w:rsidRPr="005639EF">
              <w:rPr>
                <w:rFonts w:cs="Arial"/>
                <w:bCs/>
                <w:sz w:val="18"/>
                <w:szCs w:val="18"/>
              </w:rPr>
              <w:t>Cauca</w:t>
            </w:r>
          </w:p>
        </w:tc>
        <w:tc>
          <w:tcPr>
            <w:tcW w:w="2726" w:type="dxa"/>
            <w:shd w:val="clear" w:color="auto" w:fill="auto"/>
            <w:noWrap/>
            <w:vAlign w:val="center"/>
            <w:hideMark/>
          </w:tcPr>
          <w:p w:rsidR="00D46B4D" w:rsidRPr="005639EF" w:rsidRDefault="00D46B4D" w:rsidP="00D46B4D">
            <w:pPr>
              <w:spacing w:after="0"/>
              <w:rPr>
                <w:rFonts w:cs="Arial"/>
                <w:sz w:val="18"/>
                <w:szCs w:val="18"/>
              </w:rPr>
            </w:pPr>
            <w:r w:rsidRPr="005639EF">
              <w:rPr>
                <w:rFonts w:cs="Arial"/>
                <w:sz w:val="18"/>
                <w:szCs w:val="18"/>
              </w:rPr>
              <w:t>Miranda - Cauca</w:t>
            </w:r>
          </w:p>
        </w:tc>
        <w:tc>
          <w:tcPr>
            <w:tcW w:w="2558" w:type="dxa"/>
            <w:shd w:val="clear" w:color="auto" w:fill="auto"/>
            <w:noWrap/>
            <w:vAlign w:val="center"/>
            <w:hideMark/>
          </w:tcPr>
          <w:p w:rsidR="00D46B4D" w:rsidRPr="005639EF" w:rsidRDefault="00D46B4D" w:rsidP="00D46B4D">
            <w:pPr>
              <w:spacing w:after="0"/>
              <w:rPr>
                <w:rFonts w:cs="Arial"/>
                <w:sz w:val="18"/>
                <w:szCs w:val="18"/>
              </w:rPr>
            </w:pPr>
            <w:r w:rsidRPr="005639EF">
              <w:rPr>
                <w:rFonts w:cs="Arial"/>
                <w:sz w:val="18"/>
                <w:szCs w:val="18"/>
              </w:rPr>
              <w:t>La Montañita - Caquetá</w:t>
            </w:r>
          </w:p>
        </w:tc>
        <w:tc>
          <w:tcPr>
            <w:tcW w:w="1498" w:type="dxa"/>
            <w:shd w:val="clear" w:color="auto" w:fill="auto"/>
            <w:vAlign w:val="center"/>
            <w:hideMark/>
          </w:tcPr>
          <w:p w:rsidR="00D46B4D" w:rsidRPr="005639EF" w:rsidRDefault="00D46B4D" w:rsidP="00D46B4D">
            <w:pPr>
              <w:spacing w:after="0"/>
              <w:jc w:val="center"/>
              <w:rPr>
                <w:rFonts w:cs="Arial"/>
                <w:sz w:val="18"/>
                <w:szCs w:val="18"/>
              </w:rPr>
            </w:pPr>
            <w:r w:rsidRPr="005639EF">
              <w:rPr>
                <w:rFonts w:cs="Arial"/>
                <w:sz w:val="18"/>
                <w:szCs w:val="18"/>
              </w:rPr>
              <w:t>4</w:t>
            </w:r>
          </w:p>
        </w:tc>
        <w:tc>
          <w:tcPr>
            <w:tcW w:w="971" w:type="dxa"/>
            <w:shd w:val="clear" w:color="auto" w:fill="auto"/>
            <w:vAlign w:val="center"/>
            <w:hideMark/>
          </w:tcPr>
          <w:p w:rsidR="00D46B4D" w:rsidRPr="005639EF" w:rsidRDefault="00D46B4D" w:rsidP="00D46B4D">
            <w:pPr>
              <w:spacing w:after="0"/>
              <w:jc w:val="right"/>
              <w:rPr>
                <w:rFonts w:cs="Arial"/>
                <w:sz w:val="18"/>
                <w:szCs w:val="18"/>
              </w:rPr>
            </w:pPr>
            <w:r w:rsidRPr="005639EF">
              <w:rPr>
                <w:rFonts w:cs="Arial"/>
                <w:sz w:val="18"/>
                <w:szCs w:val="18"/>
              </w:rPr>
              <w:t>15-ago-17</w:t>
            </w:r>
          </w:p>
        </w:tc>
      </w:tr>
      <w:tr w:rsidR="00D46B4D" w:rsidRPr="007608C2" w:rsidTr="005639EF">
        <w:trPr>
          <w:trHeight w:val="43"/>
        </w:trPr>
        <w:tc>
          <w:tcPr>
            <w:tcW w:w="1642" w:type="dxa"/>
            <w:shd w:val="clear" w:color="auto" w:fill="auto"/>
            <w:vAlign w:val="center"/>
            <w:hideMark/>
          </w:tcPr>
          <w:p w:rsidR="00D46B4D" w:rsidRPr="005639EF" w:rsidRDefault="00D46B4D" w:rsidP="00D46B4D">
            <w:pPr>
              <w:spacing w:after="0"/>
              <w:rPr>
                <w:rFonts w:cs="Arial"/>
                <w:bCs/>
                <w:sz w:val="18"/>
                <w:szCs w:val="18"/>
              </w:rPr>
            </w:pPr>
            <w:r w:rsidRPr="005639EF">
              <w:rPr>
                <w:rFonts w:cs="Arial"/>
                <w:bCs/>
                <w:sz w:val="18"/>
                <w:szCs w:val="18"/>
              </w:rPr>
              <w:t>La Guajira</w:t>
            </w:r>
          </w:p>
        </w:tc>
        <w:tc>
          <w:tcPr>
            <w:tcW w:w="2726" w:type="dxa"/>
            <w:shd w:val="clear" w:color="auto" w:fill="auto"/>
            <w:noWrap/>
            <w:vAlign w:val="center"/>
            <w:hideMark/>
          </w:tcPr>
          <w:p w:rsidR="00D46B4D" w:rsidRPr="005639EF" w:rsidRDefault="00D46B4D" w:rsidP="00D46B4D">
            <w:pPr>
              <w:spacing w:after="0"/>
              <w:rPr>
                <w:rFonts w:cs="Arial"/>
                <w:sz w:val="18"/>
                <w:szCs w:val="18"/>
              </w:rPr>
            </w:pPr>
            <w:r w:rsidRPr="005639EF">
              <w:rPr>
                <w:rFonts w:cs="Arial"/>
                <w:sz w:val="18"/>
                <w:szCs w:val="18"/>
              </w:rPr>
              <w:t>Pondores - Conejo - Fonseca - La Guajira</w:t>
            </w:r>
          </w:p>
        </w:tc>
        <w:tc>
          <w:tcPr>
            <w:tcW w:w="2558" w:type="dxa"/>
            <w:shd w:val="clear" w:color="auto" w:fill="auto"/>
            <w:noWrap/>
            <w:vAlign w:val="center"/>
            <w:hideMark/>
          </w:tcPr>
          <w:p w:rsidR="00D46B4D" w:rsidRPr="005639EF" w:rsidRDefault="00D46B4D" w:rsidP="00D46B4D">
            <w:pPr>
              <w:spacing w:after="0"/>
              <w:rPr>
                <w:rFonts w:cs="Arial"/>
                <w:sz w:val="18"/>
                <w:szCs w:val="18"/>
              </w:rPr>
            </w:pPr>
            <w:r w:rsidRPr="005639EF">
              <w:rPr>
                <w:rFonts w:cs="Arial"/>
                <w:sz w:val="18"/>
                <w:szCs w:val="18"/>
              </w:rPr>
              <w:t>Fonseca - La Guajira</w:t>
            </w:r>
          </w:p>
        </w:tc>
        <w:tc>
          <w:tcPr>
            <w:tcW w:w="1498" w:type="dxa"/>
            <w:shd w:val="clear" w:color="auto" w:fill="auto"/>
            <w:vAlign w:val="center"/>
            <w:hideMark/>
          </w:tcPr>
          <w:p w:rsidR="00D46B4D" w:rsidRPr="005639EF" w:rsidRDefault="00D46B4D" w:rsidP="00D46B4D">
            <w:pPr>
              <w:spacing w:after="0"/>
              <w:jc w:val="center"/>
              <w:rPr>
                <w:rFonts w:cs="Arial"/>
                <w:sz w:val="18"/>
                <w:szCs w:val="18"/>
              </w:rPr>
            </w:pPr>
            <w:r w:rsidRPr="005639EF">
              <w:rPr>
                <w:rFonts w:cs="Arial"/>
                <w:sz w:val="18"/>
                <w:szCs w:val="18"/>
              </w:rPr>
              <w:t>2</w:t>
            </w:r>
          </w:p>
        </w:tc>
        <w:tc>
          <w:tcPr>
            <w:tcW w:w="971" w:type="dxa"/>
            <w:shd w:val="clear" w:color="auto" w:fill="auto"/>
            <w:vAlign w:val="center"/>
            <w:hideMark/>
          </w:tcPr>
          <w:p w:rsidR="00D46B4D" w:rsidRPr="005639EF" w:rsidRDefault="00D46B4D" w:rsidP="00D46B4D">
            <w:pPr>
              <w:spacing w:after="0"/>
              <w:jc w:val="right"/>
              <w:rPr>
                <w:rFonts w:cs="Arial"/>
                <w:sz w:val="18"/>
                <w:szCs w:val="18"/>
              </w:rPr>
            </w:pPr>
            <w:r w:rsidRPr="005639EF">
              <w:rPr>
                <w:rFonts w:cs="Arial"/>
                <w:sz w:val="18"/>
                <w:szCs w:val="18"/>
              </w:rPr>
              <w:t>15-ago-17</w:t>
            </w:r>
          </w:p>
        </w:tc>
      </w:tr>
      <w:tr w:rsidR="00D46B4D" w:rsidRPr="007608C2" w:rsidTr="005639EF">
        <w:trPr>
          <w:trHeight w:val="43"/>
        </w:trPr>
        <w:tc>
          <w:tcPr>
            <w:tcW w:w="1642" w:type="dxa"/>
            <w:shd w:val="clear" w:color="auto" w:fill="auto"/>
            <w:vAlign w:val="center"/>
            <w:hideMark/>
          </w:tcPr>
          <w:p w:rsidR="00D46B4D" w:rsidRPr="005639EF" w:rsidRDefault="00D46B4D" w:rsidP="00D46B4D">
            <w:pPr>
              <w:spacing w:after="0"/>
              <w:rPr>
                <w:rFonts w:cs="Arial"/>
                <w:bCs/>
                <w:sz w:val="18"/>
                <w:szCs w:val="18"/>
              </w:rPr>
            </w:pPr>
            <w:r w:rsidRPr="005639EF">
              <w:rPr>
                <w:rFonts w:cs="Arial"/>
                <w:bCs/>
                <w:sz w:val="18"/>
                <w:szCs w:val="18"/>
              </w:rPr>
              <w:t>Cauca</w:t>
            </w:r>
          </w:p>
        </w:tc>
        <w:tc>
          <w:tcPr>
            <w:tcW w:w="2726" w:type="dxa"/>
            <w:shd w:val="clear" w:color="auto" w:fill="auto"/>
            <w:noWrap/>
            <w:vAlign w:val="center"/>
            <w:hideMark/>
          </w:tcPr>
          <w:p w:rsidR="00D46B4D" w:rsidRPr="005639EF" w:rsidRDefault="00D46B4D" w:rsidP="00D46B4D">
            <w:pPr>
              <w:spacing w:after="0"/>
              <w:rPr>
                <w:rFonts w:cs="Arial"/>
                <w:sz w:val="18"/>
                <w:szCs w:val="18"/>
              </w:rPr>
            </w:pPr>
            <w:r w:rsidRPr="005639EF">
              <w:rPr>
                <w:rFonts w:cs="Arial"/>
                <w:sz w:val="18"/>
                <w:szCs w:val="18"/>
              </w:rPr>
              <w:t>El Roble - Buenos Aires - Cauca</w:t>
            </w:r>
          </w:p>
        </w:tc>
        <w:tc>
          <w:tcPr>
            <w:tcW w:w="2558" w:type="dxa"/>
            <w:shd w:val="clear" w:color="auto" w:fill="auto"/>
            <w:noWrap/>
            <w:vAlign w:val="center"/>
            <w:hideMark/>
          </w:tcPr>
          <w:p w:rsidR="00D46B4D" w:rsidRPr="005639EF" w:rsidRDefault="00D46B4D" w:rsidP="00D46B4D">
            <w:pPr>
              <w:spacing w:after="0"/>
              <w:rPr>
                <w:rFonts w:cs="Arial"/>
                <w:sz w:val="18"/>
                <w:szCs w:val="18"/>
              </w:rPr>
            </w:pPr>
            <w:r w:rsidRPr="005639EF">
              <w:rPr>
                <w:rFonts w:cs="Arial"/>
                <w:sz w:val="18"/>
                <w:szCs w:val="18"/>
              </w:rPr>
              <w:t>Miranda - Cauca</w:t>
            </w:r>
          </w:p>
        </w:tc>
        <w:tc>
          <w:tcPr>
            <w:tcW w:w="1498" w:type="dxa"/>
            <w:shd w:val="clear" w:color="auto" w:fill="auto"/>
            <w:vAlign w:val="center"/>
            <w:hideMark/>
          </w:tcPr>
          <w:p w:rsidR="00D46B4D" w:rsidRPr="005639EF" w:rsidRDefault="00D46B4D" w:rsidP="00D46B4D">
            <w:pPr>
              <w:spacing w:after="0"/>
              <w:jc w:val="center"/>
              <w:rPr>
                <w:rFonts w:cs="Arial"/>
                <w:sz w:val="18"/>
                <w:szCs w:val="18"/>
              </w:rPr>
            </w:pPr>
            <w:r w:rsidRPr="005639EF">
              <w:rPr>
                <w:rFonts w:cs="Arial"/>
                <w:sz w:val="18"/>
                <w:szCs w:val="18"/>
              </w:rPr>
              <w:t>2</w:t>
            </w:r>
          </w:p>
        </w:tc>
        <w:tc>
          <w:tcPr>
            <w:tcW w:w="971" w:type="dxa"/>
            <w:shd w:val="clear" w:color="auto" w:fill="auto"/>
            <w:vAlign w:val="center"/>
            <w:hideMark/>
          </w:tcPr>
          <w:p w:rsidR="00D46B4D" w:rsidRPr="005639EF" w:rsidRDefault="00D46B4D" w:rsidP="00D46B4D">
            <w:pPr>
              <w:spacing w:after="0"/>
              <w:jc w:val="right"/>
              <w:rPr>
                <w:rFonts w:cs="Arial"/>
                <w:sz w:val="18"/>
                <w:szCs w:val="18"/>
              </w:rPr>
            </w:pPr>
            <w:r w:rsidRPr="005639EF">
              <w:rPr>
                <w:rFonts w:cs="Arial"/>
                <w:sz w:val="18"/>
                <w:szCs w:val="18"/>
              </w:rPr>
              <w:t>15-ago-17</w:t>
            </w:r>
          </w:p>
        </w:tc>
      </w:tr>
      <w:tr w:rsidR="00D46B4D" w:rsidRPr="007608C2" w:rsidTr="005639EF">
        <w:trPr>
          <w:trHeight w:val="43"/>
        </w:trPr>
        <w:tc>
          <w:tcPr>
            <w:tcW w:w="1642" w:type="dxa"/>
            <w:shd w:val="clear" w:color="auto" w:fill="auto"/>
            <w:vAlign w:val="center"/>
            <w:hideMark/>
          </w:tcPr>
          <w:p w:rsidR="00D46B4D" w:rsidRPr="005639EF" w:rsidRDefault="00D46B4D" w:rsidP="00D46B4D">
            <w:pPr>
              <w:spacing w:after="0"/>
              <w:rPr>
                <w:rFonts w:cs="Arial"/>
                <w:bCs/>
                <w:sz w:val="18"/>
                <w:szCs w:val="18"/>
              </w:rPr>
            </w:pPr>
            <w:r w:rsidRPr="005639EF">
              <w:rPr>
                <w:rFonts w:cs="Arial"/>
                <w:bCs/>
                <w:sz w:val="18"/>
                <w:szCs w:val="18"/>
              </w:rPr>
              <w:t>Arauca</w:t>
            </w:r>
          </w:p>
        </w:tc>
        <w:tc>
          <w:tcPr>
            <w:tcW w:w="2726" w:type="dxa"/>
            <w:shd w:val="clear" w:color="auto" w:fill="auto"/>
            <w:noWrap/>
            <w:vAlign w:val="center"/>
            <w:hideMark/>
          </w:tcPr>
          <w:p w:rsidR="00D46B4D" w:rsidRPr="005639EF" w:rsidRDefault="00D46B4D" w:rsidP="00D46B4D">
            <w:pPr>
              <w:spacing w:after="0"/>
              <w:rPr>
                <w:rFonts w:cs="Arial"/>
                <w:sz w:val="18"/>
                <w:szCs w:val="18"/>
              </w:rPr>
            </w:pPr>
            <w:r w:rsidRPr="005639EF">
              <w:rPr>
                <w:rFonts w:cs="Arial"/>
                <w:sz w:val="18"/>
                <w:szCs w:val="18"/>
              </w:rPr>
              <w:t>Filipinas - Arauca - Arauca</w:t>
            </w:r>
          </w:p>
        </w:tc>
        <w:tc>
          <w:tcPr>
            <w:tcW w:w="2558" w:type="dxa"/>
            <w:shd w:val="clear" w:color="auto" w:fill="auto"/>
            <w:noWrap/>
            <w:vAlign w:val="center"/>
            <w:hideMark/>
          </w:tcPr>
          <w:p w:rsidR="00D46B4D" w:rsidRPr="005639EF" w:rsidRDefault="00D46B4D" w:rsidP="00D46B4D">
            <w:pPr>
              <w:spacing w:after="0"/>
              <w:rPr>
                <w:rFonts w:cs="Arial"/>
                <w:sz w:val="18"/>
                <w:szCs w:val="18"/>
              </w:rPr>
            </w:pPr>
            <w:r w:rsidRPr="005639EF">
              <w:rPr>
                <w:rFonts w:cs="Arial"/>
                <w:sz w:val="18"/>
                <w:szCs w:val="18"/>
              </w:rPr>
              <w:t>Arauca - Arauca</w:t>
            </w:r>
          </w:p>
        </w:tc>
        <w:tc>
          <w:tcPr>
            <w:tcW w:w="1498" w:type="dxa"/>
            <w:shd w:val="clear" w:color="auto" w:fill="auto"/>
            <w:vAlign w:val="center"/>
            <w:hideMark/>
          </w:tcPr>
          <w:p w:rsidR="00D46B4D" w:rsidRPr="005639EF" w:rsidRDefault="00D46B4D" w:rsidP="00D46B4D">
            <w:pPr>
              <w:spacing w:after="0"/>
              <w:jc w:val="center"/>
              <w:rPr>
                <w:rFonts w:cs="Arial"/>
                <w:sz w:val="18"/>
                <w:szCs w:val="18"/>
              </w:rPr>
            </w:pPr>
            <w:r w:rsidRPr="005639EF">
              <w:rPr>
                <w:rFonts w:cs="Arial"/>
                <w:sz w:val="18"/>
                <w:szCs w:val="18"/>
              </w:rPr>
              <w:t>1</w:t>
            </w:r>
          </w:p>
        </w:tc>
        <w:tc>
          <w:tcPr>
            <w:tcW w:w="971" w:type="dxa"/>
            <w:shd w:val="clear" w:color="auto" w:fill="auto"/>
            <w:vAlign w:val="center"/>
            <w:hideMark/>
          </w:tcPr>
          <w:p w:rsidR="00D46B4D" w:rsidRPr="005639EF" w:rsidRDefault="00D46B4D" w:rsidP="00D46B4D">
            <w:pPr>
              <w:spacing w:after="0"/>
              <w:jc w:val="right"/>
              <w:rPr>
                <w:rFonts w:cs="Arial"/>
                <w:sz w:val="18"/>
                <w:szCs w:val="18"/>
              </w:rPr>
            </w:pPr>
            <w:r w:rsidRPr="005639EF">
              <w:rPr>
                <w:rFonts w:cs="Arial"/>
                <w:sz w:val="18"/>
                <w:szCs w:val="18"/>
              </w:rPr>
              <w:t>16-ago-17</w:t>
            </w:r>
          </w:p>
        </w:tc>
      </w:tr>
      <w:tr w:rsidR="00D46B4D" w:rsidRPr="007608C2" w:rsidTr="005639EF">
        <w:trPr>
          <w:trHeight w:val="43"/>
        </w:trPr>
        <w:tc>
          <w:tcPr>
            <w:tcW w:w="1642" w:type="dxa"/>
            <w:shd w:val="clear" w:color="auto" w:fill="auto"/>
            <w:vAlign w:val="center"/>
            <w:hideMark/>
          </w:tcPr>
          <w:p w:rsidR="00D46B4D" w:rsidRPr="005639EF" w:rsidRDefault="00D46B4D" w:rsidP="00D46B4D">
            <w:pPr>
              <w:spacing w:after="0"/>
              <w:rPr>
                <w:rFonts w:cs="Arial"/>
                <w:bCs/>
                <w:sz w:val="18"/>
                <w:szCs w:val="18"/>
              </w:rPr>
            </w:pPr>
            <w:r w:rsidRPr="005639EF">
              <w:rPr>
                <w:rFonts w:cs="Arial"/>
                <w:bCs/>
                <w:sz w:val="18"/>
                <w:szCs w:val="18"/>
              </w:rPr>
              <w:lastRenderedPageBreak/>
              <w:t>Nariño</w:t>
            </w:r>
          </w:p>
        </w:tc>
        <w:tc>
          <w:tcPr>
            <w:tcW w:w="2726" w:type="dxa"/>
            <w:shd w:val="clear" w:color="auto" w:fill="auto"/>
            <w:noWrap/>
            <w:vAlign w:val="center"/>
            <w:hideMark/>
          </w:tcPr>
          <w:p w:rsidR="00D46B4D" w:rsidRPr="005639EF" w:rsidRDefault="00D46B4D" w:rsidP="00D46B4D">
            <w:pPr>
              <w:spacing w:after="0"/>
              <w:rPr>
                <w:rFonts w:cs="Arial"/>
                <w:sz w:val="18"/>
                <w:szCs w:val="18"/>
              </w:rPr>
            </w:pPr>
            <w:r w:rsidRPr="005639EF">
              <w:rPr>
                <w:rFonts w:cs="Arial"/>
                <w:sz w:val="18"/>
                <w:szCs w:val="18"/>
              </w:rPr>
              <w:t>Betania - Policarpa - Nariño</w:t>
            </w:r>
          </w:p>
        </w:tc>
        <w:tc>
          <w:tcPr>
            <w:tcW w:w="2558" w:type="dxa"/>
            <w:shd w:val="clear" w:color="auto" w:fill="auto"/>
            <w:noWrap/>
            <w:vAlign w:val="center"/>
            <w:hideMark/>
          </w:tcPr>
          <w:p w:rsidR="00D46B4D" w:rsidRPr="005639EF" w:rsidRDefault="00D46B4D" w:rsidP="00D46B4D">
            <w:pPr>
              <w:spacing w:after="0"/>
              <w:rPr>
                <w:rFonts w:cs="Arial"/>
                <w:sz w:val="18"/>
                <w:szCs w:val="18"/>
              </w:rPr>
            </w:pPr>
            <w:r w:rsidRPr="005639EF">
              <w:rPr>
                <w:rFonts w:cs="Arial"/>
                <w:sz w:val="18"/>
                <w:szCs w:val="18"/>
              </w:rPr>
              <w:t>Policarpa - Nariño</w:t>
            </w:r>
          </w:p>
        </w:tc>
        <w:tc>
          <w:tcPr>
            <w:tcW w:w="1498" w:type="dxa"/>
            <w:shd w:val="clear" w:color="auto" w:fill="auto"/>
            <w:vAlign w:val="center"/>
            <w:hideMark/>
          </w:tcPr>
          <w:p w:rsidR="00D46B4D" w:rsidRPr="005639EF" w:rsidRDefault="00D46B4D" w:rsidP="00D46B4D">
            <w:pPr>
              <w:spacing w:after="0"/>
              <w:jc w:val="center"/>
              <w:rPr>
                <w:rFonts w:cs="Arial"/>
                <w:sz w:val="18"/>
                <w:szCs w:val="18"/>
              </w:rPr>
            </w:pPr>
            <w:r w:rsidRPr="005639EF">
              <w:rPr>
                <w:rFonts w:cs="Arial"/>
                <w:sz w:val="18"/>
                <w:szCs w:val="18"/>
              </w:rPr>
              <w:t>5</w:t>
            </w:r>
          </w:p>
        </w:tc>
        <w:tc>
          <w:tcPr>
            <w:tcW w:w="971" w:type="dxa"/>
            <w:shd w:val="clear" w:color="auto" w:fill="auto"/>
            <w:vAlign w:val="center"/>
            <w:hideMark/>
          </w:tcPr>
          <w:p w:rsidR="00D46B4D" w:rsidRPr="005639EF" w:rsidRDefault="00D46B4D" w:rsidP="00D46B4D">
            <w:pPr>
              <w:spacing w:after="0"/>
              <w:jc w:val="right"/>
              <w:rPr>
                <w:rFonts w:cs="Arial"/>
                <w:sz w:val="18"/>
                <w:szCs w:val="18"/>
              </w:rPr>
            </w:pPr>
            <w:r w:rsidRPr="005639EF">
              <w:rPr>
                <w:rFonts w:cs="Arial"/>
                <w:sz w:val="18"/>
                <w:szCs w:val="18"/>
              </w:rPr>
              <w:t>16-ago-17</w:t>
            </w:r>
          </w:p>
        </w:tc>
      </w:tr>
      <w:tr w:rsidR="00D46B4D" w:rsidRPr="007608C2" w:rsidTr="005639EF">
        <w:trPr>
          <w:trHeight w:val="43"/>
        </w:trPr>
        <w:tc>
          <w:tcPr>
            <w:tcW w:w="1642" w:type="dxa"/>
            <w:shd w:val="clear" w:color="auto" w:fill="auto"/>
            <w:vAlign w:val="center"/>
            <w:hideMark/>
          </w:tcPr>
          <w:p w:rsidR="00D46B4D" w:rsidRPr="005639EF" w:rsidRDefault="00D46B4D" w:rsidP="00D46B4D">
            <w:pPr>
              <w:spacing w:after="0"/>
              <w:rPr>
                <w:rFonts w:cs="Arial"/>
                <w:bCs/>
                <w:sz w:val="18"/>
                <w:szCs w:val="18"/>
              </w:rPr>
            </w:pPr>
            <w:r w:rsidRPr="005639EF">
              <w:rPr>
                <w:rFonts w:cs="Arial"/>
                <w:bCs/>
                <w:sz w:val="18"/>
                <w:szCs w:val="18"/>
              </w:rPr>
              <w:t>Antioquia</w:t>
            </w:r>
          </w:p>
        </w:tc>
        <w:tc>
          <w:tcPr>
            <w:tcW w:w="2726" w:type="dxa"/>
            <w:shd w:val="clear" w:color="auto" w:fill="auto"/>
            <w:noWrap/>
            <w:vAlign w:val="center"/>
            <w:hideMark/>
          </w:tcPr>
          <w:p w:rsidR="00D46B4D" w:rsidRPr="005639EF" w:rsidRDefault="00D46B4D" w:rsidP="00D46B4D">
            <w:pPr>
              <w:spacing w:after="0"/>
              <w:rPr>
                <w:rFonts w:cs="Arial"/>
                <w:sz w:val="18"/>
                <w:szCs w:val="18"/>
              </w:rPr>
            </w:pPr>
            <w:r w:rsidRPr="005639EF">
              <w:rPr>
                <w:rFonts w:cs="Arial"/>
                <w:sz w:val="18"/>
                <w:szCs w:val="18"/>
              </w:rPr>
              <w:t>Dabeiba</w:t>
            </w:r>
          </w:p>
        </w:tc>
        <w:tc>
          <w:tcPr>
            <w:tcW w:w="2558" w:type="dxa"/>
            <w:shd w:val="clear" w:color="auto" w:fill="auto"/>
            <w:noWrap/>
            <w:vAlign w:val="center"/>
            <w:hideMark/>
          </w:tcPr>
          <w:p w:rsidR="00D46B4D" w:rsidRPr="005639EF" w:rsidRDefault="00D46B4D" w:rsidP="00D46B4D">
            <w:pPr>
              <w:spacing w:after="0"/>
              <w:rPr>
                <w:rFonts w:cs="Arial"/>
                <w:sz w:val="18"/>
                <w:szCs w:val="18"/>
              </w:rPr>
            </w:pPr>
            <w:r w:rsidRPr="005639EF">
              <w:rPr>
                <w:rFonts w:cs="Arial"/>
                <w:sz w:val="18"/>
                <w:szCs w:val="18"/>
              </w:rPr>
              <w:t>LTA La Montañita - Caquetá</w:t>
            </w:r>
          </w:p>
        </w:tc>
        <w:tc>
          <w:tcPr>
            <w:tcW w:w="1498" w:type="dxa"/>
            <w:shd w:val="clear" w:color="auto" w:fill="auto"/>
            <w:vAlign w:val="center"/>
            <w:hideMark/>
          </w:tcPr>
          <w:p w:rsidR="00D46B4D" w:rsidRPr="005639EF" w:rsidRDefault="00D46B4D" w:rsidP="00D46B4D">
            <w:pPr>
              <w:spacing w:after="0"/>
              <w:jc w:val="center"/>
              <w:rPr>
                <w:rFonts w:cs="Arial"/>
                <w:sz w:val="18"/>
                <w:szCs w:val="18"/>
              </w:rPr>
            </w:pPr>
            <w:r w:rsidRPr="005639EF">
              <w:rPr>
                <w:rFonts w:cs="Arial"/>
                <w:sz w:val="18"/>
                <w:szCs w:val="18"/>
              </w:rPr>
              <w:t>1</w:t>
            </w:r>
          </w:p>
        </w:tc>
        <w:tc>
          <w:tcPr>
            <w:tcW w:w="971" w:type="dxa"/>
            <w:shd w:val="clear" w:color="auto" w:fill="auto"/>
            <w:vAlign w:val="center"/>
            <w:hideMark/>
          </w:tcPr>
          <w:p w:rsidR="00D46B4D" w:rsidRPr="005639EF" w:rsidRDefault="00D46B4D" w:rsidP="00D46B4D">
            <w:pPr>
              <w:spacing w:after="0"/>
              <w:jc w:val="right"/>
              <w:rPr>
                <w:rFonts w:cs="Arial"/>
                <w:sz w:val="18"/>
                <w:szCs w:val="18"/>
              </w:rPr>
            </w:pPr>
            <w:r w:rsidRPr="005639EF">
              <w:rPr>
                <w:rFonts w:cs="Arial"/>
                <w:sz w:val="18"/>
                <w:szCs w:val="18"/>
              </w:rPr>
              <w:t>11-sep-17</w:t>
            </w:r>
          </w:p>
        </w:tc>
      </w:tr>
      <w:tr w:rsidR="00D46B4D" w:rsidRPr="007608C2" w:rsidTr="005639EF">
        <w:trPr>
          <w:trHeight w:val="43"/>
        </w:trPr>
        <w:tc>
          <w:tcPr>
            <w:tcW w:w="1642" w:type="dxa"/>
            <w:shd w:val="clear" w:color="auto" w:fill="E2EFDA"/>
            <w:vAlign w:val="center"/>
            <w:hideMark/>
          </w:tcPr>
          <w:p w:rsidR="00D46B4D" w:rsidRPr="005639EF" w:rsidRDefault="00D46B4D" w:rsidP="00D46B4D">
            <w:pPr>
              <w:spacing w:after="0"/>
              <w:rPr>
                <w:rFonts w:cs="Arial"/>
                <w:b/>
                <w:bCs/>
                <w:sz w:val="18"/>
                <w:szCs w:val="18"/>
              </w:rPr>
            </w:pPr>
            <w:r w:rsidRPr="005639EF">
              <w:rPr>
                <w:rFonts w:cs="Arial"/>
                <w:b/>
                <w:bCs/>
                <w:sz w:val="18"/>
                <w:szCs w:val="18"/>
              </w:rPr>
              <w:t>TOTAL</w:t>
            </w:r>
          </w:p>
        </w:tc>
        <w:tc>
          <w:tcPr>
            <w:tcW w:w="2726" w:type="dxa"/>
            <w:shd w:val="clear" w:color="auto" w:fill="E2EFDA"/>
            <w:vAlign w:val="center"/>
            <w:hideMark/>
          </w:tcPr>
          <w:p w:rsidR="00D46B4D" w:rsidRPr="005639EF" w:rsidRDefault="00D46B4D" w:rsidP="00D46B4D">
            <w:pPr>
              <w:spacing w:after="0"/>
              <w:rPr>
                <w:rFonts w:cs="Arial"/>
                <w:b/>
                <w:sz w:val="18"/>
                <w:szCs w:val="18"/>
              </w:rPr>
            </w:pPr>
            <w:r w:rsidRPr="005639EF">
              <w:rPr>
                <w:rFonts w:cs="Arial"/>
                <w:b/>
                <w:sz w:val="18"/>
                <w:szCs w:val="18"/>
              </w:rPr>
              <w:t> </w:t>
            </w:r>
          </w:p>
        </w:tc>
        <w:tc>
          <w:tcPr>
            <w:tcW w:w="2558" w:type="dxa"/>
            <w:shd w:val="clear" w:color="auto" w:fill="E2EFDA"/>
            <w:vAlign w:val="center"/>
            <w:hideMark/>
          </w:tcPr>
          <w:p w:rsidR="00D46B4D" w:rsidRPr="005639EF" w:rsidRDefault="00D46B4D" w:rsidP="00D46B4D">
            <w:pPr>
              <w:spacing w:after="0"/>
              <w:rPr>
                <w:rFonts w:cs="Arial"/>
                <w:b/>
                <w:sz w:val="18"/>
                <w:szCs w:val="18"/>
              </w:rPr>
            </w:pPr>
            <w:r w:rsidRPr="005639EF">
              <w:rPr>
                <w:rFonts w:cs="Arial"/>
                <w:b/>
                <w:sz w:val="18"/>
                <w:szCs w:val="18"/>
              </w:rPr>
              <w:t> </w:t>
            </w:r>
          </w:p>
        </w:tc>
        <w:tc>
          <w:tcPr>
            <w:tcW w:w="1498" w:type="dxa"/>
            <w:shd w:val="clear" w:color="auto" w:fill="E2EFDA"/>
            <w:vAlign w:val="center"/>
            <w:hideMark/>
          </w:tcPr>
          <w:p w:rsidR="00D46B4D" w:rsidRPr="005639EF" w:rsidRDefault="00D46B4D" w:rsidP="00D46B4D">
            <w:pPr>
              <w:spacing w:after="0"/>
              <w:jc w:val="center"/>
              <w:rPr>
                <w:rFonts w:cs="Arial"/>
                <w:b/>
                <w:sz w:val="18"/>
                <w:szCs w:val="18"/>
              </w:rPr>
            </w:pPr>
            <w:r w:rsidRPr="005639EF">
              <w:rPr>
                <w:rFonts w:cs="Arial"/>
                <w:b/>
                <w:sz w:val="18"/>
                <w:szCs w:val="18"/>
              </w:rPr>
              <w:t>124</w:t>
            </w:r>
          </w:p>
        </w:tc>
        <w:tc>
          <w:tcPr>
            <w:tcW w:w="971" w:type="dxa"/>
            <w:shd w:val="clear" w:color="auto" w:fill="E2EFDA"/>
            <w:noWrap/>
            <w:vAlign w:val="bottom"/>
            <w:hideMark/>
          </w:tcPr>
          <w:p w:rsidR="00D46B4D" w:rsidRPr="005639EF" w:rsidRDefault="00D46B4D" w:rsidP="00D46B4D">
            <w:pPr>
              <w:spacing w:after="0"/>
              <w:jc w:val="center"/>
              <w:rPr>
                <w:rFonts w:cs="Arial"/>
                <w:b/>
                <w:sz w:val="18"/>
                <w:szCs w:val="18"/>
              </w:rPr>
            </w:pPr>
          </w:p>
        </w:tc>
      </w:tr>
    </w:tbl>
    <w:p w:rsidR="00D46B4D" w:rsidRPr="00AE05FE" w:rsidRDefault="00D46B4D" w:rsidP="00D46B4D">
      <w:pPr>
        <w:spacing w:after="0"/>
        <w:jc w:val="center"/>
        <w:rPr>
          <w:rFonts w:cs="Arial"/>
          <w:sz w:val="16"/>
          <w:szCs w:val="16"/>
        </w:rPr>
      </w:pPr>
      <w:r w:rsidRPr="00AE05FE">
        <w:rPr>
          <w:rFonts w:cs="Arial"/>
          <w:sz w:val="16"/>
          <w:szCs w:val="16"/>
        </w:rPr>
        <w:t>Fuente: Sistema de Información ICBF - Fecha: diciembre 31 de 2017</w:t>
      </w:r>
    </w:p>
    <w:p w:rsidR="00AE05FE" w:rsidRPr="007608C2" w:rsidRDefault="00AE05FE" w:rsidP="00D46B4D">
      <w:pPr>
        <w:spacing w:after="0"/>
        <w:jc w:val="center"/>
        <w:rPr>
          <w:rFonts w:cs="Arial"/>
          <w:sz w:val="20"/>
          <w:szCs w:val="20"/>
        </w:rPr>
      </w:pPr>
    </w:p>
    <w:p w:rsidR="00D46B4D" w:rsidRPr="007608C2" w:rsidRDefault="00D46B4D" w:rsidP="00D46B4D">
      <w:pPr>
        <w:jc w:val="both"/>
        <w:rPr>
          <w:rFonts w:cs="Arial"/>
        </w:rPr>
      </w:pPr>
      <w:r w:rsidRPr="007608C2">
        <w:rPr>
          <w:rFonts w:cs="Arial"/>
        </w:rPr>
        <w:t>Se brindó asistencia técnica y acompañamiento presencial y por medios virtuales, a comisarios y defensores de familia y sus equipos defensoriales, a operadores y equipos profesionales en el proceso de restablecimiento de derechos y la articulación de nuevos actores como la Comisión Nacional para la Reincorporación (CNR) y la Coordinadora del proceso de la estrategia Camino Diferencial de Vida de la Alta Consejería de los Derechos Humanos.</w:t>
      </w:r>
    </w:p>
    <w:p w:rsidR="00D46B4D" w:rsidRPr="007608C2" w:rsidRDefault="00D46B4D" w:rsidP="00D46B4D">
      <w:pPr>
        <w:jc w:val="both"/>
        <w:rPr>
          <w:rFonts w:cs="Arial"/>
        </w:rPr>
      </w:pPr>
      <w:r w:rsidRPr="007608C2">
        <w:rPr>
          <w:rFonts w:cs="Arial"/>
        </w:rPr>
        <w:t xml:space="preserve">Por otra parte, el Instituto ha participado activamente en la mesa conjunta de trabajo para la definición de lineamientos del Programa Camino Diferencial de Vida, en el marco de este proceso el ICBF envió sus observaciones frente al documento a la Consejería Presidencial para los Derechos Humanos, entidad que lidera el Programa, y a la Agencia para la Reincorporación y Normalización (ARN), gracias al trabajo conjunto a hoy se cuenta con un documento de lineamientos del Programa que recoge los aportes de las partes y está concertado por la mesa, el cual será presentado para su aprobación final por parte del Consejo Nacional de Reincorporación. </w:t>
      </w:r>
    </w:p>
    <w:p w:rsidR="00D46B4D" w:rsidRPr="007608C2" w:rsidRDefault="00D46B4D" w:rsidP="00D46B4D">
      <w:pPr>
        <w:jc w:val="both"/>
        <w:rPr>
          <w:rFonts w:cs="Arial"/>
        </w:rPr>
      </w:pPr>
      <w:r w:rsidRPr="007608C2">
        <w:rPr>
          <w:rFonts w:cs="Arial"/>
        </w:rPr>
        <w:t xml:space="preserve">De igual manera, con base en las facultades derivadas del Decreto Ley No. 671 de 2017, el Alto Comisionado para la Paz expidió en los meses de junio y agosto de 2017 las Resoluciones No. 10, 13, 14 y 21 de 2017, mediante las cuales se aceptaron los listados de los otros 48 niños, niñas y adolescentes y 15 adultos entregados en el marco del proceso, y se expidieron las respectivas certificaciones individuales. </w:t>
      </w:r>
    </w:p>
    <w:p w:rsidR="00D46B4D" w:rsidRPr="007608C2" w:rsidRDefault="00D46B4D" w:rsidP="00D46B4D">
      <w:pPr>
        <w:autoSpaceDE w:val="0"/>
        <w:autoSpaceDN w:val="0"/>
        <w:adjustRightInd w:val="0"/>
        <w:jc w:val="both"/>
        <w:rPr>
          <w:rFonts w:cs="Arial"/>
        </w:rPr>
      </w:pPr>
      <w:r w:rsidRPr="007608C2">
        <w:rPr>
          <w:rFonts w:cs="Arial"/>
        </w:rPr>
        <w:t>Por otra parte, dado el carácter transitorio de la permanencia de los adolescentes y jóvenes en los Lugares Transitorios de Acogida (LTA) del Programa Camino Diferencial de Vida, y la luz de la responsabilidad del Estado en materia de restablecimiento de derechos de los mismos se presentaron los siguientes avances:</w:t>
      </w:r>
    </w:p>
    <w:p w:rsidR="00D46B4D" w:rsidRDefault="00D46B4D" w:rsidP="00A44A2B">
      <w:pPr>
        <w:numPr>
          <w:ilvl w:val="0"/>
          <w:numId w:val="152"/>
        </w:numPr>
        <w:autoSpaceDE w:val="0"/>
        <w:autoSpaceDN w:val="0"/>
        <w:adjustRightInd w:val="0"/>
        <w:spacing w:after="0"/>
        <w:contextualSpacing/>
        <w:jc w:val="both"/>
        <w:rPr>
          <w:rFonts w:cs="Arial"/>
        </w:rPr>
      </w:pPr>
      <w:r w:rsidRPr="007608C2">
        <w:rPr>
          <w:rFonts w:cs="Arial"/>
        </w:rPr>
        <w:t>El Instituto participó en la mesa conjunta para la definición de los protocolos de tránsito a la ARN y la Unidad para la Atención y Reparación Integral a las Víctimas (UARIV), como resultado de este trabajo conjunto, a hoy se cuenta con protocolos definidos, los cuales fueron difundidos a los defensores y comisarios de familia.</w:t>
      </w:r>
    </w:p>
    <w:p w:rsidR="00617401" w:rsidRPr="007608C2" w:rsidRDefault="00617401" w:rsidP="00617401">
      <w:pPr>
        <w:autoSpaceDE w:val="0"/>
        <w:autoSpaceDN w:val="0"/>
        <w:adjustRightInd w:val="0"/>
        <w:spacing w:after="0"/>
        <w:ind w:left="360"/>
        <w:contextualSpacing/>
        <w:jc w:val="both"/>
        <w:rPr>
          <w:rFonts w:cs="Arial"/>
        </w:rPr>
      </w:pPr>
    </w:p>
    <w:p w:rsidR="00D46B4D" w:rsidRPr="007608C2" w:rsidRDefault="00D46B4D" w:rsidP="00A44A2B">
      <w:pPr>
        <w:numPr>
          <w:ilvl w:val="0"/>
          <w:numId w:val="152"/>
        </w:numPr>
        <w:autoSpaceDE w:val="0"/>
        <w:autoSpaceDN w:val="0"/>
        <w:adjustRightInd w:val="0"/>
        <w:spacing w:after="0"/>
        <w:contextualSpacing/>
        <w:jc w:val="both"/>
        <w:rPr>
          <w:rFonts w:cs="Arial"/>
        </w:rPr>
      </w:pPr>
      <w:r w:rsidRPr="007608C2">
        <w:rPr>
          <w:rFonts w:cs="Arial"/>
        </w:rPr>
        <w:t xml:space="preserve">Se ha realizado seguimiento y acompañamiento a las actuaciones defensoriales y de los comisarios de familia sobre los procesos de restablecimiento de derechos activos a la fecha, así como a la reubicación de los adolescentes desvinculados en la oferta institucional del Programa de Atención Especializada para el Restablecimiento de Derechos a Niños, Niñas Y Adolescentes Víctimas de Reclutamiento Ilícito, que se han desvinculado de grupos armados </w:t>
      </w:r>
      <w:r w:rsidRPr="007608C2">
        <w:rPr>
          <w:rFonts w:cs="Arial"/>
        </w:rPr>
        <w:lastRenderedPageBreak/>
        <w:t>organizados al margen de la ley, con un total a 31 de diciembre de 2017 de 44 adolescentes ubicados en oferta institucional y 26 más en proceso de reintegro familiar, a la espera de la constitución del hogar gestor.</w:t>
      </w:r>
    </w:p>
    <w:p w:rsidR="00D46B4D" w:rsidRPr="007608C2" w:rsidRDefault="00D46B4D" w:rsidP="00D46B4D">
      <w:pPr>
        <w:autoSpaceDE w:val="0"/>
        <w:autoSpaceDN w:val="0"/>
        <w:adjustRightInd w:val="0"/>
        <w:spacing w:after="0"/>
        <w:ind w:left="720"/>
        <w:contextualSpacing/>
        <w:jc w:val="both"/>
        <w:rPr>
          <w:rFonts w:cs="Arial"/>
        </w:rPr>
      </w:pP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shd w:val="clear" w:color="auto" w:fill="FFFFFF"/>
        <w:tblCellMar>
          <w:left w:w="0" w:type="dxa"/>
          <w:right w:w="0" w:type="dxa"/>
        </w:tblCellMar>
        <w:tblLook w:val="04A0" w:firstRow="1" w:lastRow="0" w:firstColumn="1" w:lastColumn="0" w:noHBand="0" w:noVBand="1"/>
      </w:tblPr>
      <w:tblGrid>
        <w:gridCol w:w="2707"/>
        <w:gridCol w:w="646"/>
      </w:tblGrid>
      <w:tr w:rsidR="00D46B4D" w:rsidRPr="000D1893" w:rsidTr="004F4DD7">
        <w:trPr>
          <w:trHeight w:val="250"/>
          <w:jc w:val="center"/>
        </w:trPr>
        <w:tc>
          <w:tcPr>
            <w:tcW w:w="0" w:type="auto"/>
            <w:shd w:val="clear" w:color="auto" w:fill="76922E"/>
            <w:noWrap/>
            <w:tcMar>
              <w:top w:w="0" w:type="dxa"/>
              <w:left w:w="108" w:type="dxa"/>
              <w:bottom w:w="0" w:type="dxa"/>
              <w:right w:w="108" w:type="dxa"/>
            </w:tcMar>
            <w:hideMark/>
          </w:tcPr>
          <w:p w:rsidR="00D46B4D" w:rsidRPr="000D1893" w:rsidRDefault="00D46B4D" w:rsidP="00D46B4D">
            <w:pPr>
              <w:spacing w:after="0"/>
              <w:jc w:val="center"/>
              <w:rPr>
                <w:rFonts w:cs="Arial"/>
                <w:color w:val="FFFFFF" w:themeColor="background1"/>
                <w:sz w:val="18"/>
                <w:szCs w:val="18"/>
              </w:rPr>
            </w:pPr>
            <w:r w:rsidRPr="000D1893">
              <w:rPr>
                <w:rFonts w:cs="Arial"/>
                <w:b/>
                <w:bCs/>
                <w:color w:val="FFFFFF" w:themeColor="background1"/>
                <w:sz w:val="18"/>
                <w:szCs w:val="18"/>
              </w:rPr>
              <w:t>Ubicación actual</w:t>
            </w:r>
          </w:p>
        </w:tc>
        <w:tc>
          <w:tcPr>
            <w:tcW w:w="0" w:type="auto"/>
            <w:shd w:val="clear" w:color="auto" w:fill="76922E"/>
            <w:noWrap/>
            <w:tcMar>
              <w:top w:w="0" w:type="dxa"/>
              <w:left w:w="108" w:type="dxa"/>
              <w:bottom w:w="0" w:type="dxa"/>
              <w:right w:w="108" w:type="dxa"/>
            </w:tcMar>
            <w:hideMark/>
          </w:tcPr>
          <w:p w:rsidR="00D46B4D" w:rsidRPr="000D1893" w:rsidRDefault="00D46B4D" w:rsidP="00D46B4D">
            <w:pPr>
              <w:spacing w:after="0"/>
              <w:jc w:val="center"/>
              <w:rPr>
                <w:rFonts w:cs="Arial"/>
                <w:color w:val="FFFFFF" w:themeColor="background1"/>
                <w:sz w:val="18"/>
                <w:szCs w:val="18"/>
              </w:rPr>
            </w:pPr>
            <w:r w:rsidRPr="000D1893">
              <w:rPr>
                <w:rFonts w:cs="Arial"/>
                <w:b/>
                <w:bCs/>
                <w:color w:val="FFFFFF" w:themeColor="background1"/>
                <w:sz w:val="18"/>
                <w:szCs w:val="18"/>
              </w:rPr>
              <w:t>Total</w:t>
            </w:r>
          </w:p>
        </w:tc>
      </w:tr>
      <w:tr w:rsidR="00D46B4D" w:rsidRPr="000D1893" w:rsidTr="000D1893">
        <w:trPr>
          <w:trHeight w:val="250"/>
          <w:jc w:val="center"/>
        </w:trPr>
        <w:tc>
          <w:tcPr>
            <w:tcW w:w="0" w:type="auto"/>
            <w:shd w:val="clear" w:color="auto" w:fill="FFFFFF"/>
            <w:noWrap/>
            <w:tcMar>
              <w:top w:w="0" w:type="dxa"/>
              <w:left w:w="108" w:type="dxa"/>
              <w:bottom w:w="0" w:type="dxa"/>
              <w:right w:w="108" w:type="dxa"/>
            </w:tcMar>
          </w:tcPr>
          <w:p w:rsidR="00D46B4D" w:rsidRPr="000D1893" w:rsidRDefault="00D46B4D" w:rsidP="00D46B4D">
            <w:pPr>
              <w:spacing w:after="0"/>
              <w:rPr>
                <w:rFonts w:cs="Arial"/>
                <w:sz w:val="18"/>
                <w:szCs w:val="18"/>
              </w:rPr>
            </w:pPr>
            <w:r w:rsidRPr="000D1893">
              <w:rPr>
                <w:rFonts w:cs="Arial"/>
                <w:sz w:val="18"/>
                <w:szCs w:val="18"/>
              </w:rPr>
              <w:t>Casa de Acogida</w:t>
            </w:r>
          </w:p>
        </w:tc>
        <w:tc>
          <w:tcPr>
            <w:tcW w:w="0" w:type="auto"/>
            <w:shd w:val="clear" w:color="auto" w:fill="FFFFFF"/>
            <w:noWrap/>
            <w:tcMar>
              <w:top w:w="0" w:type="dxa"/>
              <w:left w:w="108" w:type="dxa"/>
              <w:bottom w:w="0" w:type="dxa"/>
              <w:right w:w="108" w:type="dxa"/>
            </w:tcMar>
          </w:tcPr>
          <w:p w:rsidR="00D46B4D" w:rsidRPr="000D1893" w:rsidRDefault="00D46B4D" w:rsidP="00D46B4D">
            <w:pPr>
              <w:spacing w:after="0"/>
              <w:jc w:val="center"/>
              <w:rPr>
                <w:rFonts w:cs="Arial"/>
                <w:sz w:val="18"/>
                <w:szCs w:val="18"/>
              </w:rPr>
            </w:pPr>
            <w:r w:rsidRPr="000D1893">
              <w:rPr>
                <w:rFonts w:cs="Arial"/>
                <w:sz w:val="18"/>
                <w:szCs w:val="18"/>
              </w:rPr>
              <w:t>1</w:t>
            </w:r>
          </w:p>
        </w:tc>
      </w:tr>
      <w:tr w:rsidR="00D46B4D" w:rsidRPr="000D1893" w:rsidTr="000D1893">
        <w:trPr>
          <w:trHeight w:val="250"/>
          <w:jc w:val="center"/>
        </w:trPr>
        <w:tc>
          <w:tcPr>
            <w:tcW w:w="0" w:type="auto"/>
            <w:shd w:val="clear" w:color="auto" w:fill="FFFFFF"/>
            <w:noWrap/>
            <w:tcMar>
              <w:top w:w="0" w:type="dxa"/>
              <w:left w:w="108" w:type="dxa"/>
              <w:bottom w:w="0" w:type="dxa"/>
              <w:right w:w="108" w:type="dxa"/>
            </w:tcMar>
            <w:hideMark/>
          </w:tcPr>
          <w:p w:rsidR="00D46B4D" w:rsidRPr="000D1893" w:rsidRDefault="00D46B4D" w:rsidP="00D46B4D">
            <w:pPr>
              <w:spacing w:after="0"/>
              <w:rPr>
                <w:rFonts w:cs="Arial"/>
                <w:sz w:val="18"/>
                <w:szCs w:val="18"/>
              </w:rPr>
            </w:pPr>
            <w:r w:rsidRPr="000D1893">
              <w:rPr>
                <w:rFonts w:cs="Arial"/>
                <w:sz w:val="18"/>
                <w:szCs w:val="18"/>
              </w:rPr>
              <w:t xml:space="preserve">Casa de Protección </w:t>
            </w:r>
          </w:p>
        </w:tc>
        <w:tc>
          <w:tcPr>
            <w:tcW w:w="0" w:type="auto"/>
            <w:shd w:val="clear" w:color="auto" w:fill="FFFFFF"/>
            <w:noWrap/>
            <w:tcMar>
              <w:top w:w="0" w:type="dxa"/>
              <w:left w:w="108" w:type="dxa"/>
              <w:bottom w:w="0" w:type="dxa"/>
              <w:right w:w="108" w:type="dxa"/>
            </w:tcMar>
            <w:hideMark/>
          </w:tcPr>
          <w:p w:rsidR="00D46B4D" w:rsidRPr="000D1893" w:rsidRDefault="00D46B4D" w:rsidP="00D46B4D">
            <w:pPr>
              <w:spacing w:after="0"/>
              <w:jc w:val="center"/>
              <w:rPr>
                <w:rFonts w:cs="Arial"/>
                <w:sz w:val="18"/>
                <w:szCs w:val="18"/>
              </w:rPr>
            </w:pPr>
            <w:r w:rsidRPr="000D1893">
              <w:rPr>
                <w:rFonts w:cs="Arial"/>
                <w:sz w:val="18"/>
                <w:szCs w:val="18"/>
              </w:rPr>
              <w:t>20</w:t>
            </w:r>
          </w:p>
        </w:tc>
      </w:tr>
      <w:tr w:rsidR="00D46B4D" w:rsidRPr="000D1893" w:rsidTr="000D1893">
        <w:trPr>
          <w:trHeight w:val="250"/>
          <w:jc w:val="center"/>
        </w:trPr>
        <w:tc>
          <w:tcPr>
            <w:tcW w:w="0" w:type="auto"/>
            <w:shd w:val="clear" w:color="auto" w:fill="E2EFD9"/>
            <w:noWrap/>
            <w:tcMar>
              <w:top w:w="0" w:type="dxa"/>
              <w:left w:w="108" w:type="dxa"/>
              <w:bottom w:w="0" w:type="dxa"/>
              <w:right w:w="108" w:type="dxa"/>
            </w:tcMar>
            <w:hideMark/>
          </w:tcPr>
          <w:p w:rsidR="00D46B4D" w:rsidRPr="000D1893" w:rsidRDefault="00D46B4D" w:rsidP="00D46B4D">
            <w:pPr>
              <w:spacing w:after="0"/>
              <w:rPr>
                <w:rFonts w:cs="Arial"/>
                <w:sz w:val="18"/>
                <w:szCs w:val="18"/>
              </w:rPr>
            </w:pPr>
            <w:r w:rsidRPr="000D1893">
              <w:rPr>
                <w:rFonts w:cs="Arial"/>
                <w:sz w:val="18"/>
                <w:szCs w:val="18"/>
              </w:rPr>
              <w:t xml:space="preserve">Hogar Sustituto Tutor  </w:t>
            </w:r>
          </w:p>
        </w:tc>
        <w:tc>
          <w:tcPr>
            <w:tcW w:w="0" w:type="auto"/>
            <w:shd w:val="clear" w:color="auto" w:fill="E2EFD9"/>
            <w:noWrap/>
            <w:tcMar>
              <w:top w:w="0" w:type="dxa"/>
              <w:left w:w="108" w:type="dxa"/>
              <w:bottom w:w="0" w:type="dxa"/>
              <w:right w:w="108" w:type="dxa"/>
            </w:tcMar>
            <w:hideMark/>
          </w:tcPr>
          <w:p w:rsidR="00D46B4D" w:rsidRPr="000D1893" w:rsidRDefault="00D46B4D" w:rsidP="00D46B4D">
            <w:pPr>
              <w:spacing w:after="0"/>
              <w:jc w:val="center"/>
              <w:rPr>
                <w:rFonts w:cs="Arial"/>
                <w:sz w:val="18"/>
                <w:szCs w:val="18"/>
              </w:rPr>
            </w:pPr>
            <w:r w:rsidRPr="000D1893">
              <w:rPr>
                <w:rFonts w:cs="Arial"/>
                <w:sz w:val="18"/>
                <w:szCs w:val="18"/>
              </w:rPr>
              <w:t>7</w:t>
            </w:r>
          </w:p>
        </w:tc>
      </w:tr>
      <w:tr w:rsidR="00D46B4D" w:rsidRPr="000D1893" w:rsidTr="000D1893">
        <w:trPr>
          <w:trHeight w:val="250"/>
          <w:jc w:val="center"/>
        </w:trPr>
        <w:tc>
          <w:tcPr>
            <w:tcW w:w="0" w:type="auto"/>
            <w:shd w:val="clear" w:color="auto" w:fill="FFFFFF"/>
            <w:noWrap/>
            <w:tcMar>
              <w:top w:w="0" w:type="dxa"/>
              <w:left w:w="108" w:type="dxa"/>
              <w:bottom w:w="0" w:type="dxa"/>
              <w:right w:w="108" w:type="dxa"/>
            </w:tcMar>
            <w:hideMark/>
          </w:tcPr>
          <w:p w:rsidR="00D46B4D" w:rsidRPr="000D1893" w:rsidRDefault="00D46B4D" w:rsidP="00D46B4D">
            <w:pPr>
              <w:spacing w:after="0"/>
              <w:rPr>
                <w:rFonts w:cs="Arial"/>
                <w:sz w:val="18"/>
                <w:szCs w:val="18"/>
              </w:rPr>
            </w:pPr>
            <w:r w:rsidRPr="000D1893">
              <w:rPr>
                <w:rFonts w:cs="Arial"/>
                <w:sz w:val="18"/>
                <w:szCs w:val="18"/>
              </w:rPr>
              <w:t xml:space="preserve">Hogar Gestor </w:t>
            </w:r>
          </w:p>
        </w:tc>
        <w:tc>
          <w:tcPr>
            <w:tcW w:w="0" w:type="auto"/>
            <w:shd w:val="clear" w:color="auto" w:fill="FFFFFF"/>
            <w:noWrap/>
            <w:tcMar>
              <w:top w:w="0" w:type="dxa"/>
              <w:left w:w="108" w:type="dxa"/>
              <w:bottom w:w="0" w:type="dxa"/>
              <w:right w:w="108" w:type="dxa"/>
            </w:tcMar>
            <w:hideMark/>
          </w:tcPr>
          <w:p w:rsidR="00D46B4D" w:rsidRPr="000D1893" w:rsidRDefault="00D46B4D" w:rsidP="00D46B4D">
            <w:pPr>
              <w:spacing w:after="0"/>
              <w:jc w:val="center"/>
              <w:rPr>
                <w:rFonts w:cs="Arial"/>
                <w:sz w:val="18"/>
                <w:szCs w:val="18"/>
              </w:rPr>
            </w:pPr>
            <w:r w:rsidRPr="000D1893">
              <w:rPr>
                <w:rFonts w:cs="Arial"/>
                <w:sz w:val="18"/>
                <w:szCs w:val="18"/>
              </w:rPr>
              <w:t>16</w:t>
            </w:r>
          </w:p>
        </w:tc>
      </w:tr>
      <w:tr w:rsidR="00D46B4D" w:rsidRPr="000D1893" w:rsidTr="000D1893">
        <w:trPr>
          <w:trHeight w:val="65"/>
          <w:jc w:val="center"/>
        </w:trPr>
        <w:tc>
          <w:tcPr>
            <w:tcW w:w="0" w:type="auto"/>
            <w:shd w:val="clear" w:color="auto" w:fill="FFFFFF"/>
            <w:noWrap/>
            <w:tcMar>
              <w:top w:w="0" w:type="dxa"/>
              <w:left w:w="108" w:type="dxa"/>
              <w:bottom w:w="0" w:type="dxa"/>
              <w:right w:w="108" w:type="dxa"/>
            </w:tcMar>
            <w:hideMark/>
          </w:tcPr>
          <w:p w:rsidR="00D46B4D" w:rsidRPr="000D1893" w:rsidRDefault="00D46B4D" w:rsidP="00D46B4D">
            <w:pPr>
              <w:spacing w:after="0"/>
              <w:rPr>
                <w:rFonts w:cs="Arial"/>
                <w:sz w:val="18"/>
                <w:szCs w:val="18"/>
              </w:rPr>
            </w:pPr>
            <w:r w:rsidRPr="000D1893">
              <w:rPr>
                <w:rFonts w:cs="Arial"/>
                <w:b/>
                <w:bCs/>
                <w:sz w:val="18"/>
                <w:szCs w:val="18"/>
              </w:rPr>
              <w:t>Total adolescentes y jóvenes</w:t>
            </w:r>
          </w:p>
        </w:tc>
        <w:tc>
          <w:tcPr>
            <w:tcW w:w="0" w:type="auto"/>
            <w:shd w:val="clear" w:color="auto" w:fill="FFFFFF"/>
            <w:noWrap/>
            <w:tcMar>
              <w:top w:w="0" w:type="dxa"/>
              <w:left w:w="108" w:type="dxa"/>
              <w:bottom w:w="0" w:type="dxa"/>
              <w:right w:w="108" w:type="dxa"/>
            </w:tcMar>
            <w:hideMark/>
          </w:tcPr>
          <w:p w:rsidR="00D46B4D" w:rsidRPr="000D1893" w:rsidRDefault="00D46B4D" w:rsidP="00D46B4D">
            <w:pPr>
              <w:spacing w:after="0"/>
              <w:jc w:val="center"/>
              <w:rPr>
                <w:rFonts w:cs="Arial"/>
                <w:sz w:val="18"/>
                <w:szCs w:val="18"/>
              </w:rPr>
            </w:pPr>
            <w:r w:rsidRPr="000D1893">
              <w:rPr>
                <w:rFonts w:cs="Arial"/>
                <w:b/>
                <w:bCs/>
                <w:sz w:val="18"/>
                <w:szCs w:val="18"/>
              </w:rPr>
              <w:t>44</w:t>
            </w:r>
          </w:p>
        </w:tc>
      </w:tr>
    </w:tbl>
    <w:p w:rsidR="00D46B4D" w:rsidRPr="000D1893" w:rsidRDefault="00D46B4D" w:rsidP="00D46B4D">
      <w:pPr>
        <w:jc w:val="center"/>
        <w:rPr>
          <w:rFonts w:cs="Arial"/>
          <w:sz w:val="16"/>
          <w:szCs w:val="16"/>
        </w:rPr>
      </w:pPr>
      <w:r w:rsidRPr="000D1893">
        <w:rPr>
          <w:rFonts w:cs="Arial"/>
          <w:sz w:val="16"/>
          <w:szCs w:val="16"/>
        </w:rPr>
        <w:t>Fuente: Sistema de Información ICBF - Fecha: diciembre 31 de 2017</w:t>
      </w:r>
    </w:p>
    <w:p w:rsidR="00D46B4D" w:rsidRDefault="00D46B4D" w:rsidP="00A44A2B">
      <w:pPr>
        <w:numPr>
          <w:ilvl w:val="0"/>
          <w:numId w:val="153"/>
        </w:numPr>
        <w:autoSpaceDE w:val="0"/>
        <w:autoSpaceDN w:val="0"/>
        <w:adjustRightInd w:val="0"/>
        <w:spacing w:after="0"/>
        <w:contextualSpacing/>
        <w:jc w:val="both"/>
        <w:rPr>
          <w:rFonts w:cs="Arial"/>
        </w:rPr>
      </w:pPr>
      <w:r w:rsidRPr="007608C2">
        <w:rPr>
          <w:rFonts w:cs="Arial"/>
        </w:rPr>
        <w:t>Se han realizado acciones de gestión y coordinación con el Ministerio de Salud y Protección Social con el fin de garantizar la prestación de servicios de salud a los adolescentes y jóvenes pertenecientes al Programa, dando prioridad a las madres gestantes y lactantes y a los jóvenes que presentan condiciones especiales de salud.</w:t>
      </w:r>
    </w:p>
    <w:p w:rsidR="000D1893" w:rsidRPr="007608C2" w:rsidRDefault="000D1893" w:rsidP="000D1893">
      <w:pPr>
        <w:autoSpaceDE w:val="0"/>
        <w:autoSpaceDN w:val="0"/>
        <w:adjustRightInd w:val="0"/>
        <w:spacing w:after="0"/>
        <w:ind w:left="720"/>
        <w:contextualSpacing/>
        <w:jc w:val="both"/>
        <w:rPr>
          <w:rFonts w:cs="Arial"/>
        </w:rPr>
      </w:pPr>
    </w:p>
    <w:p w:rsidR="00D46B4D" w:rsidRDefault="00D46B4D" w:rsidP="00A44A2B">
      <w:pPr>
        <w:numPr>
          <w:ilvl w:val="0"/>
          <w:numId w:val="153"/>
        </w:numPr>
        <w:autoSpaceDE w:val="0"/>
        <w:autoSpaceDN w:val="0"/>
        <w:adjustRightInd w:val="0"/>
        <w:spacing w:after="0"/>
        <w:contextualSpacing/>
        <w:jc w:val="both"/>
        <w:rPr>
          <w:rFonts w:cs="Arial"/>
        </w:rPr>
      </w:pPr>
      <w:r w:rsidRPr="007608C2">
        <w:rPr>
          <w:rFonts w:cs="Arial"/>
        </w:rPr>
        <w:t>Se han elaborado y remitido informes, reportes y respuestas periódicas sobre el proceso adelantado con cada adolescente vinculados al programa Camino Diferencial de Vida.</w:t>
      </w:r>
    </w:p>
    <w:p w:rsidR="000D1893" w:rsidRPr="007608C2" w:rsidRDefault="000D1893" w:rsidP="000D1893">
      <w:pPr>
        <w:autoSpaceDE w:val="0"/>
        <w:autoSpaceDN w:val="0"/>
        <w:adjustRightInd w:val="0"/>
        <w:spacing w:after="0"/>
        <w:contextualSpacing/>
        <w:jc w:val="both"/>
        <w:rPr>
          <w:rFonts w:cs="Arial"/>
        </w:rPr>
      </w:pPr>
    </w:p>
    <w:p w:rsidR="00D46B4D" w:rsidRPr="007608C2" w:rsidRDefault="00D46B4D" w:rsidP="00D46B4D">
      <w:pPr>
        <w:shd w:val="clear" w:color="auto" w:fill="FFFFFF"/>
        <w:jc w:val="both"/>
        <w:rPr>
          <w:rFonts w:cs="Arial"/>
          <w:u w:val="single"/>
          <w:lang w:eastAsia="es-ES"/>
        </w:rPr>
      </w:pPr>
      <w:r w:rsidRPr="007608C2">
        <w:rPr>
          <w:rFonts w:cs="Arial"/>
          <w:u w:val="single"/>
          <w:lang w:eastAsia="es-ES"/>
        </w:rPr>
        <w:t>Plan 180 días</w:t>
      </w:r>
    </w:p>
    <w:p w:rsidR="00D46B4D" w:rsidRPr="007608C2" w:rsidRDefault="00D46B4D" w:rsidP="00D46B4D">
      <w:pPr>
        <w:shd w:val="clear" w:color="auto" w:fill="FFFFFF"/>
        <w:jc w:val="both"/>
        <w:rPr>
          <w:rFonts w:cs="Arial"/>
          <w:lang w:eastAsia="es-ES"/>
        </w:rPr>
      </w:pPr>
      <w:r w:rsidRPr="007608C2">
        <w:rPr>
          <w:rFonts w:cs="Arial"/>
          <w:lang w:eastAsia="es-ES"/>
        </w:rPr>
        <w:t xml:space="preserve">En el marco del Plan de los primeros 180 días para la implementación del Acuerdo, el Instituto identificó como oferta pertinente la atención a través de 26 Unidades Móviles conformadas en total por 104 profesionales. </w:t>
      </w:r>
      <w:r w:rsidRPr="007608C2">
        <w:rPr>
          <w:rFonts w:cs="Arial"/>
        </w:rPr>
        <w:t xml:space="preserve">Durante el periodo comprendido entre el 10 de enero de 2017 y hasta el 31 de agosto de 2017 las unidades móviles realizaron entre otras las siguientes actividades: </w:t>
      </w:r>
    </w:p>
    <w:p w:rsidR="00D46B4D" w:rsidRDefault="00D46B4D" w:rsidP="00A44A2B">
      <w:pPr>
        <w:numPr>
          <w:ilvl w:val="0"/>
          <w:numId w:val="154"/>
        </w:numPr>
        <w:spacing w:after="0"/>
        <w:contextualSpacing/>
        <w:jc w:val="both"/>
        <w:rPr>
          <w:rFonts w:cs="Arial"/>
        </w:rPr>
      </w:pPr>
      <w:r w:rsidRPr="007608C2">
        <w:rPr>
          <w:rFonts w:cs="Arial"/>
        </w:rPr>
        <w:t>Coordinación del ICBF con el Enlace Local de la Oficina del Alto Comisionado para la Paz y el Mecanismo de Monitoreo y Verificación para ingresar a las ZVNT.</w:t>
      </w:r>
    </w:p>
    <w:p w:rsidR="001F6354" w:rsidRPr="007608C2" w:rsidRDefault="001F6354" w:rsidP="001F6354">
      <w:pPr>
        <w:spacing w:after="0"/>
        <w:ind w:left="360"/>
        <w:contextualSpacing/>
        <w:jc w:val="both"/>
        <w:rPr>
          <w:rFonts w:cs="Arial"/>
        </w:rPr>
      </w:pPr>
    </w:p>
    <w:p w:rsidR="00D46B4D" w:rsidRDefault="00D46B4D" w:rsidP="00A44A2B">
      <w:pPr>
        <w:numPr>
          <w:ilvl w:val="0"/>
          <w:numId w:val="154"/>
        </w:numPr>
        <w:spacing w:after="0"/>
        <w:contextualSpacing/>
        <w:jc w:val="both"/>
        <w:rPr>
          <w:rFonts w:cs="Arial"/>
        </w:rPr>
      </w:pPr>
      <w:r w:rsidRPr="007608C2">
        <w:rPr>
          <w:rFonts w:cs="Arial"/>
        </w:rPr>
        <w:t>Caracterización a través del registro único de unidades móviles (información del lugar y fecha de atención, variables demográficas, socioeconómicas, información antropométrica), en la medida en que fue posible obtener la información.</w:t>
      </w:r>
    </w:p>
    <w:p w:rsidR="001F6354" w:rsidRPr="007608C2" w:rsidRDefault="001F6354" w:rsidP="001F6354">
      <w:pPr>
        <w:spacing w:after="0"/>
        <w:contextualSpacing/>
        <w:jc w:val="both"/>
        <w:rPr>
          <w:rFonts w:cs="Arial"/>
        </w:rPr>
      </w:pPr>
    </w:p>
    <w:p w:rsidR="00D46B4D" w:rsidRPr="001F6354" w:rsidRDefault="00D46B4D" w:rsidP="00A44A2B">
      <w:pPr>
        <w:numPr>
          <w:ilvl w:val="0"/>
          <w:numId w:val="154"/>
        </w:numPr>
        <w:spacing w:after="0"/>
        <w:contextualSpacing/>
        <w:jc w:val="both"/>
        <w:rPr>
          <w:rFonts w:cs="Arial"/>
        </w:rPr>
      </w:pPr>
      <w:r w:rsidRPr="007608C2">
        <w:rPr>
          <w:rFonts w:cs="Arial"/>
          <w:lang w:val="es-MX"/>
        </w:rPr>
        <w:t>Verificación de la vinculación de niños, niñas en primera infancia, mujeres gestantes, madres en período de lactancia al Sistema General de Seguridad Social en Salud –SGSSS; régimen al que se encuentran vinculados y Entidad Prestadora de Salud.</w:t>
      </w:r>
    </w:p>
    <w:p w:rsidR="001F6354" w:rsidRPr="007608C2" w:rsidRDefault="001F6354" w:rsidP="001F6354">
      <w:pPr>
        <w:spacing w:after="0"/>
        <w:contextualSpacing/>
        <w:jc w:val="both"/>
        <w:rPr>
          <w:rFonts w:cs="Arial"/>
        </w:rPr>
      </w:pPr>
    </w:p>
    <w:p w:rsidR="00D46B4D" w:rsidRDefault="00D46B4D" w:rsidP="00A44A2B">
      <w:pPr>
        <w:numPr>
          <w:ilvl w:val="0"/>
          <w:numId w:val="154"/>
        </w:numPr>
        <w:spacing w:after="0"/>
        <w:contextualSpacing/>
        <w:jc w:val="both"/>
        <w:rPr>
          <w:rFonts w:cs="Arial"/>
          <w:lang w:val="es-MX"/>
        </w:rPr>
      </w:pPr>
      <w:r w:rsidRPr="007608C2">
        <w:rPr>
          <w:rFonts w:cs="Arial"/>
          <w:lang w:val="es-MX"/>
        </w:rPr>
        <w:t>Valoración del estado nutricional actual de niños, niñas en primera infancia y mujeres gestantes estableciendo el diagnóstico teniendo en cuenta los indicadores definidos en la resolución 2465 de 2016 (Ministerio de Salud y Protección Social).</w:t>
      </w:r>
    </w:p>
    <w:p w:rsidR="001F6354" w:rsidRPr="007608C2" w:rsidRDefault="001F6354" w:rsidP="001F6354">
      <w:pPr>
        <w:spacing w:after="0"/>
        <w:contextualSpacing/>
        <w:jc w:val="both"/>
        <w:rPr>
          <w:rFonts w:cs="Arial"/>
          <w:lang w:val="es-MX"/>
        </w:rPr>
      </w:pPr>
    </w:p>
    <w:p w:rsidR="00D46B4D" w:rsidRDefault="00D46B4D" w:rsidP="00A44A2B">
      <w:pPr>
        <w:numPr>
          <w:ilvl w:val="0"/>
          <w:numId w:val="154"/>
        </w:numPr>
        <w:spacing w:after="0"/>
        <w:contextualSpacing/>
        <w:jc w:val="both"/>
        <w:rPr>
          <w:rFonts w:cs="Arial"/>
          <w:lang w:val="es-MX"/>
        </w:rPr>
      </w:pPr>
      <w:r w:rsidRPr="007608C2">
        <w:rPr>
          <w:rFonts w:cs="Arial"/>
          <w:lang w:val="es-MX"/>
        </w:rPr>
        <w:lastRenderedPageBreak/>
        <w:t>Orientaciones particulares con base en los resultados de la valoración nutricional y del estado de salud de los niños, niñas en primera infancia, mujeres gestantes, y madres en periodo de lactancia.</w:t>
      </w:r>
    </w:p>
    <w:p w:rsidR="001F6354" w:rsidRPr="007608C2" w:rsidRDefault="001F6354" w:rsidP="001F6354">
      <w:pPr>
        <w:spacing w:after="0"/>
        <w:contextualSpacing/>
        <w:jc w:val="both"/>
        <w:rPr>
          <w:rFonts w:cs="Arial"/>
          <w:lang w:val="es-MX"/>
        </w:rPr>
      </w:pPr>
    </w:p>
    <w:p w:rsidR="00D46B4D" w:rsidRDefault="00D46B4D" w:rsidP="00A44A2B">
      <w:pPr>
        <w:numPr>
          <w:ilvl w:val="0"/>
          <w:numId w:val="154"/>
        </w:numPr>
        <w:spacing w:after="0"/>
        <w:contextualSpacing/>
        <w:jc w:val="both"/>
        <w:rPr>
          <w:rFonts w:cs="Arial"/>
          <w:lang w:val="es-MX"/>
        </w:rPr>
      </w:pPr>
      <w:r w:rsidRPr="007608C2">
        <w:rPr>
          <w:rFonts w:cs="Arial"/>
          <w:lang w:val="es-MX"/>
        </w:rPr>
        <w:t>Entrega de alimento de alto valor nutricional (Bienestarina Más) y recomendaciones para tener en cuenta para el uso del producto.</w:t>
      </w:r>
    </w:p>
    <w:p w:rsidR="001F6354" w:rsidRPr="007608C2" w:rsidRDefault="001F6354" w:rsidP="001F6354">
      <w:pPr>
        <w:spacing w:after="0"/>
        <w:contextualSpacing/>
        <w:jc w:val="both"/>
        <w:rPr>
          <w:rFonts w:cs="Arial"/>
          <w:lang w:val="es-MX"/>
        </w:rPr>
      </w:pPr>
    </w:p>
    <w:p w:rsidR="00D46B4D" w:rsidRPr="007608C2" w:rsidRDefault="00D46B4D" w:rsidP="00A44A2B">
      <w:pPr>
        <w:numPr>
          <w:ilvl w:val="0"/>
          <w:numId w:val="154"/>
        </w:numPr>
        <w:spacing w:after="0"/>
        <w:contextualSpacing/>
        <w:jc w:val="both"/>
        <w:rPr>
          <w:rFonts w:cs="Arial"/>
        </w:rPr>
      </w:pPr>
      <w:r w:rsidRPr="007608C2">
        <w:rPr>
          <w:rFonts w:cs="Arial"/>
        </w:rPr>
        <w:t xml:space="preserve">Constatación de derechos a niños y niñas. En los casos identificados de no garantía, comunicación al enlace y remisiones pertinentes. </w:t>
      </w:r>
    </w:p>
    <w:p w:rsidR="00D46B4D" w:rsidRPr="007608C2" w:rsidRDefault="00D46B4D" w:rsidP="00D46B4D">
      <w:pPr>
        <w:spacing w:after="0"/>
        <w:ind w:left="720"/>
        <w:contextualSpacing/>
        <w:jc w:val="both"/>
        <w:rPr>
          <w:rFonts w:cs="Arial"/>
        </w:rPr>
      </w:pPr>
    </w:p>
    <w:p w:rsidR="00D46B4D" w:rsidRPr="007608C2" w:rsidRDefault="00D46B4D" w:rsidP="00D46B4D">
      <w:pPr>
        <w:jc w:val="center"/>
        <w:rPr>
          <w:rFonts w:cs="Arial"/>
          <w:b/>
        </w:rPr>
      </w:pPr>
      <w:r w:rsidRPr="007608C2">
        <w:rPr>
          <w:rFonts w:cs="Arial"/>
          <w:b/>
        </w:rPr>
        <w:t xml:space="preserve">Total de Población Civil Residente en Áreas Aledañas o Dentro de los Puntos y Zonas Veredales Transitorios de Normalización Atendida por las Unidades Móviles Distribuida por Departamento, Municipio y Grupo Etario </w:t>
      </w: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741"/>
        <w:gridCol w:w="2082"/>
        <w:gridCol w:w="689"/>
        <w:gridCol w:w="720"/>
        <w:gridCol w:w="752"/>
        <w:gridCol w:w="752"/>
        <w:gridCol w:w="752"/>
        <w:gridCol w:w="945"/>
        <w:gridCol w:w="962"/>
      </w:tblGrid>
      <w:tr w:rsidR="00AE13F5" w:rsidRPr="00AE13F5" w:rsidTr="00AE13F5">
        <w:trPr>
          <w:trHeight w:val="360"/>
          <w:tblHeader/>
          <w:jc w:val="center"/>
        </w:trPr>
        <w:tc>
          <w:tcPr>
            <w:tcW w:w="0" w:type="auto"/>
            <w:shd w:val="clear" w:color="auto" w:fill="76923C"/>
            <w:vAlign w:val="center"/>
            <w:hideMark/>
          </w:tcPr>
          <w:p w:rsidR="00D46B4D" w:rsidRPr="00AE13F5" w:rsidRDefault="00AE13F5" w:rsidP="00D46B4D">
            <w:pPr>
              <w:spacing w:after="0" w:line="240" w:lineRule="auto"/>
              <w:jc w:val="center"/>
              <w:rPr>
                <w:rFonts w:eastAsia="Times New Roman" w:cs="Arial"/>
                <w:b/>
                <w:bCs/>
                <w:color w:val="FFFFFF" w:themeColor="background1"/>
                <w:sz w:val="18"/>
                <w:szCs w:val="18"/>
                <w:lang w:val="es-CO" w:eastAsia="es-CO"/>
              </w:rPr>
            </w:pPr>
            <w:r w:rsidRPr="00AE13F5">
              <w:rPr>
                <w:rFonts w:eastAsia="Times New Roman" w:cs="Arial"/>
                <w:b/>
                <w:bCs/>
                <w:color w:val="FFFFFF" w:themeColor="background1"/>
                <w:sz w:val="18"/>
                <w:szCs w:val="18"/>
                <w:lang w:val="es-CO" w:eastAsia="es-CO"/>
              </w:rPr>
              <w:t>Departamento</w:t>
            </w:r>
          </w:p>
        </w:tc>
        <w:tc>
          <w:tcPr>
            <w:tcW w:w="0" w:type="auto"/>
            <w:shd w:val="clear" w:color="auto" w:fill="76923C"/>
            <w:vAlign w:val="center"/>
            <w:hideMark/>
          </w:tcPr>
          <w:p w:rsidR="00D46B4D" w:rsidRPr="00AE13F5" w:rsidRDefault="00AE13F5" w:rsidP="00D46B4D">
            <w:pPr>
              <w:spacing w:after="0" w:line="240" w:lineRule="auto"/>
              <w:jc w:val="center"/>
              <w:rPr>
                <w:rFonts w:eastAsia="Times New Roman" w:cs="Arial"/>
                <w:b/>
                <w:bCs/>
                <w:color w:val="FFFFFF" w:themeColor="background1"/>
                <w:sz w:val="18"/>
                <w:szCs w:val="18"/>
                <w:lang w:val="es-CO" w:eastAsia="es-CO"/>
              </w:rPr>
            </w:pPr>
            <w:r w:rsidRPr="00AE13F5">
              <w:rPr>
                <w:rFonts w:eastAsia="Times New Roman" w:cs="Arial"/>
                <w:b/>
                <w:bCs/>
                <w:color w:val="FFFFFF" w:themeColor="background1"/>
                <w:sz w:val="18"/>
                <w:szCs w:val="18"/>
                <w:lang w:val="es-CO" w:eastAsia="es-CO"/>
              </w:rPr>
              <w:t>Mun_Atención</w:t>
            </w:r>
          </w:p>
        </w:tc>
        <w:tc>
          <w:tcPr>
            <w:tcW w:w="0" w:type="auto"/>
            <w:shd w:val="clear" w:color="auto" w:fill="76923C"/>
            <w:vAlign w:val="center"/>
            <w:hideMark/>
          </w:tcPr>
          <w:p w:rsidR="00D46B4D" w:rsidRPr="00AE13F5" w:rsidRDefault="00AE13F5" w:rsidP="00D46B4D">
            <w:pPr>
              <w:spacing w:after="0" w:line="240" w:lineRule="auto"/>
              <w:jc w:val="center"/>
              <w:rPr>
                <w:rFonts w:eastAsia="Times New Roman" w:cs="Arial"/>
                <w:b/>
                <w:bCs/>
                <w:color w:val="FFFFFF" w:themeColor="background1"/>
                <w:sz w:val="18"/>
                <w:szCs w:val="18"/>
                <w:lang w:val="es-CO" w:eastAsia="es-CO"/>
              </w:rPr>
            </w:pPr>
            <w:r w:rsidRPr="00AE13F5">
              <w:rPr>
                <w:rFonts w:eastAsia="Times New Roman" w:cs="Arial"/>
                <w:b/>
                <w:bCs/>
                <w:color w:val="FFFFFF" w:themeColor="background1"/>
                <w:sz w:val="18"/>
                <w:szCs w:val="18"/>
                <w:lang w:val="es-CO" w:eastAsia="es-CO"/>
              </w:rPr>
              <w:t>0-5 Años</w:t>
            </w:r>
          </w:p>
        </w:tc>
        <w:tc>
          <w:tcPr>
            <w:tcW w:w="0" w:type="auto"/>
            <w:shd w:val="clear" w:color="auto" w:fill="76923C"/>
            <w:vAlign w:val="center"/>
            <w:hideMark/>
          </w:tcPr>
          <w:p w:rsidR="00D46B4D" w:rsidRPr="00AE13F5" w:rsidRDefault="00AE13F5" w:rsidP="00D46B4D">
            <w:pPr>
              <w:spacing w:after="0" w:line="240" w:lineRule="auto"/>
              <w:jc w:val="center"/>
              <w:rPr>
                <w:rFonts w:eastAsia="Times New Roman" w:cs="Arial"/>
                <w:b/>
                <w:bCs/>
                <w:color w:val="FFFFFF" w:themeColor="background1"/>
                <w:sz w:val="18"/>
                <w:szCs w:val="18"/>
                <w:lang w:val="es-CO" w:eastAsia="es-CO"/>
              </w:rPr>
            </w:pPr>
            <w:r w:rsidRPr="00AE13F5">
              <w:rPr>
                <w:rFonts w:eastAsia="Times New Roman" w:cs="Arial"/>
                <w:b/>
                <w:bCs/>
                <w:color w:val="FFFFFF" w:themeColor="background1"/>
                <w:sz w:val="18"/>
                <w:szCs w:val="18"/>
                <w:lang w:val="es-CO" w:eastAsia="es-CO"/>
              </w:rPr>
              <w:t>6-12 Años</w:t>
            </w:r>
          </w:p>
        </w:tc>
        <w:tc>
          <w:tcPr>
            <w:tcW w:w="0" w:type="auto"/>
            <w:shd w:val="clear" w:color="auto" w:fill="76923C"/>
            <w:vAlign w:val="center"/>
            <w:hideMark/>
          </w:tcPr>
          <w:p w:rsidR="00D46B4D" w:rsidRPr="00AE13F5" w:rsidRDefault="00AE13F5" w:rsidP="00D46B4D">
            <w:pPr>
              <w:spacing w:after="0" w:line="240" w:lineRule="auto"/>
              <w:jc w:val="center"/>
              <w:rPr>
                <w:rFonts w:eastAsia="Times New Roman" w:cs="Arial"/>
                <w:b/>
                <w:bCs/>
                <w:color w:val="FFFFFF" w:themeColor="background1"/>
                <w:sz w:val="18"/>
                <w:szCs w:val="18"/>
                <w:lang w:val="es-CO" w:eastAsia="es-CO"/>
              </w:rPr>
            </w:pPr>
            <w:r w:rsidRPr="00AE13F5">
              <w:rPr>
                <w:rFonts w:eastAsia="Times New Roman" w:cs="Arial"/>
                <w:b/>
                <w:bCs/>
                <w:color w:val="FFFFFF" w:themeColor="background1"/>
                <w:sz w:val="18"/>
                <w:szCs w:val="18"/>
                <w:lang w:val="es-CO" w:eastAsia="es-CO"/>
              </w:rPr>
              <w:t>13-17 Años</w:t>
            </w:r>
          </w:p>
        </w:tc>
        <w:tc>
          <w:tcPr>
            <w:tcW w:w="0" w:type="auto"/>
            <w:shd w:val="clear" w:color="auto" w:fill="76923C"/>
            <w:vAlign w:val="center"/>
            <w:hideMark/>
          </w:tcPr>
          <w:p w:rsidR="00D46B4D" w:rsidRPr="00AE13F5" w:rsidRDefault="00AE13F5" w:rsidP="00D46B4D">
            <w:pPr>
              <w:spacing w:after="0" w:line="240" w:lineRule="auto"/>
              <w:jc w:val="center"/>
              <w:rPr>
                <w:rFonts w:eastAsia="Times New Roman" w:cs="Arial"/>
                <w:b/>
                <w:bCs/>
                <w:color w:val="FFFFFF" w:themeColor="background1"/>
                <w:sz w:val="18"/>
                <w:szCs w:val="18"/>
                <w:lang w:val="es-CO" w:eastAsia="es-CO"/>
              </w:rPr>
            </w:pPr>
            <w:r w:rsidRPr="00AE13F5">
              <w:rPr>
                <w:rFonts w:eastAsia="Times New Roman" w:cs="Arial"/>
                <w:b/>
                <w:bCs/>
                <w:color w:val="FFFFFF" w:themeColor="background1"/>
                <w:sz w:val="18"/>
                <w:szCs w:val="18"/>
                <w:lang w:val="es-CO" w:eastAsia="es-CO"/>
              </w:rPr>
              <w:t>18-25 Años</w:t>
            </w:r>
          </w:p>
        </w:tc>
        <w:tc>
          <w:tcPr>
            <w:tcW w:w="0" w:type="auto"/>
            <w:shd w:val="clear" w:color="auto" w:fill="76923C"/>
            <w:vAlign w:val="center"/>
            <w:hideMark/>
          </w:tcPr>
          <w:p w:rsidR="00D46B4D" w:rsidRPr="00AE13F5" w:rsidRDefault="00AE13F5" w:rsidP="00D46B4D">
            <w:pPr>
              <w:spacing w:after="0" w:line="240" w:lineRule="auto"/>
              <w:jc w:val="center"/>
              <w:rPr>
                <w:rFonts w:eastAsia="Times New Roman" w:cs="Arial"/>
                <w:b/>
                <w:bCs/>
                <w:color w:val="FFFFFF" w:themeColor="background1"/>
                <w:sz w:val="18"/>
                <w:szCs w:val="18"/>
                <w:lang w:val="es-CO" w:eastAsia="es-CO"/>
              </w:rPr>
            </w:pPr>
            <w:r w:rsidRPr="00AE13F5">
              <w:rPr>
                <w:rFonts w:eastAsia="Times New Roman" w:cs="Arial"/>
                <w:b/>
                <w:bCs/>
                <w:color w:val="FFFFFF" w:themeColor="background1"/>
                <w:sz w:val="18"/>
                <w:szCs w:val="18"/>
                <w:lang w:val="es-CO" w:eastAsia="es-CO"/>
              </w:rPr>
              <w:t>25-51 Años</w:t>
            </w:r>
          </w:p>
        </w:tc>
        <w:tc>
          <w:tcPr>
            <w:tcW w:w="0" w:type="auto"/>
            <w:shd w:val="clear" w:color="auto" w:fill="76923C"/>
            <w:vAlign w:val="center"/>
            <w:hideMark/>
          </w:tcPr>
          <w:p w:rsidR="00D46B4D" w:rsidRPr="00AE13F5" w:rsidRDefault="00AE13F5" w:rsidP="00D46B4D">
            <w:pPr>
              <w:spacing w:after="0" w:line="240" w:lineRule="auto"/>
              <w:jc w:val="center"/>
              <w:rPr>
                <w:rFonts w:eastAsia="Times New Roman" w:cs="Arial"/>
                <w:b/>
                <w:bCs/>
                <w:color w:val="FFFFFF" w:themeColor="background1"/>
                <w:sz w:val="18"/>
                <w:szCs w:val="18"/>
                <w:lang w:val="es-CO" w:eastAsia="es-CO"/>
              </w:rPr>
            </w:pPr>
            <w:r w:rsidRPr="00AE13F5">
              <w:rPr>
                <w:rFonts w:eastAsia="Times New Roman" w:cs="Arial"/>
                <w:b/>
                <w:bCs/>
                <w:color w:val="FFFFFF" w:themeColor="background1"/>
                <w:sz w:val="18"/>
                <w:szCs w:val="18"/>
                <w:lang w:val="es-CO" w:eastAsia="es-CO"/>
              </w:rPr>
              <w:t>Tercera Edad</w:t>
            </w:r>
          </w:p>
        </w:tc>
        <w:tc>
          <w:tcPr>
            <w:tcW w:w="0" w:type="auto"/>
            <w:shd w:val="clear" w:color="auto" w:fill="76923C"/>
            <w:vAlign w:val="center"/>
            <w:hideMark/>
          </w:tcPr>
          <w:p w:rsidR="00D46B4D" w:rsidRPr="00AE13F5" w:rsidRDefault="00AE13F5" w:rsidP="00D46B4D">
            <w:pPr>
              <w:spacing w:after="0" w:line="240" w:lineRule="auto"/>
              <w:jc w:val="center"/>
              <w:rPr>
                <w:rFonts w:eastAsia="Times New Roman" w:cs="Arial"/>
                <w:b/>
                <w:bCs/>
                <w:color w:val="FFFFFF" w:themeColor="background1"/>
                <w:sz w:val="18"/>
                <w:szCs w:val="18"/>
                <w:lang w:val="es-CO" w:eastAsia="es-CO"/>
              </w:rPr>
            </w:pPr>
            <w:r w:rsidRPr="00AE13F5">
              <w:rPr>
                <w:rFonts w:eastAsia="Times New Roman" w:cs="Arial"/>
                <w:b/>
                <w:bCs/>
                <w:color w:val="FFFFFF" w:themeColor="background1"/>
                <w:sz w:val="18"/>
                <w:szCs w:val="18"/>
                <w:lang w:val="es-CO" w:eastAsia="es-CO"/>
              </w:rPr>
              <w:t>Total General</w:t>
            </w:r>
          </w:p>
        </w:tc>
      </w:tr>
      <w:tr w:rsidR="00D46B4D" w:rsidRPr="00AE13F5" w:rsidTr="00AE13F5">
        <w:trPr>
          <w:trHeight w:val="180"/>
          <w:jc w:val="center"/>
        </w:trPr>
        <w:tc>
          <w:tcPr>
            <w:tcW w:w="0" w:type="auto"/>
            <w:vMerge w:val="restart"/>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Antioquia</w:t>
            </w: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Dabeiba</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30</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43</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22</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66</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215</w:t>
            </w:r>
          </w:p>
        </w:tc>
      </w:tr>
      <w:tr w:rsidR="00D46B4D" w:rsidRPr="00AE13F5" w:rsidTr="00AE13F5">
        <w:trPr>
          <w:trHeight w:val="180"/>
          <w:jc w:val="center"/>
        </w:trPr>
        <w:tc>
          <w:tcPr>
            <w:tcW w:w="0" w:type="auto"/>
            <w:vMerge/>
            <w:vAlign w:val="center"/>
            <w:hideMark/>
          </w:tcPr>
          <w:p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Ituango</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47</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98</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66</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78</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325</w:t>
            </w:r>
          </w:p>
        </w:tc>
      </w:tr>
      <w:tr w:rsidR="00D46B4D" w:rsidRPr="00AE13F5" w:rsidTr="00AE13F5">
        <w:trPr>
          <w:trHeight w:val="180"/>
          <w:jc w:val="center"/>
        </w:trPr>
        <w:tc>
          <w:tcPr>
            <w:tcW w:w="0" w:type="auto"/>
            <w:vMerge/>
            <w:vAlign w:val="center"/>
            <w:hideMark/>
          </w:tcPr>
          <w:p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Remedios</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58</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69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83</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281</w:t>
            </w:r>
          </w:p>
        </w:tc>
      </w:tr>
      <w:tr w:rsidR="00D46B4D" w:rsidRPr="00AE13F5" w:rsidTr="00AE13F5">
        <w:trPr>
          <w:trHeight w:val="180"/>
          <w:jc w:val="center"/>
        </w:trPr>
        <w:tc>
          <w:tcPr>
            <w:tcW w:w="0" w:type="auto"/>
            <w:vMerge/>
            <w:vAlign w:val="center"/>
            <w:hideMark/>
          </w:tcPr>
          <w:p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Anorí</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76</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64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81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12</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357</w:t>
            </w:r>
          </w:p>
        </w:tc>
      </w:tr>
      <w:tr w:rsidR="00D46B4D" w:rsidRPr="00AE13F5" w:rsidTr="00AE13F5">
        <w:trPr>
          <w:trHeight w:val="180"/>
          <w:jc w:val="center"/>
        </w:trPr>
        <w:tc>
          <w:tcPr>
            <w:tcW w:w="0" w:type="auto"/>
            <w:vMerge/>
            <w:vAlign w:val="center"/>
            <w:hideMark/>
          </w:tcPr>
          <w:p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Pr>
                <w:rFonts w:eastAsia="Times New Roman" w:cs="Arial"/>
                <w:sz w:val="18"/>
                <w:szCs w:val="18"/>
                <w:lang w:val="es-CO" w:eastAsia="es-CO"/>
              </w:rPr>
              <w:t>Vigía d</w:t>
            </w:r>
            <w:r w:rsidRPr="00AE13F5">
              <w:rPr>
                <w:rFonts w:eastAsia="Times New Roman" w:cs="Arial"/>
                <w:sz w:val="18"/>
                <w:szCs w:val="18"/>
                <w:lang w:val="es-CO" w:eastAsia="es-CO"/>
              </w:rPr>
              <w:t>el Fuerte</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42</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28</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26</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170</w:t>
            </w:r>
          </w:p>
        </w:tc>
      </w:tr>
      <w:tr w:rsidR="00D46B4D" w:rsidRPr="00AE13F5" w:rsidTr="00AE13F5">
        <w:trPr>
          <w:trHeight w:val="180"/>
          <w:jc w:val="center"/>
        </w:trPr>
        <w:tc>
          <w:tcPr>
            <w:tcW w:w="0" w:type="auto"/>
            <w:vMerge/>
            <w:vAlign w:val="center"/>
            <w:hideMark/>
          </w:tcPr>
          <w:p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Arboletes</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w:t>
            </w:r>
          </w:p>
        </w:tc>
        <w:tc>
          <w:tcPr>
            <w:tcW w:w="0" w:type="auto"/>
            <w:shd w:val="clear" w:color="000000" w:fill="FFFFFF"/>
            <w:noWrap/>
            <w:vAlign w:val="center"/>
            <w:hideMark/>
          </w:tcPr>
          <w:p w:rsidR="00D46B4D" w:rsidRPr="00AE13F5" w:rsidRDefault="00D46B4D" w:rsidP="00AE13F5">
            <w:pPr>
              <w:spacing w:after="0" w:line="240" w:lineRule="auto"/>
              <w:jc w:val="center"/>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w:t>
            </w:r>
          </w:p>
        </w:tc>
        <w:tc>
          <w:tcPr>
            <w:tcW w:w="0" w:type="auto"/>
            <w:shd w:val="clear" w:color="000000" w:fill="FFFFFF"/>
            <w:noWrap/>
            <w:vAlign w:val="center"/>
            <w:hideMark/>
          </w:tcPr>
          <w:p w:rsidR="00D46B4D" w:rsidRPr="00AE13F5" w:rsidRDefault="00D46B4D" w:rsidP="00AE13F5">
            <w:pPr>
              <w:spacing w:after="0" w:line="240" w:lineRule="auto"/>
              <w:jc w:val="center"/>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D46B4D" w:rsidP="00AE13F5">
            <w:pPr>
              <w:spacing w:after="0" w:line="240" w:lineRule="auto"/>
              <w:jc w:val="center"/>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D46B4D" w:rsidP="00AE13F5">
            <w:pPr>
              <w:spacing w:after="0" w:line="240" w:lineRule="auto"/>
              <w:jc w:val="center"/>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w:t>
            </w:r>
          </w:p>
        </w:tc>
      </w:tr>
      <w:tr w:rsidR="00D46B4D" w:rsidRPr="00AE13F5" w:rsidTr="00AE13F5">
        <w:trPr>
          <w:trHeight w:val="180"/>
          <w:jc w:val="center"/>
        </w:trPr>
        <w:tc>
          <w:tcPr>
            <w:tcW w:w="0" w:type="auto"/>
            <w:gridSpan w:val="2"/>
            <w:shd w:val="clear" w:color="000000" w:fill="FFFFFF"/>
            <w:noWrap/>
            <w:vAlign w:val="center"/>
            <w:hideMark/>
          </w:tcPr>
          <w:p w:rsidR="00D46B4D" w:rsidRPr="00AE13F5" w:rsidRDefault="00AE13F5" w:rsidP="00D46B4D">
            <w:pPr>
              <w:spacing w:after="0" w:line="240" w:lineRule="auto"/>
              <w:rPr>
                <w:rFonts w:eastAsia="Times New Roman" w:cs="Arial"/>
                <w:b/>
                <w:bCs/>
                <w:sz w:val="18"/>
                <w:szCs w:val="18"/>
                <w:lang w:val="es-CO" w:eastAsia="es-CO"/>
              </w:rPr>
            </w:pPr>
            <w:r w:rsidRPr="00AE13F5">
              <w:rPr>
                <w:rFonts w:eastAsia="Times New Roman" w:cs="Arial"/>
                <w:b/>
                <w:bCs/>
                <w:sz w:val="18"/>
                <w:szCs w:val="18"/>
                <w:lang w:val="es-CO" w:eastAsia="es-CO"/>
              </w:rPr>
              <w:t>Total Antioquia</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256</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347</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233</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122</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334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58</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1.350</w:t>
            </w:r>
          </w:p>
        </w:tc>
      </w:tr>
      <w:tr w:rsidR="00D46B4D" w:rsidRPr="00AE13F5" w:rsidTr="00AE13F5">
        <w:trPr>
          <w:trHeight w:val="180"/>
          <w:jc w:val="center"/>
        </w:trPr>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Cauca</w:t>
            </w: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Miranda</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30</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47</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184</w:t>
            </w:r>
          </w:p>
        </w:tc>
      </w:tr>
      <w:tr w:rsidR="00D46B4D" w:rsidRPr="00AE13F5" w:rsidTr="00AE13F5">
        <w:trPr>
          <w:trHeight w:val="180"/>
          <w:jc w:val="center"/>
        </w:trPr>
        <w:tc>
          <w:tcPr>
            <w:tcW w:w="0" w:type="auto"/>
            <w:gridSpan w:val="2"/>
            <w:shd w:val="clear" w:color="000000" w:fill="FFFFFF"/>
            <w:noWrap/>
            <w:vAlign w:val="center"/>
            <w:hideMark/>
          </w:tcPr>
          <w:p w:rsidR="00D46B4D" w:rsidRPr="00AE13F5" w:rsidRDefault="00AE13F5" w:rsidP="00D46B4D">
            <w:pPr>
              <w:spacing w:after="0" w:line="240" w:lineRule="auto"/>
              <w:rPr>
                <w:rFonts w:eastAsia="Times New Roman" w:cs="Arial"/>
                <w:b/>
                <w:bCs/>
                <w:sz w:val="18"/>
                <w:szCs w:val="18"/>
                <w:lang w:val="es-CO" w:eastAsia="es-CO"/>
              </w:rPr>
            </w:pPr>
            <w:r w:rsidRPr="00AE13F5">
              <w:rPr>
                <w:rFonts w:eastAsia="Times New Roman" w:cs="Arial"/>
                <w:b/>
                <w:bCs/>
                <w:sz w:val="18"/>
                <w:szCs w:val="18"/>
                <w:lang w:val="es-CO" w:eastAsia="es-CO"/>
              </w:rPr>
              <w:t>Total Cauca</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49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30</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47</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184</w:t>
            </w:r>
          </w:p>
        </w:tc>
      </w:tr>
      <w:tr w:rsidR="00D46B4D" w:rsidRPr="00AE13F5" w:rsidTr="00AE13F5">
        <w:trPr>
          <w:trHeight w:val="180"/>
          <w:jc w:val="center"/>
        </w:trPr>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 xml:space="preserve">Córdoba </w:t>
            </w: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Tierralta</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160</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168</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93</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210</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821</w:t>
            </w:r>
          </w:p>
        </w:tc>
      </w:tr>
      <w:tr w:rsidR="00D46B4D" w:rsidRPr="00AE13F5" w:rsidTr="00AE13F5">
        <w:trPr>
          <w:trHeight w:val="180"/>
          <w:jc w:val="center"/>
        </w:trPr>
        <w:tc>
          <w:tcPr>
            <w:tcW w:w="0" w:type="auto"/>
            <w:gridSpan w:val="2"/>
            <w:shd w:val="clear" w:color="000000" w:fill="FFFFFF"/>
            <w:noWrap/>
            <w:vAlign w:val="center"/>
            <w:hideMark/>
          </w:tcPr>
          <w:p w:rsidR="00D46B4D" w:rsidRPr="00AE13F5" w:rsidRDefault="00AE13F5" w:rsidP="00D46B4D">
            <w:pPr>
              <w:spacing w:after="0" w:line="240" w:lineRule="auto"/>
              <w:rPr>
                <w:rFonts w:eastAsia="Times New Roman" w:cs="Arial"/>
                <w:b/>
                <w:bCs/>
                <w:sz w:val="18"/>
                <w:szCs w:val="18"/>
                <w:lang w:val="es-CO" w:eastAsia="es-CO"/>
              </w:rPr>
            </w:pPr>
            <w:r w:rsidRPr="00AE13F5">
              <w:rPr>
                <w:rFonts w:eastAsia="Times New Roman" w:cs="Arial"/>
                <w:b/>
                <w:bCs/>
                <w:sz w:val="18"/>
                <w:szCs w:val="18"/>
                <w:lang w:val="es-CO" w:eastAsia="es-CO"/>
              </w:rPr>
              <w:t xml:space="preserve">Total Córdoba </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160</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168</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93</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99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210</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91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821</w:t>
            </w:r>
          </w:p>
        </w:tc>
      </w:tr>
      <w:tr w:rsidR="00D46B4D" w:rsidRPr="00AE13F5" w:rsidTr="00AE13F5">
        <w:trPr>
          <w:trHeight w:val="180"/>
          <w:jc w:val="center"/>
        </w:trPr>
        <w:tc>
          <w:tcPr>
            <w:tcW w:w="0" w:type="auto"/>
            <w:vMerge w:val="restart"/>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Nariño</w:t>
            </w: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Policarpa</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243</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395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285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253</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762</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188</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2.126</w:t>
            </w:r>
          </w:p>
        </w:tc>
      </w:tr>
      <w:tr w:rsidR="00D46B4D" w:rsidRPr="00AE13F5" w:rsidTr="00AE13F5">
        <w:trPr>
          <w:trHeight w:val="180"/>
          <w:jc w:val="center"/>
        </w:trPr>
        <w:tc>
          <w:tcPr>
            <w:tcW w:w="0" w:type="auto"/>
            <w:vMerge/>
            <w:vAlign w:val="center"/>
            <w:hideMark/>
          </w:tcPr>
          <w:p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San Andrés De Tumaco</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124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174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226</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766</w:t>
            </w:r>
          </w:p>
        </w:tc>
      </w:tr>
      <w:tr w:rsidR="00D46B4D" w:rsidRPr="00AE13F5" w:rsidTr="00AE13F5">
        <w:trPr>
          <w:trHeight w:val="180"/>
          <w:jc w:val="center"/>
        </w:trPr>
        <w:tc>
          <w:tcPr>
            <w:tcW w:w="0" w:type="auto"/>
            <w:vMerge/>
            <w:vAlign w:val="center"/>
            <w:hideMark/>
          </w:tcPr>
          <w:p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Cumbitara</w:t>
            </w:r>
          </w:p>
        </w:tc>
        <w:tc>
          <w:tcPr>
            <w:tcW w:w="0" w:type="auto"/>
            <w:shd w:val="clear" w:color="000000" w:fill="FFFFFF"/>
            <w:noWrap/>
            <w:vAlign w:val="center"/>
            <w:hideMark/>
          </w:tcPr>
          <w:p w:rsidR="00D46B4D" w:rsidRPr="00AE13F5" w:rsidRDefault="00D46B4D" w:rsidP="00AE13F5">
            <w:pPr>
              <w:spacing w:after="0" w:line="240" w:lineRule="auto"/>
              <w:jc w:val="center"/>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w:t>
            </w:r>
          </w:p>
        </w:tc>
        <w:tc>
          <w:tcPr>
            <w:tcW w:w="0" w:type="auto"/>
            <w:shd w:val="clear" w:color="000000" w:fill="FFFFFF"/>
            <w:noWrap/>
            <w:vAlign w:val="center"/>
            <w:hideMark/>
          </w:tcPr>
          <w:p w:rsidR="00D46B4D" w:rsidRPr="00AE13F5" w:rsidRDefault="00D46B4D" w:rsidP="00AE13F5">
            <w:pPr>
              <w:spacing w:after="0" w:line="240" w:lineRule="auto"/>
              <w:jc w:val="center"/>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w:t>
            </w:r>
          </w:p>
        </w:tc>
      </w:tr>
      <w:tr w:rsidR="00D46B4D" w:rsidRPr="00AE13F5" w:rsidTr="00AE13F5">
        <w:trPr>
          <w:trHeight w:val="180"/>
          <w:jc w:val="center"/>
        </w:trPr>
        <w:tc>
          <w:tcPr>
            <w:tcW w:w="0" w:type="auto"/>
            <w:gridSpan w:val="2"/>
            <w:shd w:val="clear" w:color="000000" w:fill="FFFFFF"/>
            <w:noWrap/>
            <w:vAlign w:val="center"/>
            <w:hideMark/>
          </w:tcPr>
          <w:p w:rsidR="00D46B4D" w:rsidRPr="00AE13F5" w:rsidRDefault="00AE13F5" w:rsidP="00D46B4D">
            <w:pPr>
              <w:spacing w:after="0" w:line="240" w:lineRule="auto"/>
              <w:rPr>
                <w:rFonts w:eastAsia="Times New Roman" w:cs="Arial"/>
                <w:b/>
                <w:bCs/>
                <w:sz w:val="18"/>
                <w:szCs w:val="18"/>
                <w:lang w:val="es-CO" w:eastAsia="es-CO"/>
              </w:rPr>
            </w:pPr>
            <w:r w:rsidRPr="00AE13F5">
              <w:rPr>
                <w:rFonts w:eastAsia="Times New Roman" w:cs="Arial"/>
                <w:b/>
                <w:bCs/>
                <w:sz w:val="18"/>
                <w:szCs w:val="18"/>
                <w:lang w:val="es-CO" w:eastAsia="es-CO"/>
              </w:rPr>
              <w:t>Total Nariño</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367</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571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385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348</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989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237</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2.897</w:t>
            </w:r>
          </w:p>
        </w:tc>
      </w:tr>
      <w:tr w:rsidR="00D46B4D" w:rsidRPr="00AE13F5" w:rsidTr="00AE13F5">
        <w:trPr>
          <w:trHeight w:val="180"/>
          <w:jc w:val="center"/>
        </w:trPr>
        <w:tc>
          <w:tcPr>
            <w:tcW w:w="0" w:type="auto"/>
            <w:vMerge w:val="restart"/>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Tolima</w:t>
            </w: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Icononzo</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163</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119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56</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163</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20</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575</w:t>
            </w:r>
          </w:p>
        </w:tc>
      </w:tr>
      <w:tr w:rsidR="00D46B4D" w:rsidRPr="00AE13F5" w:rsidTr="00AE13F5">
        <w:trPr>
          <w:trHeight w:val="180"/>
          <w:jc w:val="center"/>
        </w:trPr>
        <w:tc>
          <w:tcPr>
            <w:tcW w:w="0" w:type="auto"/>
            <w:vMerge/>
            <w:vAlign w:val="center"/>
            <w:hideMark/>
          </w:tcPr>
          <w:p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Planadas</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58</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79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345</w:t>
            </w:r>
          </w:p>
        </w:tc>
      </w:tr>
      <w:tr w:rsidR="00D46B4D" w:rsidRPr="00AE13F5" w:rsidTr="00AE13F5">
        <w:trPr>
          <w:trHeight w:val="180"/>
          <w:jc w:val="center"/>
        </w:trPr>
        <w:tc>
          <w:tcPr>
            <w:tcW w:w="0" w:type="auto"/>
            <w:vMerge/>
            <w:vAlign w:val="center"/>
            <w:hideMark/>
          </w:tcPr>
          <w:p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Cajamarca</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w:t>
            </w:r>
          </w:p>
        </w:tc>
        <w:tc>
          <w:tcPr>
            <w:tcW w:w="0" w:type="auto"/>
            <w:shd w:val="clear" w:color="000000" w:fill="FFFFFF"/>
            <w:noWrap/>
            <w:vAlign w:val="center"/>
            <w:hideMark/>
          </w:tcPr>
          <w:p w:rsidR="00D46B4D" w:rsidRPr="00AE13F5" w:rsidRDefault="00D46B4D" w:rsidP="00AE13F5">
            <w:pPr>
              <w:spacing w:after="0" w:line="240" w:lineRule="auto"/>
              <w:jc w:val="center"/>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D46B4D" w:rsidP="00AE13F5">
            <w:pPr>
              <w:spacing w:after="0" w:line="240" w:lineRule="auto"/>
              <w:jc w:val="center"/>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w:t>
            </w:r>
          </w:p>
        </w:tc>
        <w:tc>
          <w:tcPr>
            <w:tcW w:w="0" w:type="auto"/>
            <w:shd w:val="clear" w:color="000000" w:fill="FFFFFF"/>
            <w:noWrap/>
            <w:vAlign w:val="center"/>
            <w:hideMark/>
          </w:tcPr>
          <w:p w:rsidR="00D46B4D" w:rsidRPr="00AE13F5" w:rsidRDefault="00D46B4D" w:rsidP="00AE13F5">
            <w:pPr>
              <w:spacing w:after="0" w:line="240" w:lineRule="auto"/>
              <w:jc w:val="center"/>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w:t>
            </w:r>
          </w:p>
        </w:tc>
      </w:tr>
      <w:tr w:rsidR="00D46B4D" w:rsidRPr="00AE13F5" w:rsidTr="00AE13F5">
        <w:trPr>
          <w:trHeight w:val="180"/>
          <w:jc w:val="center"/>
        </w:trPr>
        <w:tc>
          <w:tcPr>
            <w:tcW w:w="0" w:type="auto"/>
            <w:gridSpan w:val="2"/>
            <w:shd w:val="clear" w:color="000000" w:fill="FFFFFF"/>
            <w:noWrap/>
            <w:vAlign w:val="center"/>
            <w:hideMark/>
          </w:tcPr>
          <w:p w:rsidR="00D46B4D" w:rsidRPr="00AE13F5" w:rsidRDefault="00AE13F5" w:rsidP="00D46B4D">
            <w:pPr>
              <w:spacing w:after="0" w:line="240" w:lineRule="auto"/>
              <w:rPr>
                <w:rFonts w:eastAsia="Times New Roman" w:cs="Arial"/>
                <w:b/>
                <w:bCs/>
                <w:sz w:val="18"/>
                <w:szCs w:val="18"/>
                <w:lang w:val="es-CO" w:eastAsia="es-CO"/>
              </w:rPr>
            </w:pPr>
            <w:r w:rsidRPr="00AE13F5">
              <w:rPr>
                <w:rFonts w:eastAsia="Times New Roman" w:cs="Arial"/>
                <w:b/>
                <w:bCs/>
                <w:sz w:val="18"/>
                <w:szCs w:val="18"/>
                <w:lang w:val="es-CO" w:eastAsia="es-CO"/>
              </w:rPr>
              <w:t>Total Tolima</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222</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199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111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95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256</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41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924</w:t>
            </w:r>
          </w:p>
        </w:tc>
      </w:tr>
      <w:tr w:rsidR="00D46B4D" w:rsidRPr="00AE13F5" w:rsidTr="00AE13F5">
        <w:trPr>
          <w:trHeight w:val="180"/>
          <w:jc w:val="center"/>
        </w:trPr>
        <w:tc>
          <w:tcPr>
            <w:tcW w:w="0" w:type="auto"/>
            <w:vMerge w:val="restart"/>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Chocó</w:t>
            </w: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Pr>
                <w:rFonts w:eastAsia="Times New Roman" w:cs="Arial"/>
                <w:sz w:val="18"/>
                <w:szCs w:val="18"/>
                <w:lang w:val="es-CO" w:eastAsia="es-CO"/>
              </w:rPr>
              <w:t>Carmen d</w:t>
            </w:r>
            <w:r w:rsidRPr="00AE13F5">
              <w:rPr>
                <w:rFonts w:eastAsia="Times New Roman" w:cs="Arial"/>
                <w:sz w:val="18"/>
                <w:szCs w:val="18"/>
                <w:lang w:val="es-CO" w:eastAsia="es-CO"/>
              </w:rPr>
              <w:t>el Darién</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87</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97</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58</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53</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125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53</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473</w:t>
            </w:r>
          </w:p>
        </w:tc>
      </w:tr>
      <w:tr w:rsidR="00D46B4D" w:rsidRPr="00AE13F5" w:rsidTr="00AE13F5">
        <w:trPr>
          <w:trHeight w:val="180"/>
          <w:jc w:val="center"/>
        </w:trPr>
        <w:tc>
          <w:tcPr>
            <w:tcW w:w="0" w:type="auto"/>
            <w:vMerge/>
            <w:vAlign w:val="center"/>
            <w:hideMark/>
          </w:tcPr>
          <w:p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Riosucio</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86</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155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61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203</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74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638</w:t>
            </w:r>
          </w:p>
        </w:tc>
      </w:tr>
      <w:tr w:rsidR="00D46B4D" w:rsidRPr="00AE13F5" w:rsidTr="00AE13F5">
        <w:trPr>
          <w:trHeight w:val="180"/>
          <w:jc w:val="center"/>
        </w:trPr>
        <w:tc>
          <w:tcPr>
            <w:tcW w:w="0" w:type="auto"/>
            <w:gridSpan w:val="2"/>
            <w:shd w:val="clear" w:color="000000" w:fill="FFFFFF"/>
            <w:noWrap/>
            <w:vAlign w:val="center"/>
            <w:hideMark/>
          </w:tcPr>
          <w:p w:rsidR="00D46B4D" w:rsidRPr="00AE13F5" w:rsidRDefault="00AE13F5" w:rsidP="00D46B4D">
            <w:pPr>
              <w:spacing w:after="0" w:line="240" w:lineRule="auto"/>
              <w:rPr>
                <w:rFonts w:eastAsia="Times New Roman" w:cs="Arial"/>
                <w:b/>
                <w:bCs/>
                <w:sz w:val="18"/>
                <w:szCs w:val="18"/>
                <w:lang w:val="es-CO" w:eastAsia="es-CO"/>
              </w:rPr>
            </w:pPr>
            <w:r w:rsidRPr="00AE13F5">
              <w:rPr>
                <w:rFonts w:eastAsia="Times New Roman" w:cs="Arial"/>
                <w:b/>
                <w:bCs/>
                <w:sz w:val="18"/>
                <w:szCs w:val="18"/>
                <w:lang w:val="es-CO" w:eastAsia="es-CO"/>
              </w:rPr>
              <w:t>Total Chocó</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173</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252</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117</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114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328</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127</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1.111</w:t>
            </w:r>
          </w:p>
        </w:tc>
      </w:tr>
      <w:tr w:rsidR="00D46B4D" w:rsidRPr="00AE13F5" w:rsidTr="00AE13F5">
        <w:trPr>
          <w:trHeight w:val="180"/>
          <w:jc w:val="center"/>
        </w:trPr>
        <w:tc>
          <w:tcPr>
            <w:tcW w:w="0" w:type="auto"/>
            <w:vMerge w:val="restart"/>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Guaviare</w:t>
            </w: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Pr>
                <w:rFonts w:eastAsia="Times New Roman" w:cs="Arial"/>
                <w:sz w:val="18"/>
                <w:szCs w:val="18"/>
                <w:lang w:val="es-CO" w:eastAsia="es-CO"/>
              </w:rPr>
              <w:t>San José d</w:t>
            </w:r>
            <w:r w:rsidRPr="00AE13F5">
              <w:rPr>
                <w:rFonts w:eastAsia="Times New Roman" w:cs="Arial"/>
                <w:sz w:val="18"/>
                <w:szCs w:val="18"/>
                <w:lang w:val="es-CO" w:eastAsia="es-CO"/>
              </w:rPr>
              <w:t>el Guaviare</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224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319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164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126</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345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56</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1.234</w:t>
            </w:r>
          </w:p>
        </w:tc>
      </w:tr>
      <w:tr w:rsidR="00D46B4D" w:rsidRPr="00AE13F5" w:rsidTr="00AE13F5">
        <w:trPr>
          <w:trHeight w:val="180"/>
          <w:jc w:val="center"/>
        </w:trPr>
        <w:tc>
          <w:tcPr>
            <w:tcW w:w="0" w:type="auto"/>
            <w:vMerge/>
            <w:vAlign w:val="center"/>
            <w:hideMark/>
          </w:tcPr>
          <w:p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El Retorno</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16</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16</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36</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98</w:t>
            </w:r>
          </w:p>
        </w:tc>
      </w:tr>
      <w:tr w:rsidR="00D46B4D" w:rsidRPr="00AE13F5" w:rsidTr="00AE13F5">
        <w:trPr>
          <w:trHeight w:val="180"/>
          <w:jc w:val="center"/>
        </w:trPr>
        <w:tc>
          <w:tcPr>
            <w:tcW w:w="0" w:type="auto"/>
            <w:gridSpan w:val="2"/>
            <w:shd w:val="clear" w:color="000000" w:fill="FFFFFF"/>
            <w:noWrap/>
            <w:vAlign w:val="center"/>
            <w:hideMark/>
          </w:tcPr>
          <w:p w:rsidR="00D46B4D" w:rsidRPr="00AE13F5" w:rsidRDefault="00AE13F5" w:rsidP="00D46B4D">
            <w:pPr>
              <w:spacing w:after="0" w:line="240" w:lineRule="auto"/>
              <w:rPr>
                <w:rFonts w:eastAsia="Times New Roman" w:cs="Arial"/>
                <w:b/>
                <w:bCs/>
                <w:sz w:val="18"/>
                <w:szCs w:val="18"/>
                <w:lang w:val="es-CO" w:eastAsia="es-CO"/>
              </w:rPr>
            </w:pPr>
            <w:r w:rsidRPr="00AE13F5">
              <w:rPr>
                <w:rFonts w:eastAsia="Times New Roman" w:cs="Arial"/>
                <w:b/>
                <w:bCs/>
                <w:sz w:val="18"/>
                <w:szCs w:val="18"/>
                <w:lang w:val="es-CO" w:eastAsia="es-CO"/>
              </w:rPr>
              <w:t>Total Guaviare</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240</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335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183</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135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381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58</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1.332</w:t>
            </w:r>
          </w:p>
        </w:tc>
      </w:tr>
      <w:tr w:rsidR="00D46B4D" w:rsidRPr="00AE13F5" w:rsidTr="00AE13F5">
        <w:trPr>
          <w:trHeight w:val="180"/>
          <w:jc w:val="center"/>
        </w:trPr>
        <w:tc>
          <w:tcPr>
            <w:tcW w:w="0" w:type="auto"/>
            <w:vMerge w:val="restart"/>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Putumayo</w:t>
            </w: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Puerto Asís</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282</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371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256</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247</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466</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103</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1.725</w:t>
            </w:r>
          </w:p>
        </w:tc>
      </w:tr>
      <w:tr w:rsidR="00D46B4D" w:rsidRPr="00AE13F5" w:rsidTr="00AE13F5">
        <w:trPr>
          <w:trHeight w:val="180"/>
          <w:jc w:val="center"/>
        </w:trPr>
        <w:tc>
          <w:tcPr>
            <w:tcW w:w="0" w:type="auto"/>
            <w:vMerge/>
            <w:vAlign w:val="center"/>
            <w:hideMark/>
          </w:tcPr>
          <w:p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Puerto Guzmán</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56</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282</w:t>
            </w:r>
          </w:p>
        </w:tc>
      </w:tr>
      <w:tr w:rsidR="00D46B4D" w:rsidRPr="00AE13F5" w:rsidTr="00AE13F5">
        <w:trPr>
          <w:trHeight w:val="180"/>
          <w:jc w:val="center"/>
        </w:trPr>
        <w:tc>
          <w:tcPr>
            <w:tcW w:w="0" w:type="auto"/>
            <w:vMerge/>
            <w:vAlign w:val="center"/>
            <w:hideMark/>
          </w:tcPr>
          <w:p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Mocoa</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49</w:t>
            </w:r>
          </w:p>
        </w:tc>
      </w:tr>
      <w:tr w:rsidR="00D46B4D" w:rsidRPr="00AE13F5" w:rsidTr="00AE13F5">
        <w:trPr>
          <w:trHeight w:val="180"/>
          <w:jc w:val="center"/>
        </w:trPr>
        <w:tc>
          <w:tcPr>
            <w:tcW w:w="0" w:type="auto"/>
            <w:vMerge/>
            <w:vAlign w:val="center"/>
            <w:hideMark/>
          </w:tcPr>
          <w:p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Villagarzón</w:t>
            </w:r>
          </w:p>
        </w:tc>
        <w:tc>
          <w:tcPr>
            <w:tcW w:w="0" w:type="auto"/>
            <w:shd w:val="clear" w:color="000000" w:fill="FFFFFF"/>
            <w:noWrap/>
            <w:vAlign w:val="center"/>
            <w:hideMark/>
          </w:tcPr>
          <w:p w:rsidR="00D46B4D" w:rsidRPr="00AE13F5" w:rsidRDefault="00D46B4D" w:rsidP="00AE13F5">
            <w:pPr>
              <w:spacing w:after="0" w:line="240" w:lineRule="auto"/>
              <w:jc w:val="center"/>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D46B4D" w:rsidP="00AE13F5">
            <w:pPr>
              <w:spacing w:after="0" w:line="240" w:lineRule="auto"/>
              <w:jc w:val="center"/>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D46B4D" w:rsidP="00AE13F5">
            <w:pPr>
              <w:spacing w:after="0" w:line="240" w:lineRule="auto"/>
              <w:jc w:val="center"/>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D46B4D" w:rsidP="00AE13F5">
            <w:pPr>
              <w:spacing w:after="0" w:line="240" w:lineRule="auto"/>
              <w:jc w:val="center"/>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w:t>
            </w:r>
          </w:p>
        </w:tc>
      </w:tr>
      <w:tr w:rsidR="00D46B4D" w:rsidRPr="00AE13F5" w:rsidTr="00AE13F5">
        <w:trPr>
          <w:trHeight w:val="180"/>
          <w:jc w:val="center"/>
        </w:trPr>
        <w:tc>
          <w:tcPr>
            <w:tcW w:w="0" w:type="auto"/>
            <w:vMerge/>
            <w:vAlign w:val="center"/>
            <w:hideMark/>
          </w:tcPr>
          <w:p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Orito</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38</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18</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16</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46</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148</w:t>
            </w:r>
          </w:p>
        </w:tc>
      </w:tr>
      <w:tr w:rsidR="00D46B4D" w:rsidRPr="00AE13F5" w:rsidTr="00AE13F5">
        <w:trPr>
          <w:trHeight w:val="180"/>
          <w:jc w:val="center"/>
        </w:trPr>
        <w:tc>
          <w:tcPr>
            <w:tcW w:w="0" w:type="auto"/>
            <w:vMerge/>
            <w:vAlign w:val="center"/>
            <w:hideMark/>
          </w:tcPr>
          <w:p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Pr>
                <w:rFonts w:eastAsia="Times New Roman" w:cs="Arial"/>
                <w:sz w:val="18"/>
                <w:szCs w:val="18"/>
                <w:lang w:val="es-CO" w:eastAsia="es-CO"/>
              </w:rPr>
              <w:t>Valle d</w:t>
            </w:r>
            <w:r w:rsidRPr="00AE13F5">
              <w:rPr>
                <w:rFonts w:eastAsia="Times New Roman" w:cs="Arial"/>
                <w:sz w:val="18"/>
                <w:szCs w:val="18"/>
                <w:lang w:val="es-CO" w:eastAsia="es-CO"/>
              </w:rPr>
              <w:t>el Guamuez</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20</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20</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27</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95</w:t>
            </w:r>
          </w:p>
        </w:tc>
      </w:tr>
      <w:tr w:rsidR="00D46B4D" w:rsidRPr="00AE13F5" w:rsidTr="00AE13F5">
        <w:trPr>
          <w:trHeight w:val="180"/>
          <w:jc w:val="center"/>
        </w:trPr>
        <w:tc>
          <w:tcPr>
            <w:tcW w:w="0" w:type="auto"/>
            <w:gridSpan w:val="2"/>
            <w:shd w:val="clear" w:color="000000" w:fill="FFFFFF"/>
            <w:noWrap/>
            <w:vAlign w:val="center"/>
            <w:hideMark/>
          </w:tcPr>
          <w:p w:rsidR="00D46B4D" w:rsidRPr="00AE13F5" w:rsidRDefault="00AE13F5" w:rsidP="00D46B4D">
            <w:pPr>
              <w:spacing w:after="0" w:line="240" w:lineRule="auto"/>
              <w:rPr>
                <w:rFonts w:eastAsia="Times New Roman" w:cs="Arial"/>
                <w:b/>
                <w:bCs/>
                <w:sz w:val="18"/>
                <w:szCs w:val="18"/>
                <w:lang w:val="es-CO" w:eastAsia="es-CO"/>
              </w:rPr>
            </w:pPr>
            <w:r w:rsidRPr="00AE13F5">
              <w:rPr>
                <w:rFonts w:eastAsia="Times New Roman" w:cs="Arial"/>
                <w:b/>
                <w:bCs/>
                <w:sz w:val="18"/>
                <w:szCs w:val="18"/>
                <w:lang w:val="es-CO" w:eastAsia="es-CO"/>
              </w:rPr>
              <w:t>Total Putumayo</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392</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493</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304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334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645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134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2.302</w:t>
            </w:r>
          </w:p>
        </w:tc>
      </w:tr>
      <w:tr w:rsidR="00D46B4D" w:rsidRPr="00AE13F5" w:rsidTr="00AE13F5">
        <w:trPr>
          <w:trHeight w:val="180"/>
          <w:jc w:val="center"/>
        </w:trPr>
        <w:tc>
          <w:tcPr>
            <w:tcW w:w="0" w:type="auto"/>
            <w:vMerge w:val="restart"/>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Caquetá</w:t>
            </w: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 xml:space="preserve">San Vicente </w:t>
            </w:r>
            <w:r>
              <w:rPr>
                <w:rFonts w:eastAsia="Times New Roman" w:cs="Arial"/>
                <w:sz w:val="18"/>
                <w:szCs w:val="18"/>
                <w:lang w:val="es-CO" w:eastAsia="es-CO"/>
              </w:rPr>
              <w:t>d</w:t>
            </w:r>
            <w:r w:rsidRPr="00AE13F5">
              <w:rPr>
                <w:rFonts w:eastAsia="Times New Roman" w:cs="Arial"/>
                <w:sz w:val="18"/>
                <w:szCs w:val="18"/>
                <w:lang w:val="es-CO" w:eastAsia="es-CO"/>
              </w:rPr>
              <w:t>el Caguán</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209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174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52</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113</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225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832</w:t>
            </w:r>
          </w:p>
        </w:tc>
      </w:tr>
      <w:tr w:rsidR="00D46B4D" w:rsidRPr="00AE13F5" w:rsidTr="00AE13F5">
        <w:trPr>
          <w:trHeight w:val="180"/>
          <w:jc w:val="center"/>
        </w:trPr>
        <w:tc>
          <w:tcPr>
            <w:tcW w:w="0" w:type="auto"/>
            <w:vMerge/>
            <w:vAlign w:val="center"/>
            <w:hideMark/>
          </w:tcPr>
          <w:p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La Montañita7</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71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70</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152</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62</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500</w:t>
            </w:r>
          </w:p>
        </w:tc>
      </w:tr>
      <w:tr w:rsidR="00D46B4D" w:rsidRPr="00AE13F5" w:rsidTr="00AE13F5">
        <w:trPr>
          <w:trHeight w:val="180"/>
          <w:jc w:val="center"/>
        </w:trPr>
        <w:tc>
          <w:tcPr>
            <w:tcW w:w="0" w:type="auto"/>
            <w:vMerge/>
            <w:vAlign w:val="center"/>
            <w:hideMark/>
          </w:tcPr>
          <w:p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Florencia</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w:t>
            </w:r>
          </w:p>
        </w:tc>
        <w:tc>
          <w:tcPr>
            <w:tcW w:w="0" w:type="auto"/>
            <w:shd w:val="clear" w:color="000000" w:fill="FFFFFF"/>
            <w:noWrap/>
            <w:vAlign w:val="center"/>
            <w:hideMark/>
          </w:tcPr>
          <w:p w:rsidR="00D46B4D" w:rsidRPr="00AE13F5" w:rsidRDefault="00D46B4D" w:rsidP="00AE13F5">
            <w:pPr>
              <w:spacing w:after="0" w:line="240" w:lineRule="auto"/>
              <w:jc w:val="center"/>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8</w:t>
            </w:r>
          </w:p>
        </w:tc>
      </w:tr>
      <w:tr w:rsidR="00D46B4D" w:rsidRPr="00AE13F5" w:rsidTr="00AE13F5">
        <w:trPr>
          <w:trHeight w:val="180"/>
          <w:jc w:val="center"/>
        </w:trPr>
        <w:tc>
          <w:tcPr>
            <w:tcW w:w="0" w:type="auto"/>
            <w:gridSpan w:val="2"/>
            <w:shd w:val="clear" w:color="000000" w:fill="FFFFFF"/>
            <w:noWrap/>
            <w:vAlign w:val="center"/>
            <w:hideMark/>
          </w:tcPr>
          <w:p w:rsidR="00D46B4D" w:rsidRPr="00AE13F5" w:rsidRDefault="00AE13F5" w:rsidP="00D46B4D">
            <w:pPr>
              <w:spacing w:after="0" w:line="240" w:lineRule="auto"/>
              <w:rPr>
                <w:rFonts w:eastAsia="Times New Roman" w:cs="Arial"/>
                <w:b/>
                <w:bCs/>
                <w:sz w:val="18"/>
                <w:szCs w:val="18"/>
                <w:lang w:val="es-CO" w:eastAsia="es-CO"/>
              </w:rPr>
            </w:pPr>
            <w:r w:rsidRPr="00AE13F5">
              <w:rPr>
                <w:rFonts w:eastAsia="Times New Roman" w:cs="Arial"/>
                <w:b/>
                <w:bCs/>
                <w:sz w:val="18"/>
                <w:szCs w:val="18"/>
                <w:lang w:val="es-CO" w:eastAsia="es-CO"/>
              </w:rPr>
              <w:t>Total Caquetá</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281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269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126</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165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378</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121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1.340</w:t>
            </w:r>
          </w:p>
        </w:tc>
      </w:tr>
      <w:tr w:rsidR="00D46B4D" w:rsidRPr="00AE13F5" w:rsidTr="00AE13F5">
        <w:trPr>
          <w:trHeight w:val="180"/>
          <w:jc w:val="center"/>
        </w:trPr>
        <w:tc>
          <w:tcPr>
            <w:tcW w:w="0" w:type="auto"/>
            <w:vMerge w:val="restart"/>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Arauca</w:t>
            </w: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Arauquita</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131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189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92</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101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209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73</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795</w:t>
            </w:r>
          </w:p>
        </w:tc>
      </w:tr>
      <w:tr w:rsidR="00D46B4D" w:rsidRPr="00AE13F5" w:rsidTr="00AE13F5">
        <w:trPr>
          <w:trHeight w:val="180"/>
          <w:jc w:val="center"/>
        </w:trPr>
        <w:tc>
          <w:tcPr>
            <w:tcW w:w="0" w:type="auto"/>
            <w:vMerge/>
            <w:vAlign w:val="center"/>
            <w:hideMark/>
          </w:tcPr>
          <w:p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Tame</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6</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6</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8</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44</w:t>
            </w:r>
          </w:p>
        </w:tc>
      </w:tr>
      <w:tr w:rsidR="00D46B4D" w:rsidRPr="00AE13F5" w:rsidTr="00AE13F5">
        <w:trPr>
          <w:trHeight w:val="180"/>
          <w:jc w:val="center"/>
        </w:trPr>
        <w:tc>
          <w:tcPr>
            <w:tcW w:w="0" w:type="auto"/>
            <w:gridSpan w:val="2"/>
            <w:shd w:val="clear" w:color="000000" w:fill="FFFFFF"/>
            <w:noWrap/>
            <w:vAlign w:val="center"/>
            <w:hideMark/>
          </w:tcPr>
          <w:p w:rsidR="00D46B4D" w:rsidRPr="00AE13F5" w:rsidRDefault="00AE13F5" w:rsidP="00D46B4D">
            <w:pPr>
              <w:spacing w:after="0" w:line="240" w:lineRule="auto"/>
              <w:rPr>
                <w:rFonts w:eastAsia="Times New Roman" w:cs="Arial"/>
                <w:b/>
                <w:bCs/>
                <w:sz w:val="18"/>
                <w:szCs w:val="18"/>
                <w:lang w:val="es-CO" w:eastAsia="es-CO"/>
              </w:rPr>
            </w:pPr>
            <w:r w:rsidRPr="00AE13F5">
              <w:rPr>
                <w:rFonts w:eastAsia="Times New Roman" w:cs="Arial"/>
                <w:b/>
                <w:bCs/>
                <w:sz w:val="18"/>
                <w:szCs w:val="18"/>
                <w:lang w:val="es-CO" w:eastAsia="es-CO"/>
              </w:rPr>
              <w:t>Total Arauca</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137</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198</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98</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109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223</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74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839</w:t>
            </w:r>
          </w:p>
        </w:tc>
      </w:tr>
      <w:tr w:rsidR="00D46B4D" w:rsidRPr="00AE13F5" w:rsidTr="00AE13F5">
        <w:trPr>
          <w:trHeight w:val="180"/>
          <w:jc w:val="center"/>
        </w:trPr>
        <w:tc>
          <w:tcPr>
            <w:tcW w:w="0" w:type="auto"/>
            <w:vMerge w:val="restart"/>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Meta</w:t>
            </w: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Vistahermosa</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104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42</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23</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120</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363</w:t>
            </w:r>
          </w:p>
        </w:tc>
      </w:tr>
      <w:tr w:rsidR="00D46B4D" w:rsidRPr="00AE13F5" w:rsidTr="00AE13F5">
        <w:trPr>
          <w:trHeight w:val="180"/>
          <w:jc w:val="center"/>
        </w:trPr>
        <w:tc>
          <w:tcPr>
            <w:tcW w:w="0" w:type="auto"/>
            <w:vMerge/>
            <w:vAlign w:val="center"/>
            <w:hideMark/>
          </w:tcPr>
          <w:p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Mesetas</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129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183</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95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74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224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744</w:t>
            </w:r>
          </w:p>
        </w:tc>
      </w:tr>
      <w:tr w:rsidR="00D46B4D" w:rsidRPr="00AE13F5" w:rsidTr="00AE13F5">
        <w:trPr>
          <w:trHeight w:val="180"/>
          <w:jc w:val="center"/>
        </w:trPr>
        <w:tc>
          <w:tcPr>
            <w:tcW w:w="0" w:type="auto"/>
            <w:vMerge/>
            <w:vAlign w:val="center"/>
            <w:hideMark/>
          </w:tcPr>
          <w:p w:rsidR="00D46B4D" w:rsidRPr="00AE13F5" w:rsidRDefault="00D46B4D" w:rsidP="00D46B4D">
            <w:pPr>
              <w:spacing w:after="0" w:line="240" w:lineRule="auto"/>
              <w:rPr>
                <w:rFonts w:eastAsia="Times New Roman" w:cs="Arial"/>
                <w:sz w:val="18"/>
                <w:szCs w:val="18"/>
                <w:lang w:val="es-CO" w:eastAsia="es-CO"/>
              </w:rPr>
            </w:pP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La Macarena</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77</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57</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86</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16</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336</w:t>
            </w:r>
          </w:p>
        </w:tc>
      </w:tr>
      <w:tr w:rsidR="00D46B4D" w:rsidRPr="00AE13F5" w:rsidTr="00AE13F5">
        <w:trPr>
          <w:trHeight w:val="180"/>
          <w:jc w:val="center"/>
        </w:trPr>
        <w:tc>
          <w:tcPr>
            <w:tcW w:w="0" w:type="auto"/>
            <w:gridSpan w:val="2"/>
            <w:shd w:val="clear" w:color="000000" w:fill="FFFFFF"/>
            <w:noWrap/>
            <w:vAlign w:val="center"/>
            <w:hideMark/>
          </w:tcPr>
          <w:p w:rsidR="00D46B4D" w:rsidRPr="00AE13F5" w:rsidRDefault="00AE13F5" w:rsidP="00D46B4D">
            <w:pPr>
              <w:spacing w:after="0" w:line="240" w:lineRule="auto"/>
              <w:rPr>
                <w:rFonts w:eastAsia="Times New Roman" w:cs="Arial"/>
                <w:b/>
                <w:bCs/>
                <w:sz w:val="18"/>
                <w:szCs w:val="18"/>
                <w:lang w:val="es-CO" w:eastAsia="es-CO"/>
              </w:rPr>
            </w:pPr>
            <w:r w:rsidRPr="00AE13F5">
              <w:rPr>
                <w:rFonts w:eastAsia="Times New Roman" w:cs="Arial"/>
                <w:b/>
                <w:bCs/>
                <w:sz w:val="18"/>
                <w:szCs w:val="18"/>
                <w:lang w:val="es-CO" w:eastAsia="es-CO"/>
              </w:rPr>
              <w:t>Total Meta</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239</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364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194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142</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430</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74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1.443</w:t>
            </w:r>
          </w:p>
        </w:tc>
      </w:tr>
      <w:tr w:rsidR="00D46B4D" w:rsidRPr="00AE13F5" w:rsidTr="00AE13F5">
        <w:trPr>
          <w:trHeight w:val="180"/>
          <w:jc w:val="center"/>
        </w:trPr>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Norte De Santander</w:t>
            </w: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Tibu</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68</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116</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56</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135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15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434</w:t>
            </w:r>
          </w:p>
        </w:tc>
      </w:tr>
      <w:tr w:rsidR="00D46B4D" w:rsidRPr="00AE13F5" w:rsidTr="00AE13F5">
        <w:trPr>
          <w:trHeight w:val="180"/>
          <w:jc w:val="center"/>
        </w:trPr>
        <w:tc>
          <w:tcPr>
            <w:tcW w:w="0" w:type="auto"/>
            <w:gridSpan w:val="2"/>
            <w:shd w:val="clear" w:color="000000" w:fill="FFFFFF"/>
            <w:noWrap/>
            <w:vAlign w:val="center"/>
            <w:hideMark/>
          </w:tcPr>
          <w:p w:rsidR="00D46B4D" w:rsidRPr="00AE13F5" w:rsidRDefault="00AE13F5" w:rsidP="00D46B4D">
            <w:pPr>
              <w:spacing w:after="0" w:line="240" w:lineRule="auto"/>
              <w:rPr>
                <w:rFonts w:eastAsia="Times New Roman" w:cs="Arial"/>
                <w:b/>
                <w:bCs/>
                <w:sz w:val="18"/>
                <w:szCs w:val="18"/>
                <w:lang w:val="es-CO" w:eastAsia="es-CO"/>
              </w:rPr>
            </w:pPr>
            <w:r w:rsidRPr="00AE13F5">
              <w:rPr>
                <w:rFonts w:eastAsia="Times New Roman" w:cs="Arial"/>
                <w:b/>
                <w:bCs/>
                <w:sz w:val="18"/>
                <w:szCs w:val="18"/>
                <w:lang w:val="es-CO" w:eastAsia="es-CO"/>
              </w:rPr>
              <w:t>Total Norte De Santander</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68</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116</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56</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44</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135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434</w:t>
            </w:r>
          </w:p>
        </w:tc>
      </w:tr>
      <w:tr w:rsidR="00D46B4D" w:rsidRPr="00AE13F5" w:rsidTr="00AE13F5">
        <w:trPr>
          <w:trHeight w:val="180"/>
          <w:jc w:val="center"/>
        </w:trPr>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La Guajira</w:t>
            </w:r>
          </w:p>
        </w:tc>
        <w:tc>
          <w:tcPr>
            <w:tcW w:w="0" w:type="auto"/>
            <w:shd w:val="clear" w:color="000000" w:fill="FFFFFF"/>
            <w:noWrap/>
            <w:vAlign w:val="center"/>
            <w:hideMark/>
          </w:tcPr>
          <w:p w:rsidR="00D46B4D" w:rsidRPr="00AE13F5" w:rsidRDefault="00AE13F5" w:rsidP="00D46B4D">
            <w:pPr>
              <w:spacing w:after="0" w:line="240" w:lineRule="auto"/>
              <w:rPr>
                <w:rFonts w:eastAsia="Times New Roman" w:cs="Arial"/>
                <w:sz w:val="18"/>
                <w:szCs w:val="18"/>
                <w:lang w:val="es-CO" w:eastAsia="es-CO"/>
              </w:rPr>
            </w:pPr>
            <w:r w:rsidRPr="00AE13F5">
              <w:rPr>
                <w:rFonts w:eastAsia="Times New Roman" w:cs="Arial"/>
                <w:sz w:val="18"/>
                <w:szCs w:val="18"/>
                <w:lang w:val="es-CO" w:eastAsia="es-CO"/>
              </w:rPr>
              <w:t>Fonseca</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82</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81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33</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38</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82</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75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sz w:val="18"/>
                <w:szCs w:val="18"/>
                <w:lang w:val="es-CO" w:eastAsia="es-CO"/>
              </w:rPr>
            </w:pPr>
            <w:r w:rsidRPr="00AE13F5">
              <w:rPr>
                <w:rFonts w:eastAsia="Times New Roman" w:cs="Arial"/>
                <w:sz w:val="18"/>
                <w:szCs w:val="18"/>
                <w:lang w:val="es-CO" w:eastAsia="es-CO"/>
              </w:rPr>
              <w:t>391</w:t>
            </w:r>
          </w:p>
        </w:tc>
      </w:tr>
      <w:tr w:rsidR="00D46B4D" w:rsidRPr="00AE13F5" w:rsidTr="00AE13F5">
        <w:trPr>
          <w:trHeight w:val="180"/>
          <w:jc w:val="center"/>
        </w:trPr>
        <w:tc>
          <w:tcPr>
            <w:tcW w:w="0" w:type="auto"/>
            <w:gridSpan w:val="2"/>
            <w:shd w:val="clear" w:color="000000" w:fill="FFFFFF"/>
            <w:noWrap/>
            <w:vAlign w:val="center"/>
            <w:hideMark/>
          </w:tcPr>
          <w:p w:rsidR="00D46B4D" w:rsidRPr="00AE13F5" w:rsidRDefault="00AE13F5" w:rsidP="00D46B4D">
            <w:pPr>
              <w:spacing w:after="0" w:line="240" w:lineRule="auto"/>
              <w:rPr>
                <w:rFonts w:eastAsia="Times New Roman" w:cs="Arial"/>
                <w:b/>
                <w:bCs/>
                <w:sz w:val="18"/>
                <w:szCs w:val="18"/>
                <w:lang w:val="es-CO" w:eastAsia="es-CO"/>
              </w:rPr>
            </w:pPr>
            <w:r w:rsidRPr="00AE13F5">
              <w:rPr>
                <w:rFonts w:eastAsia="Times New Roman" w:cs="Arial"/>
                <w:b/>
                <w:bCs/>
                <w:sz w:val="18"/>
                <w:szCs w:val="18"/>
                <w:lang w:val="es-CO" w:eastAsia="es-CO"/>
              </w:rPr>
              <w:t>Total La Guajira</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82</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81</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33</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38</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82</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75</w:t>
            </w:r>
          </w:p>
        </w:tc>
        <w:tc>
          <w:tcPr>
            <w:tcW w:w="0" w:type="auto"/>
            <w:shd w:val="clear" w:color="000000" w:fill="FFFFFF"/>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391</w:t>
            </w:r>
          </w:p>
        </w:tc>
      </w:tr>
      <w:tr w:rsidR="00D46B4D" w:rsidRPr="00AE13F5" w:rsidTr="00AE13F5">
        <w:trPr>
          <w:trHeight w:val="180"/>
          <w:jc w:val="center"/>
        </w:trPr>
        <w:tc>
          <w:tcPr>
            <w:tcW w:w="0" w:type="auto"/>
            <w:gridSpan w:val="2"/>
            <w:shd w:val="clear" w:color="auto" w:fill="E2EFDA"/>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Total General</w:t>
            </w:r>
          </w:p>
        </w:tc>
        <w:tc>
          <w:tcPr>
            <w:tcW w:w="0" w:type="auto"/>
            <w:shd w:val="clear" w:color="auto" w:fill="E2EFDA"/>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2.666</w:t>
            </w:r>
          </w:p>
        </w:tc>
        <w:tc>
          <w:tcPr>
            <w:tcW w:w="0" w:type="auto"/>
            <w:shd w:val="clear" w:color="auto" w:fill="E2EFDA"/>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3.423</w:t>
            </w:r>
          </w:p>
        </w:tc>
        <w:tc>
          <w:tcPr>
            <w:tcW w:w="0" w:type="auto"/>
            <w:shd w:val="clear" w:color="auto" w:fill="E2EFDA"/>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1.957</w:t>
            </w:r>
          </w:p>
        </w:tc>
        <w:tc>
          <w:tcPr>
            <w:tcW w:w="0" w:type="auto"/>
            <w:shd w:val="clear" w:color="auto" w:fill="E2EFDA"/>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1.774</w:t>
            </w:r>
          </w:p>
        </w:tc>
        <w:tc>
          <w:tcPr>
            <w:tcW w:w="0" w:type="auto"/>
            <w:shd w:val="clear" w:color="auto" w:fill="E2EFDA"/>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4.438</w:t>
            </w:r>
          </w:p>
        </w:tc>
        <w:tc>
          <w:tcPr>
            <w:tcW w:w="0" w:type="auto"/>
            <w:shd w:val="clear" w:color="auto" w:fill="E2EFDA"/>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1.110</w:t>
            </w:r>
          </w:p>
        </w:tc>
        <w:tc>
          <w:tcPr>
            <w:tcW w:w="0" w:type="auto"/>
            <w:shd w:val="clear" w:color="auto" w:fill="E2EFDA"/>
            <w:noWrap/>
            <w:vAlign w:val="center"/>
            <w:hideMark/>
          </w:tcPr>
          <w:p w:rsidR="00D46B4D" w:rsidRPr="00AE13F5" w:rsidRDefault="00AE13F5" w:rsidP="00AE13F5">
            <w:pPr>
              <w:spacing w:after="0" w:line="240" w:lineRule="auto"/>
              <w:jc w:val="center"/>
              <w:rPr>
                <w:rFonts w:eastAsia="Times New Roman" w:cs="Arial"/>
                <w:b/>
                <w:bCs/>
                <w:sz w:val="18"/>
                <w:szCs w:val="18"/>
                <w:lang w:val="es-CO" w:eastAsia="es-CO"/>
              </w:rPr>
            </w:pPr>
            <w:r w:rsidRPr="00AE13F5">
              <w:rPr>
                <w:rFonts w:eastAsia="Times New Roman" w:cs="Arial"/>
                <w:b/>
                <w:bCs/>
                <w:sz w:val="18"/>
                <w:szCs w:val="18"/>
                <w:lang w:val="es-CO" w:eastAsia="es-CO"/>
              </w:rPr>
              <w:t>15.368</w:t>
            </w:r>
          </w:p>
        </w:tc>
      </w:tr>
    </w:tbl>
    <w:p w:rsidR="00D46B4D" w:rsidRPr="00C44403" w:rsidRDefault="00D46B4D" w:rsidP="00D46B4D">
      <w:pPr>
        <w:jc w:val="center"/>
        <w:rPr>
          <w:rFonts w:cs="Arial"/>
          <w:sz w:val="16"/>
          <w:szCs w:val="16"/>
        </w:rPr>
      </w:pPr>
      <w:r w:rsidRPr="00C44403">
        <w:rPr>
          <w:rFonts w:cs="Arial"/>
          <w:sz w:val="16"/>
          <w:szCs w:val="16"/>
        </w:rPr>
        <w:t>Fuente: Base de datos RUUM - Registro único de Unidades Móviles al cierre de la atención</w:t>
      </w:r>
    </w:p>
    <w:p w:rsidR="00D46B4D" w:rsidRPr="007608C2" w:rsidRDefault="00D46B4D" w:rsidP="009D3362">
      <w:pPr>
        <w:jc w:val="center"/>
        <w:rPr>
          <w:rFonts w:cs="Arial"/>
          <w:b/>
        </w:rPr>
      </w:pPr>
      <w:r w:rsidRPr="007608C2">
        <w:rPr>
          <w:rFonts w:cs="Arial"/>
          <w:b/>
        </w:rPr>
        <w:t xml:space="preserve">Total de Población FARC-EP Atendida por las Unidades Móviles Distribuida por Departamento, Municipio y Grupo Etario </w:t>
      </w:r>
    </w:p>
    <w:tbl>
      <w:tblPr>
        <w:tblW w:w="9520"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400"/>
        <w:gridCol w:w="1700"/>
        <w:gridCol w:w="1300"/>
        <w:gridCol w:w="680"/>
        <w:gridCol w:w="680"/>
        <w:gridCol w:w="680"/>
        <w:gridCol w:w="680"/>
        <w:gridCol w:w="680"/>
        <w:gridCol w:w="791"/>
        <w:gridCol w:w="1040"/>
      </w:tblGrid>
      <w:tr w:rsidR="00D46B4D" w:rsidRPr="00C44403" w:rsidTr="004F4DD7">
        <w:trPr>
          <w:trHeight w:val="360"/>
        </w:trPr>
        <w:tc>
          <w:tcPr>
            <w:tcW w:w="1400" w:type="dxa"/>
            <w:shd w:val="clear" w:color="auto" w:fill="76922E"/>
            <w:vAlign w:val="center"/>
            <w:hideMark/>
          </w:tcPr>
          <w:p w:rsidR="00D46B4D" w:rsidRPr="00C44403" w:rsidRDefault="00C44403" w:rsidP="00D46B4D">
            <w:pPr>
              <w:spacing w:after="0" w:line="240" w:lineRule="auto"/>
              <w:jc w:val="center"/>
              <w:rPr>
                <w:rFonts w:eastAsia="Times New Roman" w:cs="Arial"/>
                <w:b/>
                <w:bCs/>
                <w:color w:val="FFFFFF" w:themeColor="background1"/>
                <w:sz w:val="18"/>
                <w:szCs w:val="18"/>
                <w:lang w:val="es-CO" w:eastAsia="es-CO"/>
              </w:rPr>
            </w:pPr>
            <w:r w:rsidRPr="00C44403">
              <w:rPr>
                <w:rFonts w:eastAsia="Times New Roman" w:cs="Arial"/>
                <w:b/>
                <w:bCs/>
                <w:color w:val="FFFFFF" w:themeColor="background1"/>
                <w:sz w:val="18"/>
                <w:szCs w:val="18"/>
                <w:lang w:val="es-CO" w:eastAsia="es-CO"/>
              </w:rPr>
              <w:t>Departamento</w:t>
            </w:r>
          </w:p>
        </w:tc>
        <w:tc>
          <w:tcPr>
            <w:tcW w:w="1700" w:type="dxa"/>
            <w:shd w:val="clear" w:color="auto" w:fill="76922E"/>
            <w:vAlign w:val="center"/>
            <w:hideMark/>
          </w:tcPr>
          <w:p w:rsidR="00D46B4D" w:rsidRPr="00C44403" w:rsidRDefault="00C44403" w:rsidP="00D46B4D">
            <w:pPr>
              <w:spacing w:after="0" w:line="240" w:lineRule="auto"/>
              <w:jc w:val="center"/>
              <w:rPr>
                <w:rFonts w:eastAsia="Times New Roman" w:cs="Arial"/>
                <w:b/>
                <w:bCs/>
                <w:color w:val="FFFFFF" w:themeColor="background1"/>
                <w:sz w:val="18"/>
                <w:szCs w:val="18"/>
                <w:lang w:val="es-CO" w:eastAsia="es-CO"/>
              </w:rPr>
            </w:pPr>
            <w:r w:rsidRPr="00C44403">
              <w:rPr>
                <w:rFonts w:eastAsia="Times New Roman" w:cs="Arial"/>
                <w:b/>
                <w:bCs/>
                <w:color w:val="FFFFFF" w:themeColor="background1"/>
                <w:sz w:val="18"/>
                <w:szCs w:val="18"/>
                <w:lang w:val="es-CO" w:eastAsia="es-CO"/>
              </w:rPr>
              <w:t>Municipio</w:t>
            </w:r>
          </w:p>
        </w:tc>
        <w:tc>
          <w:tcPr>
            <w:tcW w:w="1300" w:type="dxa"/>
            <w:shd w:val="clear" w:color="auto" w:fill="76922E"/>
            <w:vAlign w:val="center"/>
            <w:hideMark/>
          </w:tcPr>
          <w:p w:rsidR="00D46B4D" w:rsidRPr="00C44403" w:rsidRDefault="00C44403" w:rsidP="00D46B4D">
            <w:pPr>
              <w:spacing w:after="0" w:line="240" w:lineRule="auto"/>
              <w:jc w:val="center"/>
              <w:rPr>
                <w:rFonts w:eastAsia="Times New Roman" w:cs="Arial"/>
                <w:b/>
                <w:bCs/>
                <w:color w:val="FFFFFF" w:themeColor="background1"/>
                <w:sz w:val="18"/>
                <w:szCs w:val="18"/>
                <w:lang w:val="es-CO" w:eastAsia="es-CO"/>
              </w:rPr>
            </w:pPr>
            <w:r w:rsidRPr="00C44403">
              <w:rPr>
                <w:rFonts w:eastAsia="Times New Roman" w:cs="Arial"/>
                <w:b/>
                <w:bCs/>
                <w:color w:val="FFFFFF" w:themeColor="background1"/>
                <w:sz w:val="18"/>
                <w:szCs w:val="18"/>
                <w:lang w:val="es-CO" w:eastAsia="es-CO"/>
              </w:rPr>
              <w:t>Zona</w:t>
            </w:r>
          </w:p>
        </w:tc>
        <w:tc>
          <w:tcPr>
            <w:tcW w:w="680" w:type="dxa"/>
            <w:shd w:val="clear" w:color="auto" w:fill="76922E"/>
            <w:vAlign w:val="center"/>
            <w:hideMark/>
          </w:tcPr>
          <w:p w:rsidR="00D46B4D" w:rsidRPr="00C44403" w:rsidRDefault="00C44403" w:rsidP="00D46B4D">
            <w:pPr>
              <w:spacing w:after="0" w:line="240" w:lineRule="auto"/>
              <w:jc w:val="center"/>
              <w:rPr>
                <w:rFonts w:eastAsia="Times New Roman" w:cs="Arial"/>
                <w:b/>
                <w:bCs/>
                <w:color w:val="FFFFFF" w:themeColor="background1"/>
                <w:sz w:val="18"/>
                <w:szCs w:val="18"/>
                <w:lang w:val="es-CO" w:eastAsia="es-CO"/>
              </w:rPr>
            </w:pPr>
            <w:r w:rsidRPr="00C44403">
              <w:rPr>
                <w:rFonts w:eastAsia="Times New Roman" w:cs="Arial"/>
                <w:b/>
                <w:bCs/>
                <w:color w:val="FFFFFF" w:themeColor="background1"/>
                <w:sz w:val="18"/>
                <w:szCs w:val="18"/>
                <w:lang w:val="es-CO" w:eastAsia="es-CO"/>
              </w:rPr>
              <w:t>0-5 Años</w:t>
            </w:r>
          </w:p>
        </w:tc>
        <w:tc>
          <w:tcPr>
            <w:tcW w:w="680" w:type="dxa"/>
            <w:shd w:val="clear" w:color="auto" w:fill="76922E"/>
            <w:vAlign w:val="center"/>
            <w:hideMark/>
          </w:tcPr>
          <w:p w:rsidR="00D46B4D" w:rsidRPr="00C44403" w:rsidRDefault="00C44403" w:rsidP="00D46B4D">
            <w:pPr>
              <w:spacing w:after="0" w:line="240" w:lineRule="auto"/>
              <w:jc w:val="center"/>
              <w:rPr>
                <w:rFonts w:eastAsia="Times New Roman" w:cs="Arial"/>
                <w:b/>
                <w:bCs/>
                <w:color w:val="FFFFFF" w:themeColor="background1"/>
                <w:sz w:val="18"/>
                <w:szCs w:val="18"/>
                <w:lang w:val="es-CO" w:eastAsia="es-CO"/>
              </w:rPr>
            </w:pPr>
            <w:r w:rsidRPr="00C44403">
              <w:rPr>
                <w:rFonts w:eastAsia="Times New Roman" w:cs="Arial"/>
                <w:b/>
                <w:bCs/>
                <w:color w:val="FFFFFF" w:themeColor="background1"/>
                <w:sz w:val="18"/>
                <w:szCs w:val="18"/>
                <w:lang w:val="es-CO" w:eastAsia="es-CO"/>
              </w:rPr>
              <w:t>6-12 Años</w:t>
            </w:r>
          </w:p>
        </w:tc>
        <w:tc>
          <w:tcPr>
            <w:tcW w:w="680" w:type="dxa"/>
            <w:shd w:val="clear" w:color="auto" w:fill="76922E"/>
            <w:vAlign w:val="center"/>
            <w:hideMark/>
          </w:tcPr>
          <w:p w:rsidR="00D46B4D" w:rsidRPr="00C44403" w:rsidRDefault="00C44403" w:rsidP="00D46B4D">
            <w:pPr>
              <w:spacing w:after="0" w:line="240" w:lineRule="auto"/>
              <w:jc w:val="center"/>
              <w:rPr>
                <w:rFonts w:eastAsia="Times New Roman" w:cs="Arial"/>
                <w:b/>
                <w:bCs/>
                <w:color w:val="FFFFFF" w:themeColor="background1"/>
                <w:sz w:val="18"/>
                <w:szCs w:val="18"/>
                <w:lang w:val="es-CO" w:eastAsia="es-CO"/>
              </w:rPr>
            </w:pPr>
            <w:r w:rsidRPr="00C44403">
              <w:rPr>
                <w:rFonts w:eastAsia="Times New Roman" w:cs="Arial"/>
                <w:b/>
                <w:bCs/>
                <w:color w:val="FFFFFF" w:themeColor="background1"/>
                <w:sz w:val="18"/>
                <w:szCs w:val="18"/>
                <w:lang w:val="es-CO" w:eastAsia="es-CO"/>
              </w:rPr>
              <w:t>13-17 Años</w:t>
            </w:r>
          </w:p>
        </w:tc>
        <w:tc>
          <w:tcPr>
            <w:tcW w:w="680" w:type="dxa"/>
            <w:shd w:val="clear" w:color="auto" w:fill="76922E"/>
            <w:vAlign w:val="center"/>
            <w:hideMark/>
          </w:tcPr>
          <w:p w:rsidR="00D46B4D" w:rsidRPr="00C44403" w:rsidRDefault="00C44403" w:rsidP="00D46B4D">
            <w:pPr>
              <w:spacing w:after="0" w:line="240" w:lineRule="auto"/>
              <w:jc w:val="center"/>
              <w:rPr>
                <w:rFonts w:eastAsia="Times New Roman" w:cs="Arial"/>
                <w:b/>
                <w:bCs/>
                <w:color w:val="FFFFFF" w:themeColor="background1"/>
                <w:sz w:val="18"/>
                <w:szCs w:val="18"/>
                <w:lang w:val="es-CO" w:eastAsia="es-CO"/>
              </w:rPr>
            </w:pPr>
            <w:r w:rsidRPr="00C44403">
              <w:rPr>
                <w:rFonts w:eastAsia="Times New Roman" w:cs="Arial"/>
                <w:b/>
                <w:bCs/>
                <w:color w:val="FFFFFF" w:themeColor="background1"/>
                <w:sz w:val="18"/>
                <w:szCs w:val="18"/>
                <w:lang w:val="es-CO" w:eastAsia="es-CO"/>
              </w:rPr>
              <w:t>18-25 Años</w:t>
            </w:r>
          </w:p>
        </w:tc>
        <w:tc>
          <w:tcPr>
            <w:tcW w:w="680" w:type="dxa"/>
            <w:shd w:val="clear" w:color="auto" w:fill="76922E"/>
            <w:vAlign w:val="center"/>
            <w:hideMark/>
          </w:tcPr>
          <w:p w:rsidR="00D46B4D" w:rsidRPr="00C44403" w:rsidRDefault="00C44403" w:rsidP="00D46B4D">
            <w:pPr>
              <w:spacing w:after="0" w:line="240" w:lineRule="auto"/>
              <w:jc w:val="center"/>
              <w:rPr>
                <w:rFonts w:eastAsia="Times New Roman" w:cs="Arial"/>
                <w:b/>
                <w:bCs/>
                <w:color w:val="FFFFFF" w:themeColor="background1"/>
                <w:sz w:val="18"/>
                <w:szCs w:val="18"/>
                <w:lang w:val="es-CO" w:eastAsia="es-CO"/>
              </w:rPr>
            </w:pPr>
            <w:r w:rsidRPr="00C44403">
              <w:rPr>
                <w:rFonts w:eastAsia="Times New Roman" w:cs="Arial"/>
                <w:b/>
                <w:bCs/>
                <w:color w:val="FFFFFF" w:themeColor="background1"/>
                <w:sz w:val="18"/>
                <w:szCs w:val="18"/>
                <w:lang w:val="es-CO" w:eastAsia="es-CO"/>
              </w:rPr>
              <w:t>25-51 Años</w:t>
            </w:r>
          </w:p>
        </w:tc>
        <w:tc>
          <w:tcPr>
            <w:tcW w:w="680" w:type="dxa"/>
            <w:shd w:val="clear" w:color="auto" w:fill="76922E"/>
            <w:vAlign w:val="center"/>
            <w:hideMark/>
          </w:tcPr>
          <w:p w:rsidR="00D46B4D" w:rsidRPr="00C44403" w:rsidRDefault="00C44403" w:rsidP="00D46B4D">
            <w:pPr>
              <w:spacing w:after="0" w:line="240" w:lineRule="auto"/>
              <w:jc w:val="center"/>
              <w:rPr>
                <w:rFonts w:eastAsia="Times New Roman" w:cs="Arial"/>
                <w:b/>
                <w:bCs/>
                <w:color w:val="FFFFFF" w:themeColor="background1"/>
                <w:sz w:val="18"/>
                <w:szCs w:val="18"/>
                <w:lang w:val="es-CO" w:eastAsia="es-CO"/>
              </w:rPr>
            </w:pPr>
            <w:r w:rsidRPr="00C44403">
              <w:rPr>
                <w:rFonts w:eastAsia="Times New Roman" w:cs="Arial"/>
                <w:b/>
                <w:bCs/>
                <w:color w:val="FFFFFF" w:themeColor="background1"/>
                <w:sz w:val="18"/>
                <w:szCs w:val="18"/>
                <w:lang w:val="es-CO" w:eastAsia="es-CO"/>
              </w:rPr>
              <w:t>Tercera Edad</w:t>
            </w:r>
          </w:p>
        </w:tc>
        <w:tc>
          <w:tcPr>
            <w:tcW w:w="1040" w:type="dxa"/>
            <w:shd w:val="clear" w:color="auto" w:fill="76922E"/>
            <w:vAlign w:val="center"/>
            <w:hideMark/>
          </w:tcPr>
          <w:p w:rsidR="00D46B4D" w:rsidRPr="00C44403" w:rsidRDefault="00C44403" w:rsidP="00D46B4D">
            <w:pPr>
              <w:spacing w:after="0" w:line="240" w:lineRule="auto"/>
              <w:jc w:val="center"/>
              <w:rPr>
                <w:rFonts w:eastAsia="Times New Roman" w:cs="Arial"/>
                <w:b/>
                <w:bCs/>
                <w:color w:val="FFFFFF" w:themeColor="background1"/>
                <w:sz w:val="18"/>
                <w:szCs w:val="18"/>
                <w:lang w:val="es-CO" w:eastAsia="es-CO"/>
              </w:rPr>
            </w:pPr>
            <w:r w:rsidRPr="00C44403">
              <w:rPr>
                <w:rFonts w:eastAsia="Times New Roman" w:cs="Arial"/>
                <w:b/>
                <w:bCs/>
                <w:color w:val="FFFFFF" w:themeColor="background1"/>
                <w:sz w:val="18"/>
                <w:szCs w:val="18"/>
                <w:lang w:val="es-CO" w:eastAsia="es-CO"/>
              </w:rPr>
              <w:t>Total General</w:t>
            </w:r>
          </w:p>
        </w:tc>
      </w:tr>
      <w:tr w:rsidR="00D46B4D" w:rsidRPr="00C44403" w:rsidTr="00C44403">
        <w:trPr>
          <w:trHeight w:val="180"/>
        </w:trPr>
        <w:tc>
          <w:tcPr>
            <w:tcW w:w="1400" w:type="dxa"/>
            <w:vMerge w:val="restart"/>
            <w:shd w:val="clear" w:color="000000" w:fill="FFFFFF"/>
            <w:noWrap/>
            <w:vAlign w:val="center"/>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Antioquia</w:t>
            </w:r>
          </w:p>
        </w:tc>
        <w:tc>
          <w:tcPr>
            <w:tcW w:w="1700" w:type="dxa"/>
            <w:shd w:val="clear" w:color="000000" w:fill="FFFFFF"/>
            <w:noWrap/>
            <w:vAlign w:val="bottom"/>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Dabeiba</w:t>
            </w:r>
          </w:p>
        </w:tc>
        <w:tc>
          <w:tcPr>
            <w:tcW w:w="1300" w:type="dxa"/>
            <w:shd w:val="clear" w:color="000000" w:fill="FFFFFF"/>
            <w:noWrap/>
            <w:vAlign w:val="bottom"/>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Llano Grande</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5</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6</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15</w:t>
            </w:r>
          </w:p>
        </w:tc>
      </w:tr>
      <w:tr w:rsidR="00D46B4D" w:rsidRPr="00C44403" w:rsidTr="00C44403">
        <w:trPr>
          <w:trHeight w:val="180"/>
        </w:trPr>
        <w:tc>
          <w:tcPr>
            <w:tcW w:w="14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7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Ituango</w:t>
            </w: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Santa Lucía</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9</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9</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23</w:t>
            </w:r>
          </w:p>
        </w:tc>
      </w:tr>
      <w:tr w:rsidR="00D46B4D" w:rsidRPr="00C44403" w:rsidTr="00C44403">
        <w:trPr>
          <w:trHeight w:val="180"/>
        </w:trPr>
        <w:tc>
          <w:tcPr>
            <w:tcW w:w="14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7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Remedios</w:t>
            </w: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Carrizal</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10</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7</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11</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32</w:t>
            </w:r>
          </w:p>
        </w:tc>
      </w:tr>
      <w:tr w:rsidR="00D46B4D" w:rsidRPr="00C44403" w:rsidTr="00C44403">
        <w:trPr>
          <w:trHeight w:val="180"/>
        </w:trPr>
        <w:tc>
          <w:tcPr>
            <w:tcW w:w="14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700" w:type="dxa"/>
            <w:vMerge w:val="restart"/>
            <w:shd w:val="clear" w:color="000000" w:fill="FFFFFF"/>
            <w:noWrap/>
            <w:vAlign w:val="center"/>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Vigía Del Fuerte</w:t>
            </w: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Vidri</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5</w:t>
            </w:r>
          </w:p>
        </w:tc>
      </w:tr>
      <w:tr w:rsidR="00D46B4D" w:rsidRPr="00C44403" w:rsidTr="00C44403">
        <w:trPr>
          <w:trHeight w:val="180"/>
        </w:trPr>
        <w:tc>
          <w:tcPr>
            <w:tcW w:w="14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7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Punto Transitorio</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9</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6</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9</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27</w:t>
            </w:r>
          </w:p>
        </w:tc>
      </w:tr>
      <w:tr w:rsidR="00D46B4D" w:rsidRPr="00C44403" w:rsidTr="00C44403">
        <w:trPr>
          <w:trHeight w:val="180"/>
        </w:trPr>
        <w:tc>
          <w:tcPr>
            <w:tcW w:w="14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700" w:type="dxa"/>
            <w:vMerge w:val="restart"/>
            <w:shd w:val="clear" w:color="000000" w:fill="FFFFFF"/>
            <w:noWrap/>
            <w:vAlign w:val="center"/>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Anorí</w:t>
            </w: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La Plancha</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r>
      <w:tr w:rsidR="00D46B4D" w:rsidRPr="00C44403" w:rsidTr="00C44403">
        <w:trPr>
          <w:trHeight w:val="180"/>
        </w:trPr>
        <w:tc>
          <w:tcPr>
            <w:tcW w:w="14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7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Casa De Justicia</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r>
      <w:tr w:rsidR="00D46B4D" w:rsidRPr="00C44403" w:rsidTr="00C44403">
        <w:trPr>
          <w:trHeight w:val="180"/>
        </w:trPr>
        <w:tc>
          <w:tcPr>
            <w:tcW w:w="4400" w:type="dxa"/>
            <w:gridSpan w:val="3"/>
            <w:shd w:val="clear" w:color="000000" w:fill="FFFFFF"/>
            <w:noWrap/>
            <w:vAlign w:val="center"/>
            <w:hideMark/>
          </w:tcPr>
          <w:p w:rsidR="00D46B4D" w:rsidRPr="00C44403" w:rsidRDefault="00C44403" w:rsidP="00D46B4D">
            <w:pPr>
              <w:spacing w:after="0" w:line="240" w:lineRule="auto"/>
              <w:rPr>
                <w:rFonts w:eastAsia="Times New Roman" w:cs="Arial"/>
                <w:b/>
                <w:bCs/>
                <w:sz w:val="18"/>
                <w:szCs w:val="18"/>
                <w:lang w:val="es-CO" w:eastAsia="es-CO"/>
              </w:rPr>
            </w:pPr>
            <w:r w:rsidRPr="00C44403">
              <w:rPr>
                <w:rFonts w:eastAsia="Times New Roman" w:cs="Arial"/>
                <w:b/>
                <w:bCs/>
                <w:sz w:val="18"/>
                <w:szCs w:val="18"/>
                <w:lang w:val="es-CO" w:eastAsia="es-CO"/>
              </w:rPr>
              <w:t>Total Antioquia</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34</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7</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7</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19</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38</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w:t>
            </w: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106</w:t>
            </w:r>
          </w:p>
        </w:tc>
      </w:tr>
      <w:tr w:rsidR="00D46B4D" w:rsidRPr="00C44403" w:rsidTr="00C44403">
        <w:trPr>
          <w:trHeight w:val="180"/>
        </w:trPr>
        <w:tc>
          <w:tcPr>
            <w:tcW w:w="1400" w:type="dxa"/>
            <w:vMerge w:val="restart"/>
            <w:shd w:val="clear" w:color="000000" w:fill="FFFFFF"/>
            <w:noWrap/>
            <w:vAlign w:val="center"/>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Cauca</w:t>
            </w:r>
          </w:p>
        </w:tc>
        <w:tc>
          <w:tcPr>
            <w:tcW w:w="1700" w:type="dxa"/>
            <w:vMerge w:val="restart"/>
            <w:shd w:val="clear" w:color="000000" w:fill="FFFFFF"/>
            <w:noWrap/>
            <w:vAlign w:val="center"/>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Caldono</w:t>
            </w:r>
          </w:p>
        </w:tc>
        <w:tc>
          <w:tcPr>
            <w:tcW w:w="1300" w:type="dxa"/>
            <w:shd w:val="clear" w:color="000000" w:fill="FFFFFF"/>
            <w:noWrap/>
            <w:vAlign w:val="bottom"/>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Caldono</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6</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11</w:t>
            </w:r>
          </w:p>
        </w:tc>
      </w:tr>
      <w:tr w:rsidR="00D46B4D" w:rsidRPr="00C44403" w:rsidTr="00C44403">
        <w:trPr>
          <w:trHeight w:val="180"/>
        </w:trPr>
        <w:tc>
          <w:tcPr>
            <w:tcW w:w="14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7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Pueblo Nuevo</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26</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10</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18</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58</w:t>
            </w:r>
          </w:p>
        </w:tc>
      </w:tr>
      <w:tr w:rsidR="00D46B4D" w:rsidRPr="00C44403" w:rsidTr="00C44403">
        <w:trPr>
          <w:trHeight w:val="180"/>
        </w:trPr>
        <w:tc>
          <w:tcPr>
            <w:tcW w:w="14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700" w:type="dxa"/>
            <w:shd w:val="clear" w:color="000000" w:fill="FFFFFF"/>
            <w:noWrap/>
            <w:vAlign w:val="bottom"/>
            <w:hideMark/>
          </w:tcPr>
          <w:p w:rsidR="00D46B4D" w:rsidRPr="00C44403" w:rsidRDefault="00D46B4D"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BUENOS AIRES</w:t>
            </w: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La Elvira</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7</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11</w:t>
            </w:r>
          </w:p>
        </w:tc>
      </w:tr>
      <w:tr w:rsidR="00D46B4D" w:rsidRPr="00C44403" w:rsidTr="00C44403">
        <w:trPr>
          <w:trHeight w:val="180"/>
        </w:trPr>
        <w:tc>
          <w:tcPr>
            <w:tcW w:w="4400" w:type="dxa"/>
            <w:gridSpan w:val="3"/>
            <w:shd w:val="clear" w:color="000000" w:fill="FFFFFF"/>
            <w:noWrap/>
            <w:vAlign w:val="bottom"/>
            <w:hideMark/>
          </w:tcPr>
          <w:p w:rsidR="00D46B4D" w:rsidRPr="00C44403" w:rsidRDefault="00621FC9" w:rsidP="00D46B4D">
            <w:pPr>
              <w:spacing w:after="0" w:line="240" w:lineRule="auto"/>
              <w:rPr>
                <w:rFonts w:eastAsia="Times New Roman" w:cs="Arial"/>
                <w:b/>
                <w:bCs/>
                <w:sz w:val="18"/>
                <w:szCs w:val="18"/>
                <w:lang w:val="es-CO" w:eastAsia="es-CO"/>
              </w:rPr>
            </w:pPr>
            <w:r w:rsidRPr="00C44403">
              <w:rPr>
                <w:rFonts w:eastAsia="Times New Roman" w:cs="Arial"/>
                <w:b/>
                <w:bCs/>
                <w:sz w:val="18"/>
                <w:szCs w:val="18"/>
                <w:lang w:val="es-CO" w:eastAsia="es-CO"/>
              </w:rPr>
              <w:t>Total Cauca</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34</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4</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13</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28</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80</w:t>
            </w:r>
          </w:p>
        </w:tc>
      </w:tr>
      <w:tr w:rsidR="00D46B4D" w:rsidRPr="00C44403" w:rsidTr="00C44403">
        <w:trPr>
          <w:trHeight w:val="180"/>
        </w:trPr>
        <w:tc>
          <w:tcPr>
            <w:tcW w:w="1400" w:type="dxa"/>
            <w:vMerge w:val="restart"/>
            <w:shd w:val="clear" w:color="000000" w:fill="FFFFFF"/>
            <w:noWrap/>
            <w:vAlign w:val="center"/>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Córdoba</w:t>
            </w:r>
          </w:p>
        </w:tc>
        <w:tc>
          <w:tcPr>
            <w:tcW w:w="1700" w:type="dxa"/>
            <w:vMerge w:val="restart"/>
            <w:shd w:val="clear" w:color="000000" w:fill="FFFFFF"/>
            <w:noWrap/>
            <w:vAlign w:val="center"/>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Tierralta</w:t>
            </w: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El Gallo</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6</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16</w:t>
            </w:r>
          </w:p>
        </w:tc>
      </w:tr>
      <w:tr w:rsidR="00D46B4D" w:rsidRPr="00C44403" w:rsidTr="00C44403">
        <w:trPr>
          <w:trHeight w:val="180"/>
        </w:trPr>
        <w:tc>
          <w:tcPr>
            <w:tcW w:w="14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7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Gallo</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6</w:t>
            </w:r>
          </w:p>
        </w:tc>
      </w:tr>
      <w:tr w:rsidR="00D46B4D" w:rsidRPr="00C44403" w:rsidTr="00C44403">
        <w:trPr>
          <w:trHeight w:val="180"/>
        </w:trPr>
        <w:tc>
          <w:tcPr>
            <w:tcW w:w="14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7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Vereda Gallo</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r>
      <w:tr w:rsidR="00D46B4D" w:rsidRPr="00C44403" w:rsidTr="00C44403">
        <w:trPr>
          <w:trHeight w:val="180"/>
        </w:trPr>
        <w:tc>
          <w:tcPr>
            <w:tcW w:w="3100" w:type="dxa"/>
            <w:gridSpan w:val="2"/>
            <w:shd w:val="clear" w:color="000000" w:fill="FFFFFF"/>
            <w:noWrap/>
            <w:vAlign w:val="center"/>
            <w:hideMark/>
          </w:tcPr>
          <w:p w:rsidR="00D46B4D" w:rsidRPr="00C44403" w:rsidRDefault="00C44403" w:rsidP="00D46B4D">
            <w:pPr>
              <w:spacing w:after="0" w:line="240" w:lineRule="auto"/>
              <w:rPr>
                <w:rFonts w:eastAsia="Times New Roman" w:cs="Arial"/>
                <w:b/>
                <w:bCs/>
                <w:sz w:val="18"/>
                <w:szCs w:val="18"/>
                <w:lang w:val="es-CO" w:eastAsia="es-CO"/>
              </w:rPr>
            </w:pPr>
            <w:r w:rsidRPr="00C44403">
              <w:rPr>
                <w:rFonts w:eastAsia="Times New Roman" w:cs="Arial"/>
                <w:b/>
                <w:bCs/>
                <w:sz w:val="18"/>
                <w:szCs w:val="18"/>
                <w:lang w:val="es-CO" w:eastAsia="es-CO"/>
              </w:rPr>
              <w:t>Total Córdoba</w:t>
            </w: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 </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6</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5</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2</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10</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w:t>
            </w: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25</w:t>
            </w:r>
          </w:p>
        </w:tc>
      </w:tr>
      <w:tr w:rsidR="00D46B4D" w:rsidRPr="00C44403" w:rsidTr="00C44403">
        <w:trPr>
          <w:trHeight w:val="180"/>
        </w:trPr>
        <w:tc>
          <w:tcPr>
            <w:tcW w:w="1400" w:type="dxa"/>
            <w:vMerge w:val="restart"/>
            <w:shd w:val="clear" w:color="000000" w:fill="FFFFFF"/>
            <w:noWrap/>
            <w:vAlign w:val="center"/>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Nariño</w:t>
            </w:r>
          </w:p>
        </w:tc>
        <w:tc>
          <w:tcPr>
            <w:tcW w:w="1700" w:type="dxa"/>
            <w:vMerge w:val="restart"/>
            <w:shd w:val="clear" w:color="000000" w:fill="FFFFFF"/>
            <w:noWrap/>
            <w:vAlign w:val="center"/>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Policarpa</w:t>
            </w:r>
          </w:p>
        </w:tc>
        <w:tc>
          <w:tcPr>
            <w:tcW w:w="1300" w:type="dxa"/>
            <w:shd w:val="clear" w:color="000000" w:fill="FFFFFF"/>
            <w:noWrap/>
            <w:vAlign w:val="bottom"/>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Betania</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13</w:t>
            </w:r>
          </w:p>
        </w:tc>
      </w:tr>
      <w:tr w:rsidR="00D46B4D" w:rsidRPr="00C44403" w:rsidTr="00C44403">
        <w:trPr>
          <w:trHeight w:val="180"/>
        </w:trPr>
        <w:tc>
          <w:tcPr>
            <w:tcW w:w="14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7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Madrigal</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6</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15</w:t>
            </w:r>
          </w:p>
        </w:tc>
      </w:tr>
      <w:tr w:rsidR="00D46B4D" w:rsidRPr="00C44403" w:rsidTr="00C44403">
        <w:trPr>
          <w:trHeight w:val="180"/>
        </w:trPr>
        <w:tc>
          <w:tcPr>
            <w:tcW w:w="14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700" w:type="dxa"/>
            <w:vMerge w:val="restart"/>
            <w:shd w:val="clear" w:color="000000" w:fill="FFFFFF"/>
            <w:noWrap/>
            <w:vAlign w:val="center"/>
            <w:hideMark/>
          </w:tcPr>
          <w:p w:rsidR="00D46B4D" w:rsidRPr="00C44403" w:rsidRDefault="00D46B4D"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SAN ANDRÉS DE TUMACO</w:t>
            </w: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La Playa</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12</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9</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27</w:t>
            </w:r>
          </w:p>
        </w:tc>
      </w:tr>
      <w:tr w:rsidR="00D46B4D" w:rsidRPr="00C44403" w:rsidTr="00C44403">
        <w:trPr>
          <w:trHeight w:val="180"/>
        </w:trPr>
        <w:tc>
          <w:tcPr>
            <w:tcW w:w="14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7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Alcuan</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5</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12</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24</w:t>
            </w:r>
          </w:p>
        </w:tc>
      </w:tr>
      <w:tr w:rsidR="00D46B4D" w:rsidRPr="00C44403" w:rsidTr="00C44403">
        <w:trPr>
          <w:trHeight w:val="180"/>
        </w:trPr>
        <w:tc>
          <w:tcPr>
            <w:tcW w:w="14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7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Brisas De La Honda</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5</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11</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25</w:t>
            </w:r>
          </w:p>
        </w:tc>
      </w:tr>
      <w:tr w:rsidR="00D46B4D" w:rsidRPr="00C44403" w:rsidTr="00C44403">
        <w:trPr>
          <w:trHeight w:val="180"/>
        </w:trPr>
        <w:tc>
          <w:tcPr>
            <w:tcW w:w="14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7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La Variante Km 45</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10</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10</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7</w:t>
            </w: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37</w:t>
            </w:r>
          </w:p>
        </w:tc>
      </w:tr>
      <w:tr w:rsidR="00D46B4D" w:rsidRPr="00C44403" w:rsidTr="00C44403">
        <w:trPr>
          <w:trHeight w:val="180"/>
        </w:trPr>
        <w:tc>
          <w:tcPr>
            <w:tcW w:w="4400" w:type="dxa"/>
            <w:gridSpan w:val="3"/>
            <w:shd w:val="clear" w:color="000000" w:fill="FFFFFF"/>
            <w:noWrap/>
            <w:vAlign w:val="center"/>
            <w:hideMark/>
          </w:tcPr>
          <w:p w:rsidR="00D46B4D" w:rsidRPr="00C44403" w:rsidRDefault="00C44403" w:rsidP="00D46B4D">
            <w:pPr>
              <w:spacing w:after="0" w:line="240" w:lineRule="auto"/>
              <w:rPr>
                <w:rFonts w:eastAsia="Times New Roman" w:cs="Arial"/>
                <w:b/>
                <w:bCs/>
                <w:sz w:val="18"/>
                <w:szCs w:val="18"/>
                <w:lang w:val="es-CO" w:eastAsia="es-CO"/>
              </w:rPr>
            </w:pPr>
            <w:r w:rsidRPr="00C44403">
              <w:rPr>
                <w:rFonts w:eastAsia="Times New Roman" w:cs="Arial"/>
                <w:b/>
                <w:bCs/>
                <w:sz w:val="18"/>
                <w:szCs w:val="18"/>
                <w:lang w:val="es-CO" w:eastAsia="es-CO"/>
              </w:rPr>
              <w:t>Total Nariño</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39</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13</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4</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28</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47</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10</w:t>
            </w: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141</w:t>
            </w:r>
          </w:p>
        </w:tc>
      </w:tr>
      <w:tr w:rsidR="00D46B4D" w:rsidRPr="00C44403" w:rsidTr="00C44403">
        <w:trPr>
          <w:trHeight w:val="180"/>
        </w:trPr>
        <w:tc>
          <w:tcPr>
            <w:tcW w:w="1400" w:type="dxa"/>
            <w:vMerge w:val="restart"/>
            <w:shd w:val="clear" w:color="000000" w:fill="FFFFFF"/>
            <w:noWrap/>
            <w:vAlign w:val="center"/>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Tolima</w:t>
            </w:r>
          </w:p>
        </w:tc>
        <w:tc>
          <w:tcPr>
            <w:tcW w:w="1700" w:type="dxa"/>
            <w:shd w:val="clear" w:color="000000" w:fill="FFFFFF"/>
            <w:noWrap/>
            <w:vAlign w:val="bottom"/>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Icononzo</w:t>
            </w: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La Fila</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11</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17</w:t>
            </w:r>
          </w:p>
        </w:tc>
      </w:tr>
      <w:tr w:rsidR="00D46B4D" w:rsidRPr="00C44403" w:rsidTr="00C44403">
        <w:trPr>
          <w:trHeight w:val="180"/>
        </w:trPr>
        <w:tc>
          <w:tcPr>
            <w:tcW w:w="14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700" w:type="dxa"/>
            <w:shd w:val="clear" w:color="000000" w:fill="FFFFFF"/>
            <w:noWrap/>
            <w:vAlign w:val="bottom"/>
            <w:hideMark/>
          </w:tcPr>
          <w:p w:rsidR="00D46B4D" w:rsidRPr="00C44403" w:rsidRDefault="00D46B4D"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PLANADAS</w:t>
            </w: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El Oso</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6</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12</w:t>
            </w:r>
          </w:p>
        </w:tc>
      </w:tr>
      <w:tr w:rsidR="00D46B4D" w:rsidRPr="00C44403" w:rsidTr="00C44403">
        <w:trPr>
          <w:trHeight w:val="180"/>
        </w:trPr>
        <w:tc>
          <w:tcPr>
            <w:tcW w:w="4400" w:type="dxa"/>
            <w:gridSpan w:val="3"/>
            <w:shd w:val="clear" w:color="000000" w:fill="FFFFFF"/>
            <w:noWrap/>
            <w:vAlign w:val="bottom"/>
            <w:hideMark/>
          </w:tcPr>
          <w:p w:rsidR="00D46B4D" w:rsidRPr="00C44403" w:rsidRDefault="00621FC9" w:rsidP="00D46B4D">
            <w:pPr>
              <w:spacing w:after="0" w:line="240" w:lineRule="auto"/>
              <w:rPr>
                <w:rFonts w:eastAsia="Times New Roman" w:cs="Arial"/>
                <w:b/>
                <w:bCs/>
                <w:sz w:val="18"/>
                <w:szCs w:val="18"/>
                <w:lang w:val="es-CO" w:eastAsia="es-CO"/>
              </w:rPr>
            </w:pPr>
            <w:r w:rsidRPr="00C44403">
              <w:rPr>
                <w:rFonts w:eastAsia="Times New Roman" w:cs="Arial"/>
                <w:b/>
                <w:bCs/>
                <w:sz w:val="18"/>
                <w:szCs w:val="18"/>
                <w:lang w:val="es-CO" w:eastAsia="es-CO"/>
              </w:rPr>
              <w:t>Total Tolima</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10</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4</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2</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13</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29</w:t>
            </w:r>
          </w:p>
        </w:tc>
      </w:tr>
      <w:tr w:rsidR="00D46B4D" w:rsidRPr="00C44403" w:rsidTr="00C44403">
        <w:trPr>
          <w:trHeight w:val="180"/>
        </w:trPr>
        <w:tc>
          <w:tcPr>
            <w:tcW w:w="1400" w:type="dxa"/>
            <w:shd w:val="clear" w:color="000000" w:fill="FFFFFF"/>
            <w:noWrap/>
            <w:vAlign w:val="bottom"/>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Chocó</w:t>
            </w:r>
          </w:p>
        </w:tc>
        <w:tc>
          <w:tcPr>
            <w:tcW w:w="1700" w:type="dxa"/>
            <w:shd w:val="clear" w:color="000000" w:fill="FFFFFF"/>
            <w:noWrap/>
            <w:vAlign w:val="bottom"/>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Carmen Del Darién</w:t>
            </w:r>
          </w:p>
        </w:tc>
        <w:tc>
          <w:tcPr>
            <w:tcW w:w="1300" w:type="dxa"/>
            <w:shd w:val="clear" w:color="000000" w:fill="FFFFFF"/>
            <w:noWrap/>
            <w:vAlign w:val="bottom"/>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Caracolí</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8</w:t>
            </w:r>
          </w:p>
        </w:tc>
      </w:tr>
      <w:tr w:rsidR="00D46B4D" w:rsidRPr="00C44403" w:rsidTr="00C44403">
        <w:trPr>
          <w:trHeight w:val="180"/>
        </w:trPr>
        <w:tc>
          <w:tcPr>
            <w:tcW w:w="3100" w:type="dxa"/>
            <w:gridSpan w:val="2"/>
            <w:shd w:val="clear" w:color="000000" w:fill="FFFFFF"/>
            <w:noWrap/>
            <w:vAlign w:val="bottom"/>
            <w:hideMark/>
          </w:tcPr>
          <w:p w:rsidR="00D46B4D" w:rsidRPr="00C44403" w:rsidRDefault="00C44403" w:rsidP="00D46B4D">
            <w:pPr>
              <w:spacing w:after="0" w:line="240" w:lineRule="auto"/>
              <w:rPr>
                <w:rFonts w:eastAsia="Times New Roman" w:cs="Arial"/>
                <w:b/>
                <w:bCs/>
                <w:sz w:val="18"/>
                <w:szCs w:val="18"/>
                <w:lang w:val="es-CO" w:eastAsia="es-CO"/>
              </w:rPr>
            </w:pPr>
            <w:r w:rsidRPr="00C44403">
              <w:rPr>
                <w:rFonts w:eastAsia="Times New Roman" w:cs="Arial"/>
                <w:b/>
                <w:bCs/>
                <w:sz w:val="18"/>
                <w:szCs w:val="18"/>
                <w:lang w:val="es-CO" w:eastAsia="es-CO"/>
              </w:rPr>
              <w:lastRenderedPageBreak/>
              <w:t>Total Chocó</w:t>
            </w: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 </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2</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3</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3</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8</w:t>
            </w:r>
          </w:p>
        </w:tc>
      </w:tr>
      <w:tr w:rsidR="00D46B4D" w:rsidRPr="00C44403" w:rsidTr="00C44403">
        <w:trPr>
          <w:trHeight w:val="180"/>
        </w:trPr>
        <w:tc>
          <w:tcPr>
            <w:tcW w:w="1400" w:type="dxa"/>
            <w:vMerge w:val="restart"/>
            <w:shd w:val="clear" w:color="000000" w:fill="FFFFFF"/>
            <w:noWrap/>
            <w:vAlign w:val="center"/>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Guaviare</w:t>
            </w:r>
          </w:p>
        </w:tc>
        <w:tc>
          <w:tcPr>
            <w:tcW w:w="1700" w:type="dxa"/>
            <w:vMerge w:val="restart"/>
            <w:shd w:val="clear" w:color="000000" w:fill="FFFFFF"/>
            <w:noWrap/>
            <w:hideMark/>
          </w:tcPr>
          <w:p w:rsidR="00D46B4D" w:rsidRPr="00C44403" w:rsidRDefault="00C44403" w:rsidP="00D46B4D">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San José Del Guaviare</w:t>
            </w:r>
          </w:p>
        </w:tc>
        <w:tc>
          <w:tcPr>
            <w:tcW w:w="1300" w:type="dxa"/>
            <w:shd w:val="clear" w:color="000000" w:fill="FFFFFF"/>
            <w:noWrap/>
            <w:vAlign w:val="bottom"/>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Colinas</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7</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19</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30</w:t>
            </w:r>
          </w:p>
        </w:tc>
      </w:tr>
      <w:tr w:rsidR="00D46B4D" w:rsidRPr="00C44403" w:rsidTr="00C44403">
        <w:trPr>
          <w:trHeight w:val="180"/>
        </w:trPr>
        <w:tc>
          <w:tcPr>
            <w:tcW w:w="14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7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Charras</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r>
      <w:tr w:rsidR="00D46B4D" w:rsidRPr="00C44403" w:rsidTr="00C44403">
        <w:trPr>
          <w:trHeight w:val="180"/>
        </w:trPr>
        <w:tc>
          <w:tcPr>
            <w:tcW w:w="4400" w:type="dxa"/>
            <w:gridSpan w:val="3"/>
            <w:shd w:val="clear" w:color="000000" w:fill="FFFFFF"/>
            <w:noWrap/>
            <w:vAlign w:val="center"/>
            <w:hideMark/>
          </w:tcPr>
          <w:p w:rsidR="00D46B4D" w:rsidRPr="00C44403" w:rsidRDefault="00621FC9" w:rsidP="00D46B4D">
            <w:pPr>
              <w:spacing w:after="0" w:line="240" w:lineRule="auto"/>
              <w:rPr>
                <w:rFonts w:eastAsia="Times New Roman" w:cs="Arial"/>
                <w:b/>
                <w:bCs/>
                <w:sz w:val="18"/>
                <w:szCs w:val="18"/>
                <w:lang w:val="es-CO" w:eastAsia="es-CO"/>
              </w:rPr>
            </w:pPr>
            <w:r w:rsidRPr="00C44403">
              <w:rPr>
                <w:rFonts w:eastAsia="Times New Roman" w:cs="Arial"/>
                <w:b/>
                <w:bCs/>
                <w:sz w:val="18"/>
                <w:szCs w:val="18"/>
                <w:lang w:val="es-CO" w:eastAsia="es-CO"/>
              </w:rPr>
              <w:t>Total Guaviare</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7</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5</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22</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34</w:t>
            </w:r>
          </w:p>
        </w:tc>
      </w:tr>
      <w:tr w:rsidR="00D46B4D" w:rsidRPr="00C44403" w:rsidTr="00C44403">
        <w:trPr>
          <w:trHeight w:val="180"/>
        </w:trPr>
        <w:tc>
          <w:tcPr>
            <w:tcW w:w="1400" w:type="dxa"/>
            <w:vMerge w:val="restart"/>
            <w:shd w:val="clear" w:color="000000" w:fill="FFFFFF"/>
            <w:noWrap/>
            <w:vAlign w:val="center"/>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Putumayo</w:t>
            </w:r>
          </w:p>
        </w:tc>
        <w:tc>
          <w:tcPr>
            <w:tcW w:w="1700" w:type="dxa"/>
            <w:vMerge w:val="restart"/>
            <w:shd w:val="clear" w:color="000000" w:fill="FFFFFF"/>
            <w:noWrap/>
            <w:vAlign w:val="center"/>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Puerto Asís</w:t>
            </w: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La Carmelita</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12</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21</w:t>
            </w:r>
          </w:p>
        </w:tc>
      </w:tr>
      <w:tr w:rsidR="00D46B4D" w:rsidRPr="00C44403" w:rsidTr="00C44403">
        <w:trPr>
          <w:trHeight w:val="180"/>
        </w:trPr>
        <w:tc>
          <w:tcPr>
            <w:tcW w:w="14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7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Puerto Vega</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r>
      <w:tr w:rsidR="00D46B4D" w:rsidRPr="00C44403" w:rsidTr="00C44403">
        <w:trPr>
          <w:trHeight w:val="180"/>
        </w:trPr>
        <w:tc>
          <w:tcPr>
            <w:tcW w:w="3100" w:type="dxa"/>
            <w:gridSpan w:val="2"/>
            <w:shd w:val="clear" w:color="000000" w:fill="FFFFFF"/>
            <w:noWrap/>
            <w:vAlign w:val="center"/>
            <w:hideMark/>
          </w:tcPr>
          <w:p w:rsidR="00D46B4D" w:rsidRPr="00C44403" w:rsidRDefault="00C44403" w:rsidP="00D46B4D">
            <w:pPr>
              <w:spacing w:after="0" w:line="240" w:lineRule="auto"/>
              <w:rPr>
                <w:rFonts w:eastAsia="Times New Roman" w:cs="Arial"/>
                <w:b/>
                <w:bCs/>
                <w:sz w:val="18"/>
                <w:szCs w:val="18"/>
                <w:lang w:val="es-CO" w:eastAsia="es-CO"/>
              </w:rPr>
            </w:pPr>
            <w:r w:rsidRPr="00C44403">
              <w:rPr>
                <w:rFonts w:eastAsia="Times New Roman" w:cs="Arial"/>
                <w:b/>
                <w:bCs/>
                <w:sz w:val="18"/>
                <w:szCs w:val="18"/>
                <w:lang w:val="es-CO" w:eastAsia="es-CO"/>
              </w:rPr>
              <w:t>Total Putumayo</w:t>
            </w: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 </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4</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12</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5</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22</w:t>
            </w:r>
          </w:p>
        </w:tc>
      </w:tr>
      <w:tr w:rsidR="00D46B4D" w:rsidRPr="00C44403" w:rsidTr="00C44403">
        <w:trPr>
          <w:trHeight w:val="180"/>
        </w:trPr>
        <w:tc>
          <w:tcPr>
            <w:tcW w:w="1400" w:type="dxa"/>
            <w:vMerge w:val="restart"/>
            <w:shd w:val="clear" w:color="000000" w:fill="FFFFFF"/>
            <w:noWrap/>
            <w:vAlign w:val="center"/>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Caquetá</w:t>
            </w:r>
          </w:p>
        </w:tc>
        <w:tc>
          <w:tcPr>
            <w:tcW w:w="1700" w:type="dxa"/>
            <w:shd w:val="clear" w:color="000000" w:fill="FFFFFF"/>
            <w:noWrap/>
            <w:vAlign w:val="bottom"/>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San Vicente Del Caguán</w:t>
            </w:r>
          </w:p>
        </w:tc>
        <w:tc>
          <w:tcPr>
            <w:tcW w:w="1300" w:type="dxa"/>
            <w:shd w:val="clear" w:color="000000" w:fill="FFFFFF"/>
            <w:noWrap/>
            <w:vAlign w:val="bottom"/>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Miravalle</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r>
      <w:tr w:rsidR="00D46B4D" w:rsidRPr="00C44403" w:rsidTr="00C44403">
        <w:trPr>
          <w:trHeight w:val="180"/>
        </w:trPr>
        <w:tc>
          <w:tcPr>
            <w:tcW w:w="14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700" w:type="dxa"/>
            <w:shd w:val="clear" w:color="000000" w:fill="FFFFFF"/>
            <w:noWrap/>
            <w:vAlign w:val="bottom"/>
            <w:hideMark/>
          </w:tcPr>
          <w:p w:rsidR="00D46B4D" w:rsidRPr="00C44403" w:rsidRDefault="00D46B4D"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LA MONTAÑITA</w:t>
            </w: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Agua Bonita</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8</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16</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24</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52</w:t>
            </w:r>
          </w:p>
        </w:tc>
      </w:tr>
      <w:tr w:rsidR="00D46B4D" w:rsidRPr="00C44403" w:rsidTr="00C44403">
        <w:trPr>
          <w:trHeight w:val="180"/>
        </w:trPr>
        <w:tc>
          <w:tcPr>
            <w:tcW w:w="3100" w:type="dxa"/>
            <w:gridSpan w:val="2"/>
            <w:shd w:val="clear" w:color="000000" w:fill="FFFFFF"/>
            <w:noWrap/>
            <w:vAlign w:val="center"/>
            <w:hideMark/>
          </w:tcPr>
          <w:p w:rsidR="00D46B4D" w:rsidRPr="00C44403" w:rsidRDefault="00C44403" w:rsidP="00D46B4D">
            <w:pPr>
              <w:spacing w:after="0" w:line="240" w:lineRule="auto"/>
              <w:rPr>
                <w:rFonts w:eastAsia="Times New Roman" w:cs="Arial"/>
                <w:b/>
                <w:bCs/>
                <w:sz w:val="18"/>
                <w:szCs w:val="18"/>
                <w:lang w:val="es-CO" w:eastAsia="es-CO"/>
              </w:rPr>
            </w:pPr>
            <w:r w:rsidRPr="00C44403">
              <w:rPr>
                <w:rFonts w:eastAsia="Times New Roman" w:cs="Arial"/>
                <w:b/>
                <w:bCs/>
                <w:sz w:val="18"/>
                <w:szCs w:val="18"/>
                <w:lang w:val="es-CO" w:eastAsia="es-CO"/>
              </w:rPr>
              <w:t>Total Caquetá</w:t>
            </w: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 </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3</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8</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17</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24</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w:t>
            </w: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53</w:t>
            </w:r>
          </w:p>
        </w:tc>
      </w:tr>
      <w:tr w:rsidR="00D46B4D" w:rsidRPr="00C44403" w:rsidTr="00C44403">
        <w:trPr>
          <w:trHeight w:val="180"/>
        </w:trPr>
        <w:tc>
          <w:tcPr>
            <w:tcW w:w="1400" w:type="dxa"/>
            <w:vMerge w:val="restart"/>
            <w:shd w:val="clear" w:color="000000" w:fill="FFFFFF"/>
            <w:noWrap/>
            <w:vAlign w:val="center"/>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Arauca</w:t>
            </w:r>
          </w:p>
        </w:tc>
        <w:tc>
          <w:tcPr>
            <w:tcW w:w="1700" w:type="dxa"/>
            <w:shd w:val="clear" w:color="000000" w:fill="FFFFFF"/>
            <w:noWrap/>
            <w:vAlign w:val="bottom"/>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Arauca</w:t>
            </w:r>
          </w:p>
        </w:tc>
        <w:tc>
          <w:tcPr>
            <w:tcW w:w="1300" w:type="dxa"/>
            <w:shd w:val="clear" w:color="000000" w:fill="FFFFFF"/>
            <w:noWrap/>
            <w:vAlign w:val="bottom"/>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Filipinas</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6</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9</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19</w:t>
            </w:r>
          </w:p>
        </w:tc>
      </w:tr>
      <w:tr w:rsidR="00D46B4D" w:rsidRPr="00C44403" w:rsidTr="00C44403">
        <w:trPr>
          <w:trHeight w:val="180"/>
        </w:trPr>
        <w:tc>
          <w:tcPr>
            <w:tcW w:w="14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700" w:type="dxa"/>
            <w:shd w:val="clear" w:color="000000" w:fill="FFFFFF"/>
            <w:noWrap/>
            <w:vAlign w:val="bottom"/>
            <w:hideMark/>
          </w:tcPr>
          <w:p w:rsidR="00D46B4D" w:rsidRPr="00C44403" w:rsidRDefault="00D46B4D"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ARAUQUITA</w:t>
            </w: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Filipinas</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5</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6</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15</w:t>
            </w:r>
          </w:p>
        </w:tc>
      </w:tr>
      <w:tr w:rsidR="00D46B4D" w:rsidRPr="00C44403" w:rsidTr="00C44403">
        <w:trPr>
          <w:trHeight w:val="180"/>
        </w:trPr>
        <w:tc>
          <w:tcPr>
            <w:tcW w:w="3100" w:type="dxa"/>
            <w:gridSpan w:val="2"/>
            <w:shd w:val="clear" w:color="000000" w:fill="FFFFFF"/>
            <w:noWrap/>
            <w:vAlign w:val="center"/>
            <w:hideMark/>
          </w:tcPr>
          <w:p w:rsidR="00D46B4D" w:rsidRPr="00C44403" w:rsidRDefault="00C44403" w:rsidP="00D46B4D">
            <w:pPr>
              <w:spacing w:after="0" w:line="240" w:lineRule="auto"/>
              <w:rPr>
                <w:rFonts w:eastAsia="Times New Roman" w:cs="Arial"/>
                <w:b/>
                <w:bCs/>
                <w:sz w:val="18"/>
                <w:szCs w:val="18"/>
                <w:lang w:val="es-CO" w:eastAsia="es-CO"/>
              </w:rPr>
            </w:pPr>
            <w:r w:rsidRPr="00C44403">
              <w:rPr>
                <w:rFonts w:eastAsia="Times New Roman" w:cs="Arial"/>
                <w:b/>
                <w:bCs/>
                <w:sz w:val="18"/>
                <w:szCs w:val="18"/>
                <w:lang w:val="es-CO" w:eastAsia="es-CO"/>
              </w:rPr>
              <w:t>Total Arauca</w:t>
            </w: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 </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10</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8</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15</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34</w:t>
            </w:r>
          </w:p>
        </w:tc>
      </w:tr>
      <w:tr w:rsidR="00D46B4D" w:rsidRPr="00C44403" w:rsidTr="00C44403">
        <w:trPr>
          <w:trHeight w:val="180"/>
        </w:trPr>
        <w:tc>
          <w:tcPr>
            <w:tcW w:w="1400" w:type="dxa"/>
            <w:shd w:val="clear" w:color="000000" w:fill="FFFFFF"/>
            <w:noWrap/>
            <w:vAlign w:val="bottom"/>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Cesar</w:t>
            </w:r>
          </w:p>
        </w:tc>
        <w:tc>
          <w:tcPr>
            <w:tcW w:w="1700" w:type="dxa"/>
            <w:shd w:val="clear" w:color="000000" w:fill="FFFFFF"/>
            <w:noWrap/>
            <w:vAlign w:val="bottom"/>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La Paz</w:t>
            </w: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El Mirador</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r>
      <w:tr w:rsidR="00D46B4D" w:rsidRPr="00C44403" w:rsidTr="00C44403">
        <w:trPr>
          <w:trHeight w:val="180"/>
        </w:trPr>
        <w:tc>
          <w:tcPr>
            <w:tcW w:w="4400" w:type="dxa"/>
            <w:gridSpan w:val="3"/>
            <w:shd w:val="clear" w:color="000000" w:fill="FFFFFF"/>
            <w:noWrap/>
            <w:vAlign w:val="bottom"/>
            <w:hideMark/>
          </w:tcPr>
          <w:p w:rsidR="00D46B4D" w:rsidRPr="00C44403" w:rsidRDefault="00621FC9" w:rsidP="00D46B4D">
            <w:pPr>
              <w:spacing w:after="0" w:line="240" w:lineRule="auto"/>
              <w:rPr>
                <w:rFonts w:eastAsia="Times New Roman" w:cs="Arial"/>
                <w:b/>
                <w:bCs/>
                <w:sz w:val="18"/>
                <w:szCs w:val="18"/>
                <w:lang w:val="es-CO" w:eastAsia="es-CO"/>
              </w:rPr>
            </w:pPr>
            <w:r w:rsidRPr="00C44403">
              <w:rPr>
                <w:rFonts w:eastAsia="Times New Roman" w:cs="Arial"/>
                <w:b/>
                <w:bCs/>
                <w:sz w:val="18"/>
                <w:szCs w:val="18"/>
                <w:lang w:val="es-CO" w:eastAsia="es-CO"/>
              </w:rPr>
              <w:t>Total Cesar</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2</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4</w:t>
            </w:r>
          </w:p>
        </w:tc>
      </w:tr>
      <w:tr w:rsidR="00D46B4D" w:rsidRPr="00C44403" w:rsidTr="00C44403">
        <w:trPr>
          <w:trHeight w:val="180"/>
        </w:trPr>
        <w:tc>
          <w:tcPr>
            <w:tcW w:w="1400" w:type="dxa"/>
            <w:vMerge w:val="restart"/>
            <w:shd w:val="clear" w:color="000000" w:fill="FFFFFF"/>
            <w:noWrap/>
            <w:vAlign w:val="center"/>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Meta</w:t>
            </w:r>
          </w:p>
        </w:tc>
        <w:tc>
          <w:tcPr>
            <w:tcW w:w="1700" w:type="dxa"/>
            <w:shd w:val="clear" w:color="000000" w:fill="FFFFFF"/>
            <w:noWrap/>
            <w:vAlign w:val="bottom"/>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Vistahermosa</w:t>
            </w: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La Cooperativa</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8</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10</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22</w:t>
            </w:r>
          </w:p>
        </w:tc>
      </w:tr>
      <w:tr w:rsidR="00D46B4D" w:rsidRPr="00C44403" w:rsidTr="00C44403">
        <w:trPr>
          <w:trHeight w:val="180"/>
        </w:trPr>
        <w:tc>
          <w:tcPr>
            <w:tcW w:w="14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700" w:type="dxa"/>
            <w:shd w:val="clear" w:color="000000" w:fill="FFFFFF"/>
            <w:noWrap/>
            <w:vAlign w:val="bottom"/>
            <w:hideMark/>
          </w:tcPr>
          <w:p w:rsidR="00D46B4D" w:rsidRPr="00C44403" w:rsidRDefault="00D46B4D"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MESETAR</w:t>
            </w: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Buenavista</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8</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16</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27</w:t>
            </w:r>
          </w:p>
        </w:tc>
      </w:tr>
      <w:tr w:rsidR="00D46B4D" w:rsidRPr="00C44403" w:rsidTr="00C44403">
        <w:trPr>
          <w:trHeight w:val="180"/>
        </w:trPr>
        <w:tc>
          <w:tcPr>
            <w:tcW w:w="14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700" w:type="dxa"/>
            <w:shd w:val="clear" w:color="000000" w:fill="FFFFFF"/>
            <w:noWrap/>
            <w:vAlign w:val="bottom"/>
            <w:hideMark/>
          </w:tcPr>
          <w:p w:rsidR="00D46B4D" w:rsidRPr="00C44403" w:rsidRDefault="00D46B4D"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LA MACARENA</w:t>
            </w: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Playa Rica</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10</w:t>
            </w:r>
          </w:p>
        </w:tc>
      </w:tr>
      <w:tr w:rsidR="00D46B4D" w:rsidRPr="00C44403" w:rsidTr="00C44403">
        <w:trPr>
          <w:trHeight w:val="180"/>
        </w:trPr>
        <w:tc>
          <w:tcPr>
            <w:tcW w:w="4400" w:type="dxa"/>
            <w:gridSpan w:val="3"/>
            <w:shd w:val="clear" w:color="000000" w:fill="FFFFFF"/>
            <w:noWrap/>
            <w:vAlign w:val="center"/>
            <w:hideMark/>
          </w:tcPr>
          <w:p w:rsidR="00D46B4D" w:rsidRPr="00C44403" w:rsidRDefault="00621FC9" w:rsidP="00D46B4D">
            <w:pPr>
              <w:spacing w:after="0" w:line="240" w:lineRule="auto"/>
              <w:rPr>
                <w:rFonts w:eastAsia="Times New Roman" w:cs="Arial"/>
                <w:b/>
                <w:bCs/>
                <w:sz w:val="18"/>
                <w:szCs w:val="18"/>
                <w:lang w:val="es-CO" w:eastAsia="es-CO"/>
              </w:rPr>
            </w:pPr>
            <w:r w:rsidRPr="00C44403">
              <w:rPr>
                <w:rFonts w:eastAsia="Times New Roman" w:cs="Arial"/>
                <w:b/>
                <w:bCs/>
                <w:sz w:val="18"/>
                <w:szCs w:val="18"/>
                <w:lang w:val="es-CO" w:eastAsia="es-CO"/>
              </w:rPr>
              <w:t>Total Meta</w:t>
            </w:r>
          </w:p>
        </w:tc>
        <w:tc>
          <w:tcPr>
            <w:tcW w:w="680" w:type="dxa"/>
            <w:shd w:val="clear" w:color="000000" w:fill="FFFFFF"/>
            <w:noWrap/>
            <w:vAlign w:val="center"/>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20</w:t>
            </w:r>
          </w:p>
        </w:tc>
        <w:tc>
          <w:tcPr>
            <w:tcW w:w="680" w:type="dxa"/>
            <w:shd w:val="clear" w:color="000000" w:fill="FFFFFF"/>
            <w:noWrap/>
            <w:vAlign w:val="center"/>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w:t>
            </w:r>
          </w:p>
        </w:tc>
        <w:tc>
          <w:tcPr>
            <w:tcW w:w="680" w:type="dxa"/>
            <w:shd w:val="clear" w:color="000000" w:fill="FFFFFF"/>
            <w:noWrap/>
            <w:vAlign w:val="center"/>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680" w:type="dxa"/>
            <w:shd w:val="clear" w:color="000000" w:fill="FFFFFF"/>
            <w:noWrap/>
            <w:vAlign w:val="center"/>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8</w:t>
            </w:r>
          </w:p>
        </w:tc>
        <w:tc>
          <w:tcPr>
            <w:tcW w:w="680" w:type="dxa"/>
            <w:shd w:val="clear" w:color="000000" w:fill="FFFFFF"/>
            <w:noWrap/>
            <w:vAlign w:val="center"/>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30</w:t>
            </w:r>
          </w:p>
        </w:tc>
        <w:tc>
          <w:tcPr>
            <w:tcW w:w="680" w:type="dxa"/>
            <w:shd w:val="clear" w:color="000000" w:fill="FFFFFF"/>
            <w:noWrap/>
            <w:vAlign w:val="center"/>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59</w:t>
            </w:r>
          </w:p>
        </w:tc>
      </w:tr>
      <w:tr w:rsidR="00D46B4D" w:rsidRPr="00C44403" w:rsidTr="00C44403">
        <w:trPr>
          <w:trHeight w:val="180"/>
        </w:trPr>
        <w:tc>
          <w:tcPr>
            <w:tcW w:w="1400" w:type="dxa"/>
            <w:vMerge w:val="restart"/>
            <w:shd w:val="clear" w:color="000000" w:fill="FFFFFF"/>
            <w:noWrap/>
            <w:vAlign w:val="center"/>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Norte De Santander</w:t>
            </w:r>
          </w:p>
        </w:tc>
        <w:tc>
          <w:tcPr>
            <w:tcW w:w="1700" w:type="dxa"/>
            <w:vMerge w:val="restart"/>
            <w:shd w:val="clear" w:color="000000" w:fill="FFFFFF"/>
            <w:noWrap/>
            <w:vAlign w:val="center"/>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Tibú</w:t>
            </w: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Caño Indio</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3</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6</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9</w:t>
            </w:r>
          </w:p>
        </w:tc>
      </w:tr>
      <w:tr w:rsidR="00D46B4D" w:rsidRPr="00C44403" w:rsidTr="00C44403">
        <w:trPr>
          <w:trHeight w:val="180"/>
        </w:trPr>
        <w:tc>
          <w:tcPr>
            <w:tcW w:w="14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700" w:type="dxa"/>
            <w:vMerge/>
            <w:vAlign w:val="center"/>
            <w:hideMark/>
          </w:tcPr>
          <w:p w:rsidR="00D46B4D" w:rsidRPr="00C44403" w:rsidRDefault="00D46B4D" w:rsidP="00D46B4D">
            <w:pPr>
              <w:spacing w:after="0" w:line="240" w:lineRule="auto"/>
              <w:rPr>
                <w:rFonts w:eastAsia="Times New Roman" w:cs="Arial"/>
                <w:sz w:val="18"/>
                <w:szCs w:val="18"/>
                <w:lang w:val="es-CO" w:eastAsia="es-CO"/>
              </w:rPr>
            </w:pPr>
          </w:p>
        </w:tc>
        <w:tc>
          <w:tcPr>
            <w:tcW w:w="1300" w:type="dxa"/>
            <w:shd w:val="clear" w:color="000000" w:fill="FFFFFF"/>
            <w:noWrap/>
            <w:vAlign w:val="bottom"/>
            <w:hideMark/>
          </w:tcPr>
          <w:p w:rsidR="00D46B4D" w:rsidRPr="00C44403" w:rsidRDefault="00621FC9"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Caño Indio</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4</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7</w:t>
            </w:r>
          </w:p>
        </w:tc>
      </w:tr>
      <w:tr w:rsidR="00D46B4D" w:rsidRPr="00C44403" w:rsidTr="00C44403">
        <w:trPr>
          <w:trHeight w:val="180"/>
        </w:trPr>
        <w:tc>
          <w:tcPr>
            <w:tcW w:w="4400" w:type="dxa"/>
            <w:gridSpan w:val="3"/>
            <w:shd w:val="clear" w:color="000000" w:fill="FFFFFF"/>
            <w:noWrap/>
            <w:vAlign w:val="center"/>
            <w:hideMark/>
          </w:tcPr>
          <w:p w:rsidR="00D46B4D" w:rsidRPr="00C44403" w:rsidRDefault="00621FC9" w:rsidP="00D46B4D">
            <w:pPr>
              <w:spacing w:after="0" w:line="240" w:lineRule="auto"/>
              <w:rPr>
                <w:rFonts w:eastAsia="Times New Roman" w:cs="Arial"/>
                <w:b/>
                <w:bCs/>
                <w:sz w:val="18"/>
                <w:szCs w:val="18"/>
                <w:lang w:val="es-CO" w:eastAsia="es-CO"/>
              </w:rPr>
            </w:pPr>
            <w:r w:rsidRPr="00C44403">
              <w:rPr>
                <w:rFonts w:eastAsia="Times New Roman" w:cs="Arial"/>
                <w:b/>
                <w:bCs/>
                <w:sz w:val="18"/>
                <w:szCs w:val="18"/>
                <w:lang w:val="es-CO" w:eastAsia="es-CO"/>
              </w:rPr>
              <w:t>Total Meta</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5</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10</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16</w:t>
            </w:r>
          </w:p>
        </w:tc>
      </w:tr>
      <w:tr w:rsidR="00D46B4D" w:rsidRPr="00C44403" w:rsidTr="00C44403">
        <w:trPr>
          <w:trHeight w:val="180"/>
        </w:trPr>
        <w:tc>
          <w:tcPr>
            <w:tcW w:w="1400" w:type="dxa"/>
            <w:shd w:val="clear" w:color="000000" w:fill="FFFFFF"/>
            <w:noWrap/>
            <w:vAlign w:val="bottom"/>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La Guajira</w:t>
            </w:r>
          </w:p>
        </w:tc>
        <w:tc>
          <w:tcPr>
            <w:tcW w:w="1700" w:type="dxa"/>
            <w:shd w:val="clear" w:color="000000" w:fill="FFFFFF"/>
            <w:noWrap/>
            <w:vAlign w:val="bottom"/>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Fonseca</w:t>
            </w:r>
          </w:p>
        </w:tc>
        <w:tc>
          <w:tcPr>
            <w:tcW w:w="1300" w:type="dxa"/>
            <w:shd w:val="clear" w:color="000000" w:fill="FFFFFF"/>
            <w:noWrap/>
            <w:vAlign w:val="bottom"/>
            <w:hideMark/>
          </w:tcPr>
          <w:p w:rsidR="00D46B4D" w:rsidRPr="00C44403" w:rsidRDefault="00C44403" w:rsidP="00D46B4D">
            <w:pPr>
              <w:spacing w:after="0" w:line="240" w:lineRule="auto"/>
              <w:rPr>
                <w:rFonts w:eastAsia="Times New Roman" w:cs="Arial"/>
                <w:sz w:val="18"/>
                <w:szCs w:val="18"/>
                <w:lang w:val="es-CO" w:eastAsia="es-CO"/>
              </w:rPr>
            </w:pPr>
            <w:r w:rsidRPr="00C44403">
              <w:rPr>
                <w:rFonts w:eastAsia="Times New Roman" w:cs="Arial"/>
                <w:sz w:val="18"/>
                <w:szCs w:val="18"/>
                <w:lang w:val="es-CO" w:eastAsia="es-CO"/>
              </w:rPr>
              <w:t>Ponedores</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8</w:t>
            </w: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D46B4D" w:rsidP="00C44403">
            <w:pPr>
              <w:spacing w:after="0" w:line="240" w:lineRule="auto"/>
              <w:jc w:val="center"/>
              <w:rPr>
                <w:rFonts w:eastAsia="Times New Roman" w:cs="Arial"/>
                <w:sz w:val="18"/>
                <w:szCs w:val="18"/>
                <w:lang w:val="es-CO" w:eastAsia="es-CO"/>
              </w:rPr>
            </w:pP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5</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7</w:t>
            </w:r>
          </w:p>
        </w:tc>
        <w:tc>
          <w:tcPr>
            <w:tcW w:w="68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1</w:t>
            </w:r>
          </w:p>
        </w:tc>
        <w:tc>
          <w:tcPr>
            <w:tcW w:w="1040" w:type="dxa"/>
            <w:shd w:val="clear" w:color="000000" w:fill="FFFFFF"/>
            <w:noWrap/>
            <w:vAlign w:val="bottom"/>
            <w:hideMark/>
          </w:tcPr>
          <w:p w:rsidR="00D46B4D" w:rsidRPr="00C44403" w:rsidRDefault="00C44403" w:rsidP="00C44403">
            <w:pPr>
              <w:spacing w:after="0" w:line="240" w:lineRule="auto"/>
              <w:jc w:val="center"/>
              <w:rPr>
                <w:rFonts w:eastAsia="Times New Roman" w:cs="Arial"/>
                <w:sz w:val="18"/>
                <w:szCs w:val="18"/>
                <w:lang w:val="es-CO" w:eastAsia="es-CO"/>
              </w:rPr>
            </w:pPr>
            <w:r w:rsidRPr="00C44403">
              <w:rPr>
                <w:rFonts w:eastAsia="Times New Roman" w:cs="Arial"/>
                <w:sz w:val="18"/>
                <w:szCs w:val="18"/>
                <w:lang w:val="es-CO" w:eastAsia="es-CO"/>
              </w:rPr>
              <w:t>21</w:t>
            </w:r>
          </w:p>
        </w:tc>
      </w:tr>
      <w:tr w:rsidR="00D46B4D" w:rsidRPr="00C44403" w:rsidTr="00C44403">
        <w:trPr>
          <w:trHeight w:val="180"/>
        </w:trPr>
        <w:tc>
          <w:tcPr>
            <w:tcW w:w="4400" w:type="dxa"/>
            <w:gridSpan w:val="3"/>
            <w:shd w:val="clear" w:color="auto" w:fill="E2EFDA"/>
            <w:noWrap/>
            <w:vAlign w:val="center"/>
            <w:hideMark/>
          </w:tcPr>
          <w:p w:rsidR="00D46B4D" w:rsidRPr="00C44403" w:rsidRDefault="00D46B4D" w:rsidP="00D46B4D">
            <w:pPr>
              <w:spacing w:after="0" w:line="240" w:lineRule="auto"/>
              <w:rPr>
                <w:rFonts w:eastAsia="Times New Roman" w:cs="Arial"/>
                <w:b/>
                <w:bCs/>
                <w:sz w:val="18"/>
                <w:szCs w:val="18"/>
                <w:lang w:val="es-CO" w:eastAsia="es-CO"/>
              </w:rPr>
            </w:pPr>
            <w:r w:rsidRPr="00C44403">
              <w:rPr>
                <w:rFonts w:eastAsia="Times New Roman" w:cs="Arial"/>
                <w:b/>
                <w:bCs/>
                <w:sz w:val="18"/>
                <w:szCs w:val="18"/>
                <w:lang w:val="es-CO" w:eastAsia="es-CO"/>
              </w:rPr>
              <w:t>TOTAL LA GUAJIRA</w:t>
            </w:r>
          </w:p>
        </w:tc>
        <w:tc>
          <w:tcPr>
            <w:tcW w:w="680" w:type="dxa"/>
            <w:shd w:val="clear" w:color="auto" w:fill="E2EFDA"/>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8</w:t>
            </w:r>
          </w:p>
        </w:tc>
        <w:tc>
          <w:tcPr>
            <w:tcW w:w="680" w:type="dxa"/>
            <w:shd w:val="clear" w:color="auto" w:fill="E2EFDA"/>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680" w:type="dxa"/>
            <w:shd w:val="clear" w:color="auto" w:fill="E2EFDA"/>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0</w:t>
            </w:r>
          </w:p>
        </w:tc>
        <w:tc>
          <w:tcPr>
            <w:tcW w:w="680" w:type="dxa"/>
            <w:shd w:val="clear" w:color="auto" w:fill="E2EFDA"/>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5</w:t>
            </w:r>
          </w:p>
        </w:tc>
        <w:tc>
          <w:tcPr>
            <w:tcW w:w="680" w:type="dxa"/>
            <w:shd w:val="clear" w:color="auto" w:fill="E2EFDA"/>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7</w:t>
            </w:r>
          </w:p>
        </w:tc>
        <w:tc>
          <w:tcPr>
            <w:tcW w:w="680" w:type="dxa"/>
            <w:shd w:val="clear" w:color="auto" w:fill="E2EFDA"/>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w:t>
            </w:r>
          </w:p>
        </w:tc>
        <w:tc>
          <w:tcPr>
            <w:tcW w:w="1040" w:type="dxa"/>
            <w:shd w:val="clear" w:color="auto" w:fill="E2EFDA"/>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21</w:t>
            </w:r>
          </w:p>
        </w:tc>
      </w:tr>
      <w:tr w:rsidR="00D46B4D" w:rsidRPr="00C44403" w:rsidTr="00C44403">
        <w:trPr>
          <w:trHeight w:val="180"/>
        </w:trPr>
        <w:tc>
          <w:tcPr>
            <w:tcW w:w="4400" w:type="dxa"/>
            <w:gridSpan w:val="3"/>
            <w:shd w:val="clear" w:color="auto" w:fill="E2EFDA"/>
            <w:noWrap/>
            <w:vAlign w:val="center"/>
            <w:hideMark/>
          </w:tcPr>
          <w:p w:rsidR="00D46B4D" w:rsidRPr="00C44403" w:rsidRDefault="00C44403" w:rsidP="00D46B4D">
            <w:pPr>
              <w:spacing w:after="0" w:line="240" w:lineRule="auto"/>
              <w:rPr>
                <w:rFonts w:eastAsia="Times New Roman" w:cs="Arial"/>
                <w:b/>
                <w:bCs/>
                <w:sz w:val="18"/>
                <w:szCs w:val="18"/>
                <w:lang w:val="es-CO" w:eastAsia="es-CO"/>
              </w:rPr>
            </w:pPr>
            <w:r w:rsidRPr="00C44403">
              <w:rPr>
                <w:rFonts w:eastAsia="Times New Roman" w:cs="Arial"/>
                <w:b/>
                <w:bCs/>
                <w:sz w:val="18"/>
                <w:szCs w:val="18"/>
                <w:lang w:val="es-CO" w:eastAsia="es-CO"/>
              </w:rPr>
              <w:t xml:space="preserve"> </w:t>
            </w:r>
            <w:r w:rsidR="00D46B4D" w:rsidRPr="00C44403">
              <w:rPr>
                <w:rFonts w:eastAsia="Times New Roman" w:cs="Arial"/>
                <w:b/>
                <w:bCs/>
                <w:sz w:val="18"/>
                <w:szCs w:val="18"/>
                <w:lang w:val="es-CO" w:eastAsia="es-CO"/>
              </w:rPr>
              <w:t xml:space="preserve">TOTAL GENERAL </w:t>
            </w:r>
          </w:p>
        </w:tc>
        <w:tc>
          <w:tcPr>
            <w:tcW w:w="680" w:type="dxa"/>
            <w:shd w:val="clear" w:color="auto" w:fill="E2EFDA"/>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183</w:t>
            </w:r>
          </w:p>
        </w:tc>
        <w:tc>
          <w:tcPr>
            <w:tcW w:w="680" w:type="dxa"/>
            <w:shd w:val="clear" w:color="auto" w:fill="E2EFDA"/>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32</w:t>
            </w:r>
          </w:p>
        </w:tc>
        <w:tc>
          <w:tcPr>
            <w:tcW w:w="680" w:type="dxa"/>
            <w:shd w:val="clear" w:color="auto" w:fill="E2EFDA"/>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25</w:t>
            </w:r>
          </w:p>
        </w:tc>
        <w:tc>
          <w:tcPr>
            <w:tcW w:w="680" w:type="dxa"/>
            <w:shd w:val="clear" w:color="auto" w:fill="E2EFDA"/>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124</w:t>
            </w:r>
          </w:p>
        </w:tc>
        <w:tc>
          <w:tcPr>
            <w:tcW w:w="680" w:type="dxa"/>
            <w:shd w:val="clear" w:color="auto" w:fill="E2EFDA"/>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254</w:t>
            </w:r>
          </w:p>
        </w:tc>
        <w:tc>
          <w:tcPr>
            <w:tcW w:w="680" w:type="dxa"/>
            <w:shd w:val="clear" w:color="auto" w:fill="E2EFDA"/>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14</w:t>
            </w:r>
          </w:p>
        </w:tc>
        <w:tc>
          <w:tcPr>
            <w:tcW w:w="1040" w:type="dxa"/>
            <w:shd w:val="clear" w:color="auto" w:fill="E2EFDA"/>
            <w:noWrap/>
            <w:vAlign w:val="bottom"/>
            <w:hideMark/>
          </w:tcPr>
          <w:p w:rsidR="00D46B4D" w:rsidRPr="00C44403" w:rsidRDefault="00C44403" w:rsidP="00C44403">
            <w:pPr>
              <w:spacing w:after="0" w:line="240" w:lineRule="auto"/>
              <w:jc w:val="center"/>
              <w:rPr>
                <w:rFonts w:eastAsia="Times New Roman" w:cs="Arial"/>
                <w:b/>
                <w:bCs/>
                <w:sz w:val="18"/>
                <w:szCs w:val="18"/>
                <w:lang w:val="es-CO" w:eastAsia="es-CO"/>
              </w:rPr>
            </w:pPr>
            <w:r w:rsidRPr="00C44403">
              <w:rPr>
                <w:rFonts w:eastAsia="Times New Roman" w:cs="Arial"/>
                <w:b/>
                <w:bCs/>
                <w:sz w:val="18"/>
                <w:szCs w:val="18"/>
                <w:lang w:val="es-CO" w:eastAsia="es-CO"/>
              </w:rPr>
              <w:t>632</w:t>
            </w:r>
          </w:p>
        </w:tc>
      </w:tr>
    </w:tbl>
    <w:p w:rsidR="00D46B4D" w:rsidRPr="00C44403" w:rsidRDefault="00D46B4D" w:rsidP="00D46B4D">
      <w:pPr>
        <w:jc w:val="center"/>
        <w:rPr>
          <w:rFonts w:cs="Arial"/>
          <w:sz w:val="16"/>
          <w:szCs w:val="16"/>
        </w:rPr>
      </w:pPr>
      <w:r w:rsidRPr="00C44403">
        <w:rPr>
          <w:rFonts w:cs="Arial"/>
          <w:sz w:val="16"/>
          <w:szCs w:val="16"/>
        </w:rPr>
        <w:t>Fuente: Base de datos RUUM - Registro único de Unidades Móviles al cierre de la atención</w:t>
      </w:r>
    </w:p>
    <w:p w:rsidR="00D46B4D" w:rsidRPr="007608C2" w:rsidRDefault="00D46B4D" w:rsidP="00D46B4D">
      <w:pPr>
        <w:jc w:val="both"/>
        <w:rPr>
          <w:rFonts w:cs="Arial"/>
        </w:rPr>
      </w:pPr>
      <w:r w:rsidRPr="007608C2">
        <w:rPr>
          <w:rFonts w:cs="Arial"/>
        </w:rPr>
        <w:t>Asimismo, entre febrero y agosto se realizó acompañamiento a los niños, niñas y adolescentes presentes en los Espacios Territoriales de Capacitación y Reincorporación – ETCR. Entre agosto y noviembre se ha implementado una estrategia de seguimiento a los niños, niñas y adolescentes identificados en esta primera fase, verificando la situación de cada uno de ellos, con el fin de gestionar con las entidades que hagan presencia en estas zonas con oferta de servicios pertinente para esta población.</w:t>
      </w:r>
    </w:p>
    <w:p w:rsidR="00D46B4D" w:rsidRPr="007608C2" w:rsidRDefault="00D46B4D" w:rsidP="000D0DF1">
      <w:pPr>
        <w:pStyle w:val="Prrafodelista"/>
        <w:keepNext/>
        <w:keepLines/>
        <w:numPr>
          <w:ilvl w:val="2"/>
          <w:numId w:val="160"/>
        </w:numPr>
        <w:spacing w:before="40" w:after="0"/>
        <w:outlineLvl w:val="1"/>
        <w:rPr>
          <w:rFonts w:eastAsiaTheme="majorEastAsia" w:cs="Arial"/>
          <w:b/>
          <w:szCs w:val="26"/>
        </w:rPr>
      </w:pPr>
      <w:bookmarkStart w:id="122" w:name="_Toc504462090"/>
      <w:r w:rsidRPr="007608C2">
        <w:rPr>
          <w:rFonts w:eastAsiaTheme="majorEastAsia" w:cs="Arial"/>
          <w:b/>
          <w:szCs w:val="26"/>
        </w:rPr>
        <w:t xml:space="preserve"> </w:t>
      </w:r>
      <w:bookmarkStart w:id="123" w:name="_Toc505183080"/>
      <w:r w:rsidRPr="007608C2">
        <w:rPr>
          <w:rFonts w:eastAsiaTheme="majorEastAsia" w:cs="Arial"/>
          <w:b/>
          <w:szCs w:val="26"/>
        </w:rPr>
        <w:t>LOGROS 2017</w:t>
      </w:r>
      <w:bookmarkEnd w:id="122"/>
      <w:bookmarkEnd w:id="123"/>
    </w:p>
    <w:p w:rsidR="007D3AC8" w:rsidRDefault="00D46B4D" w:rsidP="00A44A2B">
      <w:pPr>
        <w:numPr>
          <w:ilvl w:val="0"/>
          <w:numId w:val="79"/>
        </w:numPr>
        <w:spacing w:before="100" w:beforeAutospacing="1" w:after="100" w:afterAutospacing="1" w:line="240" w:lineRule="auto"/>
        <w:contextualSpacing/>
        <w:jc w:val="both"/>
        <w:rPr>
          <w:rFonts w:cs="Arial"/>
        </w:rPr>
      </w:pPr>
      <w:r w:rsidRPr="007D3AC8">
        <w:rPr>
          <w:rFonts w:cs="Arial"/>
        </w:rPr>
        <w:t>La Subdirección General dirigió el proceso de implementación del Modelo de Enfoque Diferencial de Derechos en 12 Regionales en la vigencia del 2017, a saber, Arauca, Atlántico, Chocó, Santander, Norte de Santander, Vichada, Guainía, Vaupés, Putumayo, Quindío, Bogotá y Cundinamarca.</w:t>
      </w:r>
    </w:p>
    <w:p w:rsidR="007D3AC8" w:rsidRDefault="007D3AC8" w:rsidP="007D3AC8">
      <w:pPr>
        <w:spacing w:before="100" w:beforeAutospacing="1" w:after="100" w:afterAutospacing="1" w:line="240" w:lineRule="auto"/>
        <w:ind w:left="360"/>
        <w:contextualSpacing/>
        <w:jc w:val="both"/>
        <w:rPr>
          <w:rFonts w:cs="Arial"/>
        </w:rPr>
      </w:pPr>
    </w:p>
    <w:p w:rsidR="007D3AC8" w:rsidRDefault="00D46B4D" w:rsidP="00A44A2B">
      <w:pPr>
        <w:numPr>
          <w:ilvl w:val="0"/>
          <w:numId w:val="79"/>
        </w:numPr>
        <w:spacing w:before="100" w:beforeAutospacing="1" w:after="100" w:afterAutospacing="1" w:line="240" w:lineRule="auto"/>
        <w:contextualSpacing/>
        <w:jc w:val="both"/>
        <w:rPr>
          <w:rFonts w:cs="Arial"/>
        </w:rPr>
      </w:pPr>
      <w:r w:rsidRPr="007D3AC8">
        <w:rPr>
          <w:rFonts w:cs="Arial"/>
        </w:rPr>
        <w:t>Adopción mediante Resolución 1264 del 2 de marzo del 2017 por medio de la cual se adopta el Modelo de Enfoque Diferencial de Derechos del Instituto Colombiano de Bienestar Familiar.</w:t>
      </w:r>
    </w:p>
    <w:p w:rsidR="00D46B4D" w:rsidRPr="007D3AC8" w:rsidRDefault="00D46B4D" w:rsidP="007D3AC8">
      <w:pPr>
        <w:spacing w:before="100" w:beforeAutospacing="1" w:after="100" w:afterAutospacing="1" w:line="240" w:lineRule="auto"/>
        <w:contextualSpacing/>
        <w:jc w:val="both"/>
        <w:rPr>
          <w:rFonts w:cs="Arial"/>
        </w:rPr>
      </w:pPr>
      <w:r w:rsidRPr="007D3AC8">
        <w:rPr>
          <w:rFonts w:cs="Arial"/>
        </w:rPr>
        <w:t xml:space="preserve"> </w:t>
      </w:r>
    </w:p>
    <w:p w:rsidR="00D46B4D" w:rsidRDefault="00D46B4D" w:rsidP="00A44A2B">
      <w:pPr>
        <w:numPr>
          <w:ilvl w:val="0"/>
          <w:numId w:val="79"/>
        </w:numPr>
        <w:spacing w:before="100" w:beforeAutospacing="1" w:after="100" w:afterAutospacing="1" w:line="240" w:lineRule="auto"/>
        <w:contextualSpacing/>
        <w:jc w:val="both"/>
        <w:rPr>
          <w:rFonts w:cs="Arial"/>
        </w:rPr>
      </w:pPr>
      <w:r w:rsidRPr="007608C2">
        <w:rPr>
          <w:rFonts w:cs="Arial"/>
        </w:rPr>
        <w:t>Conformación de las Mesas Técnicas de las categorías discapacidad, género y étnicos en el marco de la implementación del Modelo de Enfoque Diferencial de Derechos.</w:t>
      </w:r>
    </w:p>
    <w:p w:rsidR="007D3AC8" w:rsidRPr="007608C2" w:rsidRDefault="007D3AC8" w:rsidP="007D3AC8">
      <w:pPr>
        <w:spacing w:before="100" w:beforeAutospacing="1" w:after="100" w:afterAutospacing="1" w:line="240" w:lineRule="auto"/>
        <w:ind w:left="360"/>
        <w:contextualSpacing/>
        <w:jc w:val="both"/>
        <w:rPr>
          <w:rFonts w:cs="Arial"/>
        </w:rPr>
      </w:pPr>
    </w:p>
    <w:p w:rsidR="00D46B4D" w:rsidRDefault="00D46B4D" w:rsidP="00A44A2B">
      <w:pPr>
        <w:numPr>
          <w:ilvl w:val="0"/>
          <w:numId w:val="79"/>
        </w:numPr>
        <w:spacing w:before="100" w:beforeAutospacing="1" w:after="100" w:afterAutospacing="1" w:line="240" w:lineRule="auto"/>
        <w:contextualSpacing/>
        <w:jc w:val="both"/>
        <w:rPr>
          <w:rFonts w:cs="Arial"/>
        </w:rPr>
      </w:pPr>
      <w:r w:rsidRPr="007608C2">
        <w:rPr>
          <w:rFonts w:cs="Arial"/>
        </w:rPr>
        <w:lastRenderedPageBreak/>
        <w:t>En La Guajira, las Autoridades Administrativas competentes articulan con las Autoridades Tradicionales, lo establecido en el Anexo 7 del Lineamiento Técnico Administrativo de Ruta de Actuaciones aprobado mediante Resolución No. 1526 de 23 de febrero de 2016, modificada por la Resolución 7547 de 2016, respecto al “Trámite Administrativo para el Restablecimiento de los derechos de los Niños, Niñas y Adolescentes pertenecientes a Comunidades Indígenas”.</w:t>
      </w:r>
    </w:p>
    <w:p w:rsidR="007D3AC8" w:rsidRPr="007608C2" w:rsidRDefault="007D3AC8" w:rsidP="007D3AC8">
      <w:pPr>
        <w:spacing w:before="100" w:beforeAutospacing="1" w:after="100" w:afterAutospacing="1" w:line="240" w:lineRule="auto"/>
        <w:contextualSpacing/>
        <w:jc w:val="both"/>
        <w:rPr>
          <w:rFonts w:cs="Arial"/>
        </w:rPr>
      </w:pPr>
    </w:p>
    <w:p w:rsidR="007D3AC8" w:rsidRDefault="00D46B4D" w:rsidP="00A44A2B">
      <w:pPr>
        <w:numPr>
          <w:ilvl w:val="0"/>
          <w:numId w:val="79"/>
        </w:numPr>
        <w:spacing w:before="100" w:beforeAutospacing="1" w:after="100" w:afterAutospacing="1" w:line="240" w:lineRule="auto"/>
        <w:contextualSpacing/>
        <w:jc w:val="both"/>
        <w:rPr>
          <w:rFonts w:cs="Arial"/>
        </w:rPr>
      </w:pPr>
      <w:r w:rsidRPr="007608C2">
        <w:rPr>
          <w:rFonts w:cs="Arial"/>
        </w:rPr>
        <w:t>En lo que refiere a la desvinculación de niños, niñas y adolescentes de grupos armados al margen de la Ley, las salidas de los campamentos de las FARC – EP se efectuaron con el acompañamiento de una comisión técnica del ICBF, el Defensor de Familia y su equipo defensoría, los operadores y cooperantes internacionales, precisando los roles de cada actor, el proceso de recibimiento, las particularidades del Programa Camino Diferencial de Vida, el alcance del Proceso Administrativo de Restablecimiento de Derechos y los acuerdos de convivencia en el Lugar Transitorio de Acogida – LTA, entre otros aspectos relevantes para facilitar este proceso.</w:t>
      </w:r>
    </w:p>
    <w:p w:rsidR="00D46B4D" w:rsidRPr="007608C2" w:rsidRDefault="00D46B4D" w:rsidP="007D3AC8">
      <w:pPr>
        <w:spacing w:before="100" w:beforeAutospacing="1" w:after="100" w:afterAutospacing="1" w:line="240" w:lineRule="auto"/>
        <w:contextualSpacing/>
        <w:jc w:val="both"/>
        <w:rPr>
          <w:rFonts w:cs="Arial"/>
        </w:rPr>
      </w:pPr>
      <w:r w:rsidRPr="007608C2">
        <w:rPr>
          <w:rFonts w:cs="Arial"/>
        </w:rPr>
        <w:t xml:space="preserve">    </w:t>
      </w:r>
    </w:p>
    <w:p w:rsidR="00D46B4D" w:rsidRPr="007608C2" w:rsidRDefault="00D46B4D" w:rsidP="00A44A2B">
      <w:pPr>
        <w:numPr>
          <w:ilvl w:val="0"/>
          <w:numId w:val="79"/>
        </w:numPr>
        <w:spacing w:before="100" w:beforeAutospacing="1" w:after="0" w:afterAutospacing="1" w:line="240" w:lineRule="auto"/>
        <w:contextualSpacing/>
        <w:jc w:val="both"/>
        <w:rPr>
          <w:rFonts w:cs="Arial"/>
        </w:rPr>
      </w:pPr>
      <w:r w:rsidRPr="007608C2">
        <w:rPr>
          <w:rFonts w:cs="Arial"/>
          <w:lang w:eastAsia="es-ES"/>
        </w:rPr>
        <w:t xml:space="preserve">En el marco del Plan de los primeros 180 días para la implementación del Acuerdo de Paz, el Instituto con 26 Unidades Móviles, brindó </w:t>
      </w:r>
      <w:r w:rsidRPr="007608C2">
        <w:rPr>
          <w:rFonts w:cs="Arial"/>
        </w:rPr>
        <w:t>acompañamiento psicosocial y nutricional a madres gestantes y lactantes integrantes de las FARC – EP ubicada en las ZVTN y a los niños, niñas y adolescentes, así como a la población civil, habitante en las veredas aledañas; contribuyendo a la garantía y goce efectivo de los derechos de los niños, niñas y adolescentes, mujeres gestantes y en periodo de lactancia, activando las rutas de atención requeridas de manera prioritaria.</w:t>
      </w:r>
    </w:p>
    <w:p w:rsidR="00D46B4D" w:rsidRPr="007608C2" w:rsidRDefault="00D46B4D" w:rsidP="000D0DF1">
      <w:pPr>
        <w:pStyle w:val="Prrafodelista"/>
        <w:keepNext/>
        <w:keepLines/>
        <w:numPr>
          <w:ilvl w:val="2"/>
          <w:numId w:val="160"/>
        </w:numPr>
        <w:spacing w:before="40" w:after="0"/>
        <w:outlineLvl w:val="1"/>
        <w:rPr>
          <w:rFonts w:eastAsiaTheme="majorEastAsia" w:cs="Arial"/>
          <w:b/>
          <w:szCs w:val="26"/>
        </w:rPr>
      </w:pPr>
      <w:bookmarkStart w:id="124" w:name="_Toc505183081"/>
      <w:r w:rsidRPr="007608C2">
        <w:rPr>
          <w:rFonts w:eastAsiaTheme="majorEastAsia" w:cs="Arial"/>
          <w:b/>
          <w:szCs w:val="26"/>
        </w:rPr>
        <w:t>RETOS 2018</w:t>
      </w:r>
      <w:bookmarkEnd w:id="124"/>
    </w:p>
    <w:p w:rsidR="00D46B4D" w:rsidRDefault="00D46B4D" w:rsidP="00A44A2B">
      <w:pPr>
        <w:numPr>
          <w:ilvl w:val="0"/>
          <w:numId w:val="80"/>
        </w:numPr>
        <w:autoSpaceDE w:val="0"/>
        <w:autoSpaceDN w:val="0"/>
        <w:spacing w:before="100" w:beforeAutospacing="1" w:after="0" w:line="240" w:lineRule="auto"/>
        <w:contextualSpacing/>
        <w:jc w:val="both"/>
        <w:rPr>
          <w:rFonts w:cs="Arial"/>
          <w:lang w:val="es-CO"/>
        </w:rPr>
      </w:pPr>
      <w:r w:rsidRPr="007608C2">
        <w:rPr>
          <w:rFonts w:cs="Arial"/>
          <w:lang w:val="es-CO"/>
        </w:rPr>
        <w:t>Implementación del Modelo de Enfoque Diferencial de Derechos en 14 Regionales, para concluir con el 100% en el periodo 2016 – 2018.</w:t>
      </w:r>
    </w:p>
    <w:p w:rsidR="007D3AC8" w:rsidRPr="007608C2" w:rsidRDefault="007D3AC8" w:rsidP="007D3AC8">
      <w:pPr>
        <w:autoSpaceDE w:val="0"/>
        <w:autoSpaceDN w:val="0"/>
        <w:spacing w:before="100" w:beforeAutospacing="1" w:after="0" w:line="240" w:lineRule="auto"/>
        <w:ind w:left="495"/>
        <w:contextualSpacing/>
        <w:jc w:val="both"/>
        <w:rPr>
          <w:rFonts w:cs="Arial"/>
          <w:lang w:val="es-CO"/>
        </w:rPr>
      </w:pPr>
    </w:p>
    <w:p w:rsidR="00D46B4D" w:rsidRDefault="00D46B4D" w:rsidP="00A44A2B">
      <w:pPr>
        <w:numPr>
          <w:ilvl w:val="0"/>
          <w:numId w:val="80"/>
        </w:numPr>
        <w:autoSpaceDE w:val="0"/>
        <w:autoSpaceDN w:val="0"/>
        <w:spacing w:before="100" w:beforeAutospacing="1" w:after="0" w:line="240" w:lineRule="auto"/>
        <w:contextualSpacing/>
        <w:jc w:val="both"/>
        <w:rPr>
          <w:rFonts w:cs="Arial"/>
          <w:lang w:val="es-CO"/>
        </w:rPr>
      </w:pPr>
      <w:r w:rsidRPr="007608C2">
        <w:rPr>
          <w:rFonts w:cs="Arial"/>
          <w:lang w:val="es-CO"/>
        </w:rPr>
        <w:t>Incluir las acciones y oferta de atención del ICBF en el CONPES para La Guajira.</w:t>
      </w:r>
    </w:p>
    <w:p w:rsidR="007D3AC8" w:rsidRPr="007608C2" w:rsidRDefault="007D3AC8" w:rsidP="007D3AC8">
      <w:pPr>
        <w:autoSpaceDE w:val="0"/>
        <w:autoSpaceDN w:val="0"/>
        <w:spacing w:before="100" w:beforeAutospacing="1" w:after="0" w:line="240" w:lineRule="auto"/>
        <w:contextualSpacing/>
        <w:jc w:val="both"/>
        <w:rPr>
          <w:rFonts w:cs="Arial"/>
          <w:lang w:val="es-CO"/>
        </w:rPr>
      </w:pPr>
    </w:p>
    <w:p w:rsidR="00D46B4D" w:rsidRPr="007608C2" w:rsidRDefault="00D46B4D" w:rsidP="00A44A2B">
      <w:pPr>
        <w:numPr>
          <w:ilvl w:val="0"/>
          <w:numId w:val="80"/>
        </w:numPr>
        <w:spacing w:after="0"/>
        <w:jc w:val="both"/>
        <w:rPr>
          <w:rFonts w:cs="Arial"/>
          <w:lang w:val="es-CO"/>
        </w:rPr>
      </w:pPr>
      <w:r w:rsidRPr="007608C2">
        <w:rPr>
          <w:rFonts w:cs="Arial"/>
          <w:lang w:val="es-CO"/>
        </w:rPr>
        <w:t>Poner en marcha un piloto del modelo de atención integral a comunidades étnicas desde ciclos de vida, familia y comunidades en articulación de las Direcciones Misionales y la Subdirección General.</w:t>
      </w:r>
    </w:p>
    <w:p w:rsidR="007D3AC8" w:rsidRDefault="007D3AC8">
      <w:pPr>
        <w:spacing w:after="0" w:line="240" w:lineRule="auto"/>
        <w:rPr>
          <w:rFonts w:cs="Arial"/>
          <w:lang w:val="es-CO"/>
        </w:rPr>
      </w:pPr>
      <w:r>
        <w:rPr>
          <w:rFonts w:cs="Arial"/>
          <w:lang w:val="es-CO"/>
        </w:rPr>
        <w:br w:type="page"/>
      </w:r>
    </w:p>
    <w:p w:rsidR="00E50049" w:rsidRPr="007608C2" w:rsidRDefault="004146E3" w:rsidP="000D0DF1">
      <w:pPr>
        <w:pStyle w:val="Ttulo1"/>
        <w:numPr>
          <w:ilvl w:val="0"/>
          <w:numId w:val="160"/>
        </w:numPr>
        <w:rPr>
          <w:rFonts w:cs="Arial"/>
        </w:rPr>
      </w:pPr>
      <w:bookmarkStart w:id="125" w:name="_Toc505183082"/>
      <w:r w:rsidRPr="007608C2">
        <w:rPr>
          <w:rFonts w:cs="Arial"/>
        </w:rPr>
        <w:lastRenderedPageBreak/>
        <w:t>ASEGURAMIENTO DE LA CALIDAD</w:t>
      </w:r>
      <w:bookmarkEnd w:id="125"/>
    </w:p>
    <w:p w:rsidR="002C1391" w:rsidRPr="007608C2" w:rsidRDefault="002C1391" w:rsidP="002C1391">
      <w:pPr>
        <w:spacing w:before="100" w:beforeAutospacing="1" w:after="100" w:afterAutospacing="1" w:line="240" w:lineRule="auto"/>
        <w:jc w:val="both"/>
        <w:rPr>
          <w:rFonts w:cs="Arial"/>
        </w:rPr>
      </w:pPr>
      <w:r w:rsidRPr="007608C2">
        <w:rPr>
          <w:rFonts w:cs="Arial"/>
        </w:rPr>
        <w:t xml:space="preserve">El artículo 5 del Decreto 987 de 2012 establece las funciones que se encuentran asignadas a la Oficina de Aseguramiento de la Calidad, teniendo como principales establecer los lineamientos para el otorgamiento, reconocimiento y renovación de personerías jurídicas y licencias de funcionamiento, así como coordinar la ejecución y seguimiento de las acciones de Inspección, Vigilancia </w:t>
      </w:r>
      <w:r w:rsidR="007D3AC8" w:rsidRPr="007608C2">
        <w:rPr>
          <w:rFonts w:cs="Arial"/>
        </w:rPr>
        <w:t>y Control</w:t>
      </w:r>
      <w:r w:rsidRPr="007608C2">
        <w:rPr>
          <w:rFonts w:cs="Arial"/>
        </w:rPr>
        <w:t xml:space="preserve">. </w:t>
      </w:r>
    </w:p>
    <w:p w:rsidR="002C1391" w:rsidRPr="007608C2" w:rsidRDefault="002C1391" w:rsidP="002C1391">
      <w:pPr>
        <w:spacing w:before="100" w:beforeAutospacing="1" w:after="100" w:afterAutospacing="1" w:line="240" w:lineRule="auto"/>
        <w:jc w:val="both"/>
        <w:rPr>
          <w:rFonts w:cs="Arial"/>
        </w:rPr>
      </w:pPr>
      <w:r w:rsidRPr="007608C2">
        <w:rPr>
          <w:rFonts w:cs="Arial"/>
        </w:rPr>
        <w:t>Dentro del nuevo modelo definido por la Dirección General del ICBF, la labor de la Oficina de Aseguramiento de la Calidad está enfocada en la realización de actividades de inspección, vigilancia y control sobre todas las personas naturales o jurídicas que alberguen o cuiden niños, niñas o adolescentes, mediante la realización de auditorías y visitas que podrán realizase de oficio o a petición de autoridad competente, o por queja o denuncia proveniente de cualquier ciudadano; así como las acciones de seguimiento y evaluación sobre las condiciones en la prestación del servicio, y la sustanciación y trámite de los procesos administrativos sancionatorios.</w:t>
      </w:r>
    </w:p>
    <w:p w:rsidR="002C1391" w:rsidRPr="007608C2" w:rsidRDefault="002C1391" w:rsidP="002C1391">
      <w:pPr>
        <w:spacing w:before="100" w:beforeAutospacing="1" w:after="100" w:afterAutospacing="1" w:line="240" w:lineRule="auto"/>
        <w:jc w:val="both"/>
        <w:rPr>
          <w:rFonts w:cs="Arial"/>
        </w:rPr>
      </w:pPr>
      <w:r w:rsidRPr="007608C2">
        <w:rPr>
          <w:rFonts w:cs="Arial"/>
        </w:rPr>
        <w:t>Con el propósito de  dar cumplimiento a la estrategia institucional de realizar la evaluación de la calidad en la prestación de los servicios misionales del ICBF, la Oficina de Aseguramiento de la Calidad  tiene el compromiso de adelantar entre 2015 y 2018 la inspección a través de visitas y auditorías, con el fin de evaluar el cumplimiento de los requisitos legales, técnicos, administrativos y financieros establecidos en la normativa vigente a las instituciones que presenten el Servicio Público de Bienestar Familiar</w:t>
      </w:r>
      <w:r w:rsidRPr="007608C2">
        <w:rPr>
          <w:rStyle w:val="Refdenotaalpie"/>
          <w:rFonts w:cs="Arial"/>
        </w:rPr>
        <w:footnoteReference w:id="22"/>
      </w:r>
      <w:r w:rsidRPr="007608C2">
        <w:rPr>
          <w:rFonts w:cs="Arial"/>
        </w:rPr>
        <w:t>.</w:t>
      </w:r>
    </w:p>
    <w:p w:rsidR="002C1391" w:rsidRPr="007608C2" w:rsidRDefault="002C1391" w:rsidP="002C1391">
      <w:pPr>
        <w:widowControl w:val="0"/>
        <w:tabs>
          <w:tab w:val="left" w:pos="950"/>
        </w:tabs>
        <w:autoSpaceDE w:val="0"/>
        <w:autoSpaceDN w:val="0"/>
        <w:spacing w:before="100" w:beforeAutospacing="1" w:after="100" w:afterAutospacing="1" w:line="240" w:lineRule="auto"/>
        <w:ind w:right="12"/>
        <w:jc w:val="both"/>
        <w:rPr>
          <w:rFonts w:cs="Arial"/>
        </w:rPr>
      </w:pPr>
      <w:r w:rsidRPr="007608C2">
        <w:rPr>
          <w:rFonts w:cs="Arial"/>
        </w:rPr>
        <w:t>Durante la vigencia 2017, la Oficina de Aseguramiento de la Calidad realizó el fortalecimiento de las acciones de inspección a través de la revisión normativa aplicable a la prestación del Servicio Público de Bienestar Familiar, en especial los Lineamientos Técnico Administrativos correspondientes a cada modalidad de atención y a partir de ello se actualizaron los instrumentos tipo lista de Chequeo, las cuales se encuentran estructuradas a partir de los aspectos exigibles a las entidades, independientemente de si tienen o no Contrato de Aporte con el</w:t>
      </w:r>
      <w:r w:rsidRPr="007608C2">
        <w:rPr>
          <w:rFonts w:cs="Arial"/>
          <w:spacing w:val="-7"/>
        </w:rPr>
        <w:t xml:space="preserve"> </w:t>
      </w:r>
      <w:r w:rsidRPr="007608C2">
        <w:rPr>
          <w:rFonts w:cs="Arial"/>
        </w:rPr>
        <w:t>ICBF.</w:t>
      </w:r>
    </w:p>
    <w:p w:rsidR="002C1391" w:rsidRDefault="002C1391" w:rsidP="002C1391">
      <w:pPr>
        <w:spacing w:before="100" w:beforeAutospacing="1" w:after="100" w:afterAutospacing="1" w:line="240" w:lineRule="auto"/>
        <w:jc w:val="both"/>
        <w:rPr>
          <w:rFonts w:cs="Arial"/>
        </w:rPr>
      </w:pPr>
      <w:r w:rsidRPr="007608C2">
        <w:rPr>
          <w:rFonts w:cs="Arial"/>
        </w:rPr>
        <w:t>L</w:t>
      </w:r>
      <w:r w:rsidR="009D3362" w:rsidRPr="007608C2">
        <w:rPr>
          <w:rFonts w:cs="Arial"/>
        </w:rPr>
        <w:t>a</w:t>
      </w:r>
      <w:r w:rsidRPr="007608C2">
        <w:rPr>
          <w:rFonts w:cs="Arial"/>
        </w:rPr>
        <w:t xml:space="preserve">s principales acciones realizadas en el periodo 2017 se sintetizan en los siguientes ítems: </w:t>
      </w:r>
    </w:p>
    <w:p w:rsidR="002C1391"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Se actualizaron 71 listas de chequeo de las cuales 10 son para las modalidades de Primera Infancia, 1 para modalidad de Nutrición y 60 para las modalidades de Protección. A través de ellas se pretende contar con una estructura unificada y una especificidad para cada modalidad evaluada, precisión en los criterios a evaluar, mayor organización para el desarrollo de las visitas o auditorías, soportar la toma de decisiones a partir de los resultados de la evaluación, generar planes de mejora objetivos y verificables, sustentar situaciones ante eventuales Procesos Administrativos Sancionatorios y generar recomendaciones para las Direcciones Misionales.</w:t>
      </w:r>
    </w:p>
    <w:p w:rsidR="007D3AC8" w:rsidRPr="007608C2" w:rsidRDefault="007D3AC8" w:rsidP="007D3AC8">
      <w:pPr>
        <w:spacing w:before="100" w:beforeAutospacing="1" w:after="100" w:afterAutospacing="1" w:line="240" w:lineRule="auto"/>
        <w:ind w:left="360"/>
        <w:contextualSpacing/>
        <w:jc w:val="both"/>
        <w:rPr>
          <w:rFonts w:cs="Arial"/>
        </w:rPr>
      </w:pPr>
    </w:p>
    <w:p w:rsidR="002C1391"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Se actualizaron los procedimientos de Licencias de Funcionamiento Regional y Procedimiento Personerías Jurídicas, Reformas Estatutarias y Reconoci</w:t>
      </w:r>
      <w:r w:rsidR="007D3AC8">
        <w:rPr>
          <w:rFonts w:cs="Arial"/>
        </w:rPr>
        <w:t>miento para Pertenecer al SNBF.</w:t>
      </w:r>
    </w:p>
    <w:p w:rsidR="007D3AC8" w:rsidRDefault="007D3AC8" w:rsidP="007D3AC8">
      <w:pPr>
        <w:spacing w:before="100" w:beforeAutospacing="1" w:after="100" w:afterAutospacing="1" w:line="240" w:lineRule="auto"/>
        <w:contextualSpacing/>
        <w:jc w:val="both"/>
        <w:rPr>
          <w:rFonts w:cs="Arial"/>
        </w:rPr>
      </w:pPr>
    </w:p>
    <w:p w:rsidR="002C1391" w:rsidRDefault="007D3AC8" w:rsidP="00A44A2B">
      <w:pPr>
        <w:numPr>
          <w:ilvl w:val="0"/>
          <w:numId w:val="79"/>
        </w:numPr>
        <w:spacing w:before="100" w:beforeAutospacing="1" w:after="100" w:afterAutospacing="1" w:line="240" w:lineRule="auto"/>
        <w:contextualSpacing/>
        <w:jc w:val="both"/>
        <w:rPr>
          <w:rFonts w:cs="Arial"/>
        </w:rPr>
      </w:pPr>
      <w:r>
        <w:rPr>
          <w:rFonts w:cs="Arial"/>
        </w:rPr>
        <w:t>S</w:t>
      </w:r>
      <w:r w:rsidR="002C1391" w:rsidRPr="007608C2">
        <w:rPr>
          <w:rFonts w:cs="Arial"/>
        </w:rPr>
        <w:t>e construyeron los procedimientos de Licencias de Funcionamiento Iniciales, Licencias de Funcionamiento Transitorias, Licencia de Funcionamiento Adopción y procedimiento de Licencias de Funcionamiento Madres Gestantes.</w:t>
      </w:r>
    </w:p>
    <w:p w:rsidR="007D3AC8" w:rsidRPr="007608C2" w:rsidRDefault="007D3AC8" w:rsidP="007D3AC8">
      <w:pPr>
        <w:spacing w:before="100" w:beforeAutospacing="1" w:after="100" w:afterAutospacing="1" w:line="240" w:lineRule="auto"/>
        <w:ind w:left="360"/>
        <w:contextualSpacing/>
        <w:jc w:val="both"/>
        <w:rPr>
          <w:rFonts w:cs="Arial"/>
        </w:rPr>
      </w:pPr>
    </w:p>
    <w:p w:rsidR="002C1391"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Se diseñaron y actualizaron 63 instrumentos para otorgar, renovar, suspender o negar Licencias de Funcionamiento para cada modalidad de protección del Instituto Colombiano de Bienestar Familiar, herramientas que han garantizado que se verifique el cumplimiento de todos los requisitos por parte de los prestadores del Servicio Público de Bienestar Familiar garantizando que el Servicio se preste en condiciones óptimas en beneficio de los Niños, Niñas, Adolescentes de este País</w:t>
      </w:r>
      <w:r w:rsidR="007D3AC8">
        <w:rPr>
          <w:rFonts w:cs="Arial"/>
        </w:rPr>
        <w:t>.</w:t>
      </w:r>
    </w:p>
    <w:p w:rsidR="007D3AC8" w:rsidRPr="007608C2" w:rsidRDefault="007D3AC8" w:rsidP="007D3AC8">
      <w:pPr>
        <w:spacing w:before="100" w:beforeAutospacing="1" w:after="100" w:afterAutospacing="1" w:line="240" w:lineRule="auto"/>
        <w:ind w:left="360"/>
        <w:contextualSpacing/>
        <w:jc w:val="both"/>
        <w:rPr>
          <w:rFonts w:cs="Arial"/>
        </w:rPr>
      </w:pPr>
    </w:p>
    <w:p w:rsidR="002C1391"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Se remitieron 10 directrices a los Directores Regionales relacionados con la aplicación de la normativa vigente para el otorgamiento, reconocimiento, suspensión, renovación y cancelación de personerías jurídicas y licencias de funcionamiento, en los siguientes temas: Asistencia técnica a cada una de la Regionales ICBF y personas interesadas en general frente a la aplicación de la normativa vigente, procedimientos, formatos e instrumentos para el otorgamiento, reconocimiento, suspensión, renovación y cancelación de personerías jurídicas y licencias de funcionamiento.</w:t>
      </w:r>
    </w:p>
    <w:p w:rsidR="007D3AC8" w:rsidRPr="007608C2" w:rsidRDefault="007D3AC8" w:rsidP="007D3AC8">
      <w:pPr>
        <w:spacing w:before="100" w:beforeAutospacing="1" w:after="100" w:afterAutospacing="1" w:line="240" w:lineRule="auto"/>
        <w:ind w:left="360"/>
        <w:contextualSpacing/>
        <w:jc w:val="both"/>
        <w:rPr>
          <w:rFonts w:cs="Arial"/>
        </w:rPr>
      </w:pPr>
    </w:p>
    <w:p w:rsidR="002C1391"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Se realizó encuentro nacional de enlaces con el fin de capacitarlos en los temas referentes a otorgamiento, reconocimiento, suspensión, renovación y cancelación de personerías jurídicas y licencias de funcionamiento.</w:t>
      </w:r>
    </w:p>
    <w:p w:rsidR="007D3AC8" w:rsidRPr="007608C2" w:rsidRDefault="007D3AC8" w:rsidP="007D3AC8">
      <w:pPr>
        <w:spacing w:before="100" w:beforeAutospacing="1" w:after="100" w:afterAutospacing="1" w:line="240" w:lineRule="auto"/>
        <w:contextualSpacing/>
        <w:jc w:val="both"/>
        <w:rPr>
          <w:rFonts w:cs="Arial"/>
        </w:rPr>
      </w:pPr>
    </w:p>
    <w:p w:rsidR="002C1391"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Participación en mesas de trabajo que lidera la Subdirección General sobre los requisitos de las instituciones que llevan a cabo el Cuidado y/o Albergue de Niños, Niñas y Adolescentes.</w:t>
      </w:r>
    </w:p>
    <w:p w:rsidR="007D3AC8" w:rsidRPr="007608C2" w:rsidRDefault="007D3AC8" w:rsidP="007D3AC8">
      <w:pPr>
        <w:spacing w:before="100" w:beforeAutospacing="1" w:after="100" w:afterAutospacing="1" w:line="240" w:lineRule="auto"/>
        <w:ind w:left="360"/>
        <w:contextualSpacing/>
        <w:jc w:val="both"/>
        <w:rPr>
          <w:rFonts w:cs="Arial"/>
        </w:rPr>
      </w:pPr>
    </w:p>
    <w:p w:rsidR="002C1391" w:rsidRPr="007608C2"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 xml:space="preserve">Revisión de Licencias de Funcionamiento y Personerías Jurídicas en seis (6) Regionales del ICBF: Atlántico, Santander, Bolívar, Cundinamarca, Tolima y magdalena encontrando aspectos relevantes, los cuales fueron socializados a cada Director Regional a través de un informe detallado de cada uno de los actos administrativos revisados, con el fin de que se tomaran acciones para mejorar el proceso de otorgamiento y renovación de licencias de funcionamiento y reconocimiento de personerías jurídicas. </w:t>
      </w:r>
    </w:p>
    <w:p w:rsidR="00650E34" w:rsidRPr="00650E34" w:rsidRDefault="00650E34" w:rsidP="00650E34">
      <w:pPr>
        <w:spacing w:before="100" w:beforeAutospacing="1" w:after="100" w:afterAutospacing="1" w:line="240" w:lineRule="auto"/>
        <w:ind w:left="360"/>
        <w:contextualSpacing/>
        <w:jc w:val="both"/>
        <w:rPr>
          <w:rFonts w:cs="Arial"/>
        </w:rPr>
      </w:pPr>
    </w:p>
    <w:p w:rsidR="002C1391" w:rsidRDefault="002C1391" w:rsidP="00A44A2B">
      <w:pPr>
        <w:numPr>
          <w:ilvl w:val="0"/>
          <w:numId w:val="79"/>
        </w:numPr>
        <w:spacing w:before="100" w:beforeAutospacing="1" w:after="100" w:afterAutospacing="1" w:line="240" w:lineRule="auto"/>
        <w:contextualSpacing/>
        <w:jc w:val="both"/>
        <w:rPr>
          <w:rFonts w:cs="Arial"/>
        </w:rPr>
      </w:pPr>
      <w:r w:rsidRPr="00650E34">
        <w:rPr>
          <w:rFonts w:cs="Arial"/>
          <w:b/>
        </w:rPr>
        <w:t>Comité Técnico para Casos Especiales de Licencias de Funcionamiento:</w:t>
      </w:r>
      <w:r w:rsidRPr="00650E34">
        <w:rPr>
          <w:rFonts w:cs="Arial"/>
        </w:rPr>
        <w:t xml:space="preserve"> </w:t>
      </w:r>
      <w:r w:rsidR="00650E34">
        <w:rPr>
          <w:rFonts w:cs="Arial"/>
        </w:rPr>
        <w:t>d</w:t>
      </w:r>
      <w:r w:rsidRPr="00650E34">
        <w:rPr>
          <w:rFonts w:cs="Arial"/>
        </w:rPr>
        <w:t>e acuerdo con lo establecido en el Artículo 12-1 de la Resolución No. 9555 del 16 de septiembre de 2016 por medio de la cual se modificó la Resolución 3899 de 2010, “El Comité técnico estará encargado de conceptuar sobre el otorgamiento y renovación de las licencias de funcionamiento en los casos en que una misma persona jurídica atienda diferentes poblaciones y/o modalidades en una misma sede”, la Oficina de Aseguramiento de la Calidad en conjunto con la Dirección de Protección, la Subdirección General y la Oficina Asesora Jurídica llevaron a cabo cincuenta (50) comités para conceptuar sobre el otorgamiento y renovación de las licencias de funcionamiento en los casos en que una misma entidad decida atender diferentes poblaciones y/o modalidades en una misma sede.</w:t>
      </w:r>
    </w:p>
    <w:p w:rsidR="00650E34" w:rsidRDefault="00650E34" w:rsidP="00650E34">
      <w:pPr>
        <w:pStyle w:val="Prrafodelista"/>
        <w:rPr>
          <w:rFonts w:cs="Arial"/>
        </w:rPr>
      </w:pPr>
    </w:p>
    <w:p w:rsidR="002C1391" w:rsidRDefault="002C1391" w:rsidP="00A44A2B">
      <w:pPr>
        <w:numPr>
          <w:ilvl w:val="0"/>
          <w:numId w:val="79"/>
        </w:numPr>
        <w:spacing w:before="100" w:beforeAutospacing="1" w:after="100" w:afterAutospacing="1" w:line="240" w:lineRule="auto"/>
        <w:contextualSpacing/>
        <w:jc w:val="both"/>
        <w:rPr>
          <w:rFonts w:cs="Arial"/>
        </w:rPr>
      </w:pPr>
      <w:r w:rsidRPr="00650E34">
        <w:rPr>
          <w:rFonts w:cs="Arial"/>
          <w:b/>
        </w:rPr>
        <w:lastRenderedPageBreak/>
        <w:t>Procesos Administrativos Sancionatorios:</w:t>
      </w:r>
      <w:r w:rsidRPr="00650E34">
        <w:rPr>
          <w:rFonts w:cs="Arial"/>
        </w:rPr>
        <w:t xml:space="preserve"> </w:t>
      </w:r>
      <w:r w:rsidR="00650E34">
        <w:rPr>
          <w:rFonts w:cs="Arial"/>
        </w:rPr>
        <w:t>e</w:t>
      </w:r>
      <w:r w:rsidRPr="007608C2">
        <w:rPr>
          <w:rFonts w:cs="Arial"/>
        </w:rPr>
        <w:t>n el 2017 se han realizaron 8 comités de inspección, vigilancia y control, donde se determinó la procedencia de iniciar 39 procesos administrativos sancionatorios, de los cuales se ha expedido 1 pliego de cargos. Ahora bien, de los casos respecto a los cuales el comité indicó que se debía tramitar el respectivo proceso durante las vigencias 2014, 2015 y 2016, en el presente año se han elaborado 18 autos de cargos, 24 fallos y 2 recursos de reposición.</w:t>
      </w:r>
    </w:p>
    <w:p w:rsidR="00650E34" w:rsidRPr="00650E34" w:rsidRDefault="00650E34" w:rsidP="00650E34">
      <w:pPr>
        <w:spacing w:before="100" w:beforeAutospacing="1" w:after="100" w:afterAutospacing="1" w:line="240" w:lineRule="auto"/>
        <w:contextualSpacing/>
        <w:jc w:val="both"/>
        <w:rPr>
          <w:rFonts w:cs="Arial"/>
        </w:rPr>
      </w:pPr>
    </w:p>
    <w:p w:rsidR="002C1391" w:rsidRPr="00650E34" w:rsidRDefault="002C1391" w:rsidP="00A44A2B">
      <w:pPr>
        <w:numPr>
          <w:ilvl w:val="0"/>
          <w:numId w:val="79"/>
        </w:numPr>
        <w:spacing w:before="100" w:beforeAutospacing="1" w:after="100" w:afterAutospacing="1" w:line="240" w:lineRule="auto"/>
        <w:contextualSpacing/>
        <w:jc w:val="both"/>
        <w:rPr>
          <w:rFonts w:cs="Arial"/>
        </w:rPr>
      </w:pPr>
      <w:r w:rsidRPr="00650E34">
        <w:rPr>
          <w:rFonts w:cs="Arial"/>
          <w:b/>
        </w:rPr>
        <w:t>Sistema de Información OAC ONLINE:</w:t>
      </w:r>
      <w:r w:rsidR="00650E34">
        <w:rPr>
          <w:rFonts w:cs="Arial"/>
        </w:rPr>
        <w:t xml:space="preserve"> a</w:t>
      </w:r>
      <w:r w:rsidRPr="007608C2">
        <w:rPr>
          <w:rFonts w:cs="Arial"/>
        </w:rPr>
        <w:t xml:space="preserve"> partir del 4 agosto del 2017 se inició el proyecto piloto del Sistema de Información OAC ONLINE y se han incluido a la fecha 20 Licencias Iniciales de las diferentes regionales.  A partir del 13 de septiembre de 2017 se ha brindado asistencia técnica a 16 entidades con el fin de que conozcan el paso a paso para ingresar al Sistema de Información OAC ONLINE la solicitud de Licencias Iniciales.</w:t>
      </w:r>
    </w:p>
    <w:p w:rsidR="002C1391" w:rsidRPr="007608C2" w:rsidRDefault="002C1391" w:rsidP="00A44A2B">
      <w:pPr>
        <w:pStyle w:val="Ttulo2"/>
        <w:numPr>
          <w:ilvl w:val="1"/>
          <w:numId w:val="36"/>
        </w:numPr>
        <w:ind w:left="502"/>
        <w:rPr>
          <w:rFonts w:cs="Arial"/>
          <w:b/>
        </w:rPr>
      </w:pPr>
      <w:r w:rsidRPr="007608C2">
        <w:rPr>
          <w:rFonts w:cs="Arial"/>
          <w:b/>
        </w:rPr>
        <w:t xml:space="preserve"> </w:t>
      </w:r>
      <w:bookmarkStart w:id="126" w:name="_Toc503465532"/>
      <w:bookmarkStart w:id="127" w:name="_Toc504639040"/>
      <w:bookmarkStart w:id="128" w:name="_Toc505183083"/>
      <w:r w:rsidRPr="007608C2">
        <w:rPr>
          <w:rFonts w:cs="Arial"/>
          <w:b/>
        </w:rPr>
        <w:t>LOGROS 2017</w:t>
      </w:r>
      <w:bookmarkEnd w:id="126"/>
      <w:bookmarkEnd w:id="127"/>
      <w:bookmarkEnd w:id="128"/>
    </w:p>
    <w:p w:rsidR="002C1391" w:rsidRPr="007608C2" w:rsidRDefault="002C1391" w:rsidP="002C1391">
      <w:pPr>
        <w:spacing w:before="100" w:beforeAutospacing="1" w:after="100" w:afterAutospacing="1" w:line="240" w:lineRule="auto"/>
        <w:jc w:val="both"/>
        <w:rPr>
          <w:rFonts w:cs="Arial"/>
        </w:rPr>
      </w:pPr>
      <w:r w:rsidRPr="007608C2">
        <w:rPr>
          <w:rFonts w:cs="Arial"/>
        </w:rPr>
        <w:t xml:space="preserve">Los principales logros del periodo 2017 se sintetizan en los siguientes ítems: </w:t>
      </w:r>
    </w:p>
    <w:p w:rsidR="002C1391" w:rsidRPr="007608C2" w:rsidRDefault="002C1391" w:rsidP="00A44A2B">
      <w:pPr>
        <w:pStyle w:val="Arialsinespacio"/>
        <w:numPr>
          <w:ilvl w:val="0"/>
          <w:numId w:val="141"/>
        </w:numPr>
        <w:spacing w:before="100" w:beforeAutospacing="1" w:after="100" w:afterAutospacing="1"/>
        <w:jc w:val="both"/>
        <w:rPr>
          <w:rFonts w:cs="Arial"/>
          <w:lang w:val="es-CO"/>
        </w:rPr>
      </w:pPr>
      <w:r w:rsidRPr="007608C2">
        <w:rPr>
          <w:rFonts w:cs="Arial"/>
          <w:szCs w:val="22"/>
          <w:lang w:val="es-CO"/>
        </w:rPr>
        <w:t>S</w:t>
      </w:r>
      <w:r w:rsidRPr="007608C2">
        <w:rPr>
          <w:rFonts w:cs="Arial"/>
          <w:szCs w:val="22"/>
        </w:rPr>
        <w:t xml:space="preserve">e realizaron en total </w:t>
      </w:r>
      <w:r w:rsidRPr="007608C2">
        <w:rPr>
          <w:rFonts w:cs="Arial"/>
          <w:b/>
          <w:szCs w:val="22"/>
          <w:lang w:val="es-CO"/>
        </w:rPr>
        <w:t>141</w:t>
      </w:r>
      <w:r w:rsidRPr="007608C2">
        <w:rPr>
          <w:rFonts w:cs="Arial"/>
          <w:szCs w:val="22"/>
          <w:lang w:val="es-CO"/>
        </w:rPr>
        <w:t xml:space="preserve"> acciones</w:t>
      </w:r>
      <w:r w:rsidRPr="007608C2">
        <w:rPr>
          <w:rFonts w:cs="Arial"/>
          <w:szCs w:val="22"/>
        </w:rPr>
        <w:t xml:space="preserve"> de inspección</w:t>
      </w:r>
      <w:r w:rsidRPr="007608C2">
        <w:rPr>
          <w:rFonts w:cs="Arial"/>
          <w:szCs w:val="22"/>
          <w:lang w:val="es-CO"/>
        </w:rPr>
        <w:t xml:space="preserve"> que se distribuyeron en 50 auditorías y 91 visitas, cuyo estado es el siguiente:</w:t>
      </w:r>
    </w:p>
    <w:p w:rsidR="00650E34" w:rsidRPr="00650E34" w:rsidRDefault="002C1391" w:rsidP="00A44A2B">
      <w:pPr>
        <w:pStyle w:val="Arialsinespacio"/>
        <w:numPr>
          <w:ilvl w:val="1"/>
          <w:numId w:val="18"/>
        </w:numPr>
        <w:spacing w:before="100" w:beforeAutospacing="1" w:after="100" w:afterAutospacing="1"/>
        <w:ind w:left="1080"/>
        <w:jc w:val="both"/>
        <w:rPr>
          <w:rFonts w:cs="Arial"/>
          <w:lang w:val="es-CO"/>
        </w:rPr>
      </w:pPr>
      <w:r w:rsidRPr="007608C2">
        <w:rPr>
          <w:rFonts w:cs="Arial"/>
          <w:b/>
          <w:lang w:val="es-CO"/>
        </w:rPr>
        <w:t xml:space="preserve">Visitas: </w:t>
      </w:r>
      <w:r w:rsidR="00650E34">
        <w:rPr>
          <w:rFonts w:cs="Arial"/>
          <w:lang w:val="es-CO"/>
        </w:rPr>
        <w:t>d</w:t>
      </w:r>
      <w:r w:rsidRPr="007608C2">
        <w:rPr>
          <w:rFonts w:cs="Arial"/>
          <w:lang w:val="es-CO"/>
        </w:rPr>
        <w:t>e las 91 visitas realizadas, 58 se encuentran en plan de mejora, 5 cerradas y 28 en Proceso Administrativo Sancionatorio.</w:t>
      </w:r>
    </w:p>
    <w:p w:rsidR="002C1391" w:rsidRPr="007608C2" w:rsidRDefault="002C1391" w:rsidP="00A44A2B">
      <w:pPr>
        <w:pStyle w:val="Prrafodelista"/>
        <w:numPr>
          <w:ilvl w:val="1"/>
          <w:numId w:val="18"/>
        </w:numPr>
        <w:spacing w:before="100" w:beforeAutospacing="1" w:after="100" w:afterAutospacing="1" w:line="240" w:lineRule="auto"/>
        <w:ind w:left="1080"/>
        <w:jc w:val="both"/>
        <w:rPr>
          <w:rFonts w:cs="Arial"/>
          <w:lang w:val="es-CO"/>
        </w:rPr>
      </w:pPr>
      <w:r w:rsidRPr="007608C2">
        <w:rPr>
          <w:rFonts w:cs="Arial"/>
          <w:b/>
          <w:lang w:val="es-CO"/>
        </w:rPr>
        <w:t>Auditorías:</w:t>
      </w:r>
      <w:r w:rsidR="00650E34">
        <w:rPr>
          <w:rFonts w:cs="Arial"/>
          <w:lang w:val="es-CO"/>
        </w:rPr>
        <w:t xml:space="preserve"> d</w:t>
      </w:r>
      <w:r w:rsidRPr="007608C2">
        <w:rPr>
          <w:rFonts w:cs="Arial"/>
          <w:lang w:val="es-CO"/>
        </w:rPr>
        <w:t xml:space="preserve">e las 50 auditorías </w:t>
      </w:r>
      <w:r w:rsidRPr="007608C2">
        <w:rPr>
          <w:rFonts w:cs="Arial"/>
        </w:rPr>
        <w:t xml:space="preserve">realizadas, 16 </w:t>
      </w:r>
      <w:r w:rsidRPr="007608C2">
        <w:rPr>
          <w:rFonts w:cs="Arial"/>
          <w:lang w:val="es-CO"/>
        </w:rPr>
        <w:t>se encuentran en plan de mejora y 34 en Proceso Administrativo Sancionatorio.</w:t>
      </w:r>
    </w:p>
    <w:p w:rsidR="002C1391" w:rsidRPr="007608C2" w:rsidRDefault="002C1391" w:rsidP="00A44A2B">
      <w:pPr>
        <w:pStyle w:val="Prrafodelista"/>
        <w:numPr>
          <w:ilvl w:val="0"/>
          <w:numId w:val="31"/>
        </w:numPr>
        <w:shd w:val="clear" w:color="auto" w:fill="FFFFFF"/>
        <w:spacing w:before="100" w:beforeAutospacing="1" w:after="100" w:afterAutospacing="1" w:line="240" w:lineRule="auto"/>
        <w:contextualSpacing/>
        <w:jc w:val="both"/>
        <w:rPr>
          <w:rFonts w:cs="Arial"/>
        </w:rPr>
      </w:pPr>
      <w:r w:rsidRPr="007608C2">
        <w:rPr>
          <w:rFonts w:cs="Arial"/>
          <w:lang w:val="es-CO"/>
        </w:rPr>
        <w:t xml:space="preserve">Modificación de </w:t>
      </w:r>
      <w:r w:rsidRPr="007608C2">
        <w:rPr>
          <w:rFonts w:cs="Arial"/>
        </w:rPr>
        <w:t>la Resolución 3899 de 2010 a través de la Resolución No. 4242 del 9 de junio de 2017 en donde se estableció</w:t>
      </w:r>
      <w:r w:rsidRPr="007608C2">
        <w:rPr>
          <w:rFonts w:cs="Arial"/>
          <w:lang w:val="es-CO"/>
        </w:rPr>
        <w:t xml:space="preserve"> </w:t>
      </w:r>
      <w:r w:rsidRPr="007608C2">
        <w:rPr>
          <w:rFonts w:cs="Arial"/>
        </w:rPr>
        <w:t>la Licencia de Funcionamiento Inicial documental donde se autoriza a la persona jurídica prestar servicios en las diferentes modalidades del Sistema de Responsabilidad Penal en inmuebles de propiedad del ICBF o de aquellos que se encuentren en comodato</w:t>
      </w:r>
      <w:r w:rsidRPr="007608C2">
        <w:rPr>
          <w:rFonts w:cs="Arial"/>
          <w:lang w:val="es-CO"/>
        </w:rPr>
        <w:t xml:space="preserve">; y la Resolución No. 8282 del 14 de septiembre de 2017, en donde se estableció que los Directores Regionales realizan el seguimiento semestral a los planes de mejoramiento de las Licencias Transitorias de las modalidades de Restablecimiento en Administración de Justicia y las no privativas de la Libertad del Sistema de Responsabilidad Penal para Adolescentes, se incluyeron las modalidades que no necesitan capacidad instalada en el acto administrativo, la capacidad instalada en las modalidades de intervención de apoyo y nuevas acciones de control y seguimiento; cambió el nombre de comité técnico para conceptuar sobre el otorgamiento y renovación de licencias de funcionamiento por comité técnico de mezclas de poblaciones y/o modalidades. </w:t>
      </w:r>
      <w:r w:rsidRPr="007608C2">
        <w:rPr>
          <w:rFonts w:cs="Arial"/>
        </w:rPr>
        <w:t xml:space="preserve">Lo anterior </w:t>
      </w:r>
      <w:r w:rsidRPr="007608C2">
        <w:rPr>
          <w:rFonts w:cs="Arial"/>
          <w:lang w:val="es-CO"/>
        </w:rPr>
        <w:t>a</w:t>
      </w:r>
      <w:r w:rsidRPr="007608C2">
        <w:rPr>
          <w:rFonts w:cs="Arial"/>
        </w:rPr>
        <w:t>tendiendo a las diferentes situaciones encontradas durante el trámite de otorgamiento de Licencias de Funcionamiento y revisión de las mismas en las Direcciones Regionales</w:t>
      </w:r>
      <w:r w:rsidRPr="007608C2">
        <w:rPr>
          <w:rFonts w:cs="Arial"/>
          <w:lang w:val="es-CO"/>
        </w:rPr>
        <w:t>.</w:t>
      </w:r>
      <w:r w:rsidRPr="007608C2">
        <w:rPr>
          <w:rFonts w:cs="Arial"/>
        </w:rPr>
        <w:t xml:space="preserve"> </w:t>
      </w:r>
    </w:p>
    <w:p w:rsidR="002C1391" w:rsidRPr="007608C2" w:rsidRDefault="002C1391" w:rsidP="002C1391">
      <w:pPr>
        <w:pStyle w:val="Prrafodelista"/>
        <w:shd w:val="clear" w:color="auto" w:fill="FFFFFF"/>
        <w:spacing w:before="100" w:beforeAutospacing="1" w:after="100" w:afterAutospacing="1" w:line="240" w:lineRule="auto"/>
        <w:ind w:left="360"/>
        <w:contextualSpacing/>
        <w:jc w:val="both"/>
        <w:rPr>
          <w:rFonts w:cs="Arial"/>
        </w:rPr>
      </w:pPr>
    </w:p>
    <w:p w:rsidR="002C1391" w:rsidRPr="007608C2" w:rsidRDefault="002C1391" w:rsidP="00A44A2B">
      <w:pPr>
        <w:pStyle w:val="Prrafodelista"/>
        <w:numPr>
          <w:ilvl w:val="0"/>
          <w:numId w:val="31"/>
        </w:numPr>
        <w:shd w:val="clear" w:color="auto" w:fill="FFFFFF"/>
        <w:spacing w:before="100" w:beforeAutospacing="1" w:after="100" w:afterAutospacing="1" w:line="240" w:lineRule="auto"/>
        <w:contextualSpacing/>
        <w:jc w:val="both"/>
        <w:rPr>
          <w:rFonts w:cs="Arial"/>
        </w:rPr>
      </w:pPr>
      <w:r w:rsidRPr="007608C2">
        <w:rPr>
          <w:rFonts w:cs="Arial"/>
          <w:lang w:val="es-CO"/>
        </w:rPr>
        <w:t>Se</w:t>
      </w:r>
      <w:r w:rsidRPr="007608C2">
        <w:rPr>
          <w:rFonts w:cs="Arial"/>
        </w:rPr>
        <w:t xml:space="preserve"> expidió la Resolución No. 0350 de</w:t>
      </w:r>
      <w:r w:rsidRPr="007608C2">
        <w:rPr>
          <w:rFonts w:cs="Arial"/>
          <w:lang w:val="es-CO"/>
        </w:rPr>
        <w:t>l 27 de enero de</w:t>
      </w:r>
      <w:r w:rsidRPr="007608C2">
        <w:rPr>
          <w:rFonts w:cs="Arial"/>
        </w:rPr>
        <w:t xml:space="preserve"> 2017, donde se establecen los requisitos para la autorización de la prestación del servicio de protección integral en contingencia para niños, niñas y adolescentes desvinculados de grupos armados organizados al margen de la ley.</w:t>
      </w:r>
      <w:r w:rsidRPr="007608C2">
        <w:rPr>
          <w:rFonts w:cs="Arial"/>
          <w:lang w:val="es-CO"/>
        </w:rPr>
        <w:t xml:space="preserve">  Posteriormente se realiza acto administrativo modificatorio a través de la </w:t>
      </w:r>
      <w:r w:rsidRPr="007608C2">
        <w:rPr>
          <w:rFonts w:cs="Arial"/>
          <w:lang w:val="es-CO"/>
        </w:rPr>
        <w:lastRenderedPageBreak/>
        <w:t xml:space="preserve">Resolución No. 1940 del 27 de marzo de 2017, en donde se incluyeron los Requisitos Administrativos. Finalmente se realiza adición a la Resolución </w:t>
      </w:r>
      <w:r w:rsidRPr="007608C2">
        <w:rPr>
          <w:rFonts w:cs="Arial"/>
        </w:rPr>
        <w:t>No. 0350 de 2017 a través de la Resolución No. 5371 del 6 de julio de 2017, en donde la autorización se extiende para que los mayores de edad permanezcan en los lugares autorizados.</w:t>
      </w:r>
    </w:p>
    <w:p w:rsidR="002C1391" w:rsidRPr="007608C2" w:rsidRDefault="002C1391" w:rsidP="002C1391">
      <w:pPr>
        <w:pStyle w:val="Prrafodelista"/>
        <w:shd w:val="clear" w:color="auto" w:fill="FFFFFF"/>
        <w:spacing w:before="100" w:beforeAutospacing="1" w:after="100" w:afterAutospacing="1" w:line="240" w:lineRule="auto"/>
        <w:ind w:left="360"/>
        <w:contextualSpacing/>
        <w:jc w:val="both"/>
        <w:rPr>
          <w:rFonts w:cs="Arial"/>
        </w:rPr>
      </w:pPr>
    </w:p>
    <w:p w:rsidR="002C1391" w:rsidRPr="007608C2" w:rsidRDefault="002C1391" w:rsidP="00A44A2B">
      <w:pPr>
        <w:pStyle w:val="Prrafodelista"/>
        <w:numPr>
          <w:ilvl w:val="0"/>
          <w:numId w:val="31"/>
        </w:numPr>
        <w:shd w:val="clear" w:color="auto" w:fill="FFFFFF"/>
        <w:spacing w:before="100" w:beforeAutospacing="1" w:after="100" w:afterAutospacing="1" w:line="240" w:lineRule="auto"/>
        <w:contextualSpacing/>
        <w:jc w:val="both"/>
        <w:rPr>
          <w:rFonts w:cs="Arial"/>
        </w:rPr>
      </w:pPr>
      <w:r w:rsidRPr="007608C2">
        <w:rPr>
          <w:rFonts w:cs="Arial"/>
          <w:b/>
        </w:rPr>
        <w:t xml:space="preserve">Licencias de funcionamiento iniciales: </w:t>
      </w:r>
      <w:r w:rsidRPr="007608C2">
        <w:rPr>
          <w:rFonts w:cs="Arial"/>
        </w:rPr>
        <w:t>durante 2017 se recibieron 279 solicitudes de Licencias Iniciales</w:t>
      </w:r>
      <w:r w:rsidRPr="007608C2">
        <w:rPr>
          <w:rFonts w:cs="Arial"/>
          <w:b/>
        </w:rPr>
        <w:t xml:space="preserve"> </w:t>
      </w:r>
      <w:r w:rsidRPr="007608C2">
        <w:rPr>
          <w:rFonts w:cs="Arial"/>
        </w:rPr>
        <w:t xml:space="preserve">a diciembre de 2017, se otorgaron 51 Licencias de Funcionamiento, se está en espera de respuesta por parte de la entidad de 123, está en revisión por la oficina 54, en proyección de actos administrativos de 2, se desistió de 36 y se cancelaron 1 y cerradas 12 licencias de funcionamiento. </w:t>
      </w:r>
    </w:p>
    <w:p w:rsidR="002C1391" w:rsidRPr="007608C2" w:rsidRDefault="002C1391" w:rsidP="002C1391">
      <w:pPr>
        <w:pStyle w:val="Prrafodelista"/>
        <w:shd w:val="clear" w:color="auto" w:fill="FFFFFF"/>
        <w:spacing w:before="100" w:beforeAutospacing="1" w:after="100" w:afterAutospacing="1" w:line="240" w:lineRule="auto"/>
        <w:ind w:left="360"/>
        <w:contextualSpacing/>
        <w:jc w:val="both"/>
        <w:rPr>
          <w:rFonts w:cs="Arial"/>
        </w:rPr>
      </w:pPr>
    </w:p>
    <w:p w:rsidR="002C1391" w:rsidRPr="00966F2E" w:rsidRDefault="002C1391" w:rsidP="00A44A2B">
      <w:pPr>
        <w:pStyle w:val="Prrafodelista"/>
        <w:numPr>
          <w:ilvl w:val="0"/>
          <w:numId w:val="31"/>
        </w:numPr>
        <w:shd w:val="clear" w:color="auto" w:fill="FFFFFF"/>
        <w:spacing w:before="100" w:beforeAutospacing="1" w:after="100" w:afterAutospacing="1" w:line="240" w:lineRule="auto"/>
        <w:contextualSpacing/>
        <w:jc w:val="both"/>
        <w:rPr>
          <w:rFonts w:asciiTheme="minorHAnsi" w:hAnsiTheme="minorHAnsi" w:cstheme="minorHAnsi"/>
        </w:rPr>
      </w:pPr>
      <w:r w:rsidRPr="007608C2">
        <w:rPr>
          <w:rFonts w:cs="Arial"/>
          <w:b/>
        </w:rPr>
        <w:t>Renovación de Licencias de Funcionamiento de la modalidad Internado Gestantes y/o Lactantes y</w:t>
      </w:r>
      <w:r w:rsidRPr="00966F2E">
        <w:rPr>
          <w:rFonts w:asciiTheme="minorHAnsi" w:hAnsiTheme="minorHAnsi" w:cstheme="minorHAnsi"/>
          <w:b/>
        </w:rPr>
        <w:t xml:space="preserve"> Programa de Adopción: </w:t>
      </w:r>
      <w:r w:rsidRPr="00966F2E">
        <w:rPr>
          <w:rFonts w:asciiTheme="minorHAnsi" w:hAnsiTheme="minorHAnsi" w:cstheme="minorHAnsi"/>
        </w:rPr>
        <w:t>durante 2017 se negaron dos (2) Licencias de Funcionamiento para el Programa de Adopción y dos (2) para el programa Especializado de gestantes y/o Lactantes. Se otorgaron diez (10) Licencias de Funcionamiento para el Programa Especializado de Gestantes y/o Lactantes.</w:t>
      </w:r>
    </w:p>
    <w:p w:rsidR="002C1391" w:rsidRPr="007608C2" w:rsidRDefault="002C1391" w:rsidP="002C1391">
      <w:pPr>
        <w:pStyle w:val="Prrafodelista"/>
        <w:shd w:val="clear" w:color="auto" w:fill="FFFFFF"/>
        <w:spacing w:before="100" w:beforeAutospacing="1" w:after="100" w:afterAutospacing="1" w:line="240" w:lineRule="auto"/>
        <w:ind w:left="360"/>
        <w:contextualSpacing/>
        <w:jc w:val="both"/>
        <w:rPr>
          <w:rFonts w:cs="Arial"/>
        </w:rPr>
      </w:pPr>
    </w:p>
    <w:p w:rsidR="002C1391" w:rsidRPr="007608C2" w:rsidRDefault="002C1391" w:rsidP="00A44A2B">
      <w:pPr>
        <w:pStyle w:val="Prrafodelista"/>
        <w:numPr>
          <w:ilvl w:val="0"/>
          <w:numId w:val="31"/>
        </w:numPr>
        <w:shd w:val="clear" w:color="auto" w:fill="FFFFFF"/>
        <w:spacing w:before="100" w:beforeAutospacing="1" w:after="100" w:afterAutospacing="1" w:line="240" w:lineRule="auto"/>
        <w:contextualSpacing/>
        <w:jc w:val="both"/>
        <w:rPr>
          <w:rFonts w:cs="Arial"/>
        </w:rPr>
      </w:pPr>
      <w:r w:rsidRPr="007608C2">
        <w:rPr>
          <w:rFonts w:cs="Arial"/>
          <w:b/>
        </w:rPr>
        <w:t xml:space="preserve">Licencias de Funcionamiento Transitorias del SRPA: </w:t>
      </w:r>
      <w:r w:rsidRPr="007608C2">
        <w:rPr>
          <w:rFonts w:cs="Arial"/>
        </w:rPr>
        <w:t xml:space="preserve">Teniendo en cuenta lo dispuesto por la Resolución 6130 de agosto de 2015 y la Resolución 8282 de septiembre de 2017 por medio de la cual se modificó la Resolución 3899 de 2010 en el sentido de establecer la licencia de funcionamiento transitoria para las modalidades del Sistema de Responsabilidad Penal Para Adolescentes y en Conflicto con la Ley, la Oficina de Aseguramiento de la Calidad en conjunto con la Dirección de Protección – Subdirección de Responsabilidad Penal han realizado la revisión y aprobación de los planes de mejoramiento presentados por la entidades que operan las mencionadas modalidades, cuyo estado es el siguiente:  </w:t>
      </w:r>
    </w:p>
    <w:p w:rsidR="002C1391" w:rsidRPr="007608C2" w:rsidRDefault="002C1391" w:rsidP="00A44A2B">
      <w:pPr>
        <w:numPr>
          <w:ilvl w:val="1"/>
          <w:numId w:val="17"/>
        </w:numPr>
        <w:spacing w:before="100" w:beforeAutospacing="1" w:after="100" w:afterAutospacing="1" w:line="240" w:lineRule="auto"/>
        <w:jc w:val="both"/>
        <w:rPr>
          <w:rFonts w:eastAsiaTheme="minorHAnsi" w:cs="Arial"/>
          <w:lang w:val="es-CO"/>
        </w:rPr>
      </w:pPr>
      <w:r w:rsidRPr="007608C2">
        <w:rPr>
          <w:rFonts w:cs="Arial"/>
        </w:rPr>
        <w:t>Aprobados: 101 Planes de Mejoramiento</w:t>
      </w:r>
    </w:p>
    <w:p w:rsidR="002C1391" w:rsidRPr="007608C2" w:rsidRDefault="002C1391" w:rsidP="00A44A2B">
      <w:pPr>
        <w:numPr>
          <w:ilvl w:val="1"/>
          <w:numId w:val="17"/>
        </w:numPr>
        <w:spacing w:before="100" w:beforeAutospacing="1" w:after="100" w:afterAutospacing="1" w:line="240" w:lineRule="auto"/>
        <w:jc w:val="both"/>
        <w:rPr>
          <w:rFonts w:cs="Arial"/>
        </w:rPr>
      </w:pPr>
      <w:r w:rsidRPr="007608C2">
        <w:rPr>
          <w:rFonts w:cs="Arial"/>
        </w:rPr>
        <w:t>No Aprobados: 11 Planes de Mejoramiento</w:t>
      </w:r>
    </w:p>
    <w:p w:rsidR="002C1391" w:rsidRPr="007608C2" w:rsidRDefault="002C1391" w:rsidP="00A44A2B">
      <w:pPr>
        <w:numPr>
          <w:ilvl w:val="1"/>
          <w:numId w:val="17"/>
        </w:numPr>
        <w:spacing w:before="100" w:beforeAutospacing="1" w:after="100" w:afterAutospacing="1" w:line="240" w:lineRule="auto"/>
        <w:jc w:val="both"/>
        <w:rPr>
          <w:rFonts w:cs="Arial"/>
        </w:rPr>
      </w:pPr>
      <w:r w:rsidRPr="007608C2">
        <w:rPr>
          <w:rFonts w:cs="Arial"/>
        </w:rPr>
        <w:t>Total: 112 Planes de Mejoramiento</w:t>
      </w:r>
    </w:p>
    <w:p w:rsidR="002C1391" w:rsidRPr="007608C2" w:rsidRDefault="002C1391" w:rsidP="00A44A2B">
      <w:pPr>
        <w:pStyle w:val="Ttulo2"/>
        <w:numPr>
          <w:ilvl w:val="1"/>
          <w:numId w:val="36"/>
        </w:numPr>
        <w:ind w:left="502"/>
        <w:rPr>
          <w:rFonts w:cs="Arial"/>
          <w:b/>
        </w:rPr>
      </w:pPr>
      <w:bookmarkStart w:id="129" w:name="_Toc503465533"/>
      <w:bookmarkStart w:id="130" w:name="_Toc504639041"/>
      <w:bookmarkStart w:id="131" w:name="_Toc505183084"/>
      <w:r w:rsidRPr="007608C2">
        <w:rPr>
          <w:rFonts w:cs="Arial"/>
          <w:b/>
        </w:rPr>
        <w:t>RETOS 2018</w:t>
      </w:r>
      <w:bookmarkEnd w:id="129"/>
      <w:bookmarkEnd w:id="130"/>
      <w:bookmarkEnd w:id="131"/>
      <w:r w:rsidRPr="007608C2">
        <w:rPr>
          <w:rFonts w:cs="Arial"/>
          <w:b/>
        </w:rPr>
        <w:t xml:space="preserve"> </w:t>
      </w:r>
    </w:p>
    <w:p w:rsidR="00636DA5"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Articular con la Dirección de Nutrición y la Subdirección de Mejoramiento Organizacional los ajustes necesarios tanto en el proceso de Inspección, Vigilancia y Control como en los procesos de cada una de estas áreas, con el fin de dar cumplimiento a todas y cada una de las funciones establecidas a cargo de la Oficina de Aseguramiento de la Calidad, las cuales no fueron modificadas por el Departamento de la Función Pública de acuerdo a la Información remitida por la Dirección de Planeación.</w:t>
      </w:r>
    </w:p>
    <w:p w:rsidR="00636DA5" w:rsidRPr="00636DA5" w:rsidRDefault="00636DA5" w:rsidP="00636DA5">
      <w:pPr>
        <w:spacing w:before="100" w:beforeAutospacing="1" w:after="100" w:afterAutospacing="1" w:line="240" w:lineRule="auto"/>
        <w:ind w:left="360"/>
        <w:contextualSpacing/>
        <w:jc w:val="both"/>
        <w:rPr>
          <w:rFonts w:cs="Arial"/>
        </w:rPr>
      </w:pPr>
    </w:p>
    <w:p w:rsidR="00636DA5" w:rsidRDefault="002C1391" w:rsidP="00A44A2B">
      <w:pPr>
        <w:numPr>
          <w:ilvl w:val="0"/>
          <w:numId w:val="79"/>
        </w:numPr>
        <w:spacing w:before="100" w:beforeAutospacing="1" w:after="100" w:afterAutospacing="1" w:line="240" w:lineRule="auto"/>
        <w:contextualSpacing/>
        <w:jc w:val="both"/>
        <w:rPr>
          <w:rFonts w:cs="Arial"/>
        </w:rPr>
      </w:pPr>
      <w:r w:rsidRPr="00636DA5">
        <w:rPr>
          <w:rFonts w:cs="Arial"/>
        </w:rPr>
        <w:t>Lograr que las Direcciones Regionales otorguen las licencias de funcionamiento con el lleno de requisitos exigidos por la normativa vigente y los procedimientos establecidos por esta Oficina.</w:t>
      </w:r>
    </w:p>
    <w:p w:rsidR="00636DA5" w:rsidRDefault="00636DA5" w:rsidP="00636DA5">
      <w:pPr>
        <w:spacing w:before="100" w:beforeAutospacing="1" w:after="100" w:afterAutospacing="1" w:line="240" w:lineRule="auto"/>
        <w:contextualSpacing/>
        <w:jc w:val="both"/>
        <w:rPr>
          <w:rFonts w:cs="Arial"/>
        </w:rPr>
      </w:pPr>
    </w:p>
    <w:p w:rsidR="00636DA5" w:rsidRPr="00636DA5" w:rsidRDefault="00636DA5" w:rsidP="00636DA5">
      <w:pPr>
        <w:spacing w:before="100" w:beforeAutospacing="1" w:after="100" w:afterAutospacing="1" w:line="240" w:lineRule="auto"/>
        <w:contextualSpacing/>
        <w:jc w:val="both"/>
        <w:rPr>
          <w:rFonts w:cs="Arial"/>
        </w:rPr>
      </w:pPr>
    </w:p>
    <w:p w:rsidR="002C1391"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lastRenderedPageBreak/>
        <w:t>Incrementar las acciones de inspección en un 30% para el año 2018, con el fin de mejorar la calidad de la prestación del servicio Público de Bienestar Familiar para los niños, niñas y adolescentes.</w:t>
      </w:r>
    </w:p>
    <w:p w:rsidR="00636DA5" w:rsidRPr="007608C2" w:rsidRDefault="00636DA5" w:rsidP="00636DA5">
      <w:pPr>
        <w:spacing w:before="100" w:beforeAutospacing="1" w:after="100" w:afterAutospacing="1" w:line="240" w:lineRule="auto"/>
        <w:contextualSpacing/>
        <w:jc w:val="both"/>
        <w:rPr>
          <w:rFonts w:cs="Arial"/>
        </w:rPr>
      </w:pPr>
    </w:p>
    <w:p w:rsidR="00636DA5"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Gestionar ante la dirección de talento humano el aumento del personal de apoyo de la oficina de Aseguramiento de la calidad para atender los requerimientos en materia de eficiencia en el desarrollo de las acciones de inspección requeridas.</w:t>
      </w:r>
    </w:p>
    <w:p w:rsidR="002C1391" w:rsidRPr="007608C2" w:rsidRDefault="002C1391" w:rsidP="00636DA5">
      <w:pPr>
        <w:spacing w:before="100" w:beforeAutospacing="1" w:after="100" w:afterAutospacing="1" w:line="240" w:lineRule="auto"/>
        <w:contextualSpacing/>
        <w:jc w:val="both"/>
        <w:rPr>
          <w:rFonts w:cs="Arial"/>
        </w:rPr>
      </w:pPr>
      <w:r w:rsidRPr="007608C2">
        <w:rPr>
          <w:rFonts w:cs="Arial"/>
        </w:rPr>
        <w:t xml:space="preserve"> </w:t>
      </w:r>
    </w:p>
    <w:p w:rsidR="002C1391"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Propender por el mejoramiento de la capacidad operativa de la oficina de aseguramiento de la Calidad a fin de atender oportunamente todas las solicitudes de licencias de func</w:t>
      </w:r>
      <w:r w:rsidR="00636DA5">
        <w:rPr>
          <w:rFonts w:cs="Arial"/>
        </w:rPr>
        <w:t>ionamiento de carácter inicial.</w:t>
      </w:r>
    </w:p>
    <w:p w:rsidR="00636DA5" w:rsidRPr="007608C2" w:rsidRDefault="00636DA5" w:rsidP="00636DA5">
      <w:pPr>
        <w:spacing w:before="100" w:beforeAutospacing="1" w:after="100" w:afterAutospacing="1" w:line="240" w:lineRule="auto"/>
        <w:contextualSpacing/>
        <w:jc w:val="both"/>
        <w:rPr>
          <w:rFonts w:cs="Arial"/>
        </w:rPr>
      </w:pPr>
    </w:p>
    <w:p w:rsidR="00636DA5"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Mantener los equipos interdisciplinarios de las Regionales que realizan la verificación de requisitos legales, financieros y técnico-administrativos de Licencias de</w:t>
      </w:r>
      <w:r w:rsidRPr="00636DA5">
        <w:rPr>
          <w:rFonts w:cs="Arial"/>
        </w:rPr>
        <w:t xml:space="preserve"> </w:t>
      </w:r>
      <w:r w:rsidRPr="007608C2">
        <w:rPr>
          <w:rFonts w:cs="Arial"/>
        </w:rPr>
        <w:t>Funcionamiento.</w:t>
      </w:r>
    </w:p>
    <w:p w:rsidR="002C1391" w:rsidRPr="007608C2" w:rsidRDefault="002C1391" w:rsidP="00636DA5">
      <w:pPr>
        <w:spacing w:before="100" w:beforeAutospacing="1" w:after="100" w:afterAutospacing="1" w:line="240" w:lineRule="auto"/>
        <w:contextualSpacing/>
        <w:jc w:val="both"/>
        <w:rPr>
          <w:rFonts w:cs="Arial"/>
        </w:rPr>
      </w:pPr>
      <w:r w:rsidRPr="007608C2">
        <w:rPr>
          <w:rFonts w:cs="Arial"/>
        </w:rPr>
        <w:t xml:space="preserve"> </w:t>
      </w:r>
    </w:p>
    <w:p w:rsidR="002C1391"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Actualización del repositorio de información de Licencias de Funcionamiento y Personerías Jurídicas desde el nivel Regional, lo que genera que no se cuente con una base de datos con información confiable.</w:t>
      </w:r>
    </w:p>
    <w:p w:rsidR="00636DA5" w:rsidRPr="007608C2" w:rsidRDefault="00636DA5" w:rsidP="00636DA5">
      <w:pPr>
        <w:spacing w:before="100" w:beforeAutospacing="1" w:after="100" w:afterAutospacing="1" w:line="240" w:lineRule="auto"/>
        <w:contextualSpacing/>
        <w:jc w:val="both"/>
        <w:rPr>
          <w:rFonts w:cs="Arial"/>
        </w:rPr>
      </w:pPr>
    </w:p>
    <w:p w:rsidR="002C1391"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Mejorar el cumplimiento de los procedimientos de personerías jurídicas y licencias de funcionamiento a nivel</w:t>
      </w:r>
      <w:r w:rsidRPr="00636DA5">
        <w:rPr>
          <w:rFonts w:cs="Arial"/>
        </w:rPr>
        <w:t xml:space="preserve"> </w:t>
      </w:r>
      <w:r w:rsidRPr="007608C2">
        <w:rPr>
          <w:rFonts w:cs="Arial"/>
        </w:rPr>
        <w:t>Regional.</w:t>
      </w:r>
    </w:p>
    <w:p w:rsidR="00636DA5" w:rsidRPr="007608C2" w:rsidRDefault="00636DA5" w:rsidP="00636DA5">
      <w:pPr>
        <w:spacing w:before="100" w:beforeAutospacing="1" w:after="100" w:afterAutospacing="1" w:line="240" w:lineRule="auto"/>
        <w:contextualSpacing/>
        <w:jc w:val="both"/>
        <w:rPr>
          <w:rFonts w:cs="Arial"/>
        </w:rPr>
      </w:pPr>
    </w:p>
    <w:p w:rsidR="002C1391"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Mejorar los procesos de articulación con la Dirección de Nutrición y la Subdirección de Mejoramiento Organizacional a fin de realizar los ajustes necesarios tanto en el proceso de Inspección, Vigilancia y Control como en los procesos de cada una de estas áreas, con el fin de dar cumplimiento a todas y cada una de las funciones establecidas a cargo de la Oficina de Aseguramiento de la Calidad, las cuales no fueron modificadas por el Departamento de la Función Pública de acuerdo a la Información remitida por la Dirección de Planeación.</w:t>
      </w:r>
    </w:p>
    <w:p w:rsidR="00636DA5" w:rsidRPr="007608C2" w:rsidRDefault="00636DA5" w:rsidP="00636DA5">
      <w:pPr>
        <w:spacing w:before="100" w:beforeAutospacing="1" w:after="100" w:afterAutospacing="1" w:line="240" w:lineRule="auto"/>
        <w:contextualSpacing/>
        <w:jc w:val="both"/>
        <w:rPr>
          <w:rFonts w:cs="Arial"/>
        </w:rPr>
      </w:pPr>
    </w:p>
    <w:p w:rsidR="002C1391"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Propender que las Direcciones Regionales otorguen las licencias de funcionamiento con el lleno de requisitos exigidos por la normativa vigente y los procedimientos establecidos por esta Oficina.</w:t>
      </w:r>
    </w:p>
    <w:p w:rsidR="00636DA5" w:rsidRPr="007608C2" w:rsidRDefault="00636DA5" w:rsidP="00636DA5">
      <w:pPr>
        <w:spacing w:before="100" w:beforeAutospacing="1" w:after="100" w:afterAutospacing="1" w:line="240" w:lineRule="auto"/>
        <w:contextualSpacing/>
        <w:jc w:val="both"/>
        <w:rPr>
          <w:rFonts w:cs="Arial"/>
        </w:rPr>
      </w:pPr>
    </w:p>
    <w:p w:rsidR="002C1391" w:rsidRPr="007608C2" w:rsidRDefault="002C1391" w:rsidP="00A44A2B">
      <w:pPr>
        <w:numPr>
          <w:ilvl w:val="0"/>
          <w:numId w:val="79"/>
        </w:numPr>
        <w:spacing w:before="100" w:beforeAutospacing="1" w:after="100" w:afterAutospacing="1" w:line="240" w:lineRule="auto"/>
        <w:contextualSpacing/>
        <w:jc w:val="both"/>
        <w:rPr>
          <w:rFonts w:cs="Arial"/>
        </w:rPr>
      </w:pPr>
      <w:r w:rsidRPr="007608C2">
        <w:rPr>
          <w:rFonts w:cs="Arial"/>
        </w:rPr>
        <w:t>Incrementar las acciones de inspección en un 30% para el año 2018, con el fin de mejorar la calidad de la prestación del servicio Público de Bienestar Familiar para los niños, niñas y adolescentes.</w:t>
      </w:r>
    </w:p>
    <w:p w:rsidR="002C1391" w:rsidRPr="007608C2" w:rsidRDefault="002C1391" w:rsidP="002C1391">
      <w:pPr>
        <w:rPr>
          <w:rFonts w:cs="Arial"/>
        </w:rPr>
      </w:pPr>
    </w:p>
    <w:p w:rsidR="002C1391" w:rsidRPr="007608C2" w:rsidRDefault="002C1391" w:rsidP="002C1391">
      <w:pPr>
        <w:rPr>
          <w:rFonts w:cs="Arial"/>
        </w:rPr>
      </w:pPr>
    </w:p>
    <w:p w:rsidR="002C1391" w:rsidRPr="007608C2" w:rsidRDefault="002C1391" w:rsidP="002C1391">
      <w:pPr>
        <w:rPr>
          <w:rFonts w:cs="Arial"/>
        </w:rPr>
      </w:pPr>
    </w:p>
    <w:p w:rsidR="002C1391" w:rsidRPr="007608C2" w:rsidRDefault="002C1391" w:rsidP="002C1391">
      <w:pPr>
        <w:pStyle w:val="Prrafodelista"/>
        <w:widowControl w:val="0"/>
        <w:tabs>
          <w:tab w:val="left" w:pos="602"/>
        </w:tabs>
        <w:autoSpaceDE w:val="0"/>
        <w:autoSpaceDN w:val="0"/>
        <w:spacing w:before="100" w:beforeAutospacing="1" w:after="100" w:afterAutospacing="1" w:line="240" w:lineRule="auto"/>
        <w:ind w:left="602" w:right="12"/>
        <w:jc w:val="both"/>
        <w:rPr>
          <w:rFonts w:cs="Arial"/>
        </w:rPr>
      </w:pPr>
    </w:p>
    <w:p w:rsidR="002C1391" w:rsidRPr="007608C2" w:rsidRDefault="002C1391" w:rsidP="002C1391">
      <w:pPr>
        <w:pStyle w:val="Prrafodelista"/>
        <w:widowControl w:val="0"/>
        <w:tabs>
          <w:tab w:val="left" w:pos="602"/>
        </w:tabs>
        <w:autoSpaceDE w:val="0"/>
        <w:autoSpaceDN w:val="0"/>
        <w:spacing w:before="100" w:beforeAutospacing="1" w:after="100" w:afterAutospacing="1" w:line="240" w:lineRule="auto"/>
        <w:ind w:left="602" w:right="12"/>
        <w:jc w:val="both"/>
        <w:rPr>
          <w:rFonts w:cs="Arial"/>
        </w:rPr>
      </w:pPr>
    </w:p>
    <w:p w:rsidR="00636DA5" w:rsidRPr="0079192F" w:rsidRDefault="001F04F4" w:rsidP="0079192F">
      <w:pPr>
        <w:pStyle w:val="Prrafodelista"/>
        <w:numPr>
          <w:ilvl w:val="0"/>
          <w:numId w:val="36"/>
        </w:numPr>
        <w:spacing w:before="100" w:beforeAutospacing="1" w:after="100" w:afterAutospacing="1" w:line="600" w:lineRule="auto"/>
        <w:jc w:val="both"/>
        <w:outlineLvl w:val="0"/>
        <w:rPr>
          <w:rFonts w:cs="Arial"/>
          <w:b/>
        </w:rPr>
      </w:pPr>
      <w:bookmarkStart w:id="132" w:name="_Toc505183085"/>
      <w:r w:rsidRPr="007608C2">
        <w:rPr>
          <w:rFonts w:cs="Arial"/>
          <w:b/>
        </w:rPr>
        <w:lastRenderedPageBreak/>
        <w:t>TRANSPARENCIA, PARTICIPACIÓN Y SERVICIO AL CIUDADANO</w:t>
      </w:r>
      <w:bookmarkEnd w:id="132"/>
    </w:p>
    <w:p w:rsidR="00C02E05" w:rsidRPr="007608C2" w:rsidRDefault="00C02E05" w:rsidP="00A44A2B">
      <w:pPr>
        <w:pStyle w:val="Prrafodelista"/>
        <w:keepNext/>
        <w:keepLines/>
        <w:numPr>
          <w:ilvl w:val="1"/>
          <w:numId w:val="36"/>
        </w:numPr>
        <w:spacing w:before="100" w:beforeAutospacing="1" w:after="100" w:afterAutospacing="1" w:line="240" w:lineRule="auto"/>
        <w:jc w:val="both"/>
        <w:outlineLvl w:val="1"/>
        <w:rPr>
          <w:rFonts w:eastAsiaTheme="majorEastAsia" w:cs="Arial"/>
          <w:b/>
        </w:rPr>
      </w:pPr>
      <w:bookmarkStart w:id="133" w:name="_Toc505183086"/>
      <w:r w:rsidRPr="007608C2">
        <w:rPr>
          <w:rFonts w:eastAsiaTheme="majorEastAsia" w:cs="Arial"/>
          <w:b/>
        </w:rPr>
        <w:t>Transparencia y acceso a la información pública</w:t>
      </w:r>
      <w:bookmarkEnd w:id="133"/>
    </w:p>
    <w:p w:rsidR="00F26175" w:rsidRPr="007608C2" w:rsidRDefault="00F26175" w:rsidP="00F26175">
      <w:pPr>
        <w:spacing w:before="100" w:beforeAutospacing="1" w:after="100" w:afterAutospacing="1" w:line="240" w:lineRule="auto"/>
        <w:jc w:val="both"/>
        <w:rPr>
          <w:rFonts w:cs="Arial"/>
        </w:rPr>
      </w:pPr>
      <w:r w:rsidRPr="007608C2">
        <w:rPr>
          <w:rFonts w:cs="Arial"/>
        </w:rPr>
        <w:t xml:space="preserve">En materia de transparencia, participación y servicio al ciudadano, para el año 2017 se contó con 12 indicadores en tablero de control, que corresponden a la línea de política pública del Decreto 2482 de 2012, </w:t>
      </w:r>
      <w:r w:rsidRPr="007608C2">
        <w:rPr>
          <w:rFonts w:cs="Arial"/>
          <w:i/>
        </w:rPr>
        <w:t>“Por el cual se establecen los lineamientos generales para la integración de la planeación y la gestión”</w:t>
      </w:r>
      <w:r w:rsidRPr="007608C2">
        <w:rPr>
          <w:rFonts w:cs="Arial"/>
        </w:rPr>
        <w:t>. El comportamiento de la línea de política durante el tercer trimestre de la vigencia 2017 presentó un resultado de 95% de cumplimiento:</w:t>
      </w:r>
    </w:p>
    <w:p w:rsidR="0082375B" w:rsidRPr="007608C2" w:rsidRDefault="0082375B" w:rsidP="00BE132D">
      <w:pPr>
        <w:spacing w:before="100" w:beforeAutospacing="1" w:after="100" w:afterAutospacing="1" w:line="240" w:lineRule="auto"/>
        <w:ind w:left="860"/>
        <w:rPr>
          <w:rFonts w:cs="Arial"/>
          <w:b/>
          <w:sz w:val="18"/>
          <w:highlight w:val="yellow"/>
        </w:rPr>
      </w:pPr>
      <w:r w:rsidRPr="007608C2">
        <w:rPr>
          <w:rFonts w:cs="Arial"/>
          <w:noProof/>
          <w:lang w:val="es-CO" w:eastAsia="es-CO"/>
        </w:rPr>
        <w:drawing>
          <wp:inline distT="0" distB="0" distL="0" distR="0" wp14:anchorId="6874B36D" wp14:editId="6014529C">
            <wp:extent cx="4018296" cy="1351722"/>
            <wp:effectExtent l="0" t="0" r="127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1688" t="5144" r="2949" b="7960"/>
                    <a:stretch/>
                  </pic:blipFill>
                  <pic:spPr bwMode="auto">
                    <a:xfrm>
                      <a:off x="0" y="0"/>
                      <a:ext cx="4034027" cy="1357014"/>
                    </a:xfrm>
                    <a:prstGeom prst="rect">
                      <a:avLst/>
                    </a:prstGeom>
                    <a:noFill/>
                    <a:ln>
                      <a:noFill/>
                    </a:ln>
                    <a:extLst>
                      <a:ext uri="{53640926-AAD7-44D8-BBD7-CCE9431645EC}">
                        <a14:shadowObscured xmlns:a14="http://schemas.microsoft.com/office/drawing/2010/main"/>
                      </a:ext>
                    </a:extLst>
                  </pic:spPr>
                </pic:pic>
              </a:graphicData>
            </a:graphic>
          </wp:inline>
        </w:drawing>
      </w:r>
    </w:p>
    <w:p w:rsidR="00F26175" w:rsidRPr="00BE132D" w:rsidRDefault="00BE132D" w:rsidP="00BE132D">
      <w:pPr>
        <w:spacing w:before="100" w:beforeAutospacing="1" w:after="100" w:afterAutospacing="1" w:line="240" w:lineRule="auto"/>
        <w:ind w:left="860"/>
        <w:rPr>
          <w:rFonts w:cs="Arial"/>
          <w:sz w:val="16"/>
          <w:szCs w:val="16"/>
        </w:rPr>
      </w:pPr>
      <w:r>
        <w:rPr>
          <w:rFonts w:cs="Arial"/>
          <w:sz w:val="16"/>
          <w:szCs w:val="16"/>
        </w:rPr>
        <w:t xml:space="preserve">                                </w:t>
      </w:r>
      <w:r w:rsidR="00F26175" w:rsidRPr="00BE132D">
        <w:rPr>
          <w:rFonts w:cs="Arial"/>
          <w:sz w:val="16"/>
          <w:szCs w:val="16"/>
        </w:rPr>
        <w:t>Gráfico. Resultados – Corte 31 de</w:t>
      </w:r>
      <w:r w:rsidR="0082375B" w:rsidRPr="00BE132D">
        <w:rPr>
          <w:rFonts w:cs="Arial"/>
          <w:sz w:val="16"/>
          <w:szCs w:val="16"/>
        </w:rPr>
        <w:t xml:space="preserve"> diciembre</w:t>
      </w:r>
      <w:r w:rsidR="00F26175" w:rsidRPr="00BE132D">
        <w:rPr>
          <w:rFonts w:cs="Arial"/>
          <w:sz w:val="16"/>
          <w:szCs w:val="16"/>
        </w:rPr>
        <w:t>.</w:t>
      </w:r>
    </w:p>
    <w:p w:rsidR="0082375B" w:rsidRPr="007608C2" w:rsidRDefault="00F26175" w:rsidP="0082375B">
      <w:pPr>
        <w:spacing w:before="100" w:beforeAutospacing="1" w:after="100" w:afterAutospacing="1" w:line="240" w:lineRule="auto"/>
        <w:jc w:val="both"/>
        <w:rPr>
          <w:rFonts w:cs="Arial"/>
        </w:rPr>
      </w:pPr>
      <w:r w:rsidRPr="007608C2">
        <w:rPr>
          <w:rFonts w:cs="Arial"/>
        </w:rPr>
        <w:t xml:space="preserve">El avance con corte a </w:t>
      </w:r>
      <w:r w:rsidR="00BE132D">
        <w:rPr>
          <w:rFonts w:cs="Arial"/>
        </w:rPr>
        <w:t>d</w:t>
      </w:r>
      <w:r w:rsidR="0082375B" w:rsidRPr="007608C2">
        <w:rPr>
          <w:rFonts w:cs="Arial"/>
        </w:rPr>
        <w:t xml:space="preserve">iciembre </w:t>
      </w:r>
      <w:r w:rsidRPr="007608C2">
        <w:rPr>
          <w:rFonts w:cs="Arial"/>
        </w:rPr>
        <w:t>se explica teniendo en cuenta que los indicadores se comportaron de la siguiente manera:</w:t>
      </w:r>
    </w:p>
    <w:tbl>
      <w:tblPr>
        <w:tblW w:w="3487"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629"/>
        <w:gridCol w:w="1858"/>
      </w:tblGrid>
      <w:tr w:rsidR="0082375B" w:rsidRPr="007608C2" w:rsidTr="00BE132D">
        <w:trPr>
          <w:trHeight w:val="249"/>
          <w:jc w:val="center"/>
        </w:trPr>
        <w:tc>
          <w:tcPr>
            <w:tcW w:w="1629" w:type="dxa"/>
            <w:shd w:val="clear" w:color="000000" w:fill="D8E4BC"/>
            <w:noWrap/>
            <w:vAlign w:val="center"/>
            <w:hideMark/>
          </w:tcPr>
          <w:p w:rsidR="0082375B" w:rsidRPr="007608C2" w:rsidRDefault="0082375B" w:rsidP="008E18FA">
            <w:pPr>
              <w:spacing w:after="0" w:line="240" w:lineRule="auto"/>
              <w:jc w:val="center"/>
              <w:rPr>
                <w:rFonts w:eastAsia="Times New Roman" w:cs="Arial"/>
                <w:b/>
                <w:bCs/>
                <w:color w:val="000000"/>
                <w:sz w:val="16"/>
                <w:lang w:val="es-CO" w:eastAsia="es-CO"/>
              </w:rPr>
            </w:pPr>
            <w:r w:rsidRPr="007608C2">
              <w:rPr>
                <w:rFonts w:eastAsia="Times New Roman" w:cs="Arial"/>
                <w:b/>
                <w:bCs/>
                <w:color w:val="000000"/>
                <w:sz w:val="16"/>
                <w:lang w:val="es-CO" w:eastAsia="es-CO"/>
              </w:rPr>
              <w:t>Rango</w:t>
            </w:r>
          </w:p>
        </w:tc>
        <w:tc>
          <w:tcPr>
            <w:tcW w:w="1858" w:type="dxa"/>
            <w:shd w:val="clear" w:color="000000" w:fill="D8E4BC"/>
            <w:noWrap/>
            <w:vAlign w:val="center"/>
            <w:hideMark/>
          </w:tcPr>
          <w:p w:rsidR="0082375B" w:rsidRPr="007608C2" w:rsidRDefault="0082375B" w:rsidP="008E18FA">
            <w:pPr>
              <w:spacing w:after="0" w:line="240" w:lineRule="auto"/>
              <w:jc w:val="center"/>
              <w:rPr>
                <w:rFonts w:eastAsia="Times New Roman" w:cs="Arial"/>
                <w:b/>
                <w:bCs/>
                <w:color w:val="000000"/>
                <w:sz w:val="16"/>
                <w:lang w:val="es-CO" w:eastAsia="es-CO"/>
              </w:rPr>
            </w:pPr>
            <w:r w:rsidRPr="007608C2">
              <w:rPr>
                <w:rFonts w:eastAsia="Times New Roman" w:cs="Arial"/>
                <w:b/>
                <w:bCs/>
                <w:color w:val="000000"/>
                <w:sz w:val="16"/>
                <w:lang w:val="es-CO" w:eastAsia="es-CO"/>
              </w:rPr>
              <w:t>No. de indicadores</w:t>
            </w:r>
          </w:p>
        </w:tc>
      </w:tr>
      <w:tr w:rsidR="0082375B" w:rsidRPr="007608C2" w:rsidTr="00BE132D">
        <w:trPr>
          <w:trHeight w:val="249"/>
          <w:jc w:val="center"/>
        </w:trPr>
        <w:tc>
          <w:tcPr>
            <w:tcW w:w="1629" w:type="dxa"/>
            <w:shd w:val="clear" w:color="000000" w:fill="538DD5"/>
            <w:noWrap/>
            <w:vAlign w:val="center"/>
            <w:hideMark/>
          </w:tcPr>
          <w:p w:rsidR="0082375B" w:rsidRPr="007608C2" w:rsidRDefault="0082375B" w:rsidP="008E18FA">
            <w:pPr>
              <w:spacing w:after="0" w:line="240" w:lineRule="auto"/>
              <w:jc w:val="center"/>
              <w:rPr>
                <w:rFonts w:eastAsia="Times New Roman" w:cs="Arial"/>
                <w:color w:val="000000"/>
                <w:sz w:val="16"/>
                <w:lang w:val="es-CO" w:eastAsia="es-CO"/>
              </w:rPr>
            </w:pPr>
            <w:r w:rsidRPr="007608C2">
              <w:rPr>
                <w:rFonts w:eastAsia="Times New Roman" w:cs="Arial"/>
                <w:color w:val="000000"/>
                <w:sz w:val="16"/>
                <w:lang w:val="es-CO" w:eastAsia="es-CO"/>
              </w:rPr>
              <w:t>OPTIMO</w:t>
            </w:r>
          </w:p>
        </w:tc>
        <w:tc>
          <w:tcPr>
            <w:tcW w:w="1858" w:type="dxa"/>
            <w:shd w:val="clear" w:color="auto" w:fill="auto"/>
            <w:noWrap/>
            <w:vAlign w:val="center"/>
            <w:hideMark/>
          </w:tcPr>
          <w:p w:rsidR="0082375B" w:rsidRPr="007608C2" w:rsidRDefault="0082375B" w:rsidP="008E18FA">
            <w:pPr>
              <w:spacing w:after="0" w:line="240" w:lineRule="auto"/>
              <w:jc w:val="center"/>
              <w:rPr>
                <w:rFonts w:eastAsia="Times New Roman" w:cs="Arial"/>
                <w:color w:val="000000"/>
                <w:sz w:val="16"/>
                <w:lang w:val="es-CO" w:eastAsia="es-CO"/>
              </w:rPr>
            </w:pPr>
            <w:r w:rsidRPr="007608C2">
              <w:rPr>
                <w:rFonts w:eastAsia="Times New Roman" w:cs="Arial"/>
                <w:color w:val="000000"/>
                <w:sz w:val="16"/>
                <w:lang w:val="es-CO" w:eastAsia="es-CO"/>
              </w:rPr>
              <w:t>7</w:t>
            </w:r>
          </w:p>
        </w:tc>
      </w:tr>
      <w:tr w:rsidR="0082375B" w:rsidRPr="007608C2" w:rsidTr="00BE132D">
        <w:trPr>
          <w:trHeight w:val="249"/>
          <w:jc w:val="center"/>
        </w:trPr>
        <w:tc>
          <w:tcPr>
            <w:tcW w:w="1629" w:type="dxa"/>
            <w:shd w:val="clear" w:color="000000" w:fill="92D050"/>
            <w:noWrap/>
            <w:vAlign w:val="center"/>
            <w:hideMark/>
          </w:tcPr>
          <w:p w:rsidR="0082375B" w:rsidRPr="007608C2" w:rsidRDefault="0082375B" w:rsidP="008E18FA">
            <w:pPr>
              <w:spacing w:after="0" w:line="240" w:lineRule="auto"/>
              <w:jc w:val="center"/>
              <w:rPr>
                <w:rFonts w:eastAsia="Times New Roman" w:cs="Arial"/>
                <w:color w:val="000000"/>
                <w:sz w:val="16"/>
                <w:lang w:val="es-CO" w:eastAsia="es-CO"/>
              </w:rPr>
            </w:pPr>
            <w:r w:rsidRPr="007608C2">
              <w:rPr>
                <w:rFonts w:eastAsia="Times New Roman" w:cs="Arial"/>
                <w:color w:val="000000"/>
                <w:sz w:val="16"/>
                <w:lang w:val="es-CO" w:eastAsia="es-CO"/>
              </w:rPr>
              <w:t>ADECUADO</w:t>
            </w:r>
          </w:p>
        </w:tc>
        <w:tc>
          <w:tcPr>
            <w:tcW w:w="1858" w:type="dxa"/>
            <w:shd w:val="clear" w:color="auto" w:fill="auto"/>
            <w:noWrap/>
            <w:vAlign w:val="center"/>
            <w:hideMark/>
          </w:tcPr>
          <w:p w:rsidR="0082375B" w:rsidRPr="007608C2" w:rsidRDefault="0082375B" w:rsidP="008E18FA">
            <w:pPr>
              <w:spacing w:after="0" w:line="240" w:lineRule="auto"/>
              <w:jc w:val="center"/>
              <w:rPr>
                <w:rFonts w:eastAsia="Times New Roman" w:cs="Arial"/>
                <w:color w:val="000000"/>
                <w:sz w:val="16"/>
                <w:lang w:val="es-CO" w:eastAsia="es-CO"/>
              </w:rPr>
            </w:pPr>
            <w:r w:rsidRPr="007608C2">
              <w:rPr>
                <w:rFonts w:eastAsia="Times New Roman" w:cs="Arial"/>
                <w:color w:val="000000"/>
                <w:sz w:val="16"/>
                <w:lang w:val="es-CO" w:eastAsia="es-CO"/>
              </w:rPr>
              <w:t>5</w:t>
            </w:r>
          </w:p>
        </w:tc>
      </w:tr>
      <w:tr w:rsidR="0082375B" w:rsidRPr="007608C2" w:rsidTr="00BE132D">
        <w:trPr>
          <w:trHeight w:val="249"/>
          <w:jc w:val="center"/>
        </w:trPr>
        <w:tc>
          <w:tcPr>
            <w:tcW w:w="1629" w:type="dxa"/>
            <w:shd w:val="clear" w:color="000000" w:fill="FFFF00"/>
            <w:noWrap/>
            <w:vAlign w:val="center"/>
            <w:hideMark/>
          </w:tcPr>
          <w:p w:rsidR="0082375B" w:rsidRPr="007608C2" w:rsidRDefault="0082375B" w:rsidP="008E18FA">
            <w:pPr>
              <w:spacing w:after="0" w:line="240" w:lineRule="auto"/>
              <w:jc w:val="center"/>
              <w:rPr>
                <w:rFonts w:eastAsia="Times New Roman" w:cs="Arial"/>
                <w:color w:val="000000"/>
                <w:sz w:val="16"/>
                <w:lang w:val="es-CO" w:eastAsia="es-CO"/>
              </w:rPr>
            </w:pPr>
            <w:r w:rsidRPr="007608C2">
              <w:rPr>
                <w:rFonts w:eastAsia="Times New Roman" w:cs="Arial"/>
                <w:color w:val="000000"/>
                <w:sz w:val="16"/>
                <w:lang w:val="es-CO" w:eastAsia="es-CO"/>
              </w:rPr>
              <w:t>EN RIESGO</w:t>
            </w:r>
          </w:p>
        </w:tc>
        <w:tc>
          <w:tcPr>
            <w:tcW w:w="1858" w:type="dxa"/>
            <w:shd w:val="clear" w:color="auto" w:fill="auto"/>
            <w:noWrap/>
            <w:vAlign w:val="center"/>
            <w:hideMark/>
          </w:tcPr>
          <w:p w:rsidR="0082375B" w:rsidRPr="007608C2" w:rsidRDefault="0082375B" w:rsidP="008E18FA">
            <w:pPr>
              <w:spacing w:after="0" w:line="240" w:lineRule="auto"/>
              <w:jc w:val="center"/>
              <w:rPr>
                <w:rFonts w:eastAsia="Times New Roman" w:cs="Arial"/>
                <w:color w:val="000000"/>
                <w:sz w:val="16"/>
                <w:lang w:val="es-CO" w:eastAsia="es-CO"/>
              </w:rPr>
            </w:pPr>
            <w:r w:rsidRPr="007608C2">
              <w:rPr>
                <w:rFonts w:eastAsia="Times New Roman" w:cs="Arial"/>
                <w:color w:val="000000"/>
                <w:sz w:val="16"/>
                <w:lang w:val="es-CO" w:eastAsia="es-CO"/>
              </w:rPr>
              <w:t>0</w:t>
            </w:r>
          </w:p>
        </w:tc>
      </w:tr>
      <w:tr w:rsidR="0082375B" w:rsidRPr="007608C2" w:rsidTr="00BE132D">
        <w:trPr>
          <w:trHeight w:val="249"/>
          <w:jc w:val="center"/>
        </w:trPr>
        <w:tc>
          <w:tcPr>
            <w:tcW w:w="1629" w:type="dxa"/>
            <w:shd w:val="clear" w:color="000000" w:fill="FF0000"/>
            <w:noWrap/>
            <w:vAlign w:val="center"/>
            <w:hideMark/>
          </w:tcPr>
          <w:p w:rsidR="0082375B" w:rsidRPr="007608C2" w:rsidRDefault="0082375B" w:rsidP="008E18FA">
            <w:pPr>
              <w:spacing w:after="0" w:line="240" w:lineRule="auto"/>
              <w:jc w:val="center"/>
              <w:rPr>
                <w:rFonts w:eastAsia="Times New Roman" w:cs="Arial"/>
                <w:color w:val="000000"/>
                <w:sz w:val="16"/>
                <w:lang w:val="es-CO" w:eastAsia="es-CO"/>
              </w:rPr>
            </w:pPr>
            <w:r w:rsidRPr="007608C2">
              <w:rPr>
                <w:rFonts w:eastAsia="Times New Roman" w:cs="Arial"/>
                <w:color w:val="000000"/>
                <w:sz w:val="16"/>
                <w:lang w:val="es-CO" w:eastAsia="es-CO"/>
              </w:rPr>
              <w:t>CRITICO</w:t>
            </w:r>
          </w:p>
        </w:tc>
        <w:tc>
          <w:tcPr>
            <w:tcW w:w="1858" w:type="dxa"/>
            <w:shd w:val="clear" w:color="auto" w:fill="auto"/>
            <w:noWrap/>
            <w:vAlign w:val="center"/>
            <w:hideMark/>
          </w:tcPr>
          <w:p w:rsidR="0082375B" w:rsidRPr="007608C2" w:rsidRDefault="0082375B" w:rsidP="008E18FA">
            <w:pPr>
              <w:spacing w:after="0" w:line="240" w:lineRule="auto"/>
              <w:jc w:val="center"/>
              <w:rPr>
                <w:rFonts w:eastAsia="Times New Roman" w:cs="Arial"/>
                <w:color w:val="000000"/>
                <w:sz w:val="16"/>
                <w:lang w:val="es-CO" w:eastAsia="es-CO"/>
              </w:rPr>
            </w:pPr>
            <w:r w:rsidRPr="007608C2">
              <w:rPr>
                <w:rFonts w:eastAsia="Times New Roman" w:cs="Arial"/>
                <w:color w:val="000000"/>
                <w:sz w:val="16"/>
                <w:lang w:val="es-CO" w:eastAsia="es-CO"/>
              </w:rPr>
              <w:t>0</w:t>
            </w:r>
          </w:p>
        </w:tc>
      </w:tr>
      <w:tr w:rsidR="0082375B" w:rsidRPr="007608C2" w:rsidTr="00BE132D">
        <w:trPr>
          <w:trHeight w:val="249"/>
          <w:jc w:val="center"/>
        </w:trPr>
        <w:tc>
          <w:tcPr>
            <w:tcW w:w="1629" w:type="dxa"/>
            <w:shd w:val="clear" w:color="auto" w:fill="auto"/>
            <w:noWrap/>
            <w:vAlign w:val="center"/>
            <w:hideMark/>
          </w:tcPr>
          <w:p w:rsidR="0082375B" w:rsidRPr="007608C2" w:rsidRDefault="0082375B" w:rsidP="008E18FA">
            <w:pPr>
              <w:spacing w:after="0" w:line="240" w:lineRule="auto"/>
              <w:jc w:val="center"/>
              <w:rPr>
                <w:rFonts w:eastAsia="Times New Roman" w:cs="Arial"/>
                <w:b/>
                <w:bCs/>
                <w:color w:val="000000"/>
                <w:sz w:val="16"/>
                <w:lang w:val="es-CO" w:eastAsia="es-CO"/>
              </w:rPr>
            </w:pPr>
            <w:r w:rsidRPr="007608C2">
              <w:rPr>
                <w:rFonts w:eastAsia="Times New Roman" w:cs="Arial"/>
                <w:b/>
                <w:bCs/>
                <w:color w:val="000000"/>
                <w:sz w:val="16"/>
                <w:lang w:val="es-CO" w:eastAsia="es-CO"/>
              </w:rPr>
              <w:t>TOTAL</w:t>
            </w:r>
          </w:p>
        </w:tc>
        <w:tc>
          <w:tcPr>
            <w:tcW w:w="1858" w:type="dxa"/>
            <w:shd w:val="clear" w:color="auto" w:fill="auto"/>
            <w:noWrap/>
            <w:vAlign w:val="center"/>
            <w:hideMark/>
          </w:tcPr>
          <w:p w:rsidR="0082375B" w:rsidRPr="007608C2" w:rsidRDefault="0082375B" w:rsidP="008E18FA">
            <w:pPr>
              <w:spacing w:after="0" w:line="240" w:lineRule="auto"/>
              <w:jc w:val="center"/>
              <w:rPr>
                <w:rFonts w:eastAsia="Times New Roman" w:cs="Arial"/>
                <w:b/>
                <w:bCs/>
                <w:color w:val="000000"/>
                <w:sz w:val="16"/>
                <w:lang w:val="es-CO" w:eastAsia="es-CO"/>
              </w:rPr>
            </w:pPr>
            <w:r w:rsidRPr="007608C2">
              <w:rPr>
                <w:rFonts w:eastAsia="Times New Roman" w:cs="Arial"/>
                <w:b/>
                <w:bCs/>
                <w:color w:val="000000"/>
                <w:sz w:val="16"/>
                <w:lang w:val="es-CO" w:eastAsia="es-CO"/>
              </w:rPr>
              <w:t>12</w:t>
            </w:r>
          </w:p>
        </w:tc>
      </w:tr>
    </w:tbl>
    <w:p w:rsidR="00F26175" w:rsidRPr="00BE132D" w:rsidRDefault="00BE132D" w:rsidP="007456F4">
      <w:pPr>
        <w:spacing w:after="100" w:afterAutospacing="1" w:line="240" w:lineRule="auto"/>
        <w:ind w:left="2124" w:firstLine="708"/>
        <w:rPr>
          <w:rFonts w:cs="Arial"/>
          <w:sz w:val="16"/>
          <w:szCs w:val="16"/>
        </w:rPr>
      </w:pPr>
      <w:r>
        <w:rPr>
          <w:rFonts w:cs="Arial"/>
          <w:b/>
          <w:sz w:val="16"/>
          <w:szCs w:val="16"/>
        </w:rPr>
        <w:t xml:space="preserve">            </w:t>
      </w:r>
      <w:r w:rsidR="00F26175" w:rsidRPr="00BE132D">
        <w:rPr>
          <w:rFonts w:cs="Arial"/>
          <w:b/>
          <w:sz w:val="16"/>
          <w:szCs w:val="16"/>
        </w:rPr>
        <w:t xml:space="preserve">Fuente: </w:t>
      </w:r>
      <w:r w:rsidR="00F26175" w:rsidRPr="00BE132D">
        <w:rPr>
          <w:rFonts w:cs="Arial"/>
          <w:sz w:val="16"/>
          <w:szCs w:val="16"/>
        </w:rPr>
        <w:t>Tablero de Control</w:t>
      </w:r>
    </w:p>
    <w:p w:rsidR="00F26175" w:rsidRPr="007608C2" w:rsidRDefault="00F26175" w:rsidP="00F26175">
      <w:pPr>
        <w:spacing w:before="100" w:beforeAutospacing="1" w:after="100" w:afterAutospacing="1" w:line="240" w:lineRule="auto"/>
        <w:jc w:val="both"/>
        <w:rPr>
          <w:rFonts w:cs="Arial"/>
        </w:rPr>
      </w:pPr>
      <w:r w:rsidRPr="007608C2">
        <w:rPr>
          <w:rFonts w:cs="Arial"/>
        </w:rPr>
        <w:t>El resultado de los indicadores que aplicaron se muestra a continuación:</w:t>
      </w:r>
    </w:p>
    <w:tbl>
      <w:tblPr>
        <w:tblW w:w="9356" w:type="dxa"/>
        <w:tblCellMar>
          <w:left w:w="70" w:type="dxa"/>
          <w:right w:w="70" w:type="dxa"/>
        </w:tblCellMar>
        <w:tblLook w:val="04A0" w:firstRow="1" w:lastRow="0" w:firstColumn="1" w:lastColumn="0" w:noHBand="0" w:noVBand="1"/>
      </w:tblPr>
      <w:tblGrid>
        <w:gridCol w:w="1500"/>
        <w:gridCol w:w="708"/>
        <w:gridCol w:w="3468"/>
        <w:gridCol w:w="850"/>
        <w:gridCol w:w="932"/>
        <w:gridCol w:w="851"/>
        <w:gridCol w:w="1047"/>
      </w:tblGrid>
      <w:tr w:rsidR="0082375B" w:rsidRPr="007608C2" w:rsidTr="00BE6A16">
        <w:trPr>
          <w:trHeight w:val="300"/>
        </w:trPr>
        <w:tc>
          <w:tcPr>
            <w:tcW w:w="1537" w:type="dxa"/>
            <w:vMerge w:val="restart"/>
            <w:tcBorders>
              <w:top w:val="single" w:sz="4" w:space="0" w:color="auto"/>
              <w:left w:val="nil"/>
              <w:bottom w:val="single" w:sz="4" w:space="0" w:color="C5E0B2"/>
              <w:right w:val="nil"/>
            </w:tcBorders>
            <w:shd w:val="clear" w:color="auto" w:fill="76923C"/>
            <w:vAlign w:val="center"/>
            <w:hideMark/>
          </w:tcPr>
          <w:p w:rsidR="0082375B" w:rsidRPr="00BE6A16" w:rsidRDefault="0082375B" w:rsidP="008E18FA">
            <w:pPr>
              <w:spacing w:after="0" w:line="240" w:lineRule="auto"/>
              <w:jc w:val="center"/>
              <w:rPr>
                <w:rFonts w:eastAsia="Times New Roman" w:cs="Arial"/>
                <w:b/>
                <w:color w:val="FFFFFF" w:themeColor="background1"/>
                <w:sz w:val="16"/>
                <w:szCs w:val="16"/>
                <w:lang w:val="es-CO" w:eastAsia="es-CO"/>
              </w:rPr>
            </w:pPr>
            <w:r w:rsidRPr="00BE6A16">
              <w:rPr>
                <w:rFonts w:eastAsia="Times New Roman" w:cs="Arial"/>
                <w:b/>
                <w:color w:val="FFFFFF" w:themeColor="background1"/>
                <w:sz w:val="16"/>
                <w:szCs w:val="16"/>
                <w:lang w:val="es-CO" w:eastAsia="es-CO"/>
              </w:rPr>
              <w:t>Área</w:t>
            </w:r>
          </w:p>
        </w:tc>
        <w:tc>
          <w:tcPr>
            <w:tcW w:w="708" w:type="dxa"/>
            <w:vMerge w:val="restart"/>
            <w:tcBorders>
              <w:top w:val="single" w:sz="4" w:space="0" w:color="auto"/>
              <w:left w:val="nil"/>
              <w:bottom w:val="single" w:sz="4" w:space="0" w:color="C5E0B2"/>
              <w:right w:val="nil"/>
            </w:tcBorders>
            <w:shd w:val="clear" w:color="auto" w:fill="76923C"/>
            <w:vAlign w:val="center"/>
            <w:hideMark/>
          </w:tcPr>
          <w:p w:rsidR="0082375B" w:rsidRPr="00BE6A16" w:rsidRDefault="0082375B" w:rsidP="008E18FA">
            <w:pPr>
              <w:spacing w:after="0" w:line="240" w:lineRule="auto"/>
              <w:jc w:val="center"/>
              <w:rPr>
                <w:rFonts w:eastAsia="Times New Roman" w:cs="Arial"/>
                <w:b/>
                <w:color w:val="FFFFFF" w:themeColor="background1"/>
                <w:sz w:val="16"/>
                <w:szCs w:val="16"/>
                <w:lang w:val="es-CO" w:eastAsia="es-CO"/>
              </w:rPr>
            </w:pPr>
            <w:r w:rsidRPr="00BE6A16">
              <w:rPr>
                <w:rFonts w:eastAsia="Times New Roman" w:cs="Arial"/>
                <w:b/>
                <w:color w:val="FFFFFF" w:themeColor="background1"/>
                <w:sz w:val="16"/>
                <w:szCs w:val="16"/>
                <w:lang w:val="es-CO" w:eastAsia="es-CO"/>
              </w:rPr>
              <w:t>Cód.</w:t>
            </w:r>
          </w:p>
        </w:tc>
        <w:tc>
          <w:tcPr>
            <w:tcW w:w="3607" w:type="dxa"/>
            <w:vMerge w:val="restart"/>
            <w:tcBorders>
              <w:top w:val="single" w:sz="4" w:space="0" w:color="auto"/>
              <w:left w:val="nil"/>
              <w:bottom w:val="single" w:sz="4" w:space="0" w:color="C5E0B2"/>
              <w:right w:val="nil"/>
            </w:tcBorders>
            <w:shd w:val="clear" w:color="auto" w:fill="76923C"/>
            <w:vAlign w:val="center"/>
            <w:hideMark/>
          </w:tcPr>
          <w:p w:rsidR="0082375B" w:rsidRPr="00BE6A16" w:rsidRDefault="0082375B" w:rsidP="008E18FA">
            <w:pPr>
              <w:spacing w:after="0" w:line="240" w:lineRule="auto"/>
              <w:jc w:val="center"/>
              <w:rPr>
                <w:rFonts w:eastAsia="Times New Roman" w:cs="Arial"/>
                <w:b/>
                <w:color w:val="FFFFFF" w:themeColor="background1"/>
                <w:sz w:val="16"/>
                <w:szCs w:val="16"/>
                <w:lang w:val="es-CO" w:eastAsia="es-CO"/>
              </w:rPr>
            </w:pPr>
            <w:r w:rsidRPr="00BE6A16">
              <w:rPr>
                <w:rFonts w:eastAsia="Times New Roman" w:cs="Arial"/>
                <w:b/>
                <w:color w:val="FFFFFF" w:themeColor="background1"/>
                <w:sz w:val="16"/>
                <w:szCs w:val="16"/>
                <w:lang w:val="es-CO" w:eastAsia="es-CO"/>
              </w:rPr>
              <w:t>Indicador</w:t>
            </w:r>
          </w:p>
        </w:tc>
        <w:tc>
          <w:tcPr>
            <w:tcW w:w="3504" w:type="dxa"/>
            <w:gridSpan w:val="4"/>
            <w:tcBorders>
              <w:top w:val="single" w:sz="4" w:space="0" w:color="auto"/>
              <w:left w:val="nil"/>
              <w:bottom w:val="single" w:sz="4" w:space="0" w:color="C5E0B2"/>
              <w:right w:val="nil"/>
            </w:tcBorders>
            <w:shd w:val="clear" w:color="auto" w:fill="76923C"/>
            <w:noWrap/>
            <w:vAlign w:val="center"/>
            <w:hideMark/>
          </w:tcPr>
          <w:p w:rsidR="0082375B" w:rsidRPr="00BE6A16" w:rsidRDefault="0082375B" w:rsidP="008E18FA">
            <w:pPr>
              <w:spacing w:after="0" w:line="240" w:lineRule="auto"/>
              <w:jc w:val="center"/>
              <w:rPr>
                <w:rFonts w:eastAsia="Times New Roman" w:cs="Arial"/>
                <w:b/>
                <w:color w:val="FFFFFF" w:themeColor="background1"/>
                <w:sz w:val="16"/>
                <w:szCs w:val="16"/>
                <w:lang w:val="es-CO" w:eastAsia="es-CO"/>
              </w:rPr>
            </w:pPr>
            <w:r w:rsidRPr="00BE6A16">
              <w:rPr>
                <w:rFonts w:eastAsia="Times New Roman" w:cs="Arial"/>
                <w:b/>
                <w:color w:val="FFFFFF" w:themeColor="background1"/>
                <w:sz w:val="16"/>
                <w:szCs w:val="16"/>
                <w:lang w:val="es-CO" w:eastAsia="es-CO"/>
              </w:rPr>
              <w:t>2017 (Corte Diciembre preliminar)</w:t>
            </w:r>
          </w:p>
        </w:tc>
      </w:tr>
      <w:tr w:rsidR="0082375B" w:rsidRPr="007608C2" w:rsidTr="00BE6A16">
        <w:trPr>
          <w:trHeight w:val="300"/>
        </w:trPr>
        <w:tc>
          <w:tcPr>
            <w:tcW w:w="1537" w:type="dxa"/>
            <w:vMerge/>
            <w:tcBorders>
              <w:top w:val="single" w:sz="4" w:space="0" w:color="C5E0B2"/>
              <w:left w:val="nil"/>
              <w:bottom w:val="single" w:sz="4" w:space="0" w:color="C5E0B2"/>
              <w:right w:val="nil"/>
            </w:tcBorders>
            <w:shd w:val="clear" w:color="auto" w:fill="76923C"/>
            <w:vAlign w:val="center"/>
            <w:hideMark/>
          </w:tcPr>
          <w:p w:rsidR="0082375B" w:rsidRPr="00BE6A16" w:rsidRDefault="0082375B" w:rsidP="008E18FA">
            <w:pPr>
              <w:spacing w:after="0" w:line="240" w:lineRule="auto"/>
              <w:rPr>
                <w:rFonts w:eastAsia="Times New Roman" w:cs="Arial"/>
                <w:b/>
                <w:color w:val="FFFFFF" w:themeColor="background1"/>
                <w:sz w:val="16"/>
                <w:szCs w:val="16"/>
                <w:lang w:val="es-CO" w:eastAsia="es-CO"/>
              </w:rPr>
            </w:pPr>
          </w:p>
        </w:tc>
        <w:tc>
          <w:tcPr>
            <w:tcW w:w="708" w:type="dxa"/>
            <w:vMerge/>
            <w:tcBorders>
              <w:top w:val="single" w:sz="4" w:space="0" w:color="C5E0B2"/>
              <w:left w:val="nil"/>
              <w:bottom w:val="single" w:sz="4" w:space="0" w:color="C5E0B2"/>
              <w:right w:val="nil"/>
            </w:tcBorders>
            <w:shd w:val="clear" w:color="auto" w:fill="76923C"/>
            <w:vAlign w:val="center"/>
            <w:hideMark/>
          </w:tcPr>
          <w:p w:rsidR="0082375B" w:rsidRPr="00BE6A16" w:rsidRDefault="0082375B" w:rsidP="008E18FA">
            <w:pPr>
              <w:spacing w:after="0" w:line="240" w:lineRule="auto"/>
              <w:rPr>
                <w:rFonts w:eastAsia="Times New Roman" w:cs="Arial"/>
                <w:b/>
                <w:color w:val="FFFFFF" w:themeColor="background1"/>
                <w:sz w:val="16"/>
                <w:szCs w:val="16"/>
                <w:lang w:val="es-CO" w:eastAsia="es-CO"/>
              </w:rPr>
            </w:pPr>
          </w:p>
        </w:tc>
        <w:tc>
          <w:tcPr>
            <w:tcW w:w="3607" w:type="dxa"/>
            <w:vMerge/>
            <w:tcBorders>
              <w:top w:val="single" w:sz="4" w:space="0" w:color="C5E0B2"/>
              <w:left w:val="nil"/>
              <w:bottom w:val="single" w:sz="4" w:space="0" w:color="C5E0B2"/>
              <w:right w:val="nil"/>
            </w:tcBorders>
            <w:shd w:val="clear" w:color="auto" w:fill="76923C"/>
            <w:vAlign w:val="center"/>
            <w:hideMark/>
          </w:tcPr>
          <w:p w:rsidR="0082375B" w:rsidRPr="00BE6A16" w:rsidRDefault="0082375B" w:rsidP="008E18FA">
            <w:pPr>
              <w:spacing w:after="0" w:line="240" w:lineRule="auto"/>
              <w:rPr>
                <w:rFonts w:eastAsia="Times New Roman" w:cs="Arial"/>
                <w:b/>
                <w:color w:val="FFFFFF" w:themeColor="background1"/>
                <w:sz w:val="16"/>
                <w:szCs w:val="16"/>
                <w:lang w:val="es-CO" w:eastAsia="es-CO"/>
              </w:rPr>
            </w:pPr>
          </w:p>
        </w:tc>
        <w:tc>
          <w:tcPr>
            <w:tcW w:w="850" w:type="dxa"/>
            <w:tcBorders>
              <w:top w:val="single" w:sz="4" w:space="0" w:color="C5E0B2"/>
              <w:left w:val="nil"/>
              <w:bottom w:val="single" w:sz="4" w:space="0" w:color="C5E0B2"/>
              <w:right w:val="nil"/>
            </w:tcBorders>
            <w:shd w:val="clear" w:color="auto" w:fill="76923C"/>
            <w:vAlign w:val="center"/>
            <w:hideMark/>
          </w:tcPr>
          <w:p w:rsidR="0082375B" w:rsidRPr="00BE6A16" w:rsidRDefault="0082375B" w:rsidP="008E18FA">
            <w:pPr>
              <w:spacing w:after="0" w:line="240" w:lineRule="auto"/>
              <w:jc w:val="center"/>
              <w:rPr>
                <w:rFonts w:eastAsia="Times New Roman" w:cs="Arial"/>
                <w:b/>
                <w:color w:val="FFFFFF" w:themeColor="background1"/>
                <w:sz w:val="16"/>
                <w:szCs w:val="16"/>
                <w:lang w:val="es-CO" w:eastAsia="es-CO"/>
              </w:rPr>
            </w:pPr>
            <w:r w:rsidRPr="00BE6A16">
              <w:rPr>
                <w:rFonts w:eastAsia="Times New Roman" w:cs="Arial"/>
                <w:b/>
                <w:color w:val="FFFFFF" w:themeColor="background1"/>
                <w:sz w:val="16"/>
                <w:szCs w:val="16"/>
                <w:lang w:val="es-CO" w:eastAsia="es-CO"/>
              </w:rPr>
              <w:t>Meta 2017</w:t>
            </w:r>
          </w:p>
        </w:tc>
        <w:tc>
          <w:tcPr>
            <w:tcW w:w="811" w:type="dxa"/>
            <w:tcBorders>
              <w:top w:val="single" w:sz="4" w:space="0" w:color="C5E0B2"/>
              <w:left w:val="nil"/>
              <w:bottom w:val="single" w:sz="4" w:space="0" w:color="C5E0B2"/>
              <w:right w:val="nil"/>
            </w:tcBorders>
            <w:shd w:val="clear" w:color="auto" w:fill="76923C"/>
            <w:noWrap/>
            <w:vAlign w:val="center"/>
            <w:hideMark/>
          </w:tcPr>
          <w:p w:rsidR="0082375B" w:rsidRPr="00BE6A16" w:rsidRDefault="0082375B" w:rsidP="008E18FA">
            <w:pPr>
              <w:spacing w:after="0" w:line="240" w:lineRule="auto"/>
              <w:jc w:val="center"/>
              <w:rPr>
                <w:rFonts w:eastAsia="Times New Roman" w:cs="Arial"/>
                <w:b/>
                <w:color w:val="FFFFFF" w:themeColor="background1"/>
                <w:sz w:val="16"/>
                <w:szCs w:val="16"/>
                <w:lang w:val="es-CO" w:eastAsia="es-CO"/>
              </w:rPr>
            </w:pPr>
            <w:r w:rsidRPr="00BE6A16">
              <w:rPr>
                <w:rFonts w:eastAsia="Times New Roman" w:cs="Arial"/>
                <w:b/>
                <w:color w:val="FFFFFF" w:themeColor="background1"/>
                <w:sz w:val="16"/>
                <w:szCs w:val="16"/>
                <w:lang w:val="es-CO" w:eastAsia="es-CO"/>
              </w:rPr>
              <w:t>Tendencia</w:t>
            </w:r>
          </w:p>
        </w:tc>
        <w:tc>
          <w:tcPr>
            <w:tcW w:w="851" w:type="dxa"/>
            <w:tcBorders>
              <w:top w:val="single" w:sz="4" w:space="0" w:color="C5E0B2"/>
              <w:left w:val="nil"/>
              <w:bottom w:val="single" w:sz="4" w:space="0" w:color="C5E0B2"/>
              <w:right w:val="nil"/>
            </w:tcBorders>
            <w:shd w:val="clear" w:color="auto" w:fill="76923C"/>
            <w:vAlign w:val="center"/>
            <w:hideMark/>
          </w:tcPr>
          <w:p w:rsidR="0082375B" w:rsidRPr="00BE6A16" w:rsidRDefault="0082375B" w:rsidP="008E18FA">
            <w:pPr>
              <w:spacing w:after="0" w:line="240" w:lineRule="auto"/>
              <w:jc w:val="center"/>
              <w:rPr>
                <w:rFonts w:eastAsia="Times New Roman" w:cs="Arial"/>
                <w:b/>
                <w:color w:val="FFFFFF" w:themeColor="background1"/>
                <w:sz w:val="16"/>
                <w:szCs w:val="16"/>
                <w:lang w:val="es-CO" w:eastAsia="es-CO"/>
              </w:rPr>
            </w:pPr>
            <w:r w:rsidRPr="00BE6A16">
              <w:rPr>
                <w:rFonts w:eastAsia="Times New Roman" w:cs="Arial"/>
                <w:b/>
                <w:color w:val="FFFFFF" w:themeColor="background1"/>
                <w:sz w:val="16"/>
                <w:szCs w:val="16"/>
                <w:lang w:val="es-CO" w:eastAsia="es-CO"/>
              </w:rPr>
              <w:t>% avance</w:t>
            </w:r>
          </w:p>
        </w:tc>
        <w:tc>
          <w:tcPr>
            <w:tcW w:w="992" w:type="dxa"/>
            <w:tcBorders>
              <w:top w:val="single" w:sz="4" w:space="0" w:color="C5E0B2"/>
              <w:left w:val="nil"/>
              <w:bottom w:val="single" w:sz="4" w:space="0" w:color="C5E0B2"/>
              <w:right w:val="nil"/>
            </w:tcBorders>
            <w:shd w:val="clear" w:color="auto" w:fill="76923C"/>
            <w:vAlign w:val="center"/>
            <w:hideMark/>
          </w:tcPr>
          <w:p w:rsidR="0082375B" w:rsidRPr="00BE6A16" w:rsidRDefault="0082375B" w:rsidP="008E18FA">
            <w:pPr>
              <w:spacing w:after="0" w:line="240" w:lineRule="auto"/>
              <w:jc w:val="center"/>
              <w:rPr>
                <w:rFonts w:eastAsia="Times New Roman" w:cs="Arial"/>
                <w:b/>
                <w:color w:val="FFFFFF" w:themeColor="background1"/>
                <w:sz w:val="16"/>
                <w:szCs w:val="16"/>
                <w:lang w:val="es-CO" w:eastAsia="es-CO"/>
              </w:rPr>
            </w:pPr>
            <w:r w:rsidRPr="00BE6A16">
              <w:rPr>
                <w:rFonts w:eastAsia="Times New Roman" w:cs="Arial"/>
                <w:b/>
                <w:color w:val="FFFFFF" w:themeColor="background1"/>
                <w:sz w:val="16"/>
                <w:szCs w:val="16"/>
                <w:lang w:val="es-CO" w:eastAsia="es-CO"/>
              </w:rPr>
              <w:t>Estado</w:t>
            </w:r>
          </w:p>
        </w:tc>
      </w:tr>
      <w:tr w:rsidR="0082375B" w:rsidRPr="007608C2" w:rsidTr="00BE6A16">
        <w:trPr>
          <w:trHeight w:val="450"/>
        </w:trPr>
        <w:tc>
          <w:tcPr>
            <w:tcW w:w="1537" w:type="dxa"/>
            <w:tcBorders>
              <w:top w:val="single" w:sz="4" w:space="0" w:color="C5E0B2"/>
              <w:left w:val="nil"/>
              <w:bottom w:val="single" w:sz="4" w:space="0" w:color="C5E0B2"/>
              <w:right w:val="nil"/>
            </w:tcBorders>
            <w:shd w:val="clear" w:color="000000" w:fill="FFFFFF"/>
            <w:vAlign w:val="center"/>
            <w:hideMark/>
          </w:tcPr>
          <w:p w:rsidR="0082375B" w:rsidRPr="007608C2" w:rsidRDefault="0082375B" w:rsidP="008E18FA">
            <w:pPr>
              <w:spacing w:after="0" w:line="240" w:lineRule="auto"/>
              <w:rPr>
                <w:rFonts w:eastAsia="Times New Roman" w:cs="Arial"/>
                <w:color w:val="000000"/>
                <w:sz w:val="16"/>
                <w:szCs w:val="16"/>
                <w:lang w:val="es-CO" w:eastAsia="es-CO"/>
              </w:rPr>
            </w:pPr>
            <w:r w:rsidRPr="007608C2">
              <w:rPr>
                <w:rFonts w:eastAsia="Times New Roman" w:cs="Arial"/>
                <w:color w:val="000000"/>
                <w:sz w:val="16"/>
                <w:szCs w:val="16"/>
                <w:lang w:val="es-CO" w:eastAsia="es-CO"/>
              </w:rPr>
              <w:t>Dirección de Servicios y Atención</w:t>
            </w:r>
          </w:p>
        </w:tc>
        <w:tc>
          <w:tcPr>
            <w:tcW w:w="708"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PA-72</w:t>
            </w:r>
          </w:p>
        </w:tc>
        <w:tc>
          <w:tcPr>
            <w:tcW w:w="3607" w:type="dxa"/>
            <w:tcBorders>
              <w:top w:val="single" w:sz="4" w:space="0" w:color="C5E0B2"/>
              <w:left w:val="nil"/>
              <w:bottom w:val="single" w:sz="4" w:space="0" w:color="C5E0B2"/>
              <w:right w:val="nil"/>
            </w:tcBorders>
            <w:shd w:val="clear" w:color="000000" w:fill="FFFFFF"/>
            <w:vAlign w:val="center"/>
            <w:hideMark/>
          </w:tcPr>
          <w:p w:rsidR="0082375B" w:rsidRPr="007608C2" w:rsidRDefault="0082375B" w:rsidP="008E18FA">
            <w:pPr>
              <w:spacing w:after="0" w:line="240" w:lineRule="auto"/>
              <w:rPr>
                <w:rFonts w:eastAsia="Times New Roman" w:cs="Arial"/>
                <w:sz w:val="16"/>
                <w:szCs w:val="16"/>
                <w:lang w:val="es-CO" w:eastAsia="es-CO"/>
              </w:rPr>
            </w:pPr>
            <w:r w:rsidRPr="007608C2">
              <w:rPr>
                <w:rFonts w:eastAsia="Times New Roman" w:cs="Arial"/>
                <w:sz w:val="16"/>
                <w:szCs w:val="16"/>
                <w:lang w:val="es-CO" w:eastAsia="es-CO"/>
              </w:rPr>
              <w:t>Porcentaje de implementación de la estrategia de medición de la satisfacción.</w:t>
            </w:r>
          </w:p>
        </w:tc>
        <w:tc>
          <w:tcPr>
            <w:tcW w:w="850"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100%</w:t>
            </w:r>
          </w:p>
        </w:tc>
        <w:tc>
          <w:tcPr>
            <w:tcW w:w="811"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Creciente</w:t>
            </w:r>
          </w:p>
        </w:tc>
        <w:tc>
          <w:tcPr>
            <w:tcW w:w="851"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100%</w:t>
            </w:r>
          </w:p>
        </w:tc>
        <w:tc>
          <w:tcPr>
            <w:tcW w:w="992" w:type="dxa"/>
            <w:tcBorders>
              <w:top w:val="single" w:sz="4" w:space="0" w:color="C5E0B2"/>
              <w:left w:val="nil"/>
              <w:bottom w:val="single" w:sz="4" w:space="0" w:color="C5E0B2"/>
              <w:right w:val="single" w:sz="4" w:space="0" w:color="D9D9D9"/>
            </w:tcBorders>
            <w:shd w:val="clear" w:color="000000" w:fill="5B9BD5"/>
            <w:noWrap/>
            <w:vAlign w:val="center"/>
            <w:hideMark/>
          </w:tcPr>
          <w:p w:rsidR="0082375B" w:rsidRPr="007608C2" w:rsidRDefault="0082375B" w:rsidP="008E18FA">
            <w:pPr>
              <w:spacing w:after="0" w:line="240" w:lineRule="auto"/>
              <w:jc w:val="center"/>
              <w:rPr>
                <w:rFonts w:eastAsia="Times New Roman" w:cs="Arial"/>
                <w:color w:val="FFFFFF"/>
                <w:sz w:val="16"/>
                <w:szCs w:val="16"/>
                <w:lang w:val="es-CO" w:eastAsia="es-CO"/>
              </w:rPr>
            </w:pPr>
            <w:r w:rsidRPr="007608C2">
              <w:rPr>
                <w:rFonts w:eastAsia="Times New Roman" w:cs="Arial"/>
                <w:color w:val="FFFFFF"/>
                <w:sz w:val="16"/>
                <w:szCs w:val="16"/>
                <w:lang w:val="es-CO" w:eastAsia="es-CO"/>
              </w:rPr>
              <w:t>OPTIMO</w:t>
            </w:r>
          </w:p>
        </w:tc>
      </w:tr>
      <w:tr w:rsidR="0082375B" w:rsidRPr="007608C2" w:rsidTr="00BE6A16">
        <w:trPr>
          <w:trHeight w:val="450"/>
        </w:trPr>
        <w:tc>
          <w:tcPr>
            <w:tcW w:w="1537" w:type="dxa"/>
            <w:tcBorders>
              <w:top w:val="single" w:sz="4" w:space="0" w:color="C5E0B2"/>
              <w:left w:val="nil"/>
              <w:bottom w:val="single" w:sz="4" w:space="0" w:color="C5E0B2"/>
              <w:right w:val="nil"/>
            </w:tcBorders>
            <w:shd w:val="clear" w:color="000000" w:fill="FFFFFF"/>
            <w:vAlign w:val="center"/>
            <w:hideMark/>
          </w:tcPr>
          <w:p w:rsidR="0082375B" w:rsidRPr="007608C2" w:rsidRDefault="0082375B" w:rsidP="008E18FA">
            <w:pPr>
              <w:spacing w:after="0" w:line="240" w:lineRule="auto"/>
              <w:rPr>
                <w:rFonts w:eastAsia="Times New Roman" w:cs="Arial"/>
                <w:color w:val="000000"/>
                <w:sz w:val="16"/>
                <w:szCs w:val="16"/>
                <w:lang w:val="es-CO" w:eastAsia="es-CO"/>
              </w:rPr>
            </w:pPr>
            <w:r w:rsidRPr="007608C2">
              <w:rPr>
                <w:rFonts w:eastAsia="Times New Roman" w:cs="Arial"/>
                <w:color w:val="000000"/>
                <w:sz w:val="16"/>
                <w:szCs w:val="16"/>
                <w:lang w:val="es-CO" w:eastAsia="es-CO"/>
              </w:rPr>
              <w:t>Dirección de Servicios y Atención</w:t>
            </w:r>
          </w:p>
        </w:tc>
        <w:tc>
          <w:tcPr>
            <w:tcW w:w="708"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PA-73</w:t>
            </w:r>
          </w:p>
        </w:tc>
        <w:tc>
          <w:tcPr>
            <w:tcW w:w="3607" w:type="dxa"/>
            <w:tcBorders>
              <w:top w:val="single" w:sz="4" w:space="0" w:color="C5E0B2"/>
              <w:left w:val="nil"/>
              <w:bottom w:val="single" w:sz="4" w:space="0" w:color="C5E0B2"/>
              <w:right w:val="nil"/>
            </w:tcBorders>
            <w:shd w:val="clear" w:color="000000" w:fill="FFFFFF"/>
            <w:vAlign w:val="center"/>
            <w:hideMark/>
          </w:tcPr>
          <w:p w:rsidR="0082375B" w:rsidRPr="007608C2" w:rsidRDefault="0082375B" w:rsidP="008E18FA">
            <w:pPr>
              <w:spacing w:after="0" w:line="240" w:lineRule="auto"/>
              <w:rPr>
                <w:rFonts w:eastAsia="Times New Roman" w:cs="Arial"/>
                <w:sz w:val="16"/>
                <w:szCs w:val="16"/>
                <w:lang w:val="es-CO" w:eastAsia="es-CO"/>
              </w:rPr>
            </w:pPr>
            <w:r w:rsidRPr="007608C2">
              <w:rPr>
                <w:rFonts w:eastAsia="Times New Roman" w:cs="Arial"/>
                <w:sz w:val="16"/>
                <w:szCs w:val="16"/>
                <w:lang w:val="es-CO" w:eastAsia="es-CO"/>
              </w:rPr>
              <w:t>Porcentaje de Implementación del Modelo de servicio puntos de atención ICBF a nivel nacional.</w:t>
            </w:r>
          </w:p>
        </w:tc>
        <w:tc>
          <w:tcPr>
            <w:tcW w:w="850"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80%</w:t>
            </w:r>
          </w:p>
        </w:tc>
        <w:tc>
          <w:tcPr>
            <w:tcW w:w="811"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Creciente</w:t>
            </w:r>
          </w:p>
        </w:tc>
        <w:tc>
          <w:tcPr>
            <w:tcW w:w="851"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80%</w:t>
            </w:r>
          </w:p>
        </w:tc>
        <w:tc>
          <w:tcPr>
            <w:tcW w:w="992" w:type="dxa"/>
            <w:tcBorders>
              <w:top w:val="single" w:sz="4" w:space="0" w:color="C5E0B2"/>
              <w:left w:val="nil"/>
              <w:bottom w:val="single" w:sz="4" w:space="0" w:color="C5E0B2"/>
              <w:right w:val="single" w:sz="4" w:space="0" w:color="D9D9D9"/>
            </w:tcBorders>
            <w:shd w:val="clear" w:color="000000" w:fill="5B9BD5"/>
            <w:noWrap/>
            <w:vAlign w:val="center"/>
            <w:hideMark/>
          </w:tcPr>
          <w:p w:rsidR="0082375B" w:rsidRPr="007608C2" w:rsidRDefault="0082375B" w:rsidP="008E18FA">
            <w:pPr>
              <w:spacing w:after="0" w:line="240" w:lineRule="auto"/>
              <w:jc w:val="center"/>
              <w:rPr>
                <w:rFonts w:eastAsia="Times New Roman" w:cs="Arial"/>
                <w:color w:val="FFFFFF"/>
                <w:sz w:val="16"/>
                <w:szCs w:val="16"/>
                <w:lang w:val="es-CO" w:eastAsia="es-CO"/>
              </w:rPr>
            </w:pPr>
            <w:r w:rsidRPr="007608C2">
              <w:rPr>
                <w:rFonts w:eastAsia="Times New Roman" w:cs="Arial"/>
                <w:color w:val="FFFFFF"/>
                <w:sz w:val="16"/>
                <w:szCs w:val="16"/>
                <w:lang w:val="es-CO" w:eastAsia="es-CO"/>
              </w:rPr>
              <w:t>OPTIMO</w:t>
            </w:r>
          </w:p>
        </w:tc>
      </w:tr>
      <w:tr w:rsidR="0082375B" w:rsidRPr="007608C2" w:rsidTr="00BE6A16">
        <w:trPr>
          <w:trHeight w:val="450"/>
        </w:trPr>
        <w:tc>
          <w:tcPr>
            <w:tcW w:w="1537" w:type="dxa"/>
            <w:tcBorders>
              <w:top w:val="single" w:sz="4" w:space="0" w:color="C5E0B2"/>
              <w:left w:val="nil"/>
              <w:bottom w:val="single" w:sz="4" w:space="0" w:color="C5E0B2"/>
              <w:right w:val="nil"/>
            </w:tcBorders>
            <w:shd w:val="clear" w:color="000000" w:fill="FFFFFF"/>
            <w:vAlign w:val="center"/>
            <w:hideMark/>
          </w:tcPr>
          <w:p w:rsidR="0082375B" w:rsidRPr="007608C2" w:rsidRDefault="0082375B" w:rsidP="008E18FA">
            <w:pPr>
              <w:spacing w:after="0" w:line="240" w:lineRule="auto"/>
              <w:rPr>
                <w:rFonts w:eastAsia="Times New Roman" w:cs="Arial"/>
                <w:color w:val="000000"/>
                <w:sz w:val="16"/>
                <w:szCs w:val="16"/>
                <w:lang w:val="es-CO" w:eastAsia="es-CO"/>
              </w:rPr>
            </w:pPr>
            <w:r w:rsidRPr="007608C2">
              <w:rPr>
                <w:rFonts w:eastAsia="Times New Roman" w:cs="Arial"/>
                <w:color w:val="000000"/>
                <w:sz w:val="16"/>
                <w:szCs w:val="16"/>
                <w:lang w:val="es-CO" w:eastAsia="es-CO"/>
              </w:rPr>
              <w:t>Dirección de Servicios y Atención</w:t>
            </w:r>
          </w:p>
        </w:tc>
        <w:tc>
          <w:tcPr>
            <w:tcW w:w="708"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PA-74</w:t>
            </w:r>
          </w:p>
        </w:tc>
        <w:tc>
          <w:tcPr>
            <w:tcW w:w="3607" w:type="dxa"/>
            <w:tcBorders>
              <w:top w:val="single" w:sz="4" w:space="0" w:color="C5E0B2"/>
              <w:left w:val="nil"/>
              <w:bottom w:val="single" w:sz="4" w:space="0" w:color="C5E0B2"/>
              <w:right w:val="nil"/>
            </w:tcBorders>
            <w:shd w:val="clear" w:color="000000" w:fill="FFFFFF"/>
            <w:vAlign w:val="center"/>
            <w:hideMark/>
          </w:tcPr>
          <w:p w:rsidR="0082375B" w:rsidRPr="007608C2" w:rsidRDefault="0082375B" w:rsidP="008E18FA">
            <w:pPr>
              <w:spacing w:after="0" w:line="240" w:lineRule="auto"/>
              <w:rPr>
                <w:rFonts w:eastAsia="Times New Roman" w:cs="Arial"/>
                <w:sz w:val="16"/>
                <w:szCs w:val="16"/>
                <w:lang w:val="es-CO" w:eastAsia="es-CO"/>
              </w:rPr>
            </w:pPr>
            <w:r w:rsidRPr="007608C2">
              <w:rPr>
                <w:rFonts w:eastAsia="Times New Roman" w:cs="Arial"/>
                <w:sz w:val="16"/>
                <w:szCs w:val="16"/>
                <w:lang w:val="es-CO" w:eastAsia="es-CO"/>
              </w:rPr>
              <w:t>Porcentaje de quejas, reclamos y sugerencias solucionados oportunamente</w:t>
            </w:r>
          </w:p>
        </w:tc>
        <w:tc>
          <w:tcPr>
            <w:tcW w:w="850"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100%</w:t>
            </w:r>
          </w:p>
        </w:tc>
        <w:tc>
          <w:tcPr>
            <w:tcW w:w="811"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Estático</w:t>
            </w:r>
          </w:p>
        </w:tc>
        <w:tc>
          <w:tcPr>
            <w:tcW w:w="851"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95%</w:t>
            </w:r>
          </w:p>
        </w:tc>
        <w:tc>
          <w:tcPr>
            <w:tcW w:w="992" w:type="dxa"/>
            <w:tcBorders>
              <w:top w:val="single" w:sz="4" w:space="0" w:color="C5E0B2"/>
              <w:left w:val="nil"/>
              <w:bottom w:val="single" w:sz="4" w:space="0" w:color="C5E0B2"/>
              <w:right w:val="single" w:sz="4" w:space="0" w:color="D9D9D9"/>
            </w:tcBorders>
            <w:shd w:val="clear" w:color="000000" w:fill="92D050"/>
            <w:noWrap/>
            <w:vAlign w:val="center"/>
            <w:hideMark/>
          </w:tcPr>
          <w:p w:rsidR="0082375B" w:rsidRPr="007608C2" w:rsidRDefault="0082375B" w:rsidP="008E18FA">
            <w:pPr>
              <w:spacing w:after="0" w:line="240" w:lineRule="auto"/>
              <w:jc w:val="center"/>
              <w:rPr>
                <w:rFonts w:eastAsia="Times New Roman" w:cs="Arial"/>
                <w:color w:val="375623"/>
                <w:sz w:val="16"/>
                <w:szCs w:val="16"/>
                <w:lang w:val="es-CO" w:eastAsia="es-CO"/>
              </w:rPr>
            </w:pPr>
            <w:r w:rsidRPr="007608C2">
              <w:rPr>
                <w:rFonts w:eastAsia="Times New Roman" w:cs="Arial"/>
                <w:color w:val="375623"/>
                <w:sz w:val="16"/>
                <w:szCs w:val="16"/>
                <w:lang w:val="es-CO" w:eastAsia="es-CO"/>
              </w:rPr>
              <w:t>ADECUADO</w:t>
            </w:r>
          </w:p>
        </w:tc>
      </w:tr>
      <w:tr w:rsidR="0082375B" w:rsidRPr="007608C2" w:rsidTr="00BE6A16">
        <w:trPr>
          <w:trHeight w:val="450"/>
        </w:trPr>
        <w:tc>
          <w:tcPr>
            <w:tcW w:w="1537" w:type="dxa"/>
            <w:tcBorders>
              <w:top w:val="single" w:sz="4" w:space="0" w:color="C5E0B2"/>
              <w:left w:val="nil"/>
              <w:bottom w:val="single" w:sz="4" w:space="0" w:color="C5E0B2"/>
              <w:right w:val="nil"/>
            </w:tcBorders>
            <w:shd w:val="clear" w:color="000000" w:fill="FFFFFF"/>
            <w:vAlign w:val="center"/>
            <w:hideMark/>
          </w:tcPr>
          <w:p w:rsidR="0082375B" w:rsidRPr="007608C2" w:rsidRDefault="0082375B" w:rsidP="008E18FA">
            <w:pPr>
              <w:spacing w:after="0" w:line="240" w:lineRule="auto"/>
              <w:rPr>
                <w:rFonts w:eastAsia="Times New Roman" w:cs="Arial"/>
                <w:color w:val="000000"/>
                <w:sz w:val="16"/>
                <w:szCs w:val="16"/>
                <w:lang w:val="es-CO" w:eastAsia="es-CO"/>
              </w:rPr>
            </w:pPr>
            <w:r w:rsidRPr="007608C2">
              <w:rPr>
                <w:rFonts w:eastAsia="Times New Roman" w:cs="Arial"/>
                <w:color w:val="000000"/>
                <w:sz w:val="16"/>
                <w:szCs w:val="16"/>
                <w:lang w:val="es-CO" w:eastAsia="es-CO"/>
              </w:rPr>
              <w:lastRenderedPageBreak/>
              <w:t>Dirección de Servicios y Atención</w:t>
            </w:r>
          </w:p>
        </w:tc>
        <w:tc>
          <w:tcPr>
            <w:tcW w:w="708"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PA-111</w:t>
            </w:r>
          </w:p>
        </w:tc>
        <w:tc>
          <w:tcPr>
            <w:tcW w:w="3607" w:type="dxa"/>
            <w:tcBorders>
              <w:top w:val="single" w:sz="4" w:space="0" w:color="C5E0B2"/>
              <w:left w:val="nil"/>
              <w:bottom w:val="single" w:sz="4" w:space="0" w:color="C5E0B2"/>
              <w:right w:val="nil"/>
            </w:tcBorders>
            <w:shd w:val="clear" w:color="000000" w:fill="FFFFFF"/>
            <w:vAlign w:val="center"/>
            <w:hideMark/>
          </w:tcPr>
          <w:p w:rsidR="0082375B" w:rsidRPr="007608C2" w:rsidRDefault="0082375B" w:rsidP="008E18FA">
            <w:pPr>
              <w:spacing w:after="0" w:line="240" w:lineRule="auto"/>
              <w:rPr>
                <w:rFonts w:eastAsia="Times New Roman" w:cs="Arial"/>
                <w:sz w:val="16"/>
                <w:szCs w:val="16"/>
                <w:lang w:val="es-CO" w:eastAsia="es-CO"/>
              </w:rPr>
            </w:pPr>
            <w:r w:rsidRPr="007608C2">
              <w:rPr>
                <w:rFonts w:eastAsia="Times New Roman" w:cs="Arial"/>
                <w:sz w:val="16"/>
                <w:szCs w:val="16"/>
                <w:lang w:val="es-CO" w:eastAsia="es-CO"/>
              </w:rPr>
              <w:t>Porcentaje de cumplimiento de la estrategia GEL</w:t>
            </w:r>
          </w:p>
        </w:tc>
        <w:tc>
          <w:tcPr>
            <w:tcW w:w="850"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100%</w:t>
            </w:r>
          </w:p>
        </w:tc>
        <w:tc>
          <w:tcPr>
            <w:tcW w:w="811"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Creciente</w:t>
            </w:r>
          </w:p>
        </w:tc>
        <w:tc>
          <w:tcPr>
            <w:tcW w:w="851"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95%</w:t>
            </w:r>
          </w:p>
        </w:tc>
        <w:tc>
          <w:tcPr>
            <w:tcW w:w="992" w:type="dxa"/>
            <w:tcBorders>
              <w:top w:val="single" w:sz="4" w:space="0" w:color="C5E0B2"/>
              <w:left w:val="nil"/>
              <w:bottom w:val="single" w:sz="4" w:space="0" w:color="C5E0B2"/>
              <w:right w:val="single" w:sz="4" w:space="0" w:color="D9D9D9"/>
            </w:tcBorders>
            <w:shd w:val="clear" w:color="000000" w:fill="92D050"/>
            <w:noWrap/>
            <w:vAlign w:val="center"/>
            <w:hideMark/>
          </w:tcPr>
          <w:p w:rsidR="0082375B" w:rsidRPr="007608C2" w:rsidRDefault="0082375B" w:rsidP="008E18FA">
            <w:pPr>
              <w:spacing w:after="0" w:line="240" w:lineRule="auto"/>
              <w:jc w:val="center"/>
              <w:rPr>
                <w:rFonts w:eastAsia="Times New Roman" w:cs="Arial"/>
                <w:color w:val="375623"/>
                <w:sz w:val="16"/>
                <w:szCs w:val="16"/>
                <w:lang w:val="es-CO" w:eastAsia="es-CO"/>
              </w:rPr>
            </w:pPr>
            <w:r w:rsidRPr="007608C2">
              <w:rPr>
                <w:rFonts w:eastAsia="Times New Roman" w:cs="Arial"/>
                <w:color w:val="375623"/>
                <w:sz w:val="16"/>
                <w:szCs w:val="16"/>
                <w:lang w:val="es-CO" w:eastAsia="es-CO"/>
              </w:rPr>
              <w:t>ADECUADO</w:t>
            </w:r>
          </w:p>
        </w:tc>
      </w:tr>
      <w:tr w:rsidR="0082375B" w:rsidRPr="007608C2" w:rsidTr="00BE6A16">
        <w:trPr>
          <w:trHeight w:val="675"/>
        </w:trPr>
        <w:tc>
          <w:tcPr>
            <w:tcW w:w="1537" w:type="dxa"/>
            <w:tcBorders>
              <w:top w:val="single" w:sz="4" w:space="0" w:color="C5E0B2"/>
              <w:left w:val="nil"/>
              <w:bottom w:val="single" w:sz="4" w:space="0" w:color="C5E0B2"/>
              <w:right w:val="nil"/>
            </w:tcBorders>
            <w:shd w:val="clear" w:color="000000" w:fill="FFFFFF"/>
            <w:vAlign w:val="center"/>
            <w:hideMark/>
          </w:tcPr>
          <w:p w:rsidR="0082375B" w:rsidRPr="007608C2" w:rsidRDefault="0082375B" w:rsidP="008E18FA">
            <w:pPr>
              <w:spacing w:after="0" w:line="240" w:lineRule="auto"/>
              <w:rPr>
                <w:rFonts w:eastAsia="Times New Roman" w:cs="Arial"/>
                <w:color w:val="000000"/>
                <w:sz w:val="16"/>
                <w:szCs w:val="16"/>
                <w:lang w:val="es-CO" w:eastAsia="es-CO"/>
              </w:rPr>
            </w:pPr>
            <w:r w:rsidRPr="007608C2">
              <w:rPr>
                <w:rFonts w:eastAsia="Times New Roman" w:cs="Arial"/>
                <w:color w:val="000000"/>
                <w:sz w:val="16"/>
                <w:szCs w:val="16"/>
                <w:lang w:val="es-CO" w:eastAsia="es-CO"/>
              </w:rPr>
              <w:t>Dirección de Planeación y Control de Gestión</w:t>
            </w:r>
          </w:p>
        </w:tc>
        <w:tc>
          <w:tcPr>
            <w:tcW w:w="708"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PA-98</w:t>
            </w:r>
          </w:p>
        </w:tc>
        <w:tc>
          <w:tcPr>
            <w:tcW w:w="3607" w:type="dxa"/>
            <w:tcBorders>
              <w:top w:val="single" w:sz="4" w:space="0" w:color="C5E0B2"/>
              <w:left w:val="nil"/>
              <w:bottom w:val="single" w:sz="4" w:space="0" w:color="C5E0B2"/>
              <w:right w:val="nil"/>
            </w:tcBorders>
            <w:shd w:val="clear" w:color="000000" w:fill="FFFFFF"/>
            <w:vAlign w:val="center"/>
            <w:hideMark/>
          </w:tcPr>
          <w:p w:rsidR="0082375B" w:rsidRPr="007608C2" w:rsidRDefault="0082375B" w:rsidP="008E18FA">
            <w:pPr>
              <w:spacing w:after="0" w:line="240" w:lineRule="auto"/>
              <w:rPr>
                <w:rFonts w:eastAsia="Times New Roman" w:cs="Arial"/>
                <w:sz w:val="16"/>
                <w:szCs w:val="16"/>
                <w:lang w:val="es-CO" w:eastAsia="es-CO"/>
              </w:rPr>
            </w:pPr>
            <w:r w:rsidRPr="007608C2">
              <w:rPr>
                <w:rFonts w:eastAsia="Times New Roman" w:cs="Arial"/>
                <w:sz w:val="16"/>
                <w:szCs w:val="16"/>
                <w:lang w:val="es-CO" w:eastAsia="es-CO"/>
              </w:rPr>
              <w:t>Porcentaje de cumplimiento de compromisos formulados en las mesas públicas y rendición de cuentas</w:t>
            </w:r>
          </w:p>
        </w:tc>
        <w:tc>
          <w:tcPr>
            <w:tcW w:w="850"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100%</w:t>
            </w:r>
          </w:p>
        </w:tc>
        <w:tc>
          <w:tcPr>
            <w:tcW w:w="811"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Creciente</w:t>
            </w:r>
          </w:p>
        </w:tc>
        <w:tc>
          <w:tcPr>
            <w:tcW w:w="851"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94%</w:t>
            </w:r>
          </w:p>
        </w:tc>
        <w:tc>
          <w:tcPr>
            <w:tcW w:w="992" w:type="dxa"/>
            <w:tcBorders>
              <w:top w:val="single" w:sz="4" w:space="0" w:color="C5E0B2"/>
              <w:left w:val="nil"/>
              <w:bottom w:val="single" w:sz="4" w:space="0" w:color="C5E0B2"/>
              <w:right w:val="single" w:sz="4" w:space="0" w:color="D9D9D9"/>
            </w:tcBorders>
            <w:shd w:val="clear" w:color="000000" w:fill="92D050"/>
            <w:noWrap/>
            <w:vAlign w:val="center"/>
            <w:hideMark/>
          </w:tcPr>
          <w:p w:rsidR="0082375B" w:rsidRPr="007608C2" w:rsidRDefault="0082375B" w:rsidP="008E18FA">
            <w:pPr>
              <w:spacing w:after="0" w:line="240" w:lineRule="auto"/>
              <w:jc w:val="center"/>
              <w:rPr>
                <w:rFonts w:eastAsia="Times New Roman" w:cs="Arial"/>
                <w:color w:val="375623"/>
                <w:sz w:val="16"/>
                <w:szCs w:val="16"/>
                <w:lang w:val="es-CO" w:eastAsia="es-CO"/>
              </w:rPr>
            </w:pPr>
            <w:r w:rsidRPr="007608C2">
              <w:rPr>
                <w:rFonts w:eastAsia="Times New Roman" w:cs="Arial"/>
                <w:color w:val="375623"/>
                <w:sz w:val="16"/>
                <w:szCs w:val="16"/>
                <w:lang w:val="es-CO" w:eastAsia="es-CO"/>
              </w:rPr>
              <w:t>ADECUADO</w:t>
            </w:r>
          </w:p>
        </w:tc>
      </w:tr>
      <w:tr w:rsidR="0082375B" w:rsidRPr="007608C2" w:rsidTr="00BE6A16">
        <w:trPr>
          <w:trHeight w:val="690"/>
        </w:trPr>
        <w:tc>
          <w:tcPr>
            <w:tcW w:w="1537" w:type="dxa"/>
            <w:tcBorders>
              <w:top w:val="single" w:sz="4" w:space="0" w:color="C5E0B2"/>
              <w:left w:val="nil"/>
              <w:bottom w:val="single" w:sz="4" w:space="0" w:color="C5E0B2"/>
              <w:right w:val="nil"/>
            </w:tcBorders>
            <w:shd w:val="clear" w:color="000000" w:fill="FFFFFF"/>
            <w:vAlign w:val="center"/>
            <w:hideMark/>
          </w:tcPr>
          <w:p w:rsidR="0082375B" w:rsidRPr="007608C2" w:rsidRDefault="0082375B" w:rsidP="008E18FA">
            <w:pPr>
              <w:spacing w:after="0" w:line="240" w:lineRule="auto"/>
              <w:rPr>
                <w:rFonts w:eastAsia="Times New Roman" w:cs="Arial"/>
                <w:color w:val="000000"/>
                <w:sz w:val="16"/>
                <w:szCs w:val="16"/>
                <w:lang w:val="es-CO" w:eastAsia="es-CO"/>
              </w:rPr>
            </w:pPr>
            <w:r w:rsidRPr="007608C2">
              <w:rPr>
                <w:rFonts w:eastAsia="Times New Roman" w:cs="Arial"/>
                <w:color w:val="000000"/>
                <w:sz w:val="16"/>
                <w:szCs w:val="16"/>
                <w:lang w:val="es-CO" w:eastAsia="es-CO"/>
              </w:rPr>
              <w:t>Dirección del SNBF</w:t>
            </w:r>
          </w:p>
        </w:tc>
        <w:tc>
          <w:tcPr>
            <w:tcW w:w="708"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PA-90</w:t>
            </w:r>
          </w:p>
        </w:tc>
        <w:tc>
          <w:tcPr>
            <w:tcW w:w="3607" w:type="dxa"/>
            <w:tcBorders>
              <w:top w:val="single" w:sz="4" w:space="0" w:color="C5E0B2"/>
              <w:left w:val="nil"/>
              <w:bottom w:val="single" w:sz="4" w:space="0" w:color="C5E0B2"/>
              <w:right w:val="nil"/>
            </w:tcBorders>
            <w:shd w:val="clear" w:color="000000" w:fill="FFFFFF"/>
            <w:vAlign w:val="center"/>
            <w:hideMark/>
          </w:tcPr>
          <w:p w:rsidR="0082375B" w:rsidRPr="007608C2" w:rsidRDefault="0082375B" w:rsidP="008E18FA">
            <w:pPr>
              <w:spacing w:after="0" w:line="240" w:lineRule="auto"/>
              <w:rPr>
                <w:rFonts w:eastAsia="Times New Roman" w:cs="Arial"/>
                <w:sz w:val="16"/>
                <w:szCs w:val="16"/>
                <w:lang w:val="es-CO" w:eastAsia="es-CO"/>
              </w:rPr>
            </w:pPr>
            <w:r w:rsidRPr="007608C2">
              <w:rPr>
                <w:rFonts w:eastAsia="Times New Roman" w:cs="Arial"/>
                <w:sz w:val="16"/>
                <w:szCs w:val="16"/>
                <w:lang w:val="es-CO" w:eastAsia="es-CO"/>
              </w:rPr>
              <w:t>Número de Municipios y departamentos asistidos técnicamente en el ciclo de gestión de la Política Pública de primera Infancia, Infancia Adolescencia y fortalecimiento a la Familia</w:t>
            </w:r>
          </w:p>
        </w:tc>
        <w:tc>
          <w:tcPr>
            <w:tcW w:w="850"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1.133</w:t>
            </w:r>
          </w:p>
        </w:tc>
        <w:tc>
          <w:tcPr>
            <w:tcW w:w="811"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Estático</w:t>
            </w:r>
          </w:p>
        </w:tc>
        <w:tc>
          <w:tcPr>
            <w:tcW w:w="851"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100%</w:t>
            </w:r>
          </w:p>
        </w:tc>
        <w:tc>
          <w:tcPr>
            <w:tcW w:w="992" w:type="dxa"/>
            <w:tcBorders>
              <w:top w:val="single" w:sz="4" w:space="0" w:color="C5E0B2"/>
              <w:left w:val="nil"/>
              <w:bottom w:val="single" w:sz="4" w:space="0" w:color="C5E0B2"/>
              <w:right w:val="single" w:sz="4" w:space="0" w:color="D9D9D9"/>
            </w:tcBorders>
            <w:shd w:val="clear" w:color="000000" w:fill="5B9BD5"/>
            <w:noWrap/>
            <w:vAlign w:val="center"/>
            <w:hideMark/>
          </w:tcPr>
          <w:p w:rsidR="0082375B" w:rsidRPr="007608C2" w:rsidRDefault="0082375B" w:rsidP="008E18FA">
            <w:pPr>
              <w:spacing w:after="0" w:line="240" w:lineRule="auto"/>
              <w:jc w:val="center"/>
              <w:rPr>
                <w:rFonts w:eastAsia="Times New Roman" w:cs="Arial"/>
                <w:color w:val="FFFFFF"/>
                <w:sz w:val="16"/>
                <w:szCs w:val="16"/>
                <w:lang w:val="es-CO" w:eastAsia="es-CO"/>
              </w:rPr>
            </w:pPr>
            <w:r w:rsidRPr="007608C2">
              <w:rPr>
                <w:rFonts w:eastAsia="Times New Roman" w:cs="Arial"/>
                <w:color w:val="FFFFFF"/>
                <w:sz w:val="16"/>
                <w:szCs w:val="16"/>
                <w:lang w:val="es-CO" w:eastAsia="es-CO"/>
              </w:rPr>
              <w:t>OPTIMO</w:t>
            </w:r>
          </w:p>
        </w:tc>
      </w:tr>
      <w:tr w:rsidR="0082375B" w:rsidRPr="007608C2" w:rsidTr="00BE6A16">
        <w:trPr>
          <w:trHeight w:val="450"/>
        </w:trPr>
        <w:tc>
          <w:tcPr>
            <w:tcW w:w="1537" w:type="dxa"/>
            <w:tcBorders>
              <w:top w:val="single" w:sz="4" w:space="0" w:color="C5E0B2"/>
              <w:left w:val="nil"/>
              <w:bottom w:val="single" w:sz="4" w:space="0" w:color="C5E0B2"/>
              <w:right w:val="nil"/>
            </w:tcBorders>
            <w:shd w:val="clear" w:color="000000" w:fill="FFFFFF"/>
            <w:vAlign w:val="center"/>
            <w:hideMark/>
          </w:tcPr>
          <w:p w:rsidR="0082375B" w:rsidRPr="007608C2" w:rsidRDefault="0082375B" w:rsidP="008E18FA">
            <w:pPr>
              <w:spacing w:after="0" w:line="240" w:lineRule="auto"/>
              <w:rPr>
                <w:rFonts w:eastAsia="Times New Roman" w:cs="Arial"/>
                <w:color w:val="000000"/>
                <w:sz w:val="16"/>
                <w:szCs w:val="16"/>
                <w:lang w:val="es-CO" w:eastAsia="es-CO"/>
              </w:rPr>
            </w:pPr>
            <w:r w:rsidRPr="007608C2">
              <w:rPr>
                <w:rFonts w:eastAsia="Times New Roman" w:cs="Arial"/>
                <w:color w:val="000000"/>
                <w:sz w:val="16"/>
                <w:szCs w:val="16"/>
                <w:lang w:val="es-CO" w:eastAsia="es-CO"/>
              </w:rPr>
              <w:t>Dirección del SNBF</w:t>
            </w:r>
          </w:p>
        </w:tc>
        <w:tc>
          <w:tcPr>
            <w:tcW w:w="708"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PA-91</w:t>
            </w:r>
          </w:p>
        </w:tc>
        <w:tc>
          <w:tcPr>
            <w:tcW w:w="3607" w:type="dxa"/>
            <w:tcBorders>
              <w:top w:val="single" w:sz="4" w:space="0" w:color="C5E0B2"/>
              <w:left w:val="nil"/>
              <w:bottom w:val="single" w:sz="4" w:space="0" w:color="C5E0B2"/>
              <w:right w:val="nil"/>
            </w:tcBorders>
            <w:shd w:val="clear" w:color="000000" w:fill="FFFFFF"/>
            <w:vAlign w:val="center"/>
            <w:hideMark/>
          </w:tcPr>
          <w:p w:rsidR="0082375B" w:rsidRPr="007608C2" w:rsidRDefault="0082375B" w:rsidP="008E18FA">
            <w:pPr>
              <w:spacing w:after="0" w:line="240" w:lineRule="auto"/>
              <w:rPr>
                <w:rFonts w:eastAsia="Times New Roman" w:cs="Arial"/>
                <w:sz w:val="16"/>
                <w:szCs w:val="16"/>
                <w:lang w:val="es-CO" w:eastAsia="es-CO"/>
              </w:rPr>
            </w:pPr>
            <w:r w:rsidRPr="007608C2">
              <w:rPr>
                <w:rFonts w:eastAsia="Times New Roman" w:cs="Arial"/>
                <w:sz w:val="16"/>
                <w:szCs w:val="16"/>
                <w:lang w:val="es-CO" w:eastAsia="es-CO"/>
              </w:rPr>
              <w:t>Número de entidades territoriales con acompañamiento para la implementación de la Ruta Integral de Atenciones</w:t>
            </w:r>
          </w:p>
        </w:tc>
        <w:tc>
          <w:tcPr>
            <w:tcW w:w="850"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300</w:t>
            </w:r>
          </w:p>
        </w:tc>
        <w:tc>
          <w:tcPr>
            <w:tcW w:w="811"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Creciente</w:t>
            </w:r>
          </w:p>
        </w:tc>
        <w:tc>
          <w:tcPr>
            <w:tcW w:w="851"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100%</w:t>
            </w:r>
          </w:p>
        </w:tc>
        <w:tc>
          <w:tcPr>
            <w:tcW w:w="992" w:type="dxa"/>
            <w:tcBorders>
              <w:top w:val="single" w:sz="4" w:space="0" w:color="C5E0B2"/>
              <w:left w:val="nil"/>
              <w:bottom w:val="single" w:sz="4" w:space="0" w:color="C5E0B2"/>
              <w:right w:val="single" w:sz="4" w:space="0" w:color="D9D9D9"/>
            </w:tcBorders>
            <w:shd w:val="clear" w:color="000000" w:fill="5B9BD5"/>
            <w:noWrap/>
            <w:vAlign w:val="center"/>
            <w:hideMark/>
          </w:tcPr>
          <w:p w:rsidR="0082375B" w:rsidRPr="007608C2" w:rsidRDefault="0082375B" w:rsidP="008E18FA">
            <w:pPr>
              <w:spacing w:after="0" w:line="240" w:lineRule="auto"/>
              <w:jc w:val="center"/>
              <w:rPr>
                <w:rFonts w:eastAsia="Times New Roman" w:cs="Arial"/>
                <w:color w:val="FFFFFF"/>
                <w:sz w:val="16"/>
                <w:szCs w:val="16"/>
                <w:lang w:val="es-CO" w:eastAsia="es-CO"/>
              </w:rPr>
            </w:pPr>
            <w:r w:rsidRPr="007608C2">
              <w:rPr>
                <w:rFonts w:eastAsia="Times New Roman" w:cs="Arial"/>
                <w:color w:val="FFFFFF"/>
                <w:sz w:val="16"/>
                <w:szCs w:val="16"/>
                <w:lang w:val="es-CO" w:eastAsia="es-CO"/>
              </w:rPr>
              <w:t>OPTIMO</w:t>
            </w:r>
          </w:p>
        </w:tc>
      </w:tr>
      <w:tr w:rsidR="0082375B" w:rsidRPr="007608C2" w:rsidTr="00BE6A16">
        <w:trPr>
          <w:trHeight w:val="450"/>
        </w:trPr>
        <w:tc>
          <w:tcPr>
            <w:tcW w:w="1537" w:type="dxa"/>
            <w:tcBorders>
              <w:top w:val="single" w:sz="4" w:space="0" w:color="C5E0B2"/>
              <w:left w:val="nil"/>
              <w:bottom w:val="single" w:sz="4" w:space="0" w:color="C5E0B2"/>
              <w:right w:val="nil"/>
            </w:tcBorders>
            <w:shd w:val="clear" w:color="000000" w:fill="FFFFFF"/>
            <w:vAlign w:val="center"/>
            <w:hideMark/>
          </w:tcPr>
          <w:p w:rsidR="0082375B" w:rsidRPr="007608C2" w:rsidRDefault="0082375B" w:rsidP="008E18FA">
            <w:pPr>
              <w:spacing w:after="0" w:line="240" w:lineRule="auto"/>
              <w:rPr>
                <w:rFonts w:eastAsia="Times New Roman" w:cs="Arial"/>
                <w:color w:val="000000"/>
                <w:sz w:val="16"/>
                <w:szCs w:val="16"/>
                <w:lang w:val="es-CO" w:eastAsia="es-CO"/>
              </w:rPr>
            </w:pPr>
            <w:r w:rsidRPr="007608C2">
              <w:rPr>
                <w:rFonts w:eastAsia="Times New Roman" w:cs="Arial"/>
                <w:color w:val="000000"/>
                <w:sz w:val="16"/>
                <w:szCs w:val="16"/>
                <w:lang w:val="es-CO" w:eastAsia="es-CO"/>
              </w:rPr>
              <w:t>Dirección del SNBF</w:t>
            </w:r>
          </w:p>
        </w:tc>
        <w:tc>
          <w:tcPr>
            <w:tcW w:w="708"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PA-92</w:t>
            </w:r>
          </w:p>
        </w:tc>
        <w:tc>
          <w:tcPr>
            <w:tcW w:w="3607" w:type="dxa"/>
            <w:tcBorders>
              <w:top w:val="single" w:sz="4" w:space="0" w:color="C5E0B2"/>
              <w:left w:val="nil"/>
              <w:bottom w:val="single" w:sz="4" w:space="0" w:color="C5E0B2"/>
              <w:right w:val="nil"/>
            </w:tcBorders>
            <w:shd w:val="clear" w:color="000000" w:fill="FFFFFF"/>
            <w:vAlign w:val="center"/>
            <w:hideMark/>
          </w:tcPr>
          <w:p w:rsidR="0082375B" w:rsidRPr="007608C2" w:rsidRDefault="0082375B" w:rsidP="008E18FA">
            <w:pPr>
              <w:spacing w:after="0" w:line="240" w:lineRule="auto"/>
              <w:rPr>
                <w:rFonts w:eastAsia="Times New Roman" w:cs="Arial"/>
                <w:sz w:val="16"/>
                <w:szCs w:val="16"/>
                <w:lang w:val="es-CO" w:eastAsia="es-CO"/>
              </w:rPr>
            </w:pPr>
            <w:r w:rsidRPr="007608C2">
              <w:rPr>
                <w:rFonts w:eastAsia="Times New Roman" w:cs="Arial"/>
                <w:sz w:val="16"/>
                <w:szCs w:val="16"/>
                <w:lang w:val="es-CO" w:eastAsia="es-CO"/>
              </w:rPr>
              <w:t>Número de Municipios y departamentos monitoreados en la operación de los Consejos de Política Social</w:t>
            </w:r>
          </w:p>
        </w:tc>
        <w:tc>
          <w:tcPr>
            <w:tcW w:w="850"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1.133</w:t>
            </w:r>
          </w:p>
        </w:tc>
        <w:tc>
          <w:tcPr>
            <w:tcW w:w="811"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Estático</w:t>
            </w:r>
          </w:p>
        </w:tc>
        <w:tc>
          <w:tcPr>
            <w:tcW w:w="851"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100%</w:t>
            </w:r>
          </w:p>
        </w:tc>
        <w:tc>
          <w:tcPr>
            <w:tcW w:w="992" w:type="dxa"/>
            <w:tcBorders>
              <w:top w:val="single" w:sz="4" w:space="0" w:color="C5E0B2"/>
              <w:left w:val="nil"/>
              <w:bottom w:val="single" w:sz="4" w:space="0" w:color="C5E0B2"/>
              <w:right w:val="single" w:sz="4" w:space="0" w:color="D9D9D9"/>
            </w:tcBorders>
            <w:shd w:val="clear" w:color="000000" w:fill="5B9BD5"/>
            <w:noWrap/>
            <w:vAlign w:val="center"/>
            <w:hideMark/>
          </w:tcPr>
          <w:p w:rsidR="0082375B" w:rsidRPr="007608C2" w:rsidRDefault="0082375B" w:rsidP="008E18FA">
            <w:pPr>
              <w:spacing w:after="0" w:line="240" w:lineRule="auto"/>
              <w:jc w:val="center"/>
              <w:rPr>
                <w:rFonts w:eastAsia="Times New Roman" w:cs="Arial"/>
                <w:color w:val="FFFFFF"/>
                <w:sz w:val="16"/>
                <w:szCs w:val="16"/>
                <w:lang w:val="es-CO" w:eastAsia="es-CO"/>
              </w:rPr>
            </w:pPr>
            <w:r w:rsidRPr="007608C2">
              <w:rPr>
                <w:rFonts w:eastAsia="Times New Roman" w:cs="Arial"/>
                <w:color w:val="FFFFFF"/>
                <w:sz w:val="16"/>
                <w:szCs w:val="16"/>
                <w:lang w:val="es-CO" w:eastAsia="es-CO"/>
              </w:rPr>
              <w:t>OPTIMO</w:t>
            </w:r>
          </w:p>
        </w:tc>
      </w:tr>
      <w:tr w:rsidR="0082375B" w:rsidRPr="007608C2" w:rsidTr="00BE6A16">
        <w:trPr>
          <w:trHeight w:val="675"/>
        </w:trPr>
        <w:tc>
          <w:tcPr>
            <w:tcW w:w="1537" w:type="dxa"/>
            <w:tcBorders>
              <w:top w:val="single" w:sz="4" w:space="0" w:color="C5E0B2"/>
              <w:left w:val="nil"/>
              <w:bottom w:val="single" w:sz="4" w:space="0" w:color="C5E0B2"/>
              <w:right w:val="nil"/>
            </w:tcBorders>
            <w:shd w:val="clear" w:color="000000" w:fill="FFFFFF"/>
            <w:vAlign w:val="center"/>
            <w:hideMark/>
          </w:tcPr>
          <w:p w:rsidR="0082375B" w:rsidRPr="007608C2" w:rsidRDefault="0082375B" w:rsidP="008E18FA">
            <w:pPr>
              <w:spacing w:after="0" w:line="240" w:lineRule="auto"/>
              <w:rPr>
                <w:rFonts w:eastAsia="Times New Roman" w:cs="Arial"/>
                <w:color w:val="000000"/>
                <w:sz w:val="16"/>
                <w:szCs w:val="16"/>
                <w:lang w:val="es-CO" w:eastAsia="es-CO"/>
              </w:rPr>
            </w:pPr>
            <w:r w:rsidRPr="007608C2">
              <w:rPr>
                <w:rFonts w:eastAsia="Times New Roman" w:cs="Arial"/>
                <w:color w:val="000000"/>
                <w:sz w:val="16"/>
                <w:szCs w:val="16"/>
                <w:lang w:val="es-CO" w:eastAsia="es-CO"/>
              </w:rPr>
              <w:t>Dirección del SNBF</w:t>
            </w:r>
          </w:p>
        </w:tc>
        <w:tc>
          <w:tcPr>
            <w:tcW w:w="708"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PA-93</w:t>
            </w:r>
          </w:p>
        </w:tc>
        <w:tc>
          <w:tcPr>
            <w:tcW w:w="3607" w:type="dxa"/>
            <w:tcBorders>
              <w:top w:val="single" w:sz="4" w:space="0" w:color="C5E0B2"/>
              <w:left w:val="nil"/>
              <w:bottom w:val="single" w:sz="4" w:space="0" w:color="C5E0B2"/>
              <w:right w:val="nil"/>
            </w:tcBorders>
            <w:shd w:val="clear" w:color="000000" w:fill="FFFFFF"/>
            <w:vAlign w:val="center"/>
            <w:hideMark/>
          </w:tcPr>
          <w:p w:rsidR="0082375B" w:rsidRPr="007608C2" w:rsidRDefault="0082375B" w:rsidP="008E18FA">
            <w:pPr>
              <w:spacing w:after="0" w:line="240" w:lineRule="auto"/>
              <w:rPr>
                <w:rFonts w:eastAsia="Times New Roman" w:cs="Arial"/>
                <w:sz w:val="16"/>
                <w:szCs w:val="16"/>
                <w:lang w:val="es-CO" w:eastAsia="es-CO"/>
              </w:rPr>
            </w:pPr>
            <w:r w:rsidRPr="007608C2">
              <w:rPr>
                <w:rFonts w:eastAsia="Times New Roman" w:cs="Arial"/>
                <w:sz w:val="16"/>
                <w:szCs w:val="16"/>
                <w:lang w:val="es-CO" w:eastAsia="es-CO"/>
              </w:rPr>
              <w:t>Porcentaje del Plan de acción del SNBF 2015 -2018 construido, validado (2015), implementado, monitoreado (2016-2017) y evaluado (2018)</w:t>
            </w:r>
          </w:p>
        </w:tc>
        <w:tc>
          <w:tcPr>
            <w:tcW w:w="850"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80%</w:t>
            </w:r>
          </w:p>
        </w:tc>
        <w:tc>
          <w:tcPr>
            <w:tcW w:w="811"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Creciente</w:t>
            </w:r>
          </w:p>
        </w:tc>
        <w:tc>
          <w:tcPr>
            <w:tcW w:w="851"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77%</w:t>
            </w:r>
          </w:p>
        </w:tc>
        <w:tc>
          <w:tcPr>
            <w:tcW w:w="992" w:type="dxa"/>
            <w:tcBorders>
              <w:top w:val="single" w:sz="4" w:space="0" w:color="C5E0B2"/>
              <w:left w:val="nil"/>
              <w:bottom w:val="single" w:sz="4" w:space="0" w:color="C5E0B2"/>
              <w:right w:val="single" w:sz="4" w:space="0" w:color="D9D9D9"/>
            </w:tcBorders>
            <w:shd w:val="clear" w:color="000000" w:fill="92D050"/>
            <w:noWrap/>
            <w:vAlign w:val="center"/>
            <w:hideMark/>
          </w:tcPr>
          <w:p w:rsidR="0082375B" w:rsidRPr="007608C2" w:rsidRDefault="0082375B" w:rsidP="008E18FA">
            <w:pPr>
              <w:spacing w:after="0" w:line="240" w:lineRule="auto"/>
              <w:jc w:val="center"/>
              <w:rPr>
                <w:rFonts w:eastAsia="Times New Roman" w:cs="Arial"/>
                <w:color w:val="375623"/>
                <w:sz w:val="16"/>
                <w:szCs w:val="16"/>
                <w:lang w:val="es-CO" w:eastAsia="es-CO"/>
              </w:rPr>
            </w:pPr>
            <w:r w:rsidRPr="007608C2">
              <w:rPr>
                <w:rFonts w:eastAsia="Times New Roman" w:cs="Arial"/>
                <w:color w:val="375623"/>
                <w:sz w:val="16"/>
                <w:szCs w:val="16"/>
                <w:lang w:val="es-CO" w:eastAsia="es-CO"/>
              </w:rPr>
              <w:t>ADECUADO</w:t>
            </w:r>
          </w:p>
        </w:tc>
      </w:tr>
      <w:tr w:rsidR="0082375B" w:rsidRPr="007608C2" w:rsidTr="00BE6A16">
        <w:trPr>
          <w:trHeight w:val="450"/>
        </w:trPr>
        <w:tc>
          <w:tcPr>
            <w:tcW w:w="1537" w:type="dxa"/>
            <w:tcBorders>
              <w:top w:val="single" w:sz="4" w:space="0" w:color="C5E0B2"/>
              <w:left w:val="nil"/>
              <w:bottom w:val="single" w:sz="4" w:space="0" w:color="C5E0B2"/>
              <w:right w:val="nil"/>
            </w:tcBorders>
            <w:shd w:val="clear" w:color="000000" w:fill="FFFFFF"/>
            <w:vAlign w:val="center"/>
            <w:hideMark/>
          </w:tcPr>
          <w:p w:rsidR="0082375B" w:rsidRPr="007608C2" w:rsidRDefault="0082375B" w:rsidP="008E18FA">
            <w:pPr>
              <w:spacing w:after="0" w:line="240" w:lineRule="auto"/>
              <w:rPr>
                <w:rFonts w:eastAsia="Times New Roman" w:cs="Arial"/>
                <w:color w:val="000000"/>
                <w:sz w:val="16"/>
                <w:szCs w:val="16"/>
                <w:lang w:val="es-CO" w:eastAsia="es-CO"/>
              </w:rPr>
            </w:pPr>
            <w:r w:rsidRPr="007608C2">
              <w:rPr>
                <w:rFonts w:eastAsia="Times New Roman" w:cs="Arial"/>
                <w:color w:val="000000"/>
                <w:sz w:val="16"/>
                <w:szCs w:val="16"/>
                <w:lang w:val="es-CO" w:eastAsia="es-CO"/>
              </w:rPr>
              <w:t>Dirección del SNBF</w:t>
            </w:r>
          </w:p>
        </w:tc>
        <w:tc>
          <w:tcPr>
            <w:tcW w:w="708"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PA-94</w:t>
            </w:r>
          </w:p>
        </w:tc>
        <w:tc>
          <w:tcPr>
            <w:tcW w:w="3607" w:type="dxa"/>
            <w:tcBorders>
              <w:top w:val="single" w:sz="4" w:space="0" w:color="C5E0B2"/>
              <w:left w:val="nil"/>
              <w:bottom w:val="single" w:sz="4" w:space="0" w:color="C5E0B2"/>
              <w:right w:val="nil"/>
            </w:tcBorders>
            <w:shd w:val="clear" w:color="000000" w:fill="FFFFFF"/>
            <w:vAlign w:val="center"/>
            <w:hideMark/>
          </w:tcPr>
          <w:p w:rsidR="0082375B" w:rsidRPr="007608C2" w:rsidRDefault="0082375B" w:rsidP="008E18FA">
            <w:pPr>
              <w:spacing w:after="0" w:line="240" w:lineRule="auto"/>
              <w:rPr>
                <w:rFonts w:eastAsia="Times New Roman" w:cs="Arial"/>
                <w:sz w:val="16"/>
                <w:szCs w:val="16"/>
                <w:lang w:val="es-CO" w:eastAsia="es-CO"/>
              </w:rPr>
            </w:pPr>
            <w:r w:rsidRPr="007608C2">
              <w:rPr>
                <w:rFonts w:eastAsia="Times New Roman" w:cs="Arial"/>
                <w:sz w:val="16"/>
                <w:szCs w:val="16"/>
                <w:lang w:val="es-CO" w:eastAsia="es-CO"/>
              </w:rPr>
              <w:t>Porcentaje de indicadores del SUIN con información disponible según su hoja de vida.</w:t>
            </w:r>
          </w:p>
        </w:tc>
        <w:tc>
          <w:tcPr>
            <w:tcW w:w="850"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100%</w:t>
            </w:r>
          </w:p>
        </w:tc>
        <w:tc>
          <w:tcPr>
            <w:tcW w:w="811"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Creciente</w:t>
            </w:r>
          </w:p>
        </w:tc>
        <w:tc>
          <w:tcPr>
            <w:tcW w:w="851"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100%</w:t>
            </w:r>
          </w:p>
        </w:tc>
        <w:tc>
          <w:tcPr>
            <w:tcW w:w="992" w:type="dxa"/>
            <w:tcBorders>
              <w:top w:val="single" w:sz="4" w:space="0" w:color="C5E0B2"/>
              <w:left w:val="nil"/>
              <w:bottom w:val="single" w:sz="4" w:space="0" w:color="C5E0B2"/>
              <w:right w:val="single" w:sz="4" w:space="0" w:color="D9D9D9"/>
            </w:tcBorders>
            <w:shd w:val="clear" w:color="000000" w:fill="5B9BD5"/>
            <w:noWrap/>
            <w:vAlign w:val="center"/>
            <w:hideMark/>
          </w:tcPr>
          <w:p w:rsidR="0082375B" w:rsidRPr="007608C2" w:rsidRDefault="0082375B" w:rsidP="008E18FA">
            <w:pPr>
              <w:spacing w:after="0" w:line="240" w:lineRule="auto"/>
              <w:jc w:val="center"/>
              <w:rPr>
                <w:rFonts w:eastAsia="Times New Roman" w:cs="Arial"/>
                <w:color w:val="FFFFFF"/>
                <w:sz w:val="16"/>
                <w:szCs w:val="16"/>
                <w:lang w:val="es-CO" w:eastAsia="es-CO"/>
              </w:rPr>
            </w:pPr>
            <w:r w:rsidRPr="007608C2">
              <w:rPr>
                <w:rFonts w:eastAsia="Times New Roman" w:cs="Arial"/>
                <w:color w:val="FFFFFF"/>
                <w:sz w:val="16"/>
                <w:szCs w:val="16"/>
                <w:lang w:val="es-CO" w:eastAsia="es-CO"/>
              </w:rPr>
              <w:t>OPTIMO</w:t>
            </w:r>
          </w:p>
        </w:tc>
      </w:tr>
      <w:tr w:rsidR="0082375B" w:rsidRPr="007608C2" w:rsidTr="00BE6A16">
        <w:trPr>
          <w:trHeight w:val="675"/>
        </w:trPr>
        <w:tc>
          <w:tcPr>
            <w:tcW w:w="1537" w:type="dxa"/>
            <w:tcBorders>
              <w:top w:val="single" w:sz="4" w:space="0" w:color="C5E0B2"/>
              <w:left w:val="nil"/>
              <w:bottom w:val="single" w:sz="4" w:space="0" w:color="C5E0B2"/>
              <w:right w:val="nil"/>
            </w:tcBorders>
            <w:shd w:val="clear" w:color="000000" w:fill="FFFFFF"/>
            <w:vAlign w:val="center"/>
            <w:hideMark/>
          </w:tcPr>
          <w:p w:rsidR="0082375B" w:rsidRPr="007608C2" w:rsidRDefault="0082375B" w:rsidP="008E18FA">
            <w:pPr>
              <w:spacing w:after="0" w:line="240" w:lineRule="auto"/>
              <w:rPr>
                <w:rFonts w:eastAsia="Times New Roman" w:cs="Arial"/>
                <w:color w:val="000000"/>
                <w:sz w:val="16"/>
                <w:szCs w:val="16"/>
                <w:lang w:val="es-CO" w:eastAsia="es-CO"/>
              </w:rPr>
            </w:pPr>
            <w:r w:rsidRPr="007608C2">
              <w:rPr>
                <w:rFonts w:eastAsia="Times New Roman" w:cs="Arial"/>
                <w:color w:val="000000"/>
                <w:sz w:val="16"/>
                <w:szCs w:val="16"/>
                <w:lang w:val="es-CO" w:eastAsia="es-CO"/>
              </w:rPr>
              <w:t>Dirección del SNBF</w:t>
            </w:r>
          </w:p>
        </w:tc>
        <w:tc>
          <w:tcPr>
            <w:tcW w:w="708"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PA-95</w:t>
            </w:r>
          </w:p>
        </w:tc>
        <w:tc>
          <w:tcPr>
            <w:tcW w:w="3607" w:type="dxa"/>
            <w:tcBorders>
              <w:top w:val="single" w:sz="4" w:space="0" w:color="C5E0B2"/>
              <w:left w:val="nil"/>
              <w:bottom w:val="single" w:sz="4" w:space="0" w:color="C5E0B2"/>
              <w:right w:val="nil"/>
            </w:tcBorders>
            <w:shd w:val="clear" w:color="000000" w:fill="FFFFFF"/>
            <w:vAlign w:val="center"/>
            <w:hideMark/>
          </w:tcPr>
          <w:p w:rsidR="0082375B" w:rsidRPr="007608C2" w:rsidRDefault="0082375B" w:rsidP="008E18FA">
            <w:pPr>
              <w:spacing w:after="0" w:line="240" w:lineRule="auto"/>
              <w:rPr>
                <w:rFonts w:eastAsia="Times New Roman" w:cs="Arial"/>
                <w:sz w:val="16"/>
                <w:szCs w:val="16"/>
                <w:lang w:val="es-CO" w:eastAsia="es-CO"/>
              </w:rPr>
            </w:pPr>
            <w:r w:rsidRPr="007608C2">
              <w:rPr>
                <w:rFonts w:eastAsia="Times New Roman" w:cs="Arial"/>
                <w:sz w:val="16"/>
                <w:szCs w:val="16"/>
                <w:lang w:val="es-CO" w:eastAsia="es-CO"/>
              </w:rPr>
              <w:t>Número de proyectos tipo de inversión formulados y socializados con las entidades territoriales con el fin de acceder a recursos del Sistema de Regalías.</w:t>
            </w:r>
          </w:p>
        </w:tc>
        <w:tc>
          <w:tcPr>
            <w:tcW w:w="850"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6</w:t>
            </w:r>
          </w:p>
        </w:tc>
        <w:tc>
          <w:tcPr>
            <w:tcW w:w="811"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Creciente</w:t>
            </w:r>
          </w:p>
        </w:tc>
        <w:tc>
          <w:tcPr>
            <w:tcW w:w="851" w:type="dxa"/>
            <w:tcBorders>
              <w:top w:val="single" w:sz="4" w:space="0" w:color="C5E0B2"/>
              <w:left w:val="nil"/>
              <w:bottom w:val="single" w:sz="4" w:space="0" w:color="C5E0B2"/>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100%</w:t>
            </w:r>
          </w:p>
        </w:tc>
        <w:tc>
          <w:tcPr>
            <w:tcW w:w="992" w:type="dxa"/>
            <w:tcBorders>
              <w:top w:val="single" w:sz="4" w:space="0" w:color="C5E0B2"/>
              <w:left w:val="nil"/>
              <w:bottom w:val="single" w:sz="4" w:space="0" w:color="C5E0B2"/>
              <w:right w:val="single" w:sz="4" w:space="0" w:color="D9D9D9"/>
            </w:tcBorders>
            <w:shd w:val="clear" w:color="000000" w:fill="5B9BD5"/>
            <w:noWrap/>
            <w:vAlign w:val="center"/>
            <w:hideMark/>
          </w:tcPr>
          <w:p w:rsidR="0082375B" w:rsidRPr="007608C2" w:rsidRDefault="0082375B" w:rsidP="008E18FA">
            <w:pPr>
              <w:spacing w:after="0" w:line="240" w:lineRule="auto"/>
              <w:jc w:val="center"/>
              <w:rPr>
                <w:rFonts w:eastAsia="Times New Roman" w:cs="Arial"/>
                <w:color w:val="FFFFFF"/>
                <w:sz w:val="16"/>
                <w:szCs w:val="16"/>
                <w:lang w:val="es-CO" w:eastAsia="es-CO"/>
              </w:rPr>
            </w:pPr>
            <w:r w:rsidRPr="007608C2">
              <w:rPr>
                <w:rFonts w:eastAsia="Times New Roman" w:cs="Arial"/>
                <w:color w:val="FFFFFF"/>
                <w:sz w:val="16"/>
                <w:szCs w:val="16"/>
                <w:lang w:val="es-CO" w:eastAsia="es-CO"/>
              </w:rPr>
              <w:t>OPTIMO</w:t>
            </w:r>
          </w:p>
        </w:tc>
      </w:tr>
      <w:tr w:rsidR="0082375B" w:rsidRPr="007608C2" w:rsidTr="00BE6A16">
        <w:trPr>
          <w:trHeight w:val="450"/>
        </w:trPr>
        <w:tc>
          <w:tcPr>
            <w:tcW w:w="1537" w:type="dxa"/>
            <w:tcBorders>
              <w:top w:val="single" w:sz="4" w:space="0" w:color="C5E0B2"/>
              <w:left w:val="nil"/>
              <w:bottom w:val="single" w:sz="4" w:space="0" w:color="auto"/>
              <w:right w:val="nil"/>
            </w:tcBorders>
            <w:shd w:val="clear" w:color="000000" w:fill="FFFFFF"/>
            <w:vAlign w:val="center"/>
            <w:hideMark/>
          </w:tcPr>
          <w:p w:rsidR="0082375B" w:rsidRPr="007608C2" w:rsidRDefault="0082375B" w:rsidP="008E18FA">
            <w:pPr>
              <w:spacing w:after="0" w:line="240" w:lineRule="auto"/>
              <w:rPr>
                <w:rFonts w:eastAsia="Times New Roman" w:cs="Arial"/>
                <w:color w:val="000000"/>
                <w:sz w:val="16"/>
                <w:szCs w:val="16"/>
                <w:lang w:val="es-CO" w:eastAsia="es-CO"/>
              </w:rPr>
            </w:pPr>
            <w:r w:rsidRPr="007608C2">
              <w:rPr>
                <w:rFonts w:eastAsia="Times New Roman" w:cs="Arial"/>
                <w:color w:val="000000"/>
                <w:sz w:val="16"/>
                <w:szCs w:val="16"/>
                <w:lang w:val="es-CO" w:eastAsia="es-CO"/>
              </w:rPr>
              <w:t>Oficina de Control Interno</w:t>
            </w:r>
          </w:p>
        </w:tc>
        <w:tc>
          <w:tcPr>
            <w:tcW w:w="708" w:type="dxa"/>
            <w:tcBorders>
              <w:top w:val="single" w:sz="4" w:space="0" w:color="C5E0B2"/>
              <w:left w:val="nil"/>
              <w:bottom w:val="single" w:sz="4" w:space="0" w:color="auto"/>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sz w:val="16"/>
                <w:szCs w:val="16"/>
                <w:lang w:val="es-CO" w:eastAsia="es-CO"/>
              </w:rPr>
            </w:pPr>
            <w:r w:rsidRPr="007608C2">
              <w:rPr>
                <w:rFonts w:eastAsia="Times New Roman" w:cs="Arial"/>
                <w:sz w:val="16"/>
                <w:szCs w:val="16"/>
                <w:lang w:val="es-CO" w:eastAsia="es-CO"/>
              </w:rPr>
              <w:t>PA-101</w:t>
            </w:r>
          </w:p>
        </w:tc>
        <w:tc>
          <w:tcPr>
            <w:tcW w:w="3607" w:type="dxa"/>
            <w:tcBorders>
              <w:top w:val="single" w:sz="4" w:space="0" w:color="C5E0B2"/>
              <w:left w:val="nil"/>
              <w:bottom w:val="single" w:sz="4" w:space="0" w:color="auto"/>
              <w:right w:val="nil"/>
            </w:tcBorders>
            <w:shd w:val="clear" w:color="000000" w:fill="FFFFFF"/>
            <w:vAlign w:val="center"/>
            <w:hideMark/>
          </w:tcPr>
          <w:p w:rsidR="0082375B" w:rsidRPr="007608C2" w:rsidRDefault="0082375B" w:rsidP="008E18FA">
            <w:pPr>
              <w:spacing w:after="0" w:line="240" w:lineRule="auto"/>
              <w:rPr>
                <w:rFonts w:eastAsia="Times New Roman" w:cs="Arial"/>
                <w:sz w:val="16"/>
                <w:szCs w:val="16"/>
                <w:lang w:val="es-CO" w:eastAsia="es-CO"/>
              </w:rPr>
            </w:pPr>
            <w:r w:rsidRPr="007608C2">
              <w:rPr>
                <w:rFonts w:eastAsia="Times New Roman" w:cs="Arial"/>
                <w:sz w:val="16"/>
                <w:szCs w:val="16"/>
                <w:lang w:val="es-CO" w:eastAsia="es-CO"/>
              </w:rPr>
              <w:t>Porcentaje de Informes generados en cumplimiento de funciones asignadas por normas internas y externas</w:t>
            </w:r>
          </w:p>
        </w:tc>
        <w:tc>
          <w:tcPr>
            <w:tcW w:w="850" w:type="dxa"/>
            <w:tcBorders>
              <w:top w:val="single" w:sz="4" w:space="0" w:color="C5E0B2"/>
              <w:left w:val="nil"/>
              <w:bottom w:val="single" w:sz="4" w:space="0" w:color="auto"/>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100%</w:t>
            </w:r>
          </w:p>
        </w:tc>
        <w:tc>
          <w:tcPr>
            <w:tcW w:w="811" w:type="dxa"/>
            <w:tcBorders>
              <w:top w:val="single" w:sz="4" w:space="0" w:color="C5E0B2"/>
              <w:left w:val="nil"/>
              <w:bottom w:val="single" w:sz="4" w:space="0" w:color="auto"/>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Estático</w:t>
            </w:r>
          </w:p>
        </w:tc>
        <w:tc>
          <w:tcPr>
            <w:tcW w:w="851" w:type="dxa"/>
            <w:tcBorders>
              <w:top w:val="single" w:sz="4" w:space="0" w:color="C5E0B2"/>
              <w:left w:val="nil"/>
              <w:bottom w:val="single" w:sz="4" w:space="0" w:color="auto"/>
              <w:right w:val="nil"/>
            </w:tcBorders>
            <w:shd w:val="clear" w:color="000000" w:fill="FFFFFF"/>
            <w:noWrap/>
            <w:vAlign w:val="center"/>
            <w:hideMark/>
          </w:tcPr>
          <w:p w:rsidR="0082375B" w:rsidRPr="007608C2" w:rsidRDefault="0082375B" w:rsidP="008E18FA">
            <w:pPr>
              <w:spacing w:after="0" w:line="240" w:lineRule="auto"/>
              <w:jc w:val="center"/>
              <w:rPr>
                <w:rFonts w:eastAsia="Times New Roman" w:cs="Arial"/>
                <w:color w:val="000000"/>
                <w:sz w:val="16"/>
                <w:szCs w:val="16"/>
                <w:lang w:val="es-CO" w:eastAsia="es-CO"/>
              </w:rPr>
            </w:pPr>
            <w:r w:rsidRPr="007608C2">
              <w:rPr>
                <w:rFonts w:eastAsia="Times New Roman" w:cs="Arial"/>
                <w:color w:val="000000"/>
                <w:sz w:val="16"/>
                <w:szCs w:val="16"/>
                <w:lang w:val="es-CO" w:eastAsia="es-CO"/>
              </w:rPr>
              <w:t>98%</w:t>
            </w:r>
          </w:p>
        </w:tc>
        <w:tc>
          <w:tcPr>
            <w:tcW w:w="992" w:type="dxa"/>
            <w:tcBorders>
              <w:top w:val="single" w:sz="4" w:space="0" w:color="C5E0B2"/>
              <w:left w:val="nil"/>
              <w:bottom w:val="single" w:sz="4" w:space="0" w:color="auto"/>
              <w:right w:val="single" w:sz="4" w:space="0" w:color="D9D9D9"/>
            </w:tcBorders>
            <w:shd w:val="clear" w:color="000000" w:fill="92D050"/>
            <w:noWrap/>
            <w:vAlign w:val="center"/>
            <w:hideMark/>
          </w:tcPr>
          <w:p w:rsidR="0082375B" w:rsidRPr="007608C2" w:rsidRDefault="0082375B" w:rsidP="008E18FA">
            <w:pPr>
              <w:spacing w:after="0" w:line="240" w:lineRule="auto"/>
              <w:jc w:val="center"/>
              <w:rPr>
                <w:rFonts w:eastAsia="Times New Roman" w:cs="Arial"/>
                <w:color w:val="375623"/>
                <w:sz w:val="16"/>
                <w:szCs w:val="16"/>
                <w:lang w:val="es-CO" w:eastAsia="es-CO"/>
              </w:rPr>
            </w:pPr>
            <w:r w:rsidRPr="007608C2">
              <w:rPr>
                <w:rFonts w:eastAsia="Times New Roman" w:cs="Arial"/>
                <w:color w:val="375623"/>
                <w:sz w:val="16"/>
                <w:szCs w:val="16"/>
                <w:lang w:val="es-CO" w:eastAsia="es-CO"/>
              </w:rPr>
              <w:t>ADECUADO</w:t>
            </w:r>
          </w:p>
        </w:tc>
      </w:tr>
    </w:tbl>
    <w:p w:rsidR="00F26175" w:rsidRPr="007608C2" w:rsidRDefault="00F26175" w:rsidP="00F26175">
      <w:pPr>
        <w:spacing w:before="100" w:beforeAutospacing="1" w:after="100" w:afterAutospacing="1" w:line="240" w:lineRule="auto"/>
        <w:jc w:val="both"/>
        <w:rPr>
          <w:rFonts w:cs="Arial"/>
        </w:rPr>
      </w:pPr>
      <w:r w:rsidRPr="007608C2">
        <w:rPr>
          <w:rFonts w:cs="Arial"/>
        </w:rPr>
        <w:t>En cumplimiento</w:t>
      </w:r>
      <w:r w:rsidRPr="007608C2">
        <w:rPr>
          <w:rFonts w:eastAsia="Times New Roman" w:cs="Arial"/>
        </w:rPr>
        <w:t xml:space="preserve"> de la Ley 1712 de 2014 y Decreto 103 de 2015 (recopilado por el decreto </w:t>
      </w:r>
      <w:r w:rsidRPr="007608C2">
        <w:rPr>
          <w:rFonts w:cs="Arial"/>
        </w:rPr>
        <w:t xml:space="preserve">1081 de 2015), el ICBF adelantó las siguientes acciones </w:t>
      </w:r>
      <w:r w:rsidRPr="007608C2">
        <w:rPr>
          <w:rFonts w:eastAsia="Times New Roman" w:cs="Arial"/>
        </w:rPr>
        <w:t>para avanzar en la implementación de la “</w:t>
      </w:r>
      <w:r w:rsidRPr="007608C2">
        <w:rPr>
          <w:rFonts w:eastAsia="Times New Roman" w:cs="Arial"/>
          <w:i/>
        </w:rPr>
        <w:t>Política de Acceso a la información Pública”:</w:t>
      </w:r>
      <w:r w:rsidRPr="007608C2">
        <w:rPr>
          <w:rFonts w:eastAsia="Times New Roman" w:cs="Arial"/>
        </w:rPr>
        <w:t xml:space="preserve"> </w:t>
      </w:r>
    </w:p>
    <w:p w:rsidR="00F26175" w:rsidRPr="007608C2" w:rsidRDefault="00F26175" w:rsidP="007456F4">
      <w:pPr>
        <w:spacing w:before="100" w:beforeAutospacing="1" w:after="100" w:afterAutospacing="1" w:line="240" w:lineRule="auto"/>
        <w:jc w:val="both"/>
        <w:rPr>
          <w:rFonts w:eastAsiaTheme="majorEastAsia" w:cs="Arial"/>
          <w:b/>
        </w:rPr>
      </w:pPr>
      <w:r w:rsidRPr="007608C2">
        <w:rPr>
          <w:rFonts w:eastAsiaTheme="majorEastAsia" w:cs="Arial"/>
          <w:b/>
        </w:rPr>
        <w:t>Transparencia activa</w:t>
      </w:r>
    </w:p>
    <w:p w:rsidR="00F26175" w:rsidRPr="007608C2" w:rsidRDefault="00F26175" w:rsidP="00F26175">
      <w:pPr>
        <w:spacing w:before="100" w:beforeAutospacing="1" w:after="100" w:afterAutospacing="1" w:line="240" w:lineRule="auto"/>
        <w:contextualSpacing/>
        <w:jc w:val="both"/>
        <w:rPr>
          <w:rFonts w:cs="Arial"/>
        </w:rPr>
      </w:pPr>
      <w:r w:rsidRPr="007608C2">
        <w:rPr>
          <w:rFonts w:cs="Arial"/>
        </w:rPr>
        <w:t xml:space="preserve">Teniendo en cuenta que la Transparencia Activa es una de las formas que ha establecido la Ley de Transparencia y del Derecho de Acceso a Información Pública, para lograr la mayor disponibilidad de información de las Entidades Públicas a través de diferentes medios; desde el 2016 y durante el 2017 el ICBF desarrolló las siguientes estrategias para facilitar el acceso a la información: </w:t>
      </w:r>
    </w:p>
    <w:p w:rsidR="00F26175" w:rsidRPr="007608C2" w:rsidRDefault="00F26175" w:rsidP="00F26175">
      <w:pPr>
        <w:spacing w:before="100" w:beforeAutospacing="1" w:after="100" w:afterAutospacing="1" w:line="240" w:lineRule="auto"/>
        <w:contextualSpacing/>
        <w:jc w:val="both"/>
        <w:rPr>
          <w:rFonts w:cs="Arial"/>
        </w:rPr>
      </w:pPr>
    </w:p>
    <w:p w:rsidR="00F26175" w:rsidRPr="007608C2" w:rsidRDefault="00F26175" w:rsidP="00A24D71">
      <w:pPr>
        <w:spacing w:before="100" w:beforeAutospacing="1" w:after="100" w:afterAutospacing="1" w:line="240" w:lineRule="auto"/>
        <w:contextualSpacing/>
        <w:jc w:val="both"/>
        <w:rPr>
          <w:rFonts w:cs="Arial"/>
          <w:b/>
        </w:rPr>
      </w:pPr>
      <w:r w:rsidRPr="007608C2">
        <w:rPr>
          <w:rFonts w:cs="Arial"/>
          <w:b/>
        </w:rPr>
        <w:t xml:space="preserve">Portal Web Institucional </w:t>
      </w:r>
    </w:p>
    <w:p w:rsidR="00F26175" w:rsidRPr="007608C2" w:rsidRDefault="00F26175" w:rsidP="00F26175">
      <w:pPr>
        <w:spacing w:before="100" w:beforeAutospacing="1" w:after="100" w:afterAutospacing="1" w:line="240" w:lineRule="auto"/>
        <w:contextualSpacing/>
        <w:jc w:val="both"/>
        <w:rPr>
          <w:rFonts w:cs="Arial"/>
        </w:rPr>
      </w:pPr>
    </w:p>
    <w:p w:rsidR="00F26175" w:rsidRPr="007608C2" w:rsidRDefault="00F26175" w:rsidP="00F26175">
      <w:pPr>
        <w:spacing w:before="100" w:beforeAutospacing="1" w:after="100" w:afterAutospacing="1" w:line="240" w:lineRule="auto"/>
        <w:contextualSpacing/>
        <w:jc w:val="both"/>
        <w:rPr>
          <w:rFonts w:cs="Arial"/>
        </w:rPr>
      </w:pPr>
      <w:r w:rsidRPr="007608C2">
        <w:rPr>
          <w:rFonts w:cs="Arial"/>
        </w:rPr>
        <w:t xml:space="preserve">Desde el año 2016 el ICBF cuenta con el Portal Web </w:t>
      </w:r>
      <w:hyperlink r:id="rId30" w:history="1">
        <w:r w:rsidRPr="007608C2">
          <w:rPr>
            <w:rStyle w:val="Hipervnculo"/>
            <w:rFonts w:cs="Arial"/>
            <w:color w:val="auto"/>
          </w:rPr>
          <w:t>www.icbf.gov.co</w:t>
        </w:r>
      </w:hyperlink>
      <w:r w:rsidRPr="007608C2">
        <w:rPr>
          <w:rFonts w:cs="Arial"/>
        </w:rPr>
        <w:t>, en el que converge la información que se presenta en medios electrónicos a la ciudadanía, de forma clara, completa, accesible y actualizada; es así que para asegurar su permanente actualización se diseñó un instrumento que ha permitido a la Oficina Asesora de Comunicaciones validar la correcta publicación de la información básica que generan las áreas de la entidad, teniendo presente lo establecido en la Ley de Transparencia y Acceso a la Información púbica.</w:t>
      </w:r>
    </w:p>
    <w:p w:rsidR="00F26175" w:rsidRPr="007608C2" w:rsidRDefault="00F26175" w:rsidP="00F26175">
      <w:pPr>
        <w:spacing w:before="100" w:beforeAutospacing="1" w:after="100" w:afterAutospacing="1" w:line="240" w:lineRule="auto"/>
        <w:contextualSpacing/>
        <w:jc w:val="both"/>
        <w:rPr>
          <w:rFonts w:cs="Arial"/>
        </w:rPr>
      </w:pPr>
    </w:p>
    <w:p w:rsidR="00F26175" w:rsidRPr="007608C2" w:rsidRDefault="00F26175" w:rsidP="00F26175">
      <w:pPr>
        <w:spacing w:before="100" w:beforeAutospacing="1" w:after="100" w:afterAutospacing="1" w:line="240" w:lineRule="auto"/>
        <w:contextualSpacing/>
        <w:jc w:val="both"/>
        <w:rPr>
          <w:rFonts w:cs="Arial"/>
        </w:rPr>
      </w:pPr>
      <w:r w:rsidRPr="007608C2">
        <w:rPr>
          <w:rFonts w:cs="Arial"/>
        </w:rPr>
        <w:lastRenderedPageBreak/>
        <w:t>Durante este periodo, se realizaron jornadas de capacitación a gestores de contenidos del ICBF para la correcta actualización de la información publicada</w:t>
      </w:r>
      <w:r w:rsidR="009D3362" w:rsidRPr="007608C2">
        <w:rPr>
          <w:rFonts w:cs="Arial"/>
        </w:rPr>
        <w:t>; así</w:t>
      </w:r>
      <w:r w:rsidRPr="007608C2">
        <w:rPr>
          <w:rFonts w:cs="Arial"/>
        </w:rPr>
        <w:t xml:space="preserve"> mismo, se creó el Procedimiento de actualización de Información del Portafolio Web</w:t>
      </w:r>
      <w:r w:rsidRPr="007608C2">
        <w:rPr>
          <w:rFonts w:cs="Arial"/>
          <w:vertAlign w:val="superscript"/>
        </w:rPr>
        <w:footnoteReference w:id="23"/>
      </w:r>
      <w:r w:rsidRPr="007608C2">
        <w:rPr>
          <w:rFonts w:cs="Arial"/>
        </w:rPr>
        <w:t xml:space="preserve"> y se actualizo de la Guía para la gestión de contenidos en el Portafolio Web del ICBF</w:t>
      </w:r>
      <w:r w:rsidRPr="007608C2">
        <w:rPr>
          <w:rFonts w:cs="Arial"/>
          <w:vertAlign w:val="superscript"/>
        </w:rPr>
        <w:footnoteReference w:id="24"/>
      </w:r>
      <w:r w:rsidRPr="007608C2">
        <w:rPr>
          <w:rFonts w:cs="Arial"/>
        </w:rPr>
        <w:t>, de conformidad con la normatividad vigente y se dieron nuevos lineamientos para la gestión de contenidos.</w:t>
      </w:r>
    </w:p>
    <w:p w:rsidR="00F26175" w:rsidRPr="007608C2" w:rsidRDefault="00F26175" w:rsidP="00F26175">
      <w:pPr>
        <w:spacing w:before="100" w:beforeAutospacing="1" w:after="100" w:afterAutospacing="1" w:line="240" w:lineRule="auto"/>
        <w:contextualSpacing/>
        <w:jc w:val="both"/>
        <w:rPr>
          <w:rFonts w:cs="Arial"/>
        </w:rPr>
      </w:pPr>
    </w:p>
    <w:p w:rsidR="00F26175" w:rsidRPr="007608C2" w:rsidRDefault="00F26175" w:rsidP="00F26175">
      <w:pPr>
        <w:spacing w:before="100" w:beforeAutospacing="1" w:after="100" w:afterAutospacing="1" w:line="240" w:lineRule="auto"/>
        <w:contextualSpacing/>
        <w:jc w:val="both"/>
        <w:rPr>
          <w:rFonts w:cs="Arial"/>
        </w:rPr>
      </w:pPr>
      <w:r w:rsidRPr="007608C2">
        <w:rPr>
          <w:rFonts w:cs="Arial"/>
        </w:rPr>
        <w:t>En la página WEB actualmente se puede encontrar el Informe de gestión de la Entidad, publicado con históricos del mismo, los Proyectos de inversión, el Plan de acción anual, el Presupuesto en Ejercicio y las ejecuciones históricas, en formato Excel o Word sin restricciones, para facilitar el trabajo del ciudadano. Adicionalmente, se encuentran las hojas de Vida de Contratistas actualizadas en el Sistema de Información y Gestión del Empleo Público – SIGEP, los contratos con ICBF vigentes, los perfiles de directivos a nivel nacional y regional con sus hojas de vida y las evaluaciones de desempeño, la información de convocatorias, contratos en el portal SECOP, manual de contratación, planes de mejoramiento y guía de supervisión. En términos generales ha sido un propósito de la entidad incluir toda la información que pueda interesarle a la ciudadanía, con principal atención los trámites y servicios dispuestos por la misma.</w:t>
      </w:r>
    </w:p>
    <w:p w:rsidR="00AC16AB" w:rsidRPr="007608C2" w:rsidRDefault="00AC16AB" w:rsidP="007456F4">
      <w:pPr>
        <w:spacing w:after="0" w:line="240" w:lineRule="auto"/>
        <w:jc w:val="both"/>
        <w:rPr>
          <w:rFonts w:eastAsiaTheme="majorEastAsia" w:cs="Arial"/>
          <w:b/>
        </w:rPr>
      </w:pPr>
    </w:p>
    <w:p w:rsidR="00F26175" w:rsidRPr="007608C2" w:rsidRDefault="00F26175" w:rsidP="00F26175">
      <w:pPr>
        <w:spacing w:before="100" w:beforeAutospacing="1" w:after="100" w:afterAutospacing="1" w:line="240" w:lineRule="auto"/>
        <w:jc w:val="both"/>
        <w:rPr>
          <w:rFonts w:eastAsiaTheme="majorEastAsia" w:cs="Arial"/>
          <w:b/>
        </w:rPr>
      </w:pPr>
      <w:r w:rsidRPr="007608C2">
        <w:rPr>
          <w:rFonts w:eastAsiaTheme="majorEastAsia" w:cs="Arial"/>
          <w:b/>
        </w:rPr>
        <w:t xml:space="preserve">Transparencia pasiva </w:t>
      </w:r>
    </w:p>
    <w:p w:rsidR="00F26175" w:rsidRPr="007608C2" w:rsidRDefault="00F26175" w:rsidP="00F26175">
      <w:pPr>
        <w:spacing w:before="100" w:beforeAutospacing="1" w:after="100" w:afterAutospacing="1" w:line="240" w:lineRule="auto"/>
        <w:contextualSpacing/>
        <w:jc w:val="both"/>
        <w:rPr>
          <w:rFonts w:cs="Arial"/>
        </w:rPr>
      </w:pPr>
      <w:r w:rsidRPr="007608C2">
        <w:rPr>
          <w:rFonts w:cs="Arial"/>
        </w:rPr>
        <w:t>Durante la vigencia 2017 se garantizó la disponibilidad de los canales (telefónico, presencial, escrito y virtual), y se fortaleció el canal virtual a través del desarrollo tecnológico del formulario del portal Web para la recepción y gestión de PQRSD. Este último se alineó a los requerimientos de la Resolución 3564 de 2015 de MINTIC entre las mejoras desarrolladas se encuentran: La integración del formulario en línea de PQRSD  con el Sistema de Información Misional (SIM), los mecanismos de notificación automática de registro de solicitud al ciudadano, optimización del mecanismo de seguimiento en línea de verificación del estado y respuesta de la solicitud, mecanismo de validación de campos que busca garantizar la calidad de la información registrada, mejora en la interfaz gráfica que permite visualizar el formulario en dispositivos móviles, implantación de mensajes de ayuda para orientar y facilitar su diligenciamiento así como mecanismos de protección para minimizar el riesgo de envío de mensajes automáticos tipo Spam o tipo robot, el siguiente paso es el análisis y desarrollo de las ayudas en línea para los formularios Web de agendamiento de cita web y PQR en español e inglés, consulta tu caso  y el análisis de los ajustes a realizar en los formularios de charla legal de adopciones y solicitud de cupos.</w:t>
      </w:r>
    </w:p>
    <w:p w:rsidR="00F26175" w:rsidRPr="007608C2" w:rsidRDefault="00F26175" w:rsidP="00F26175">
      <w:pPr>
        <w:spacing w:before="100" w:beforeAutospacing="1" w:after="100" w:afterAutospacing="1" w:line="240" w:lineRule="auto"/>
        <w:contextualSpacing/>
        <w:jc w:val="both"/>
        <w:rPr>
          <w:rFonts w:cs="Arial"/>
        </w:rPr>
      </w:pPr>
    </w:p>
    <w:p w:rsidR="00F26175" w:rsidRPr="007608C2" w:rsidRDefault="00F26175" w:rsidP="00F26175">
      <w:pPr>
        <w:spacing w:before="100" w:beforeAutospacing="1" w:after="100" w:afterAutospacing="1" w:line="240" w:lineRule="auto"/>
        <w:contextualSpacing/>
        <w:jc w:val="both"/>
        <w:rPr>
          <w:rFonts w:eastAsia="Times New Roman" w:cs="Arial"/>
          <w:b/>
        </w:rPr>
      </w:pPr>
      <w:r w:rsidRPr="007608C2">
        <w:rPr>
          <w:rFonts w:eastAsia="Times New Roman" w:cs="Arial"/>
          <w:b/>
        </w:rPr>
        <w:t>Monitoreo del acceso a la información Pública</w:t>
      </w:r>
    </w:p>
    <w:p w:rsidR="00F26175" w:rsidRPr="007608C2" w:rsidRDefault="00F26175" w:rsidP="00F26175">
      <w:pPr>
        <w:spacing w:before="100" w:beforeAutospacing="1" w:after="100" w:afterAutospacing="1" w:line="240" w:lineRule="auto"/>
        <w:contextualSpacing/>
        <w:jc w:val="both"/>
        <w:rPr>
          <w:rFonts w:eastAsia="Times New Roman" w:cs="Arial"/>
          <w:b/>
        </w:rPr>
      </w:pPr>
    </w:p>
    <w:p w:rsidR="00F26175" w:rsidRPr="007608C2" w:rsidRDefault="00F26175" w:rsidP="00F26175">
      <w:pPr>
        <w:spacing w:before="100" w:beforeAutospacing="1" w:after="100" w:afterAutospacing="1" w:line="240" w:lineRule="auto"/>
        <w:jc w:val="both"/>
        <w:rPr>
          <w:rFonts w:cs="Arial"/>
        </w:rPr>
      </w:pPr>
      <w:r w:rsidRPr="007608C2">
        <w:rPr>
          <w:rFonts w:eastAsia="Times New Roman" w:cs="Arial"/>
        </w:rPr>
        <w:t xml:space="preserve">Para la vigencia </w:t>
      </w:r>
      <w:r w:rsidR="00BE6A16" w:rsidRPr="007608C2">
        <w:rPr>
          <w:rFonts w:eastAsia="Times New Roman" w:cs="Arial"/>
        </w:rPr>
        <w:t>2017, el</w:t>
      </w:r>
      <w:r w:rsidRPr="007608C2">
        <w:rPr>
          <w:rFonts w:cs="Arial"/>
        </w:rPr>
        <w:t xml:space="preserve"> ICBF consolidó y publicó los Informes de Peticiones, Quejas, Denuncias, Reclamos y Sugerencias de manera mensual, en el link: </w:t>
      </w:r>
      <w:hyperlink r:id="rId31" w:history="1">
        <w:r w:rsidRPr="007608C2">
          <w:rPr>
            <w:rFonts w:cs="Arial"/>
            <w:u w:val="single"/>
          </w:rPr>
          <w:t>http://www.icbf.gov.co/portal/page/portal/PortalICBF/Servicios/DSyA</w:t>
        </w:r>
      </w:hyperlink>
      <w:r w:rsidRPr="007608C2">
        <w:rPr>
          <w:rFonts w:cs="Arial"/>
        </w:rPr>
        <w:t xml:space="preserve">, así mismo definió una </w:t>
      </w:r>
      <w:r w:rsidRPr="007608C2">
        <w:rPr>
          <w:rFonts w:cs="Arial"/>
        </w:rPr>
        <w:lastRenderedPageBreak/>
        <w:t>sección dentro de los informes denominada “Transparencia y Acceso a la Información”, donde se publican los Informes de solicitudes de acceso a información para cada mes.</w:t>
      </w:r>
    </w:p>
    <w:p w:rsidR="00F26175" w:rsidRPr="007608C2" w:rsidRDefault="00F26175" w:rsidP="00F26175">
      <w:pPr>
        <w:spacing w:before="100" w:beforeAutospacing="1" w:after="100" w:afterAutospacing="1" w:line="240" w:lineRule="auto"/>
        <w:jc w:val="both"/>
        <w:rPr>
          <w:rFonts w:cs="Arial"/>
        </w:rPr>
      </w:pPr>
      <w:r w:rsidRPr="007608C2">
        <w:rPr>
          <w:rFonts w:cs="Arial"/>
        </w:rPr>
        <w:t>Adicionalmente, se fortaleció el instrumento de seguimiento y control mensual a la gestión de peticiones ciudadanas, mediante un indicador con medición transversal a todas las dependencias de la Sede Nacional, frente a la oportunidad en la respuesta a los Derechos de Petición y la medición acumulada del indicador de Denuncias y de Quejas, Reclamos y Sugerencias, con el fin de garantizar la respuesta oportuna de las diferentes solicitudes que se presentan ante el ICBF a nivel Nacional y Regional.</w:t>
      </w:r>
    </w:p>
    <w:p w:rsidR="00F26175" w:rsidRPr="007608C2" w:rsidRDefault="00F26175" w:rsidP="00F26175">
      <w:pPr>
        <w:spacing w:before="100" w:beforeAutospacing="1" w:after="100" w:afterAutospacing="1" w:line="240" w:lineRule="auto"/>
        <w:jc w:val="both"/>
        <w:rPr>
          <w:rFonts w:eastAsiaTheme="majorEastAsia" w:cs="Arial"/>
          <w:b/>
        </w:rPr>
      </w:pPr>
      <w:r w:rsidRPr="007608C2">
        <w:rPr>
          <w:rFonts w:eastAsiaTheme="majorEastAsia" w:cs="Arial"/>
          <w:b/>
        </w:rPr>
        <w:t xml:space="preserve">Instrumentos de Gestión de la Información </w:t>
      </w:r>
    </w:p>
    <w:p w:rsidR="00F26175" w:rsidRPr="007608C2" w:rsidRDefault="00F26175" w:rsidP="00F26175">
      <w:pPr>
        <w:spacing w:before="100" w:beforeAutospacing="1" w:after="100" w:afterAutospacing="1" w:line="240" w:lineRule="auto"/>
        <w:contextualSpacing/>
        <w:jc w:val="both"/>
        <w:rPr>
          <w:rFonts w:cs="Arial"/>
        </w:rPr>
      </w:pPr>
      <w:r w:rsidRPr="007608C2">
        <w:rPr>
          <w:rFonts w:cs="Arial"/>
        </w:rPr>
        <w:t>Durante la vigencia 2017, se realizó la actualización y publicación de la GUÍA PARA DESARROLLO DE INVENTARIO Y CLASIFICACIÓN DE ACTIVOS  V10.0, así como la actualización de los cuatro (4) instrumentos de Gestión de información</w:t>
      </w:r>
      <w:r w:rsidRPr="007608C2">
        <w:rPr>
          <w:rFonts w:cs="Arial"/>
          <w:i/>
        </w:rPr>
        <w:t xml:space="preserve"> (Inventario de Activos de Información, Esquema de Publicación de Información, Índice de Información Clasificada y Reservada y tablas de Retención documental)</w:t>
      </w:r>
      <w:r w:rsidRPr="007608C2">
        <w:rPr>
          <w:rFonts w:cs="Arial"/>
        </w:rPr>
        <w:t xml:space="preserve">, los cuales fueron gestionados por la Dirección de Información y Tecnología, Dirección de Servicios y Atención, Oficina Asesora de Comunicaciones y Oficina Asesora Jurídica. </w:t>
      </w:r>
    </w:p>
    <w:p w:rsidR="00F26175" w:rsidRPr="007608C2" w:rsidRDefault="00F26175" w:rsidP="007456F4">
      <w:pPr>
        <w:spacing w:before="100" w:beforeAutospacing="1" w:after="0" w:line="240" w:lineRule="auto"/>
        <w:jc w:val="both"/>
        <w:rPr>
          <w:rFonts w:eastAsiaTheme="majorEastAsia" w:cs="Arial"/>
          <w:b/>
        </w:rPr>
      </w:pPr>
    </w:p>
    <w:p w:rsidR="00F26175" w:rsidRPr="007608C2" w:rsidRDefault="00F26175" w:rsidP="00F26175">
      <w:pPr>
        <w:spacing w:before="100" w:beforeAutospacing="1" w:after="100" w:afterAutospacing="1" w:line="240" w:lineRule="auto"/>
        <w:jc w:val="both"/>
        <w:rPr>
          <w:rFonts w:eastAsiaTheme="majorEastAsia" w:cs="Arial"/>
          <w:b/>
        </w:rPr>
      </w:pPr>
      <w:r w:rsidRPr="007608C2">
        <w:rPr>
          <w:rFonts w:eastAsiaTheme="majorEastAsia" w:cs="Arial"/>
          <w:b/>
        </w:rPr>
        <w:t>Criterio diferencial de accesibilidad</w:t>
      </w:r>
    </w:p>
    <w:p w:rsidR="00F26175" w:rsidRPr="007608C2" w:rsidRDefault="00F26175" w:rsidP="00F26175">
      <w:pPr>
        <w:spacing w:before="100" w:beforeAutospacing="1" w:after="100" w:afterAutospacing="1" w:line="240" w:lineRule="auto"/>
        <w:contextualSpacing/>
        <w:jc w:val="both"/>
        <w:rPr>
          <w:rFonts w:cs="Arial"/>
        </w:rPr>
      </w:pPr>
      <w:r w:rsidRPr="007608C2">
        <w:rPr>
          <w:rFonts w:cs="Arial"/>
        </w:rPr>
        <w:t>El ICBF avanzó durante el 2017, en hacer que sus canales de comunicación con la Ciudadanía sean más accesibles, es así cómo el Portal web Institucional fue ajustado para facilitar su navegación a personas con discapacidad visual a través de herramientas tecnológicas como el Software Convertic del Ministerio de Tecnologías de la Información y Comunicaciones. Así mismo, la Oficina Asesora de Comunicaciones Junto con RTVC promovió la divulgación de programas de televisión institucionales producidos durante ésta vigencia, que incluyen igualmente lenguaje de señas para población con discapacidad auditiva.</w:t>
      </w:r>
    </w:p>
    <w:p w:rsidR="00F26175" w:rsidRPr="007608C2" w:rsidRDefault="00F26175" w:rsidP="007456F4">
      <w:pPr>
        <w:spacing w:before="100" w:beforeAutospacing="1" w:after="0" w:line="240" w:lineRule="auto"/>
        <w:jc w:val="both"/>
        <w:rPr>
          <w:rFonts w:cs="Arial"/>
          <w:b/>
        </w:rPr>
      </w:pPr>
    </w:p>
    <w:p w:rsidR="00F26175" w:rsidRPr="007608C2" w:rsidRDefault="00F26175" w:rsidP="00F26175">
      <w:pPr>
        <w:spacing w:before="100" w:beforeAutospacing="1" w:after="100" w:afterAutospacing="1" w:line="240" w:lineRule="auto"/>
        <w:jc w:val="both"/>
        <w:rPr>
          <w:rFonts w:cs="Arial"/>
          <w:b/>
        </w:rPr>
      </w:pPr>
      <w:r w:rsidRPr="007608C2">
        <w:rPr>
          <w:rFonts w:cs="Arial"/>
          <w:b/>
        </w:rPr>
        <w:t xml:space="preserve">Línea Anticorrupción </w:t>
      </w:r>
    </w:p>
    <w:p w:rsidR="00F26175" w:rsidRPr="007608C2" w:rsidRDefault="00F26175" w:rsidP="00F26175">
      <w:pPr>
        <w:spacing w:after="0" w:line="240" w:lineRule="auto"/>
        <w:jc w:val="both"/>
        <w:rPr>
          <w:rFonts w:cs="Arial"/>
        </w:rPr>
      </w:pPr>
      <w:r w:rsidRPr="007608C2">
        <w:rPr>
          <w:rFonts w:cs="Arial"/>
        </w:rPr>
        <w:t>Durante la vigencia 2017, se llevó a cabo la validación de la paramétrica de seguridad transversal de peticiones, el análisis del contexto general del SIM para incorporar funcionalidades que permitan ajustar la pantalla de direccionamiento de peticiones de denuncias de anticorrupción y ajustar la paramétrica de los tipos de petición con información sensible, de modo que todos los módulos incluyendo el módulo Atención al Ciudadano permita consumir la paramétrica ante el registro de las denuncias de anticorrupción.</w:t>
      </w:r>
    </w:p>
    <w:p w:rsidR="00F26175" w:rsidRPr="007608C2" w:rsidRDefault="00F26175" w:rsidP="00F26175">
      <w:pPr>
        <w:spacing w:after="0" w:line="240" w:lineRule="auto"/>
        <w:jc w:val="both"/>
        <w:rPr>
          <w:rFonts w:cs="Arial"/>
        </w:rPr>
      </w:pPr>
    </w:p>
    <w:p w:rsidR="00F26175" w:rsidRPr="007608C2" w:rsidRDefault="00F26175" w:rsidP="00F26175">
      <w:pPr>
        <w:spacing w:after="0" w:line="240" w:lineRule="auto"/>
        <w:jc w:val="both"/>
        <w:rPr>
          <w:rFonts w:cs="Arial"/>
        </w:rPr>
      </w:pPr>
      <w:r w:rsidRPr="007608C2">
        <w:rPr>
          <w:rFonts w:cs="Arial"/>
        </w:rPr>
        <w:t xml:space="preserve">Así mismo se realizó la validación funcional de la opción de validación de usuario para el registro inicial, direccionamiento, registro de actuaciones y seguridad del tipo de petición “Denuncias Anticorrupción” y se llevaron a cabo las pruebas funcionales para validar la autorización por perfil profesional para la restricción de acceso a las denuncias de anticorrupción registradas, llevando </w:t>
      </w:r>
      <w:r w:rsidRPr="007608C2">
        <w:rPr>
          <w:rFonts w:cs="Arial"/>
        </w:rPr>
        <w:lastRenderedPageBreak/>
        <w:t xml:space="preserve">a cabo el análisis y elaboración del control de cambios relacionado con la implementación en la seguridad de las actuaciones que se registren en los tipos de petición "Denuncias Anticorrupción". </w:t>
      </w:r>
    </w:p>
    <w:p w:rsidR="00F26175" w:rsidRPr="007608C2" w:rsidRDefault="00F26175" w:rsidP="00F26175">
      <w:pPr>
        <w:spacing w:after="0" w:line="240" w:lineRule="auto"/>
        <w:jc w:val="both"/>
        <w:rPr>
          <w:rFonts w:cs="Arial"/>
        </w:rPr>
      </w:pPr>
    </w:p>
    <w:p w:rsidR="00F26175" w:rsidRPr="007608C2" w:rsidRDefault="00F26175" w:rsidP="00F26175">
      <w:pPr>
        <w:spacing w:after="0" w:line="240" w:lineRule="auto"/>
        <w:jc w:val="both"/>
        <w:rPr>
          <w:rFonts w:cs="Arial"/>
        </w:rPr>
      </w:pPr>
      <w:r w:rsidRPr="007608C2">
        <w:rPr>
          <w:rFonts w:cs="Arial"/>
        </w:rPr>
        <w:t xml:space="preserve">En el mes de diciembre se culminó la implementación tecnológica del registro de denuncias de presuntos actos de corrupción en el sistema de información misional SIM, finalizadas las pruebas funcionales y dando aceptación a cada uno de los escenarios de prueba, el cual se evidencia en la siguiente imagen: </w:t>
      </w:r>
    </w:p>
    <w:p w:rsidR="00F26175" w:rsidRPr="007608C2" w:rsidRDefault="00F26175" w:rsidP="00F26175">
      <w:pPr>
        <w:spacing w:after="0" w:line="240" w:lineRule="auto"/>
        <w:jc w:val="both"/>
        <w:rPr>
          <w:rFonts w:cs="Arial"/>
        </w:rPr>
      </w:pPr>
    </w:p>
    <w:p w:rsidR="00F26175" w:rsidRPr="007608C2" w:rsidRDefault="00F26175" w:rsidP="00F26175">
      <w:pPr>
        <w:spacing w:after="0" w:line="240" w:lineRule="auto"/>
        <w:jc w:val="center"/>
        <w:rPr>
          <w:rFonts w:cs="Arial"/>
        </w:rPr>
      </w:pPr>
      <w:r w:rsidRPr="007608C2">
        <w:rPr>
          <w:rFonts w:cs="Arial"/>
          <w:noProof/>
          <w:lang w:val="es-CO" w:eastAsia="es-CO"/>
        </w:rPr>
        <w:drawing>
          <wp:inline distT="0" distB="0" distL="0" distR="0" wp14:anchorId="06B207BD" wp14:editId="3C7FB01D">
            <wp:extent cx="4455165" cy="2410508"/>
            <wp:effectExtent l="0" t="0" r="254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7060" cy="2422354"/>
                    </a:xfrm>
                    <a:prstGeom prst="rect">
                      <a:avLst/>
                    </a:prstGeom>
                    <a:noFill/>
                    <a:ln>
                      <a:noFill/>
                    </a:ln>
                  </pic:spPr>
                </pic:pic>
              </a:graphicData>
            </a:graphic>
          </wp:inline>
        </w:drawing>
      </w:r>
    </w:p>
    <w:p w:rsidR="00F26175" w:rsidRPr="00BE6A16" w:rsidRDefault="00F26175" w:rsidP="00F26175">
      <w:pPr>
        <w:spacing w:after="0"/>
        <w:jc w:val="center"/>
        <w:rPr>
          <w:rFonts w:cs="Arial"/>
          <w:sz w:val="16"/>
          <w:szCs w:val="16"/>
        </w:rPr>
      </w:pPr>
      <w:r w:rsidRPr="00BE6A16">
        <w:rPr>
          <w:rFonts w:cs="Arial"/>
          <w:sz w:val="16"/>
          <w:szCs w:val="16"/>
        </w:rPr>
        <w:t>Pantalla de registro y consulta, modulo anticorrupción SIM</w:t>
      </w:r>
    </w:p>
    <w:p w:rsidR="00F26175" w:rsidRPr="007608C2" w:rsidRDefault="00F26175" w:rsidP="00F26175">
      <w:pPr>
        <w:spacing w:after="0" w:line="240" w:lineRule="auto"/>
        <w:jc w:val="both"/>
        <w:rPr>
          <w:rFonts w:cs="Arial"/>
        </w:rPr>
      </w:pPr>
    </w:p>
    <w:p w:rsidR="00F26175" w:rsidRPr="007608C2" w:rsidRDefault="00BE6A16" w:rsidP="00F26175">
      <w:pPr>
        <w:spacing w:after="0" w:line="240" w:lineRule="auto"/>
        <w:jc w:val="both"/>
        <w:rPr>
          <w:rFonts w:cs="Arial"/>
        </w:rPr>
      </w:pPr>
      <w:r w:rsidRPr="007608C2">
        <w:rPr>
          <w:rFonts w:cs="Arial"/>
        </w:rPr>
        <w:t>Igualmente,</w:t>
      </w:r>
      <w:r w:rsidR="00F26175" w:rsidRPr="007608C2">
        <w:rPr>
          <w:rFonts w:cs="Arial"/>
        </w:rPr>
        <w:t xml:space="preserve"> durante el 2017 se incluyó en los b</w:t>
      </w:r>
      <w:r w:rsidR="00A556BD">
        <w:rPr>
          <w:rFonts w:cs="Arial"/>
        </w:rPr>
        <w:t>oletines de informe de PQRSD y s</w:t>
      </w:r>
      <w:r w:rsidR="00F26175" w:rsidRPr="007608C2">
        <w:rPr>
          <w:rFonts w:cs="Arial"/>
        </w:rPr>
        <w:t>olicitudes de acceso a la información de la Entidad, el registro mensual y trimestral de denuncias por presuntos actos de corrupción por departamento de recepción y por el canal por el cual se reciben; durante ésta vigencia se recibieron 347 denuncias, de las cuales se presenta a continuación, su distribución por motivo de denuncia recibida:</w:t>
      </w:r>
    </w:p>
    <w:p w:rsidR="00F26175" w:rsidRPr="007608C2" w:rsidRDefault="00F26175" w:rsidP="00F26175">
      <w:pPr>
        <w:spacing w:after="0" w:line="240" w:lineRule="auto"/>
        <w:jc w:val="both"/>
        <w:rPr>
          <w:rFonts w:cs="Arial"/>
        </w:rPr>
      </w:pPr>
    </w:p>
    <w:p w:rsidR="00F26175" w:rsidRPr="007608C2" w:rsidRDefault="00F26175" w:rsidP="00F26175">
      <w:pPr>
        <w:spacing w:after="0"/>
        <w:jc w:val="center"/>
        <w:rPr>
          <w:rFonts w:cs="Arial"/>
        </w:rPr>
      </w:pPr>
      <w:r w:rsidRPr="007608C2">
        <w:rPr>
          <w:rFonts w:cs="Arial"/>
          <w:noProof/>
          <w:lang w:val="es-CO" w:eastAsia="es-CO"/>
        </w:rPr>
        <w:lastRenderedPageBreak/>
        <w:drawing>
          <wp:inline distT="0" distB="0" distL="0" distR="0" wp14:anchorId="777F9806" wp14:editId="317DC23C">
            <wp:extent cx="5320146" cy="2847237"/>
            <wp:effectExtent l="0" t="0" r="13970" b="10795"/>
            <wp:docPr id="42" name="Gráfico 42">
              <a:extLst xmlns:a="http://schemas.openxmlformats.org/drawingml/2006/main">
                <a:ext uri="{FF2B5EF4-FFF2-40B4-BE49-F238E27FC236}">
                  <a16:creationId xmlns:a16="http://schemas.microsoft.com/office/drawing/2014/main" id="{D811E3B3-DE93-4505-ADC9-511BFDF759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26175" w:rsidRPr="007608C2" w:rsidRDefault="00F26175" w:rsidP="007456F4">
      <w:pPr>
        <w:spacing w:after="0"/>
        <w:jc w:val="center"/>
        <w:rPr>
          <w:rFonts w:cs="Arial"/>
          <w:sz w:val="14"/>
          <w:szCs w:val="14"/>
        </w:rPr>
      </w:pPr>
      <w:r w:rsidRPr="007608C2">
        <w:rPr>
          <w:rFonts w:cs="Arial"/>
          <w:sz w:val="14"/>
          <w:szCs w:val="14"/>
        </w:rPr>
        <w:t>D</w:t>
      </w:r>
      <w:r w:rsidRPr="00A556BD">
        <w:rPr>
          <w:rFonts w:cs="Arial"/>
          <w:sz w:val="16"/>
          <w:szCs w:val="16"/>
        </w:rPr>
        <w:t>istribución por Motivo de Denuncia de Presuntos Actos de Corrupción</w:t>
      </w:r>
      <w:r w:rsidR="007456F4">
        <w:rPr>
          <w:rFonts w:cs="Arial"/>
          <w:sz w:val="16"/>
          <w:szCs w:val="16"/>
        </w:rPr>
        <w:t xml:space="preserve"> </w:t>
      </w:r>
      <w:r w:rsidRPr="00A556BD">
        <w:rPr>
          <w:rFonts w:cs="Arial"/>
          <w:sz w:val="16"/>
          <w:szCs w:val="16"/>
        </w:rPr>
        <w:t>(Periodo 01/01/2017 a 31/12/2017)</w:t>
      </w:r>
    </w:p>
    <w:p w:rsidR="00F26175" w:rsidRPr="007608C2" w:rsidRDefault="00F26175" w:rsidP="00F26175">
      <w:pPr>
        <w:spacing w:after="0"/>
        <w:jc w:val="both"/>
        <w:rPr>
          <w:rFonts w:cs="Arial"/>
          <w:sz w:val="16"/>
          <w:szCs w:val="16"/>
        </w:rPr>
      </w:pPr>
      <w:r w:rsidRPr="007608C2">
        <w:rPr>
          <w:rFonts w:cs="Arial"/>
          <w:sz w:val="16"/>
          <w:szCs w:val="16"/>
        </w:rPr>
        <w:t xml:space="preserve"> </w:t>
      </w:r>
    </w:p>
    <w:p w:rsidR="00F26175" w:rsidRPr="007608C2" w:rsidRDefault="00F26175" w:rsidP="00F26175">
      <w:pPr>
        <w:spacing w:after="0" w:line="240" w:lineRule="auto"/>
        <w:jc w:val="both"/>
        <w:rPr>
          <w:rFonts w:cs="Arial"/>
        </w:rPr>
      </w:pPr>
      <w:r w:rsidRPr="007608C2">
        <w:rPr>
          <w:rFonts w:cs="Arial"/>
        </w:rPr>
        <w:t>De otra parte, se evidencia que en la vigencia 2017, el medio de comunicación en el que más confiaron los ciudadanos para dar a conocer información relacionada con presuntos actos de corrupción, fue el correo electrónico con 183 denuncias, seguido del canal telefónico con 80 denuncias; a continuación, se presenta la distribución del número de denuncias, por canal de recepción:</w:t>
      </w:r>
    </w:p>
    <w:p w:rsidR="00F26175" w:rsidRPr="007608C2" w:rsidRDefault="00F26175" w:rsidP="00F26175">
      <w:pPr>
        <w:spacing w:after="0" w:line="240" w:lineRule="auto"/>
        <w:jc w:val="both"/>
        <w:rPr>
          <w:rFonts w:cs="Arial"/>
        </w:rPr>
      </w:pPr>
    </w:p>
    <w:p w:rsidR="00F26175" w:rsidRPr="007608C2" w:rsidRDefault="00F26175" w:rsidP="00F26175">
      <w:pPr>
        <w:spacing w:after="0"/>
        <w:jc w:val="center"/>
        <w:rPr>
          <w:rFonts w:eastAsia="MiRYAD" w:cs="Arial"/>
        </w:rPr>
      </w:pPr>
      <w:r w:rsidRPr="007608C2">
        <w:rPr>
          <w:rFonts w:cs="Arial"/>
          <w:noProof/>
          <w:lang w:val="es-CO" w:eastAsia="es-CO"/>
        </w:rPr>
        <w:drawing>
          <wp:inline distT="0" distB="0" distL="0" distR="0" wp14:anchorId="6E5EDF96" wp14:editId="48B47334">
            <wp:extent cx="3645885" cy="1829151"/>
            <wp:effectExtent l="0" t="0" r="12065" b="0"/>
            <wp:docPr id="44" name="Gráfico 44">
              <a:extLst xmlns:a="http://schemas.openxmlformats.org/drawingml/2006/main">
                <a:ext uri="{FF2B5EF4-FFF2-40B4-BE49-F238E27FC236}">
                  <a16:creationId xmlns:a16="http://schemas.microsoft.com/office/drawing/2014/main" id="{46BBF32F-6907-406E-978E-B793EB668C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26175" w:rsidRPr="007608C2" w:rsidRDefault="00F26175" w:rsidP="00F26175">
      <w:pPr>
        <w:spacing w:after="0"/>
        <w:jc w:val="center"/>
        <w:rPr>
          <w:rFonts w:cs="Arial"/>
          <w:sz w:val="16"/>
          <w:szCs w:val="16"/>
        </w:rPr>
      </w:pPr>
      <w:r w:rsidRPr="007608C2">
        <w:rPr>
          <w:rFonts w:cs="Arial"/>
          <w:sz w:val="16"/>
          <w:szCs w:val="16"/>
        </w:rPr>
        <w:t>Número de denuncias recibidas por canal de Atención</w:t>
      </w:r>
    </w:p>
    <w:p w:rsidR="00F26175" w:rsidRPr="007608C2" w:rsidRDefault="00F26175" w:rsidP="00F26175">
      <w:pPr>
        <w:spacing w:after="0"/>
        <w:jc w:val="center"/>
        <w:rPr>
          <w:rFonts w:cs="Arial"/>
          <w:sz w:val="16"/>
          <w:szCs w:val="16"/>
        </w:rPr>
      </w:pPr>
      <w:r w:rsidRPr="007608C2">
        <w:rPr>
          <w:rFonts w:cs="Arial"/>
          <w:sz w:val="16"/>
          <w:szCs w:val="16"/>
        </w:rPr>
        <w:t>(Periodo 01/01/2017 a 31/12/2017)</w:t>
      </w:r>
    </w:p>
    <w:p w:rsidR="00F26175" w:rsidRPr="007608C2" w:rsidRDefault="00F26175" w:rsidP="00F26175">
      <w:pPr>
        <w:spacing w:after="0"/>
        <w:jc w:val="both"/>
        <w:rPr>
          <w:rFonts w:cs="Arial"/>
          <w:sz w:val="16"/>
          <w:szCs w:val="16"/>
        </w:rPr>
      </w:pPr>
    </w:p>
    <w:p w:rsidR="00F26175" w:rsidRPr="007608C2" w:rsidRDefault="00F26175" w:rsidP="00F26175">
      <w:pPr>
        <w:spacing w:after="0" w:line="240" w:lineRule="auto"/>
        <w:jc w:val="both"/>
        <w:rPr>
          <w:rFonts w:cs="Arial"/>
        </w:rPr>
      </w:pPr>
      <w:r w:rsidRPr="007608C2">
        <w:rPr>
          <w:rFonts w:cs="Arial"/>
        </w:rPr>
        <w:t>En relación al lugar donde se originan las denuncias de presuntos actos de corrupción, del seguimiento realizado por el área respectiva, se tiene que en la Ciudad de Bogotá, se realizaron 56 denuncias durante la vigencia 2017 seguido de los departamentos de Sucre y Tolima con 23 denuncias; a continuación, se presenta la distribución del número de denuncias, por departamento.</w:t>
      </w:r>
    </w:p>
    <w:p w:rsidR="00F26175" w:rsidRPr="007608C2" w:rsidRDefault="00F26175" w:rsidP="00F26175">
      <w:pPr>
        <w:spacing w:after="0"/>
        <w:jc w:val="center"/>
        <w:rPr>
          <w:rFonts w:cs="Arial"/>
          <w:sz w:val="16"/>
          <w:szCs w:val="16"/>
        </w:rPr>
      </w:pPr>
    </w:p>
    <w:p w:rsidR="00F26175" w:rsidRPr="007608C2" w:rsidRDefault="00F26175" w:rsidP="00F26175">
      <w:pPr>
        <w:spacing w:after="0"/>
        <w:jc w:val="center"/>
        <w:rPr>
          <w:rFonts w:cs="Arial"/>
          <w:sz w:val="16"/>
          <w:szCs w:val="16"/>
        </w:rPr>
      </w:pPr>
      <w:r w:rsidRPr="007608C2">
        <w:rPr>
          <w:rFonts w:cs="Arial"/>
          <w:noProof/>
          <w:lang w:val="es-CO" w:eastAsia="es-CO"/>
        </w:rPr>
        <w:lastRenderedPageBreak/>
        <w:drawing>
          <wp:inline distT="0" distB="0" distL="0" distR="0" wp14:anchorId="4DB47984" wp14:editId="1FA69ED0">
            <wp:extent cx="5238750" cy="5528931"/>
            <wp:effectExtent l="0" t="0" r="0" b="15240"/>
            <wp:docPr id="45" name="Gráfico 45">
              <a:extLst xmlns:a="http://schemas.openxmlformats.org/drawingml/2006/main">
                <a:ext uri="{FF2B5EF4-FFF2-40B4-BE49-F238E27FC236}">
                  <a16:creationId xmlns:a16="http://schemas.microsoft.com/office/drawing/2014/main" id="{39717C19-1BAC-4F92-8C02-DFF3386809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26175" w:rsidRPr="007608C2" w:rsidRDefault="00F26175" w:rsidP="00F26175">
      <w:pPr>
        <w:spacing w:after="0"/>
        <w:jc w:val="center"/>
        <w:rPr>
          <w:rFonts w:cs="Arial"/>
          <w:sz w:val="16"/>
          <w:szCs w:val="16"/>
        </w:rPr>
      </w:pPr>
    </w:p>
    <w:p w:rsidR="00F26175" w:rsidRPr="007608C2" w:rsidRDefault="00F26175" w:rsidP="00F26175">
      <w:pPr>
        <w:spacing w:after="0"/>
        <w:jc w:val="center"/>
        <w:rPr>
          <w:rFonts w:cs="Arial"/>
          <w:sz w:val="16"/>
          <w:szCs w:val="16"/>
        </w:rPr>
      </w:pPr>
      <w:r w:rsidRPr="007608C2">
        <w:rPr>
          <w:rFonts w:cs="Arial"/>
          <w:sz w:val="16"/>
          <w:szCs w:val="16"/>
        </w:rPr>
        <w:t>Número de denuncias recibidas por Departamento</w:t>
      </w:r>
    </w:p>
    <w:p w:rsidR="00F26175" w:rsidRPr="007608C2" w:rsidRDefault="00F26175" w:rsidP="00F26175">
      <w:pPr>
        <w:spacing w:after="0"/>
        <w:jc w:val="center"/>
        <w:rPr>
          <w:rFonts w:cs="Arial"/>
          <w:sz w:val="16"/>
          <w:szCs w:val="16"/>
        </w:rPr>
      </w:pPr>
      <w:r w:rsidRPr="007608C2">
        <w:rPr>
          <w:rFonts w:cs="Arial"/>
          <w:sz w:val="16"/>
          <w:szCs w:val="16"/>
        </w:rPr>
        <w:t>(Periodo 01/01/2017 a 31/12/2017)</w:t>
      </w:r>
    </w:p>
    <w:p w:rsidR="00F26175" w:rsidRPr="007608C2" w:rsidRDefault="00F26175" w:rsidP="00F26175">
      <w:pPr>
        <w:spacing w:after="0"/>
        <w:jc w:val="center"/>
        <w:rPr>
          <w:rFonts w:cs="Arial"/>
          <w:sz w:val="16"/>
          <w:szCs w:val="16"/>
        </w:rPr>
      </w:pPr>
    </w:p>
    <w:p w:rsidR="00F26175" w:rsidRPr="007608C2" w:rsidRDefault="00F26175" w:rsidP="00F26175">
      <w:pPr>
        <w:spacing w:before="100" w:beforeAutospacing="1" w:after="100" w:afterAutospacing="1" w:line="240" w:lineRule="auto"/>
        <w:contextualSpacing/>
        <w:jc w:val="both"/>
        <w:rPr>
          <w:rFonts w:cs="Arial"/>
          <w:b/>
        </w:rPr>
      </w:pPr>
      <w:r w:rsidRPr="007608C2">
        <w:rPr>
          <w:rFonts w:cs="Arial"/>
          <w:b/>
        </w:rPr>
        <w:t>Código de Ética y Código de Bue</w:t>
      </w:r>
      <w:r w:rsidR="00A556BD">
        <w:rPr>
          <w:rFonts w:cs="Arial"/>
          <w:b/>
        </w:rPr>
        <w:t>n G</w:t>
      </w:r>
      <w:r w:rsidRPr="007608C2">
        <w:rPr>
          <w:rFonts w:cs="Arial"/>
          <w:b/>
        </w:rPr>
        <w:t>obierno</w:t>
      </w:r>
    </w:p>
    <w:p w:rsidR="00F26175" w:rsidRPr="00966F2E" w:rsidRDefault="00F26175" w:rsidP="00F26175">
      <w:pPr>
        <w:pStyle w:val="ecxmsonormal"/>
        <w:shd w:val="clear" w:color="auto" w:fill="FFFFFF"/>
        <w:spacing w:before="100" w:beforeAutospacing="1" w:after="100" w:afterAutospacing="1"/>
        <w:ind w:right="191"/>
        <w:jc w:val="both"/>
        <w:rPr>
          <w:rFonts w:asciiTheme="minorHAnsi" w:eastAsia="Calibri" w:hAnsiTheme="minorHAnsi" w:cstheme="minorHAnsi"/>
          <w:sz w:val="22"/>
          <w:szCs w:val="22"/>
          <w:lang w:eastAsia="en-US"/>
        </w:rPr>
      </w:pPr>
      <w:r w:rsidRPr="007608C2">
        <w:rPr>
          <w:rFonts w:ascii="Arial" w:eastAsia="Calibri" w:hAnsi="Arial" w:cs="Arial"/>
          <w:sz w:val="22"/>
          <w:szCs w:val="22"/>
          <w:lang w:eastAsia="en-US"/>
        </w:rPr>
        <w:t xml:space="preserve">En coordinación con la Dirección de Gestión Humana, Oficina Asesora Jurídica, Dirección Servicios y Atención y la Dirección de Planeación, se trabajó de forma articulada en la actualización del Código de Ética y el Código de Buen Gobierno; así también se avanzó en el desarrollo de los documentos de modificación  frente a los postulados  del Código de ética en lo relacionado con Antisoborno, antifraude y antipiratería y se realizaron acciones para el fortalecimiento y actualización del Aula Virtual de Transparencia como estrategia de prevención </w:t>
      </w:r>
      <w:r w:rsidRPr="007608C2">
        <w:rPr>
          <w:rFonts w:ascii="Arial" w:eastAsia="Calibri" w:hAnsi="Arial" w:cs="Arial"/>
          <w:sz w:val="22"/>
          <w:szCs w:val="22"/>
          <w:lang w:eastAsia="en-US"/>
        </w:rPr>
        <w:lastRenderedPageBreak/>
        <w:t>de la corrupción,  falta disciplinaria, y promoción de buen trato, dirigido a los colaboradores del Instituto</w:t>
      </w:r>
      <w:r w:rsidRPr="00966F2E">
        <w:rPr>
          <w:rFonts w:asciiTheme="minorHAnsi" w:eastAsia="Calibri" w:hAnsiTheme="minorHAnsi" w:cstheme="minorHAnsi"/>
          <w:sz w:val="22"/>
          <w:szCs w:val="22"/>
          <w:lang w:eastAsia="en-US"/>
        </w:rPr>
        <w:t xml:space="preserve">. </w:t>
      </w:r>
    </w:p>
    <w:p w:rsidR="00F26175" w:rsidRPr="007608C2" w:rsidRDefault="00F26175" w:rsidP="00F26175">
      <w:pPr>
        <w:spacing w:before="100" w:beforeAutospacing="1" w:after="100" w:afterAutospacing="1" w:line="240" w:lineRule="auto"/>
        <w:contextualSpacing/>
        <w:jc w:val="both"/>
        <w:rPr>
          <w:rFonts w:cs="Arial"/>
        </w:rPr>
      </w:pPr>
      <w:r w:rsidRPr="007608C2">
        <w:rPr>
          <w:rFonts w:cs="Arial"/>
          <w:b/>
        </w:rPr>
        <w:t xml:space="preserve">Socialización: </w:t>
      </w:r>
      <w:r w:rsidR="00A556BD">
        <w:rPr>
          <w:rFonts w:cs="Arial"/>
        </w:rPr>
        <w:t>d</w:t>
      </w:r>
      <w:r w:rsidRPr="007608C2">
        <w:rPr>
          <w:rFonts w:cs="Arial"/>
        </w:rPr>
        <w:t>esde la Dirección de Gestión Humana se realizaron dos (2) jornadas de Inducción en donde se desarrolló la socialización del Código de Ética y Buen Gobierno a los colaboradores nuevos</w:t>
      </w:r>
      <w:r w:rsidR="00A556BD">
        <w:rPr>
          <w:rFonts w:cs="Arial"/>
        </w:rPr>
        <w:t>.</w:t>
      </w:r>
    </w:p>
    <w:p w:rsidR="00F26175" w:rsidRPr="007608C2" w:rsidRDefault="00F26175" w:rsidP="00F26175">
      <w:pPr>
        <w:spacing w:before="100" w:beforeAutospacing="1" w:after="100" w:afterAutospacing="1" w:line="240" w:lineRule="auto"/>
        <w:contextualSpacing/>
        <w:jc w:val="both"/>
        <w:rPr>
          <w:rFonts w:cs="Arial"/>
        </w:rPr>
      </w:pPr>
    </w:p>
    <w:p w:rsidR="00F26175" w:rsidRPr="007608C2" w:rsidRDefault="00F26175" w:rsidP="00F26175">
      <w:pPr>
        <w:spacing w:before="100" w:beforeAutospacing="1" w:after="100" w:afterAutospacing="1" w:line="240" w:lineRule="auto"/>
        <w:contextualSpacing/>
        <w:jc w:val="both"/>
        <w:rPr>
          <w:rFonts w:cs="Arial"/>
        </w:rPr>
      </w:pPr>
      <w:r w:rsidRPr="007608C2">
        <w:rPr>
          <w:rFonts w:cs="Arial"/>
        </w:rPr>
        <w:t>El Plan Anticorrupción que fue construido de manera participativa</w:t>
      </w:r>
      <w:r w:rsidRPr="007608C2">
        <w:rPr>
          <w:rFonts w:cs="Arial"/>
          <w:b/>
        </w:rPr>
        <w:t xml:space="preserve">, </w:t>
      </w:r>
      <w:r w:rsidRPr="007608C2">
        <w:rPr>
          <w:rFonts w:cs="Arial"/>
        </w:rPr>
        <w:t>fue socializado en el marco de la estrategia de martes de transparencia y publicado a través de piezas promocionales que se divulgaron en el Portal Web institucional con cada uno de los Riesgos de corrupción identificados en la entidad.</w:t>
      </w:r>
    </w:p>
    <w:p w:rsidR="00F26175" w:rsidRPr="007608C2" w:rsidRDefault="00F26175" w:rsidP="00F26175">
      <w:pPr>
        <w:spacing w:before="100" w:beforeAutospacing="1" w:after="100" w:afterAutospacing="1" w:line="240" w:lineRule="auto"/>
        <w:contextualSpacing/>
        <w:jc w:val="both"/>
        <w:rPr>
          <w:rFonts w:cs="Arial"/>
        </w:rPr>
      </w:pPr>
      <w:r w:rsidRPr="007608C2">
        <w:rPr>
          <w:rFonts w:cs="Arial"/>
        </w:rPr>
        <w:t xml:space="preserve"> </w:t>
      </w:r>
    </w:p>
    <w:p w:rsidR="00F26175" w:rsidRPr="007608C2" w:rsidRDefault="00F26175" w:rsidP="00A556BD">
      <w:pPr>
        <w:spacing w:before="100" w:beforeAutospacing="1" w:after="100" w:afterAutospacing="1" w:line="240" w:lineRule="auto"/>
        <w:contextualSpacing/>
        <w:jc w:val="center"/>
        <w:rPr>
          <w:rFonts w:cs="Arial"/>
        </w:rPr>
      </w:pPr>
      <w:r w:rsidRPr="007608C2">
        <w:rPr>
          <w:rFonts w:cs="Arial"/>
          <w:noProof/>
          <w:lang w:val="es-CO" w:eastAsia="es-CO"/>
        </w:rPr>
        <w:drawing>
          <wp:inline distT="0" distB="0" distL="0" distR="0" wp14:anchorId="56274D94" wp14:editId="3CD81390">
            <wp:extent cx="2580640" cy="1505374"/>
            <wp:effectExtent l="0" t="0" r="0" b="0"/>
            <wp:docPr id="49" name="Imagen 49" descr="cid:image004.jpg@01D3685E.712AA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4.jpg@01D3685E.712AA0F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584641" cy="1507708"/>
                    </a:xfrm>
                    <a:prstGeom prst="rect">
                      <a:avLst/>
                    </a:prstGeom>
                    <a:noFill/>
                    <a:ln>
                      <a:noFill/>
                    </a:ln>
                  </pic:spPr>
                </pic:pic>
              </a:graphicData>
            </a:graphic>
          </wp:inline>
        </w:drawing>
      </w:r>
    </w:p>
    <w:p w:rsidR="00F26175" w:rsidRPr="00A556BD" w:rsidRDefault="00F26175" w:rsidP="00A556BD">
      <w:pPr>
        <w:spacing w:before="100" w:beforeAutospacing="1" w:after="100" w:afterAutospacing="1" w:line="240" w:lineRule="auto"/>
        <w:contextualSpacing/>
        <w:jc w:val="center"/>
        <w:rPr>
          <w:rFonts w:cs="Arial"/>
          <w:sz w:val="16"/>
          <w:szCs w:val="16"/>
        </w:rPr>
      </w:pPr>
      <w:r w:rsidRPr="00A556BD">
        <w:rPr>
          <w:rFonts w:cs="Arial"/>
          <w:b/>
          <w:sz w:val="16"/>
          <w:szCs w:val="16"/>
        </w:rPr>
        <w:t>Fuente:</w:t>
      </w:r>
      <w:r w:rsidRPr="00A556BD">
        <w:rPr>
          <w:rFonts w:cs="Arial"/>
          <w:sz w:val="16"/>
          <w:szCs w:val="16"/>
        </w:rPr>
        <w:t xml:space="preserve"> Oficina de Comunicaciones ICBF</w:t>
      </w:r>
    </w:p>
    <w:p w:rsidR="00F26175" w:rsidRPr="007608C2" w:rsidRDefault="00F26175" w:rsidP="00F26175">
      <w:pPr>
        <w:pStyle w:val="ecxmsonormal"/>
        <w:shd w:val="clear" w:color="auto" w:fill="FFFFFF"/>
        <w:spacing w:before="100" w:beforeAutospacing="1" w:after="100" w:afterAutospacing="1"/>
        <w:ind w:right="191"/>
        <w:jc w:val="both"/>
        <w:rPr>
          <w:rFonts w:ascii="Arial" w:eastAsia="Calibri" w:hAnsi="Arial" w:cs="Arial"/>
          <w:sz w:val="22"/>
          <w:szCs w:val="22"/>
          <w:lang w:eastAsia="en-US"/>
        </w:rPr>
      </w:pPr>
      <w:r w:rsidRPr="007608C2">
        <w:rPr>
          <w:rFonts w:ascii="Arial" w:eastAsia="Calibri" w:hAnsi="Arial" w:cs="Arial"/>
          <w:b/>
          <w:sz w:val="22"/>
          <w:szCs w:val="22"/>
          <w:lang w:eastAsia="en-US"/>
        </w:rPr>
        <w:t xml:space="preserve">Formación: </w:t>
      </w:r>
      <w:r w:rsidRPr="007608C2">
        <w:rPr>
          <w:rFonts w:ascii="Arial" w:eastAsia="Calibri" w:hAnsi="Arial" w:cs="Arial"/>
          <w:sz w:val="22"/>
          <w:szCs w:val="22"/>
          <w:lang w:eastAsia="en-US"/>
        </w:rPr>
        <w:t>Se contó durante la vigencia con un total de 488 inscritos en la plataforma de la Escuela del ICBF,  para participar en el aula virtual, en temas como: i) “Promoción de Transparencia y acercamiento a la Ciudadanía” que desde la Dirección de Planeación y la Dirección de Servicios y Atención, contribuye a continuar en nuestra lucha contra la corrupción en el ICBF y, ii) el curso de "Dirección de Servicios y Atención", que desde la Dirección de Gestión Humana, contribuye a mejorar los servicios de atención y manejo de denuncias.</w:t>
      </w:r>
    </w:p>
    <w:p w:rsidR="00F26175" w:rsidRPr="007608C2" w:rsidRDefault="008B3017" w:rsidP="00F26175">
      <w:pPr>
        <w:jc w:val="both"/>
        <w:rPr>
          <w:rFonts w:cs="Arial"/>
          <w:b/>
        </w:rPr>
      </w:pPr>
      <w:r w:rsidRPr="007608C2">
        <w:rPr>
          <w:rFonts w:cs="Arial"/>
          <w:b/>
        </w:rPr>
        <w:t xml:space="preserve">Estrategia Gobierno Digital </w:t>
      </w:r>
    </w:p>
    <w:p w:rsidR="00F26175" w:rsidRPr="007608C2" w:rsidRDefault="00F26175" w:rsidP="00F26175">
      <w:pPr>
        <w:spacing w:after="0" w:line="240" w:lineRule="auto"/>
        <w:jc w:val="both"/>
        <w:rPr>
          <w:rFonts w:cs="Arial"/>
        </w:rPr>
      </w:pPr>
      <w:r w:rsidRPr="007608C2">
        <w:rPr>
          <w:rFonts w:cs="Arial"/>
        </w:rPr>
        <w:t>El ICBF ha implementado el Indicador PA-111, para el cumplimiento de los retos anuales planteados por la Entidad para el cumplimiento de las actividades en cada uno de los cuatro (4) componentes de la Estrategia Gobierno Digital. Para la vigencia 2017 se definieron 52 actividades de las cuales se obtuvo un cumplimiento total de 42 actividades y parcial de 10</w:t>
      </w:r>
      <w:r w:rsidR="008B3017">
        <w:rPr>
          <w:rFonts w:cs="Arial"/>
        </w:rPr>
        <w:t xml:space="preserve"> actividades; por lo anterior, </w:t>
      </w:r>
      <w:r w:rsidRPr="007608C2">
        <w:rPr>
          <w:rFonts w:cs="Arial"/>
        </w:rPr>
        <w:t>el indicador de gestión presentó a cierre 207 un nivel de cumplimiento del 94% sobre una meta del 100%.</w:t>
      </w:r>
    </w:p>
    <w:p w:rsidR="00F26175" w:rsidRPr="007608C2" w:rsidRDefault="00F26175" w:rsidP="00F26175">
      <w:pPr>
        <w:spacing w:after="0" w:line="240" w:lineRule="auto"/>
        <w:jc w:val="both"/>
        <w:rPr>
          <w:rFonts w:cs="Arial"/>
        </w:rPr>
      </w:pPr>
    </w:p>
    <w:p w:rsidR="00F26175" w:rsidRPr="007608C2" w:rsidRDefault="00F26175" w:rsidP="00F26175">
      <w:pPr>
        <w:spacing w:after="0" w:line="240" w:lineRule="auto"/>
        <w:jc w:val="center"/>
        <w:rPr>
          <w:rFonts w:cs="Arial"/>
        </w:rPr>
      </w:pPr>
      <w:r w:rsidRPr="007608C2">
        <w:rPr>
          <w:rFonts w:cs="Arial"/>
          <w:noProof/>
          <w:lang w:val="es-CO" w:eastAsia="es-CO"/>
        </w:rPr>
        <w:lastRenderedPageBreak/>
        <w:drawing>
          <wp:anchor distT="0" distB="0" distL="114300" distR="114300" simplePos="0" relativeHeight="251813376" behindDoc="0" locked="0" layoutInCell="1" allowOverlap="1" wp14:anchorId="48734B43" wp14:editId="0A1B1BEA">
            <wp:simplePos x="0" y="0"/>
            <wp:positionH relativeFrom="column">
              <wp:posOffset>558165</wp:posOffset>
            </wp:positionH>
            <wp:positionV relativeFrom="paragraph">
              <wp:posOffset>1950720</wp:posOffset>
            </wp:positionV>
            <wp:extent cx="4857750" cy="302981"/>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b="43157"/>
                    <a:stretch/>
                  </pic:blipFill>
                  <pic:spPr bwMode="auto">
                    <a:xfrm>
                      <a:off x="0" y="0"/>
                      <a:ext cx="4857750" cy="3029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08C2">
        <w:rPr>
          <w:rFonts w:cs="Arial"/>
          <w:noProof/>
          <w:lang w:val="es-CO" w:eastAsia="es-CO"/>
        </w:rPr>
        <w:drawing>
          <wp:inline distT="0" distB="0" distL="0" distR="0" wp14:anchorId="4D0A99ED" wp14:editId="2AC00299">
            <wp:extent cx="5183680" cy="2570108"/>
            <wp:effectExtent l="0" t="0" r="17145" b="1905"/>
            <wp:docPr id="52" name="Gráfico 52">
              <a:extLst xmlns:a="http://schemas.openxmlformats.org/drawingml/2006/main">
                <a:ext uri="{FF2B5EF4-FFF2-40B4-BE49-F238E27FC236}">
                  <a16:creationId xmlns:a16="http://schemas.microsoft.com/office/drawing/2014/main" id="{5F180C67-5E14-4562-A721-12D2ECBF05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26175" w:rsidRPr="007608C2" w:rsidRDefault="00F26175" w:rsidP="00F26175">
      <w:pPr>
        <w:spacing w:after="0" w:line="240" w:lineRule="auto"/>
        <w:jc w:val="center"/>
        <w:rPr>
          <w:rFonts w:cs="Arial"/>
        </w:rPr>
      </w:pPr>
      <w:r w:rsidRPr="007608C2">
        <w:rPr>
          <w:rFonts w:cs="Arial"/>
          <w:sz w:val="14"/>
          <w:szCs w:val="14"/>
        </w:rPr>
        <w:t>Nivel de cumplimento Actividades Estrategia GD 2017</w:t>
      </w:r>
    </w:p>
    <w:p w:rsidR="00F26175" w:rsidRPr="007608C2" w:rsidRDefault="00F26175" w:rsidP="00F26175">
      <w:pPr>
        <w:spacing w:after="0" w:line="240" w:lineRule="auto"/>
        <w:jc w:val="both"/>
        <w:rPr>
          <w:rFonts w:cs="Arial"/>
        </w:rPr>
      </w:pPr>
    </w:p>
    <w:p w:rsidR="00F26175" w:rsidRPr="007608C2" w:rsidRDefault="00F26175" w:rsidP="00F26175">
      <w:pPr>
        <w:spacing w:after="0" w:line="240" w:lineRule="auto"/>
        <w:jc w:val="both"/>
        <w:rPr>
          <w:rFonts w:cs="Arial"/>
        </w:rPr>
      </w:pPr>
      <w:r w:rsidRPr="007608C2">
        <w:rPr>
          <w:rFonts w:cs="Arial"/>
          <w:b/>
          <w:u w:val="single"/>
        </w:rPr>
        <w:t>Proceso de Formación Gobierno Digital colaboradores ICBF:</w:t>
      </w:r>
      <w:r w:rsidRPr="007608C2">
        <w:rPr>
          <w:rFonts w:cs="Arial"/>
        </w:rPr>
        <w:t xml:space="preserve"> Durante el 2017, La Dirección de Información y Tecnología, la Dirección de Servicios y Atención y la Dirección de Gestión Humana, gestionaron con el Ministerio de Tecnologías de la Información y las Comunicaciones un curso virtual sobre Gobierno Digital el cual se realizó durante los meses de octubre y noviembre de 2017. A este curso se </w:t>
      </w:r>
      <w:r w:rsidR="00A556BD" w:rsidRPr="007608C2">
        <w:rPr>
          <w:rFonts w:cs="Arial"/>
        </w:rPr>
        <w:t>inscribieron 1.408</w:t>
      </w:r>
      <w:r w:rsidRPr="007608C2">
        <w:rPr>
          <w:rFonts w:cs="Arial"/>
          <w:b/>
        </w:rPr>
        <w:t xml:space="preserve"> colaboradores</w:t>
      </w:r>
      <w:r w:rsidRPr="007608C2">
        <w:rPr>
          <w:rFonts w:cs="Arial"/>
        </w:rPr>
        <w:t xml:space="preserve"> a nivel Nacional, de los cuales </w:t>
      </w:r>
      <w:r w:rsidRPr="007608C2">
        <w:rPr>
          <w:rFonts w:cs="Arial"/>
          <w:b/>
        </w:rPr>
        <w:t>752 aprob</w:t>
      </w:r>
      <w:r w:rsidR="00A24D71" w:rsidRPr="007608C2">
        <w:rPr>
          <w:rFonts w:cs="Arial"/>
          <w:b/>
        </w:rPr>
        <w:t>aron el curso</w:t>
      </w:r>
      <w:r w:rsidRPr="007608C2">
        <w:rPr>
          <w:rFonts w:cs="Arial"/>
        </w:rPr>
        <w:t xml:space="preserve"> (53.4% de las personas inscritas); teniendo en cuenta que es una temática técnica y además nueva para muchos colaboradores, se resalta del desarrollo del curso el interés de los participantes por conocer sobre esta estrategia y particularmente de cómo esta puede contribuir </w:t>
      </w:r>
      <w:r w:rsidR="008B3017" w:rsidRPr="007608C2">
        <w:rPr>
          <w:rFonts w:cs="Arial"/>
        </w:rPr>
        <w:t>a mejorar</w:t>
      </w:r>
      <w:r w:rsidRPr="007608C2">
        <w:rPr>
          <w:rFonts w:cs="Arial"/>
        </w:rPr>
        <w:t xml:space="preserve"> nuestros servicios a la Ciudadanía.</w:t>
      </w:r>
    </w:p>
    <w:p w:rsidR="00F26175" w:rsidRPr="007608C2" w:rsidRDefault="00F26175" w:rsidP="00F26175">
      <w:pPr>
        <w:spacing w:after="0" w:line="240" w:lineRule="auto"/>
        <w:jc w:val="both"/>
        <w:rPr>
          <w:rFonts w:cs="Arial"/>
        </w:rPr>
      </w:pPr>
    </w:p>
    <w:p w:rsidR="00F26175" w:rsidRPr="007608C2" w:rsidRDefault="00F26175" w:rsidP="00F26175">
      <w:pPr>
        <w:spacing w:after="0" w:line="240" w:lineRule="auto"/>
        <w:jc w:val="both"/>
        <w:rPr>
          <w:rFonts w:cs="Arial"/>
        </w:rPr>
      </w:pPr>
      <w:r w:rsidRPr="007608C2">
        <w:rPr>
          <w:rFonts w:cs="Arial"/>
          <w:b/>
          <w:u w:val="single"/>
        </w:rPr>
        <w:t xml:space="preserve">Participación concurso Máxima Velocidad de MINTIC: </w:t>
      </w:r>
      <w:r w:rsidRPr="007608C2">
        <w:rPr>
          <w:rFonts w:cs="Arial"/>
        </w:rPr>
        <w:t xml:space="preserve">El ICBF durante la vigencia 2017, participó activamente de las actividades de promoción e implementación de la Estrategia Gobierno que realizo MINTIC a través de sus estrategias de impulso “Máxima Velocidad”. La Entidad obtuvo 2.210 puntos, quedando dentro de las 16 primeras Entidades de las 29 participantes solo del orden nacional; se destacó de su participación, la accesibilidad de la información, la apertura y divulgación de datos abiertos y política de seguridad de la información. </w:t>
      </w:r>
    </w:p>
    <w:p w:rsidR="0082375B" w:rsidRPr="007608C2" w:rsidRDefault="0082375B" w:rsidP="00F26175">
      <w:pPr>
        <w:spacing w:after="0" w:line="240" w:lineRule="auto"/>
        <w:jc w:val="center"/>
        <w:rPr>
          <w:rFonts w:cs="Arial"/>
        </w:rPr>
      </w:pPr>
    </w:p>
    <w:p w:rsidR="00F26175" w:rsidRPr="007608C2" w:rsidRDefault="00F26175" w:rsidP="00F26175">
      <w:pPr>
        <w:spacing w:after="0" w:line="240" w:lineRule="auto"/>
        <w:jc w:val="center"/>
        <w:rPr>
          <w:rFonts w:cs="Arial"/>
        </w:rPr>
      </w:pPr>
      <w:r w:rsidRPr="007608C2">
        <w:rPr>
          <w:rFonts w:cs="Arial"/>
          <w:noProof/>
          <w:lang w:val="es-CO" w:eastAsia="es-CO"/>
        </w:rPr>
        <w:lastRenderedPageBreak/>
        <w:drawing>
          <wp:inline distT="0" distB="0" distL="0" distR="0" wp14:anchorId="233077D5" wp14:editId="1571EE76">
            <wp:extent cx="2381250" cy="2076450"/>
            <wp:effectExtent l="0" t="0" r="0" b="0"/>
            <wp:docPr id="53"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40"/>
                    <a:srcRect/>
                    <a:stretch>
                      <a:fillRect/>
                    </a:stretch>
                  </pic:blipFill>
                  <pic:spPr>
                    <a:xfrm>
                      <a:off x="0" y="0"/>
                      <a:ext cx="2381250" cy="2076450"/>
                    </a:xfrm>
                    <a:prstGeom prst="rect">
                      <a:avLst/>
                    </a:prstGeom>
                    <a:ln/>
                  </pic:spPr>
                </pic:pic>
              </a:graphicData>
            </a:graphic>
          </wp:inline>
        </w:drawing>
      </w:r>
    </w:p>
    <w:p w:rsidR="00F26175" w:rsidRPr="007608C2" w:rsidRDefault="00F26175" w:rsidP="00F26175">
      <w:pPr>
        <w:spacing w:after="0" w:line="240" w:lineRule="auto"/>
        <w:jc w:val="center"/>
        <w:rPr>
          <w:rFonts w:cs="Arial"/>
          <w:sz w:val="16"/>
          <w:szCs w:val="16"/>
        </w:rPr>
      </w:pPr>
    </w:p>
    <w:p w:rsidR="00F26175" w:rsidRPr="00A556BD" w:rsidRDefault="00F26175" w:rsidP="00F26175">
      <w:pPr>
        <w:spacing w:after="0" w:line="240" w:lineRule="auto"/>
        <w:jc w:val="center"/>
        <w:rPr>
          <w:rFonts w:cs="Arial"/>
          <w:sz w:val="16"/>
          <w:szCs w:val="16"/>
        </w:rPr>
      </w:pPr>
      <w:r w:rsidRPr="00A556BD">
        <w:rPr>
          <w:rFonts w:cs="Arial"/>
          <w:sz w:val="16"/>
          <w:szCs w:val="16"/>
        </w:rPr>
        <w:t xml:space="preserve">Fuente: </w:t>
      </w:r>
      <w:hyperlink r:id="rId41">
        <w:r w:rsidRPr="00A556BD">
          <w:rPr>
            <w:rFonts w:cs="Arial"/>
            <w:sz w:val="16"/>
            <w:szCs w:val="16"/>
            <w:u w:val="single"/>
          </w:rPr>
          <w:t>http://maximavelocidad.gov.co/647/w3-channel.html</w:t>
        </w:r>
      </w:hyperlink>
    </w:p>
    <w:p w:rsidR="00F26175" w:rsidRPr="007608C2" w:rsidRDefault="00F26175" w:rsidP="00F26175">
      <w:pPr>
        <w:spacing w:before="100" w:beforeAutospacing="1" w:after="100" w:afterAutospacing="1" w:line="240" w:lineRule="auto"/>
        <w:jc w:val="both"/>
        <w:rPr>
          <w:rFonts w:cs="Arial"/>
        </w:rPr>
      </w:pPr>
      <w:r w:rsidRPr="007608C2">
        <w:rPr>
          <w:rFonts w:cs="Arial"/>
          <w:b/>
          <w:u w:val="single"/>
        </w:rPr>
        <w:t>Componente TIC para Gobierno:</w:t>
      </w:r>
      <w:r w:rsidRPr="007608C2">
        <w:rPr>
          <w:rFonts w:cs="Arial"/>
        </w:rPr>
        <w:t xml:space="preserve"> Durante la vigencia 2017, en gestión articulada con la Dirección de Planeación y DIT se realizó la transformación de la sección de Transparencia y acceso a la información; en la que se logró la reorganización de los contenidos y la creación de nuevas secciones como son: Participación y Gobierno Abierto.  </w:t>
      </w:r>
    </w:p>
    <w:p w:rsidR="00F26175" w:rsidRPr="007608C2" w:rsidRDefault="00F26175" w:rsidP="00F26175">
      <w:pPr>
        <w:spacing w:before="100" w:beforeAutospacing="1" w:after="100" w:afterAutospacing="1" w:line="240" w:lineRule="auto"/>
        <w:jc w:val="center"/>
        <w:rPr>
          <w:rFonts w:eastAsia="Times New Roman" w:cs="Arial"/>
          <w:sz w:val="18"/>
        </w:rPr>
      </w:pPr>
      <w:r w:rsidRPr="007608C2">
        <w:rPr>
          <w:rFonts w:cs="Arial"/>
          <w:noProof/>
          <w:lang w:val="es-CO" w:eastAsia="es-CO"/>
        </w:rPr>
        <w:drawing>
          <wp:inline distT="0" distB="0" distL="0" distR="0" wp14:anchorId="4ED5F4AA" wp14:editId="011808C2">
            <wp:extent cx="2901950" cy="2889023"/>
            <wp:effectExtent l="0" t="0" r="0"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3004" t="30236" r="33595" b="10645"/>
                    <a:stretch/>
                  </pic:blipFill>
                  <pic:spPr bwMode="auto">
                    <a:xfrm>
                      <a:off x="0" y="0"/>
                      <a:ext cx="2908961" cy="2896003"/>
                    </a:xfrm>
                    <a:prstGeom prst="rect">
                      <a:avLst/>
                    </a:prstGeom>
                    <a:ln>
                      <a:noFill/>
                    </a:ln>
                    <a:extLst>
                      <a:ext uri="{53640926-AAD7-44D8-BBD7-CCE9431645EC}">
                        <a14:shadowObscured xmlns:a14="http://schemas.microsoft.com/office/drawing/2010/main"/>
                      </a:ext>
                    </a:extLst>
                  </pic:spPr>
                </pic:pic>
              </a:graphicData>
            </a:graphic>
          </wp:inline>
        </w:drawing>
      </w:r>
    </w:p>
    <w:p w:rsidR="00F26175" w:rsidRPr="007608C2" w:rsidRDefault="00F26175" w:rsidP="00F26175">
      <w:pPr>
        <w:spacing w:before="100" w:beforeAutospacing="1" w:after="100" w:afterAutospacing="1" w:line="240" w:lineRule="auto"/>
        <w:jc w:val="center"/>
        <w:rPr>
          <w:rFonts w:eastAsia="Times New Roman" w:cs="Arial"/>
        </w:rPr>
      </w:pPr>
      <w:r w:rsidRPr="00A556BD">
        <w:rPr>
          <w:rFonts w:eastAsia="Times New Roman" w:cs="Arial"/>
          <w:sz w:val="16"/>
          <w:szCs w:val="16"/>
        </w:rPr>
        <w:t>Nueva versión de sección de Transparencia y acc</w:t>
      </w:r>
      <w:r w:rsidR="00A556BD">
        <w:rPr>
          <w:rFonts w:eastAsia="Times New Roman" w:cs="Arial"/>
          <w:sz w:val="16"/>
          <w:szCs w:val="16"/>
        </w:rPr>
        <w:t>eso a la información en Portal W</w:t>
      </w:r>
      <w:r w:rsidRPr="00A556BD">
        <w:rPr>
          <w:rFonts w:eastAsia="Times New Roman" w:cs="Arial"/>
          <w:sz w:val="16"/>
          <w:szCs w:val="16"/>
        </w:rPr>
        <w:t>eb Institucional</w:t>
      </w:r>
    </w:p>
    <w:p w:rsidR="00F26175" w:rsidRPr="007608C2" w:rsidRDefault="00F26175" w:rsidP="00F26175">
      <w:pPr>
        <w:spacing w:after="0" w:line="240" w:lineRule="auto"/>
        <w:jc w:val="both"/>
        <w:rPr>
          <w:rFonts w:cs="Arial"/>
        </w:rPr>
      </w:pPr>
      <w:r w:rsidRPr="007608C2">
        <w:rPr>
          <w:rFonts w:cs="Arial"/>
          <w:b/>
          <w:u w:val="single"/>
        </w:rPr>
        <w:t>Datos Abiertos</w:t>
      </w:r>
      <w:r w:rsidR="00A556BD">
        <w:rPr>
          <w:rFonts w:cs="Arial"/>
        </w:rPr>
        <w:t>: a</w:t>
      </w:r>
      <w:r w:rsidRPr="007608C2">
        <w:rPr>
          <w:rFonts w:cs="Arial"/>
        </w:rPr>
        <w:t xml:space="preserve"> corte de 31 de diciembre de 2017, la entidad contaba con 21 conjuntos de datos publicados en el Portal de Datos Colombiano </w:t>
      </w:r>
      <w:hyperlink r:id="rId43">
        <w:r w:rsidRPr="007608C2">
          <w:rPr>
            <w:rFonts w:cs="Arial"/>
          </w:rPr>
          <w:t>www.datos.gov.co</w:t>
        </w:r>
      </w:hyperlink>
      <w:r w:rsidRPr="007608C2">
        <w:rPr>
          <w:rFonts w:cs="Arial"/>
        </w:rPr>
        <w:t xml:space="preserve"> de los cuales dos (2) se encuentran certificados (Puntos de Distribución de Bienestarina y Relación Peso Talla Niños Primera Infancia 2016) con sello de excelencia. A continuación, se relacionan los 21 DataSet con su enlace al Portal de Datos Abiertos:</w:t>
      </w:r>
    </w:p>
    <w:tbl>
      <w:tblPr>
        <w:tblW w:w="0" w:type="auto"/>
        <w:tblInd w:w="-5"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00" w:firstRow="0" w:lastRow="0" w:firstColumn="0" w:lastColumn="0" w:noHBand="0" w:noVBand="1"/>
      </w:tblPr>
      <w:tblGrid>
        <w:gridCol w:w="767"/>
        <w:gridCol w:w="3595"/>
        <w:gridCol w:w="5038"/>
      </w:tblGrid>
      <w:tr w:rsidR="00F26175" w:rsidRPr="00A556BD" w:rsidTr="00A556BD">
        <w:trPr>
          <w:trHeight w:val="280"/>
          <w:tblHeader/>
        </w:trPr>
        <w:tc>
          <w:tcPr>
            <w:tcW w:w="0" w:type="auto"/>
            <w:shd w:val="clear" w:color="auto" w:fill="76923C"/>
            <w:vAlign w:val="center"/>
          </w:tcPr>
          <w:p w:rsidR="00F26175" w:rsidRPr="00A556BD" w:rsidRDefault="00F26175" w:rsidP="00A556BD">
            <w:pPr>
              <w:spacing w:after="0"/>
              <w:ind w:firstLineChars="100" w:firstLine="180"/>
              <w:jc w:val="center"/>
              <w:rPr>
                <w:rFonts w:eastAsia="Times New Roman" w:cs="Arial"/>
                <w:b/>
                <w:bCs/>
                <w:color w:val="FFFFFF" w:themeColor="background1"/>
                <w:sz w:val="18"/>
                <w:szCs w:val="18"/>
                <w:lang w:val="es-CO" w:eastAsia="es-CO"/>
              </w:rPr>
            </w:pPr>
            <w:r w:rsidRPr="00A556BD">
              <w:rPr>
                <w:rFonts w:eastAsia="Times New Roman" w:cs="Arial"/>
                <w:b/>
                <w:bCs/>
                <w:color w:val="FFFFFF" w:themeColor="background1"/>
                <w:sz w:val="18"/>
                <w:szCs w:val="18"/>
                <w:lang w:val="es-CO" w:eastAsia="es-CO"/>
              </w:rPr>
              <w:lastRenderedPageBreak/>
              <w:t>Ítem</w:t>
            </w:r>
          </w:p>
        </w:tc>
        <w:tc>
          <w:tcPr>
            <w:tcW w:w="0" w:type="auto"/>
            <w:shd w:val="clear" w:color="auto" w:fill="76923C"/>
            <w:vAlign w:val="center"/>
          </w:tcPr>
          <w:p w:rsidR="00F26175" w:rsidRPr="00A556BD" w:rsidRDefault="00F26175" w:rsidP="00A556BD">
            <w:pPr>
              <w:spacing w:after="0"/>
              <w:ind w:firstLineChars="100" w:firstLine="180"/>
              <w:jc w:val="center"/>
              <w:rPr>
                <w:rFonts w:eastAsia="Times New Roman" w:cs="Arial"/>
                <w:b/>
                <w:bCs/>
                <w:color w:val="FFFFFF" w:themeColor="background1"/>
                <w:sz w:val="18"/>
                <w:szCs w:val="18"/>
                <w:lang w:val="es-CO" w:eastAsia="es-CO"/>
              </w:rPr>
            </w:pPr>
            <w:r w:rsidRPr="00A556BD">
              <w:rPr>
                <w:rFonts w:eastAsia="Times New Roman" w:cs="Arial"/>
                <w:b/>
                <w:bCs/>
                <w:color w:val="FFFFFF" w:themeColor="background1"/>
                <w:sz w:val="18"/>
                <w:szCs w:val="18"/>
                <w:lang w:val="es-CO" w:eastAsia="es-CO"/>
              </w:rPr>
              <w:t>Nombre del Conjunto de Datos</w:t>
            </w:r>
          </w:p>
        </w:tc>
        <w:tc>
          <w:tcPr>
            <w:tcW w:w="0" w:type="auto"/>
            <w:shd w:val="clear" w:color="auto" w:fill="76923C"/>
            <w:vAlign w:val="center"/>
          </w:tcPr>
          <w:p w:rsidR="00F26175" w:rsidRPr="00A556BD" w:rsidRDefault="00F26175" w:rsidP="00A556BD">
            <w:pPr>
              <w:spacing w:after="0"/>
              <w:ind w:firstLineChars="100" w:firstLine="180"/>
              <w:jc w:val="center"/>
              <w:rPr>
                <w:rFonts w:eastAsia="Times New Roman" w:cs="Arial"/>
                <w:b/>
                <w:bCs/>
                <w:color w:val="FFFFFF" w:themeColor="background1"/>
                <w:sz w:val="18"/>
                <w:szCs w:val="18"/>
                <w:lang w:val="es-CO" w:eastAsia="es-CO"/>
              </w:rPr>
            </w:pPr>
            <w:r w:rsidRPr="00A556BD">
              <w:rPr>
                <w:rFonts w:eastAsia="Times New Roman" w:cs="Arial"/>
                <w:b/>
                <w:bCs/>
                <w:color w:val="FFFFFF" w:themeColor="background1"/>
                <w:sz w:val="18"/>
                <w:szCs w:val="18"/>
                <w:lang w:val="es-CO" w:eastAsia="es-CO"/>
              </w:rPr>
              <w:t>Enlace Portal de Datos</w:t>
            </w:r>
          </w:p>
        </w:tc>
      </w:tr>
      <w:tr w:rsidR="00F26175" w:rsidRPr="00A556BD" w:rsidTr="00A556BD">
        <w:trPr>
          <w:trHeight w:val="419"/>
        </w:trPr>
        <w:tc>
          <w:tcPr>
            <w:tcW w:w="0" w:type="auto"/>
            <w:shd w:val="clear" w:color="auto" w:fill="auto"/>
            <w:vAlign w:val="center"/>
          </w:tcPr>
          <w:p w:rsidR="00F26175" w:rsidRPr="00A556BD" w:rsidRDefault="00F26175" w:rsidP="00381352">
            <w:pPr>
              <w:jc w:val="center"/>
              <w:rPr>
                <w:rFonts w:cs="Arial"/>
                <w:sz w:val="18"/>
                <w:szCs w:val="18"/>
              </w:rPr>
            </w:pPr>
            <w:r w:rsidRPr="00A556BD">
              <w:rPr>
                <w:rFonts w:cs="Arial"/>
                <w:sz w:val="18"/>
                <w:szCs w:val="18"/>
              </w:rPr>
              <w:t>1</w:t>
            </w:r>
          </w:p>
        </w:tc>
        <w:tc>
          <w:tcPr>
            <w:tcW w:w="0" w:type="auto"/>
            <w:shd w:val="clear" w:color="auto" w:fill="auto"/>
            <w:vAlign w:val="center"/>
          </w:tcPr>
          <w:p w:rsidR="00F26175" w:rsidRPr="00A556BD" w:rsidRDefault="00F26175" w:rsidP="00F26175">
            <w:pPr>
              <w:jc w:val="both"/>
              <w:rPr>
                <w:rFonts w:cs="Arial"/>
                <w:sz w:val="18"/>
                <w:szCs w:val="18"/>
              </w:rPr>
            </w:pPr>
            <w:r w:rsidRPr="00A556BD">
              <w:rPr>
                <w:rFonts w:cs="Arial"/>
                <w:sz w:val="18"/>
                <w:szCs w:val="18"/>
              </w:rPr>
              <w:t>Puntos de Distribución de Bienestarina 2016</w:t>
            </w:r>
          </w:p>
        </w:tc>
        <w:tc>
          <w:tcPr>
            <w:tcW w:w="0" w:type="auto"/>
            <w:shd w:val="clear" w:color="auto" w:fill="auto"/>
            <w:vAlign w:val="center"/>
          </w:tcPr>
          <w:p w:rsidR="00F26175" w:rsidRPr="00A556BD" w:rsidRDefault="00F26175" w:rsidP="00F26175">
            <w:pPr>
              <w:jc w:val="both"/>
              <w:rPr>
                <w:rFonts w:cs="Arial"/>
                <w:sz w:val="18"/>
                <w:szCs w:val="18"/>
              </w:rPr>
            </w:pPr>
            <w:r w:rsidRPr="00A556BD">
              <w:rPr>
                <w:rFonts w:cs="Arial"/>
                <w:sz w:val="18"/>
                <w:szCs w:val="18"/>
                <w:u w:val="single"/>
              </w:rPr>
              <w:t>https://www.datos.gov.co/Inclusi-n-Social-y-Reconciliaci-n/PUNTOS-DISTRIBUCI-N-BIENESTARINA-ICBF/7ma2-sghf</w:t>
            </w:r>
          </w:p>
        </w:tc>
      </w:tr>
      <w:tr w:rsidR="00F26175" w:rsidRPr="00A556BD" w:rsidTr="00A556BD">
        <w:trPr>
          <w:trHeight w:val="400"/>
        </w:trPr>
        <w:tc>
          <w:tcPr>
            <w:tcW w:w="0" w:type="auto"/>
            <w:shd w:val="clear" w:color="auto" w:fill="auto"/>
            <w:vAlign w:val="center"/>
          </w:tcPr>
          <w:p w:rsidR="00F26175" w:rsidRPr="00A556BD" w:rsidRDefault="00F26175" w:rsidP="00381352">
            <w:pPr>
              <w:jc w:val="center"/>
              <w:rPr>
                <w:rFonts w:cs="Arial"/>
                <w:sz w:val="18"/>
                <w:szCs w:val="18"/>
              </w:rPr>
            </w:pPr>
            <w:r w:rsidRPr="00A556BD">
              <w:rPr>
                <w:rFonts w:cs="Arial"/>
                <w:sz w:val="18"/>
                <w:szCs w:val="18"/>
              </w:rPr>
              <w:t>2</w:t>
            </w:r>
          </w:p>
        </w:tc>
        <w:tc>
          <w:tcPr>
            <w:tcW w:w="0" w:type="auto"/>
            <w:shd w:val="clear" w:color="auto" w:fill="auto"/>
            <w:vAlign w:val="center"/>
          </w:tcPr>
          <w:p w:rsidR="00F26175" w:rsidRPr="00A556BD" w:rsidRDefault="00F26175" w:rsidP="00F26175">
            <w:pPr>
              <w:jc w:val="both"/>
              <w:rPr>
                <w:rFonts w:cs="Arial"/>
                <w:sz w:val="18"/>
                <w:szCs w:val="18"/>
              </w:rPr>
            </w:pPr>
            <w:r w:rsidRPr="00A556BD">
              <w:rPr>
                <w:rFonts w:cs="Arial"/>
                <w:sz w:val="18"/>
                <w:szCs w:val="18"/>
              </w:rPr>
              <w:t xml:space="preserve">PQRDS - ICBF Segundo Semestre 2016 </w:t>
            </w:r>
          </w:p>
        </w:tc>
        <w:tc>
          <w:tcPr>
            <w:tcW w:w="0" w:type="auto"/>
            <w:shd w:val="clear" w:color="auto" w:fill="auto"/>
            <w:vAlign w:val="center"/>
          </w:tcPr>
          <w:p w:rsidR="00F26175" w:rsidRPr="00A556BD" w:rsidRDefault="00F26175" w:rsidP="00F26175">
            <w:pPr>
              <w:jc w:val="both"/>
              <w:rPr>
                <w:rFonts w:cs="Arial"/>
                <w:sz w:val="18"/>
                <w:szCs w:val="18"/>
              </w:rPr>
            </w:pPr>
            <w:r w:rsidRPr="00A556BD">
              <w:rPr>
                <w:rFonts w:cs="Arial"/>
                <w:sz w:val="18"/>
                <w:szCs w:val="18"/>
                <w:u w:val="single"/>
              </w:rPr>
              <w:t>https://www.datos.gov.co/Inclusi-n-Social-y-Reconciliaci-n/PQRDS-ICBF-Segundo-Semestre-2016/r4ge-mnpk</w:t>
            </w:r>
          </w:p>
        </w:tc>
      </w:tr>
      <w:tr w:rsidR="00F26175" w:rsidRPr="00A556BD" w:rsidTr="00A556BD">
        <w:trPr>
          <w:trHeight w:val="400"/>
        </w:trPr>
        <w:tc>
          <w:tcPr>
            <w:tcW w:w="0" w:type="auto"/>
            <w:shd w:val="clear" w:color="auto" w:fill="auto"/>
            <w:vAlign w:val="center"/>
          </w:tcPr>
          <w:p w:rsidR="00F26175" w:rsidRPr="00A556BD" w:rsidRDefault="00F26175" w:rsidP="00381352">
            <w:pPr>
              <w:jc w:val="center"/>
              <w:rPr>
                <w:rFonts w:cs="Arial"/>
                <w:sz w:val="18"/>
                <w:szCs w:val="18"/>
              </w:rPr>
            </w:pPr>
            <w:r w:rsidRPr="00A556BD">
              <w:rPr>
                <w:rFonts w:cs="Arial"/>
                <w:sz w:val="18"/>
                <w:szCs w:val="18"/>
              </w:rPr>
              <w:t>3</w:t>
            </w:r>
          </w:p>
        </w:tc>
        <w:tc>
          <w:tcPr>
            <w:tcW w:w="0" w:type="auto"/>
            <w:shd w:val="clear" w:color="auto" w:fill="auto"/>
            <w:vAlign w:val="center"/>
          </w:tcPr>
          <w:p w:rsidR="00F26175" w:rsidRPr="00A556BD" w:rsidRDefault="00F26175" w:rsidP="00F26175">
            <w:pPr>
              <w:jc w:val="both"/>
              <w:rPr>
                <w:rFonts w:cs="Arial"/>
                <w:sz w:val="18"/>
                <w:szCs w:val="18"/>
              </w:rPr>
            </w:pPr>
            <w:r w:rsidRPr="00A556BD">
              <w:rPr>
                <w:rFonts w:cs="Arial"/>
                <w:sz w:val="18"/>
                <w:szCs w:val="18"/>
              </w:rPr>
              <w:t xml:space="preserve">PQRDS - ICBF Primer Semestre 2016 </w:t>
            </w:r>
          </w:p>
        </w:tc>
        <w:tc>
          <w:tcPr>
            <w:tcW w:w="0" w:type="auto"/>
            <w:shd w:val="clear" w:color="auto" w:fill="auto"/>
            <w:vAlign w:val="center"/>
          </w:tcPr>
          <w:p w:rsidR="00F26175" w:rsidRPr="00A556BD" w:rsidRDefault="00F26175" w:rsidP="00F26175">
            <w:pPr>
              <w:jc w:val="both"/>
              <w:rPr>
                <w:rFonts w:cs="Arial"/>
                <w:sz w:val="18"/>
                <w:szCs w:val="18"/>
              </w:rPr>
            </w:pPr>
            <w:r w:rsidRPr="00A556BD">
              <w:rPr>
                <w:rFonts w:cs="Arial"/>
                <w:sz w:val="18"/>
                <w:szCs w:val="18"/>
                <w:u w:val="single"/>
              </w:rPr>
              <w:t>https://www.datos.gov.co/Inclusi-n-Social-y-Reconciliaci-n/PQRDS-ICBF-Primer-Semestre-2016/hk9x-yfzp</w:t>
            </w:r>
          </w:p>
        </w:tc>
      </w:tr>
      <w:tr w:rsidR="00F26175" w:rsidRPr="00A556BD" w:rsidTr="00A556BD">
        <w:trPr>
          <w:trHeight w:val="400"/>
        </w:trPr>
        <w:tc>
          <w:tcPr>
            <w:tcW w:w="0" w:type="auto"/>
            <w:shd w:val="clear" w:color="auto" w:fill="auto"/>
            <w:vAlign w:val="center"/>
          </w:tcPr>
          <w:p w:rsidR="00F26175" w:rsidRPr="00A556BD" w:rsidRDefault="00F26175" w:rsidP="00381352">
            <w:pPr>
              <w:jc w:val="center"/>
              <w:rPr>
                <w:rFonts w:cs="Arial"/>
                <w:sz w:val="18"/>
                <w:szCs w:val="18"/>
              </w:rPr>
            </w:pPr>
            <w:r w:rsidRPr="00A556BD">
              <w:rPr>
                <w:rFonts w:cs="Arial"/>
                <w:sz w:val="18"/>
                <w:szCs w:val="18"/>
              </w:rPr>
              <w:t>4</w:t>
            </w:r>
          </w:p>
        </w:tc>
        <w:tc>
          <w:tcPr>
            <w:tcW w:w="0" w:type="auto"/>
            <w:shd w:val="clear" w:color="auto" w:fill="auto"/>
            <w:vAlign w:val="center"/>
          </w:tcPr>
          <w:p w:rsidR="00F26175" w:rsidRPr="00A556BD" w:rsidRDefault="00F26175" w:rsidP="00F26175">
            <w:pPr>
              <w:jc w:val="both"/>
              <w:rPr>
                <w:rFonts w:cs="Arial"/>
                <w:sz w:val="18"/>
                <w:szCs w:val="18"/>
              </w:rPr>
            </w:pPr>
            <w:r w:rsidRPr="00A556BD">
              <w:rPr>
                <w:rFonts w:cs="Arial"/>
                <w:sz w:val="18"/>
                <w:szCs w:val="18"/>
              </w:rPr>
              <w:t xml:space="preserve">Caracterización Peticionarios ICBF segundo Semestre 2016 </w:t>
            </w:r>
          </w:p>
        </w:tc>
        <w:tc>
          <w:tcPr>
            <w:tcW w:w="0" w:type="auto"/>
            <w:shd w:val="clear" w:color="auto" w:fill="auto"/>
            <w:vAlign w:val="center"/>
          </w:tcPr>
          <w:p w:rsidR="00F26175" w:rsidRPr="00A556BD" w:rsidRDefault="00F26175" w:rsidP="00F26175">
            <w:pPr>
              <w:jc w:val="both"/>
              <w:rPr>
                <w:rFonts w:cs="Arial"/>
                <w:sz w:val="18"/>
                <w:szCs w:val="18"/>
              </w:rPr>
            </w:pPr>
            <w:r w:rsidRPr="00A556BD">
              <w:rPr>
                <w:rFonts w:cs="Arial"/>
                <w:sz w:val="18"/>
                <w:szCs w:val="18"/>
                <w:u w:val="single"/>
              </w:rPr>
              <w:t>https://www.datos.gov.co/Inclusi-n-Social-y-Reconciliaci-n/Caracterizaci-n-Peticionarios-ICBF-segundo-Semestr/364y-iunv</w:t>
            </w:r>
          </w:p>
        </w:tc>
      </w:tr>
      <w:tr w:rsidR="00F26175" w:rsidRPr="00A556BD" w:rsidTr="00A556BD">
        <w:trPr>
          <w:trHeight w:val="400"/>
        </w:trPr>
        <w:tc>
          <w:tcPr>
            <w:tcW w:w="0" w:type="auto"/>
            <w:shd w:val="clear" w:color="auto" w:fill="auto"/>
            <w:vAlign w:val="center"/>
          </w:tcPr>
          <w:p w:rsidR="00F26175" w:rsidRPr="00A556BD" w:rsidRDefault="00F26175" w:rsidP="00381352">
            <w:pPr>
              <w:jc w:val="center"/>
              <w:rPr>
                <w:rFonts w:cs="Arial"/>
                <w:sz w:val="18"/>
                <w:szCs w:val="18"/>
              </w:rPr>
            </w:pPr>
            <w:r w:rsidRPr="00A556BD">
              <w:rPr>
                <w:rFonts w:cs="Arial"/>
                <w:sz w:val="18"/>
                <w:szCs w:val="18"/>
              </w:rPr>
              <w:t>5</w:t>
            </w:r>
          </w:p>
        </w:tc>
        <w:tc>
          <w:tcPr>
            <w:tcW w:w="0" w:type="auto"/>
            <w:shd w:val="clear" w:color="auto" w:fill="auto"/>
            <w:vAlign w:val="center"/>
          </w:tcPr>
          <w:p w:rsidR="00F26175" w:rsidRPr="00A556BD" w:rsidRDefault="00F26175" w:rsidP="00F26175">
            <w:pPr>
              <w:jc w:val="both"/>
              <w:rPr>
                <w:rFonts w:cs="Arial"/>
                <w:sz w:val="18"/>
                <w:szCs w:val="18"/>
              </w:rPr>
            </w:pPr>
            <w:r w:rsidRPr="00A556BD">
              <w:rPr>
                <w:rFonts w:cs="Arial"/>
                <w:sz w:val="18"/>
                <w:szCs w:val="18"/>
              </w:rPr>
              <w:t>Enlaces de Documentos de Guías Alimentarias ICBF</w:t>
            </w:r>
          </w:p>
        </w:tc>
        <w:tc>
          <w:tcPr>
            <w:tcW w:w="0" w:type="auto"/>
            <w:shd w:val="clear" w:color="auto" w:fill="auto"/>
            <w:vAlign w:val="center"/>
          </w:tcPr>
          <w:p w:rsidR="00F26175" w:rsidRPr="00A556BD" w:rsidRDefault="00F26175" w:rsidP="00F26175">
            <w:pPr>
              <w:jc w:val="both"/>
              <w:rPr>
                <w:rFonts w:cs="Arial"/>
                <w:sz w:val="18"/>
                <w:szCs w:val="18"/>
                <w:u w:val="single"/>
              </w:rPr>
            </w:pPr>
            <w:r w:rsidRPr="00A556BD">
              <w:rPr>
                <w:rFonts w:cs="Arial"/>
                <w:sz w:val="18"/>
                <w:szCs w:val="18"/>
                <w:u w:val="single"/>
              </w:rPr>
              <w:t>https://www.datos.gov.co/Inclusi-n-Social-y-Reconciliaci-n/Gu-as-Alimentarias/4zp7-7zye</w:t>
            </w:r>
          </w:p>
        </w:tc>
      </w:tr>
      <w:tr w:rsidR="00F26175" w:rsidRPr="00A556BD" w:rsidTr="00A556BD">
        <w:trPr>
          <w:trHeight w:val="400"/>
        </w:trPr>
        <w:tc>
          <w:tcPr>
            <w:tcW w:w="0" w:type="auto"/>
            <w:shd w:val="clear" w:color="auto" w:fill="auto"/>
            <w:vAlign w:val="center"/>
          </w:tcPr>
          <w:p w:rsidR="00F26175" w:rsidRPr="00A556BD" w:rsidRDefault="00F26175" w:rsidP="00381352">
            <w:pPr>
              <w:jc w:val="center"/>
              <w:rPr>
                <w:rFonts w:cs="Arial"/>
                <w:sz w:val="18"/>
                <w:szCs w:val="18"/>
              </w:rPr>
            </w:pPr>
            <w:r w:rsidRPr="00A556BD">
              <w:rPr>
                <w:rFonts w:cs="Arial"/>
                <w:sz w:val="18"/>
                <w:szCs w:val="18"/>
              </w:rPr>
              <w:t>6</w:t>
            </w:r>
          </w:p>
        </w:tc>
        <w:tc>
          <w:tcPr>
            <w:tcW w:w="0" w:type="auto"/>
            <w:shd w:val="clear" w:color="auto" w:fill="auto"/>
            <w:vAlign w:val="center"/>
          </w:tcPr>
          <w:p w:rsidR="00F26175" w:rsidRPr="00A556BD" w:rsidRDefault="00F26175" w:rsidP="00F26175">
            <w:pPr>
              <w:jc w:val="both"/>
              <w:rPr>
                <w:rFonts w:cs="Arial"/>
                <w:sz w:val="18"/>
                <w:szCs w:val="18"/>
              </w:rPr>
            </w:pPr>
            <w:r w:rsidRPr="00A556BD">
              <w:rPr>
                <w:rFonts w:cs="Arial"/>
                <w:sz w:val="18"/>
                <w:szCs w:val="18"/>
              </w:rPr>
              <w:t>Operadores De Hogares De Bienestar Del ICBF 2016</w:t>
            </w:r>
          </w:p>
        </w:tc>
        <w:tc>
          <w:tcPr>
            <w:tcW w:w="0" w:type="auto"/>
            <w:shd w:val="clear" w:color="auto" w:fill="auto"/>
            <w:vAlign w:val="center"/>
          </w:tcPr>
          <w:p w:rsidR="00F26175" w:rsidRPr="00A556BD" w:rsidRDefault="00F26175" w:rsidP="00F26175">
            <w:pPr>
              <w:jc w:val="both"/>
              <w:rPr>
                <w:rFonts w:cs="Arial"/>
                <w:sz w:val="18"/>
                <w:szCs w:val="18"/>
                <w:u w:val="single"/>
              </w:rPr>
            </w:pPr>
            <w:r w:rsidRPr="00A556BD">
              <w:rPr>
                <w:rFonts w:cs="Arial"/>
                <w:sz w:val="18"/>
                <w:szCs w:val="18"/>
                <w:u w:val="single"/>
              </w:rPr>
              <w:t>https://www.datos.gov.co/Inclusi-n-Social-y-Reconciliaci-n/Operadores-De-Hogares-De-Bienestar-Del-ICBF-2016/rmtw-ay3q</w:t>
            </w:r>
          </w:p>
        </w:tc>
      </w:tr>
      <w:tr w:rsidR="00F26175" w:rsidRPr="00A556BD" w:rsidTr="00A556BD">
        <w:trPr>
          <w:trHeight w:val="400"/>
        </w:trPr>
        <w:tc>
          <w:tcPr>
            <w:tcW w:w="0" w:type="auto"/>
            <w:shd w:val="clear" w:color="auto" w:fill="auto"/>
            <w:vAlign w:val="center"/>
          </w:tcPr>
          <w:p w:rsidR="00F26175" w:rsidRPr="00A556BD" w:rsidRDefault="00F26175" w:rsidP="00381352">
            <w:pPr>
              <w:jc w:val="center"/>
              <w:rPr>
                <w:rFonts w:cs="Arial"/>
                <w:sz w:val="18"/>
                <w:szCs w:val="18"/>
              </w:rPr>
            </w:pPr>
            <w:r w:rsidRPr="00A556BD">
              <w:rPr>
                <w:rFonts w:cs="Arial"/>
                <w:sz w:val="18"/>
                <w:szCs w:val="18"/>
              </w:rPr>
              <w:t>7</w:t>
            </w:r>
          </w:p>
        </w:tc>
        <w:tc>
          <w:tcPr>
            <w:tcW w:w="0" w:type="auto"/>
            <w:shd w:val="clear" w:color="auto" w:fill="auto"/>
            <w:vAlign w:val="center"/>
          </w:tcPr>
          <w:p w:rsidR="00F26175" w:rsidRPr="00A556BD" w:rsidRDefault="00F26175" w:rsidP="00F26175">
            <w:pPr>
              <w:jc w:val="both"/>
              <w:rPr>
                <w:rFonts w:cs="Arial"/>
                <w:sz w:val="18"/>
                <w:szCs w:val="18"/>
              </w:rPr>
            </w:pPr>
            <w:r w:rsidRPr="00A556BD">
              <w:rPr>
                <w:rFonts w:cs="Arial"/>
                <w:sz w:val="18"/>
                <w:szCs w:val="18"/>
              </w:rPr>
              <w:t>Preguntas Frecuentes sobre el Restablecimiento de Derechos de Niños, Niñas y Adolescentes 2016</w:t>
            </w:r>
          </w:p>
        </w:tc>
        <w:tc>
          <w:tcPr>
            <w:tcW w:w="0" w:type="auto"/>
            <w:shd w:val="clear" w:color="auto" w:fill="auto"/>
            <w:vAlign w:val="center"/>
          </w:tcPr>
          <w:p w:rsidR="00F26175" w:rsidRPr="00A556BD" w:rsidRDefault="00F26175" w:rsidP="00F26175">
            <w:pPr>
              <w:jc w:val="both"/>
              <w:rPr>
                <w:rFonts w:cs="Arial"/>
                <w:sz w:val="18"/>
                <w:szCs w:val="18"/>
                <w:u w:val="single"/>
              </w:rPr>
            </w:pPr>
            <w:r w:rsidRPr="00A556BD">
              <w:rPr>
                <w:rFonts w:cs="Arial"/>
                <w:sz w:val="18"/>
                <w:szCs w:val="18"/>
                <w:u w:val="single"/>
              </w:rPr>
              <w:t>https://www.datos.gov.co/Inclusi-n-Social-y-Reconciliaci-n/Preguntas-Frecuentes-sobre-el-Restablecimiento-de-/tajh-7vxt</w:t>
            </w:r>
          </w:p>
        </w:tc>
      </w:tr>
      <w:tr w:rsidR="00F26175" w:rsidRPr="00A556BD" w:rsidTr="00A556BD">
        <w:trPr>
          <w:trHeight w:val="400"/>
        </w:trPr>
        <w:tc>
          <w:tcPr>
            <w:tcW w:w="0" w:type="auto"/>
            <w:shd w:val="clear" w:color="auto" w:fill="auto"/>
            <w:vAlign w:val="center"/>
          </w:tcPr>
          <w:p w:rsidR="00F26175" w:rsidRPr="00A556BD" w:rsidRDefault="00F26175" w:rsidP="00381352">
            <w:pPr>
              <w:jc w:val="center"/>
              <w:rPr>
                <w:rFonts w:cs="Arial"/>
                <w:sz w:val="18"/>
                <w:szCs w:val="18"/>
              </w:rPr>
            </w:pPr>
            <w:r w:rsidRPr="00A556BD">
              <w:rPr>
                <w:rFonts w:cs="Arial"/>
                <w:sz w:val="18"/>
                <w:szCs w:val="18"/>
              </w:rPr>
              <w:t>8</w:t>
            </w:r>
          </w:p>
        </w:tc>
        <w:tc>
          <w:tcPr>
            <w:tcW w:w="0" w:type="auto"/>
            <w:shd w:val="clear" w:color="auto" w:fill="auto"/>
            <w:vAlign w:val="center"/>
          </w:tcPr>
          <w:p w:rsidR="00F26175" w:rsidRPr="00A556BD" w:rsidRDefault="00F26175" w:rsidP="00F26175">
            <w:pPr>
              <w:jc w:val="both"/>
              <w:rPr>
                <w:rFonts w:cs="Arial"/>
                <w:sz w:val="18"/>
                <w:szCs w:val="18"/>
              </w:rPr>
            </w:pPr>
            <w:r w:rsidRPr="00A556BD">
              <w:rPr>
                <w:rFonts w:cs="Arial"/>
                <w:sz w:val="18"/>
                <w:szCs w:val="18"/>
              </w:rPr>
              <w:t xml:space="preserve">Caracterización Peticionarios ICBF Primer Semestre 2016 </w:t>
            </w:r>
          </w:p>
        </w:tc>
        <w:tc>
          <w:tcPr>
            <w:tcW w:w="0" w:type="auto"/>
            <w:shd w:val="clear" w:color="auto" w:fill="auto"/>
            <w:vAlign w:val="center"/>
          </w:tcPr>
          <w:p w:rsidR="00F26175" w:rsidRPr="00A556BD" w:rsidRDefault="00F26175" w:rsidP="00F26175">
            <w:pPr>
              <w:jc w:val="both"/>
              <w:rPr>
                <w:rFonts w:cs="Arial"/>
                <w:sz w:val="18"/>
                <w:szCs w:val="18"/>
                <w:u w:val="single"/>
              </w:rPr>
            </w:pPr>
            <w:r w:rsidRPr="00A556BD">
              <w:rPr>
                <w:rFonts w:cs="Arial"/>
                <w:sz w:val="18"/>
                <w:szCs w:val="18"/>
                <w:u w:val="single"/>
              </w:rPr>
              <w:t>https://www.datos.gov.co/Inclusi-n-Social-y-Reconciliaci-n/Caracterizaci-n-Peticionarios-ICBF-Primer-Semestre/4nti-pm3c</w:t>
            </w:r>
          </w:p>
        </w:tc>
      </w:tr>
      <w:tr w:rsidR="00F26175" w:rsidRPr="00A556BD" w:rsidTr="00A556BD">
        <w:trPr>
          <w:trHeight w:val="400"/>
        </w:trPr>
        <w:tc>
          <w:tcPr>
            <w:tcW w:w="0" w:type="auto"/>
            <w:shd w:val="clear" w:color="auto" w:fill="auto"/>
            <w:vAlign w:val="center"/>
          </w:tcPr>
          <w:p w:rsidR="00F26175" w:rsidRPr="00A556BD" w:rsidRDefault="00F26175" w:rsidP="00381352">
            <w:pPr>
              <w:jc w:val="center"/>
              <w:rPr>
                <w:rFonts w:cs="Arial"/>
                <w:sz w:val="18"/>
                <w:szCs w:val="18"/>
              </w:rPr>
            </w:pPr>
            <w:r w:rsidRPr="00A556BD">
              <w:rPr>
                <w:rFonts w:cs="Arial"/>
                <w:sz w:val="18"/>
                <w:szCs w:val="18"/>
              </w:rPr>
              <w:t>9</w:t>
            </w:r>
          </w:p>
        </w:tc>
        <w:tc>
          <w:tcPr>
            <w:tcW w:w="0" w:type="auto"/>
            <w:shd w:val="clear" w:color="auto" w:fill="auto"/>
            <w:vAlign w:val="center"/>
          </w:tcPr>
          <w:p w:rsidR="00F26175" w:rsidRPr="00A556BD" w:rsidRDefault="00F26175" w:rsidP="00F26175">
            <w:pPr>
              <w:jc w:val="both"/>
              <w:rPr>
                <w:rFonts w:cs="Arial"/>
                <w:sz w:val="18"/>
                <w:szCs w:val="18"/>
              </w:rPr>
            </w:pPr>
            <w:r w:rsidRPr="00A556BD">
              <w:rPr>
                <w:rFonts w:cs="Arial"/>
                <w:sz w:val="18"/>
                <w:szCs w:val="18"/>
              </w:rPr>
              <w:t xml:space="preserve">Portafolio de Servicios Subdirección Restablecimiento Derechos </w:t>
            </w:r>
          </w:p>
        </w:tc>
        <w:tc>
          <w:tcPr>
            <w:tcW w:w="0" w:type="auto"/>
            <w:shd w:val="clear" w:color="auto" w:fill="auto"/>
            <w:vAlign w:val="center"/>
          </w:tcPr>
          <w:p w:rsidR="00F26175" w:rsidRPr="00A556BD" w:rsidRDefault="00F26175" w:rsidP="00F26175">
            <w:pPr>
              <w:jc w:val="both"/>
              <w:rPr>
                <w:rFonts w:cs="Arial"/>
                <w:sz w:val="18"/>
                <w:szCs w:val="18"/>
                <w:u w:val="single"/>
              </w:rPr>
            </w:pPr>
            <w:r w:rsidRPr="00A556BD">
              <w:rPr>
                <w:rFonts w:cs="Arial"/>
                <w:sz w:val="18"/>
                <w:szCs w:val="18"/>
                <w:u w:val="single"/>
              </w:rPr>
              <w:t xml:space="preserve">https://www.datos.gov.co/Inclusi-n-Social-y-Reconciliaci-n/Portafolio-de-Servicios-Subdirecci-n-Restablecimie/h6h9-ithu </w:t>
            </w:r>
          </w:p>
        </w:tc>
      </w:tr>
      <w:tr w:rsidR="00F26175" w:rsidRPr="00A556BD" w:rsidTr="00A556BD">
        <w:trPr>
          <w:trHeight w:val="400"/>
        </w:trPr>
        <w:tc>
          <w:tcPr>
            <w:tcW w:w="0" w:type="auto"/>
            <w:shd w:val="clear" w:color="auto" w:fill="auto"/>
            <w:vAlign w:val="center"/>
          </w:tcPr>
          <w:p w:rsidR="00F26175" w:rsidRPr="00A556BD" w:rsidRDefault="00F26175" w:rsidP="00381352">
            <w:pPr>
              <w:jc w:val="center"/>
              <w:rPr>
                <w:rFonts w:cs="Arial"/>
                <w:sz w:val="18"/>
                <w:szCs w:val="18"/>
              </w:rPr>
            </w:pPr>
            <w:r w:rsidRPr="00A556BD">
              <w:rPr>
                <w:rFonts w:cs="Arial"/>
                <w:sz w:val="18"/>
                <w:szCs w:val="18"/>
              </w:rPr>
              <w:t>10</w:t>
            </w:r>
          </w:p>
        </w:tc>
        <w:tc>
          <w:tcPr>
            <w:tcW w:w="0" w:type="auto"/>
            <w:shd w:val="clear" w:color="auto" w:fill="auto"/>
            <w:vAlign w:val="center"/>
          </w:tcPr>
          <w:p w:rsidR="00F26175" w:rsidRPr="00A556BD" w:rsidRDefault="00F26175" w:rsidP="00F26175">
            <w:pPr>
              <w:jc w:val="both"/>
              <w:rPr>
                <w:rFonts w:cs="Arial"/>
                <w:sz w:val="18"/>
                <w:szCs w:val="18"/>
              </w:rPr>
            </w:pPr>
            <w:r w:rsidRPr="00A556BD">
              <w:rPr>
                <w:rFonts w:cs="Arial"/>
                <w:sz w:val="18"/>
                <w:szCs w:val="18"/>
              </w:rPr>
              <w:t>Puntos Distribución Bienestarina ICBF 2017</w:t>
            </w:r>
          </w:p>
        </w:tc>
        <w:tc>
          <w:tcPr>
            <w:tcW w:w="0" w:type="auto"/>
            <w:shd w:val="clear" w:color="auto" w:fill="auto"/>
            <w:vAlign w:val="center"/>
          </w:tcPr>
          <w:p w:rsidR="00F26175" w:rsidRPr="00A556BD" w:rsidRDefault="00F26175" w:rsidP="00F26175">
            <w:pPr>
              <w:jc w:val="both"/>
              <w:rPr>
                <w:rFonts w:cs="Arial"/>
                <w:sz w:val="18"/>
                <w:szCs w:val="18"/>
                <w:u w:val="single"/>
              </w:rPr>
            </w:pPr>
            <w:r w:rsidRPr="00A556BD">
              <w:rPr>
                <w:rFonts w:cs="Arial"/>
                <w:sz w:val="18"/>
                <w:szCs w:val="18"/>
                <w:u w:val="single"/>
              </w:rPr>
              <w:t>https://www.datos.gov.co/Inclusi-n-Social-y-Reconciliaci-n/PUNTOS-DISTRIBUCI-N-BIENESTARINA-ICBF-2017/2hge-vw38</w:t>
            </w:r>
          </w:p>
        </w:tc>
      </w:tr>
      <w:tr w:rsidR="00F26175" w:rsidRPr="00A556BD" w:rsidTr="00A556BD">
        <w:trPr>
          <w:trHeight w:val="400"/>
        </w:trPr>
        <w:tc>
          <w:tcPr>
            <w:tcW w:w="0" w:type="auto"/>
            <w:shd w:val="clear" w:color="auto" w:fill="auto"/>
            <w:vAlign w:val="center"/>
          </w:tcPr>
          <w:p w:rsidR="00F26175" w:rsidRPr="00A556BD" w:rsidRDefault="00F26175" w:rsidP="00381352">
            <w:pPr>
              <w:jc w:val="center"/>
              <w:rPr>
                <w:rFonts w:cs="Arial"/>
                <w:sz w:val="18"/>
                <w:szCs w:val="18"/>
              </w:rPr>
            </w:pPr>
            <w:r w:rsidRPr="00A556BD">
              <w:rPr>
                <w:rFonts w:cs="Arial"/>
                <w:sz w:val="18"/>
                <w:szCs w:val="18"/>
              </w:rPr>
              <w:t>11</w:t>
            </w:r>
          </w:p>
        </w:tc>
        <w:tc>
          <w:tcPr>
            <w:tcW w:w="0" w:type="auto"/>
            <w:shd w:val="clear" w:color="auto" w:fill="auto"/>
            <w:vAlign w:val="center"/>
          </w:tcPr>
          <w:p w:rsidR="00F26175" w:rsidRPr="00A556BD" w:rsidRDefault="00F26175" w:rsidP="00F26175">
            <w:pPr>
              <w:jc w:val="both"/>
              <w:rPr>
                <w:rFonts w:cs="Arial"/>
                <w:sz w:val="18"/>
                <w:szCs w:val="18"/>
              </w:rPr>
            </w:pPr>
            <w:r w:rsidRPr="00A556BD">
              <w:rPr>
                <w:rFonts w:cs="Arial"/>
                <w:sz w:val="18"/>
                <w:szCs w:val="18"/>
              </w:rPr>
              <w:t xml:space="preserve">Directorio de Puntos de servicio </w:t>
            </w:r>
          </w:p>
        </w:tc>
        <w:tc>
          <w:tcPr>
            <w:tcW w:w="0" w:type="auto"/>
            <w:shd w:val="clear" w:color="auto" w:fill="auto"/>
            <w:vAlign w:val="center"/>
          </w:tcPr>
          <w:p w:rsidR="00F26175" w:rsidRPr="00A556BD" w:rsidRDefault="00F26175" w:rsidP="00F26175">
            <w:pPr>
              <w:jc w:val="both"/>
              <w:rPr>
                <w:rFonts w:cs="Arial"/>
                <w:sz w:val="18"/>
                <w:szCs w:val="18"/>
                <w:u w:val="single"/>
              </w:rPr>
            </w:pPr>
            <w:r w:rsidRPr="00A556BD">
              <w:rPr>
                <w:rFonts w:cs="Arial"/>
                <w:sz w:val="18"/>
                <w:szCs w:val="18"/>
                <w:u w:val="single"/>
              </w:rPr>
              <w:t>https://www.datos.gov.co/Inclusi-n-Social-y-Reconciliaci-n/DIRECTORIO-PUNTOS-DE-SERVICIO-ICBF/55vk-hs82</w:t>
            </w:r>
          </w:p>
        </w:tc>
      </w:tr>
      <w:tr w:rsidR="00F26175" w:rsidRPr="00A556BD" w:rsidTr="00A556BD">
        <w:trPr>
          <w:trHeight w:val="400"/>
        </w:trPr>
        <w:tc>
          <w:tcPr>
            <w:tcW w:w="0" w:type="auto"/>
            <w:shd w:val="clear" w:color="auto" w:fill="auto"/>
            <w:vAlign w:val="center"/>
          </w:tcPr>
          <w:p w:rsidR="00F26175" w:rsidRPr="00A556BD" w:rsidRDefault="00F26175" w:rsidP="00381352">
            <w:pPr>
              <w:jc w:val="center"/>
              <w:rPr>
                <w:rFonts w:cs="Arial"/>
                <w:sz w:val="18"/>
                <w:szCs w:val="18"/>
              </w:rPr>
            </w:pPr>
            <w:r w:rsidRPr="00A556BD">
              <w:rPr>
                <w:rFonts w:cs="Arial"/>
                <w:sz w:val="18"/>
                <w:szCs w:val="18"/>
              </w:rPr>
              <w:t>12</w:t>
            </w:r>
          </w:p>
        </w:tc>
        <w:tc>
          <w:tcPr>
            <w:tcW w:w="0" w:type="auto"/>
            <w:shd w:val="clear" w:color="auto" w:fill="auto"/>
            <w:vAlign w:val="center"/>
          </w:tcPr>
          <w:p w:rsidR="00F26175" w:rsidRPr="00A556BD" w:rsidRDefault="00F26175" w:rsidP="00F26175">
            <w:pPr>
              <w:jc w:val="both"/>
              <w:rPr>
                <w:rFonts w:cs="Arial"/>
                <w:sz w:val="18"/>
                <w:szCs w:val="18"/>
              </w:rPr>
            </w:pPr>
            <w:r w:rsidRPr="00A556BD">
              <w:rPr>
                <w:rFonts w:cs="Arial"/>
                <w:sz w:val="18"/>
                <w:szCs w:val="18"/>
              </w:rPr>
              <w:t>Registro de Activos de Información ICBF 2017</w:t>
            </w:r>
          </w:p>
        </w:tc>
        <w:tc>
          <w:tcPr>
            <w:tcW w:w="0" w:type="auto"/>
            <w:shd w:val="clear" w:color="auto" w:fill="auto"/>
            <w:vAlign w:val="center"/>
          </w:tcPr>
          <w:p w:rsidR="00F26175" w:rsidRPr="00A556BD" w:rsidRDefault="00F26175" w:rsidP="00F26175">
            <w:pPr>
              <w:jc w:val="both"/>
              <w:rPr>
                <w:rFonts w:cs="Arial"/>
                <w:sz w:val="18"/>
                <w:szCs w:val="18"/>
                <w:u w:val="single"/>
              </w:rPr>
            </w:pPr>
            <w:r w:rsidRPr="00A556BD">
              <w:rPr>
                <w:rFonts w:cs="Arial"/>
                <w:sz w:val="18"/>
                <w:szCs w:val="18"/>
                <w:u w:val="single"/>
              </w:rPr>
              <w:t>https://www.datos.gov.co/Inclusi-n-Social-y-Reconciliaci-n/Registro-de-Activos-de-Informaci-n-ICBF-2016/8f4k-27mm</w:t>
            </w:r>
          </w:p>
        </w:tc>
      </w:tr>
      <w:tr w:rsidR="00F26175" w:rsidRPr="00A556BD" w:rsidTr="00A556BD">
        <w:trPr>
          <w:trHeight w:val="400"/>
        </w:trPr>
        <w:tc>
          <w:tcPr>
            <w:tcW w:w="0" w:type="auto"/>
            <w:shd w:val="clear" w:color="auto" w:fill="auto"/>
            <w:vAlign w:val="center"/>
          </w:tcPr>
          <w:p w:rsidR="00F26175" w:rsidRPr="00A556BD" w:rsidRDefault="00F26175" w:rsidP="00381352">
            <w:pPr>
              <w:jc w:val="center"/>
              <w:rPr>
                <w:rFonts w:cs="Arial"/>
                <w:sz w:val="18"/>
                <w:szCs w:val="18"/>
              </w:rPr>
            </w:pPr>
            <w:r w:rsidRPr="00A556BD">
              <w:rPr>
                <w:rFonts w:cs="Arial"/>
                <w:sz w:val="18"/>
                <w:szCs w:val="18"/>
              </w:rPr>
              <w:t>13</w:t>
            </w:r>
          </w:p>
        </w:tc>
        <w:tc>
          <w:tcPr>
            <w:tcW w:w="0" w:type="auto"/>
            <w:shd w:val="clear" w:color="auto" w:fill="auto"/>
            <w:vAlign w:val="center"/>
          </w:tcPr>
          <w:p w:rsidR="00F26175" w:rsidRPr="00A556BD" w:rsidRDefault="00F26175" w:rsidP="00F26175">
            <w:pPr>
              <w:jc w:val="both"/>
              <w:rPr>
                <w:rFonts w:cs="Arial"/>
                <w:sz w:val="18"/>
                <w:szCs w:val="18"/>
              </w:rPr>
            </w:pPr>
            <w:r w:rsidRPr="00A556BD">
              <w:rPr>
                <w:rFonts w:cs="Arial"/>
                <w:sz w:val="18"/>
                <w:szCs w:val="18"/>
              </w:rPr>
              <w:t>Caracterización Peticionarios ICBF 2017</w:t>
            </w:r>
          </w:p>
        </w:tc>
        <w:tc>
          <w:tcPr>
            <w:tcW w:w="0" w:type="auto"/>
            <w:shd w:val="clear" w:color="auto" w:fill="auto"/>
            <w:vAlign w:val="center"/>
          </w:tcPr>
          <w:p w:rsidR="00F26175" w:rsidRPr="00A556BD" w:rsidRDefault="00F26175" w:rsidP="00F26175">
            <w:pPr>
              <w:jc w:val="both"/>
              <w:rPr>
                <w:rFonts w:cs="Arial"/>
                <w:sz w:val="18"/>
                <w:szCs w:val="18"/>
                <w:u w:val="single"/>
              </w:rPr>
            </w:pPr>
            <w:r w:rsidRPr="00A556BD">
              <w:rPr>
                <w:rFonts w:cs="Arial"/>
                <w:sz w:val="18"/>
                <w:szCs w:val="18"/>
                <w:u w:val="single"/>
              </w:rPr>
              <w:t>https://www.datos.gov.co/Inclusi-n-Social-y-Reconciliaci-n/Caracterizaci-n-Peticionarios-ICBF-2017/maam-nqqe</w:t>
            </w:r>
          </w:p>
        </w:tc>
      </w:tr>
      <w:tr w:rsidR="00F26175" w:rsidRPr="00A556BD" w:rsidTr="00A556BD">
        <w:trPr>
          <w:trHeight w:val="400"/>
        </w:trPr>
        <w:tc>
          <w:tcPr>
            <w:tcW w:w="0" w:type="auto"/>
            <w:shd w:val="clear" w:color="auto" w:fill="auto"/>
            <w:vAlign w:val="center"/>
          </w:tcPr>
          <w:p w:rsidR="00F26175" w:rsidRPr="00A556BD" w:rsidRDefault="00F26175" w:rsidP="00381352">
            <w:pPr>
              <w:jc w:val="center"/>
              <w:rPr>
                <w:rFonts w:cs="Arial"/>
                <w:sz w:val="18"/>
                <w:szCs w:val="18"/>
              </w:rPr>
            </w:pPr>
            <w:r w:rsidRPr="00A556BD">
              <w:rPr>
                <w:rFonts w:cs="Arial"/>
                <w:sz w:val="18"/>
                <w:szCs w:val="18"/>
              </w:rPr>
              <w:t>14</w:t>
            </w:r>
          </w:p>
        </w:tc>
        <w:tc>
          <w:tcPr>
            <w:tcW w:w="0" w:type="auto"/>
            <w:shd w:val="clear" w:color="auto" w:fill="auto"/>
            <w:vAlign w:val="center"/>
          </w:tcPr>
          <w:p w:rsidR="00F26175" w:rsidRPr="00A556BD" w:rsidRDefault="00F26175" w:rsidP="00F26175">
            <w:pPr>
              <w:jc w:val="both"/>
              <w:rPr>
                <w:rFonts w:cs="Arial"/>
                <w:sz w:val="18"/>
                <w:szCs w:val="18"/>
              </w:rPr>
            </w:pPr>
            <w:r w:rsidRPr="00A556BD">
              <w:rPr>
                <w:rFonts w:cs="Arial"/>
                <w:sz w:val="18"/>
                <w:szCs w:val="18"/>
              </w:rPr>
              <w:t>Esquema de Vacunación de Niños y Niñas en Atención Integral</w:t>
            </w:r>
          </w:p>
        </w:tc>
        <w:tc>
          <w:tcPr>
            <w:tcW w:w="0" w:type="auto"/>
            <w:shd w:val="clear" w:color="auto" w:fill="auto"/>
            <w:vAlign w:val="center"/>
          </w:tcPr>
          <w:p w:rsidR="00F26175" w:rsidRPr="00A556BD" w:rsidRDefault="00F26175" w:rsidP="00F26175">
            <w:pPr>
              <w:jc w:val="both"/>
              <w:rPr>
                <w:rFonts w:cs="Arial"/>
                <w:sz w:val="18"/>
                <w:szCs w:val="18"/>
                <w:u w:val="single"/>
              </w:rPr>
            </w:pPr>
            <w:r w:rsidRPr="00A556BD">
              <w:rPr>
                <w:rFonts w:cs="Arial"/>
                <w:sz w:val="18"/>
                <w:szCs w:val="18"/>
              </w:rPr>
              <w:t>https://www.datos.gov.co/Inclusi-n-Social-y-Reconciliaci-n/Esquema-de-Vacunaci-n-de-Ni-os-y-Ni-as-en-Atenci-n/k8wq-quj4</w:t>
            </w:r>
          </w:p>
        </w:tc>
      </w:tr>
      <w:tr w:rsidR="00F26175" w:rsidRPr="00A556BD" w:rsidTr="00A556BD">
        <w:trPr>
          <w:trHeight w:val="400"/>
        </w:trPr>
        <w:tc>
          <w:tcPr>
            <w:tcW w:w="0" w:type="auto"/>
            <w:shd w:val="clear" w:color="auto" w:fill="auto"/>
            <w:vAlign w:val="center"/>
          </w:tcPr>
          <w:p w:rsidR="00F26175" w:rsidRPr="00A556BD" w:rsidRDefault="00F26175" w:rsidP="00381352">
            <w:pPr>
              <w:jc w:val="center"/>
              <w:rPr>
                <w:rFonts w:cs="Arial"/>
                <w:sz w:val="18"/>
                <w:szCs w:val="18"/>
              </w:rPr>
            </w:pPr>
            <w:r w:rsidRPr="00A556BD">
              <w:rPr>
                <w:rFonts w:cs="Arial"/>
                <w:sz w:val="18"/>
                <w:szCs w:val="18"/>
              </w:rPr>
              <w:lastRenderedPageBreak/>
              <w:t>15</w:t>
            </w:r>
          </w:p>
        </w:tc>
        <w:tc>
          <w:tcPr>
            <w:tcW w:w="0" w:type="auto"/>
            <w:shd w:val="clear" w:color="auto" w:fill="auto"/>
            <w:vAlign w:val="center"/>
          </w:tcPr>
          <w:p w:rsidR="00F26175" w:rsidRPr="00A556BD" w:rsidRDefault="00F26175" w:rsidP="00F26175">
            <w:pPr>
              <w:jc w:val="both"/>
              <w:rPr>
                <w:rFonts w:cs="Arial"/>
                <w:sz w:val="18"/>
                <w:szCs w:val="18"/>
              </w:rPr>
            </w:pPr>
            <w:r w:rsidRPr="00A556BD">
              <w:rPr>
                <w:rFonts w:cs="Arial"/>
                <w:sz w:val="18"/>
                <w:szCs w:val="18"/>
              </w:rPr>
              <w:t>Esquema de Publicación de Información ICBF 2017</w:t>
            </w:r>
          </w:p>
        </w:tc>
        <w:tc>
          <w:tcPr>
            <w:tcW w:w="0" w:type="auto"/>
            <w:shd w:val="clear" w:color="auto" w:fill="auto"/>
            <w:vAlign w:val="center"/>
          </w:tcPr>
          <w:p w:rsidR="00F26175" w:rsidRPr="00A556BD" w:rsidRDefault="00F26175" w:rsidP="00F26175">
            <w:pPr>
              <w:jc w:val="both"/>
              <w:rPr>
                <w:rFonts w:cs="Arial"/>
                <w:sz w:val="18"/>
                <w:szCs w:val="18"/>
                <w:u w:val="single"/>
              </w:rPr>
            </w:pPr>
            <w:r w:rsidRPr="00A556BD">
              <w:rPr>
                <w:rFonts w:cs="Arial"/>
                <w:sz w:val="18"/>
                <w:szCs w:val="18"/>
                <w:u w:val="single"/>
              </w:rPr>
              <w:t>https://www.datos.gov.co/Inclusi-n-Social-y-Reconciliaci-n/Esquema-de-Publicaci-n-de-Informaci-n-ICBF-2016/8yee-miim</w:t>
            </w:r>
          </w:p>
        </w:tc>
      </w:tr>
      <w:tr w:rsidR="00F26175" w:rsidRPr="00A556BD" w:rsidTr="00A556BD">
        <w:trPr>
          <w:trHeight w:val="400"/>
        </w:trPr>
        <w:tc>
          <w:tcPr>
            <w:tcW w:w="0" w:type="auto"/>
            <w:shd w:val="clear" w:color="auto" w:fill="auto"/>
            <w:vAlign w:val="center"/>
          </w:tcPr>
          <w:p w:rsidR="00F26175" w:rsidRPr="00A556BD" w:rsidRDefault="00F26175" w:rsidP="00381352">
            <w:pPr>
              <w:jc w:val="center"/>
              <w:rPr>
                <w:rFonts w:cs="Arial"/>
                <w:sz w:val="18"/>
                <w:szCs w:val="18"/>
              </w:rPr>
            </w:pPr>
            <w:r w:rsidRPr="00A556BD">
              <w:rPr>
                <w:rFonts w:cs="Arial"/>
                <w:sz w:val="18"/>
                <w:szCs w:val="18"/>
              </w:rPr>
              <w:t>16</w:t>
            </w:r>
          </w:p>
        </w:tc>
        <w:tc>
          <w:tcPr>
            <w:tcW w:w="0" w:type="auto"/>
            <w:shd w:val="clear" w:color="auto" w:fill="auto"/>
            <w:vAlign w:val="center"/>
          </w:tcPr>
          <w:p w:rsidR="00F26175" w:rsidRPr="00A556BD" w:rsidRDefault="00F26175" w:rsidP="00F26175">
            <w:pPr>
              <w:jc w:val="both"/>
              <w:rPr>
                <w:rFonts w:cs="Arial"/>
                <w:sz w:val="18"/>
                <w:szCs w:val="18"/>
              </w:rPr>
            </w:pPr>
            <w:r w:rsidRPr="00A556BD">
              <w:rPr>
                <w:rFonts w:cs="Arial"/>
                <w:sz w:val="18"/>
                <w:szCs w:val="18"/>
              </w:rPr>
              <w:t>Patrones de Crecimiento Infantil por Peso Edad</w:t>
            </w:r>
          </w:p>
        </w:tc>
        <w:tc>
          <w:tcPr>
            <w:tcW w:w="0" w:type="auto"/>
            <w:shd w:val="clear" w:color="auto" w:fill="auto"/>
            <w:vAlign w:val="center"/>
          </w:tcPr>
          <w:p w:rsidR="00F26175" w:rsidRPr="00A556BD" w:rsidRDefault="00F26175" w:rsidP="00F26175">
            <w:pPr>
              <w:jc w:val="both"/>
              <w:rPr>
                <w:rFonts w:cs="Arial"/>
                <w:sz w:val="18"/>
                <w:szCs w:val="18"/>
                <w:u w:val="single"/>
              </w:rPr>
            </w:pPr>
            <w:r w:rsidRPr="00A556BD">
              <w:rPr>
                <w:rFonts w:cs="Arial"/>
                <w:sz w:val="18"/>
                <w:szCs w:val="18"/>
              </w:rPr>
              <w:t xml:space="preserve">https://www.datos.gov.co/Inclusi-n-Social-y-Reconciliaci-n/Patrones-de-Crecimiento-Infantil-por-Peso-Edad/74nz-3s59 </w:t>
            </w:r>
          </w:p>
        </w:tc>
      </w:tr>
      <w:tr w:rsidR="00F26175" w:rsidRPr="00A556BD" w:rsidTr="00A556BD">
        <w:trPr>
          <w:trHeight w:val="400"/>
        </w:trPr>
        <w:tc>
          <w:tcPr>
            <w:tcW w:w="0" w:type="auto"/>
            <w:shd w:val="clear" w:color="auto" w:fill="auto"/>
            <w:vAlign w:val="center"/>
          </w:tcPr>
          <w:p w:rsidR="00F26175" w:rsidRPr="00A556BD" w:rsidRDefault="00F26175" w:rsidP="00381352">
            <w:pPr>
              <w:jc w:val="center"/>
              <w:rPr>
                <w:rFonts w:cs="Arial"/>
                <w:sz w:val="18"/>
                <w:szCs w:val="18"/>
              </w:rPr>
            </w:pPr>
            <w:r w:rsidRPr="00A556BD">
              <w:rPr>
                <w:rFonts w:cs="Arial"/>
                <w:sz w:val="18"/>
                <w:szCs w:val="18"/>
              </w:rPr>
              <w:t>17</w:t>
            </w:r>
          </w:p>
        </w:tc>
        <w:tc>
          <w:tcPr>
            <w:tcW w:w="0" w:type="auto"/>
            <w:shd w:val="clear" w:color="auto" w:fill="auto"/>
            <w:vAlign w:val="center"/>
          </w:tcPr>
          <w:p w:rsidR="00F26175" w:rsidRPr="00A556BD" w:rsidRDefault="00F26175" w:rsidP="00F26175">
            <w:pPr>
              <w:jc w:val="both"/>
              <w:rPr>
                <w:rFonts w:cs="Arial"/>
                <w:sz w:val="18"/>
                <w:szCs w:val="18"/>
              </w:rPr>
            </w:pPr>
            <w:r w:rsidRPr="00A556BD">
              <w:rPr>
                <w:rFonts w:cs="Arial"/>
                <w:sz w:val="18"/>
                <w:szCs w:val="18"/>
              </w:rPr>
              <w:t>Patrones de Crecimiento Infantil por Peso Talla</w:t>
            </w:r>
          </w:p>
        </w:tc>
        <w:tc>
          <w:tcPr>
            <w:tcW w:w="0" w:type="auto"/>
            <w:shd w:val="clear" w:color="auto" w:fill="auto"/>
            <w:vAlign w:val="center"/>
          </w:tcPr>
          <w:p w:rsidR="00F26175" w:rsidRPr="00A556BD" w:rsidRDefault="00F26175" w:rsidP="00F26175">
            <w:pPr>
              <w:jc w:val="both"/>
              <w:rPr>
                <w:rFonts w:cs="Arial"/>
                <w:sz w:val="18"/>
                <w:szCs w:val="18"/>
                <w:u w:val="single"/>
              </w:rPr>
            </w:pPr>
            <w:r w:rsidRPr="00A556BD">
              <w:rPr>
                <w:rFonts w:cs="Arial"/>
                <w:sz w:val="18"/>
                <w:szCs w:val="18"/>
              </w:rPr>
              <w:t>https://www.datos.gov.co/Inclusi-n-Social-y-Reconciliaci-n/Patrones-de-Crecimiento-Infantil-por-Peso-Talla/d8sv-ypdq</w:t>
            </w:r>
          </w:p>
        </w:tc>
      </w:tr>
      <w:tr w:rsidR="00F26175" w:rsidRPr="00A556BD" w:rsidTr="00A556BD">
        <w:trPr>
          <w:trHeight w:val="400"/>
        </w:trPr>
        <w:tc>
          <w:tcPr>
            <w:tcW w:w="0" w:type="auto"/>
            <w:shd w:val="clear" w:color="auto" w:fill="auto"/>
            <w:vAlign w:val="center"/>
          </w:tcPr>
          <w:p w:rsidR="00F26175" w:rsidRPr="00A556BD" w:rsidRDefault="00F26175" w:rsidP="00381352">
            <w:pPr>
              <w:jc w:val="center"/>
              <w:rPr>
                <w:rFonts w:cs="Arial"/>
                <w:sz w:val="18"/>
                <w:szCs w:val="18"/>
              </w:rPr>
            </w:pPr>
            <w:r w:rsidRPr="00A556BD">
              <w:rPr>
                <w:rFonts w:cs="Arial"/>
                <w:sz w:val="18"/>
                <w:szCs w:val="18"/>
              </w:rPr>
              <w:t>18</w:t>
            </w:r>
          </w:p>
        </w:tc>
        <w:tc>
          <w:tcPr>
            <w:tcW w:w="0" w:type="auto"/>
            <w:shd w:val="clear" w:color="auto" w:fill="auto"/>
            <w:vAlign w:val="center"/>
          </w:tcPr>
          <w:p w:rsidR="00F26175" w:rsidRPr="00A556BD" w:rsidRDefault="00F26175" w:rsidP="00F26175">
            <w:pPr>
              <w:jc w:val="both"/>
              <w:rPr>
                <w:rFonts w:cs="Arial"/>
                <w:sz w:val="18"/>
                <w:szCs w:val="18"/>
              </w:rPr>
            </w:pPr>
            <w:r w:rsidRPr="00A556BD">
              <w:rPr>
                <w:rFonts w:cs="Arial"/>
                <w:sz w:val="18"/>
                <w:szCs w:val="18"/>
              </w:rPr>
              <w:t>Índice de Información Clasificada y Reservada ICBF 2017</w:t>
            </w:r>
          </w:p>
        </w:tc>
        <w:tc>
          <w:tcPr>
            <w:tcW w:w="0" w:type="auto"/>
            <w:shd w:val="clear" w:color="auto" w:fill="auto"/>
            <w:vAlign w:val="center"/>
          </w:tcPr>
          <w:p w:rsidR="00F26175" w:rsidRPr="00A556BD" w:rsidRDefault="00F26175" w:rsidP="00F26175">
            <w:pPr>
              <w:jc w:val="both"/>
              <w:rPr>
                <w:rFonts w:cs="Arial"/>
                <w:sz w:val="18"/>
                <w:szCs w:val="18"/>
                <w:u w:val="single"/>
              </w:rPr>
            </w:pPr>
            <w:r w:rsidRPr="00A556BD">
              <w:rPr>
                <w:rFonts w:cs="Arial"/>
                <w:sz w:val="18"/>
                <w:szCs w:val="18"/>
                <w:u w:val="single"/>
              </w:rPr>
              <w:t>https://www.datos.gov.co/Inclusi-n-Social-y-Reconciliaci-n/-ndice-de-Informaci-n-Clasificada-y-Reservada-ICBF/ydej-t67z</w:t>
            </w:r>
          </w:p>
        </w:tc>
      </w:tr>
      <w:tr w:rsidR="00F26175" w:rsidRPr="00A556BD" w:rsidTr="00A556BD">
        <w:trPr>
          <w:trHeight w:val="400"/>
        </w:trPr>
        <w:tc>
          <w:tcPr>
            <w:tcW w:w="0" w:type="auto"/>
            <w:shd w:val="clear" w:color="auto" w:fill="auto"/>
            <w:vAlign w:val="center"/>
          </w:tcPr>
          <w:p w:rsidR="00F26175" w:rsidRPr="00A556BD" w:rsidRDefault="00F26175" w:rsidP="00381352">
            <w:pPr>
              <w:jc w:val="center"/>
              <w:rPr>
                <w:rFonts w:cs="Arial"/>
                <w:sz w:val="18"/>
                <w:szCs w:val="18"/>
              </w:rPr>
            </w:pPr>
            <w:r w:rsidRPr="00A556BD">
              <w:rPr>
                <w:rFonts w:cs="Arial"/>
                <w:sz w:val="18"/>
                <w:szCs w:val="18"/>
              </w:rPr>
              <w:t>19</w:t>
            </w:r>
          </w:p>
        </w:tc>
        <w:tc>
          <w:tcPr>
            <w:tcW w:w="0" w:type="auto"/>
            <w:shd w:val="clear" w:color="auto" w:fill="auto"/>
            <w:vAlign w:val="center"/>
          </w:tcPr>
          <w:p w:rsidR="00F26175" w:rsidRPr="00A556BD" w:rsidRDefault="00F26175" w:rsidP="00F26175">
            <w:pPr>
              <w:jc w:val="both"/>
              <w:rPr>
                <w:rFonts w:cs="Arial"/>
                <w:sz w:val="18"/>
                <w:szCs w:val="18"/>
              </w:rPr>
            </w:pPr>
            <w:r w:rsidRPr="00A556BD">
              <w:rPr>
                <w:rFonts w:cs="Arial"/>
                <w:sz w:val="18"/>
                <w:szCs w:val="18"/>
              </w:rPr>
              <w:t>Relación Peso Edad Niños Primera Infancia 2016</w:t>
            </w:r>
          </w:p>
        </w:tc>
        <w:tc>
          <w:tcPr>
            <w:tcW w:w="0" w:type="auto"/>
            <w:shd w:val="clear" w:color="auto" w:fill="auto"/>
            <w:vAlign w:val="center"/>
          </w:tcPr>
          <w:p w:rsidR="00F26175" w:rsidRPr="00A556BD" w:rsidRDefault="00F26175" w:rsidP="00F26175">
            <w:pPr>
              <w:jc w:val="both"/>
              <w:rPr>
                <w:rFonts w:cs="Arial"/>
                <w:sz w:val="18"/>
                <w:szCs w:val="18"/>
                <w:u w:val="single"/>
              </w:rPr>
            </w:pPr>
            <w:r w:rsidRPr="00A556BD">
              <w:rPr>
                <w:rFonts w:cs="Arial"/>
                <w:sz w:val="18"/>
                <w:szCs w:val="18"/>
                <w:u w:val="single"/>
              </w:rPr>
              <w:t>https://www.datos.gov.co/Inclusi-n-Social-y-Reconciliaci-n/Relaci-n-Peso-Edad-Ni-os-Primera-Infancia-2016/hgcf-q3di</w:t>
            </w:r>
          </w:p>
        </w:tc>
      </w:tr>
      <w:tr w:rsidR="00F26175" w:rsidRPr="00A556BD" w:rsidTr="00A556BD">
        <w:trPr>
          <w:trHeight w:val="647"/>
        </w:trPr>
        <w:tc>
          <w:tcPr>
            <w:tcW w:w="0" w:type="auto"/>
            <w:shd w:val="clear" w:color="auto" w:fill="auto"/>
            <w:vAlign w:val="center"/>
          </w:tcPr>
          <w:p w:rsidR="00F26175" w:rsidRPr="00A556BD" w:rsidRDefault="00F26175" w:rsidP="00381352">
            <w:pPr>
              <w:jc w:val="center"/>
              <w:rPr>
                <w:rFonts w:cs="Arial"/>
                <w:sz w:val="18"/>
                <w:szCs w:val="18"/>
              </w:rPr>
            </w:pPr>
            <w:r w:rsidRPr="00A556BD">
              <w:rPr>
                <w:rFonts w:cs="Arial"/>
                <w:sz w:val="18"/>
                <w:szCs w:val="18"/>
              </w:rPr>
              <w:t>20</w:t>
            </w:r>
          </w:p>
        </w:tc>
        <w:tc>
          <w:tcPr>
            <w:tcW w:w="0" w:type="auto"/>
            <w:shd w:val="clear" w:color="auto" w:fill="auto"/>
            <w:vAlign w:val="center"/>
          </w:tcPr>
          <w:p w:rsidR="00F26175" w:rsidRPr="00A556BD" w:rsidRDefault="00F26175" w:rsidP="00F26175">
            <w:pPr>
              <w:jc w:val="both"/>
              <w:rPr>
                <w:rFonts w:cs="Arial"/>
                <w:sz w:val="18"/>
                <w:szCs w:val="18"/>
              </w:rPr>
            </w:pPr>
            <w:r w:rsidRPr="00A556BD">
              <w:rPr>
                <w:rFonts w:cs="Arial"/>
                <w:sz w:val="18"/>
                <w:szCs w:val="18"/>
              </w:rPr>
              <w:t>Relación Peso Talla Niños Primera Infancia 2016</w:t>
            </w:r>
          </w:p>
        </w:tc>
        <w:tc>
          <w:tcPr>
            <w:tcW w:w="0" w:type="auto"/>
            <w:shd w:val="clear" w:color="auto" w:fill="auto"/>
            <w:vAlign w:val="center"/>
          </w:tcPr>
          <w:p w:rsidR="00F26175" w:rsidRPr="00A556BD" w:rsidRDefault="00F26175" w:rsidP="00F26175">
            <w:pPr>
              <w:jc w:val="both"/>
              <w:rPr>
                <w:rFonts w:cs="Arial"/>
                <w:sz w:val="18"/>
                <w:szCs w:val="18"/>
                <w:u w:val="single"/>
              </w:rPr>
            </w:pPr>
            <w:r w:rsidRPr="00A556BD">
              <w:rPr>
                <w:rFonts w:cs="Arial"/>
                <w:sz w:val="18"/>
                <w:szCs w:val="18"/>
                <w:u w:val="single"/>
              </w:rPr>
              <w:t>https://www.datos.gov.co/Inclusi-n-Social-y-Reconciliaci-n/Relaci-n-Peso-Talla-Ni-os-Primera-Infancia-2016/qsqp-i74r</w:t>
            </w:r>
          </w:p>
        </w:tc>
      </w:tr>
      <w:tr w:rsidR="00F26175" w:rsidRPr="00A556BD" w:rsidTr="008B3017">
        <w:trPr>
          <w:trHeight w:val="252"/>
        </w:trPr>
        <w:tc>
          <w:tcPr>
            <w:tcW w:w="0" w:type="auto"/>
            <w:shd w:val="clear" w:color="auto" w:fill="auto"/>
            <w:vAlign w:val="center"/>
          </w:tcPr>
          <w:p w:rsidR="00F26175" w:rsidRPr="00A556BD" w:rsidRDefault="00F26175" w:rsidP="00381352">
            <w:pPr>
              <w:jc w:val="center"/>
              <w:rPr>
                <w:rFonts w:cs="Arial"/>
                <w:sz w:val="18"/>
                <w:szCs w:val="18"/>
              </w:rPr>
            </w:pPr>
            <w:r w:rsidRPr="00A556BD">
              <w:rPr>
                <w:rFonts w:cs="Arial"/>
                <w:sz w:val="18"/>
                <w:szCs w:val="18"/>
              </w:rPr>
              <w:t>21</w:t>
            </w:r>
          </w:p>
        </w:tc>
        <w:tc>
          <w:tcPr>
            <w:tcW w:w="0" w:type="auto"/>
            <w:shd w:val="clear" w:color="auto" w:fill="auto"/>
            <w:vAlign w:val="center"/>
          </w:tcPr>
          <w:p w:rsidR="00F26175" w:rsidRPr="00A556BD" w:rsidRDefault="00F26175" w:rsidP="00F26175">
            <w:pPr>
              <w:jc w:val="both"/>
              <w:rPr>
                <w:rFonts w:cs="Arial"/>
                <w:sz w:val="18"/>
                <w:szCs w:val="18"/>
              </w:rPr>
            </w:pPr>
            <w:r w:rsidRPr="00A556BD">
              <w:rPr>
                <w:rFonts w:cs="Arial"/>
                <w:sz w:val="18"/>
                <w:szCs w:val="18"/>
              </w:rPr>
              <w:t>Preguntas Frecuentes sobre el Restablecimiento de Derechos de Niños, Niñas y Adolescentes 2017</w:t>
            </w:r>
          </w:p>
        </w:tc>
        <w:tc>
          <w:tcPr>
            <w:tcW w:w="0" w:type="auto"/>
            <w:shd w:val="clear" w:color="auto" w:fill="auto"/>
            <w:vAlign w:val="center"/>
          </w:tcPr>
          <w:p w:rsidR="00F26175" w:rsidRPr="00A556BD" w:rsidRDefault="000E0283" w:rsidP="00F26175">
            <w:pPr>
              <w:jc w:val="both"/>
              <w:rPr>
                <w:rFonts w:cs="Arial"/>
                <w:sz w:val="18"/>
                <w:szCs w:val="18"/>
              </w:rPr>
            </w:pPr>
            <w:hyperlink r:id="rId44" w:history="1">
              <w:r w:rsidR="00F26175" w:rsidRPr="00A556BD">
                <w:rPr>
                  <w:rStyle w:val="Hipervnculo"/>
                  <w:rFonts w:cs="Arial"/>
                  <w:color w:val="auto"/>
                  <w:sz w:val="18"/>
                  <w:szCs w:val="18"/>
                </w:rPr>
                <w:t>https://www.datos.gov.co/Inclusi-n-Social-y-Reconciliaci-n/Preguntas-Frecuentes-sobre-el-Restablecimiento-de-/f5c7-brg9</w:t>
              </w:r>
            </w:hyperlink>
            <w:r w:rsidR="00F26175" w:rsidRPr="00A556BD">
              <w:rPr>
                <w:rFonts w:cs="Arial"/>
                <w:sz w:val="18"/>
                <w:szCs w:val="18"/>
              </w:rPr>
              <w:t xml:space="preserve"> </w:t>
            </w:r>
          </w:p>
        </w:tc>
      </w:tr>
    </w:tbl>
    <w:p w:rsidR="00F26175" w:rsidRPr="00381352" w:rsidRDefault="00F26175" w:rsidP="00F26175">
      <w:pPr>
        <w:jc w:val="center"/>
        <w:rPr>
          <w:rFonts w:cs="Arial"/>
          <w:sz w:val="16"/>
          <w:szCs w:val="16"/>
        </w:rPr>
      </w:pPr>
      <w:r w:rsidRPr="00381352">
        <w:rPr>
          <w:rFonts w:eastAsia="Times New Roman" w:cs="Arial"/>
          <w:sz w:val="16"/>
          <w:szCs w:val="16"/>
        </w:rPr>
        <w:t xml:space="preserve">Lista de Conjunto de Datos Publicados en Portal de Datos Colombianos </w:t>
      </w:r>
    </w:p>
    <w:p w:rsidR="00F26175" w:rsidRPr="007608C2" w:rsidRDefault="00F26175" w:rsidP="00F26175">
      <w:pPr>
        <w:jc w:val="both"/>
        <w:rPr>
          <w:rFonts w:cs="Arial"/>
        </w:rPr>
      </w:pPr>
      <w:r w:rsidRPr="007608C2">
        <w:rPr>
          <w:rFonts w:cs="Arial"/>
        </w:rPr>
        <w:t>Se realizó la socialización de los DataSet publicados a través de piezas promocionales que se divulgaron a través de las Redes Sociales.</w:t>
      </w:r>
    </w:p>
    <w:p w:rsidR="00F26175" w:rsidRPr="007608C2" w:rsidRDefault="00F26175" w:rsidP="00F26175">
      <w:pPr>
        <w:spacing w:after="0"/>
        <w:jc w:val="center"/>
        <w:rPr>
          <w:rFonts w:cs="Arial"/>
          <w:sz w:val="24"/>
          <w:szCs w:val="24"/>
        </w:rPr>
      </w:pPr>
      <w:r w:rsidRPr="007608C2">
        <w:rPr>
          <w:rFonts w:cs="Arial"/>
          <w:noProof/>
          <w:lang w:val="es-CO" w:eastAsia="es-CO"/>
        </w:rPr>
        <w:drawing>
          <wp:inline distT="0" distB="0" distL="0" distR="0" wp14:anchorId="1214BCA4" wp14:editId="4095A1F7">
            <wp:extent cx="2743536" cy="1245870"/>
            <wp:effectExtent l="0" t="0" r="0" b="0"/>
            <wp:docPr id="55"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45"/>
                    <a:srcRect l="4839" t="34422" r="39710" b="16589"/>
                    <a:stretch>
                      <a:fillRect/>
                    </a:stretch>
                  </pic:blipFill>
                  <pic:spPr>
                    <a:xfrm>
                      <a:off x="0" y="0"/>
                      <a:ext cx="2751788" cy="1249617"/>
                    </a:xfrm>
                    <a:prstGeom prst="rect">
                      <a:avLst/>
                    </a:prstGeom>
                    <a:ln/>
                  </pic:spPr>
                </pic:pic>
              </a:graphicData>
            </a:graphic>
          </wp:inline>
        </w:drawing>
      </w:r>
      <w:r w:rsidRPr="007608C2">
        <w:rPr>
          <w:rFonts w:cs="Arial"/>
          <w:noProof/>
          <w:sz w:val="24"/>
          <w:szCs w:val="24"/>
          <w:lang w:val="es-CO" w:eastAsia="es-CO"/>
        </w:rPr>
        <w:drawing>
          <wp:inline distT="0" distB="0" distL="0" distR="0" wp14:anchorId="47736386" wp14:editId="30BDE54C">
            <wp:extent cx="2581275" cy="1276350"/>
            <wp:effectExtent l="0" t="0" r="9525" b="0"/>
            <wp:docPr id="56"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46"/>
                    <a:srcRect/>
                    <a:stretch>
                      <a:fillRect/>
                    </a:stretch>
                  </pic:blipFill>
                  <pic:spPr>
                    <a:xfrm>
                      <a:off x="0" y="0"/>
                      <a:ext cx="2581750" cy="1276585"/>
                    </a:xfrm>
                    <a:prstGeom prst="rect">
                      <a:avLst/>
                    </a:prstGeom>
                    <a:ln/>
                  </pic:spPr>
                </pic:pic>
              </a:graphicData>
            </a:graphic>
          </wp:inline>
        </w:drawing>
      </w:r>
    </w:p>
    <w:p w:rsidR="00F26175" w:rsidRPr="007608C2" w:rsidRDefault="00F26175" w:rsidP="00F26175">
      <w:pPr>
        <w:spacing w:after="0" w:line="240" w:lineRule="auto"/>
        <w:jc w:val="center"/>
        <w:rPr>
          <w:rFonts w:cs="Arial"/>
          <w:sz w:val="16"/>
          <w:szCs w:val="16"/>
        </w:rPr>
      </w:pPr>
      <w:r w:rsidRPr="007608C2">
        <w:rPr>
          <w:rFonts w:cs="Arial"/>
          <w:sz w:val="16"/>
          <w:szCs w:val="16"/>
        </w:rPr>
        <w:t>Piezas de comunicación compartidas en Redes Sociales de Facebook y Twitter del ICBF.</w:t>
      </w:r>
    </w:p>
    <w:p w:rsidR="00F26175" w:rsidRPr="007608C2" w:rsidRDefault="00F26175" w:rsidP="00F26175">
      <w:pPr>
        <w:spacing w:before="100" w:beforeAutospacing="1" w:after="100" w:afterAutospacing="1" w:line="240" w:lineRule="auto"/>
        <w:jc w:val="both"/>
        <w:rPr>
          <w:rFonts w:eastAsia="Times New Roman" w:cs="Arial"/>
        </w:rPr>
      </w:pPr>
      <w:r w:rsidRPr="007608C2">
        <w:rPr>
          <w:rFonts w:eastAsia="Times New Roman" w:cs="Arial"/>
        </w:rPr>
        <w:t xml:space="preserve">En la promoción de ejercicios de Innovación Abierta, el ICBF se inscribió en “Catalizadores de la Innovación” del Ministerio de Tecnologías de la Información y las Comunicaciones (MINTIC);  teniendo como participantes inicialmente a la Dirección de Planeación y la Dirección de Servicios y Atención; para el mes de marzo se inició la mentoría y llevaron a cabo las primeras </w:t>
      </w:r>
      <w:r w:rsidRPr="007608C2">
        <w:rPr>
          <w:rFonts w:eastAsia="Times New Roman" w:cs="Arial"/>
        </w:rPr>
        <w:lastRenderedPageBreak/>
        <w:t xml:space="preserve">capacitaciones, con el apoyo de la Dirección de Niñez y adolescencia, Oficina asesora de comunicaciones y Dirección de información y tecnología. </w:t>
      </w:r>
    </w:p>
    <w:p w:rsidR="00F26175" w:rsidRPr="007608C2" w:rsidRDefault="00F26175" w:rsidP="00F26175">
      <w:pPr>
        <w:spacing w:before="100" w:beforeAutospacing="1" w:after="100" w:afterAutospacing="1" w:line="240" w:lineRule="auto"/>
        <w:jc w:val="both"/>
        <w:rPr>
          <w:rFonts w:eastAsia="Times New Roman" w:cs="Arial"/>
        </w:rPr>
      </w:pPr>
      <w:r w:rsidRPr="007608C2">
        <w:rPr>
          <w:rFonts w:eastAsia="Times New Roman" w:cs="Arial"/>
        </w:rPr>
        <w:t xml:space="preserve">En el marco de este ejercicio, se realizaron actividades de participación Ciudadana, que logró mediante el desarrollo de encuestas a la ciudadanía, recibir más de 300 aportes Ciudadanos a nivel Nacional; así mismo, se identificó que para dar a conocer de forma más cercana los Derechos de Niños, Niñas y Adolescentes y promover una cultura orientada al reconocimiento de los mismos que permita exigir y hacer valer sus derechos, la forma más acertada es a través de influenciadores digitales. </w:t>
      </w:r>
    </w:p>
    <w:p w:rsidR="00F26175" w:rsidRPr="007608C2" w:rsidRDefault="00F26175" w:rsidP="00F26175">
      <w:pPr>
        <w:spacing w:before="100" w:beforeAutospacing="1" w:after="100" w:afterAutospacing="1" w:line="240" w:lineRule="auto"/>
        <w:jc w:val="both"/>
        <w:rPr>
          <w:rFonts w:eastAsia="Times New Roman" w:cs="Arial"/>
        </w:rPr>
      </w:pPr>
      <w:r w:rsidRPr="007608C2">
        <w:rPr>
          <w:rFonts w:eastAsia="Times New Roman" w:cs="Arial"/>
        </w:rPr>
        <w:t xml:space="preserve">Así mismo, se realizaron sesiones de validación de ideas con 35 adolescentes del Colegio </w:t>
      </w:r>
      <w:r w:rsidRPr="007608C2">
        <w:rPr>
          <w:rFonts w:cs="Arial"/>
        </w:rPr>
        <w:t xml:space="preserve">Naval Santa Fe de Bogotá, de las cuales al final </w:t>
      </w:r>
      <w:r w:rsidRPr="007608C2">
        <w:rPr>
          <w:rFonts w:eastAsia="Times New Roman" w:cs="Arial"/>
        </w:rPr>
        <w:t>se obtuvo el prototipo de la propuesta denominada #</w:t>
      </w:r>
      <w:r w:rsidR="008B3017" w:rsidRPr="007608C2">
        <w:rPr>
          <w:rFonts w:eastAsia="Times New Roman" w:cs="Arial"/>
          <w:b/>
        </w:rPr>
        <w:t xml:space="preserve">SocialDerechos, </w:t>
      </w:r>
      <w:r w:rsidR="008B3017" w:rsidRPr="007608C2">
        <w:rPr>
          <w:rFonts w:eastAsia="Times New Roman" w:cs="Arial"/>
        </w:rPr>
        <w:t>la</w:t>
      </w:r>
      <w:r w:rsidRPr="007608C2">
        <w:rPr>
          <w:rFonts w:eastAsia="Times New Roman" w:cs="Arial"/>
        </w:rPr>
        <w:t xml:space="preserve"> cual contemplaba los siguientes ejes de acción: </w:t>
      </w:r>
    </w:p>
    <w:p w:rsidR="00F26175" w:rsidRPr="007608C2" w:rsidRDefault="00F26175" w:rsidP="00F26175">
      <w:pPr>
        <w:spacing w:before="100" w:beforeAutospacing="1" w:after="100" w:afterAutospacing="1" w:line="240" w:lineRule="auto"/>
        <w:ind w:left="360"/>
        <w:jc w:val="center"/>
        <w:rPr>
          <w:rFonts w:eastAsia="Times New Roman" w:cs="Arial"/>
        </w:rPr>
      </w:pPr>
      <w:r w:rsidRPr="007608C2">
        <w:rPr>
          <w:rFonts w:eastAsia="Times New Roman" w:cs="Arial"/>
          <w:noProof/>
          <w:lang w:val="es-CO" w:eastAsia="es-CO"/>
        </w:rPr>
        <w:drawing>
          <wp:inline distT="0" distB="0" distL="0" distR="0" wp14:anchorId="00125161" wp14:editId="59C8B5A0">
            <wp:extent cx="4971133" cy="2838450"/>
            <wp:effectExtent l="19050" t="19050" r="20320" b="190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99251" cy="2854505"/>
                    </a:xfrm>
                    <a:prstGeom prst="rect">
                      <a:avLst/>
                    </a:prstGeom>
                    <a:noFill/>
                    <a:ln>
                      <a:solidFill>
                        <a:sysClr val="window" lastClr="FFFFFF">
                          <a:lumMod val="75000"/>
                        </a:sysClr>
                      </a:solidFill>
                    </a:ln>
                  </pic:spPr>
                </pic:pic>
              </a:graphicData>
            </a:graphic>
          </wp:inline>
        </w:drawing>
      </w:r>
    </w:p>
    <w:p w:rsidR="00F26175" w:rsidRPr="007608C2" w:rsidRDefault="00F26175" w:rsidP="00F26175">
      <w:pPr>
        <w:spacing w:before="100" w:beforeAutospacing="1" w:after="100" w:afterAutospacing="1" w:line="240" w:lineRule="auto"/>
        <w:jc w:val="center"/>
        <w:rPr>
          <w:rFonts w:eastAsia="Times New Roman" w:cs="Arial"/>
          <w:sz w:val="18"/>
        </w:rPr>
      </w:pPr>
      <w:r w:rsidRPr="007608C2">
        <w:rPr>
          <w:rFonts w:eastAsia="Times New Roman" w:cs="Arial"/>
          <w:sz w:val="18"/>
        </w:rPr>
        <w:t>Propuesta de abordaje idea de innovación abierta seleccionada por la ciudadanía.</w:t>
      </w:r>
    </w:p>
    <w:p w:rsidR="00F26175" w:rsidRPr="007608C2" w:rsidRDefault="00F26175" w:rsidP="00F26175">
      <w:pPr>
        <w:spacing w:before="100" w:beforeAutospacing="1" w:after="100" w:afterAutospacing="1" w:line="240" w:lineRule="auto"/>
        <w:jc w:val="both"/>
        <w:rPr>
          <w:rFonts w:eastAsia="Times New Roman" w:cs="Arial"/>
        </w:rPr>
      </w:pPr>
      <w:r w:rsidRPr="007608C2">
        <w:rPr>
          <w:rFonts w:eastAsia="Times New Roman" w:cs="Arial"/>
        </w:rPr>
        <w:t xml:space="preserve">Como ejercicio de innovación se realizaron tres (3) foros virtuales a través de Facebook Live, dirigidos a adolescentes entre 14 a 17 años con la temática “Acoso Escolar”, el cual se desarrolló con la participación del Grupo de Delitos Cibernéticos de la Dirección de Protección y Servicios Especiales de la Policía Nacional, la Dirección de Protección y la Dirección de Infancia y Adolescencia; esta actividad de promoción de participación Ciudadana dejo los siguientes resultados: </w:t>
      </w:r>
    </w:p>
    <w:p w:rsidR="00F26175" w:rsidRPr="007608C2" w:rsidRDefault="00F26175" w:rsidP="00F26175">
      <w:pPr>
        <w:spacing w:before="100" w:beforeAutospacing="1" w:after="100" w:afterAutospacing="1" w:line="240" w:lineRule="auto"/>
        <w:jc w:val="both"/>
        <w:rPr>
          <w:rFonts w:eastAsia="Times New Roman" w:cs="Arial"/>
        </w:rPr>
      </w:pPr>
    </w:p>
    <w:p w:rsidR="00F26175" w:rsidRPr="007608C2" w:rsidRDefault="00F26175" w:rsidP="00F26175">
      <w:pPr>
        <w:spacing w:before="100" w:beforeAutospacing="1" w:after="100" w:afterAutospacing="1" w:line="240" w:lineRule="auto"/>
        <w:jc w:val="both"/>
        <w:rPr>
          <w:rFonts w:eastAsia="Times New Roman" w:cs="Arial"/>
        </w:rPr>
      </w:pP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0" w:type="dxa"/>
          <w:right w:w="0" w:type="dxa"/>
        </w:tblCellMar>
        <w:tblLook w:val="04A0" w:firstRow="1" w:lastRow="0" w:firstColumn="1" w:lastColumn="0" w:noHBand="0" w:noVBand="1"/>
      </w:tblPr>
      <w:tblGrid>
        <w:gridCol w:w="4056"/>
        <w:gridCol w:w="911"/>
        <w:gridCol w:w="1241"/>
        <w:gridCol w:w="1431"/>
      </w:tblGrid>
      <w:tr w:rsidR="00F26175" w:rsidRPr="00381352" w:rsidTr="008B3017">
        <w:trPr>
          <w:trHeight w:val="406"/>
          <w:jc w:val="center"/>
        </w:trPr>
        <w:tc>
          <w:tcPr>
            <w:tcW w:w="0" w:type="auto"/>
            <w:shd w:val="clear" w:color="auto" w:fill="76923C"/>
            <w:tcMar>
              <w:top w:w="15" w:type="dxa"/>
              <w:left w:w="87" w:type="dxa"/>
              <w:bottom w:w="0" w:type="dxa"/>
              <w:right w:w="87" w:type="dxa"/>
            </w:tcMar>
            <w:vAlign w:val="center"/>
            <w:hideMark/>
          </w:tcPr>
          <w:p w:rsidR="00F26175" w:rsidRPr="00381352" w:rsidRDefault="00F26175" w:rsidP="00F26175">
            <w:pPr>
              <w:spacing w:after="0" w:line="240" w:lineRule="auto"/>
              <w:jc w:val="center"/>
              <w:rPr>
                <w:rFonts w:cs="Arial"/>
                <w:color w:val="FFFFFF" w:themeColor="background1"/>
                <w:sz w:val="18"/>
                <w:szCs w:val="18"/>
              </w:rPr>
            </w:pPr>
            <w:r w:rsidRPr="00381352">
              <w:rPr>
                <w:rFonts w:cs="Arial"/>
                <w:b/>
                <w:bCs/>
                <w:color w:val="FFFFFF" w:themeColor="background1"/>
                <w:sz w:val="18"/>
                <w:szCs w:val="18"/>
              </w:rPr>
              <w:lastRenderedPageBreak/>
              <w:t>Actividad</w:t>
            </w:r>
          </w:p>
        </w:tc>
        <w:tc>
          <w:tcPr>
            <w:tcW w:w="0" w:type="auto"/>
            <w:shd w:val="clear" w:color="auto" w:fill="76923C"/>
            <w:vAlign w:val="center"/>
            <w:hideMark/>
          </w:tcPr>
          <w:p w:rsidR="00F26175" w:rsidRPr="00381352" w:rsidRDefault="00F26175" w:rsidP="00F26175">
            <w:pPr>
              <w:spacing w:after="0" w:line="240" w:lineRule="auto"/>
              <w:jc w:val="center"/>
              <w:rPr>
                <w:rFonts w:cs="Arial"/>
                <w:color w:val="FFFFFF" w:themeColor="background1"/>
                <w:sz w:val="18"/>
                <w:szCs w:val="18"/>
              </w:rPr>
            </w:pPr>
            <w:r w:rsidRPr="00381352">
              <w:rPr>
                <w:rFonts w:cs="Arial"/>
                <w:b/>
                <w:bCs/>
                <w:color w:val="FFFFFF" w:themeColor="background1"/>
                <w:sz w:val="18"/>
                <w:szCs w:val="18"/>
              </w:rPr>
              <w:t>21/11/2017</w:t>
            </w:r>
          </w:p>
        </w:tc>
        <w:tc>
          <w:tcPr>
            <w:tcW w:w="0" w:type="auto"/>
            <w:shd w:val="clear" w:color="auto" w:fill="76923C"/>
            <w:vAlign w:val="center"/>
            <w:hideMark/>
          </w:tcPr>
          <w:p w:rsidR="00F26175" w:rsidRPr="00381352" w:rsidRDefault="00F26175" w:rsidP="00F26175">
            <w:pPr>
              <w:spacing w:after="0" w:line="240" w:lineRule="auto"/>
              <w:jc w:val="center"/>
              <w:rPr>
                <w:rFonts w:cs="Arial"/>
                <w:color w:val="FFFFFF" w:themeColor="background1"/>
                <w:sz w:val="18"/>
                <w:szCs w:val="18"/>
              </w:rPr>
            </w:pPr>
            <w:r w:rsidRPr="00381352">
              <w:rPr>
                <w:rFonts w:cs="Arial"/>
                <w:b/>
                <w:bCs/>
                <w:color w:val="FFFFFF" w:themeColor="background1"/>
                <w:sz w:val="18"/>
                <w:szCs w:val="18"/>
              </w:rPr>
              <w:t>30/11/2017</w:t>
            </w:r>
          </w:p>
        </w:tc>
        <w:tc>
          <w:tcPr>
            <w:tcW w:w="0" w:type="auto"/>
            <w:shd w:val="clear" w:color="auto" w:fill="76923C"/>
            <w:vAlign w:val="center"/>
            <w:hideMark/>
          </w:tcPr>
          <w:p w:rsidR="00F26175" w:rsidRPr="00381352" w:rsidRDefault="00F26175" w:rsidP="00F26175">
            <w:pPr>
              <w:spacing w:after="0" w:line="240" w:lineRule="auto"/>
              <w:jc w:val="center"/>
              <w:rPr>
                <w:rFonts w:cs="Arial"/>
                <w:color w:val="FFFFFF" w:themeColor="background1"/>
                <w:sz w:val="18"/>
                <w:szCs w:val="18"/>
              </w:rPr>
            </w:pPr>
            <w:r w:rsidRPr="00381352">
              <w:rPr>
                <w:rFonts w:cs="Arial"/>
                <w:b/>
                <w:bCs/>
                <w:color w:val="FFFFFF" w:themeColor="background1"/>
                <w:sz w:val="18"/>
                <w:szCs w:val="18"/>
              </w:rPr>
              <w:t>06/12/2017</w:t>
            </w:r>
          </w:p>
        </w:tc>
      </w:tr>
      <w:tr w:rsidR="00F26175" w:rsidRPr="00381352" w:rsidTr="008B3017">
        <w:trPr>
          <w:trHeight w:val="406"/>
          <w:jc w:val="center"/>
        </w:trPr>
        <w:tc>
          <w:tcPr>
            <w:tcW w:w="0" w:type="auto"/>
            <w:shd w:val="clear" w:color="auto" w:fill="76923C"/>
            <w:tcMar>
              <w:top w:w="15" w:type="dxa"/>
              <w:left w:w="87" w:type="dxa"/>
              <w:bottom w:w="0" w:type="dxa"/>
              <w:right w:w="87" w:type="dxa"/>
            </w:tcMar>
            <w:vAlign w:val="center"/>
            <w:hideMark/>
          </w:tcPr>
          <w:p w:rsidR="00F26175" w:rsidRPr="00381352" w:rsidRDefault="00F26175" w:rsidP="00F26175">
            <w:pPr>
              <w:spacing w:after="0" w:line="240" w:lineRule="auto"/>
              <w:jc w:val="center"/>
              <w:rPr>
                <w:rFonts w:cs="Arial"/>
                <w:color w:val="FFFFFF" w:themeColor="background1"/>
                <w:sz w:val="18"/>
                <w:szCs w:val="18"/>
              </w:rPr>
            </w:pPr>
            <w:r w:rsidRPr="00381352">
              <w:rPr>
                <w:rFonts w:cs="Arial"/>
                <w:b/>
                <w:bCs/>
                <w:color w:val="FFFFFF" w:themeColor="background1"/>
                <w:sz w:val="18"/>
                <w:szCs w:val="18"/>
              </w:rPr>
              <w:t>Temática</w:t>
            </w:r>
          </w:p>
        </w:tc>
        <w:tc>
          <w:tcPr>
            <w:tcW w:w="0" w:type="auto"/>
            <w:shd w:val="clear" w:color="auto" w:fill="76923C"/>
            <w:vAlign w:val="center"/>
            <w:hideMark/>
          </w:tcPr>
          <w:p w:rsidR="007F7B77" w:rsidRDefault="007F7B77" w:rsidP="00F26175">
            <w:pPr>
              <w:spacing w:after="0" w:line="240" w:lineRule="auto"/>
              <w:jc w:val="center"/>
              <w:rPr>
                <w:rFonts w:cs="Arial"/>
                <w:b/>
                <w:bCs/>
                <w:color w:val="FFFFFF" w:themeColor="background1"/>
                <w:sz w:val="18"/>
                <w:szCs w:val="18"/>
              </w:rPr>
            </w:pPr>
            <w:r>
              <w:rPr>
                <w:rFonts w:cs="Arial"/>
                <w:b/>
                <w:bCs/>
                <w:color w:val="FFFFFF" w:themeColor="background1"/>
                <w:sz w:val="18"/>
                <w:szCs w:val="18"/>
              </w:rPr>
              <w:t>Acoso</w:t>
            </w:r>
          </w:p>
          <w:p w:rsidR="00F26175" w:rsidRPr="00381352" w:rsidRDefault="007F7B77" w:rsidP="00F26175">
            <w:pPr>
              <w:spacing w:after="0" w:line="240" w:lineRule="auto"/>
              <w:jc w:val="center"/>
              <w:rPr>
                <w:rFonts w:cs="Arial"/>
                <w:color w:val="FFFFFF" w:themeColor="background1"/>
                <w:sz w:val="18"/>
                <w:szCs w:val="18"/>
              </w:rPr>
            </w:pPr>
            <w:r>
              <w:rPr>
                <w:rFonts w:cs="Arial"/>
                <w:b/>
                <w:bCs/>
                <w:color w:val="FFFFFF" w:themeColor="background1"/>
                <w:sz w:val="18"/>
                <w:szCs w:val="18"/>
              </w:rPr>
              <w:t xml:space="preserve"> E</w:t>
            </w:r>
            <w:r w:rsidR="00F26175" w:rsidRPr="00381352">
              <w:rPr>
                <w:rFonts w:cs="Arial"/>
                <w:b/>
                <w:bCs/>
                <w:color w:val="FFFFFF" w:themeColor="background1"/>
                <w:sz w:val="18"/>
                <w:szCs w:val="18"/>
              </w:rPr>
              <w:t>scolar</w:t>
            </w:r>
          </w:p>
        </w:tc>
        <w:tc>
          <w:tcPr>
            <w:tcW w:w="0" w:type="auto"/>
            <w:shd w:val="clear" w:color="auto" w:fill="76923C"/>
            <w:vAlign w:val="center"/>
            <w:hideMark/>
          </w:tcPr>
          <w:p w:rsidR="007F7B77" w:rsidRDefault="00F26175" w:rsidP="00F26175">
            <w:pPr>
              <w:spacing w:after="0" w:line="240" w:lineRule="auto"/>
              <w:jc w:val="center"/>
              <w:rPr>
                <w:rFonts w:cs="Arial"/>
                <w:b/>
                <w:bCs/>
                <w:color w:val="FFFFFF" w:themeColor="background1"/>
                <w:sz w:val="18"/>
                <w:szCs w:val="18"/>
              </w:rPr>
            </w:pPr>
            <w:r w:rsidRPr="00381352">
              <w:rPr>
                <w:rFonts w:cs="Arial"/>
                <w:b/>
                <w:bCs/>
                <w:color w:val="FFFFFF" w:themeColor="background1"/>
                <w:sz w:val="18"/>
                <w:szCs w:val="18"/>
              </w:rPr>
              <w:t xml:space="preserve">Prevención de </w:t>
            </w:r>
          </w:p>
          <w:p w:rsidR="00F26175" w:rsidRPr="00381352" w:rsidRDefault="00F26175" w:rsidP="00F26175">
            <w:pPr>
              <w:spacing w:after="0" w:line="240" w:lineRule="auto"/>
              <w:jc w:val="center"/>
              <w:rPr>
                <w:rFonts w:cs="Arial"/>
                <w:color w:val="FFFFFF" w:themeColor="background1"/>
                <w:sz w:val="18"/>
                <w:szCs w:val="18"/>
              </w:rPr>
            </w:pPr>
            <w:r w:rsidRPr="00381352">
              <w:rPr>
                <w:rFonts w:cs="Arial"/>
                <w:b/>
                <w:bCs/>
                <w:color w:val="FFFFFF" w:themeColor="background1"/>
                <w:sz w:val="18"/>
                <w:szCs w:val="18"/>
              </w:rPr>
              <w:t>Consumo</w:t>
            </w:r>
          </w:p>
        </w:tc>
        <w:tc>
          <w:tcPr>
            <w:tcW w:w="0" w:type="auto"/>
            <w:shd w:val="clear" w:color="auto" w:fill="76923C"/>
            <w:vAlign w:val="center"/>
            <w:hideMark/>
          </w:tcPr>
          <w:p w:rsidR="007F7B77" w:rsidRDefault="00F26175" w:rsidP="00F26175">
            <w:pPr>
              <w:spacing w:after="0" w:line="240" w:lineRule="auto"/>
              <w:jc w:val="center"/>
              <w:rPr>
                <w:rFonts w:cs="Arial"/>
                <w:b/>
                <w:bCs/>
                <w:color w:val="FFFFFF" w:themeColor="background1"/>
                <w:sz w:val="18"/>
                <w:szCs w:val="18"/>
              </w:rPr>
            </w:pPr>
            <w:r w:rsidRPr="00381352">
              <w:rPr>
                <w:rFonts w:cs="Arial"/>
                <w:b/>
                <w:bCs/>
                <w:color w:val="FFFFFF" w:themeColor="background1"/>
                <w:sz w:val="18"/>
                <w:szCs w:val="18"/>
              </w:rPr>
              <w:t xml:space="preserve">Prevención de </w:t>
            </w:r>
          </w:p>
          <w:p w:rsidR="00F26175" w:rsidRPr="00381352" w:rsidRDefault="00F26175" w:rsidP="00F26175">
            <w:pPr>
              <w:spacing w:after="0" w:line="240" w:lineRule="auto"/>
              <w:jc w:val="center"/>
              <w:rPr>
                <w:rFonts w:cs="Arial"/>
                <w:color w:val="FFFFFF" w:themeColor="background1"/>
                <w:sz w:val="18"/>
                <w:szCs w:val="18"/>
              </w:rPr>
            </w:pPr>
            <w:r w:rsidRPr="00381352">
              <w:rPr>
                <w:rFonts w:cs="Arial"/>
                <w:b/>
                <w:bCs/>
                <w:color w:val="FFFFFF" w:themeColor="background1"/>
                <w:sz w:val="18"/>
                <w:szCs w:val="18"/>
              </w:rPr>
              <w:t>Violencia Sexual</w:t>
            </w:r>
          </w:p>
        </w:tc>
      </w:tr>
      <w:tr w:rsidR="00F26175" w:rsidRPr="00381352" w:rsidTr="008B3017">
        <w:trPr>
          <w:trHeight w:val="35"/>
          <w:jc w:val="center"/>
        </w:trPr>
        <w:tc>
          <w:tcPr>
            <w:tcW w:w="0" w:type="auto"/>
            <w:shd w:val="clear" w:color="auto" w:fill="EAF1DD" w:themeFill="accent3" w:themeFillTint="33"/>
            <w:tcMar>
              <w:top w:w="15" w:type="dxa"/>
              <w:left w:w="87" w:type="dxa"/>
              <w:bottom w:w="0" w:type="dxa"/>
              <w:right w:w="87" w:type="dxa"/>
            </w:tcMar>
            <w:vAlign w:val="center"/>
          </w:tcPr>
          <w:p w:rsidR="00F26175" w:rsidRPr="00381352" w:rsidRDefault="00F26175" w:rsidP="00F26175">
            <w:pPr>
              <w:spacing w:after="0" w:line="240" w:lineRule="auto"/>
              <w:rPr>
                <w:rFonts w:cs="Arial"/>
                <w:sz w:val="18"/>
                <w:szCs w:val="18"/>
              </w:rPr>
            </w:pPr>
            <w:r w:rsidRPr="00381352">
              <w:rPr>
                <w:rFonts w:cs="Arial"/>
                <w:sz w:val="18"/>
                <w:szCs w:val="18"/>
              </w:rPr>
              <w:t xml:space="preserve">Personas que vieron la transmisión </w:t>
            </w:r>
          </w:p>
        </w:tc>
        <w:tc>
          <w:tcPr>
            <w:tcW w:w="0" w:type="auto"/>
            <w:vAlign w:val="center"/>
          </w:tcPr>
          <w:p w:rsidR="00F26175" w:rsidRPr="00381352" w:rsidRDefault="00F26175" w:rsidP="00F26175">
            <w:pPr>
              <w:spacing w:after="0" w:line="240" w:lineRule="auto"/>
              <w:jc w:val="center"/>
              <w:rPr>
                <w:rFonts w:cs="Arial"/>
                <w:sz w:val="18"/>
                <w:szCs w:val="18"/>
              </w:rPr>
            </w:pPr>
            <w:r w:rsidRPr="00381352">
              <w:rPr>
                <w:rFonts w:cs="Arial"/>
                <w:b/>
                <w:bCs/>
                <w:sz w:val="18"/>
                <w:szCs w:val="18"/>
              </w:rPr>
              <w:t>2.743</w:t>
            </w:r>
          </w:p>
        </w:tc>
        <w:tc>
          <w:tcPr>
            <w:tcW w:w="0" w:type="auto"/>
            <w:shd w:val="clear" w:color="auto" w:fill="EAF1DD" w:themeFill="accent3" w:themeFillTint="33"/>
            <w:vAlign w:val="center"/>
          </w:tcPr>
          <w:p w:rsidR="00F26175" w:rsidRPr="00381352" w:rsidRDefault="00F26175" w:rsidP="00F26175">
            <w:pPr>
              <w:spacing w:after="0" w:line="240" w:lineRule="auto"/>
              <w:jc w:val="center"/>
              <w:rPr>
                <w:rFonts w:cs="Arial"/>
                <w:sz w:val="18"/>
                <w:szCs w:val="18"/>
              </w:rPr>
            </w:pPr>
            <w:r w:rsidRPr="00381352">
              <w:rPr>
                <w:rFonts w:cs="Arial"/>
                <w:b/>
                <w:bCs/>
                <w:sz w:val="18"/>
                <w:szCs w:val="18"/>
              </w:rPr>
              <w:t>3.107</w:t>
            </w:r>
          </w:p>
        </w:tc>
        <w:tc>
          <w:tcPr>
            <w:tcW w:w="0" w:type="auto"/>
            <w:vAlign w:val="center"/>
          </w:tcPr>
          <w:p w:rsidR="00F26175" w:rsidRPr="00381352" w:rsidRDefault="00F26175" w:rsidP="00F26175">
            <w:pPr>
              <w:spacing w:after="0" w:line="240" w:lineRule="auto"/>
              <w:jc w:val="center"/>
              <w:rPr>
                <w:rFonts w:cs="Arial"/>
                <w:sz w:val="18"/>
                <w:szCs w:val="18"/>
              </w:rPr>
            </w:pPr>
            <w:r w:rsidRPr="00381352">
              <w:rPr>
                <w:rFonts w:cs="Arial"/>
                <w:b/>
                <w:bCs/>
                <w:sz w:val="18"/>
                <w:szCs w:val="18"/>
              </w:rPr>
              <w:t>2.015</w:t>
            </w:r>
          </w:p>
        </w:tc>
      </w:tr>
      <w:tr w:rsidR="00F26175" w:rsidRPr="00381352" w:rsidTr="008B3017">
        <w:trPr>
          <w:trHeight w:val="35"/>
          <w:jc w:val="center"/>
        </w:trPr>
        <w:tc>
          <w:tcPr>
            <w:tcW w:w="0" w:type="auto"/>
            <w:shd w:val="clear" w:color="auto" w:fill="EAF1DD" w:themeFill="accent3" w:themeFillTint="33"/>
            <w:tcMar>
              <w:top w:w="15" w:type="dxa"/>
              <w:left w:w="87" w:type="dxa"/>
              <w:bottom w:w="0" w:type="dxa"/>
              <w:right w:w="87" w:type="dxa"/>
            </w:tcMar>
            <w:vAlign w:val="center"/>
          </w:tcPr>
          <w:p w:rsidR="00F26175" w:rsidRPr="00381352" w:rsidRDefault="00F26175" w:rsidP="00F26175">
            <w:pPr>
              <w:spacing w:after="0" w:line="240" w:lineRule="auto"/>
              <w:rPr>
                <w:rFonts w:cs="Arial"/>
                <w:sz w:val="18"/>
                <w:szCs w:val="18"/>
              </w:rPr>
            </w:pPr>
            <w:r w:rsidRPr="00381352">
              <w:rPr>
                <w:rFonts w:cs="Arial"/>
                <w:sz w:val="18"/>
                <w:szCs w:val="18"/>
              </w:rPr>
              <w:t>Cometarios y/o preguntas durante la transmisión</w:t>
            </w:r>
          </w:p>
        </w:tc>
        <w:tc>
          <w:tcPr>
            <w:tcW w:w="0" w:type="auto"/>
            <w:vAlign w:val="center"/>
          </w:tcPr>
          <w:p w:rsidR="00F26175" w:rsidRPr="00381352" w:rsidRDefault="00F26175" w:rsidP="00F26175">
            <w:pPr>
              <w:spacing w:after="0" w:line="240" w:lineRule="auto"/>
              <w:jc w:val="center"/>
              <w:rPr>
                <w:rFonts w:cs="Arial"/>
                <w:sz w:val="18"/>
                <w:szCs w:val="18"/>
              </w:rPr>
            </w:pPr>
            <w:r w:rsidRPr="00381352">
              <w:rPr>
                <w:rFonts w:cs="Arial"/>
                <w:b/>
                <w:bCs/>
                <w:sz w:val="18"/>
                <w:szCs w:val="18"/>
              </w:rPr>
              <w:t>61</w:t>
            </w:r>
          </w:p>
        </w:tc>
        <w:tc>
          <w:tcPr>
            <w:tcW w:w="0" w:type="auto"/>
            <w:shd w:val="clear" w:color="auto" w:fill="EAF1DD" w:themeFill="accent3" w:themeFillTint="33"/>
            <w:vAlign w:val="center"/>
          </w:tcPr>
          <w:p w:rsidR="00F26175" w:rsidRPr="00381352" w:rsidRDefault="00F26175" w:rsidP="00F26175">
            <w:pPr>
              <w:spacing w:after="0" w:line="240" w:lineRule="auto"/>
              <w:jc w:val="center"/>
              <w:rPr>
                <w:rFonts w:cs="Arial"/>
                <w:sz w:val="18"/>
                <w:szCs w:val="18"/>
              </w:rPr>
            </w:pPr>
            <w:r w:rsidRPr="00381352">
              <w:rPr>
                <w:rFonts w:cs="Arial"/>
                <w:b/>
                <w:bCs/>
                <w:sz w:val="18"/>
                <w:szCs w:val="18"/>
              </w:rPr>
              <w:t>80</w:t>
            </w:r>
          </w:p>
        </w:tc>
        <w:tc>
          <w:tcPr>
            <w:tcW w:w="0" w:type="auto"/>
            <w:vAlign w:val="center"/>
          </w:tcPr>
          <w:p w:rsidR="00F26175" w:rsidRPr="00381352" w:rsidRDefault="00F26175" w:rsidP="00F26175">
            <w:pPr>
              <w:spacing w:after="0" w:line="240" w:lineRule="auto"/>
              <w:jc w:val="center"/>
              <w:rPr>
                <w:rFonts w:cs="Arial"/>
                <w:sz w:val="18"/>
                <w:szCs w:val="18"/>
              </w:rPr>
            </w:pPr>
            <w:r w:rsidRPr="00381352">
              <w:rPr>
                <w:rFonts w:cs="Arial"/>
                <w:b/>
                <w:bCs/>
                <w:sz w:val="18"/>
                <w:szCs w:val="18"/>
              </w:rPr>
              <w:t>29</w:t>
            </w:r>
          </w:p>
        </w:tc>
      </w:tr>
      <w:tr w:rsidR="00F26175" w:rsidRPr="00381352" w:rsidTr="008B3017">
        <w:trPr>
          <w:trHeight w:val="35"/>
          <w:jc w:val="center"/>
        </w:trPr>
        <w:tc>
          <w:tcPr>
            <w:tcW w:w="0" w:type="auto"/>
            <w:shd w:val="clear" w:color="auto" w:fill="EAF1DD" w:themeFill="accent3" w:themeFillTint="33"/>
            <w:tcMar>
              <w:top w:w="15" w:type="dxa"/>
              <w:left w:w="87" w:type="dxa"/>
              <w:bottom w:w="0" w:type="dxa"/>
              <w:right w:w="87" w:type="dxa"/>
            </w:tcMar>
            <w:vAlign w:val="center"/>
            <w:hideMark/>
          </w:tcPr>
          <w:p w:rsidR="00F26175" w:rsidRPr="00381352" w:rsidRDefault="00F26175" w:rsidP="00F26175">
            <w:pPr>
              <w:spacing w:after="0" w:line="240" w:lineRule="auto"/>
              <w:rPr>
                <w:rFonts w:cs="Arial"/>
                <w:sz w:val="18"/>
                <w:szCs w:val="18"/>
              </w:rPr>
            </w:pPr>
            <w:r w:rsidRPr="00381352">
              <w:rPr>
                <w:rFonts w:cs="Arial"/>
                <w:sz w:val="18"/>
                <w:szCs w:val="18"/>
              </w:rPr>
              <w:t>No. de veces compartida</w:t>
            </w:r>
          </w:p>
        </w:tc>
        <w:tc>
          <w:tcPr>
            <w:tcW w:w="0" w:type="auto"/>
            <w:vAlign w:val="center"/>
            <w:hideMark/>
          </w:tcPr>
          <w:p w:rsidR="00F26175" w:rsidRPr="00381352" w:rsidRDefault="00F26175" w:rsidP="00F26175">
            <w:pPr>
              <w:spacing w:after="0" w:line="240" w:lineRule="auto"/>
              <w:jc w:val="center"/>
              <w:rPr>
                <w:rFonts w:cs="Arial"/>
                <w:sz w:val="18"/>
                <w:szCs w:val="18"/>
              </w:rPr>
            </w:pPr>
            <w:r w:rsidRPr="00381352">
              <w:rPr>
                <w:rFonts w:cs="Arial"/>
                <w:b/>
                <w:bCs/>
                <w:sz w:val="18"/>
                <w:szCs w:val="18"/>
              </w:rPr>
              <w:t>46</w:t>
            </w:r>
          </w:p>
        </w:tc>
        <w:tc>
          <w:tcPr>
            <w:tcW w:w="0" w:type="auto"/>
            <w:shd w:val="clear" w:color="auto" w:fill="EAF1DD" w:themeFill="accent3" w:themeFillTint="33"/>
            <w:vAlign w:val="center"/>
            <w:hideMark/>
          </w:tcPr>
          <w:p w:rsidR="00F26175" w:rsidRPr="00381352" w:rsidRDefault="00F26175" w:rsidP="00F26175">
            <w:pPr>
              <w:spacing w:after="0" w:line="240" w:lineRule="auto"/>
              <w:jc w:val="center"/>
              <w:rPr>
                <w:rFonts w:cs="Arial"/>
                <w:sz w:val="18"/>
                <w:szCs w:val="18"/>
              </w:rPr>
            </w:pPr>
            <w:r w:rsidRPr="00381352">
              <w:rPr>
                <w:rFonts w:cs="Arial"/>
                <w:b/>
                <w:bCs/>
                <w:sz w:val="18"/>
                <w:szCs w:val="18"/>
              </w:rPr>
              <w:t>83</w:t>
            </w:r>
          </w:p>
        </w:tc>
        <w:tc>
          <w:tcPr>
            <w:tcW w:w="0" w:type="auto"/>
            <w:vAlign w:val="center"/>
            <w:hideMark/>
          </w:tcPr>
          <w:p w:rsidR="00F26175" w:rsidRPr="00381352" w:rsidRDefault="00F26175" w:rsidP="00F26175">
            <w:pPr>
              <w:spacing w:after="0" w:line="240" w:lineRule="auto"/>
              <w:jc w:val="center"/>
              <w:rPr>
                <w:rFonts w:cs="Arial"/>
                <w:sz w:val="18"/>
                <w:szCs w:val="18"/>
              </w:rPr>
            </w:pPr>
            <w:r w:rsidRPr="00381352">
              <w:rPr>
                <w:rFonts w:cs="Arial"/>
                <w:b/>
                <w:bCs/>
                <w:sz w:val="18"/>
                <w:szCs w:val="18"/>
              </w:rPr>
              <w:t>42</w:t>
            </w:r>
          </w:p>
        </w:tc>
      </w:tr>
      <w:tr w:rsidR="00F26175" w:rsidRPr="00381352" w:rsidTr="008B3017">
        <w:trPr>
          <w:trHeight w:val="35"/>
          <w:jc w:val="center"/>
        </w:trPr>
        <w:tc>
          <w:tcPr>
            <w:tcW w:w="0" w:type="auto"/>
            <w:shd w:val="clear" w:color="auto" w:fill="EAF1DD" w:themeFill="accent3" w:themeFillTint="33"/>
            <w:tcMar>
              <w:top w:w="15" w:type="dxa"/>
              <w:left w:w="87" w:type="dxa"/>
              <w:bottom w:w="0" w:type="dxa"/>
              <w:right w:w="87" w:type="dxa"/>
            </w:tcMar>
            <w:vAlign w:val="center"/>
            <w:hideMark/>
          </w:tcPr>
          <w:p w:rsidR="00F26175" w:rsidRPr="00381352" w:rsidRDefault="00F26175" w:rsidP="00F26175">
            <w:pPr>
              <w:spacing w:after="0" w:line="240" w:lineRule="auto"/>
              <w:rPr>
                <w:rFonts w:cs="Arial"/>
                <w:sz w:val="18"/>
                <w:szCs w:val="18"/>
              </w:rPr>
            </w:pPr>
            <w:r w:rsidRPr="00381352">
              <w:rPr>
                <w:rFonts w:cs="Arial"/>
                <w:sz w:val="18"/>
                <w:szCs w:val="18"/>
              </w:rPr>
              <w:t>Reacciones a la actividad</w:t>
            </w:r>
          </w:p>
        </w:tc>
        <w:tc>
          <w:tcPr>
            <w:tcW w:w="0" w:type="auto"/>
            <w:vAlign w:val="center"/>
            <w:hideMark/>
          </w:tcPr>
          <w:p w:rsidR="00F26175" w:rsidRPr="00381352" w:rsidRDefault="00F26175" w:rsidP="00F26175">
            <w:pPr>
              <w:spacing w:after="0" w:line="240" w:lineRule="auto"/>
              <w:jc w:val="center"/>
              <w:rPr>
                <w:rFonts w:cs="Arial"/>
                <w:sz w:val="18"/>
                <w:szCs w:val="18"/>
              </w:rPr>
            </w:pPr>
            <w:r w:rsidRPr="00381352">
              <w:rPr>
                <w:rFonts w:cs="Arial"/>
                <w:b/>
                <w:bCs/>
                <w:sz w:val="18"/>
                <w:szCs w:val="18"/>
              </w:rPr>
              <w:t>83</w:t>
            </w:r>
          </w:p>
        </w:tc>
        <w:tc>
          <w:tcPr>
            <w:tcW w:w="0" w:type="auto"/>
            <w:shd w:val="clear" w:color="auto" w:fill="EAF1DD" w:themeFill="accent3" w:themeFillTint="33"/>
            <w:vAlign w:val="center"/>
            <w:hideMark/>
          </w:tcPr>
          <w:p w:rsidR="00F26175" w:rsidRPr="00381352" w:rsidRDefault="00F26175" w:rsidP="00F26175">
            <w:pPr>
              <w:spacing w:after="0" w:line="240" w:lineRule="auto"/>
              <w:jc w:val="center"/>
              <w:rPr>
                <w:rFonts w:cs="Arial"/>
                <w:sz w:val="18"/>
                <w:szCs w:val="18"/>
              </w:rPr>
            </w:pPr>
            <w:r w:rsidRPr="00381352">
              <w:rPr>
                <w:rFonts w:cs="Arial"/>
                <w:b/>
                <w:bCs/>
                <w:sz w:val="18"/>
                <w:szCs w:val="18"/>
              </w:rPr>
              <w:t>109</w:t>
            </w:r>
          </w:p>
        </w:tc>
        <w:tc>
          <w:tcPr>
            <w:tcW w:w="0" w:type="auto"/>
            <w:vAlign w:val="center"/>
            <w:hideMark/>
          </w:tcPr>
          <w:p w:rsidR="00F26175" w:rsidRPr="00381352" w:rsidRDefault="00F26175" w:rsidP="00F26175">
            <w:pPr>
              <w:spacing w:after="0" w:line="240" w:lineRule="auto"/>
              <w:jc w:val="center"/>
              <w:rPr>
                <w:rFonts w:cs="Arial"/>
                <w:sz w:val="18"/>
                <w:szCs w:val="18"/>
              </w:rPr>
            </w:pPr>
            <w:r w:rsidRPr="00381352">
              <w:rPr>
                <w:rFonts w:cs="Arial"/>
                <w:b/>
                <w:bCs/>
                <w:sz w:val="18"/>
                <w:szCs w:val="18"/>
              </w:rPr>
              <w:t>82</w:t>
            </w:r>
          </w:p>
        </w:tc>
      </w:tr>
    </w:tbl>
    <w:p w:rsidR="00F26175" w:rsidRPr="007F7B77" w:rsidRDefault="00F26175" w:rsidP="00F26175">
      <w:pPr>
        <w:jc w:val="center"/>
        <w:rPr>
          <w:rFonts w:cs="Arial"/>
          <w:sz w:val="16"/>
          <w:szCs w:val="16"/>
        </w:rPr>
      </w:pPr>
      <w:r w:rsidRPr="007F7B77">
        <w:rPr>
          <w:rFonts w:cs="Arial"/>
          <w:sz w:val="16"/>
          <w:szCs w:val="16"/>
        </w:rPr>
        <w:t>Cuadro de resultados de participación e interacciones ciudadanas</w:t>
      </w:r>
    </w:p>
    <w:p w:rsidR="00F26175" w:rsidRPr="007608C2" w:rsidRDefault="00F26175" w:rsidP="00F26175">
      <w:pPr>
        <w:spacing w:after="0" w:line="240" w:lineRule="auto"/>
        <w:contextualSpacing/>
        <w:jc w:val="both"/>
        <w:rPr>
          <w:rFonts w:cs="Arial"/>
        </w:rPr>
      </w:pPr>
      <w:r w:rsidRPr="007608C2">
        <w:rPr>
          <w:rFonts w:cs="Arial"/>
          <w:b/>
          <w:u w:val="single"/>
        </w:rPr>
        <w:t>Componente TIC para Servicios:</w:t>
      </w:r>
      <w:r w:rsidRPr="007608C2">
        <w:rPr>
          <w:rFonts w:cs="Arial"/>
        </w:rPr>
        <w:t xml:space="preserve"> Se realizó levantamiento de la caracterización de los ciudadanos que acuden al ICBF y se creó el “</w:t>
      </w:r>
      <w:r w:rsidRPr="007608C2">
        <w:rPr>
          <w:rFonts w:cs="Arial"/>
          <w:b/>
        </w:rPr>
        <w:t>Documento de Caracterización de Ciudadanos 2017</w:t>
      </w:r>
      <w:r w:rsidRPr="007608C2">
        <w:rPr>
          <w:rFonts w:cs="Arial"/>
        </w:rPr>
        <w:t xml:space="preserve">” el cual busca Identificar y perfilar a los ciudadanos y organizaciones, que se acercan al ICBF en busca de información, orientación o acceso a los programas, trámites y servicios del ICBF, a través de los diferentes canales de atención, con el fin de tener insumos que permitan hacer ajustes institucionales que impacten tanto en la oportunidad de atención de sus peticiones como en la calidad de los canales por los cuales acceden a la entidad. </w:t>
      </w:r>
    </w:p>
    <w:p w:rsidR="00F26175" w:rsidRPr="007608C2" w:rsidRDefault="00F26175" w:rsidP="00F26175">
      <w:pPr>
        <w:spacing w:after="0" w:line="240" w:lineRule="auto"/>
        <w:contextualSpacing/>
        <w:jc w:val="both"/>
        <w:rPr>
          <w:rFonts w:cs="Arial"/>
        </w:rPr>
      </w:pPr>
    </w:p>
    <w:p w:rsidR="00F26175" w:rsidRPr="007608C2" w:rsidRDefault="00F26175" w:rsidP="00F26175">
      <w:pPr>
        <w:spacing w:after="0" w:line="240" w:lineRule="auto"/>
        <w:contextualSpacing/>
        <w:jc w:val="both"/>
        <w:rPr>
          <w:rFonts w:cs="Arial"/>
        </w:rPr>
      </w:pPr>
      <w:r w:rsidRPr="007608C2">
        <w:rPr>
          <w:rFonts w:cs="Arial"/>
        </w:rPr>
        <w:t>Se realizaron tres (3) diagnósticos externos con el apoyo del Ministerio de Tecnologías de la Información y las Comunicaciones, de validación en temas de usabilidad y accesibilidad al Portal Web Institucional y se realizaron ajustes para cumplir con los criterios para la certificación AA. Estas mismas directrices se definieron en el desarrollo tecnológico del servicio en línea de Certificación de Aportes Parafiscales.</w:t>
      </w:r>
    </w:p>
    <w:p w:rsidR="00F26175" w:rsidRPr="007608C2" w:rsidRDefault="00F26175" w:rsidP="00F26175">
      <w:pPr>
        <w:spacing w:after="0" w:line="240" w:lineRule="auto"/>
        <w:contextualSpacing/>
        <w:jc w:val="both"/>
        <w:rPr>
          <w:rFonts w:cs="Arial"/>
        </w:rPr>
      </w:pPr>
    </w:p>
    <w:p w:rsidR="00F26175" w:rsidRPr="007608C2" w:rsidRDefault="00F26175" w:rsidP="00F26175">
      <w:pPr>
        <w:pStyle w:val="Prrafodelista"/>
        <w:spacing w:after="0" w:line="240" w:lineRule="auto"/>
        <w:ind w:left="360"/>
        <w:jc w:val="center"/>
        <w:rPr>
          <w:rFonts w:eastAsia="Times New Roman" w:cs="Arial"/>
        </w:rPr>
      </w:pPr>
      <w:r w:rsidRPr="007608C2">
        <w:rPr>
          <w:rFonts w:cs="Arial"/>
          <w:noProof/>
          <w:lang w:val="es-CO" w:eastAsia="es-CO"/>
        </w:rPr>
        <w:drawing>
          <wp:inline distT="0" distB="0" distL="0" distR="0" wp14:anchorId="03ECAE98" wp14:editId="29F2BAD0">
            <wp:extent cx="3069127" cy="298132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8550" t="1" r="21307" b="-3872"/>
                    <a:stretch/>
                  </pic:blipFill>
                  <pic:spPr bwMode="auto">
                    <a:xfrm>
                      <a:off x="0" y="0"/>
                      <a:ext cx="3087234" cy="2998914"/>
                    </a:xfrm>
                    <a:prstGeom prst="rect">
                      <a:avLst/>
                    </a:prstGeom>
                    <a:ln>
                      <a:noFill/>
                    </a:ln>
                    <a:extLst>
                      <a:ext uri="{53640926-AAD7-44D8-BBD7-CCE9431645EC}">
                        <a14:shadowObscured xmlns:a14="http://schemas.microsoft.com/office/drawing/2010/main"/>
                      </a:ext>
                    </a:extLst>
                  </pic:spPr>
                </pic:pic>
              </a:graphicData>
            </a:graphic>
          </wp:inline>
        </w:drawing>
      </w:r>
    </w:p>
    <w:p w:rsidR="00F26175" w:rsidRPr="008B3017" w:rsidRDefault="008B3017" w:rsidP="00F26175">
      <w:pPr>
        <w:jc w:val="center"/>
        <w:rPr>
          <w:rFonts w:cs="Arial"/>
          <w:sz w:val="16"/>
          <w:szCs w:val="16"/>
        </w:rPr>
      </w:pPr>
      <w:r>
        <w:rPr>
          <w:rFonts w:cs="Arial"/>
          <w:sz w:val="16"/>
          <w:szCs w:val="16"/>
        </w:rPr>
        <w:t>Consultar</w:t>
      </w:r>
      <w:r w:rsidR="00F26175" w:rsidRPr="008B3017">
        <w:rPr>
          <w:rFonts w:cs="Arial"/>
          <w:sz w:val="16"/>
          <w:szCs w:val="16"/>
        </w:rPr>
        <w:t xml:space="preserve"> en: </w:t>
      </w:r>
      <w:hyperlink r:id="rId49" w:history="1">
        <w:r w:rsidR="00F26175" w:rsidRPr="008B3017">
          <w:rPr>
            <w:rFonts w:cs="Arial"/>
            <w:sz w:val="16"/>
            <w:szCs w:val="16"/>
          </w:rPr>
          <w:t>http://www.icbf.gov.co/portal/page/portal/PortafolioICBF</w:t>
        </w:r>
      </w:hyperlink>
    </w:p>
    <w:p w:rsidR="00F26175" w:rsidRPr="007608C2" w:rsidRDefault="00F26175" w:rsidP="00F26175">
      <w:pPr>
        <w:spacing w:after="0" w:line="240" w:lineRule="auto"/>
        <w:jc w:val="both"/>
        <w:rPr>
          <w:rFonts w:eastAsia="Times New Roman" w:cs="Arial"/>
        </w:rPr>
      </w:pPr>
      <w:r w:rsidRPr="007608C2">
        <w:rPr>
          <w:rFonts w:eastAsia="Times New Roman" w:cs="Arial"/>
          <w:b/>
          <w:u w:val="single"/>
        </w:rPr>
        <w:t>Portafolio De Servicios:</w:t>
      </w:r>
      <w:r w:rsidRPr="007608C2">
        <w:rPr>
          <w:rFonts w:eastAsia="Times New Roman" w:cs="Arial"/>
          <w:b/>
        </w:rPr>
        <w:t xml:space="preserve"> A partir de las acciones realizadas en 2017, </w:t>
      </w:r>
      <w:r w:rsidRPr="007608C2">
        <w:rPr>
          <w:rFonts w:eastAsia="Times New Roman" w:cs="Arial"/>
        </w:rPr>
        <w:t xml:space="preserve">por primera vez el ICBF cuenta con un micrositio en el que los Ciudadanos podrán encontrar de forma </w:t>
      </w:r>
      <w:r w:rsidRPr="007608C2">
        <w:rPr>
          <w:rFonts w:cs="Arial"/>
        </w:rPr>
        <w:t xml:space="preserve">fácil e intuitiva 110 </w:t>
      </w:r>
      <w:r w:rsidRPr="007608C2">
        <w:rPr>
          <w:rFonts w:cs="Arial"/>
        </w:rPr>
        <w:lastRenderedPageBreak/>
        <w:t>infografías de Programas, Servicios, Estrategias y Trámites institucionales que conforman la oferta de servicios del ICBF.</w:t>
      </w:r>
    </w:p>
    <w:p w:rsidR="00F26175" w:rsidRPr="007608C2" w:rsidRDefault="00F26175" w:rsidP="00F26175">
      <w:pPr>
        <w:spacing w:after="0" w:line="240" w:lineRule="auto"/>
        <w:rPr>
          <w:rFonts w:eastAsia="Times New Roman" w:cs="Arial"/>
        </w:rPr>
      </w:pPr>
    </w:p>
    <w:p w:rsidR="00F26175" w:rsidRPr="007608C2" w:rsidRDefault="00F26175" w:rsidP="00F26175">
      <w:pPr>
        <w:spacing w:after="0" w:line="240" w:lineRule="auto"/>
        <w:contextualSpacing/>
        <w:jc w:val="both"/>
        <w:rPr>
          <w:rFonts w:cs="Arial"/>
        </w:rPr>
      </w:pPr>
    </w:p>
    <w:p w:rsidR="00F26175" w:rsidRPr="007608C2" w:rsidRDefault="00F26175" w:rsidP="00F26175">
      <w:pPr>
        <w:spacing w:after="0" w:line="240" w:lineRule="auto"/>
        <w:contextualSpacing/>
        <w:jc w:val="both"/>
        <w:rPr>
          <w:rFonts w:cs="Arial"/>
        </w:rPr>
      </w:pPr>
      <w:r w:rsidRPr="007608C2">
        <w:rPr>
          <w:rFonts w:cs="Arial"/>
        </w:rPr>
        <w:t>El ICBF durante 2017, dispuso a través de su portal Web, tres (3) trámites a través de medios electrónicos:</w:t>
      </w:r>
    </w:p>
    <w:p w:rsidR="00F26175" w:rsidRPr="007608C2" w:rsidRDefault="00F26175" w:rsidP="00F26175">
      <w:pPr>
        <w:spacing w:after="0" w:line="240" w:lineRule="auto"/>
        <w:contextualSpacing/>
        <w:jc w:val="both"/>
        <w:rPr>
          <w:rFonts w:cs="Arial"/>
        </w:rPr>
      </w:pPr>
    </w:p>
    <w:p w:rsidR="00F26175" w:rsidRPr="007608C2" w:rsidRDefault="00F26175" w:rsidP="00A44A2B">
      <w:pPr>
        <w:pStyle w:val="Prrafodelista"/>
        <w:numPr>
          <w:ilvl w:val="0"/>
          <w:numId w:val="49"/>
        </w:numPr>
        <w:spacing w:after="0" w:line="240" w:lineRule="auto"/>
        <w:contextualSpacing/>
        <w:jc w:val="both"/>
        <w:rPr>
          <w:rFonts w:cs="Arial"/>
        </w:rPr>
      </w:pPr>
      <w:r w:rsidRPr="007608C2">
        <w:rPr>
          <w:rFonts w:cs="Arial"/>
        </w:rPr>
        <w:t>Estado de cuenta de aportes parafiscales</w:t>
      </w:r>
    </w:p>
    <w:p w:rsidR="00F26175" w:rsidRPr="007608C2" w:rsidRDefault="00F26175" w:rsidP="00A44A2B">
      <w:pPr>
        <w:pStyle w:val="Prrafodelista"/>
        <w:numPr>
          <w:ilvl w:val="0"/>
          <w:numId w:val="49"/>
        </w:numPr>
        <w:spacing w:after="0" w:line="240" w:lineRule="auto"/>
        <w:contextualSpacing/>
        <w:jc w:val="both"/>
        <w:rPr>
          <w:rFonts w:cs="Arial"/>
        </w:rPr>
      </w:pPr>
      <w:r w:rsidRPr="007608C2">
        <w:rPr>
          <w:rFonts w:cs="Arial"/>
        </w:rPr>
        <w:t>Licencia de Funcionamiento del Sistema Nacional de Bienestar Familiar</w:t>
      </w:r>
    </w:p>
    <w:p w:rsidR="00F26175" w:rsidRPr="007608C2" w:rsidRDefault="00F26175" w:rsidP="00A44A2B">
      <w:pPr>
        <w:pStyle w:val="Prrafodelista"/>
        <w:numPr>
          <w:ilvl w:val="0"/>
          <w:numId w:val="49"/>
        </w:numPr>
        <w:spacing w:after="0" w:line="240" w:lineRule="auto"/>
        <w:contextualSpacing/>
        <w:jc w:val="both"/>
        <w:rPr>
          <w:rFonts w:cs="Arial"/>
        </w:rPr>
      </w:pPr>
      <w:r w:rsidRPr="007608C2">
        <w:rPr>
          <w:rFonts w:cs="Arial"/>
        </w:rPr>
        <w:t>Otorgamiento o reconocimiento de personería jurídica a instituciones del Sistema Nacional de Bienestar Familiar"</w:t>
      </w:r>
    </w:p>
    <w:p w:rsidR="00F26175" w:rsidRPr="007608C2" w:rsidRDefault="00F26175" w:rsidP="00F26175">
      <w:pPr>
        <w:jc w:val="both"/>
        <w:rPr>
          <w:rFonts w:eastAsia="Times New Roman" w:cs="Arial"/>
          <w:sz w:val="24"/>
          <w:szCs w:val="24"/>
        </w:rPr>
      </w:pPr>
    </w:p>
    <w:p w:rsidR="00F26175" w:rsidRPr="007608C2" w:rsidRDefault="00F26175" w:rsidP="00F26175">
      <w:pPr>
        <w:jc w:val="center"/>
        <w:rPr>
          <w:rFonts w:eastAsia="Times New Roman" w:cs="Arial"/>
          <w:sz w:val="24"/>
          <w:szCs w:val="24"/>
        </w:rPr>
      </w:pPr>
      <w:r w:rsidRPr="007608C2">
        <w:rPr>
          <w:rFonts w:cs="Arial"/>
          <w:noProof/>
          <w:sz w:val="24"/>
          <w:szCs w:val="24"/>
          <w:lang w:val="es-CO" w:eastAsia="es-CO"/>
        </w:rPr>
        <w:drawing>
          <wp:inline distT="0" distB="0" distL="0" distR="0" wp14:anchorId="5FF57CE0" wp14:editId="67C489DE">
            <wp:extent cx="2869109" cy="3542820"/>
            <wp:effectExtent l="0" t="0" r="7620" b="63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7732" r="28873" b="4733"/>
                    <a:stretch/>
                  </pic:blipFill>
                  <pic:spPr bwMode="auto">
                    <a:xfrm>
                      <a:off x="0" y="0"/>
                      <a:ext cx="2887067" cy="3564995"/>
                    </a:xfrm>
                    <a:prstGeom prst="rect">
                      <a:avLst/>
                    </a:prstGeom>
                    <a:ln>
                      <a:noFill/>
                    </a:ln>
                    <a:extLst>
                      <a:ext uri="{53640926-AAD7-44D8-BBD7-CCE9431645EC}">
                        <a14:shadowObscured xmlns:a14="http://schemas.microsoft.com/office/drawing/2010/main"/>
                      </a:ext>
                    </a:extLst>
                  </pic:spPr>
                </pic:pic>
              </a:graphicData>
            </a:graphic>
          </wp:inline>
        </w:drawing>
      </w:r>
    </w:p>
    <w:p w:rsidR="00F26175" w:rsidRPr="008B3017" w:rsidRDefault="00F26175" w:rsidP="00F26175">
      <w:pPr>
        <w:contextualSpacing/>
        <w:jc w:val="center"/>
        <w:rPr>
          <w:rFonts w:cs="Arial"/>
          <w:sz w:val="16"/>
          <w:szCs w:val="16"/>
        </w:rPr>
      </w:pPr>
      <w:r w:rsidRPr="008B3017">
        <w:rPr>
          <w:rFonts w:cs="Arial"/>
          <w:sz w:val="16"/>
          <w:szCs w:val="16"/>
        </w:rPr>
        <w:t>Fuente: Dirección de Servicios y Atención del ICBF</w:t>
      </w:r>
    </w:p>
    <w:p w:rsidR="00F26175" w:rsidRPr="007608C2" w:rsidRDefault="00F26175" w:rsidP="00F26175">
      <w:pPr>
        <w:spacing w:after="0" w:line="240" w:lineRule="auto"/>
        <w:contextualSpacing/>
        <w:jc w:val="both"/>
        <w:rPr>
          <w:rFonts w:cs="Arial"/>
        </w:rPr>
      </w:pPr>
    </w:p>
    <w:p w:rsidR="003E1FAD" w:rsidRDefault="003E1FAD" w:rsidP="00F26175">
      <w:pPr>
        <w:spacing w:after="0" w:line="240" w:lineRule="auto"/>
        <w:contextualSpacing/>
        <w:jc w:val="both"/>
        <w:rPr>
          <w:rFonts w:cs="Arial"/>
        </w:rPr>
      </w:pPr>
    </w:p>
    <w:p w:rsidR="00F26175" w:rsidRPr="007608C2" w:rsidRDefault="00F26175" w:rsidP="00F26175">
      <w:pPr>
        <w:spacing w:after="0" w:line="240" w:lineRule="auto"/>
        <w:contextualSpacing/>
        <w:jc w:val="both"/>
        <w:rPr>
          <w:rFonts w:cs="Arial"/>
        </w:rPr>
      </w:pPr>
      <w:r w:rsidRPr="007608C2">
        <w:rPr>
          <w:rFonts w:cs="Arial"/>
        </w:rPr>
        <w:t xml:space="preserve">Estos fueron implementados de forma articulada por la Dirección de Información y Tecnología, Áreas Funcionales y Dirección de Planeación, a través de su estrategia de racionalización de trámites y se encuentran ubicados en la ventanilla única de trámites y servicios del Portal Web de la Entidad, en el siguiente link: </w:t>
      </w:r>
      <w:hyperlink r:id="rId51" w:history="1">
        <w:r w:rsidRPr="007608C2">
          <w:rPr>
            <w:rFonts w:cs="Arial"/>
          </w:rPr>
          <w:t>http://www.icbf.gov.co/portal/page/portal/PortalICBF/Servicios/vus</w:t>
        </w:r>
      </w:hyperlink>
    </w:p>
    <w:p w:rsidR="00F26175" w:rsidRDefault="00F26175" w:rsidP="00F26175">
      <w:pPr>
        <w:spacing w:after="0" w:line="240" w:lineRule="auto"/>
        <w:contextualSpacing/>
        <w:jc w:val="both"/>
        <w:rPr>
          <w:rFonts w:cs="Arial"/>
        </w:rPr>
      </w:pPr>
      <w:r w:rsidRPr="007608C2">
        <w:rPr>
          <w:rFonts w:cs="Arial"/>
        </w:rPr>
        <w:lastRenderedPageBreak/>
        <w:t xml:space="preserve"> Así mismo, se fortaleció el canal virtual a través del desarrollo tecnológico del formulario del portal Web para la recepción y gestión de PQRSD, el cual se alineó a los requerimientos de la Resolución 3564 de 2015 de MINTIC.</w:t>
      </w:r>
    </w:p>
    <w:p w:rsidR="003E1FAD" w:rsidRPr="007608C2" w:rsidRDefault="003E1FAD" w:rsidP="00F26175">
      <w:pPr>
        <w:spacing w:after="0" w:line="240" w:lineRule="auto"/>
        <w:contextualSpacing/>
        <w:jc w:val="both"/>
        <w:rPr>
          <w:rFonts w:cs="Arial"/>
        </w:rPr>
      </w:pPr>
    </w:p>
    <w:p w:rsidR="00F26175" w:rsidRPr="007608C2" w:rsidRDefault="00F26175" w:rsidP="00F26175">
      <w:pPr>
        <w:spacing w:after="0" w:line="240" w:lineRule="auto"/>
        <w:contextualSpacing/>
        <w:jc w:val="both"/>
        <w:rPr>
          <w:rFonts w:cs="Arial"/>
        </w:rPr>
      </w:pPr>
      <w:r w:rsidRPr="007608C2">
        <w:rPr>
          <w:rFonts w:cs="Arial"/>
        </w:rPr>
        <w:t>Con relación a los procesos de interoperabilidad de Ruta de la Excelencia, se adelantaron acciones en relación al trámite de Libreta Militar en Línea, en el que se envió la documentación para que fuera firmado el convenio entre ICBF y el Ejército Nacional cuyo Objeto fue “Aunar esfuerzos técnicos y administrativos para definir la situación militar de los jóvenes y adolescentes que se encuentran vinculados al Proceso Administrativo de Restablecimiento de Derech</w:t>
      </w:r>
      <w:r w:rsidR="008B3017">
        <w:rPr>
          <w:rFonts w:cs="Arial"/>
        </w:rPr>
        <w:t>os – PARD, con declaratoria de a</w:t>
      </w:r>
      <w:r w:rsidRPr="007608C2">
        <w:rPr>
          <w:rFonts w:cs="Arial"/>
        </w:rPr>
        <w:t>doptabilidad, a través del intercambio de información para la aplicación de la exención de la prestación del servicio militar”; actualmente se encuentran adelantados l</w:t>
      </w:r>
      <w:r w:rsidR="009D3362" w:rsidRPr="007608C2">
        <w:rPr>
          <w:rFonts w:cs="Arial"/>
        </w:rPr>
        <w:t>os estudios previos para que se</w:t>
      </w:r>
      <w:r w:rsidRPr="007608C2">
        <w:rPr>
          <w:rFonts w:cs="Arial"/>
        </w:rPr>
        <w:t xml:space="preserve"> firme un convenio marco entre el ICBF con el Ejército Nacional donde se incluya el tema del servicio de WEB SERVICE, acciones que se vienen desarrollando con la Dirección de Reclutamiento del Ejército Nacional de Colombia.</w:t>
      </w:r>
    </w:p>
    <w:p w:rsidR="00F26175" w:rsidRPr="007608C2" w:rsidRDefault="00F26175" w:rsidP="00F26175">
      <w:pPr>
        <w:spacing w:before="100" w:beforeAutospacing="1" w:after="100" w:afterAutospacing="1" w:line="240" w:lineRule="auto"/>
        <w:ind w:left="360"/>
        <w:jc w:val="both"/>
        <w:rPr>
          <w:rFonts w:eastAsia="Times New Roman" w:cs="Arial"/>
        </w:rPr>
      </w:pPr>
      <w:r w:rsidRPr="007608C2">
        <w:rPr>
          <w:rFonts w:eastAsia="Times New Roman" w:cs="Arial"/>
          <w:b/>
          <w:u w:val="single"/>
        </w:rPr>
        <w:t>Componente TIC para la gestión</w:t>
      </w:r>
      <w:r w:rsidRPr="007608C2">
        <w:rPr>
          <w:rFonts w:eastAsia="Times New Roman" w:cs="Arial"/>
          <w:b/>
        </w:rPr>
        <w:t>:</w:t>
      </w:r>
      <w:r w:rsidRPr="007608C2">
        <w:rPr>
          <w:rFonts w:eastAsia="Times New Roman" w:cs="Arial"/>
        </w:rPr>
        <w:t xml:space="preserve"> </w:t>
      </w:r>
    </w:p>
    <w:p w:rsidR="00F26175" w:rsidRPr="003E1FAD" w:rsidRDefault="00F26175" w:rsidP="00A44A2B">
      <w:pPr>
        <w:numPr>
          <w:ilvl w:val="0"/>
          <w:numId w:val="154"/>
        </w:numPr>
        <w:spacing w:after="0"/>
        <w:contextualSpacing/>
        <w:jc w:val="both"/>
        <w:rPr>
          <w:rFonts w:cs="Arial"/>
          <w:lang w:val="es-MX"/>
        </w:rPr>
      </w:pPr>
      <w:r w:rsidRPr="003E1FAD">
        <w:rPr>
          <w:rFonts w:cs="Arial"/>
          <w:lang w:val="es-MX"/>
        </w:rPr>
        <w:t>En trabajo conjunto con la Oficina Asesora Jurídica, La Subdirección de Mejoramiento y la Dirección de Tecnología, se logró diseñar el esquema de Gobierno de TI aprobado a través de la resolución 7454 y cuya socialización se realiza a través de correo e infografía a los equipos de trabajo de la DIT y enlaces de áreas.</w:t>
      </w:r>
    </w:p>
    <w:p w:rsidR="008B3017" w:rsidRPr="003E1FAD" w:rsidRDefault="008B3017" w:rsidP="003E1FAD">
      <w:pPr>
        <w:spacing w:after="0"/>
        <w:ind w:left="360"/>
        <w:contextualSpacing/>
        <w:jc w:val="both"/>
        <w:rPr>
          <w:rFonts w:cs="Arial"/>
          <w:lang w:val="es-MX"/>
        </w:rPr>
      </w:pPr>
    </w:p>
    <w:p w:rsidR="008B3017" w:rsidRDefault="00F26175" w:rsidP="00A44A2B">
      <w:pPr>
        <w:numPr>
          <w:ilvl w:val="0"/>
          <w:numId w:val="154"/>
        </w:numPr>
        <w:spacing w:after="0"/>
        <w:contextualSpacing/>
        <w:jc w:val="both"/>
        <w:rPr>
          <w:rFonts w:cs="Arial"/>
          <w:lang w:val="es-MX"/>
        </w:rPr>
      </w:pPr>
      <w:r w:rsidRPr="003E1FAD">
        <w:rPr>
          <w:rFonts w:cs="Arial"/>
          <w:lang w:val="es-MX"/>
        </w:rPr>
        <w:t>Se construyó la propuesta del catálogo de sistemas de información de acuerdo a la guía de MinTIC el cual fue presentado para observaciones por parte de la Subdirección de Sistemas Integrados de Información, simultáneamente se socializó el catalogó con los líderes de proyecto, quienes propusieron ajustes funcionales al catálogo e incluir los campos necesarios para la compatibilidad del catálogo de Servicios de la DIT.</w:t>
      </w:r>
    </w:p>
    <w:p w:rsidR="003E1FAD" w:rsidRPr="003E1FAD" w:rsidRDefault="003E1FAD" w:rsidP="003E1FAD">
      <w:pPr>
        <w:spacing w:after="0"/>
        <w:contextualSpacing/>
        <w:jc w:val="both"/>
        <w:rPr>
          <w:rFonts w:cs="Arial"/>
          <w:lang w:val="es-MX"/>
        </w:rPr>
      </w:pPr>
    </w:p>
    <w:p w:rsidR="00F26175" w:rsidRPr="003E1FAD" w:rsidRDefault="00F26175" w:rsidP="00A44A2B">
      <w:pPr>
        <w:numPr>
          <w:ilvl w:val="0"/>
          <w:numId w:val="154"/>
        </w:numPr>
        <w:spacing w:after="0"/>
        <w:contextualSpacing/>
        <w:jc w:val="both"/>
        <w:rPr>
          <w:rFonts w:cs="Arial"/>
          <w:lang w:val="es-MX"/>
        </w:rPr>
      </w:pPr>
      <w:r w:rsidRPr="003E1FAD">
        <w:rPr>
          <w:rFonts w:cs="Arial"/>
          <w:lang w:val="es-MX"/>
        </w:rPr>
        <w:t xml:space="preserve">Durante la vigencia se inició la construcción por parte del Equipo de Arquitectura de la SSII- DIT de la Guía de Desarrollo y Arquitectura de TI, en reunión de seguimiento TIC se designó como responsable de la actividad al Equipo de Arquitectura de la Subdirección de Sistemas integrados de información; al finalizar la vigencia se logró contar con la primera versión de la sección “4.2.2. Estructura de proyectos” en el que se adicionan lineamientos de arquitectura para la auditoria y </w:t>
      </w:r>
      <w:r w:rsidR="009D3362" w:rsidRPr="003E1FAD">
        <w:rPr>
          <w:rFonts w:cs="Arial"/>
          <w:lang w:val="es-MX"/>
        </w:rPr>
        <w:t>logística</w:t>
      </w:r>
      <w:r w:rsidRPr="003E1FAD">
        <w:rPr>
          <w:rFonts w:cs="Arial"/>
          <w:lang w:val="es-MX"/>
        </w:rPr>
        <w:t xml:space="preserve"> de eventos. </w:t>
      </w:r>
    </w:p>
    <w:p w:rsidR="00F26175" w:rsidRPr="007608C2" w:rsidRDefault="00F26175" w:rsidP="00F26175">
      <w:pPr>
        <w:spacing w:before="100" w:beforeAutospacing="1" w:after="100" w:afterAutospacing="1" w:line="240" w:lineRule="auto"/>
        <w:ind w:left="360"/>
        <w:jc w:val="both"/>
        <w:rPr>
          <w:rFonts w:eastAsia="Times New Roman" w:cs="Arial"/>
        </w:rPr>
      </w:pPr>
      <w:r w:rsidRPr="007608C2">
        <w:rPr>
          <w:rFonts w:eastAsia="Times New Roman" w:cs="Arial"/>
          <w:b/>
          <w:u w:val="single"/>
        </w:rPr>
        <w:t>Componente Seguridad y Privacidad de la Información</w:t>
      </w:r>
      <w:r w:rsidRPr="007608C2">
        <w:rPr>
          <w:rFonts w:eastAsia="Times New Roman" w:cs="Arial"/>
          <w:b/>
        </w:rPr>
        <w:t>:</w:t>
      </w:r>
      <w:r w:rsidRPr="007608C2">
        <w:rPr>
          <w:rFonts w:eastAsia="Times New Roman" w:cs="Arial"/>
        </w:rPr>
        <w:t xml:space="preserve"> </w:t>
      </w:r>
    </w:p>
    <w:p w:rsidR="00F26175" w:rsidRDefault="00F26175" w:rsidP="00A44A2B">
      <w:pPr>
        <w:numPr>
          <w:ilvl w:val="0"/>
          <w:numId w:val="16"/>
        </w:numPr>
        <w:spacing w:before="100" w:beforeAutospacing="1" w:after="100" w:afterAutospacing="1" w:line="240" w:lineRule="auto"/>
        <w:jc w:val="both"/>
        <w:rPr>
          <w:rFonts w:eastAsia="Times New Roman" w:cs="Arial"/>
        </w:rPr>
      </w:pPr>
      <w:r w:rsidRPr="007608C2">
        <w:rPr>
          <w:rFonts w:eastAsia="Times New Roman" w:cs="Arial"/>
        </w:rPr>
        <w:t>Se continuó con los 15 procesos publicados en la Intranet, y con respecto al proceso de servicios administrativos, durante la vigencia se adelantaron acciones para el trámite de revisión y aprobación de activos de información por parte de la Dirección Administrativa.</w:t>
      </w:r>
    </w:p>
    <w:p w:rsidR="003E1FAD" w:rsidRPr="007608C2" w:rsidRDefault="003E1FAD" w:rsidP="003E1FAD">
      <w:pPr>
        <w:spacing w:before="100" w:beforeAutospacing="1" w:after="100" w:afterAutospacing="1" w:line="240" w:lineRule="auto"/>
        <w:ind w:left="780"/>
        <w:jc w:val="both"/>
        <w:rPr>
          <w:rFonts w:eastAsia="Times New Roman" w:cs="Arial"/>
        </w:rPr>
      </w:pPr>
    </w:p>
    <w:p w:rsidR="00F26175" w:rsidRPr="007608C2" w:rsidRDefault="00F26175" w:rsidP="00A44A2B">
      <w:pPr>
        <w:numPr>
          <w:ilvl w:val="0"/>
          <w:numId w:val="16"/>
        </w:numPr>
        <w:spacing w:before="100" w:beforeAutospacing="1" w:after="100" w:afterAutospacing="1" w:line="240" w:lineRule="auto"/>
        <w:jc w:val="both"/>
        <w:rPr>
          <w:rFonts w:eastAsia="Times New Roman" w:cs="Arial"/>
        </w:rPr>
      </w:pPr>
      <w:r w:rsidRPr="007608C2">
        <w:rPr>
          <w:rFonts w:eastAsia="Times New Roman" w:cs="Arial"/>
        </w:rPr>
        <w:lastRenderedPageBreak/>
        <w:t xml:space="preserve">Se realizó propuesta de actualización de la política de protección de datos personales con control de cambios para la validación por parte de la Oficina Asesora Jurídica y se está a la espera de sus observaciones. </w:t>
      </w:r>
    </w:p>
    <w:p w:rsidR="00F26175" w:rsidRPr="007608C2" w:rsidRDefault="00F26175" w:rsidP="00A44A2B">
      <w:pPr>
        <w:pStyle w:val="Prrafodelista"/>
        <w:keepNext/>
        <w:keepLines/>
        <w:numPr>
          <w:ilvl w:val="1"/>
          <w:numId w:val="50"/>
        </w:numPr>
        <w:spacing w:before="100" w:beforeAutospacing="1" w:after="100" w:afterAutospacing="1" w:line="240" w:lineRule="auto"/>
        <w:jc w:val="both"/>
        <w:outlineLvl w:val="1"/>
        <w:rPr>
          <w:rFonts w:eastAsiaTheme="majorEastAsia" w:cs="Arial"/>
          <w:b/>
        </w:rPr>
      </w:pPr>
      <w:bookmarkStart w:id="134" w:name="_Toc503465536"/>
      <w:bookmarkStart w:id="135" w:name="_Toc505183087"/>
      <w:r w:rsidRPr="007608C2">
        <w:rPr>
          <w:rFonts w:eastAsiaTheme="majorEastAsia" w:cs="Arial"/>
          <w:b/>
        </w:rPr>
        <w:t>Participación, Rendición de cuentas y mesas públicas</w:t>
      </w:r>
      <w:bookmarkEnd w:id="134"/>
      <w:bookmarkEnd w:id="135"/>
    </w:p>
    <w:p w:rsidR="00F26175" w:rsidRPr="007608C2" w:rsidRDefault="00F26175" w:rsidP="00F26175">
      <w:pPr>
        <w:spacing w:before="100" w:beforeAutospacing="1" w:after="100" w:afterAutospacing="1" w:line="240" w:lineRule="auto"/>
        <w:jc w:val="both"/>
        <w:rPr>
          <w:rFonts w:eastAsiaTheme="majorEastAsia" w:cs="Arial"/>
          <w:b/>
        </w:rPr>
      </w:pPr>
      <w:r w:rsidRPr="007608C2">
        <w:rPr>
          <w:rFonts w:eastAsiaTheme="majorEastAsia" w:cs="Arial"/>
          <w:b/>
        </w:rPr>
        <w:t xml:space="preserve"> Participación Ciudadana </w:t>
      </w:r>
    </w:p>
    <w:p w:rsidR="00F26175" w:rsidRPr="007608C2" w:rsidRDefault="00F26175" w:rsidP="00F26175">
      <w:pPr>
        <w:spacing w:before="100" w:beforeAutospacing="1" w:after="100" w:afterAutospacing="1" w:line="240" w:lineRule="auto"/>
        <w:contextualSpacing/>
        <w:jc w:val="both"/>
        <w:rPr>
          <w:rFonts w:eastAsia="Times New Roman" w:cs="Arial"/>
        </w:rPr>
      </w:pPr>
      <w:r w:rsidRPr="007608C2">
        <w:rPr>
          <w:rFonts w:eastAsia="Times New Roman" w:cs="Arial"/>
        </w:rPr>
        <w:t xml:space="preserve">La protección de los recursos de los niños, niñas y adolescentes, se ha convertido en un compromiso y una filosofía institucional para el ICBF. Además, contiene una fuerza trasformadora que impacta el imaginario colectivo, cuando se da la oportunidad a los ciudadanos de intervenir en la forma como la entidad, construye colectivamente su oferta de programas y servicios, en el marco de una planeación participativa. </w:t>
      </w:r>
    </w:p>
    <w:p w:rsidR="00F26175" w:rsidRPr="007608C2" w:rsidRDefault="00F26175" w:rsidP="00F26175">
      <w:pPr>
        <w:spacing w:before="100" w:beforeAutospacing="1" w:after="100" w:afterAutospacing="1" w:line="240" w:lineRule="auto"/>
        <w:ind w:left="720"/>
        <w:contextualSpacing/>
        <w:jc w:val="both"/>
        <w:rPr>
          <w:rFonts w:eastAsia="Times New Roman" w:cs="Arial"/>
        </w:rPr>
      </w:pPr>
    </w:p>
    <w:p w:rsidR="00F26175" w:rsidRPr="007608C2" w:rsidRDefault="00F26175" w:rsidP="00F26175">
      <w:pPr>
        <w:spacing w:before="100" w:beforeAutospacing="1" w:after="100" w:afterAutospacing="1" w:line="240" w:lineRule="auto"/>
        <w:contextualSpacing/>
        <w:jc w:val="both"/>
        <w:rPr>
          <w:rFonts w:eastAsia="Times New Roman" w:cs="Arial"/>
        </w:rPr>
      </w:pPr>
      <w:r w:rsidRPr="007608C2">
        <w:rPr>
          <w:rFonts w:eastAsia="Times New Roman" w:cs="Arial"/>
        </w:rPr>
        <w:t>Para el ICBF, el mayor poder transformador consiste en potencializar el ejercicio de los derechos ciudadanos a partir del derecho a la participación. Ciudadanos empoderados en la planeación, ejecución y control a los recursos públicos destinados a la atención integral gubernamental de niños, niñas y adolescentes, que recuperan la confianza en las instituciones, por ello, se ha preparado el plan de participación ciudadana, vinculado estratégicamente al Plan Anticorrupción y de Atención al ciudadano, mediante el componente 6; éste da cuenta de las actividades que lideran las diferentes dependencias del ICBF dirigidas a informar, consultar, involucrar, colaborar y empoderar a los ciudadanos, como se detalla a continuación:</w:t>
      </w:r>
    </w:p>
    <w:p w:rsidR="00F26175" w:rsidRPr="007608C2" w:rsidRDefault="00F26175" w:rsidP="00F26175">
      <w:pPr>
        <w:spacing w:before="100" w:beforeAutospacing="1" w:after="100" w:afterAutospacing="1" w:line="240" w:lineRule="auto"/>
        <w:contextualSpacing/>
        <w:jc w:val="both"/>
        <w:rPr>
          <w:rFonts w:cs="Arial"/>
        </w:rPr>
      </w:pPr>
    </w:p>
    <w:p w:rsidR="00F26175" w:rsidRPr="007608C2" w:rsidRDefault="00F26175" w:rsidP="003E1FAD">
      <w:pPr>
        <w:spacing w:before="100" w:beforeAutospacing="1" w:after="100" w:afterAutospacing="1" w:line="240" w:lineRule="auto"/>
        <w:contextualSpacing/>
        <w:jc w:val="center"/>
        <w:rPr>
          <w:rFonts w:cs="Arial"/>
          <w:i/>
          <w:lang w:val="es-CO"/>
        </w:rPr>
      </w:pPr>
      <w:r w:rsidRPr="007608C2">
        <w:rPr>
          <w:rFonts w:cs="Arial"/>
          <w:noProof/>
          <w:lang w:val="es-CO" w:eastAsia="es-CO"/>
        </w:rPr>
        <w:drawing>
          <wp:inline distT="0" distB="0" distL="0" distR="0" wp14:anchorId="79EA0A72" wp14:editId="229FC0D6">
            <wp:extent cx="4595854" cy="2348991"/>
            <wp:effectExtent l="0" t="0" r="0" b="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6170" t="37051" r="20000" b="19454"/>
                    <a:stretch/>
                  </pic:blipFill>
                  <pic:spPr bwMode="auto">
                    <a:xfrm>
                      <a:off x="0" y="0"/>
                      <a:ext cx="4601153" cy="2351699"/>
                    </a:xfrm>
                    <a:prstGeom prst="rect">
                      <a:avLst/>
                    </a:prstGeom>
                    <a:ln>
                      <a:noFill/>
                    </a:ln>
                    <a:extLst>
                      <a:ext uri="{53640926-AAD7-44D8-BBD7-CCE9431645EC}">
                        <a14:shadowObscured xmlns:a14="http://schemas.microsoft.com/office/drawing/2010/main"/>
                      </a:ext>
                    </a:extLst>
                  </pic:spPr>
                </pic:pic>
              </a:graphicData>
            </a:graphic>
          </wp:inline>
        </w:drawing>
      </w:r>
    </w:p>
    <w:p w:rsidR="00F26175" w:rsidRPr="007608C2" w:rsidRDefault="003E1FAD" w:rsidP="00985A5D">
      <w:pPr>
        <w:spacing w:after="100" w:afterAutospacing="1" w:line="240" w:lineRule="auto"/>
        <w:contextualSpacing/>
        <w:rPr>
          <w:rFonts w:cs="Arial"/>
          <w:i/>
          <w:sz w:val="16"/>
          <w:lang w:val="es-CO"/>
        </w:rPr>
      </w:pPr>
      <w:r>
        <w:rPr>
          <w:rFonts w:cs="Arial"/>
          <w:i/>
          <w:sz w:val="18"/>
          <w:lang w:val="es-CO"/>
        </w:rPr>
        <w:t xml:space="preserve">                    </w:t>
      </w:r>
      <w:r w:rsidR="00F26175" w:rsidRPr="007608C2">
        <w:rPr>
          <w:rFonts w:cs="Arial"/>
          <w:i/>
          <w:sz w:val="18"/>
          <w:lang w:val="es-CO"/>
        </w:rPr>
        <w:t>Niveles de participación ciudadana fortalecidos a través del Plan. Vigencia 2017, ICBF</w:t>
      </w:r>
    </w:p>
    <w:p w:rsidR="00F26175" w:rsidRPr="007608C2" w:rsidRDefault="00F26175" w:rsidP="00985A5D">
      <w:pPr>
        <w:spacing w:after="100" w:afterAutospacing="1" w:line="240" w:lineRule="auto"/>
        <w:contextualSpacing/>
        <w:jc w:val="both"/>
        <w:rPr>
          <w:rFonts w:cs="Arial"/>
          <w:i/>
          <w:lang w:val="es-CO"/>
        </w:rPr>
      </w:pPr>
    </w:p>
    <w:p w:rsidR="00F26175" w:rsidRPr="007608C2" w:rsidRDefault="00F26175" w:rsidP="00F26175">
      <w:pPr>
        <w:spacing w:before="100" w:beforeAutospacing="1" w:after="100" w:afterAutospacing="1" w:line="240" w:lineRule="auto"/>
        <w:jc w:val="both"/>
        <w:rPr>
          <w:rFonts w:eastAsia="Times New Roman" w:cs="Arial"/>
        </w:rPr>
      </w:pPr>
      <w:r w:rsidRPr="007608C2">
        <w:rPr>
          <w:rFonts w:eastAsia="Times New Roman" w:cs="Arial"/>
        </w:rPr>
        <w:t>Durante el año 2017, se llevó a cabo la revisión y ajuste del plan, consolidando 34 actividades desarrolladas en el marco de la ejecución de la oferta misional. Como resultado del seguimiento al plan de participación ciudadana institucional, que viene realizando la Dirección de Servicios y Atención, se destacan los siguientes logros:</w:t>
      </w:r>
    </w:p>
    <w:p w:rsidR="003E1FAD" w:rsidRDefault="00F26175" w:rsidP="00A44A2B">
      <w:pPr>
        <w:numPr>
          <w:ilvl w:val="0"/>
          <w:numId w:val="154"/>
        </w:numPr>
        <w:tabs>
          <w:tab w:val="num" w:pos="720"/>
        </w:tabs>
        <w:spacing w:after="0"/>
        <w:contextualSpacing/>
        <w:jc w:val="both"/>
        <w:rPr>
          <w:rFonts w:cs="Arial"/>
          <w:lang w:val="es-MX"/>
        </w:rPr>
      </w:pPr>
      <w:r w:rsidRPr="003E1FAD">
        <w:rPr>
          <w:rFonts w:cs="Arial"/>
          <w:lang w:val="es-MX"/>
        </w:rPr>
        <w:lastRenderedPageBreak/>
        <w:t>1.466 ejercicios de promoción de la participación significativa y control social de niños, niñas y adolescentes en políticas públicas, programas, proyectos y estrategias desarrolladas en el territorio.</w:t>
      </w:r>
    </w:p>
    <w:p w:rsidR="003E1FAD" w:rsidRPr="003E1FAD" w:rsidRDefault="003E1FAD" w:rsidP="003E1FAD">
      <w:pPr>
        <w:spacing w:after="0"/>
        <w:ind w:left="360"/>
        <w:contextualSpacing/>
        <w:jc w:val="both"/>
        <w:rPr>
          <w:rFonts w:cs="Arial"/>
          <w:lang w:val="es-MX"/>
        </w:rPr>
      </w:pPr>
    </w:p>
    <w:p w:rsidR="00F26175" w:rsidRDefault="00F26175" w:rsidP="00A44A2B">
      <w:pPr>
        <w:numPr>
          <w:ilvl w:val="0"/>
          <w:numId w:val="154"/>
        </w:numPr>
        <w:spacing w:after="0"/>
        <w:contextualSpacing/>
        <w:jc w:val="both"/>
        <w:rPr>
          <w:rFonts w:cs="Arial"/>
          <w:lang w:val="es-MX"/>
        </w:rPr>
      </w:pPr>
      <w:r w:rsidRPr="003E1FAD">
        <w:rPr>
          <w:rFonts w:cs="Arial"/>
          <w:lang w:val="es-MX"/>
        </w:rPr>
        <w:t>Participación del ICBF en las Ferias Nacionales de Servicio al Ciudadano organizadas por el DNP, así como en otras jornadas de servicio a lo largo del país, organizadas por diferentes entidades, en las que han sido ate</w:t>
      </w:r>
      <w:r w:rsidR="003E1FAD">
        <w:rPr>
          <w:rFonts w:cs="Arial"/>
          <w:lang w:val="es-MX"/>
        </w:rPr>
        <w:t>ndidos más de 2.500 ciudadanos.</w:t>
      </w:r>
    </w:p>
    <w:p w:rsidR="003E1FAD" w:rsidRPr="003E1FAD" w:rsidRDefault="003E1FAD" w:rsidP="003E1FAD">
      <w:pPr>
        <w:spacing w:after="0"/>
        <w:contextualSpacing/>
        <w:jc w:val="both"/>
        <w:rPr>
          <w:rFonts w:cs="Arial"/>
          <w:lang w:val="es-MX"/>
        </w:rPr>
      </w:pPr>
    </w:p>
    <w:p w:rsidR="00F26175" w:rsidRDefault="00F26175" w:rsidP="00A44A2B">
      <w:pPr>
        <w:numPr>
          <w:ilvl w:val="0"/>
          <w:numId w:val="154"/>
        </w:numPr>
        <w:spacing w:after="0"/>
        <w:contextualSpacing/>
        <w:jc w:val="both"/>
        <w:rPr>
          <w:rFonts w:cs="Arial"/>
          <w:lang w:val="es-MX"/>
        </w:rPr>
      </w:pPr>
      <w:r w:rsidRPr="003E1FAD">
        <w:rPr>
          <w:rFonts w:cs="Arial"/>
          <w:lang w:val="es-MX"/>
        </w:rPr>
        <w:t>32 mesas públicas de Bienestarina y Seguridad Alimentaria, que son espacios en los cuáles se promueve el control social frente a la distribución y el uso de alimentos de alto valor nutricional; en estas participaron 2402 ciudadanos.</w:t>
      </w:r>
    </w:p>
    <w:p w:rsidR="003E1FAD" w:rsidRPr="003E1FAD" w:rsidRDefault="003E1FAD" w:rsidP="003E1FAD">
      <w:pPr>
        <w:spacing w:after="0"/>
        <w:contextualSpacing/>
        <w:jc w:val="both"/>
        <w:rPr>
          <w:rFonts w:cs="Arial"/>
          <w:lang w:val="es-MX"/>
        </w:rPr>
      </w:pPr>
    </w:p>
    <w:p w:rsidR="003E1FAD" w:rsidRDefault="00F26175" w:rsidP="00A44A2B">
      <w:pPr>
        <w:numPr>
          <w:ilvl w:val="0"/>
          <w:numId w:val="154"/>
        </w:numPr>
        <w:spacing w:after="0"/>
        <w:contextualSpacing/>
        <w:jc w:val="both"/>
        <w:rPr>
          <w:rFonts w:cs="Arial"/>
          <w:lang w:val="es-MX"/>
        </w:rPr>
      </w:pPr>
      <w:r w:rsidRPr="003E1FAD">
        <w:rPr>
          <w:rFonts w:cs="Arial"/>
          <w:lang w:val="es-MX"/>
        </w:rPr>
        <w:t>Avance de la estrategia de acompañamiento Plan Superamigos, que tiene como objetivo vincular a personas naturales o familias para crear vínculos de acompañamiento, escucha y apoyo a los niños, niñas y adolescentes que están bajo el cuidado del ICBF.</w:t>
      </w:r>
    </w:p>
    <w:p w:rsidR="00F26175" w:rsidRPr="003E1FAD" w:rsidRDefault="00F26175" w:rsidP="003E1FAD">
      <w:pPr>
        <w:spacing w:after="0"/>
        <w:contextualSpacing/>
        <w:jc w:val="both"/>
        <w:rPr>
          <w:rFonts w:cs="Arial"/>
          <w:lang w:val="es-MX"/>
        </w:rPr>
      </w:pPr>
      <w:r w:rsidRPr="003E1FAD">
        <w:rPr>
          <w:rFonts w:cs="Arial"/>
          <w:lang w:val="es-MX"/>
        </w:rPr>
        <w:t xml:space="preserve"> </w:t>
      </w:r>
    </w:p>
    <w:p w:rsidR="003E1FAD" w:rsidRDefault="00F26175" w:rsidP="00A44A2B">
      <w:pPr>
        <w:numPr>
          <w:ilvl w:val="0"/>
          <w:numId w:val="154"/>
        </w:numPr>
        <w:spacing w:after="0"/>
        <w:contextualSpacing/>
        <w:jc w:val="both"/>
        <w:rPr>
          <w:rFonts w:cs="Arial"/>
          <w:lang w:val="es-MX"/>
        </w:rPr>
      </w:pPr>
      <w:r w:rsidRPr="003E1FAD">
        <w:rPr>
          <w:rFonts w:cs="Arial"/>
          <w:lang w:val="es-MX"/>
        </w:rPr>
        <w:t>Conformación de 33 mesas de Transparencia Regionales, espacios para el seguimiento, con</w:t>
      </w:r>
      <w:r w:rsidR="003E1FAD">
        <w:rPr>
          <w:rFonts w:cs="Arial"/>
          <w:lang w:val="es-MX"/>
        </w:rPr>
        <w:t>trol y evaluación a la gestión.</w:t>
      </w:r>
    </w:p>
    <w:p w:rsidR="003E1FAD" w:rsidRPr="003E1FAD" w:rsidRDefault="003E1FAD" w:rsidP="003E1FAD">
      <w:pPr>
        <w:spacing w:after="0"/>
        <w:contextualSpacing/>
        <w:jc w:val="both"/>
        <w:rPr>
          <w:rFonts w:cs="Arial"/>
          <w:lang w:val="es-MX"/>
        </w:rPr>
      </w:pPr>
    </w:p>
    <w:p w:rsidR="00F26175" w:rsidRDefault="00F26175" w:rsidP="00A44A2B">
      <w:pPr>
        <w:numPr>
          <w:ilvl w:val="0"/>
          <w:numId w:val="154"/>
        </w:numPr>
        <w:spacing w:after="0"/>
        <w:contextualSpacing/>
        <w:jc w:val="both"/>
        <w:rPr>
          <w:rFonts w:cs="Arial"/>
          <w:lang w:val="es-MX"/>
        </w:rPr>
      </w:pPr>
      <w:r w:rsidRPr="003E1FAD">
        <w:rPr>
          <w:rFonts w:cs="Arial"/>
          <w:lang w:val="es-MX"/>
        </w:rPr>
        <w:t>El ICBF en el marco del Convenio Interadministrativo No. 66-08-2017 suscrito con la Universidad Tecnológica de Pereira y la Gobernación de Risaralda, logró realizar el Encuentro Internacional de Planeación y Presupuestos Participativos con niños, niñas y adolescentes, los días 25 y 26 de julio de 2017 y dar inicio al proceso de movilización social en participación a niños, niñas y adolescentes en los municipios de Pereira, Santa Rosa y Dosquebradas y en redes sociales, mediante la aplicación de encuestas para conocer la opinión de los adolescentes y ciudadanía en general, acerca de cómo los adolescentes de 14 a 17 años se pueden informar y participar en la promoción de sus derechos y para conocer la definición de las temáticas para el proceso de rendición de cuentas y mesas públicas.</w:t>
      </w:r>
    </w:p>
    <w:p w:rsidR="003E1FAD" w:rsidRPr="003E1FAD" w:rsidRDefault="003E1FAD" w:rsidP="003E1FAD">
      <w:pPr>
        <w:spacing w:after="0"/>
        <w:contextualSpacing/>
        <w:jc w:val="both"/>
        <w:rPr>
          <w:rFonts w:cs="Arial"/>
          <w:lang w:val="es-MX"/>
        </w:rPr>
      </w:pPr>
    </w:p>
    <w:p w:rsidR="00F26175" w:rsidRDefault="00F26175" w:rsidP="00A44A2B">
      <w:pPr>
        <w:numPr>
          <w:ilvl w:val="0"/>
          <w:numId w:val="154"/>
        </w:numPr>
        <w:spacing w:after="0"/>
        <w:contextualSpacing/>
        <w:jc w:val="both"/>
        <w:rPr>
          <w:rFonts w:cs="Arial"/>
          <w:lang w:val="es-MX"/>
        </w:rPr>
      </w:pPr>
      <w:r w:rsidRPr="003E1FAD">
        <w:rPr>
          <w:rFonts w:cs="Arial"/>
          <w:lang w:val="es-MX"/>
        </w:rPr>
        <w:t>Se implementó la Asistencia Técnica de mesas de participación de niños, niñas y adolescentes a través del convenio 1299 de 2017 en conjunto con Save the Children y UNICEF, para la promoción de territorios amigo de la niñez, estrategia para la dinamización del SNBF, se definieron los contenidos a trabajar con las entidades territoriales y se priorizaron los siguientes municipios: Buenaventura, Páez, Guapi, Inzá, Totoró, Villa Rica, Buenos Aires, Suárez, Jurado, Nuquí, Bahía Solano, San Andrés de Sotavento, San Onofre, Manaure, Uribia, Puerto Guzman, Barbacoas y Ricaurte (Nariño).</w:t>
      </w:r>
    </w:p>
    <w:p w:rsidR="003E1FAD" w:rsidRPr="003E1FAD" w:rsidRDefault="003E1FAD" w:rsidP="003E1FAD">
      <w:pPr>
        <w:spacing w:after="0"/>
        <w:contextualSpacing/>
        <w:jc w:val="both"/>
        <w:rPr>
          <w:rFonts w:cs="Arial"/>
          <w:lang w:val="es-MX"/>
        </w:rPr>
      </w:pPr>
    </w:p>
    <w:p w:rsidR="00F26175" w:rsidRDefault="00F26175" w:rsidP="00A44A2B">
      <w:pPr>
        <w:numPr>
          <w:ilvl w:val="0"/>
          <w:numId w:val="154"/>
        </w:numPr>
        <w:spacing w:after="0"/>
        <w:contextualSpacing/>
        <w:jc w:val="both"/>
        <w:rPr>
          <w:rFonts w:cs="Arial"/>
          <w:lang w:val="es-MX"/>
        </w:rPr>
      </w:pPr>
      <w:r w:rsidRPr="003E1FAD">
        <w:rPr>
          <w:rFonts w:cs="Arial"/>
          <w:lang w:val="es-MX"/>
        </w:rPr>
        <w:t xml:space="preserve">Se fortaleció la participación de veedurías ciudadanas, mediante 10 jornadas de trabajo con comunidades en la Guajira, para generar apropiación en la ciudadanía frente al servicio, </w:t>
      </w:r>
      <w:r w:rsidRPr="003E1FAD">
        <w:rPr>
          <w:rFonts w:cs="Arial"/>
          <w:lang w:val="es-MX"/>
        </w:rPr>
        <w:lastRenderedPageBreak/>
        <w:t>seguir avanzando con las comunidades y sus autoridades en la construcción conjunta de acciones para la primera infancia y contribuir a la veeduría de l</w:t>
      </w:r>
      <w:r w:rsidR="003E1FAD">
        <w:rPr>
          <w:rFonts w:cs="Arial"/>
          <w:lang w:val="es-MX"/>
        </w:rPr>
        <w:t>a modalidad propia.</w:t>
      </w:r>
    </w:p>
    <w:p w:rsidR="003E1FAD" w:rsidRPr="003E1FAD" w:rsidRDefault="003E1FAD" w:rsidP="003E1FAD">
      <w:pPr>
        <w:spacing w:after="0"/>
        <w:contextualSpacing/>
        <w:jc w:val="both"/>
        <w:rPr>
          <w:rFonts w:cs="Arial"/>
          <w:lang w:val="es-MX"/>
        </w:rPr>
      </w:pPr>
    </w:p>
    <w:p w:rsidR="00F26175" w:rsidRDefault="00F26175" w:rsidP="00A44A2B">
      <w:pPr>
        <w:numPr>
          <w:ilvl w:val="0"/>
          <w:numId w:val="154"/>
        </w:numPr>
        <w:spacing w:after="0"/>
        <w:contextualSpacing/>
        <w:jc w:val="both"/>
        <w:rPr>
          <w:rFonts w:cs="Arial"/>
          <w:lang w:val="es-MX"/>
        </w:rPr>
      </w:pPr>
      <w:r w:rsidRPr="003E1FAD">
        <w:rPr>
          <w:rFonts w:cs="Arial"/>
          <w:lang w:val="es-MX"/>
        </w:rPr>
        <w:t>Se avanzó en la construcción de plan de seguimiento a la implementación de documentos en países de Latinoamérica (Colombia, México, Perú, Ecuador, El Salvador y Uruguay), por parte del Instituto Interamericano del Niño, la Niña y Adolescentes - (INN), para el fortalecimiento de participación de niños, niñas y adolescentes.</w:t>
      </w:r>
    </w:p>
    <w:p w:rsidR="003E1FAD" w:rsidRPr="003E1FAD" w:rsidRDefault="003E1FAD" w:rsidP="003E1FAD">
      <w:pPr>
        <w:spacing w:after="0"/>
        <w:contextualSpacing/>
        <w:jc w:val="both"/>
        <w:rPr>
          <w:rFonts w:cs="Arial"/>
          <w:lang w:val="es-MX"/>
        </w:rPr>
      </w:pPr>
    </w:p>
    <w:p w:rsidR="00F26175" w:rsidRDefault="00F26175" w:rsidP="00A44A2B">
      <w:pPr>
        <w:numPr>
          <w:ilvl w:val="0"/>
          <w:numId w:val="154"/>
        </w:numPr>
        <w:spacing w:after="0"/>
        <w:contextualSpacing/>
        <w:jc w:val="both"/>
        <w:rPr>
          <w:rFonts w:cs="Arial"/>
          <w:lang w:val="es-MX"/>
        </w:rPr>
      </w:pPr>
      <w:r w:rsidRPr="003E1FAD">
        <w:rPr>
          <w:rFonts w:cs="Arial"/>
          <w:lang w:val="es-MX"/>
        </w:rPr>
        <w:t>Durante el último trimestre del 2017, se adelantaron acciones para el fortalecimiento en la promoción de los derechos de adolescentes, con énfasis en el derecho a la participación, a través del empoderamiento de los participantes para la incidencia mediática y política.</w:t>
      </w:r>
    </w:p>
    <w:p w:rsidR="003E1FAD" w:rsidRPr="003E1FAD" w:rsidRDefault="003E1FAD" w:rsidP="003E1FAD">
      <w:pPr>
        <w:spacing w:after="0"/>
        <w:contextualSpacing/>
        <w:jc w:val="both"/>
        <w:rPr>
          <w:rFonts w:cs="Arial"/>
          <w:lang w:val="es-MX"/>
        </w:rPr>
      </w:pPr>
    </w:p>
    <w:p w:rsidR="00F26175" w:rsidRDefault="00F26175" w:rsidP="00A44A2B">
      <w:pPr>
        <w:numPr>
          <w:ilvl w:val="0"/>
          <w:numId w:val="154"/>
        </w:numPr>
        <w:spacing w:after="0"/>
        <w:contextualSpacing/>
        <w:jc w:val="both"/>
        <w:rPr>
          <w:rFonts w:cs="Arial"/>
          <w:lang w:val="es-MX"/>
        </w:rPr>
      </w:pPr>
      <w:r w:rsidRPr="003E1FAD">
        <w:rPr>
          <w:rFonts w:cs="Arial"/>
          <w:lang w:val="es-MX"/>
        </w:rPr>
        <w:t>Se promovió el fortalecimiento y activación de capacidades y recursos para que las familias continúen gestionando y promoviendo su desarrollo local, mediante la participación en 35 encuentros para la formación de agentes de cambio en municipios del departamento de Huila.</w:t>
      </w:r>
    </w:p>
    <w:p w:rsidR="003E1FAD" w:rsidRPr="003E1FAD" w:rsidRDefault="003E1FAD" w:rsidP="003E1FAD">
      <w:pPr>
        <w:spacing w:after="0"/>
        <w:contextualSpacing/>
        <w:jc w:val="both"/>
        <w:rPr>
          <w:rFonts w:cs="Arial"/>
          <w:lang w:val="es-MX"/>
        </w:rPr>
      </w:pPr>
    </w:p>
    <w:p w:rsidR="00F26175" w:rsidRDefault="00F26175" w:rsidP="00A44A2B">
      <w:pPr>
        <w:numPr>
          <w:ilvl w:val="0"/>
          <w:numId w:val="154"/>
        </w:numPr>
        <w:spacing w:after="0"/>
        <w:contextualSpacing/>
        <w:jc w:val="both"/>
        <w:rPr>
          <w:rFonts w:cs="Arial"/>
          <w:lang w:val="es-MX"/>
        </w:rPr>
      </w:pPr>
      <w:r w:rsidRPr="003E1FAD">
        <w:rPr>
          <w:rFonts w:cs="Arial"/>
          <w:lang w:val="es-MX"/>
        </w:rPr>
        <w:t>Se logró la participación en 5 mesas regionales de madres sustitutas en Bogotá y Cali, consistente en un espacio de diálogo abierto, fortalecimiento técnico y retroalimentación de compromisos de manera periódica.</w:t>
      </w:r>
    </w:p>
    <w:p w:rsidR="003E1FAD" w:rsidRPr="003E1FAD" w:rsidRDefault="003E1FAD" w:rsidP="003E1FAD">
      <w:pPr>
        <w:spacing w:after="0"/>
        <w:contextualSpacing/>
        <w:jc w:val="both"/>
        <w:rPr>
          <w:rFonts w:cs="Arial"/>
          <w:lang w:val="es-MX"/>
        </w:rPr>
      </w:pPr>
    </w:p>
    <w:p w:rsidR="00F26175" w:rsidRDefault="00F26175" w:rsidP="00A44A2B">
      <w:pPr>
        <w:numPr>
          <w:ilvl w:val="0"/>
          <w:numId w:val="154"/>
        </w:numPr>
        <w:spacing w:after="0"/>
        <w:contextualSpacing/>
        <w:jc w:val="both"/>
        <w:rPr>
          <w:rFonts w:cs="Arial"/>
          <w:lang w:val="es-MX"/>
        </w:rPr>
      </w:pPr>
      <w:r w:rsidRPr="003E1FAD">
        <w:rPr>
          <w:rFonts w:cs="Arial"/>
          <w:lang w:val="es-MX"/>
        </w:rPr>
        <w:t xml:space="preserve">Así mismo, se tuvo participación en otros espacios y mecanismos de interlocución al interior de las comunidades, promoción del control social, rendición publica de cuentas y socialización de la estrategia de Transparencia, participación y buen gobierno, en </w:t>
      </w:r>
      <w:r w:rsidR="003E1FAD">
        <w:rPr>
          <w:rFonts w:cs="Arial"/>
          <w:lang w:val="es-MX"/>
        </w:rPr>
        <w:t>diferentes municipios del país.</w:t>
      </w:r>
    </w:p>
    <w:p w:rsidR="00F26175" w:rsidRPr="007608C2" w:rsidRDefault="00F26175" w:rsidP="00F26175">
      <w:pPr>
        <w:autoSpaceDE w:val="0"/>
        <w:autoSpaceDN w:val="0"/>
        <w:spacing w:before="100" w:beforeAutospacing="1" w:after="100" w:afterAutospacing="1" w:line="240" w:lineRule="auto"/>
        <w:jc w:val="both"/>
        <w:rPr>
          <w:rFonts w:eastAsia="Times New Roman" w:cs="Arial"/>
        </w:rPr>
      </w:pPr>
      <w:r w:rsidRPr="007608C2">
        <w:rPr>
          <w:rFonts w:eastAsia="Times New Roman" w:cs="Arial"/>
        </w:rPr>
        <w:t xml:space="preserve">En el 2017 se logra que por primera vez el ICBF participe en el Tercer Plan de la Alianza para el Gobierno Abierto de Colombia liderado por la Secretaria de Transparencia de Presidencia de la Republica, con el objetivo de promover la participación ciudadana en las actividades de planeación, ejecución y seguimiento de los planes, programas, proyectos, presupuestos, modalidades de atención y servicios que la Entidad ofrece; en el marco de este se plan adelantan una serie de  compromisos para  las vigencias 2018 y 2019, que se reportarán de forma semestral. </w:t>
      </w:r>
    </w:p>
    <w:p w:rsidR="00F26175" w:rsidRPr="007608C2" w:rsidRDefault="003E1FAD" w:rsidP="00F26175">
      <w:pPr>
        <w:spacing w:before="100" w:beforeAutospacing="1" w:after="100" w:afterAutospacing="1" w:line="240" w:lineRule="auto"/>
        <w:jc w:val="both"/>
        <w:rPr>
          <w:rFonts w:eastAsiaTheme="majorEastAsia" w:cs="Arial"/>
          <w:b/>
        </w:rPr>
      </w:pPr>
      <w:r>
        <w:rPr>
          <w:rFonts w:eastAsiaTheme="majorEastAsia" w:cs="Arial"/>
          <w:b/>
        </w:rPr>
        <w:t>Rendición de Cuentas y Mesas P</w:t>
      </w:r>
      <w:r w:rsidR="00F26175" w:rsidRPr="007608C2">
        <w:rPr>
          <w:rFonts w:eastAsiaTheme="majorEastAsia" w:cs="Arial"/>
          <w:b/>
        </w:rPr>
        <w:t xml:space="preserve">úblicas </w:t>
      </w:r>
    </w:p>
    <w:p w:rsidR="00F26175" w:rsidRPr="00DB0560" w:rsidRDefault="00F26175" w:rsidP="00F26175">
      <w:pPr>
        <w:pStyle w:val="Standard"/>
        <w:spacing w:before="100" w:beforeAutospacing="1" w:after="100" w:afterAutospacing="1"/>
        <w:jc w:val="both"/>
        <w:rPr>
          <w:rFonts w:ascii="Arial" w:hAnsi="Arial" w:cs="Arial"/>
          <w:sz w:val="22"/>
          <w:szCs w:val="22"/>
        </w:rPr>
      </w:pPr>
      <w:r w:rsidRPr="00DB0560">
        <w:rPr>
          <w:rFonts w:ascii="Arial" w:eastAsia="Times New Roman" w:hAnsi="Arial" w:cs="Arial"/>
          <w:kern w:val="0"/>
          <w:sz w:val="22"/>
          <w:szCs w:val="22"/>
          <w:lang w:val="es-ES" w:eastAsia="en-US" w:bidi="ar-SA"/>
        </w:rPr>
        <w:t xml:space="preserve">En 2017 el ICBF continuó orientando a posicionar la cultura de apertura de la información, transparencia y diálogo entre el Estado y los ciudadanos. </w:t>
      </w:r>
      <w:r w:rsidRPr="00DB0560">
        <w:rPr>
          <w:rFonts w:ascii="Arial" w:hAnsi="Arial" w:cs="Arial"/>
          <w:sz w:val="22"/>
          <w:szCs w:val="22"/>
        </w:rPr>
        <w:t>En desarrollo de esta política, el ICBF estableció las metas y actividades dentro del plan de rendición de cuentas que se constituyó en la carta de navegación de la entidad en temas de dialogo, información e incentivos fundamentados en las orientaciones y lineamientos metodológicos.</w:t>
      </w:r>
    </w:p>
    <w:p w:rsidR="00F26175" w:rsidRPr="007608C2" w:rsidRDefault="00F26175" w:rsidP="00F26175">
      <w:pPr>
        <w:spacing w:before="100" w:beforeAutospacing="1" w:after="100" w:afterAutospacing="1" w:line="240" w:lineRule="auto"/>
        <w:jc w:val="both"/>
        <w:rPr>
          <w:rFonts w:eastAsia="Times New Roman" w:cs="Arial"/>
        </w:rPr>
      </w:pPr>
      <w:r w:rsidRPr="007608C2">
        <w:rPr>
          <w:rFonts w:eastAsia="Times New Roman" w:cs="Arial"/>
        </w:rPr>
        <w:t xml:space="preserve">Para posicionar este proceso en el 2017 el ICBF, realizó las siguientes acciones:  </w:t>
      </w:r>
    </w:p>
    <w:p w:rsidR="00DB0560" w:rsidRDefault="00F26175" w:rsidP="00A44A2B">
      <w:pPr>
        <w:numPr>
          <w:ilvl w:val="0"/>
          <w:numId w:val="154"/>
        </w:numPr>
        <w:spacing w:after="0"/>
        <w:contextualSpacing/>
        <w:jc w:val="both"/>
        <w:rPr>
          <w:rFonts w:cs="Arial"/>
          <w:lang w:val="es-MX"/>
        </w:rPr>
      </w:pPr>
      <w:r w:rsidRPr="00DB0560">
        <w:rPr>
          <w:rFonts w:cs="Arial"/>
          <w:lang w:val="es-MX"/>
        </w:rPr>
        <w:lastRenderedPageBreak/>
        <w:t>Armonizar todos los esfuerzos para cumplir con los objetivos y resultados esperados, las estrategias, metas y actividades propuestas por cada uno de los componentes de este proceso.</w:t>
      </w:r>
    </w:p>
    <w:p w:rsidR="00F26175" w:rsidRPr="00DB0560" w:rsidRDefault="00F26175" w:rsidP="00DB0560">
      <w:pPr>
        <w:spacing w:after="0"/>
        <w:ind w:left="360"/>
        <w:contextualSpacing/>
        <w:jc w:val="both"/>
        <w:rPr>
          <w:rFonts w:cs="Arial"/>
          <w:lang w:val="es-MX"/>
        </w:rPr>
      </w:pPr>
      <w:r w:rsidRPr="00DB0560">
        <w:rPr>
          <w:rFonts w:cs="Arial"/>
          <w:lang w:val="es-MX"/>
        </w:rPr>
        <w:t xml:space="preserve"> </w:t>
      </w:r>
    </w:p>
    <w:p w:rsidR="00F26175" w:rsidRDefault="00F26175" w:rsidP="00A44A2B">
      <w:pPr>
        <w:numPr>
          <w:ilvl w:val="0"/>
          <w:numId w:val="154"/>
        </w:numPr>
        <w:spacing w:after="0"/>
        <w:contextualSpacing/>
        <w:jc w:val="both"/>
        <w:rPr>
          <w:rFonts w:cs="Arial"/>
          <w:lang w:val="es-MX"/>
        </w:rPr>
      </w:pPr>
      <w:r w:rsidRPr="00DB0560">
        <w:rPr>
          <w:rFonts w:cs="Arial"/>
          <w:lang w:val="es-MX"/>
        </w:rPr>
        <w:t>Realizar un trabajo coherente y un proceso riguroso de rendición de cuentas tendiente a consolidar la cultura de gestión institucional fiel a los principios misionales y siempre comprometida con el cumplimiento de los derechos de la niñez, la adoles</w:t>
      </w:r>
      <w:r w:rsidR="00DB0560">
        <w:rPr>
          <w:rFonts w:cs="Arial"/>
          <w:lang w:val="es-MX"/>
        </w:rPr>
        <w:t>cencia y la familia colombiana.</w:t>
      </w:r>
    </w:p>
    <w:p w:rsidR="00DB0560" w:rsidRDefault="00DB0560" w:rsidP="00F26175">
      <w:pPr>
        <w:spacing w:before="100" w:beforeAutospacing="1" w:after="100" w:afterAutospacing="1" w:line="240" w:lineRule="auto"/>
        <w:contextualSpacing/>
        <w:jc w:val="both"/>
        <w:rPr>
          <w:rFonts w:eastAsia="Times New Roman" w:cs="Arial"/>
        </w:rPr>
      </w:pPr>
    </w:p>
    <w:p w:rsidR="00F26175" w:rsidRPr="007608C2" w:rsidRDefault="00F26175" w:rsidP="00F26175">
      <w:pPr>
        <w:spacing w:before="100" w:beforeAutospacing="1" w:after="100" w:afterAutospacing="1" w:line="240" w:lineRule="auto"/>
        <w:contextualSpacing/>
        <w:jc w:val="both"/>
        <w:rPr>
          <w:rFonts w:eastAsia="Times New Roman" w:cs="Arial"/>
        </w:rPr>
      </w:pPr>
      <w:r w:rsidRPr="007608C2">
        <w:rPr>
          <w:rFonts w:eastAsia="Times New Roman" w:cs="Arial"/>
        </w:rPr>
        <w:t xml:space="preserve">Se realizaron 3 Videoconferencias sobre la nueva estrategia de Rendición Pública de Cuentes </w:t>
      </w:r>
      <w:r w:rsidR="00A24D71" w:rsidRPr="007608C2">
        <w:rPr>
          <w:rFonts w:eastAsia="Times New Roman" w:cs="Arial"/>
        </w:rPr>
        <w:t>(</w:t>
      </w:r>
      <w:r w:rsidRPr="007608C2">
        <w:rPr>
          <w:rFonts w:eastAsia="Times New Roman" w:cs="Arial"/>
        </w:rPr>
        <w:t>RPC), en las cuales asistieron las siguientes Regionales: Amazonas, Cauca, Córdoba Caldas, Cesar, Guaviare, La Guajira Quindío, Meta, Nariño, Putumayo, Risaralda, Sucre, San Andres, Vichada, Vaupés.</w:t>
      </w:r>
    </w:p>
    <w:p w:rsidR="00F26175" w:rsidRPr="007608C2" w:rsidRDefault="00F26175" w:rsidP="00F26175">
      <w:pPr>
        <w:spacing w:before="100" w:beforeAutospacing="1" w:after="100" w:afterAutospacing="1" w:line="240" w:lineRule="auto"/>
        <w:contextualSpacing/>
        <w:jc w:val="both"/>
        <w:rPr>
          <w:rFonts w:eastAsia="Times New Roman" w:cs="Arial"/>
        </w:rPr>
      </w:pPr>
    </w:p>
    <w:p w:rsidR="00F26175" w:rsidRPr="007608C2" w:rsidRDefault="00F26175" w:rsidP="00F26175">
      <w:pPr>
        <w:spacing w:before="100" w:beforeAutospacing="1" w:after="100" w:afterAutospacing="1" w:line="240" w:lineRule="auto"/>
        <w:contextualSpacing/>
        <w:jc w:val="both"/>
        <w:rPr>
          <w:rFonts w:eastAsia="Times New Roman" w:cs="Arial"/>
        </w:rPr>
      </w:pPr>
      <w:r w:rsidRPr="007608C2">
        <w:rPr>
          <w:rFonts w:eastAsia="Times New Roman" w:cs="Arial"/>
        </w:rPr>
        <w:t>Para la realización de las 209 Mesas Públicas (MP) de los Centros Zonales llevadas a cabo hasta el 30 de agosto, se dispuso de mecanismos de participación como la página Web del ICBF y carteleras en las Regionales y los Centros Zonales, en lo relacionado a las consultas ciudadanas; así mismo se convocó a los entes de control  mediante un trabajo articulado con la Subdirección de Monitoreo y Evaluación y la Dirección de Abastecimiento, para garantizar el uso adecuado de los recursos y la logística.</w:t>
      </w:r>
    </w:p>
    <w:p w:rsidR="00F26175" w:rsidRPr="007608C2" w:rsidRDefault="00F26175" w:rsidP="00F26175">
      <w:pPr>
        <w:spacing w:before="100" w:beforeAutospacing="1" w:after="100" w:afterAutospacing="1" w:line="240" w:lineRule="auto"/>
        <w:contextualSpacing/>
        <w:jc w:val="both"/>
        <w:rPr>
          <w:rFonts w:eastAsia="Times New Roman" w:cs="Arial"/>
        </w:rPr>
      </w:pPr>
    </w:p>
    <w:p w:rsidR="00F26175" w:rsidRPr="007608C2" w:rsidRDefault="00F26175" w:rsidP="00F26175">
      <w:pPr>
        <w:spacing w:before="100" w:beforeAutospacing="1" w:after="100" w:afterAutospacing="1" w:line="240" w:lineRule="auto"/>
        <w:contextualSpacing/>
        <w:jc w:val="both"/>
        <w:rPr>
          <w:rFonts w:eastAsia="Times New Roman" w:cs="Arial"/>
        </w:rPr>
      </w:pPr>
      <w:r w:rsidRPr="007608C2">
        <w:rPr>
          <w:rFonts w:eastAsia="Times New Roman" w:cs="Arial"/>
        </w:rPr>
        <w:t xml:space="preserve">En todos los centros zonales del país se realizaron consultas ciudadanas, en las que participaron cerca de 8.670 personas en igual número de encuestas, en temas como: Violencia y abuso sexual, maltrato infantil, proceso administrativo de restablecimiento de derechos, temas de protección en general, embarazo en adolescentes, sistema de responsabilidad penal, hogares de paso, trabajo infantil y aprovechamiento del tiempo libre. Entre los temas más solicitados por la ciudadanía se encuentran: Violencia y abuso Sexual, Maltrato infantil, trabajo infantil y aprovechamiento del tiempo libre, con mayor porcentaje en todo el País el tema de prevención del embarazo en adolescentes. </w:t>
      </w:r>
    </w:p>
    <w:p w:rsidR="00F26175" w:rsidRPr="007608C2" w:rsidRDefault="00F26175" w:rsidP="00F26175">
      <w:pPr>
        <w:spacing w:before="100" w:beforeAutospacing="1" w:after="100" w:afterAutospacing="1" w:line="240" w:lineRule="auto"/>
        <w:contextualSpacing/>
        <w:jc w:val="both"/>
        <w:rPr>
          <w:rFonts w:eastAsia="Times New Roman" w:cs="Arial"/>
        </w:rPr>
      </w:pPr>
    </w:p>
    <w:p w:rsidR="00F26175" w:rsidRPr="007608C2" w:rsidRDefault="00F26175" w:rsidP="00F26175">
      <w:pPr>
        <w:spacing w:before="100" w:beforeAutospacing="1" w:after="100" w:afterAutospacing="1" w:line="240" w:lineRule="auto"/>
        <w:jc w:val="both"/>
        <w:rPr>
          <w:rFonts w:eastAsia="Times New Roman" w:cs="Arial"/>
        </w:rPr>
      </w:pPr>
      <w:r w:rsidRPr="007608C2">
        <w:rPr>
          <w:rFonts w:eastAsia="Times New Roman" w:cs="Arial"/>
        </w:rPr>
        <w:t>De conformidad con las consultas ciudadanas se realizaron Mesas Públicas (MP) en las siguientes temáticas: 96 sobre primera infancia, 32 acerca de programas y servicios, 69 en temas de protección, 10 sobre bienestarina y nutrición y 2 en relación a familia y comunidades.</w:t>
      </w:r>
    </w:p>
    <w:p w:rsidR="00F26175" w:rsidRPr="007608C2" w:rsidRDefault="00F26175" w:rsidP="00F26175">
      <w:pPr>
        <w:spacing w:before="100" w:beforeAutospacing="1" w:after="100" w:afterAutospacing="1" w:line="240" w:lineRule="auto"/>
        <w:jc w:val="both"/>
        <w:rPr>
          <w:rFonts w:eastAsia="Times New Roman" w:cs="Arial"/>
        </w:rPr>
      </w:pPr>
    </w:p>
    <w:p w:rsidR="00F26175" w:rsidRDefault="00F26175" w:rsidP="00DB0560">
      <w:pPr>
        <w:spacing w:before="100" w:beforeAutospacing="1" w:after="100" w:afterAutospacing="1" w:line="240" w:lineRule="auto"/>
        <w:jc w:val="center"/>
        <w:rPr>
          <w:rFonts w:eastAsia="Times New Roman" w:cs="Arial"/>
          <w:color w:val="FF0000"/>
          <w14:textOutline w14:w="9525" w14:cap="rnd" w14:cmpd="sng" w14:algn="ctr">
            <w14:solidFill>
              <w14:srgbClr w14:val="FF0000"/>
            </w14:solidFill>
            <w14:prstDash w14:val="solid"/>
            <w14:bevel/>
          </w14:textOutline>
        </w:rPr>
      </w:pPr>
      <w:r w:rsidRPr="007608C2">
        <w:rPr>
          <w:rFonts w:cs="Arial"/>
          <w:noProof/>
          <w:lang w:val="es-CO" w:eastAsia="es-CO"/>
        </w:rPr>
        <w:lastRenderedPageBreak/>
        <w:drawing>
          <wp:inline distT="0" distB="0" distL="0" distR="0" wp14:anchorId="65B58A50" wp14:editId="1E7F7132">
            <wp:extent cx="5330825" cy="3149600"/>
            <wp:effectExtent l="0" t="0" r="3175" b="12700"/>
            <wp:docPr id="457" name="Gráfico 457">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456F4" w:rsidRPr="007456F4" w:rsidRDefault="007456F4" w:rsidP="00DB0560">
      <w:pPr>
        <w:spacing w:before="100" w:beforeAutospacing="1" w:after="100" w:afterAutospacing="1" w:line="240" w:lineRule="auto"/>
        <w:jc w:val="center"/>
        <w:rPr>
          <w:rFonts w:cs="Arial"/>
          <w:sz w:val="18"/>
          <w:lang w:val="es-CO"/>
        </w:rPr>
      </w:pPr>
      <w:r>
        <w:rPr>
          <w:rFonts w:cs="Arial"/>
          <w:sz w:val="18"/>
          <w:lang w:val="es-CO"/>
        </w:rPr>
        <w:t>Fuente: Matriz de Gráficas - Subdirección de Monitoreo y Evaluación</w:t>
      </w:r>
    </w:p>
    <w:p w:rsidR="00F26175" w:rsidRPr="007608C2" w:rsidRDefault="00F26175" w:rsidP="00F26175">
      <w:pPr>
        <w:spacing w:before="100" w:beforeAutospacing="1" w:after="100" w:afterAutospacing="1" w:line="240" w:lineRule="auto"/>
        <w:jc w:val="both"/>
        <w:rPr>
          <w:rFonts w:eastAsia="Times New Roman" w:cs="Arial"/>
        </w:rPr>
      </w:pPr>
      <w:r w:rsidRPr="007608C2">
        <w:rPr>
          <w:rFonts w:eastAsia="Times New Roman" w:cs="Arial"/>
        </w:rPr>
        <w:t xml:space="preserve">En las 209 MP, participaron un total de 13.693 personas de la cuales 3.087 personas representan a las OG, 9.990 personas que representan a las ONG y 616 personas que representan a los entes de control y veedurías.  </w:t>
      </w:r>
    </w:p>
    <w:p w:rsidR="00F26175" w:rsidRPr="007608C2" w:rsidRDefault="00F26175" w:rsidP="00F26175">
      <w:pPr>
        <w:spacing w:before="100" w:beforeAutospacing="1" w:after="100" w:afterAutospacing="1" w:line="240" w:lineRule="auto"/>
        <w:jc w:val="both"/>
        <w:rPr>
          <w:rFonts w:eastAsia="Times New Roman" w:cs="Arial"/>
        </w:rPr>
      </w:pPr>
      <w:r w:rsidRPr="007608C2">
        <w:rPr>
          <w:rFonts w:eastAsia="Times New Roman" w:cs="Arial"/>
        </w:rPr>
        <w:t xml:space="preserve">Para el seguimiento de los compromisos adquiridos y cumplidos se implementó durante la vigencia, herramientas de medición de los avances del indicador, adjuntando las evidencias que para el efecto se requieren. Así mismo se publicó en la página web todas las evidencias de los resultados de la meta 2017, tanto del nivel Nacional, como el nivel Regional y Zonal. </w:t>
      </w:r>
    </w:p>
    <w:p w:rsidR="00F26175" w:rsidRPr="007608C2" w:rsidRDefault="00F26175" w:rsidP="00F26175">
      <w:pPr>
        <w:jc w:val="both"/>
        <w:rPr>
          <w:rFonts w:eastAsiaTheme="minorHAnsi" w:cs="Arial"/>
        </w:rPr>
      </w:pPr>
      <w:r w:rsidRPr="007608C2">
        <w:rPr>
          <w:rFonts w:eastAsiaTheme="minorHAnsi" w:cs="Arial"/>
        </w:rPr>
        <w:t>Durante el 2017 se generaron 664 compromisos, de los cuales se reportó la gestión de 656 compromisos correspondiente al 99 % de la gestión, quedando pendiente de reportar el cumplimiento de 8 compromisos de las siguientes Regionales: Cesar (1), Huila (1) y la Guajira (6).</w:t>
      </w:r>
    </w:p>
    <w:p w:rsidR="00F26175" w:rsidRDefault="00F26175" w:rsidP="00DB0560">
      <w:pPr>
        <w:jc w:val="center"/>
        <w:rPr>
          <w:rFonts w:eastAsiaTheme="minorHAnsi" w:cs="Arial"/>
        </w:rPr>
      </w:pPr>
      <w:r w:rsidRPr="00DB0560">
        <w:rPr>
          <w:rFonts w:cs="Arial"/>
          <w:noProof/>
          <w:shd w:val="clear" w:color="auto" w:fill="FFFFFF" w:themeFill="background1"/>
          <w:lang w:val="es-CO" w:eastAsia="es-CO"/>
        </w:rPr>
        <w:lastRenderedPageBreak/>
        <w:drawing>
          <wp:inline distT="0" distB="0" distL="0" distR="0" wp14:anchorId="7C309E68" wp14:editId="7039E37B">
            <wp:extent cx="5734050" cy="2652795"/>
            <wp:effectExtent l="0" t="0" r="0" b="14605"/>
            <wp:docPr id="460" name="Gráfico 460">
              <a:extLst xmlns:a="http://schemas.openxmlformats.org/drawingml/2006/main">
                <a:ext uri="{FF2B5EF4-FFF2-40B4-BE49-F238E27FC236}">
                  <a16:creationId xmlns:a16="http://schemas.microsoft.com/office/drawing/2014/main" id="{43F6DC1A-3209-4C9C-8376-C76B7431BE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456F4" w:rsidRPr="007456F4" w:rsidRDefault="007456F4" w:rsidP="007456F4">
      <w:pPr>
        <w:spacing w:after="100" w:afterAutospacing="1" w:line="240" w:lineRule="auto"/>
        <w:jc w:val="center"/>
        <w:rPr>
          <w:rFonts w:cs="Arial"/>
          <w:sz w:val="18"/>
          <w:lang w:val="es-CO"/>
        </w:rPr>
      </w:pPr>
      <w:r>
        <w:rPr>
          <w:rFonts w:cs="Arial"/>
          <w:sz w:val="18"/>
          <w:lang w:val="es-CO"/>
        </w:rPr>
        <w:t>Fuente: Matriz de Compromisos - Subdirección de Monitoreo y Evaluación</w:t>
      </w:r>
    </w:p>
    <w:p w:rsidR="00F26175" w:rsidRPr="007608C2" w:rsidRDefault="00DB0560" w:rsidP="00F26175">
      <w:pPr>
        <w:widowControl w:val="0"/>
        <w:suppressAutoHyphens/>
        <w:autoSpaceDN w:val="0"/>
        <w:spacing w:before="100" w:beforeAutospacing="1" w:after="100" w:afterAutospacing="1" w:line="240" w:lineRule="auto"/>
        <w:jc w:val="both"/>
        <w:textAlignment w:val="baseline"/>
        <w:rPr>
          <w:rFonts w:eastAsia="Times New Roman" w:cs="Arial"/>
          <w:b/>
        </w:rPr>
      </w:pPr>
      <w:r>
        <w:rPr>
          <w:rFonts w:eastAsia="Times New Roman" w:cs="Arial"/>
          <w:b/>
        </w:rPr>
        <w:t>Avances en la Rendición de Cuentas y Mesas P</w:t>
      </w:r>
      <w:r w:rsidR="00F26175" w:rsidRPr="007608C2">
        <w:rPr>
          <w:rFonts w:eastAsia="Times New Roman" w:cs="Arial"/>
          <w:b/>
        </w:rPr>
        <w:t xml:space="preserve">úblicas </w:t>
      </w:r>
    </w:p>
    <w:p w:rsidR="00DB0560" w:rsidRDefault="00F26175" w:rsidP="00A44A2B">
      <w:pPr>
        <w:numPr>
          <w:ilvl w:val="0"/>
          <w:numId w:val="154"/>
        </w:numPr>
        <w:spacing w:after="0"/>
        <w:contextualSpacing/>
        <w:jc w:val="both"/>
        <w:rPr>
          <w:rFonts w:cs="Arial"/>
          <w:lang w:val="es-MX"/>
        </w:rPr>
      </w:pPr>
      <w:r w:rsidRPr="00DB0560">
        <w:rPr>
          <w:rFonts w:cs="Arial"/>
          <w:lang w:val="es-MX"/>
        </w:rPr>
        <w:t>Con corte a 31 de diciembre de 2017, en los niveles nacional, regional y zonal se reportó la gestión de treinta y cuatro (34) informes de rendición de cuentas, que se difundieron a través de medios de comunicación comunitarios regionales y, doscientos nueve (209) mesas públicas para un total de doscientos cuarenta y tres (243) eventos, previamente planificados; de ésta forma se logró una gestión del 100%. (Ver Informe final de RPC 2017 en el cual aparece completa y detallada la información de este proceso: (Pagina Web y Pagina NAS).</w:t>
      </w:r>
    </w:p>
    <w:p w:rsidR="00DB0560" w:rsidRPr="00DB0560" w:rsidRDefault="00DB0560" w:rsidP="00DB0560">
      <w:pPr>
        <w:spacing w:after="0"/>
        <w:ind w:left="360"/>
        <w:contextualSpacing/>
        <w:jc w:val="both"/>
        <w:rPr>
          <w:rFonts w:cs="Arial"/>
          <w:lang w:val="es-MX"/>
        </w:rPr>
      </w:pPr>
    </w:p>
    <w:p w:rsidR="00F26175" w:rsidRDefault="00F26175" w:rsidP="00A44A2B">
      <w:pPr>
        <w:numPr>
          <w:ilvl w:val="0"/>
          <w:numId w:val="154"/>
        </w:numPr>
        <w:spacing w:after="0"/>
        <w:contextualSpacing/>
        <w:jc w:val="both"/>
        <w:rPr>
          <w:rFonts w:cs="Arial"/>
          <w:lang w:val="es-MX"/>
        </w:rPr>
      </w:pPr>
      <w:r w:rsidRPr="00DB0560">
        <w:rPr>
          <w:rFonts w:cs="Arial"/>
          <w:lang w:val="es-MX"/>
        </w:rPr>
        <w:t>Se publicaron en la página web todas las evidencias de los resultados de la meta 2017, tanto del nivel nacional, como el nivel regional y zonal.</w:t>
      </w:r>
    </w:p>
    <w:p w:rsidR="00DB0560" w:rsidRPr="00DB0560" w:rsidRDefault="00DB0560" w:rsidP="00DB0560">
      <w:pPr>
        <w:spacing w:after="0"/>
        <w:contextualSpacing/>
        <w:jc w:val="both"/>
        <w:rPr>
          <w:rFonts w:cs="Arial"/>
          <w:lang w:val="es-MX"/>
        </w:rPr>
      </w:pPr>
    </w:p>
    <w:p w:rsidR="00F26175" w:rsidRDefault="00F26175" w:rsidP="00A44A2B">
      <w:pPr>
        <w:numPr>
          <w:ilvl w:val="0"/>
          <w:numId w:val="154"/>
        </w:numPr>
        <w:spacing w:after="0"/>
        <w:contextualSpacing/>
        <w:jc w:val="both"/>
        <w:rPr>
          <w:rFonts w:cs="Arial"/>
          <w:lang w:val="es-MX"/>
        </w:rPr>
      </w:pPr>
      <w:r w:rsidRPr="00DB0560">
        <w:rPr>
          <w:rFonts w:cs="Arial"/>
          <w:lang w:val="es-MX"/>
        </w:rPr>
        <w:t xml:space="preserve">De forma articulada con los directores misionales, regionales, la coordinación de Planeación, Asistencia Técnica y enlaces del SNBF, se participó en el diseño del plan anticorrupción del ICBF, se compartieron las líneas de acción del proceso de rendición de cuentas 2017; y se creó la Caja de herramientas en la que se pueden consultar todos los documentos y formatos claves para este proceso (ver Link: </w:t>
      </w:r>
      <w:hyperlink r:id="rId55" w:history="1">
        <w:r w:rsidRPr="00DB0560">
          <w:rPr>
            <w:rFonts w:cs="Arial"/>
            <w:lang w:val="es-MX"/>
          </w:rPr>
          <w:t>\\172.16.9.31\ArchivosICBF\Direccion de Planeación\Caja de Herramientas 2017\</w:t>
        </w:r>
      </w:hyperlink>
      <w:r w:rsidRPr="00DB0560">
        <w:rPr>
          <w:rFonts w:cs="Arial"/>
          <w:lang w:val="es-MX"/>
        </w:rPr>
        <w:t>)</w:t>
      </w:r>
      <w:r w:rsidR="00DB0560">
        <w:rPr>
          <w:rFonts w:cs="Arial"/>
          <w:lang w:val="es-MX"/>
        </w:rPr>
        <w:t>.</w:t>
      </w:r>
    </w:p>
    <w:p w:rsidR="00DB0560" w:rsidRPr="00DB0560" w:rsidRDefault="00DB0560" w:rsidP="00DB0560">
      <w:pPr>
        <w:spacing w:after="0"/>
        <w:contextualSpacing/>
        <w:jc w:val="both"/>
        <w:rPr>
          <w:rFonts w:cs="Arial"/>
          <w:lang w:val="es-MX"/>
        </w:rPr>
      </w:pPr>
    </w:p>
    <w:p w:rsidR="00F26175" w:rsidRDefault="00F26175" w:rsidP="00A44A2B">
      <w:pPr>
        <w:numPr>
          <w:ilvl w:val="0"/>
          <w:numId w:val="154"/>
        </w:numPr>
        <w:spacing w:after="0"/>
        <w:contextualSpacing/>
        <w:jc w:val="both"/>
        <w:rPr>
          <w:rFonts w:cs="Arial"/>
          <w:lang w:val="es-MX"/>
        </w:rPr>
      </w:pPr>
      <w:r w:rsidRPr="00DB0560">
        <w:rPr>
          <w:rFonts w:cs="Arial"/>
          <w:lang w:val="es-MX"/>
        </w:rPr>
        <w:t>Para el 2017, el ICBF contó con un presupuesto de $167.745.855 pesos para la realización de mesas públicas.</w:t>
      </w:r>
    </w:p>
    <w:p w:rsidR="00A03F17" w:rsidRDefault="00F26175" w:rsidP="00A03F17">
      <w:pPr>
        <w:spacing w:before="100" w:beforeAutospacing="1" w:after="100" w:afterAutospacing="1" w:line="240" w:lineRule="auto"/>
        <w:jc w:val="both"/>
        <w:rPr>
          <w:rFonts w:eastAsia="Times New Roman" w:cs="Arial"/>
          <w:b/>
        </w:rPr>
      </w:pPr>
      <w:r w:rsidRPr="007608C2">
        <w:rPr>
          <w:rFonts w:eastAsia="Times New Roman" w:cs="Arial"/>
          <w:b/>
        </w:rPr>
        <w:t xml:space="preserve">Componente de información: </w:t>
      </w:r>
    </w:p>
    <w:p w:rsidR="00F26175" w:rsidRPr="007608C2" w:rsidRDefault="00F26175" w:rsidP="00A03F17">
      <w:pPr>
        <w:spacing w:before="100" w:beforeAutospacing="1" w:after="100" w:afterAutospacing="1" w:line="240" w:lineRule="auto"/>
        <w:jc w:val="both"/>
        <w:rPr>
          <w:rFonts w:eastAsia="Times New Roman" w:cs="Arial"/>
        </w:rPr>
      </w:pPr>
      <w:r w:rsidRPr="007608C2">
        <w:rPr>
          <w:rFonts w:eastAsia="Times New Roman" w:cs="Arial"/>
        </w:rPr>
        <w:lastRenderedPageBreak/>
        <w:t xml:space="preserve">Publicación de los informes de gestión de las Rendiciones Públicas de Cuentas y de los informes de las MP y sus convocatorias, para ser consultados por los participantes a estos eventos. </w:t>
      </w:r>
    </w:p>
    <w:p w:rsidR="00F26175" w:rsidRPr="00A03F17" w:rsidRDefault="00F26175" w:rsidP="00A44A2B">
      <w:pPr>
        <w:numPr>
          <w:ilvl w:val="0"/>
          <w:numId w:val="154"/>
        </w:numPr>
        <w:spacing w:after="0"/>
        <w:contextualSpacing/>
        <w:jc w:val="both"/>
        <w:rPr>
          <w:rFonts w:cs="Arial"/>
          <w:lang w:val="es-MX"/>
        </w:rPr>
      </w:pPr>
      <w:r w:rsidRPr="00A03F17">
        <w:rPr>
          <w:rFonts w:cs="Arial"/>
          <w:lang w:val="es-MX"/>
        </w:rPr>
        <w:t>Participación activa de la comunidad en los procesos de la entidad y toma de decisiones.</w:t>
      </w:r>
    </w:p>
    <w:p w:rsidR="00A03F17" w:rsidRPr="00A03F17" w:rsidRDefault="00A03F17" w:rsidP="00A03F17">
      <w:pPr>
        <w:spacing w:after="0"/>
        <w:ind w:left="360"/>
        <w:contextualSpacing/>
        <w:jc w:val="both"/>
        <w:rPr>
          <w:rFonts w:cs="Arial"/>
          <w:lang w:val="es-MX"/>
        </w:rPr>
      </w:pPr>
    </w:p>
    <w:p w:rsidR="00F26175" w:rsidRPr="00A03F17" w:rsidRDefault="00F26175" w:rsidP="00A44A2B">
      <w:pPr>
        <w:numPr>
          <w:ilvl w:val="0"/>
          <w:numId w:val="154"/>
        </w:numPr>
        <w:spacing w:after="0"/>
        <w:contextualSpacing/>
        <w:jc w:val="both"/>
        <w:rPr>
          <w:rFonts w:cs="Arial"/>
          <w:lang w:val="es-MX"/>
        </w:rPr>
      </w:pPr>
      <w:r w:rsidRPr="00A03F17">
        <w:rPr>
          <w:rFonts w:cs="Arial"/>
          <w:lang w:val="es-MX"/>
        </w:rPr>
        <w:t>Se brindó a las regionales orientaciones e instructivos para el desarrollo de la Rendición de cuentas virtual, que se realizó por medio de pregrabados entre el 20 de noviembre al 1 de diciembre del 2017.</w:t>
      </w:r>
    </w:p>
    <w:p w:rsidR="00F26175" w:rsidRPr="007608C2" w:rsidRDefault="00F26175" w:rsidP="00F26175">
      <w:pPr>
        <w:spacing w:before="100" w:beforeAutospacing="1" w:after="100" w:afterAutospacing="1" w:line="240" w:lineRule="auto"/>
        <w:jc w:val="both"/>
        <w:rPr>
          <w:rFonts w:eastAsia="Times New Roman" w:cs="Arial"/>
          <w:b/>
        </w:rPr>
      </w:pPr>
      <w:r w:rsidRPr="007608C2">
        <w:rPr>
          <w:rFonts w:eastAsia="Times New Roman" w:cs="Arial"/>
          <w:b/>
        </w:rPr>
        <w:t>Componente de diálogo:</w:t>
      </w:r>
    </w:p>
    <w:p w:rsidR="00F26175" w:rsidRDefault="00F26175" w:rsidP="00A44A2B">
      <w:pPr>
        <w:numPr>
          <w:ilvl w:val="0"/>
          <w:numId w:val="154"/>
        </w:numPr>
        <w:spacing w:after="0"/>
        <w:contextualSpacing/>
        <w:jc w:val="both"/>
        <w:rPr>
          <w:rFonts w:cs="Arial"/>
          <w:lang w:val="es-MX"/>
        </w:rPr>
      </w:pPr>
      <w:r w:rsidRPr="00A03F17">
        <w:rPr>
          <w:rFonts w:cs="Arial"/>
          <w:lang w:val="es-MX"/>
        </w:rPr>
        <w:t>Se hizo entrega dentro de la caja de herramientas las distintas metodologías participativas para el desarrollo de las MP, las cuales fueron consultadas y utilizadas por los equipos zonales</w:t>
      </w:r>
      <w:r w:rsidR="00A03F17">
        <w:rPr>
          <w:rFonts w:cs="Arial"/>
          <w:lang w:val="es-MX"/>
        </w:rPr>
        <w:t>.</w:t>
      </w:r>
    </w:p>
    <w:p w:rsidR="00A03F17" w:rsidRPr="00A03F17" w:rsidRDefault="00A03F17" w:rsidP="00A03F17">
      <w:pPr>
        <w:spacing w:after="0"/>
        <w:ind w:left="360"/>
        <w:contextualSpacing/>
        <w:jc w:val="both"/>
        <w:rPr>
          <w:rFonts w:cs="Arial"/>
          <w:lang w:val="es-MX"/>
        </w:rPr>
      </w:pPr>
    </w:p>
    <w:p w:rsidR="00F26175" w:rsidRDefault="00F26175" w:rsidP="00A44A2B">
      <w:pPr>
        <w:numPr>
          <w:ilvl w:val="0"/>
          <w:numId w:val="154"/>
        </w:numPr>
        <w:spacing w:after="0"/>
        <w:contextualSpacing/>
        <w:jc w:val="both"/>
        <w:rPr>
          <w:rFonts w:cs="Arial"/>
          <w:lang w:val="es-MX"/>
        </w:rPr>
      </w:pPr>
      <w:r w:rsidRPr="00A03F17">
        <w:rPr>
          <w:rFonts w:cs="Arial"/>
          <w:lang w:val="es-MX"/>
        </w:rPr>
        <w:t>Se realizaron 209 mesas públicas como espacios de dialogo de doble vía con la comunidad con el objetivo de abordar temas sugeridos por ellos.</w:t>
      </w:r>
    </w:p>
    <w:p w:rsidR="00A03F17" w:rsidRPr="00A03F17" w:rsidRDefault="00A03F17" w:rsidP="00A03F17">
      <w:pPr>
        <w:spacing w:after="0"/>
        <w:contextualSpacing/>
        <w:jc w:val="both"/>
        <w:rPr>
          <w:rFonts w:cs="Arial"/>
          <w:lang w:val="es-MX"/>
        </w:rPr>
      </w:pPr>
    </w:p>
    <w:p w:rsidR="00F26175" w:rsidRDefault="00A03F17" w:rsidP="00A44A2B">
      <w:pPr>
        <w:numPr>
          <w:ilvl w:val="0"/>
          <w:numId w:val="154"/>
        </w:numPr>
        <w:spacing w:after="0"/>
        <w:contextualSpacing/>
        <w:jc w:val="both"/>
        <w:rPr>
          <w:rFonts w:cs="Arial"/>
          <w:lang w:val="es-MX"/>
        </w:rPr>
      </w:pPr>
      <w:r>
        <w:rPr>
          <w:rFonts w:cs="Arial"/>
          <w:lang w:val="es-MX"/>
        </w:rPr>
        <w:t xml:space="preserve">Se realizaron consultas </w:t>
      </w:r>
      <w:r w:rsidR="00F26175" w:rsidRPr="00A03F17">
        <w:rPr>
          <w:rFonts w:cs="Arial"/>
          <w:lang w:val="es-MX"/>
        </w:rPr>
        <w:t>y participaron de 8.670 personas en igual n</w:t>
      </w:r>
      <w:r>
        <w:rPr>
          <w:rFonts w:cs="Arial"/>
          <w:lang w:val="es-MX"/>
        </w:rPr>
        <w:t>úmero de encuestas presenciales.</w:t>
      </w:r>
    </w:p>
    <w:p w:rsidR="00A03F17" w:rsidRPr="00A03F17" w:rsidRDefault="00A03F17" w:rsidP="00A03F17">
      <w:pPr>
        <w:spacing w:after="0"/>
        <w:contextualSpacing/>
        <w:jc w:val="both"/>
        <w:rPr>
          <w:rFonts w:cs="Arial"/>
          <w:lang w:val="es-MX"/>
        </w:rPr>
      </w:pPr>
    </w:p>
    <w:p w:rsidR="00F26175" w:rsidRDefault="00F26175" w:rsidP="00A44A2B">
      <w:pPr>
        <w:numPr>
          <w:ilvl w:val="0"/>
          <w:numId w:val="154"/>
        </w:numPr>
        <w:spacing w:after="0"/>
        <w:contextualSpacing/>
        <w:jc w:val="both"/>
        <w:rPr>
          <w:rFonts w:cs="Arial"/>
          <w:lang w:val="es-MX"/>
        </w:rPr>
      </w:pPr>
      <w:r w:rsidRPr="00A03F17">
        <w:rPr>
          <w:rFonts w:cs="Arial"/>
          <w:lang w:val="es-MX"/>
        </w:rPr>
        <w:t>Se utilizaron los canales electrónicos de comunicación durante el proceso de rendición de cuentas, qu</w:t>
      </w:r>
      <w:r w:rsidR="00A03F17">
        <w:rPr>
          <w:rFonts w:cs="Arial"/>
          <w:lang w:val="es-MX"/>
        </w:rPr>
        <w:t>e todavía se mantienen activos.</w:t>
      </w:r>
    </w:p>
    <w:p w:rsidR="00A03F17" w:rsidRPr="00A03F17" w:rsidRDefault="00A03F17" w:rsidP="00A03F17">
      <w:pPr>
        <w:spacing w:after="0"/>
        <w:contextualSpacing/>
        <w:jc w:val="both"/>
        <w:rPr>
          <w:rFonts w:cs="Arial"/>
          <w:lang w:val="es-MX"/>
        </w:rPr>
      </w:pPr>
    </w:p>
    <w:p w:rsidR="00F26175" w:rsidRDefault="00F26175" w:rsidP="00A44A2B">
      <w:pPr>
        <w:numPr>
          <w:ilvl w:val="0"/>
          <w:numId w:val="154"/>
        </w:numPr>
        <w:spacing w:after="0"/>
        <w:contextualSpacing/>
        <w:jc w:val="both"/>
        <w:rPr>
          <w:rFonts w:cs="Arial"/>
          <w:lang w:val="es-MX"/>
        </w:rPr>
      </w:pPr>
      <w:r w:rsidRPr="00A03F17">
        <w:rPr>
          <w:rFonts w:cs="Arial"/>
          <w:lang w:val="es-MX"/>
        </w:rPr>
        <w:t>Se realizaron 33 eventos de RPC en los cuales se fortalecieron espacios de dialogo</w:t>
      </w:r>
      <w:r w:rsidR="00A03F17">
        <w:rPr>
          <w:rFonts w:cs="Arial"/>
          <w:lang w:val="es-MX"/>
        </w:rPr>
        <w:t xml:space="preserve"> entre los integrantes del ICBF.</w:t>
      </w:r>
    </w:p>
    <w:p w:rsidR="00F26175" w:rsidRPr="007608C2" w:rsidRDefault="00F26175" w:rsidP="00F26175">
      <w:pPr>
        <w:spacing w:before="100" w:beforeAutospacing="1" w:after="100" w:afterAutospacing="1" w:line="240" w:lineRule="auto"/>
        <w:jc w:val="both"/>
        <w:rPr>
          <w:rFonts w:eastAsia="Times New Roman" w:cs="Arial"/>
          <w:b/>
        </w:rPr>
      </w:pPr>
      <w:r w:rsidRPr="007608C2">
        <w:rPr>
          <w:rFonts w:eastAsia="Times New Roman" w:cs="Arial"/>
          <w:b/>
        </w:rPr>
        <w:t>Componente de Incentivos:</w:t>
      </w:r>
    </w:p>
    <w:p w:rsidR="00F26175" w:rsidRPr="00A03F17" w:rsidRDefault="00F26175" w:rsidP="00A44A2B">
      <w:pPr>
        <w:numPr>
          <w:ilvl w:val="0"/>
          <w:numId w:val="154"/>
        </w:numPr>
        <w:spacing w:after="0"/>
        <w:contextualSpacing/>
        <w:jc w:val="both"/>
        <w:rPr>
          <w:rFonts w:cs="Arial"/>
          <w:lang w:val="es-MX"/>
        </w:rPr>
      </w:pPr>
      <w:r w:rsidRPr="00A03F17">
        <w:rPr>
          <w:rFonts w:cs="Arial"/>
          <w:lang w:val="es-MX"/>
        </w:rPr>
        <w:t>Establecer procesos de comunicación permanente con los Operadores.</w:t>
      </w:r>
    </w:p>
    <w:p w:rsidR="00A03F17" w:rsidRPr="00A03F17" w:rsidRDefault="00A03F17" w:rsidP="00A03F17">
      <w:pPr>
        <w:spacing w:after="0"/>
        <w:ind w:left="360"/>
        <w:contextualSpacing/>
        <w:jc w:val="both"/>
        <w:rPr>
          <w:rFonts w:cs="Arial"/>
          <w:lang w:val="es-MX"/>
        </w:rPr>
      </w:pPr>
    </w:p>
    <w:p w:rsidR="00F26175" w:rsidRDefault="00F26175" w:rsidP="00A44A2B">
      <w:pPr>
        <w:numPr>
          <w:ilvl w:val="0"/>
          <w:numId w:val="154"/>
        </w:numPr>
        <w:spacing w:after="0"/>
        <w:contextualSpacing/>
        <w:jc w:val="both"/>
        <w:rPr>
          <w:rFonts w:cs="Arial"/>
          <w:lang w:val="es-MX"/>
        </w:rPr>
      </w:pPr>
      <w:r w:rsidRPr="00A03F17">
        <w:rPr>
          <w:rFonts w:cs="Arial"/>
          <w:lang w:val="es-MX"/>
        </w:rPr>
        <w:t>Brindar respuestas a los compromisos adquiridos en las mesas públicas y en la rendición de cuentas.</w:t>
      </w:r>
    </w:p>
    <w:p w:rsidR="00A03F17" w:rsidRPr="00A03F17" w:rsidRDefault="00A03F17" w:rsidP="00A03F17">
      <w:pPr>
        <w:spacing w:after="0"/>
        <w:contextualSpacing/>
        <w:jc w:val="both"/>
        <w:rPr>
          <w:rFonts w:cs="Arial"/>
          <w:lang w:val="es-MX"/>
        </w:rPr>
      </w:pPr>
    </w:p>
    <w:p w:rsidR="00F26175" w:rsidRDefault="00F26175" w:rsidP="00A44A2B">
      <w:pPr>
        <w:numPr>
          <w:ilvl w:val="0"/>
          <w:numId w:val="154"/>
        </w:numPr>
        <w:spacing w:after="0"/>
        <w:contextualSpacing/>
        <w:jc w:val="both"/>
        <w:rPr>
          <w:rFonts w:cs="Arial"/>
          <w:lang w:val="es-MX"/>
        </w:rPr>
      </w:pPr>
      <w:r w:rsidRPr="00A03F17">
        <w:rPr>
          <w:rFonts w:cs="Arial"/>
          <w:lang w:val="es-MX"/>
        </w:rPr>
        <w:t>Brindar orientaciones claras sobre el proceso de quejas y denuncias a la comunidad y crear una cultura colaborativa frente herramientas y procedimientos para avanzar en este proceso.</w:t>
      </w:r>
    </w:p>
    <w:p w:rsidR="00A03F17" w:rsidRPr="00A03F17" w:rsidRDefault="00A03F17" w:rsidP="00A03F17">
      <w:pPr>
        <w:spacing w:after="0"/>
        <w:contextualSpacing/>
        <w:jc w:val="both"/>
        <w:rPr>
          <w:rFonts w:cs="Arial"/>
          <w:lang w:val="es-MX"/>
        </w:rPr>
      </w:pPr>
    </w:p>
    <w:p w:rsidR="00F26175" w:rsidRPr="007608C2" w:rsidRDefault="000517AA" w:rsidP="00A44A2B">
      <w:pPr>
        <w:pStyle w:val="Prrafodelista"/>
        <w:keepNext/>
        <w:keepLines/>
        <w:numPr>
          <w:ilvl w:val="1"/>
          <w:numId w:val="50"/>
        </w:numPr>
        <w:spacing w:before="100" w:beforeAutospacing="1" w:after="100" w:afterAutospacing="1" w:line="240" w:lineRule="auto"/>
        <w:jc w:val="both"/>
        <w:outlineLvl w:val="1"/>
        <w:rPr>
          <w:rFonts w:eastAsiaTheme="majorEastAsia" w:cs="Arial"/>
          <w:b/>
        </w:rPr>
      </w:pPr>
      <w:bookmarkStart w:id="136" w:name="_Toc505183088"/>
      <w:r>
        <w:rPr>
          <w:rFonts w:eastAsiaTheme="majorEastAsia" w:cs="Arial"/>
          <w:b/>
        </w:rPr>
        <w:lastRenderedPageBreak/>
        <w:t>Servicio al Ci</w:t>
      </w:r>
      <w:r w:rsidR="00F26175" w:rsidRPr="007608C2">
        <w:rPr>
          <w:rFonts w:eastAsiaTheme="majorEastAsia" w:cs="Arial"/>
          <w:b/>
        </w:rPr>
        <w:t>udadano</w:t>
      </w:r>
      <w:bookmarkEnd w:id="136"/>
    </w:p>
    <w:p w:rsidR="00F26175" w:rsidRPr="007608C2" w:rsidRDefault="00F26175" w:rsidP="00F26175">
      <w:pPr>
        <w:spacing w:before="100" w:beforeAutospacing="1" w:after="100" w:afterAutospacing="1" w:line="240" w:lineRule="auto"/>
        <w:jc w:val="both"/>
        <w:rPr>
          <w:rFonts w:cs="Arial"/>
        </w:rPr>
      </w:pPr>
      <w:r w:rsidRPr="007608C2">
        <w:rPr>
          <w:rFonts w:cs="Arial"/>
        </w:rPr>
        <w:t>En el marco de la atención a los ciudadanos, durante el año 2017, se desarrollaron diferentes actividades dentro de las que se implementaron acciones de fortalecimiento como:</w:t>
      </w:r>
    </w:p>
    <w:p w:rsidR="00F26175" w:rsidRPr="007608C2" w:rsidRDefault="00F26175" w:rsidP="00F26175">
      <w:pPr>
        <w:spacing w:before="100" w:beforeAutospacing="1" w:after="100" w:afterAutospacing="1" w:line="240" w:lineRule="auto"/>
        <w:jc w:val="both"/>
        <w:rPr>
          <w:rFonts w:cs="Arial"/>
          <w:b/>
        </w:rPr>
      </w:pPr>
      <w:bookmarkStart w:id="137" w:name="_Hlk503284967"/>
      <w:r w:rsidRPr="007608C2">
        <w:rPr>
          <w:rFonts w:cs="Arial"/>
          <w:b/>
        </w:rPr>
        <w:t xml:space="preserve">Medición de la satisfacción y percepción ciudadana: </w:t>
      </w:r>
    </w:p>
    <w:bookmarkEnd w:id="137"/>
    <w:p w:rsidR="00F26175" w:rsidRPr="007608C2" w:rsidRDefault="00F26175" w:rsidP="00F26175">
      <w:pPr>
        <w:overflowPunct w:val="0"/>
        <w:autoSpaceDE w:val="0"/>
        <w:autoSpaceDN w:val="0"/>
        <w:spacing w:before="100" w:beforeAutospacing="1" w:after="100" w:afterAutospacing="1" w:line="240" w:lineRule="auto"/>
        <w:jc w:val="both"/>
        <w:rPr>
          <w:rFonts w:cs="Arial"/>
        </w:rPr>
      </w:pPr>
      <w:r w:rsidRPr="007608C2">
        <w:rPr>
          <w:rFonts w:cs="Arial"/>
        </w:rPr>
        <w:t>Durante el año 2017, luego de la socialización de los resultados de la medición 2016, las regionales y centros zonales procedieron a formular sus respectivas acciones de mejora, entre ellas: 26 acciones correctivas y 17 acciones preventivas y estratégicas a las que la Dirección de Servicios y Atención les hace seguimiento.</w:t>
      </w:r>
    </w:p>
    <w:p w:rsidR="00F26175" w:rsidRPr="007608C2" w:rsidRDefault="00F26175" w:rsidP="00F26175">
      <w:pPr>
        <w:overflowPunct w:val="0"/>
        <w:autoSpaceDE w:val="0"/>
        <w:autoSpaceDN w:val="0"/>
        <w:spacing w:before="100" w:beforeAutospacing="1" w:after="100" w:afterAutospacing="1" w:line="240" w:lineRule="auto"/>
        <w:jc w:val="both"/>
        <w:rPr>
          <w:rFonts w:cs="Arial"/>
        </w:rPr>
      </w:pPr>
      <w:r w:rsidRPr="007608C2">
        <w:rPr>
          <w:rFonts w:cs="Arial"/>
        </w:rPr>
        <w:t>Durante los cuatro primeros meses del año se definió conjuntamente con las áreas misionales y la la Subdirección de Monitoreo y Evaluación, los programas y las categorías a medir. De acuerdo con los programas seleccionados, se definieron las muestras correspondientes con las que se procedió a la elaboración de la Ficha de Condiciones Técnicas (FCT), para así, adelantar el correspondiente proceso de selección de contratista, que apoya el desarrollo de  la estrategia de medición de la satisfacción del cliente externo de los programas y servicios del ICBF; éste proceso de contratación fue adjudicado a la firma Proyectamos Colombia SAS.</w:t>
      </w:r>
    </w:p>
    <w:p w:rsidR="00F26175" w:rsidRPr="007608C2" w:rsidRDefault="00F26175" w:rsidP="00F26175">
      <w:pPr>
        <w:overflowPunct w:val="0"/>
        <w:autoSpaceDE w:val="0"/>
        <w:autoSpaceDN w:val="0"/>
        <w:spacing w:before="100" w:beforeAutospacing="1" w:after="100" w:afterAutospacing="1" w:line="240" w:lineRule="auto"/>
        <w:jc w:val="both"/>
        <w:rPr>
          <w:rFonts w:cs="Arial"/>
        </w:rPr>
      </w:pPr>
      <w:r w:rsidRPr="007608C2">
        <w:rPr>
          <w:rFonts w:cs="Arial"/>
        </w:rPr>
        <w:t>Seguidamente, en octubre de 2017 se suscribió contrato con la firma Proyectamos Colombia S.A.S. para el desarrollo de la estrategia de medición de satisfacción de los 8 programas definidos por las áreas misionales: Adopciones (familias extranjeras y familias colombianas), Familias con Bienestar para la Paz, Centros de Recuperación Nutricional, Hogares Infantiles, Modalidad Propia e Intercultural, Centros de Atención Especializada CAE del SRPA, Internado Consumo de SPA y Generaciones con Bienestar. Durante éste mes se desarrolló toda la fase de planeación de la estrategia (definición de plan de trabajo, validación de formularios, pruebas piloto); en el mes de noviembre se llevó a cabo el trabajo de campo con el fin de alcanzar la meta de realizar 4.869 encuestas. Es así como finalizando el mes de diciembre se hace entrega de los informes finales que dan cuenta de un índice de satisfacción de 90.2%, muy similar al del año inmediatamente anterior correspondiente al 90.0%</w:t>
      </w:r>
    </w:p>
    <w:p w:rsidR="00F26175" w:rsidRPr="007608C2" w:rsidRDefault="00F26175" w:rsidP="00F26175">
      <w:pPr>
        <w:overflowPunct w:val="0"/>
        <w:autoSpaceDE w:val="0"/>
        <w:autoSpaceDN w:val="0"/>
        <w:spacing w:before="100" w:beforeAutospacing="1" w:after="100" w:afterAutospacing="1" w:line="240" w:lineRule="auto"/>
        <w:jc w:val="both"/>
        <w:rPr>
          <w:rFonts w:cs="Arial"/>
        </w:rPr>
      </w:pPr>
      <w:r w:rsidRPr="007608C2">
        <w:rPr>
          <w:rFonts w:cs="Arial"/>
        </w:rPr>
        <w:t>Por otra parte, las encuestas telefónicas de medición de satisfacción de usuarios de centro zonal se comenzaron a aplicar mensualmente a partir del mes de abril del 2017. Los resultados sobre esta medición permitieron identificar el nivel de satisfacción de los usuarios que buscaron atención presencial sobre información y orientación en el ICBF, permitiendo a través de la socialización con las Direcciones Regionales, generar las respectivas acciones de mejora.</w:t>
      </w:r>
    </w:p>
    <w:p w:rsidR="00F26175" w:rsidRPr="007608C2" w:rsidRDefault="00F26175" w:rsidP="00F26175">
      <w:pPr>
        <w:overflowPunct w:val="0"/>
        <w:autoSpaceDE w:val="0"/>
        <w:autoSpaceDN w:val="0"/>
        <w:spacing w:before="100" w:beforeAutospacing="1" w:after="100" w:afterAutospacing="1" w:line="240" w:lineRule="auto"/>
        <w:jc w:val="both"/>
        <w:rPr>
          <w:rFonts w:cs="Arial"/>
          <w:b/>
        </w:rPr>
      </w:pPr>
      <w:bookmarkStart w:id="138" w:name="_Hlk503284955"/>
      <w:r w:rsidRPr="007608C2">
        <w:rPr>
          <w:rFonts w:cs="Arial"/>
          <w:b/>
        </w:rPr>
        <w:t xml:space="preserve">Medición de satisfacción a usuarios de los canales de atención del centro de contacto </w:t>
      </w:r>
    </w:p>
    <w:bookmarkEnd w:id="138"/>
    <w:p w:rsidR="00F26175" w:rsidRPr="007608C2" w:rsidRDefault="00F26175" w:rsidP="00F26175">
      <w:pPr>
        <w:spacing w:before="100" w:beforeAutospacing="1" w:after="100" w:afterAutospacing="1" w:line="240" w:lineRule="auto"/>
        <w:jc w:val="both"/>
        <w:rPr>
          <w:rFonts w:cs="Arial"/>
        </w:rPr>
      </w:pPr>
      <w:r w:rsidRPr="007608C2">
        <w:rPr>
          <w:rFonts w:cs="Arial"/>
        </w:rPr>
        <w:t>A continuación se presentan los resultados al 31 de diciembre de 2017, frente al nivel de satisfacción de 125.304 usuarios entre niños, niñas, adolescentes y adultos, que accedieron a la encuesta de satisfacción a través de los canales de atención telefónico y virtual.</w:t>
      </w:r>
    </w:p>
    <w:p w:rsidR="00F26175" w:rsidRPr="007608C2" w:rsidRDefault="00F26175" w:rsidP="00A44A2B">
      <w:pPr>
        <w:numPr>
          <w:ilvl w:val="0"/>
          <w:numId w:val="32"/>
        </w:numPr>
        <w:spacing w:before="100" w:beforeAutospacing="1" w:after="100" w:afterAutospacing="1" w:line="240" w:lineRule="auto"/>
        <w:jc w:val="both"/>
        <w:rPr>
          <w:rFonts w:cs="Arial"/>
          <w:b/>
        </w:rPr>
      </w:pPr>
      <w:r w:rsidRPr="007608C2">
        <w:rPr>
          <w:rFonts w:cs="Arial"/>
          <w:b/>
        </w:rPr>
        <w:t>Resultados encuesta canales virtuales</w:t>
      </w:r>
    </w:p>
    <w:p w:rsidR="00F26175" w:rsidRPr="007608C2" w:rsidRDefault="00F26175" w:rsidP="00F26175">
      <w:pPr>
        <w:spacing w:before="100" w:beforeAutospacing="1" w:after="100" w:afterAutospacing="1" w:line="240" w:lineRule="auto"/>
        <w:jc w:val="both"/>
        <w:rPr>
          <w:rFonts w:cs="Arial"/>
        </w:rPr>
      </w:pPr>
      <w:r w:rsidRPr="007608C2">
        <w:rPr>
          <w:rFonts w:cs="Arial"/>
        </w:rPr>
        <w:lastRenderedPageBreak/>
        <w:t>Frente al resultado en la encuesta de satisfacción (canales virtuales) se observa que de los 24.272 usuarios encuestados, el 70% del promedio general calificó como “Excelente” el tiempo, la atención y la información brindada.</w:t>
      </w:r>
    </w:p>
    <w:p w:rsidR="00F26175" w:rsidRPr="007608C2" w:rsidRDefault="00F26175" w:rsidP="00F26175">
      <w:pPr>
        <w:spacing w:before="100" w:beforeAutospacing="1" w:after="100" w:afterAutospacing="1" w:line="240" w:lineRule="auto"/>
        <w:jc w:val="both"/>
        <w:rPr>
          <w:rFonts w:cs="Arial"/>
        </w:rPr>
      </w:pPr>
      <w:r w:rsidRPr="007608C2">
        <w:rPr>
          <w:rFonts w:cs="Arial"/>
          <w:noProof/>
          <w:sz w:val="18"/>
          <w:lang w:val="es-CO" w:eastAsia="es-CO"/>
        </w:rPr>
        <w:drawing>
          <wp:inline distT="0" distB="0" distL="0" distR="0" wp14:anchorId="77D8DA0B" wp14:editId="5531DBA5">
            <wp:extent cx="2962275" cy="2076450"/>
            <wp:effectExtent l="0" t="0" r="9525" b="0"/>
            <wp:docPr id="461" name="Gráfico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7608C2">
        <w:rPr>
          <w:rFonts w:cs="Arial"/>
          <w:noProof/>
          <w:sz w:val="18"/>
          <w:lang w:val="es-CO" w:eastAsia="es-CO"/>
        </w:rPr>
        <w:drawing>
          <wp:inline distT="0" distB="0" distL="0" distR="0" wp14:anchorId="74C42852" wp14:editId="244BDAC3">
            <wp:extent cx="2990850" cy="2076450"/>
            <wp:effectExtent l="0" t="0" r="0" b="0"/>
            <wp:docPr id="462" name="Gráfico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26175" w:rsidRPr="007608C2" w:rsidRDefault="00F26175" w:rsidP="00D2086C">
      <w:pPr>
        <w:spacing w:before="100" w:beforeAutospacing="1" w:after="100" w:afterAutospacing="1" w:line="240" w:lineRule="auto"/>
        <w:jc w:val="center"/>
        <w:rPr>
          <w:rFonts w:cs="Arial"/>
        </w:rPr>
      </w:pPr>
      <w:r w:rsidRPr="007608C2">
        <w:rPr>
          <w:rFonts w:cs="Arial"/>
          <w:noProof/>
          <w:sz w:val="18"/>
          <w:lang w:val="es-CO" w:eastAsia="es-CO"/>
        </w:rPr>
        <w:drawing>
          <wp:inline distT="0" distB="0" distL="0" distR="0" wp14:anchorId="0D141FD1" wp14:editId="58155883">
            <wp:extent cx="2962275" cy="2000250"/>
            <wp:effectExtent l="0" t="0" r="9525" b="0"/>
            <wp:docPr id="463" name="Gráfico 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26175" w:rsidRPr="00D2086C" w:rsidRDefault="00F26175" w:rsidP="00F26175">
      <w:pPr>
        <w:spacing w:before="100" w:beforeAutospacing="1" w:after="100" w:afterAutospacing="1" w:line="240" w:lineRule="auto"/>
        <w:jc w:val="both"/>
        <w:rPr>
          <w:rFonts w:cs="Arial"/>
          <w:sz w:val="16"/>
          <w:szCs w:val="16"/>
        </w:rPr>
      </w:pPr>
      <w:bookmarkStart w:id="139" w:name="_Hlk488672168"/>
      <w:r w:rsidRPr="00D2086C">
        <w:rPr>
          <w:rFonts w:cs="Arial"/>
          <w:sz w:val="16"/>
          <w:szCs w:val="16"/>
        </w:rPr>
        <w:t>Fuente: Informe Operador Centro de Contacto enero de 2018.</w:t>
      </w:r>
    </w:p>
    <w:bookmarkEnd w:id="139"/>
    <w:p w:rsidR="00F26175" w:rsidRPr="007608C2" w:rsidRDefault="00F26175" w:rsidP="00A44A2B">
      <w:pPr>
        <w:numPr>
          <w:ilvl w:val="0"/>
          <w:numId w:val="32"/>
        </w:numPr>
        <w:spacing w:before="100" w:beforeAutospacing="1" w:after="100" w:afterAutospacing="1" w:line="240" w:lineRule="auto"/>
        <w:jc w:val="both"/>
        <w:rPr>
          <w:rFonts w:cs="Arial"/>
          <w:b/>
        </w:rPr>
      </w:pPr>
      <w:r w:rsidRPr="007608C2">
        <w:rPr>
          <w:rFonts w:cs="Arial"/>
          <w:b/>
        </w:rPr>
        <w:t>Resultados encuesta a niños, niñas y adolescentes que se comunican al ICBF por la línea 141</w:t>
      </w:r>
    </w:p>
    <w:p w:rsidR="00F26175" w:rsidRPr="007608C2" w:rsidRDefault="00F26175" w:rsidP="00F26175">
      <w:pPr>
        <w:spacing w:before="100" w:beforeAutospacing="1" w:after="100" w:afterAutospacing="1" w:line="240" w:lineRule="auto"/>
        <w:jc w:val="both"/>
        <w:rPr>
          <w:rFonts w:cs="Arial"/>
        </w:rPr>
      </w:pPr>
      <w:r w:rsidRPr="007608C2">
        <w:rPr>
          <w:rFonts w:cs="Arial"/>
        </w:rPr>
        <w:t>Se observa que de los 73.576 menores de edad encuestados, el 80% en promedio general calificó como positiva la ayuda prestada mediante la línea y podrían volver a comunicarse con el ICBF.</w:t>
      </w:r>
    </w:p>
    <w:p w:rsidR="00F26175" w:rsidRPr="007608C2" w:rsidRDefault="00F26175" w:rsidP="00F26175">
      <w:pPr>
        <w:spacing w:before="100" w:beforeAutospacing="1" w:after="100" w:afterAutospacing="1" w:line="240" w:lineRule="auto"/>
        <w:jc w:val="both"/>
        <w:rPr>
          <w:rFonts w:cs="Arial"/>
        </w:rPr>
      </w:pPr>
      <w:r w:rsidRPr="007608C2">
        <w:rPr>
          <w:rFonts w:cs="Arial"/>
          <w:noProof/>
          <w:lang w:val="es-CO" w:eastAsia="es-CO"/>
        </w:rPr>
        <w:lastRenderedPageBreak/>
        <w:drawing>
          <wp:inline distT="0" distB="0" distL="0" distR="0" wp14:anchorId="45F16D49" wp14:editId="59FA5F3C">
            <wp:extent cx="3009900" cy="2057400"/>
            <wp:effectExtent l="0" t="0" r="0" b="0"/>
            <wp:docPr id="464" name="Gráfico 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7608C2">
        <w:rPr>
          <w:rFonts w:cs="Arial"/>
          <w:noProof/>
          <w:lang w:val="es-CO" w:eastAsia="es-CO"/>
        </w:rPr>
        <w:drawing>
          <wp:inline distT="0" distB="0" distL="0" distR="0" wp14:anchorId="75247934" wp14:editId="134ABC20">
            <wp:extent cx="2828925" cy="2057400"/>
            <wp:effectExtent l="0" t="0" r="9525" b="0"/>
            <wp:docPr id="465" name="Gráfico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26175" w:rsidRPr="00D2086C" w:rsidRDefault="00F26175" w:rsidP="00F26175">
      <w:pPr>
        <w:spacing w:before="100" w:beforeAutospacing="1" w:after="100" w:afterAutospacing="1" w:line="240" w:lineRule="auto"/>
        <w:jc w:val="both"/>
        <w:rPr>
          <w:rFonts w:cs="Arial"/>
          <w:sz w:val="16"/>
          <w:szCs w:val="16"/>
        </w:rPr>
      </w:pPr>
      <w:r w:rsidRPr="00D2086C">
        <w:rPr>
          <w:rFonts w:cs="Arial"/>
          <w:sz w:val="16"/>
          <w:szCs w:val="16"/>
        </w:rPr>
        <w:t>Fuente: Informe Operador Centro de Contacto enero de 2018.</w:t>
      </w:r>
    </w:p>
    <w:p w:rsidR="00F26175" w:rsidRPr="007608C2" w:rsidRDefault="00F26175" w:rsidP="00A44A2B">
      <w:pPr>
        <w:numPr>
          <w:ilvl w:val="0"/>
          <w:numId w:val="32"/>
        </w:numPr>
        <w:spacing w:before="100" w:beforeAutospacing="1" w:after="100" w:afterAutospacing="1" w:line="240" w:lineRule="auto"/>
        <w:jc w:val="both"/>
        <w:rPr>
          <w:rFonts w:cs="Arial"/>
          <w:b/>
        </w:rPr>
      </w:pPr>
      <w:r w:rsidRPr="007608C2">
        <w:rPr>
          <w:rFonts w:cs="Arial"/>
          <w:b/>
        </w:rPr>
        <w:t xml:space="preserve">Resultados encuesta a adultos que se </w:t>
      </w:r>
      <w:r w:rsidR="00D2086C">
        <w:rPr>
          <w:rFonts w:cs="Arial"/>
          <w:b/>
        </w:rPr>
        <w:t>comunican al ICBF por la línea n</w:t>
      </w:r>
      <w:r w:rsidRPr="007608C2">
        <w:rPr>
          <w:rFonts w:cs="Arial"/>
          <w:b/>
        </w:rPr>
        <w:t>acional y 141</w:t>
      </w:r>
    </w:p>
    <w:p w:rsidR="00F26175" w:rsidRPr="007608C2" w:rsidRDefault="00F26175" w:rsidP="00F26175">
      <w:pPr>
        <w:spacing w:before="100" w:beforeAutospacing="1" w:after="100" w:afterAutospacing="1" w:line="240" w:lineRule="auto"/>
        <w:jc w:val="both"/>
        <w:rPr>
          <w:rFonts w:cs="Arial"/>
        </w:rPr>
      </w:pPr>
      <w:r w:rsidRPr="007608C2">
        <w:rPr>
          <w:rFonts w:cs="Arial"/>
        </w:rPr>
        <w:t xml:space="preserve">Frente al resultado en la encuesta de satisfacción realizada a los adultos que se comunican por la línea Nacional y 141, se observa </w:t>
      </w:r>
      <w:r w:rsidR="00D2086C" w:rsidRPr="007608C2">
        <w:rPr>
          <w:rFonts w:cs="Arial"/>
        </w:rPr>
        <w:t>que,</w:t>
      </w:r>
      <w:r w:rsidRPr="007608C2">
        <w:rPr>
          <w:rFonts w:cs="Arial"/>
        </w:rPr>
        <w:t xml:space="preserve"> de los 27.456 usuarios encuestados, el 72% del promedio general calificó como “Excelente” el tiempo, la atención y la información brindada. </w:t>
      </w:r>
    </w:p>
    <w:p w:rsidR="00F26175" w:rsidRPr="007608C2" w:rsidRDefault="00F26175" w:rsidP="00F26175">
      <w:pPr>
        <w:spacing w:before="100" w:beforeAutospacing="1" w:after="100" w:afterAutospacing="1" w:line="240" w:lineRule="auto"/>
        <w:jc w:val="both"/>
        <w:rPr>
          <w:rFonts w:cs="Arial"/>
        </w:rPr>
      </w:pPr>
      <w:r w:rsidRPr="007608C2">
        <w:rPr>
          <w:rFonts w:cs="Arial"/>
          <w:noProof/>
          <w:lang w:val="es-CO" w:eastAsia="es-CO"/>
        </w:rPr>
        <w:drawing>
          <wp:inline distT="0" distB="0" distL="0" distR="0" wp14:anchorId="351FD165" wp14:editId="20B0EB42">
            <wp:extent cx="2924175" cy="2047875"/>
            <wp:effectExtent l="0" t="0" r="9525" b="9525"/>
            <wp:docPr id="466" name="Gráfico 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7608C2">
        <w:rPr>
          <w:rFonts w:cs="Arial"/>
          <w:noProof/>
          <w:lang w:val="es-CO" w:eastAsia="es-CO"/>
        </w:rPr>
        <w:drawing>
          <wp:inline distT="0" distB="0" distL="0" distR="0" wp14:anchorId="3E3DF51B" wp14:editId="69F0D423">
            <wp:extent cx="2924175" cy="2057400"/>
            <wp:effectExtent l="0" t="0" r="9525" b="0"/>
            <wp:docPr id="467" name="Gráfico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26175" w:rsidRPr="007608C2" w:rsidRDefault="00F26175" w:rsidP="00F26175">
      <w:pPr>
        <w:spacing w:before="100" w:beforeAutospacing="1" w:after="100" w:afterAutospacing="1" w:line="240" w:lineRule="auto"/>
        <w:jc w:val="both"/>
        <w:rPr>
          <w:rFonts w:cs="Arial"/>
        </w:rPr>
      </w:pPr>
    </w:p>
    <w:p w:rsidR="00F26175" w:rsidRPr="007608C2" w:rsidRDefault="00F26175" w:rsidP="00D2086C">
      <w:pPr>
        <w:spacing w:before="100" w:beforeAutospacing="1" w:after="100" w:afterAutospacing="1" w:line="240" w:lineRule="auto"/>
        <w:jc w:val="center"/>
        <w:rPr>
          <w:rFonts w:cs="Arial"/>
        </w:rPr>
      </w:pPr>
      <w:r w:rsidRPr="007608C2">
        <w:rPr>
          <w:rFonts w:cs="Arial"/>
          <w:noProof/>
          <w:lang w:val="es-CO" w:eastAsia="es-CO"/>
        </w:rPr>
        <w:lastRenderedPageBreak/>
        <w:drawing>
          <wp:inline distT="0" distB="0" distL="0" distR="0" wp14:anchorId="57073FEB" wp14:editId="4C2C0837">
            <wp:extent cx="3190875" cy="2190750"/>
            <wp:effectExtent l="0" t="0" r="9525" b="0"/>
            <wp:docPr id="468" name="Gráfico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26175" w:rsidRPr="00D2086C" w:rsidRDefault="00F26175" w:rsidP="00985A5D">
      <w:pPr>
        <w:spacing w:after="100" w:afterAutospacing="1" w:line="240" w:lineRule="auto"/>
        <w:jc w:val="center"/>
        <w:rPr>
          <w:rFonts w:cs="Arial"/>
          <w:i/>
          <w:sz w:val="16"/>
          <w:szCs w:val="16"/>
        </w:rPr>
      </w:pPr>
      <w:r w:rsidRPr="00D2086C">
        <w:rPr>
          <w:rFonts w:cs="Arial"/>
          <w:i/>
          <w:sz w:val="16"/>
          <w:szCs w:val="16"/>
        </w:rPr>
        <w:t>Fuente: Informe Operador Centro de Contacto enero de 2018.</w:t>
      </w:r>
    </w:p>
    <w:p w:rsidR="00F26175" w:rsidRPr="007608C2" w:rsidRDefault="00F26175" w:rsidP="00F26175">
      <w:pPr>
        <w:spacing w:before="100" w:beforeAutospacing="1" w:after="100" w:afterAutospacing="1" w:line="240" w:lineRule="auto"/>
        <w:jc w:val="both"/>
        <w:rPr>
          <w:rFonts w:cs="Arial"/>
          <w:b/>
        </w:rPr>
      </w:pPr>
      <w:r w:rsidRPr="007608C2">
        <w:rPr>
          <w:rFonts w:cs="Arial"/>
          <w:b/>
        </w:rPr>
        <w:t>Lineamientos para la Gestión de Peticiones, Quejas, Reclamos, Sugerencias y Denuncias</w:t>
      </w:r>
    </w:p>
    <w:p w:rsidR="00F26175" w:rsidRPr="007608C2" w:rsidRDefault="00F26175" w:rsidP="00F26175">
      <w:pPr>
        <w:spacing w:before="100" w:beforeAutospacing="1" w:after="100" w:afterAutospacing="1" w:line="240" w:lineRule="auto"/>
        <w:jc w:val="both"/>
        <w:rPr>
          <w:rFonts w:cs="Arial"/>
        </w:rPr>
      </w:pPr>
      <w:r w:rsidRPr="007608C2">
        <w:rPr>
          <w:rFonts w:cs="Arial"/>
        </w:rPr>
        <w:t>La Dirección de Servicios y Atención lideró la actualización de los contenidos relacionados con la gestión de peticiones, quejas, reclamos, denuncias y sugerencias, teniendo en cuenta que constantemente se estructuran rutas de atención, protocolos, ABCs, memorandos y directrices técnicas, los cuales deben articularse y socializarse a nivel nacional con los responsables de Servicios y Atención y el centro de contacto, así como los lineamientos técnicos construidos por las áreas misionales, frente a los que se deben adelantar mesas de estudio para condensarlas en flujogramas, que permitan su fácil comprensión.</w:t>
      </w:r>
    </w:p>
    <w:p w:rsidR="00F26175" w:rsidRPr="007608C2" w:rsidRDefault="00F26175" w:rsidP="00F26175">
      <w:pPr>
        <w:spacing w:before="100" w:beforeAutospacing="1" w:after="100" w:afterAutospacing="1" w:line="240" w:lineRule="auto"/>
        <w:jc w:val="both"/>
        <w:rPr>
          <w:rFonts w:cs="Arial"/>
        </w:rPr>
      </w:pPr>
      <w:r w:rsidRPr="007608C2">
        <w:rPr>
          <w:rFonts w:cs="Arial"/>
        </w:rPr>
        <w:t xml:space="preserve">En este sentido, la Dirección de Servicios y Atención realizó la actualización de la Guía de Gestión de Peticiones, Quejas, Reclamos, Denuncias y Sugerencias,  con la finalidad de brindar directrices técnicas a los profesionales de Servicios y Atención en los Centros Zonales, Regionales y Sede de la Dirección General, para la adecuada información y orientación a la ciudadanía, así como su registro en el módulo de atención al ciudadano del SIM, y con ocasión de la expedición del Decreto 1166 de 2016, por el cual se regula lo referente presentación, tratamiento y radicación de las peticiones presentadas verbalmente;  para tal efecto, publicó la versión No. 2.0 del citado documento, el cual presentó cambios relevantes en los siguientes temas: </w:t>
      </w:r>
    </w:p>
    <w:p w:rsidR="00F26175" w:rsidRPr="007608C2" w:rsidRDefault="00F26175" w:rsidP="00A44A2B">
      <w:pPr>
        <w:pStyle w:val="Prrafodelista"/>
        <w:numPr>
          <w:ilvl w:val="0"/>
          <w:numId w:val="32"/>
        </w:numPr>
        <w:spacing w:before="100" w:beforeAutospacing="1" w:after="100" w:afterAutospacing="1" w:line="240" w:lineRule="auto"/>
        <w:jc w:val="both"/>
        <w:rPr>
          <w:rFonts w:cs="Arial"/>
        </w:rPr>
      </w:pPr>
      <w:r w:rsidRPr="007608C2">
        <w:rPr>
          <w:rFonts w:cs="Arial"/>
        </w:rPr>
        <w:t>Peticiones idénticas y reiterativas.</w:t>
      </w:r>
    </w:p>
    <w:p w:rsidR="00F26175" w:rsidRPr="007608C2" w:rsidRDefault="00F26175" w:rsidP="00A44A2B">
      <w:pPr>
        <w:pStyle w:val="Prrafodelista"/>
        <w:numPr>
          <w:ilvl w:val="0"/>
          <w:numId w:val="32"/>
        </w:numPr>
        <w:spacing w:before="100" w:beforeAutospacing="1" w:after="100" w:afterAutospacing="1" w:line="240" w:lineRule="auto"/>
        <w:jc w:val="both"/>
        <w:rPr>
          <w:rFonts w:cs="Arial"/>
        </w:rPr>
      </w:pPr>
      <w:r w:rsidRPr="007608C2">
        <w:rPr>
          <w:rFonts w:cs="Arial"/>
        </w:rPr>
        <w:t xml:space="preserve">Parámetros generales del proceso de gestión de PQRDS - Literal H.  </w:t>
      </w:r>
    </w:p>
    <w:p w:rsidR="00F26175" w:rsidRPr="007608C2" w:rsidRDefault="00F26175" w:rsidP="00A44A2B">
      <w:pPr>
        <w:pStyle w:val="Prrafodelista"/>
        <w:numPr>
          <w:ilvl w:val="0"/>
          <w:numId w:val="32"/>
        </w:numPr>
        <w:spacing w:before="100" w:beforeAutospacing="1" w:after="100" w:afterAutospacing="1" w:line="240" w:lineRule="auto"/>
        <w:jc w:val="both"/>
        <w:rPr>
          <w:rFonts w:cs="Arial"/>
        </w:rPr>
      </w:pPr>
      <w:r w:rsidRPr="007608C2">
        <w:rPr>
          <w:rFonts w:cs="Arial"/>
        </w:rPr>
        <w:t xml:space="preserve">Peticiones verbales -  Se adicionó parámetros para la atención de peticiones verbales de acuerdo con el Decreto 1166 de 2016. </w:t>
      </w:r>
    </w:p>
    <w:p w:rsidR="00F26175" w:rsidRPr="007608C2" w:rsidRDefault="00F26175" w:rsidP="00A44A2B">
      <w:pPr>
        <w:pStyle w:val="Prrafodelista"/>
        <w:numPr>
          <w:ilvl w:val="0"/>
          <w:numId w:val="32"/>
        </w:numPr>
        <w:spacing w:before="100" w:beforeAutospacing="1" w:after="100" w:afterAutospacing="1" w:line="240" w:lineRule="auto"/>
        <w:jc w:val="both"/>
        <w:rPr>
          <w:rFonts w:cs="Arial"/>
        </w:rPr>
      </w:pPr>
      <w:r w:rsidRPr="007608C2">
        <w:rPr>
          <w:rFonts w:cs="Arial"/>
        </w:rPr>
        <w:t xml:space="preserve">Requisitos de la constancia de radicación de la petición verbal </w:t>
      </w:r>
    </w:p>
    <w:p w:rsidR="00F26175" w:rsidRPr="007608C2" w:rsidRDefault="00F26175" w:rsidP="00A44A2B">
      <w:pPr>
        <w:pStyle w:val="Prrafodelista"/>
        <w:numPr>
          <w:ilvl w:val="0"/>
          <w:numId w:val="32"/>
        </w:numPr>
        <w:spacing w:before="100" w:beforeAutospacing="1" w:after="100" w:afterAutospacing="1" w:line="240" w:lineRule="auto"/>
        <w:jc w:val="both"/>
        <w:rPr>
          <w:rFonts w:cs="Arial"/>
        </w:rPr>
      </w:pPr>
      <w:r w:rsidRPr="007608C2">
        <w:rPr>
          <w:rFonts w:cs="Arial"/>
        </w:rPr>
        <w:t xml:space="preserve">Respuesta derecho de petición verbal. </w:t>
      </w:r>
    </w:p>
    <w:p w:rsidR="00F26175" w:rsidRPr="007608C2" w:rsidRDefault="00F26175" w:rsidP="00A44A2B">
      <w:pPr>
        <w:pStyle w:val="Prrafodelista"/>
        <w:numPr>
          <w:ilvl w:val="0"/>
          <w:numId w:val="32"/>
        </w:numPr>
        <w:spacing w:before="100" w:beforeAutospacing="1" w:after="100" w:afterAutospacing="1" w:line="240" w:lineRule="auto"/>
        <w:jc w:val="both"/>
        <w:rPr>
          <w:rFonts w:cs="Arial"/>
        </w:rPr>
      </w:pPr>
      <w:r w:rsidRPr="007608C2">
        <w:rPr>
          <w:rFonts w:cs="Arial"/>
        </w:rPr>
        <w:t>Seguridad de los datos personales.</w:t>
      </w:r>
    </w:p>
    <w:p w:rsidR="00F26175" w:rsidRPr="007608C2" w:rsidRDefault="00F26175" w:rsidP="00A44A2B">
      <w:pPr>
        <w:pStyle w:val="Prrafodelista"/>
        <w:numPr>
          <w:ilvl w:val="0"/>
          <w:numId w:val="32"/>
        </w:numPr>
        <w:spacing w:before="100" w:beforeAutospacing="1" w:after="100" w:afterAutospacing="1" w:line="240" w:lineRule="auto"/>
        <w:jc w:val="both"/>
        <w:rPr>
          <w:rFonts w:cs="Arial"/>
        </w:rPr>
      </w:pPr>
      <w:r w:rsidRPr="007608C2">
        <w:rPr>
          <w:rFonts w:cs="Arial"/>
        </w:rPr>
        <w:t>Clasificación de peticiones -  Descripción de la actuación AAC-060. Gestión de la Petición.</w:t>
      </w:r>
    </w:p>
    <w:p w:rsidR="00F26175" w:rsidRPr="007608C2" w:rsidRDefault="00F26175" w:rsidP="00A44A2B">
      <w:pPr>
        <w:pStyle w:val="Prrafodelista"/>
        <w:numPr>
          <w:ilvl w:val="0"/>
          <w:numId w:val="32"/>
        </w:numPr>
        <w:spacing w:before="100" w:beforeAutospacing="1" w:after="100" w:afterAutospacing="1" w:line="240" w:lineRule="auto"/>
        <w:jc w:val="both"/>
        <w:rPr>
          <w:rFonts w:cs="Arial"/>
        </w:rPr>
      </w:pPr>
      <w:r w:rsidRPr="007608C2">
        <w:rPr>
          <w:rFonts w:cs="Arial"/>
        </w:rPr>
        <w:lastRenderedPageBreak/>
        <w:t>Derecho de Petición Información y Orientación con Trámite. Se modificó en el recuadro de la petición, la columna de Responsables y registro de actuaciones en el SIM.</w:t>
      </w:r>
    </w:p>
    <w:p w:rsidR="00F26175" w:rsidRPr="007608C2" w:rsidRDefault="00F26175" w:rsidP="00A44A2B">
      <w:pPr>
        <w:pStyle w:val="Prrafodelista"/>
        <w:numPr>
          <w:ilvl w:val="0"/>
          <w:numId w:val="32"/>
        </w:numPr>
        <w:spacing w:before="100" w:beforeAutospacing="1" w:after="100" w:afterAutospacing="1" w:line="240" w:lineRule="auto"/>
        <w:jc w:val="both"/>
        <w:rPr>
          <w:rFonts w:cs="Arial"/>
        </w:rPr>
      </w:pPr>
      <w:r w:rsidRPr="007608C2">
        <w:rPr>
          <w:rFonts w:cs="Arial"/>
        </w:rPr>
        <w:t>Derecho de Petición Atención por Ciclos de Vida y Nutrición. Se modificó en el recuadro de la petición, la columna de Descripción Nota que menciona el registro de estas peticiones para el Centro de Contacto</w:t>
      </w:r>
    </w:p>
    <w:p w:rsidR="00F26175" w:rsidRPr="007608C2" w:rsidRDefault="00F26175" w:rsidP="00A44A2B">
      <w:pPr>
        <w:pStyle w:val="Prrafodelista"/>
        <w:numPr>
          <w:ilvl w:val="0"/>
          <w:numId w:val="32"/>
        </w:numPr>
        <w:spacing w:before="100" w:beforeAutospacing="1" w:after="100" w:afterAutospacing="1" w:line="240" w:lineRule="auto"/>
        <w:jc w:val="both"/>
        <w:rPr>
          <w:rFonts w:cs="Arial"/>
        </w:rPr>
      </w:pPr>
      <w:r w:rsidRPr="007608C2">
        <w:rPr>
          <w:rFonts w:cs="Arial"/>
        </w:rPr>
        <w:t>Tipo de petición Trámite de atención extraprocesal.  Se modificó en el recuadro de la petición, la columna de responsables y registro de actuaciones en el SIM.</w:t>
      </w:r>
    </w:p>
    <w:p w:rsidR="00F26175" w:rsidRPr="007608C2" w:rsidRDefault="00F26175" w:rsidP="00A44A2B">
      <w:pPr>
        <w:pStyle w:val="Prrafodelista"/>
        <w:numPr>
          <w:ilvl w:val="0"/>
          <w:numId w:val="32"/>
        </w:numPr>
        <w:spacing w:before="100" w:beforeAutospacing="1" w:after="100" w:afterAutospacing="1" w:line="240" w:lineRule="auto"/>
        <w:jc w:val="both"/>
        <w:rPr>
          <w:rFonts w:cs="Arial"/>
        </w:rPr>
      </w:pPr>
      <w:r w:rsidRPr="007608C2">
        <w:rPr>
          <w:rFonts w:cs="Arial"/>
        </w:rPr>
        <w:t xml:space="preserve">Tipo de petición Asistencia y asesoría a la niñez y la familia. Se modificó en el recuadro de la petición, la columna de responsables y registro de actuaciones en el SIM - Cierre proceso. </w:t>
      </w:r>
    </w:p>
    <w:p w:rsidR="00F26175" w:rsidRPr="007608C2" w:rsidRDefault="00F26175" w:rsidP="00A44A2B">
      <w:pPr>
        <w:pStyle w:val="Prrafodelista"/>
        <w:numPr>
          <w:ilvl w:val="0"/>
          <w:numId w:val="32"/>
        </w:numPr>
        <w:spacing w:before="100" w:beforeAutospacing="1" w:after="100" w:afterAutospacing="1" w:line="240" w:lineRule="auto"/>
        <w:jc w:val="both"/>
        <w:rPr>
          <w:rFonts w:cs="Arial"/>
        </w:rPr>
      </w:pPr>
      <w:r w:rsidRPr="007608C2">
        <w:rPr>
          <w:rFonts w:cs="Arial"/>
        </w:rPr>
        <w:t>Actuaciones registró constatación de denuncias, concretamente se modificó la descripción de la actuación Dirección Errada.</w:t>
      </w:r>
    </w:p>
    <w:p w:rsidR="00F26175" w:rsidRPr="007608C2" w:rsidRDefault="00F26175" w:rsidP="00F26175">
      <w:pPr>
        <w:spacing w:before="100" w:beforeAutospacing="1" w:after="100" w:afterAutospacing="1" w:line="240" w:lineRule="auto"/>
        <w:jc w:val="both"/>
        <w:rPr>
          <w:rFonts w:cs="Arial"/>
        </w:rPr>
      </w:pPr>
      <w:r w:rsidRPr="007608C2">
        <w:rPr>
          <w:rFonts w:cs="Arial"/>
        </w:rPr>
        <w:t>Se elaboraron y socializaron documentos de apoyo a la Guía de PQRSyD, como son: Guía rechazo peticiones irrespetuosas - peticiones incompletas y acto administrativo de desistimiento tácito - publicación web de respuesta a peticiones anónimas o devueltas por diferentes causales; Guía para el trámite de denuncias de la línea anticorrupción en el nivel regional y zonal y, la Guía de Constatación de denuncias, con la finalidad de fortalecer los parámetros orientadores que se deben tener en cuenta al momento de constatar las denuncias y realizar su adecuado registro en SIM. Así mismo, se construyeron 4 documentos ABCs relacionados con Adopciones, Filiación, Trámites Conciliables y Trámite Internacional de Derechos de NNA y familias, los cuales fueron aprobados por la Dirección de Protección, y diagramados por esta dirección para su publicación en la página web del instituto, lo cual se llevó a cabo el 29 de septiembre, previo a su vinculación en la Guía de PQRDyS, con lo cual se actualizó la guía a la versión No. 3.</w:t>
      </w:r>
    </w:p>
    <w:p w:rsidR="00F26175" w:rsidRPr="007608C2" w:rsidRDefault="00F26175" w:rsidP="00F26175">
      <w:pPr>
        <w:spacing w:before="100" w:beforeAutospacing="1" w:after="100" w:afterAutospacing="1" w:line="240" w:lineRule="auto"/>
        <w:jc w:val="both"/>
        <w:rPr>
          <w:rFonts w:cs="Arial"/>
        </w:rPr>
      </w:pPr>
      <w:r w:rsidRPr="007608C2">
        <w:rPr>
          <w:rFonts w:cs="Arial"/>
        </w:rPr>
        <w:t>La Dirección de Servicios y Atención identificó la necesidad de elaborar rutas de atención de las principales modalidades de protección para los niños, niñas y adolescentes, que estuvieran acordes con los Lineamientos Técnicos, las cuales se enfocaron en establecer parámetros claros para la activación oportuna de las rutas de tal forma que desde el momento de su recepción por los diferentes canales de atención, se clasifiquen de acuerdo a lo establecido en la Guía de Gestión de Peticiones, Quejas, Reclamos, Denuncias y Sugerencias del ICBF.</w:t>
      </w:r>
    </w:p>
    <w:p w:rsidR="00F26175" w:rsidRPr="007608C2" w:rsidRDefault="00F26175" w:rsidP="00F26175">
      <w:pPr>
        <w:spacing w:before="100" w:beforeAutospacing="1" w:after="100" w:afterAutospacing="1" w:line="240" w:lineRule="auto"/>
        <w:jc w:val="both"/>
        <w:rPr>
          <w:rFonts w:cs="Arial"/>
        </w:rPr>
      </w:pPr>
      <w:r w:rsidRPr="007608C2">
        <w:rPr>
          <w:rFonts w:cs="Arial"/>
        </w:rPr>
        <w:t>Con el fin de contar con documentos concisos y sencillos, que permitieran contribuir a la apropiación de la información por parte de los profesionales de Servicios y Atención se realizaron flujogramas de las principales rutas de atención como son: Trabajo Infantil (Versión 3), Permiso de Salida del País (Versión 2), Búsqueda de Orígenes, Consumo de Sustancias Psicoactivas, Madres Gestantes y Lactantes, Afectado por Pólvora (Versión 2), Situación de Vida en Calle y Unidades Móviles.</w:t>
      </w:r>
    </w:p>
    <w:p w:rsidR="00F26175" w:rsidRPr="007608C2" w:rsidRDefault="00F26175" w:rsidP="00F26175">
      <w:pPr>
        <w:spacing w:before="100" w:beforeAutospacing="1" w:after="100" w:afterAutospacing="1" w:line="240" w:lineRule="auto"/>
        <w:jc w:val="both"/>
        <w:rPr>
          <w:rFonts w:cs="Arial"/>
        </w:rPr>
      </w:pPr>
      <w:r w:rsidRPr="007608C2">
        <w:rPr>
          <w:rFonts w:cs="Arial"/>
        </w:rPr>
        <w:t>En este mismo sentido, y con el propósito de contar con parámetros más definidos para la atención de los niños, niñas y adolescentes (NNA) y ciudadanos que se comunican a través del canal telefónico y virtual, se elaboró el Protocolo de Atención de la Línea de denuncia, emergencia y orientación 141, el cual fue publicado en los contenidos del macroproceso de relación con el ciudadano. Esta información se socializó con el Centro de Contacto y con los Centros Zonales y Direcciones Regionales.</w:t>
      </w:r>
    </w:p>
    <w:p w:rsidR="00F26175" w:rsidRPr="007608C2" w:rsidRDefault="00F26175" w:rsidP="00F26175">
      <w:pPr>
        <w:spacing w:before="100" w:beforeAutospacing="1" w:after="100" w:afterAutospacing="1" w:line="240" w:lineRule="auto"/>
        <w:jc w:val="both"/>
        <w:rPr>
          <w:rFonts w:cs="Arial"/>
        </w:rPr>
      </w:pPr>
      <w:r w:rsidRPr="007608C2">
        <w:rPr>
          <w:rFonts w:cs="Arial"/>
        </w:rPr>
        <w:lastRenderedPageBreak/>
        <w:t>Este documento ha permitido aclarar las principales dudas que tenía la operación del Centro de Contacto frente a las competencias de los Comisarios de Familia y los Defensores de Familia y con ello optimizar la remisión de peticiones a otras entidades; de igual manera las preguntas filtro y los ajustes en el protocolo a la atención de violencia sexual permiten mejorar la calidad de la atención y de la información que recibe el Centro de Contacto.</w:t>
      </w:r>
    </w:p>
    <w:p w:rsidR="00F26175" w:rsidRPr="007608C2" w:rsidRDefault="00F26175" w:rsidP="00F26175">
      <w:pPr>
        <w:spacing w:before="100" w:beforeAutospacing="1" w:after="100" w:afterAutospacing="1" w:line="240" w:lineRule="auto"/>
        <w:jc w:val="both"/>
        <w:rPr>
          <w:rFonts w:cs="Arial"/>
        </w:rPr>
      </w:pPr>
      <w:r w:rsidRPr="007608C2">
        <w:rPr>
          <w:rFonts w:cs="Arial"/>
        </w:rPr>
        <w:t xml:space="preserve">Del mismo modo, se elaboró la ruta de conductas suicidas, y de registro de declaratoria de adoptabilidad, las cuales se encuentran en revisión por parte de la Dirección de Protección; así mismo, se avanzó en el 65% de la estructuración de la guía para la correcta tipificación, la cual se constituirá como un instrumento de consulta para los responsables de servicios y atención, que les permitirá optimizar la clasificación y direccionamiento de las peticiones en el sistema de información misional SIM. </w:t>
      </w:r>
    </w:p>
    <w:p w:rsidR="00F26175" w:rsidRPr="007608C2" w:rsidRDefault="00F26175" w:rsidP="00F26175">
      <w:pPr>
        <w:spacing w:before="100" w:beforeAutospacing="1" w:after="100" w:afterAutospacing="1" w:line="240" w:lineRule="auto"/>
        <w:jc w:val="both"/>
        <w:rPr>
          <w:rFonts w:cs="Arial"/>
          <w:b/>
        </w:rPr>
      </w:pPr>
      <w:bookmarkStart w:id="140" w:name="_Hlk503284924"/>
      <w:r w:rsidRPr="007608C2">
        <w:rPr>
          <w:rFonts w:cs="Arial"/>
          <w:b/>
        </w:rPr>
        <w:t>Gestión de PQRS</w:t>
      </w:r>
    </w:p>
    <w:bookmarkEnd w:id="140"/>
    <w:p w:rsidR="00F26175" w:rsidRPr="007608C2" w:rsidRDefault="00F26175" w:rsidP="00F26175">
      <w:pPr>
        <w:spacing w:before="100" w:beforeAutospacing="1" w:after="100" w:afterAutospacing="1" w:line="240" w:lineRule="auto"/>
        <w:jc w:val="both"/>
        <w:rPr>
          <w:rFonts w:eastAsia="MS PGothic" w:cs="Arial"/>
          <w:bCs/>
          <w:iCs/>
          <w:kern w:val="24"/>
        </w:rPr>
      </w:pPr>
      <w:r w:rsidRPr="007608C2">
        <w:rPr>
          <w:rFonts w:eastAsia="MS PGothic" w:cs="Arial"/>
          <w:bCs/>
          <w:iCs/>
          <w:kern w:val="24"/>
        </w:rPr>
        <w:t xml:space="preserve">Durante la vigencia 2017, fueron atendidas </w:t>
      </w:r>
      <w:r w:rsidRPr="007608C2">
        <w:rPr>
          <w:rFonts w:cs="Arial"/>
        </w:rPr>
        <w:t xml:space="preserve">758.905 </w:t>
      </w:r>
      <w:r w:rsidRPr="007608C2">
        <w:rPr>
          <w:rFonts w:eastAsia="MS PGothic" w:cs="Arial"/>
          <w:bCs/>
          <w:iCs/>
          <w:kern w:val="24"/>
        </w:rPr>
        <w:t>peticiones, quejas, reclamos, sugerencias y denuncias recibidas a nivel nacional y mensualmente se retroalimentó a los ciudadanos a través de los informes de PQRSyD y Solicitudes de Acceso a la Información, publicados en la página web, conforme el corte de información efectuado en el mes de diciembre.</w:t>
      </w:r>
    </w:p>
    <w:p w:rsidR="00F26175" w:rsidRPr="007608C2" w:rsidRDefault="00F26175" w:rsidP="00F26175">
      <w:pPr>
        <w:spacing w:before="100" w:beforeAutospacing="1" w:after="100" w:afterAutospacing="1" w:line="240" w:lineRule="auto"/>
        <w:jc w:val="both"/>
        <w:rPr>
          <w:rFonts w:cs="Arial"/>
        </w:rPr>
      </w:pPr>
      <w:r w:rsidRPr="007608C2">
        <w:rPr>
          <w:rFonts w:cs="Arial"/>
        </w:rPr>
        <w:t>A continuación, detallamos el número de solicitudes recibidas por canal de atención, según el cual los canales presencial, escrito y telefónico, son en su orden los preferidos por la ciudadanía para la atención de sus peticiones, y por ello la mayor parte de esfuerzos institucionales se enfocan en el mejoramiento continuo de dichos canales:</w:t>
      </w: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1707"/>
        <w:gridCol w:w="1447"/>
        <w:gridCol w:w="1887"/>
        <w:gridCol w:w="1367"/>
      </w:tblGrid>
      <w:tr w:rsidR="00D2086C" w:rsidTr="00D92182">
        <w:trPr>
          <w:jc w:val="center"/>
        </w:trPr>
        <w:tc>
          <w:tcPr>
            <w:tcW w:w="0" w:type="auto"/>
            <w:shd w:val="clear" w:color="auto" w:fill="76922E"/>
          </w:tcPr>
          <w:p w:rsidR="00D2086C" w:rsidRPr="00D92182" w:rsidRDefault="00D2086C" w:rsidP="00D2086C">
            <w:pPr>
              <w:spacing w:before="100" w:beforeAutospacing="1" w:after="100" w:afterAutospacing="1" w:line="240" w:lineRule="auto"/>
              <w:jc w:val="center"/>
              <w:rPr>
                <w:rFonts w:cs="Arial"/>
                <w:b/>
                <w:bCs/>
                <w:color w:val="FFFFFF" w:themeColor="background1"/>
                <w:sz w:val="18"/>
                <w:lang w:val="es-CO"/>
              </w:rPr>
            </w:pPr>
            <w:r w:rsidRPr="00D92182">
              <w:rPr>
                <w:rFonts w:cs="Arial"/>
                <w:b/>
                <w:bCs/>
                <w:color w:val="FFFFFF" w:themeColor="background1"/>
                <w:sz w:val="18"/>
                <w:lang w:val="es-CO"/>
              </w:rPr>
              <w:t>Canal</w:t>
            </w:r>
          </w:p>
        </w:tc>
        <w:tc>
          <w:tcPr>
            <w:tcW w:w="0" w:type="auto"/>
            <w:shd w:val="clear" w:color="auto" w:fill="76922E"/>
          </w:tcPr>
          <w:p w:rsidR="00D2086C" w:rsidRPr="00D92182" w:rsidRDefault="00D2086C" w:rsidP="00D2086C">
            <w:pPr>
              <w:spacing w:before="100" w:beforeAutospacing="1" w:after="100" w:afterAutospacing="1" w:line="240" w:lineRule="auto"/>
              <w:jc w:val="center"/>
              <w:rPr>
                <w:rFonts w:cs="Arial"/>
                <w:b/>
                <w:bCs/>
                <w:color w:val="FFFFFF" w:themeColor="background1"/>
                <w:sz w:val="18"/>
                <w:lang w:val="es-CO"/>
              </w:rPr>
            </w:pPr>
            <w:r w:rsidRPr="00D92182">
              <w:rPr>
                <w:rFonts w:cs="Arial"/>
                <w:b/>
                <w:bCs/>
                <w:color w:val="FFFFFF" w:themeColor="background1"/>
                <w:sz w:val="18"/>
                <w:lang w:val="es-CO"/>
              </w:rPr>
              <w:t>Nivel Nacional</w:t>
            </w:r>
          </w:p>
        </w:tc>
        <w:tc>
          <w:tcPr>
            <w:tcW w:w="0" w:type="auto"/>
            <w:shd w:val="clear" w:color="auto" w:fill="76922E"/>
          </w:tcPr>
          <w:p w:rsidR="00D2086C" w:rsidRPr="00D92182" w:rsidRDefault="00D2086C" w:rsidP="00D2086C">
            <w:pPr>
              <w:spacing w:before="100" w:beforeAutospacing="1" w:after="100" w:afterAutospacing="1" w:line="240" w:lineRule="auto"/>
              <w:jc w:val="center"/>
              <w:rPr>
                <w:rFonts w:cs="Arial"/>
                <w:b/>
                <w:bCs/>
                <w:color w:val="FFFFFF" w:themeColor="background1"/>
                <w:sz w:val="18"/>
                <w:lang w:val="es-CO"/>
              </w:rPr>
            </w:pPr>
            <w:r w:rsidRPr="00D92182">
              <w:rPr>
                <w:rFonts w:cs="Arial"/>
                <w:b/>
                <w:bCs/>
                <w:color w:val="FFFFFF" w:themeColor="background1"/>
                <w:sz w:val="18"/>
                <w:lang w:val="es-CO"/>
              </w:rPr>
              <w:t>Centro de Contacto</w:t>
            </w:r>
          </w:p>
        </w:tc>
        <w:tc>
          <w:tcPr>
            <w:tcW w:w="0" w:type="auto"/>
            <w:shd w:val="clear" w:color="auto" w:fill="76922E"/>
          </w:tcPr>
          <w:p w:rsidR="00D2086C" w:rsidRPr="00D92182" w:rsidRDefault="00D2086C" w:rsidP="00D2086C">
            <w:pPr>
              <w:spacing w:before="100" w:beforeAutospacing="1" w:after="100" w:afterAutospacing="1" w:line="240" w:lineRule="auto"/>
              <w:jc w:val="center"/>
              <w:rPr>
                <w:rFonts w:cs="Arial"/>
                <w:b/>
                <w:bCs/>
                <w:color w:val="FFFFFF" w:themeColor="background1"/>
                <w:sz w:val="18"/>
                <w:lang w:val="es-CO"/>
              </w:rPr>
            </w:pPr>
            <w:r w:rsidRPr="00D92182">
              <w:rPr>
                <w:rFonts w:cs="Arial"/>
                <w:b/>
                <w:bCs/>
                <w:color w:val="FFFFFF" w:themeColor="background1"/>
                <w:sz w:val="18"/>
                <w:lang w:val="es-CO"/>
              </w:rPr>
              <w:t>Total General</w:t>
            </w:r>
          </w:p>
        </w:tc>
      </w:tr>
      <w:tr w:rsidR="00D2086C" w:rsidTr="00D92182">
        <w:trPr>
          <w:jc w:val="center"/>
        </w:trPr>
        <w:tc>
          <w:tcPr>
            <w:tcW w:w="0" w:type="auto"/>
          </w:tcPr>
          <w:p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Presencial</w:t>
            </w:r>
          </w:p>
        </w:tc>
        <w:tc>
          <w:tcPr>
            <w:tcW w:w="0" w:type="auto"/>
          </w:tcPr>
          <w:p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352.152</w:t>
            </w:r>
          </w:p>
        </w:tc>
        <w:tc>
          <w:tcPr>
            <w:tcW w:w="0" w:type="auto"/>
          </w:tcPr>
          <w:p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2.827</w:t>
            </w:r>
          </w:p>
        </w:tc>
        <w:tc>
          <w:tcPr>
            <w:tcW w:w="0" w:type="auto"/>
          </w:tcPr>
          <w:p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354.979</w:t>
            </w:r>
          </w:p>
        </w:tc>
      </w:tr>
      <w:tr w:rsidR="00D2086C" w:rsidTr="00D92182">
        <w:trPr>
          <w:jc w:val="center"/>
        </w:trPr>
        <w:tc>
          <w:tcPr>
            <w:tcW w:w="0" w:type="auto"/>
          </w:tcPr>
          <w:p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Escrito</w:t>
            </w:r>
          </w:p>
        </w:tc>
        <w:tc>
          <w:tcPr>
            <w:tcW w:w="0" w:type="auto"/>
          </w:tcPr>
          <w:p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162.983</w:t>
            </w:r>
          </w:p>
        </w:tc>
        <w:tc>
          <w:tcPr>
            <w:tcW w:w="0" w:type="auto"/>
          </w:tcPr>
          <w:p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10.604</w:t>
            </w:r>
          </w:p>
        </w:tc>
        <w:tc>
          <w:tcPr>
            <w:tcW w:w="0" w:type="auto"/>
          </w:tcPr>
          <w:p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173.587</w:t>
            </w:r>
          </w:p>
        </w:tc>
      </w:tr>
      <w:tr w:rsidR="00D2086C" w:rsidTr="00D92182">
        <w:trPr>
          <w:jc w:val="center"/>
        </w:trPr>
        <w:tc>
          <w:tcPr>
            <w:tcW w:w="0" w:type="auto"/>
          </w:tcPr>
          <w:p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Telefónico</w:t>
            </w:r>
          </w:p>
        </w:tc>
        <w:tc>
          <w:tcPr>
            <w:tcW w:w="0" w:type="auto"/>
          </w:tcPr>
          <w:p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8.084</w:t>
            </w:r>
          </w:p>
        </w:tc>
        <w:tc>
          <w:tcPr>
            <w:tcW w:w="0" w:type="auto"/>
          </w:tcPr>
          <w:p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149.239</w:t>
            </w:r>
          </w:p>
        </w:tc>
        <w:tc>
          <w:tcPr>
            <w:tcW w:w="0" w:type="auto"/>
          </w:tcPr>
          <w:p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157.323</w:t>
            </w:r>
          </w:p>
        </w:tc>
      </w:tr>
      <w:tr w:rsidR="00D2086C" w:rsidTr="00D92182">
        <w:trPr>
          <w:jc w:val="center"/>
        </w:trPr>
        <w:tc>
          <w:tcPr>
            <w:tcW w:w="0" w:type="auto"/>
          </w:tcPr>
          <w:p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Virtual</w:t>
            </w:r>
          </w:p>
        </w:tc>
        <w:tc>
          <w:tcPr>
            <w:tcW w:w="0" w:type="auto"/>
          </w:tcPr>
          <w:p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1.136</w:t>
            </w:r>
          </w:p>
        </w:tc>
        <w:tc>
          <w:tcPr>
            <w:tcW w:w="0" w:type="auto"/>
          </w:tcPr>
          <w:p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38.901</w:t>
            </w:r>
          </w:p>
        </w:tc>
        <w:tc>
          <w:tcPr>
            <w:tcW w:w="0" w:type="auto"/>
          </w:tcPr>
          <w:p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40.037</w:t>
            </w:r>
          </w:p>
        </w:tc>
      </w:tr>
      <w:tr w:rsidR="00D2086C" w:rsidTr="00D92182">
        <w:trPr>
          <w:jc w:val="center"/>
        </w:trPr>
        <w:tc>
          <w:tcPr>
            <w:tcW w:w="0" w:type="auto"/>
          </w:tcPr>
          <w:p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Correo Electrónico</w:t>
            </w:r>
          </w:p>
        </w:tc>
        <w:tc>
          <w:tcPr>
            <w:tcW w:w="0" w:type="auto"/>
          </w:tcPr>
          <w:p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15.963</w:t>
            </w:r>
          </w:p>
        </w:tc>
        <w:tc>
          <w:tcPr>
            <w:tcW w:w="0" w:type="auto"/>
          </w:tcPr>
          <w:p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16.210</w:t>
            </w:r>
          </w:p>
        </w:tc>
        <w:tc>
          <w:tcPr>
            <w:tcW w:w="0" w:type="auto"/>
          </w:tcPr>
          <w:p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32.173</w:t>
            </w:r>
          </w:p>
        </w:tc>
      </w:tr>
      <w:tr w:rsidR="00D2086C" w:rsidTr="00D92182">
        <w:trPr>
          <w:jc w:val="center"/>
        </w:trPr>
        <w:tc>
          <w:tcPr>
            <w:tcW w:w="0" w:type="auto"/>
          </w:tcPr>
          <w:p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Buzón</w:t>
            </w:r>
          </w:p>
        </w:tc>
        <w:tc>
          <w:tcPr>
            <w:tcW w:w="0" w:type="auto"/>
          </w:tcPr>
          <w:p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766</w:t>
            </w:r>
          </w:p>
        </w:tc>
        <w:tc>
          <w:tcPr>
            <w:tcW w:w="0" w:type="auto"/>
          </w:tcPr>
          <w:p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40</w:t>
            </w:r>
          </w:p>
        </w:tc>
        <w:tc>
          <w:tcPr>
            <w:tcW w:w="0" w:type="auto"/>
          </w:tcPr>
          <w:p w:rsidR="00D2086C" w:rsidRPr="00D92182" w:rsidRDefault="00D2086C" w:rsidP="00D168F6">
            <w:pPr>
              <w:spacing w:before="100" w:beforeAutospacing="1" w:after="100" w:afterAutospacing="1" w:line="240" w:lineRule="auto"/>
              <w:rPr>
                <w:rFonts w:cs="Arial"/>
                <w:bCs/>
                <w:sz w:val="18"/>
                <w:lang w:val="es-CO"/>
              </w:rPr>
            </w:pPr>
            <w:r w:rsidRPr="00D92182">
              <w:rPr>
                <w:rFonts w:cs="Arial"/>
                <w:bCs/>
                <w:sz w:val="18"/>
                <w:lang w:val="es-CO"/>
              </w:rPr>
              <w:t>806</w:t>
            </w:r>
          </w:p>
        </w:tc>
      </w:tr>
      <w:tr w:rsidR="00D2086C" w:rsidTr="00D168F6">
        <w:trPr>
          <w:jc w:val="center"/>
        </w:trPr>
        <w:tc>
          <w:tcPr>
            <w:tcW w:w="0" w:type="auto"/>
            <w:shd w:val="clear" w:color="auto" w:fill="E2EFDA"/>
          </w:tcPr>
          <w:p w:rsidR="00D2086C" w:rsidRDefault="00D2086C" w:rsidP="00D168F6">
            <w:pPr>
              <w:spacing w:before="100" w:beforeAutospacing="1" w:after="100" w:afterAutospacing="1" w:line="240" w:lineRule="auto"/>
              <w:rPr>
                <w:rFonts w:cs="Arial"/>
                <w:b/>
                <w:bCs/>
                <w:sz w:val="18"/>
                <w:lang w:val="es-CO"/>
              </w:rPr>
            </w:pPr>
            <w:r>
              <w:rPr>
                <w:rFonts w:cs="Arial"/>
                <w:b/>
                <w:bCs/>
                <w:sz w:val="18"/>
                <w:lang w:val="es-CO"/>
              </w:rPr>
              <w:t>Total</w:t>
            </w:r>
          </w:p>
        </w:tc>
        <w:tc>
          <w:tcPr>
            <w:tcW w:w="0" w:type="auto"/>
            <w:shd w:val="clear" w:color="auto" w:fill="E2EFDA"/>
          </w:tcPr>
          <w:p w:rsidR="00D2086C" w:rsidRDefault="00D2086C" w:rsidP="00D168F6">
            <w:pPr>
              <w:spacing w:before="100" w:beforeAutospacing="1" w:after="100" w:afterAutospacing="1" w:line="240" w:lineRule="auto"/>
              <w:rPr>
                <w:rFonts w:cs="Arial"/>
                <w:b/>
                <w:bCs/>
                <w:sz w:val="18"/>
                <w:lang w:val="es-CO"/>
              </w:rPr>
            </w:pPr>
            <w:r>
              <w:rPr>
                <w:rFonts w:cs="Arial"/>
                <w:b/>
                <w:bCs/>
                <w:sz w:val="18"/>
                <w:lang w:val="es-CO"/>
              </w:rPr>
              <w:t>541.084</w:t>
            </w:r>
          </w:p>
        </w:tc>
        <w:tc>
          <w:tcPr>
            <w:tcW w:w="0" w:type="auto"/>
            <w:shd w:val="clear" w:color="auto" w:fill="E2EFDA"/>
          </w:tcPr>
          <w:p w:rsidR="00D2086C" w:rsidRDefault="00D2086C" w:rsidP="00D168F6">
            <w:pPr>
              <w:spacing w:before="100" w:beforeAutospacing="1" w:after="100" w:afterAutospacing="1" w:line="240" w:lineRule="auto"/>
              <w:rPr>
                <w:rFonts w:cs="Arial"/>
                <w:b/>
                <w:bCs/>
                <w:sz w:val="18"/>
                <w:lang w:val="es-CO"/>
              </w:rPr>
            </w:pPr>
            <w:r>
              <w:rPr>
                <w:rFonts w:cs="Arial"/>
                <w:b/>
                <w:bCs/>
                <w:sz w:val="18"/>
                <w:lang w:val="es-CO"/>
              </w:rPr>
              <w:t>217.821</w:t>
            </w:r>
          </w:p>
        </w:tc>
        <w:tc>
          <w:tcPr>
            <w:tcW w:w="0" w:type="auto"/>
            <w:shd w:val="clear" w:color="auto" w:fill="E2EFDA"/>
          </w:tcPr>
          <w:p w:rsidR="00D2086C" w:rsidRDefault="00D2086C" w:rsidP="00D168F6">
            <w:pPr>
              <w:spacing w:before="100" w:beforeAutospacing="1" w:after="100" w:afterAutospacing="1" w:line="240" w:lineRule="auto"/>
              <w:rPr>
                <w:rFonts w:cs="Arial"/>
                <w:b/>
                <w:bCs/>
                <w:sz w:val="18"/>
                <w:lang w:val="es-CO"/>
              </w:rPr>
            </w:pPr>
            <w:r>
              <w:rPr>
                <w:rFonts w:cs="Arial"/>
                <w:b/>
                <w:bCs/>
                <w:sz w:val="18"/>
                <w:lang w:val="es-CO"/>
              </w:rPr>
              <w:t>758.905</w:t>
            </w:r>
          </w:p>
        </w:tc>
      </w:tr>
    </w:tbl>
    <w:p w:rsidR="00F26175" w:rsidRPr="00D2086C" w:rsidRDefault="00F26175" w:rsidP="00985A5D">
      <w:pPr>
        <w:spacing w:after="100" w:afterAutospacing="1" w:line="240" w:lineRule="auto"/>
        <w:jc w:val="center"/>
        <w:rPr>
          <w:rFonts w:cs="Arial"/>
          <w:sz w:val="16"/>
          <w:szCs w:val="16"/>
          <w:lang w:val="es-CO"/>
        </w:rPr>
      </w:pPr>
      <w:r w:rsidRPr="00BD7C93">
        <w:rPr>
          <w:rFonts w:cs="Arial"/>
          <w:bCs/>
          <w:sz w:val="16"/>
          <w:szCs w:val="16"/>
        </w:rPr>
        <w:t>Fuente:</w:t>
      </w:r>
      <w:r w:rsidRPr="00BD7C93">
        <w:rPr>
          <w:rFonts w:cs="Arial"/>
          <w:sz w:val="16"/>
          <w:szCs w:val="16"/>
        </w:rPr>
        <w:t xml:space="preserve"> Reporte</w:t>
      </w:r>
      <w:r w:rsidRPr="00D2086C">
        <w:rPr>
          <w:rFonts w:cs="Arial"/>
          <w:sz w:val="16"/>
          <w:szCs w:val="16"/>
        </w:rPr>
        <w:t xml:space="preserve"> SIM 02 de enero de 2018</w:t>
      </w:r>
    </w:p>
    <w:p w:rsidR="00F26175" w:rsidRPr="007608C2" w:rsidRDefault="00F26175" w:rsidP="00F26175">
      <w:pPr>
        <w:spacing w:before="100" w:beforeAutospacing="1" w:after="100" w:afterAutospacing="1" w:line="240" w:lineRule="auto"/>
        <w:jc w:val="both"/>
        <w:rPr>
          <w:rFonts w:cs="Arial"/>
        </w:rPr>
      </w:pPr>
      <w:r w:rsidRPr="007608C2">
        <w:rPr>
          <w:rFonts w:cs="Arial"/>
        </w:rPr>
        <w:t>De acuerdo a la información reportada en el Sistema de Información Mis</w:t>
      </w:r>
      <w:r w:rsidR="00BD7C93">
        <w:rPr>
          <w:rFonts w:cs="Arial"/>
        </w:rPr>
        <w:t>ional – SIM, con corte a 31 de d</w:t>
      </w:r>
      <w:r w:rsidRPr="007608C2">
        <w:rPr>
          <w:rFonts w:cs="Arial"/>
        </w:rPr>
        <w:t>iciembre de 2017, los resultados de la gestión realizada a nivel nacional en cuanto a la medición de la gestión de PQRSD y otros indicadores, son los siguientes:</w:t>
      </w:r>
    </w:p>
    <w:tbl>
      <w:tblPr>
        <w:tblW w:w="0" w:type="auto"/>
        <w:tblInd w:w="2"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0" w:type="dxa"/>
          <w:right w:w="0" w:type="dxa"/>
        </w:tblCellMar>
        <w:tblLook w:val="04A0" w:firstRow="1" w:lastRow="0" w:firstColumn="1" w:lastColumn="0" w:noHBand="0" w:noVBand="1"/>
      </w:tblPr>
      <w:tblGrid>
        <w:gridCol w:w="3687"/>
        <w:gridCol w:w="951"/>
        <w:gridCol w:w="1001"/>
        <w:gridCol w:w="791"/>
        <w:gridCol w:w="791"/>
        <w:gridCol w:w="1011"/>
        <w:gridCol w:w="1161"/>
      </w:tblGrid>
      <w:tr w:rsidR="00F26175" w:rsidRPr="00BD7C93" w:rsidTr="00BD7C93">
        <w:trPr>
          <w:trHeight w:val="242"/>
        </w:trPr>
        <w:tc>
          <w:tcPr>
            <w:tcW w:w="0" w:type="auto"/>
            <w:shd w:val="clear" w:color="auto" w:fill="76922E"/>
            <w:noWrap/>
            <w:tcMar>
              <w:top w:w="0" w:type="dxa"/>
              <w:left w:w="70" w:type="dxa"/>
              <w:bottom w:w="0" w:type="dxa"/>
              <w:right w:w="70" w:type="dxa"/>
            </w:tcMar>
            <w:vAlign w:val="center"/>
            <w:hideMark/>
          </w:tcPr>
          <w:p w:rsidR="00F26175" w:rsidRPr="00BD7C93" w:rsidRDefault="00F26175" w:rsidP="00F26175">
            <w:pPr>
              <w:spacing w:after="0" w:line="240" w:lineRule="auto"/>
              <w:jc w:val="center"/>
              <w:rPr>
                <w:rFonts w:eastAsiaTheme="minorHAnsi" w:cs="Arial"/>
                <w:b/>
                <w:bCs/>
                <w:color w:val="FFFFFF" w:themeColor="background1"/>
                <w:sz w:val="18"/>
                <w:szCs w:val="18"/>
                <w:lang w:eastAsia="es-CO"/>
              </w:rPr>
            </w:pPr>
            <w:r w:rsidRPr="00BD7C93">
              <w:rPr>
                <w:rFonts w:cs="Arial"/>
                <w:b/>
                <w:bCs/>
                <w:color w:val="FFFFFF" w:themeColor="background1"/>
                <w:sz w:val="18"/>
                <w:szCs w:val="18"/>
                <w:lang w:eastAsia="es-CO"/>
              </w:rPr>
              <w:t>Nombre</w:t>
            </w:r>
          </w:p>
        </w:tc>
        <w:tc>
          <w:tcPr>
            <w:tcW w:w="0" w:type="auto"/>
            <w:shd w:val="clear" w:color="auto" w:fill="76922E"/>
            <w:noWrap/>
            <w:tcMar>
              <w:top w:w="0" w:type="dxa"/>
              <w:left w:w="70" w:type="dxa"/>
              <w:bottom w:w="0" w:type="dxa"/>
              <w:right w:w="70" w:type="dxa"/>
            </w:tcMar>
            <w:vAlign w:val="center"/>
            <w:hideMark/>
          </w:tcPr>
          <w:p w:rsidR="00F26175" w:rsidRPr="00BD7C93" w:rsidRDefault="00F26175" w:rsidP="00F26175">
            <w:pPr>
              <w:spacing w:after="0" w:line="240" w:lineRule="auto"/>
              <w:jc w:val="center"/>
              <w:rPr>
                <w:rFonts w:eastAsiaTheme="minorHAnsi" w:cs="Arial"/>
                <w:b/>
                <w:bCs/>
                <w:color w:val="FFFFFF" w:themeColor="background1"/>
                <w:sz w:val="18"/>
                <w:szCs w:val="18"/>
                <w:lang w:eastAsia="es-CO"/>
              </w:rPr>
            </w:pPr>
            <w:r w:rsidRPr="00BD7C93">
              <w:rPr>
                <w:rFonts w:cs="Arial"/>
                <w:b/>
                <w:bCs/>
                <w:color w:val="FFFFFF" w:themeColor="background1"/>
                <w:sz w:val="18"/>
                <w:szCs w:val="18"/>
                <w:lang w:eastAsia="es-CO"/>
              </w:rPr>
              <w:t>Ámbito</w:t>
            </w:r>
          </w:p>
        </w:tc>
        <w:tc>
          <w:tcPr>
            <w:tcW w:w="0" w:type="auto"/>
            <w:shd w:val="clear" w:color="auto" w:fill="76922E"/>
            <w:noWrap/>
            <w:tcMar>
              <w:top w:w="0" w:type="dxa"/>
              <w:left w:w="70" w:type="dxa"/>
              <w:bottom w:w="0" w:type="dxa"/>
              <w:right w:w="70" w:type="dxa"/>
            </w:tcMar>
            <w:vAlign w:val="center"/>
            <w:hideMark/>
          </w:tcPr>
          <w:p w:rsidR="00F26175" w:rsidRPr="00BD7C93" w:rsidRDefault="00F26175" w:rsidP="00F26175">
            <w:pPr>
              <w:spacing w:after="0" w:line="240" w:lineRule="auto"/>
              <w:jc w:val="center"/>
              <w:rPr>
                <w:rFonts w:eastAsiaTheme="minorHAnsi" w:cs="Arial"/>
                <w:b/>
                <w:bCs/>
                <w:color w:val="FFFFFF" w:themeColor="background1"/>
                <w:sz w:val="18"/>
                <w:szCs w:val="18"/>
                <w:lang w:eastAsia="es-CO"/>
              </w:rPr>
            </w:pPr>
            <w:r w:rsidRPr="00BD7C93">
              <w:rPr>
                <w:rFonts w:cs="Arial"/>
                <w:b/>
                <w:bCs/>
                <w:color w:val="FFFFFF" w:themeColor="background1"/>
                <w:sz w:val="18"/>
                <w:szCs w:val="18"/>
                <w:lang w:eastAsia="es-CO"/>
              </w:rPr>
              <w:t>Meta 2017</w:t>
            </w:r>
          </w:p>
        </w:tc>
        <w:tc>
          <w:tcPr>
            <w:tcW w:w="0" w:type="auto"/>
            <w:shd w:val="clear" w:color="auto" w:fill="76922E"/>
            <w:noWrap/>
            <w:tcMar>
              <w:top w:w="0" w:type="dxa"/>
              <w:left w:w="70" w:type="dxa"/>
              <w:bottom w:w="0" w:type="dxa"/>
              <w:right w:w="70" w:type="dxa"/>
            </w:tcMar>
            <w:vAlign w:val="center"/>
            <w:hideMark/>
          </w:tcPr>
          <w:p w:rsidR="00F26175" w:rsidRPr="00BD7C93" w:rsidRDefault="00F26175" w:rsidP="00F26175">
            <w:pPr>
              <w:spacing w:after="0" w:line="240" w:lineRule="auto"/>
              <w:jc w:val="center"/>
              <w:rPr>
                <w:rFonts w:eastAsiaTheme="minorHAnsi" w:cs="Arial"/>
                <w:b/>
                <w:bCs/>
                <w:color w:val="FFFFFF" w:themeColor="background1"/>
                <w:sz w:val="18"/>
                <w:szCs w:val="18"/>
                <w:lang w:eastAsia="es-CO"/>
              </w:rPr>
            </w:pPr>
            <w:r w:rsidRPr="00BD7C93">
              <w:rPr>
                <w:rFonts w:cs="Arial"/>
                <w:b/>
                <w:bCs/>
                <w:color w:val="FFFFFF" w:themeColor="background1"/>
                <w:sz w:val="18"/>
                <w:szCs w:val="18"/>
                <w:lang w:eastAsia="es-CO"/>
              </w:rPr>
              <w:t>Núm.</w:t>
            </w:r>
          </w:p>
        </w:tc>
        <w:tc>
          <w:tcPr>
            <w:tcW w:w="0" w:type="auto"/>
            <w:shd w:val="clear" w:color="auto" w:fill="76922E"/>
            <w:noWrap/>
            <w:tcMar>
              <w:top w:w="0" w:type="dxa"/>
              <w:left w:w="70" w:type="dxa"/>
              <w:bottom w:w="0" w:type="dxa"/>
              <w:right w:w="70" w:type="dxa"/>
            </w:tcMar>
            <w:vAlign w:val="center"/>
            <w:hideMark/>
          </w:tcPr>
          <w:p w:rsidR="00F26175" w:rsidRPr="00BD7C93" w:rsidRDefault="00F26175" w:rsidP="00F26175">
            <w:pPr>
              <w:spacing w:after="0" w:line="240" w:lineRule="auto"/>
              <w:jc w:val="center"/>
              <w:rPr>
                <w:rFonts w:eastAsiaTheme="minorHAnsi" w:cs="Arial"/>
                <w:b/>
                <w:bCs/>
                <w:color w:val="FFFFFF" w:themeColor="background1"/>
                <w:sz w:val="18"/>
                <w:szCs w:val="18"/>
                <w:lang w:eastAsia="es-CO"/>
              </w:rPr>
            </w:pPr>
            <w:r w:rsidRPr="00BD7C93">
              <w:rPr>
                <w:rFonts w:cs="Arial"/>
                <w:b/>
                <w:bCs/>
                <w:color w:val="FFFFFF" w:themeColor="background1"/>
                <w:sz w:val="18"/>
                <w:szCs w:val="18"/>
                <w:lang w:eastAsia="es-CO"/>
              </w:rPr>
              <w:t>Den.</w:t>
            </w:r>
          </w:p>
        </w:tc>
        <w:tc>
          <w:tcPr>
            <w:tcW w:w="0" w:type="auto"/>
            <w:shd w:val="clear" w:color="auto" w:fill="76922E"/>
            <w:noWrap/>
            <w:tcMar>
              <w:top w:w="0" w:type="dxa"/>
              <w:left w:w="70" w:type="dxa"/>
              <w:bottom w:w="0" w:type="dxa"/>
              <w:right w:w="70" w:type="dxa"/>
            </w:tcMar>
            <w:vAlign w:val="center"/>
            <w:hideMark/>
          </w:tcPr>
          <w:p w:rsidR="00F26175" w:rsidRPr="00BD7C93" w:rsidRDefault="00F26175" w:rsidP="00F26175">
            <w:pPr>
              <w:spacing w:after="0" w:line="240" w:lineRule="auto"/>
              <w:jc w:val="center"/>
              <w:rPr>
                <w:rFonts w:eastAsiaTheme="minorHAnsi" w:cs="Arial"/>
                <w:b/>
                <w:bCs/>
                <w:color w:val="FFFFFF" w:themeColor="background1"/>
                <w:sz w:val="18"/>
                <w:szCs w:val="18"/>
                <w:lang w:eastAsia="es-CO"/>
              </w:rPr>
            </w:pPr>
            <w:r w:rsidRPr="00BD7C93">
              <w:rPr>
                <w:rFonts w:cs="Arial"/>
                <w:b/>
                <w:bCs/>
                <w:color w:val="FFFFFF" w:themeColor="background1"/>
                <w:sz w:val="18"/>
                <w:szCs w:val="18"/>
                <w:lang w:eastAsia="es-CO"/>
              </w:rPr>
              <w:t>Resultado</w:t>
            </w:r>
          </w:p>
        </w:tc>
        <w:tc>
          <w:tcPr>
            <w:tcW w:w="0" w:type="auto"/>
            <w:shd w:val="clear" w:color="auto" w:fill="76922E"/>
            <w:noWrap/>
            <w:tcMar>
              <w:top w:w="0" w:type="dxa"/>
              <w:left w:w="70" w:type="dxa"/>
              <w:bottom w:w="0" w:type="dxa"/>
              <w:right w:w="70" w:type="dxa"/>
            </w:tcMar>
            <w:vAlign w:val="center"/>
            <w:hideMark/>
          </w:tcPr>
          <w:p w:rsidR="00F26175" w:rsidRPr="00BD7C93" w:rsidRDefault="00F26175" w:rsidP="00F26175">
            <w:pPr>
              <w:spacing w:after="0" w:line="240" w:lineRule="auto"/>
              <w:jc w:val="center"/>
              <w:rPr>
                <w:rFonts w:eastAsiaTheme="minorHAnsi" w:cs="Arial"/>
                <w:b/>
                <w:bCs/>
                <w:color w:val="FFFFFF" w:themeColor="background1"/>
                <w:sz w:val="18"/>
                <w:szCs w:val="18"/>
                <w:lang w:eastAsia="es-CO"/>
              </w:rPr>
            </w:pPr>
            <w:r w:rsidRPr="00BD7C93">
              <w:rPr>
                <w:rFonts w:cs="Arial"/>
                <w:b/>
                <w:bCs/>
                <w:color w:val="FFFFFF" w:themeColor="background1"/>
                <w:sz w:val="18"/>
                <w:szCs w:val="18"/>
                <w:lang w:eastAsia="es-CO"/>
              </w:rPr>
              <w:t>Rango</w:t>
            </w:r>
          </w:p>
        </w:tc>
      </w:tr>
      <w:tr w:rsidR="00F26175" w:rsidRPr="00BD7C93" w:rsidTr="00BD7C93">
        <w:trPr>
          <w:trHeight w:val="472"/>
        </w:trPr>
        <w:tc>
          <w:tcPr>
            <w:tcW w:w="0" w:type="auto"/>
            <w:tcMar>
              <w:top w:w="0" w:type="dxa"/>
              <w:left w:w="70" w:type="dxa"/>
              <w:bottom w:w="0" w:type="dxa"/>
              <w:right w:w="70" w:type="dxa"/>
            </w:tcMar>
            <w:vAlign w:val="center"/>
            <w:hideMark/>
          </w:tcPr>
          <w:p w:rsidR="00F26175" w:rsidRPr="00BD7C93" w:rsidRDefault="00F26175" w:rsidP="00F26175">
            <w:pPr>
              <w:spacing w:after="0" w:line="240" w:lineRule="auto"/>
              <w:jc w:val="both"/>
              <w:rPr>
                <w:rFonts w:eastAsiaTheme="minorHAnsi" w:cs="Arial"/>
                <w:sz w:val="18"/>
                <w:szCs w:val="18"/>
                <w:lang w:eastAsia="es-CO"/>
              </w:rPr>
            </w:pPr>
            <w:r w:rsidRPr="00BD7C93">
              <w:rPr>
                <w:rFonts w:cs="Arial"/>
                <w:sz w:val="18"/>
                <w:szCs w:val="18"/>
                <w:lang w:eastAsia="es-CO"/>
              </w:rPr>
              <w:t>Porcentaje de quejas, reclamos y sugerencias solucionados oportunamente</w:t>
            </w:r>
          </w:p>
        </w:tc>
        <w:tc>
          <w:tcPr>
            <w:tcW w:w="0" w:type="auto"/>
            <w:tcMar>
              <w:top w:w="0" w:type="dxa"/>
              <w:left w:w="70" w:type="dxa"/>
              <w:bottom w:w="0" w:type="dxa"/>
              <w:right w:w="70" w:type="dxa"/>
            </w:tcMar>
            <w:vAlign w:val="center"/>
            <w:hideMark/>
          </w:tcPr>
          <w:p w:rsidR="00F26175" w:rsidRPr="00BD7C93" w:rsidRDefault="00F26175" w:rsidP="00F26175">
            <w:pPr>
              <w:spacing w:after="0" w:line="240" w:lineRule="auto"/>
              <w:jc w:val="both"/>
              <w:rPr>
                <w:rFonts w:eastAsiaTheme="minorHAnsi" w:cs="Arial"/>
                <w:sz w:val="18"/>
                <w:szCs w:val="18"/>
                <w:lang w:eastAsia="es-CO"/>
              </w:rPr>
            </w:pPr>
            <w:r w:rsidRPr="00BD7C93">
              <w:rPr>
                <w:rFonts w:cs="Arial"/>
                <w:sz w:val="18"/>
                <w:szCs w:val="18"/>
                <w:lang w:eastAsia="es-CO"/>
              </w:rPr>
              <w:t>Resultado</w:t>
            </w:r>
          </w:p>
        </w:tc>
        <w:tc>
          <w:tcPr>
            <w:tcW w:w="0" w:type="auto"/>
            <w:tcMar>
              <w:top w:w="0" w:type="dxa"/>
              <w:left w:w="70" w:type="dxa"/>
              <w:bottom w:w="0" w:type="dxa"/>
              <w:right w:w="70" w:type="dxa"/>
            </w:tcMar>
            <w:vAlign w:val="center"/>
            <w:hideMark/>
          </w:tcPr>
          <w:p w:rsidR="00F26175" w:rsidRPr="00BD7C93" w:rsidRDefault="00F26175" w:rsidP="00F26175">
            <w:pPr>
              <w:spacing w:after="0" w:line="240" w:lineRule="auto"/>
              <w:jc w:val="right"/>
              <w:rPr>
                <w:rFonts w:eastAsiaTheme="minorHAnsi" w:cs="Arial"/>
                <w:sz w:val="18"/>
                <w:szCs w:val="18"/>
                <w:lang w:eastAsia="es-CO"/>
              </w:rPr>
            </w:pPr>
            <w:r w:rsidRPr="00BD7C93">
              <w:rPr>
                <w:rFonts w:cs="Arial"/>
                <w:sz w:val="18"/>
                <w:szCs w:val="18"/>
                <w:lang w:eastAsia="es-CO"/>
              </w:rPr>
              <w:t>100%</w:t>
            </w:r>
          </w:p>
        </w:tc>
        <w:tc>
          <w:tcPr>
            <w:tcW w:w="0" w:type="auto"/>
            <w:noWrap/>
            <w:tcMar>
              <w:top w:w="0" w:type="dxa"/>
              <w:left w:w="70" w:type="dxa"/>
              <w:bottom w:w="0" w:type="dxa"/>
              <w:right w:w="70" w:type="dxa"/>
            </w:tcMar>
            <w:vAlign w:val="center"/>
            <w:hideMark/>
          </w:tcPr>
          <w:p w:rsidR="00F26175" w:rsidRPr="00BD7C93" w:rsidRDefault="00F26175" w:rsidP="00F26175">
            <w:pPr>
              <w:spacing w:after="0" w:line="240" w:lineRule="auto"/>
              <w:jc w:val="right"/>
              <w:rPr>
                <w:rFonts w:eastAsiaTheme="minorHAnsi" w:cs="Arial"/>
                <w:sz w:val="18"/>
                <w:szCs w:val="18"/>
                <w:lang w:eastAsia="es-CO"/>
              </w:rPr>
            </w:pPr>
            <w:r w:rsidRPr="00BD7C93">
              <w:rPr>
                <w:rFonts w:cs="Arial"/>
                <w:sz w:val="18"/>
                <w:szCs w:val="18"/>
                <w:lang w:eastAsia="es-CO"/>
              </w:rPr>
              <w:t>12.391</w:t>
            </w:r>
          </w:p>
        </w:tc>
        <w:tc>
          <w:tcPr>
            <w:tcW w:w="0" w:type="auto"/>
            <w:noWrap/>
            <w:tcMar>
              <w:top w:w="0" w:type="dxa"/>
              <w:left w:w="70" w:type="dxa"/>
              <w:bottom w:w="0" w:type="dxa"/>
              <w:right w:w="70" w:type="dxa"/>
            </w:tcMar>
            <w:vAlign w:val="center"/>
            <w:hideMark/>
          </w:tcPr>
          <w:p w:rsidR="00F26175" w:rsidRPr="00BD7C93" w:rsidRDefault="00F26175" w:rsidP="00F26175">
            <w:pPr>
              <w:spacing w:after="0" w:line="240" w:lineRule="auto"/>
              <w:jc w:val="right"/>
              <w:rPr>
                <w:rFonts w:eastAsiaTheme="minorHAnsi" w:cs="Arial"/>
                <w:sz w:val="18"/>
                <w:szCs w:val="18"/>
                <w:lang w:eastAsia="es-CO"/>
              </w:rPr>
            </w:pPr>
            <w:r w:rsidRPr="00BD7C93">
              <w:rPr>
                <w:rFonts w:cs="Arial"/>
                <w:sz w:val="18"/>
                <w:szCs w:val="18"/>
                <w:lang w:eastAsia="es-CO"/>
              </w:rPr>
              <w:t>12.899</w:t>
            </w:r>
          </w:p>
        </w:tc>
        <w:tc>
          <w:tcPr>
            <w:tcW w:w="0" w:type="auto"/>
            <w:tcMar>
              <w:top w:w="0" w:type="dxa"/>
              <w:left w:w="70" w:type="dxa"/>
              <w:bottom w:w="0" w:type="dxa"/>
              <w:right w:w="70" w:type="dxa"/>
            </w:tcMar>
            <w:vAlign w:val="center"/>
            <w:hideMark/>
          </w:tcPr>
          <w:p w:rsidR="00F26175" w:rsidRPr="00BD7C93" w:rsidRDefault="00F26175" w:rsidP="00F26175">
            <w:pPr>
              <w:spacing w:after="0" w:line="240" w:lineRule="auto"/>
              <w:jc w:val="right"/>
              <w:rPr>
                <w:rFonts w:eastAsiaTheme="minorHAnsi" w:cs="Arial"/>
                <w:sz w:val="18"/>
                <w:szCs w:val="18"/>
                <w:lang w:eastAsia="es-CO"/>
              </w:rPr>
            </w:pPr>
            <w:r w:rsidRPr="00BD7C93">
              <w:rPr>
                <w:rFonts w:cs="Arial"/>
                <w:sz w:val="18"/>
                <w:szCs w:val="18"/>
                <w:lang w:eastAsia="es-CO"/>
              </w:rPr>
              <w:t>96,1%</w:t>
            </w:r>
          </w:p>
        </w:tc>
        <w:tc>
          <w:tcPr>
            <w:tcW w:w="0" w:type="auto"/>
            <w:noWrap/>
            <w:tcMar>
              <w:top w:w="0" w:type="dxa"/>
              <w:left w:w="70" w:type="dxa"/>
              <w:bottom w:w="0" w:type="dxa"/>
              <w:right w:w="70" w:type="dxa"/>
            </w:tcMar>
            <w:vAlign w:val="center"/>
            <w:hideMark/>
          </w:tcPr>
          <w:p w:rsidR="00F26175" w:rsidRPr="00BD7C93" w:rsidRDefault="00F26175" w:rsidP="00F26175">
            <w:pPr>
              <w:spacing w:after="0" w:line="240" w:lineRule="auto"/>
              <w:jc w:val="both"/>
              <w:rPr>
                <w:rFonts w:eastAsiaTheme="minorHAnsi" w:cs="Arial"/>
                <w:bCs/>
                <w:sz w:val="18"/>
                <w:szCs w:val="18"/>
                <w:lang w:eastAsia="es-CO"/>
              </w:rPr>
            </w:pPr>
            <w:r w:rsidRPr="00BD7C93">
              <w:rPr>
                <w:rFonts w:cs="Arial"/>
                <w:bCs/>
                <w:sz w:val="18"/>
                <w:szCs w:val="18"/>
                <w:lang w:eastAsia="es-CO"/>
              </w:rPr>
              <w:t>ADECUADO</w:t>
            </w:r>
          </w:p>
        </w:tc>
      </w:tr>
      <w:tr w:rsidR="00F26175" w:rsidRPr="00BD7C93" w:rsidTr="00BD7C93">
        <w:trPr>
          <w:trHeight w:val="472"/>
        </w:trPr>
        <w:tc>
          <w:tcPr>
            <w:tcW w:w="0" w:type="auto"/>
            <w:tcMar>
              <w:top w:w="0" w:type="dxa"/>
              <w:left w:w="70" w:type="dxa"/>
              <w:bottom w:w="0" w:type="dxa"/>
              <w:right w:w="70" w:type="dxa"/>
            </w:tcMar>
            <w:vAlign w:val="center"/>
            <w:hideMark/>
          </w:tcPr>
          <w:p w:rsidR="00F26175" w:rsidRPr="00BD7C93" w:rsidRDefault="00F26175" w:rsidP="00F26175">
            <w:pPr>
              <w:spacing w:after="0" w:line="240" w:lineRule="auto"/>
              <w:rPr>
                <w:rFonts w:eastAsiaTheme="minorHAnsi" w:cs="Arial"/>
                <w:sz w:val="18"/>
                <w:szCs w:val="18"/>
                <w:lang w:eastAsia="es-CO"/>
              </w:rPr>
            </w:pPr>
            <w:r w:rsidRPr="00BD7C93">
              <w:rPr>
                <w:rFonts w:cs="Arial"/>
                <w:sz w:val="18"/>
                <w:szCs w:val="18"/>
                <w:lang w:eastAsia="es-CO"/>
              </w:rPr>
              <w:t>Porcentaje de denuncias PARD, constatadas oportunamente</w:t>
            </w:r>
          </w:p>
        </w:tc>
        <w:tc>
          <w:tcPr>
            <w:tcW w:w="0" w:type="auto"/>
            <w:tcMar>
              <w:top w:w="0" w:type="dxa"/>
              <w:left w:w="70" w:type="dxa"/>
              <w:bottom w:w="0" w:type="dxa"/>
              <w:right w:w="70" w:type="dxa"/>
            </w:tcMar>
            <w:vAlign w:val="center"/>
            <w:hideMark/>
          </w:tcPr>
          <w:p w:rsidR="00F26175" w:rsidRPr="00BD7C93" w:rsidRDefault="00F26175" w:rsidP="00F26175">
            <w:pPr>
              <w:spacing w:after="0" w:line="240" w:lineRule="auto"/>
              <w:rPr>
                <w:rFonts w:eastAsiaTheme="minorHAnsi" w:cs="Arial"/>
                <w:sz w:val="18"/>
                <w:szCs w:val="18"/>
                <w:lang w:eastAsia="es-CO"/>
              </w:rPr>
            </w:pPr>
            <w:r w:rsidRPr="00BD7C93">
              <w:rPr>
                <w:rFonts w:cs="Arial"/>
                <w:sz w:val="18"/>
                <w:szCs w:val="18"/>
                <w:lang w:eastAsia="es-CO"/>
              </w:rPr>
              <w:t>Resultado</w:t>
            </w:r>
          </w:p>
        </w:tc>
        <w:tc>
          <w:tcPr>
            <w:tcW w:w="0" w:type="auto"/>
            <w:tcMar>
              <w:top w:w="0" w:type="dxa"/>
              <w:left w:w="70" w:type="dxa"/>
              <w:bottom w:w="0" w:type="dxa"/>
              <w:right w:w="70" w:type="dxa"/>
            </w:tcMar>
            <w:vAlign w:val="center"/>
            <w:hideMark/>
          </w:tcPr>
          <w:p w:rsidR="00F26175" w:rsidRPr="00BD7C93" w:rsidRDefault="00F26175" w:rsidP="00F26175">
            <w:pPr>
              <w:spacing w:after="0" w:line="240" w:lineRule="auto"/>
              <w:jc w:val="right"/>
              <w:rPr>
                <w:rFonts w:eastAsiaTheme="minorHAnsi" w:cs="Arial"/>
                <w:sz w:val="18"/>
                <w:szCs w:val="18"/>
                <w:lang w:eastAsia="es-CO"/>
              </w:rPr>
            </w:pPr>
            <w:r w:rsidRPr="00BD7C93">
              <w:rPr>
                <w:rFonts w:cs="Arial"/>
                <w:sz w:val="18"/>
                <w:szCs w:val="18"/>
                <w:lang w:eastAsia="es-CO"/>
              </w:rPr>
              <w:t>100%</w:t>
            </w:r>
          </w:p>
        </w:tc>
        <w:tc>
          <w:tcPr>
            <w:tcW w:w="0" w:type="auto"/>
            <w:noWrap/>
            <w:tcMar>
              <w:top w:w="0" w:type="dxa"/>
              <w:left w:w="70" w:type="dxa"/>
              <w:bottom w:w="0" w:type="dxa"/>
              <w:right w:w="70" w:type="dxa"/>
            </w:tcMar>
            <w:vAlign w:val="center"/>
            <w:hideMark/>
          </w:tcPr>
          <w:p w:rsidR="00F26175" w:rsidRPr="00BD7C93" w:rsidRDefault="00F26175" w:rsidP="00F26175">
            <w:pPr>
              <w:spacing w:after="0" w:line="240" w:lineRule="auto"/>
              <w:jc w:val="right"/>
              <w:rPr>
                <w:rFonts w:eastAsiaTheme="minorHAnsi" w:cs="Arial"/>
                <w:sz w:val="18"/>
                <w:szCs w:val="18"/>
                <w:lang w:eastAsia="es-CO"/>
              </w:rPr>
            </w:pPr>
            <w:r w:rsidRPr="00BD7C93">
              <w:rPr>
                <w:rFonts w:cs="Arial"/>
                <w:sz w:val="18"/>
                <w:szCs w:val="18"/>
                <w:lang w:eastAsia="es-CO"/>
              </w:rPr>
              <w:t>52.010</w:t>
            </w:r>
          </w:p>
        </w:tc>
        <w:tc>
          <w:tcPr>
            <w:tcW w:w="0" w:type="auto"/>
            <w:noWrap/>
            <w:tcMar>
              <w:top w:w="0" w:type="dxa"/>
              <w:left w:w="70" w:type="dxa"/>
              <w:bottom w:w="0" w:type="dxa"/>
              <w:right w:w="70" w:type="dxa"/>
            </w:tcMar>
            <w:vAlign w:val="center"/>
            <w:hideMark/>
          </w:tcPr>
          <w:p w:rsidR="00F26175" w:rsidRPr="00BD7C93" w:rsidRDefault="00F26175" w:rsidP="00F26175">
            <w:pPr>
              <w:spacing w:after="0" w:line="240" w:lineRule="auto"/>
              <w:jc w:val="right"/>
              <w:rPr>
                <w:rFonts w:eastAsiaTheme="minorHAnsi" w:cs="Arial"/>
                <w:sz w:val="18"/>
                <w:szCs w:val="18"/>
                <w:lang w:eastAsia="es-CO"/>
              </w:rPr>
            </w:pPr>
            <w:r w:rsidRPr="00BD7C93">
              <w:rPr>
                <w:rFonts w:cs="Arial"/>
                <w:sz w:val="18"/>
                <w:szCs w:val="18"/>
                <w:lang w:eastAsia="es-CO"/>
              </w:rPr>
              <w:t>60.948</w:t>
            </w:r>
          </w:p>
        </w:tc>
        <w:tc>
          <w:tcPr>
            <w:tcW w:w="0" w:type="auto"/>
            <w:tcMar>
              <w:top w:w="0" w:type="dxa"/>
              <w:left w:w="70" w:type="dxa"/>
              <w:bottom w:w="0" w:type="dxa"/>
              <w:right w:w="70" w:type="dxa"/>
            </w:tcMar>
            <w:vAlign w:val="center"/>
            <w:hideMark/>
          </w:tcPr>
          <w:p w:rsidR="00F26175" w:rsidRPr="00BD7C93" w:rsidRDefault="00F26175" w:rsidP="00F26175">
            <w:pPr>
              <w:spacing w:after="0" w:line="240" w:lineRule="auto"/>
              <w:jc w:val="right"/>
              <w:rPr>
                <w:rFonts w:eastAsiaTheme="minorHAnsi" w:cs="Arial"/>
                <w:sz w:val="18"/>
                <w:szCs w:val="18"/>
                <w:lang w:eastAsia="es-CO"/>
              </w:rPr>
            </w:pPr>
            <w:r w:rsidRPr="00BD7C93">
              <w:rPr>
                <w:rFonts w:cs="Arial"/>
                <w:sz w:val="18"/>
                <w:szCs w:val="18"/>
                <w:lang w:eastAsia="es-CO"/>
              </w:rPr>
              <w:t>85,3%</w:t>
            </w:r>
          </w:p>
        </w:tc>
        <w:tc>
          <w:tcPr>
            <w:tcW w:w="0" w:type="auto"/>
            <w:noWrap/>
            <w:tcMar>
              <w:top w:w="0" w:type="dxa"/>
              <w:left w:w="70" w:type="dxa"/>
              <w:bottom w:w="0" w:type="dxa"/>
              <w:right w:w="70" w:type="dxa"/>
            </w:tcMar>
            <w:vAlign w:val="center"/>
            <w:hideMark/>
          </w:tcPr>
          <w:p w:rsidR="00F26175" w:rsidRPr="00BD7C93" w:rsidRDefault="00F26175" w:rsidP="00F26175">
            <w:pPr>
              <w:spacing w:after="0" w:line="240" w:lineRule="auto"/>
              <w:rPr>
                <w:rFonts w:eastAsiaTheme="minorHAnsi" w:cs="Arial"/>
                <w:bCs/>
                <w:sz w:val="18"/>
                <w:szCs w:val="18"/>
                <w:lang w:eastAsia="es-CO"/>
              </w:rPr>
            </w:pPr>
            <w:r w:rsidRPr="00BD7C93">
              <w:rPr>
                <w:rFonts w:cs="Arial"/>
                <w:bCs/>
                <w:sz w:val="18"/>
                <w:szCs w:val="18"/>
                <w:lang w:eastAsia="es-CO"/>
              </w:rPr>
              <w:t>EN RIESGO</w:t>
            </w:r>
          </w:p>
        </w:tc>
      </w:tr>
      <w:tr w:rsidR="00F26175" w:rsidRPr="00BD7C93" w:rsidTr="00BD7C93">
        <w:trPr>
          <w:trHeight w:val="472"/>
        </w:trPr>
        <w:tc>
          <w:tcPr>
            <w:tcW w:w="0" w:type="auto"/>
            <w:tcMar>
              <w:top w:w="0" w:type="dxa"/>
              <w:left w:w="70" w:type="dxa"/>
              <w:bottom w:w="0" w:type="dxa"/>
              <w:right w:w="70" w:type="dxa"/>
            </w:tcMar>
            <w:vAlign w:val="center"/>
            <w:hideMark/>
          </w:tcPr>
          <w:p w:rsidR="00F26175" w:rsidRPr="00BD7C93" w:rsidRDefault="00F26175" w:rsidP="00F26175">
            <w:pPr>
              <w:spacing w:after="0" w:line="240" w:lineRule="auto"/>
              <w:jc w:val="both"/>
              <w:rPr>
                <w:rFonts w:eastAsiaTheme="minorHAnsi" w:cs="Arial"/>
                <w:sz w:val="18"/>
                <w:szCs w:val="18"/>
                <w:lang w:eastAsia="es-CO"/>
              </w:rPr>
            </w:pPr>
            <w:r w:rsidRPr="00BD7C93">
              <w:rPr>
                <w:rFonts w:cs="Arial"/>
                <w:sz w:val="18"/>
                <w:szCs w:val="18"/>
                <w:lang w:eastAsia="es-CO"/>
              </w:rPr>
              <w:t>Porcentaje de derechos de petición atendidos oportunamente</w:t>
            </w:r>
          </w:p>
        </w:tc>
        <w:tc>
          <w:tcPr>
            <w:tcW w:w="0" w:type="auto"/>
            <w:tcMar>
              <w:top w:w="0" w:type="dxa"/>
              <w:left w:w="70" w:type="dxa"/>
              <w:bottom w:w="0" w:type="dxa"/>
              <w:right w:w="70" w:type="dxa"/>
            </w:tcMar>
            <w:vAlign w:val="center"/>
            <w:hideMark/>
          </w:tcPr>
          <w:p w:rsidR="00F26175" w:rsidRPr="00BD7C93" w:rsidRDefault="00F26175" w:rsidP="00F26175">
            <w:pPr>
              <w:spacing w:after="0" w:line="240" w:lineRule="auto"/>
              <w:jc w:val="both"/>
              <w:rPr>
                <w:rFonts w:eastAsiaTheme="minorHAnsi" w:cs="Arial"/>
                <w:sz w:val="18"/>
                <w:szCs w:val="18"/>
                <w:lang w:eastAsia="es-CO"/>
              </w:rPr>
            </w:pPr>
            <w:r w:rsidRPr="00BD7C93">
              <w:rPr>
                <w:rFonts w:cs="Arial"/>
                <w:sz w:val="18"/>
                <w:szCs w:val="18"/>
                <w:lang w:eastAsia="es-CO"/>
              </w:rPr>
              <w:t>Resultado</w:t>
            </w:r>
          </w:p>
        </w:tc>
        <w:tc>
          <w:tcPr>
            <w:tcW w:w="0" w:type="auto"/>
            <w:tcMar>
              <w:top w:w="0" w:type="dxa"/>
              <w:left w:w="70" w:type="dxa"/>
              <w:bottom w:w="0" w:type="dxa"/>
              <w:right w:w="70" w:type="dxa"/>
            </w:tcMar>
            <w:vAlign w:val="center"/>
            <w:hideMark/>
          </w:tcPr>
          <w:p w:rsidR="00F26175" w:rsidRPr="00BD7C93" w:rsidRDefault="00F26175" w:rsidP="00F26175">
            <w:pPr>
              <w:spacing w:after="0" w:line="240" w:lineRule="auto"/>
              <w:jc w:val="right"/>
              <w:rPr>
                <w:rFonts w:eastAsiaTheme="minorHAnsi" w:cs="Arial"/>
                <w:sz w:val="18"/>
                <w:szCs w:val="18"/>
                <w:lang w:eastAsia="es-CO"/>
              </w:rPr>
            </w:pPr>
            <w:r w:rsidRPr="00BD7C93">
              <w:rPr>
                <w:rFonts w:cs="Arial"/>
                <w:sz w:val="18"/>
                <w:szCs w:val="18"/>
                <w:lang w:eastAsia="es-CO"/>
              </w:rPr>
              <w:t>100%</w:t>
            </w:r>
          </w:p>
        </w:tc>
        <w:tc>
          <w:tcPr>
            <w:tcW w:w="0" w:type="auto"/>
            <w:noWrap/>
            <w:tcMar>
              <w:top w:w="0" w:type="dxa"/>
              <w:left w:w="70" w:type="dxa"/>
              <w:bottom w:w="0" w:type="dxa"/>
              <w:right w:w="70" w:type="dxa"/>
            </w:tcMar>
            <w:vAlign w:val="center"/>
            <w:hideMark/>
          </w:tcPr>
          <w:p w:rsidR="00F26175" w:rsidRPr="00BD7C93" w:rsidRDefault="00F26175" w:rsidP="00F26175">
            <w:pPr>
              <w:spacing w:after="0" w:line="240" w:lineRule="auto"/>
              <w:jc w:val="right"/>
              <w:rPr>
                <w:rFonts w:eastAsiaTheme="minorHAnsi" w:cs="Arial"/>
                <w:sz w:val="18"/>
                <w:szCs w:val="18"/>
                <w:lang w:eastAsia="es-CO"/>
              </w:rPr>
            </w:pPr>
            <w:r w:rsidRPr="00BD7C93">
              <w:rPr>
                <w:rFonts w:cs="Arial"/>
                <w:sz w:val="18"/>
                <w:szCs w:val="18"/>
                <w:lang w:eastAsia="es-CO"/>
              </w:rPr>
              <w:t>116.794</w:t>
            </w:r>
          </w:p>
        </w:tc>
        <w:tc>
          <w:tcPr>
            <w:tcW w:w="0" w:type="auto"/>
            <w:noWrap/>
            <w:tcMar>
              <w:top w:w="0" w:type="dxa"/>
              <w:left w:w="70" w:type="dxa"/>
              <w:bottom w:w="0" w:type="dxa"/>
              <w:right w:w="70" w:type="dxa"/>
            </w:tcMar>
            <w:vAlign w:val="center"/>
            <w:hideMark/>
          </w:tcPr>
          <w:p w:rsidR="00F26175" w:rsidRPr="00BD7C93" w:rsidRDefault="00F26175" w:rsidP="00F26175">
            <w:pPr>
              <w:spacing w:after="0" w:line="240" w:lineRule="auto"/>
              <w:jc w:val="right"/>
              <w:rPr>
                <w:rFonts w:eastAsiaTheme="minorHAnsi" w:cs="Arial"/>
                <w:sz w:val="18"/>
                <w:szCs w:val="18"/>
                <w:lang w:eastAsia="es-CO"/>
              </w:rPr>
            </w:pPr>
            <w:r w:rsidRPr="00BD7C93">
              <w:rPr>
                <w:rFonts w:cs="Arial"/>
                <w:sz w:val="18"/>
                <w:szCs w:val="18"/>
                <w:lang w:eastAsia="es-CO"/>
              </w:rPr>
              <w:t>126.713</w:t>
            </w:r>
          </w:p>
        </w:tc>
        <w:tc>
          <w:tcPr>
            <w:tcW w:w="0" w:type="auto"/>
            <w:tcMar>
              <w:top w:w="0" w:type="dxa"/>
              <w:left w:w="70" w:type="dxa"/>
              <w:bottom w:w="0" w:type="dxa"/>
              <w:right w:w="70" w:type="dxa"/>
            </w:tcMar>
            <w:vAlign w:val="center"/>
            <w:hideMark/>
          </w:tcPr>
          <w:p w:rsidR="00F26175" w:rsidRPr="00BD7C93" w:rsidRDefault="00F26175" w:rsidP="00F26175">
            <w:pPr>
              <w:spacing w:after="0" w:line="240" w:lineRule="auto"/>
              <w:jc w:val="right"/>
              <w:rPr>
                <w:rFonts w:eastAsiaTheme="minorHAnsi" w:cs="Arial"/>
                <w:sz w:val="18"/>
                <w:szCs w:val="18"/>
                <w:lang w:eastAsia="es-CO"/>
              </w:rPr>
            </w:pPr>
            <w:r w:rsidRPr="00BD7C93">
              <w:rPr>
                <w:rFonts w:cs="Arial"/>
                <w:sz w:val="18"/>
                <w:szCs w:val="18"/>
                <w:lang w:eastAsia="es-CO"/>
              </w:rPr>
              <w:t>92,2%</w:t>
            </w:r>
          </w:p>
        </w:tc>
        <w:tc>
          <w:tcPr>
            <w:tcW w:w="0" w:type="auto"/>
            <w:noWrap/>
            <w:tcMar>
              <w:top w:w="0" w:type="dxa"/>
              <w:left w:w="70" w:type="dxa"/>
              <w:bottom w:w="0" w:type="dxa"/>
              <w:right w:w="70" w:type="dxa"/>
            </w:tcMar>
            <w:vAlign w:val="center"/>
            <w:hideMark/>
          </w:tcPr>
          <w:p w:rsidR="00F26175" w:rsidRPr="00BD7C93" w:rsidRDefault="00F26175" w:rsidP="00F26175">
            <w:pPr>
              <w:spacing w:after="0" w:line="240" w:lineRule="auto"/>
              <w:jc w:val="both"/>
              <w:rPr>
                <w:rFonts w:eastAsiaTheme="minorHAnsi" w:cs="Arial"/>
                <w:bCs/>
                <w:sz w:val="18"/>
                <w:szCs w:val="18"/>
                <w:lang w:eastAsia="es-CO"/>
              </w:rPr>
            </w:pPr>
            <w:r w:rsidRPr="00BD7C93">
              <w:rPr>
                <w:rFonts w:cs="Arial"/>
                <w:bCs/>
                <w:sz w:val="18"/>
                <w:szCs w:val="18"/>
                <w:lang w:eastAsia="es-CO"/>
              </w:rPr>
              <w:t>ÓPTIMO</w:t>
            </w:r>
          </w:p>
        </w:tc>
      </w:tr>
    </w:tbl>
    <w:p w:rsidR="00F26175" w:rsidRPr="00BD7C93" w:rsidRDefault="00F26175" w:rsidP="00985A5D">
      <w:pPr>
        <w:spacing w:after="100" w:afterAutospacing="1" w:line="240" w:lineRule="auto"/>
        <w:jc w:val="both"/>
        <w:rPr>
          <w:rFonts w:cs="Arial"/>
          <w:sz w:val="16"/>
          <w:szCs w:val="16"/>
          <w:lang w:val="es-CO"/>
        </w:rPr>
      </w:pPr>
      <w:r w:rsidRPr="00BD7C93">
        <w:rPr>
          <w:rFonts w:cs="Arial"/>
          <w:bCs/>
          <w:sz w:val="16"/>
          <w:szCs w:val="16"/>
        </w:rPr>
        <w:t>Fuente:</w:t>
      </w:r>
      <w:r w:rsidRPr="00BD7C93">
        <w:rPr>
          <w:rFonts w:cs="Arial"/>
          <w:sz w:val="16"/>
          <w:szCs w:val="16"/>
        </w:rPr>
        <w:t xml:space="preserve"> Reporte SIM </w:t>
      </w:r>
      <w:r w:rsidR="00BD7C93" w:rsidRPr="00BD7C93">
        <w:rPr>
          <w:rFonts w:cs="Arial"/>
          <w:sz w:val="16"/>
          <w:szCs w:val="16"/>
        </w:rPr>
        <w:t>enero</w:t>
      </w:r>
      <w:r w:rsidR="00BD7C93">
        <w:rPr>
          <w:rFonts w:cs="Arial"/>
          <w:sz w:val="16"/>
          <w:szCs w:val="16"/>
        </w:rPr>
        <w:t xml:space="preserve"> </w:t>
      </w:r>
      <w:r w:rsidRPr="00BD7C93">
        <w:rPr>
          <w:rFonts w:cs="Arial"/>
          <w:sz w:val="16"/>
          <w:szCs w:val="16"/>
        </w:rPr>
        <w:t>- diciembre 2017</w:t>
      </w:r>
    </w:p>
    <w:p w:rsidR="00F26175" w:rsidRPr="007608C2" w:rsidRDefault="00F26175" w:rsidP="00F26175">
      <w:pPr>
        <w:spacing w:before="100" w:beforeAutospacing="1" w:after="100" w:afterAutospacing="1" w:line="240" w:lineRule="auto"/>
        <w:jc w:val="both"/>
        <w:rPr>
          <w:rFonts w:cs="Arial"/>
        </w:rPr>
      </w:pPr>
      <w:r w:rsidRPr="007608C2">
        <w:rPr>
          <w:rFonts w:cs="Arial"/>
        </w:rPr>
        <w:lastRenderedPageBreak/>
        <w:t>Frente al indicador de denuncias PARD, la Dirección de Servicios y Atención y la Dirección de Protección, lideraron la implementación de un plan de descongestión de denuncias, el cual tuvo como objetivo estratégico, mejorar la eficiencia y efectividad en la atención institucional a los casos reportados a través de la línea 141, con el fin de brindar una atención oportuna a la demanda ciudadana frente a los servicios institucionales de promoción, prevención y protección.</w:t>
      </w:r>
    </w:p>
    <w:p w:rsidR="00F26175" w:rsidRPr="007608C2" w:rsidRDefault="00F26175" w:rsidP="00F26175">
      <w:pPr>
        <w:spacing w:before="100" w:beforeAutospacing="1" w:after="100" w:afterAutospacing="1" w:line="240" w:lineRule="auto"/>
        <w:jc w:val="both"/>
        <w:rPr>
          <w:rFonts w:cs="Arial"/>
        </w:rPr>
      </w:pPr>
      <w:r w:rsidRPr="007608C2">
        <w:rPr>
          <w:rFonts w:cs="Arial"/>
        </w:rPr>
        <w:t>Este plan se enfocó en movilizar los casos que ha recibido el ICBF por presunta amenaza, inobservancia y vulneración de derechos a través de la línea 141, descongestionando el mayor número de casos sin gestión en los diferentes Centros Zonales del País.</w:t>
      </w:r>
    </w:p>
    <w:p w:rsidR="00F26175" w:rsidRPr="007608C2" w:rsidRDefault="00F26175" w:rsidP="00F26175">
      <w:pPr>
        <w:spacing w:before="100" w:beforeAutospacing="1" w:after="100" w:afterAutospacing="1" w:line="240" w:lineRule="auto"/>
        <w:jc w:val="both"/>
        <w:rPr>
          <w:rFonts w:cs="Arial"/>
        </w:rPr>
      </w:pPr>
      <w:r w:rsidRPr="007608C2">
        <w:rPr>
          <w:rFonts w:cs="Arial"/>
        </w:rPr>
        <w:t>Al final del mes de noviembre y durante el mes de diciembre del año 2017, se realizó la contratación y movilización de un equipo de 166 colaboradores temporales encargados de adelantar la constatación y verificación de más de 15.856 mil casos, entre denuncias y solicitudes de restablecimiento de derechos recibidas a través de la línea 141; el plan se desarrolló en 14 Regionales;  Bogotá, Cundinamarca, Antioquia, Atlántico, Bolívar, Norte de Santander, Santander, Cauca, Caquetá, Magdalena, Valle del Cauca, Meta, La Guajira y Tolima; a 31 de diciembre permitió movilizar el 79% de los casos, es decir, 12.469 frente la meta propuesta.</w:t>
      </w:r>
    </w:p>
    <w:p w:rsidR="00F26175" w:rsidRPr="007608C2" w:rsidRDefault="00BD7C93" w:rsidP="00F26175">
      <w:pPr>
        <w:spacing w:before="100" w:beforeAutospacing="1" w:after="100" w:afterAutospacing="1" w:line="240" w:lineRule="auto"/>
        <w:jc w:val="both"/>
        <w:rPr>
          <w:rFonts w:cs="Arial"/>
        </w:rPr>
      </w:pPr>
      <w:r>
        <w:rPr>
          <w:rFonts w:cs="Arial"/>
        </w:rPr>
        <w:t xml:space="preserve">Por otra parte, frente a los </w:t>
      </w:r>
      <w:r w:rsidR="00F26175" w:rsidRPr="007608C2">
        <w:rPr>
          <w:rFonts w:cs="Arial"/>
        </w:rPr>
        <w:t>indicadores de quejas, reclamos y sugerencias solucionados oportunamente y derechos de petición atendidos oportunamente, se observa una tendencia positiva, lo cual es el resultado de la efectividad de las acciones de seguimiento realizadas desde la Dirección de Servicios y Atención a las dependencias, sedes regionales, centros zonales y el centro de contacto, frente la oportunidad en la gestión y cierre de peticiones ciudadanas durante el año 2017. Algunas de estas acciones corresponden a la generación de alertas tempranas frente al vencimiento de términos, asistencia técnica frente el registro, direccionamiento y cierre de peticiones en el SIM y mayor claridad en los lineamientos técnicos frente la gestión de PQRSyD.</w:t>
      </w:r>
    </w:p>
    <w:p w:rsidR="009D3362" w:rsidRPr="007608C2" w:rsidRDefault="009D3362" w:rsidP="00D85ADA">
      <w:pPr>
        <w:spacing w:before="100" w:beforeAutospacing="1" w:after="0" w:line="240" w:lineRule="auto"/>
        <w:jc w:val="both"/>
        <w:rPr>
          <w:rFonts w:cs="Arial"/>
        </w:rPr>
      </w:pPr>
    </w:p>
    <w:p w:rsidR="00AC16AB" w:rsidRDefault="00AC16AB" w:rsidP="00A44A2B">
      <w:pPr>
        <w:pStyle w:val="Ttulo2"/>
        <w:numPr>
          <w:ilvl w:val="1"/>
          <w:numId w:val="50"/>
        </w:numPr>
        <w:rPr>
          <w:rFonts w:cs="Arial"/>
          <w:b/>
        </w:rPr>
      </w:pPr>
      <w:bookmarkStart w:id="141" w:name="_Toc505183089"/>
      <w:r w:rsidRPr="007608C2">
        <w:rPr>
          <w:rFonts w:cs="Arial"/>
          <w:b/>
        </w:rPr>
        <w:t>LOGROS 2017</w:t>
      </w:r>
      <w:bookmarkEnd w:id="141"/>
    </w:p>
    <w:p w:rsidR="00D85ADA" w:rsidRPr="00D85ADA" w:rsidRDefault="00D85ADA" w:rsidP="00D85ADA"/>
    <w:p w:rsidR="00545652" w:rsidRDefault="00545652" w:rsidP="00A44A2B">
      <w:pPr>
        <w:numPr>
          <w:ilvl w:val="0"/>
          <w:numId w:val="154"/>
        </w:numPr>
        <w:spacing w:after="0"/>
        <w:contextualSpacing/>
        <w:jc w:val="both"/>
        <w:rPr>
          <w:rFonts w:cs="Arial"/>
          <w:lang w:val="es-MX"/>
        </w:rPr>
      </w:pPr>
      <w:r w:rsidRPr="00D85ADA">
        <w:rPr>
          <w:rFonts w:cs="Arial"/>
          <w:lang w:val="es-MX"/>
        </w:rPr>
        <w:t>El ICBF aumentó en 24 puntos la calificación del Índice de Transparencia de Entidades Públicas – ITEP versión 2015-2016, lo que significó pasar del puesto número 78 al 7 del total de entidades públicas del orden nacional evaluadas, esto significó para la Institución, salir del Riesgo Alto de corrupción y pasar al Riesgo Moderado, el mejor nivel logrado por las entidades.</w:t>
      </w:r>
    </w:p>
    <w:p w:rsidR="00D85ADA" w:rsidRPr="00D85ADA" w:rsidRDefault="00D85ADA" w:rsidP="00D85ADA">
      <w:pPr>
        <w:spacing w:after="0"/>
        <w:ind w:left="360"/>
        <w:contextualSpacing/>
        <w:jc w:val="both"/>
        <w:rPr>
          <w:rFonts w:cs="Arial"/>
          <w:lang w:val="es-MX"/>
        </w:rPr>
      </w:pPr>
    </w:p>
    <w:p w:rsidR="00545652" w:rsidRDefault="00545652" w:rsidP="00A44A2B">
      <w:pPr>
        <w:numPr>
          <w:ilvl w:val="0"/>
          <w:numId w:val="154"/>
        </w:numPr>
        <w:spacing w:after="0"/>
        <w:contextualSpacing/>
        <w:jc w:val="both"/>
        <w:rPr>
          <w:rFonts w:cs="Arial"/>
          <w:lang w:val="es-MX"/>
        </w:rPr>
      </w:pPr>
      <w:r w:rsidRPr="00D85ADA">
        <w:rPr>
          <w:rFonts w:cs="Arial"/>
          <w:lang w:val="es-MX"/>
        </w:rPr>
        <w:t>Se logra visibilizar en los boletines de informe de PQRSD y solicitudes de acceso a la información el registro mensual y trimestral de denuncias por presuntos actos de corrupción por departamento de recepción y por el canal por el cual se reciben.</w:t>
      </w:r>
    </w:p>
    <w:p w:rsidR="00D85ADA" w:rsidRPr="00D85ADA" w:rsidRDefault="00D85ADA" w:rsidP="00D85ADA">
      <w:pPr>
        <w:spacing w:after="0"/>
        <w:contextualSpacing/>
        <w:jc w:val="both"/>
        <w:rPr>
          <w:rFonts w:cs="Arial"/>
          <w:lang w:val="es-MX"/>
        </w:rPr>
      </w:pPr>
    </w:p>
    <w:p w:rsidR="00545652" w:rsidRDefault="00545652" w:rsidP="00A44A2B">
      <w:pPr>
        <w:numPr>
          <w:ilvl w:val="0"/>
          <w:numId w:val="154"/>
        </w:numPr>
        <w:spacing w:after="0"/>
        <w:contextualSpacing/>
        <w:jc w:val="both"/>
        <w:rPr>
          <w:rFonts w:cs="Arial"/>
          <w:lang w:val="es-MX"/>
        </w:rPr>
      </w:pPr>
      <w:r w:rsidRPr="00D85ADA">
        <w:rPr>
          <w:rFonts w:cs="Arial"/>
          <w:lang w:val="es-MX"/>
        </w:rPr>
        <w:t>Se logra contar con un curso de Gobierno Digital para 1.000 Colaboradores de la Entidad a nivel Nacional, suministrado por MINTIC, para fortalecer los conocimientos en este tema.</w:t>
      </w:r>
    </w:p>
    <w:p w:rsidR="00D85ADA" w:rsidRPr="00D85ADA" w:rsidRDefault="00D85ADA" w:rsidP="00D85ADA">
      <w:pPr>
        <w:spacing w:after="0"/>
        <w:contextualSpacing/>
        <w:jc w:val="both"/>
        <w:rPr>
          <w:rFonts w:cs="Arial"/>
          <w:lang w:val="es-MX"/>
        </w:rPr>
      </w:pPr>
    </w:p>
    <w:p w:rsidR="00545652" w:rsidRDefault="00545652" w:rsidP="00A44A2B">
      <w:pPr>
        <w:numPr>
          <w:ilvl w:val="0"/>
          <w:numId w:val="154"/>
        </w:numPr>
        <w:spacing w:after="0"/>
        <w:contextualSpacing/>
        <w:jc w:val="both"/>
        <w:rPr>
          <w:rFonts w:cs="Arial"/>
          <w:lang w:val="es-MX"/>
        </w:rPr>
      </w:pPr>
      <w:r w:rsidRPr="00D85ADA">
        <w:rPr>
          <w:rFonts w:cs="Arial"/>
          <w:lang w:val="es-MX"/>
        </w:rPr>
        <w:lastRenderedPageBreak/>
        <w:t>Visibilizar los esfuerzos de la Entidad en Gobierno Digital en accesibilidad de la información, apertura de datos abiertos y política de seguridad de la información a través de la participación en el concurso “Máxima Velocidad”.</w:t>
      </w:r>
    </w:p>
    <w:p w:rsidR="00D85ADA" w:rsidRPr="00D85ADA" w:rsidRDefault="00D85ADA" w:rsidP="00D85ADA">
      <w:pPr>
        <w:spacing w:after="0"/>
        <w:contextualSpacing/>
        <w:jc w:val="both"/>
        <w:rPr>
          <w:rFonts w:cs="Arial"/>
          <w:lang w:val="es-MX"/>
        </w:rPr>
      </w:pPr>
    </w:p>
    <w:p w:rsidR="00545652" w:rsidRDefault="00545652" w:rsidP="00A44A2B">
      <w:pPr>
        <w:numPr>
          <w:ilvl w:val="0"/>
          <w:numId w:val="154"/>
        </w:numPr>
        <w:spacing w:after="0"/>
        <w:contextualSpacing/>
        <w:jc w:val="both"/>
        <w:rPr>
          <w:rFonts w:cs="Arial"/>
          <w:lang w:val="es-MX"/>
        </w:rPr>
      </w:pPr>
      <w:r w:rsidRPr="00D85ADA">
        <w:rPr>
          <w:rFonts w:cs="Arial"/>
          <w:lang w:val="es-MX"/>
        </w:rPr>
        <w:t>Realización e implementación del primer ejercicio de innovación abierta con participación Ciudadana, generando como prototipo la propuesta denominada #SocialDerechos y la realización del primer Facebook Live participativo sobre Derechos de NNA</w:t>
      </w:r>
      <w:r w:rsidR="00D85ADA">
        <w:rPr>
          <w:rFonts w:cs="Arial"/>
          <w:lang w:val="es-MX"/>
        </w:rPr>
        <w:t>.</w:t>
      </w:r>
    </w:p>
    <w:p w:rsidR="00D85ADA" w:rsidRPr="00D85ADA" w:rsidRDefault="00D85ADA" w:rsidP="00D85ADA">
      <w:pPr>
        <w:spacing w:after="0"/>
        <w:contextualSpacing/>
        <w:jc w:val="both"/>
        <w:rPr>
          <w:rFonts w:cs="Arial"/>
          <w:lang w:val="es-MX"/>
        </w:rPr>
      </w:pPr>
    </w:p>
    <w:p w:rsidR="00545652" w:rsidRDefault="00545652" w:rsidP="00A44A2B">
      <w:pPr>
        <w:numPr>
          <w:ilvl w:val="0"/>
          <w:numId w:val="154"/>
        </w:numPr>
        <w:spacing w:after="0"/>
        <w:contextualSpacing/>
        <w:jc w:val="both"/>
        <w:rPr>
          <w:rFonts w:cs="Arial"/>
          <w:lang w:val="es-MX"/>
        </w:rPr>
      </w:pPr>
      <w:r w:rsidRPr="00D85ADA">
        <w:rPr>
          <w:rFonts w:cs="Arial"/>
          <w:lang w:val="es-MX"/>
        </w:rPr>
        <w:t xml:space="preserve">Se cuenta con el primer micrositio de Portafolio de Servicios del ICBF, el cual puede ser consultado en la URL </w:t>
      </w:r>
      <w:hyperlink r:id="rId64" w:history="1">
        <w:r w:rsidRPr="00D85ADA">
          <w:rPr>
            <w:rFonts w:cs="Arial"/>
            <w:lang w:val="es-MX"/>
          </w:rPr>
          <w:t>http://www.icbf.gov.co/portal/page/portal/PortafolioICBF</w:t>
        </w:r>
      </w:hyperlink>
      <w:r w:rsidRPr="00D85ADA">
        <w:rPr>
          <w:rFonts w:cs="Arial"/>
          <w:lang w:val="es-MX"/>
        </w:rPr>
        <w:t>, que presenta la información de servicios de la Entidad de forma ac</w:t>
      </w:r>
      <w:r w:rsidR="00D85ADA">
        <w:rPr>
          <w:rFonts w:cs="Arial"/>
          <w:lang w:val="es-MX"/>
        </w:rPr>
        <w:t>cesible y de fácil comprensión.</w:t>
      </w:r>
    </w:p>
    <w:p w:rsidR="00D85ADA" w:rsidRPr="00D85ADA" w:rsidRDefault="00D85ADA" w:rsidP="00D85ADA">
      <w:pPr>
        <w:spacing w:after="0"/>
        <w:contextualSpacing/>
        <w:jc w:val="both"/>
        <w:rPr>
          <w:rFonts w:cs="Arial"/>
          <w:lang w:val="es-MX"/>
        </w:rPr>
      </w:pPr>
    </w:p>
    <w:p w:rsidR="00545652" w:rsidRDefault="00545652" w:rsidP="00A44A2B">
      <w:pPr>
        <w:numPr>
          <w:ilvl w:val="0"/>
          <w:numId w:val="154"/>
        </w:numPr>
        <w:spacing w:after="0"/>
        <w:contextualSpacing/>
        <w:jc w:val="both"/>
        <w:rPr>
          <w:rFonts w:cs="Arial"/>
          <w:lang w:val="es-MX"/>
        </w:rPr>
      </w:pPr>
      <w:r w:rsidRPr="00D85ADA">
        <w:rPr>
          <w:rFonts w:cs="Arial"/>
          <w:lang w:val="es-MX"/>
        </w:rPr>
        <w:t>Aplicación de 4.869 encuestas de satisfacción relacionadas con programas misionales, con lo cual se persigue tener una imagen más clara acerca de la visión que los distintos grupos poblacionales tienen frente a los servicios y beneficios que reciben de parte del ICBF, sea de forma directa o a través de operadores; el seguimiento a la estrategia de medición de satisfacción, contenida en el plan indicativo institucional 2015-2018.</w:t>
      </w:r>
    </w:p>
    <w:p w:rsidR="00D85ADA" w:rsidRPr="00D85ADA" w:rsidRDefault="00D85ADA" w:rsidP="00D85ADA">
      <w:pPr>
        <w:spacing w:after="0"/>
        <w:contextualSpacing/>
        <w:jc w:val="both"/>
        <w:rPr>
          <w:rFonts w:cs="Arial"/>
          <w:lang w:val="es-MX"/>
        </w:rPr>
      </w:pPr>
    </w:p>
    <w:p w:rsidR="00D85ADA" w:rsidRDefault="00545652" w:rsidP="00A44A2B">
      <w:pPr>
        <w:numPr>
          <w:ilvl w:val="0"/>
          <w:numId w:val="154"/>
        </w:numPr>
        <w:spacing w:after="0"/>
        <w:contextualSpacing/>
        <w:jc w:val="both"/>
        <w:rPr>
          <w:rFonts w:cs="Arial"/>
          <w:lang w:val="es-MX"/>
        </w:rPr>
      </w:pPr>
      <w:r w:rsidRPr="00D85ADA">
        <w:rPr>
          <w:rFonts w:cs="Arial"/>
          <w:lang w:val="es-MX"/>
        </w:rPr>
        <w:t>Diagnóstico e implementación de la estrategia en conjunto con la Dirección de Protección para la descongestión de más de 16 mil Denuncias y Solicitudes de Restablecimiento de Derechos recepcionadas a través de la línea 141, en 14 regionales.</w:t>
      </w:r>
    </w:p>
    <w:p w:rsidR="00D85ADA" w:rsidRPr="00D85ADA" w:rsidRDefault="00D85ADA" w:rsidP="00D85ADA">
      <w:pPr>
        <w:spacing w:after="0"/>
        <w:contextualSpacing/>
        <w:jc w:val="both"/>
        <w:rPr>
          <w:rFonts w:cs="Arial"/>
          <w:lang w:val="es-MX"/>
        </w:rPr>
      </w:pPr>
    </w:p>
    <w:p w:rsidR="00545652" w:rsidRDefault="00545652" w:rsidP="00A44A2B">
      <w:pPr>
        <w:numPr>
          <w:ilvl w:val="0"/>
          <w:numId w:val="154"/>
        </w:numPr>
        <w:spacing w:after="0"/>
        <w:contextualSpacing/>
        <w:jc w:val="both"/>
        <w:rPr>
          <w:rFonts w:cs="Arial"/>
          <w:lang w:val="es-MX"/>
        </w:rPr>
      </w:pPr>
      <w:r w:rsidRPr="00D85ADA">
        <w:rPr>
          <w:rFonts w:cs="Arial"/>
          <w:lang w:val="es-MX"/>
        </w:rPr>
        <w:t>Co-creación de un compromiso en el tercer plan de AGA 2017-2019, lideradas por el ICBF, para promover la trasparencia en la gestión con la participación de niños, niñas y adolescentes.</w:t>
      </w:r>
    </w:p>
    <w:p w:rsidR="00D85ADA" w:rsidRPr="00D85ADA" w:rsidRDefault="00D85ADA" w:rsidP="00D85ADA">
      <w:pPr>
        <w:spacing w:after="0"/>
        <w:contextualSpacing/>
        <w:jc w:val="both"/>
        <w:rPr>
          <w:rFonts w:cs="Arial"/>
          <w:lang w:val="es-MX"/>
        </w:rPr>
      </w:pPr>
    </w:p>
    <w:p w:rsidR="00545652" w:rsidRDefault="00545652" w:rsidP="00A44A2B">
      <w:pPr>
        <w:numPr>
          <w:ilvl w:val="0"/>
          <w:numId w:val="154"/>
        </w:numPr>
        <w:spacing w:after="0"/>
        <w:contextualSpacing/>
        <w:jc w:val="both"/>
        <w:rPr>
          <w:rFonts w:cs="Arial"/>
          <w:lang w:val="es-MX"/>
        </w:rPr>
      </w:pPr>
      <w:r w:rsidRPr="00D85ADA">
        <w:rPr>
          <w:rFonts w:cs="Arial"/>
          <w:lang w:val="es-MX"/>
        </w:rPr>
        <w:t>Participación en 1.466 ejercicios de promoción de la participación significativa y control social de niños, niñas y adolescentes en políticas públicas, programas, proyectos y estrategias desarrolladas en el territorio.</w:t>
      </w:r>
    </w:p>
    <w:p w:rsidR="00D85ADA" w:rsidRPr="00D85ADA" w:rsidRDefault="00D85ADA" w:rsidP="00D85ADA">
      <w:pPr>
        <w:spacing w:after="0"/>
        <w:contextualSpacing/>
        <w:jc w:val="both"/>
        <w:rPr>
          <w:rFonts w:cs="Arial"/>
          <w:lang w:val="es-MX"/>
        </w:rPr>
      </w:pPr>
    </w:p>
    <w:p w:rsidR="00545652" w:rsidRDefault="00545652" w:rsidP="00A44A2B">
      <w:pPr>
        <w:numPr>
          <w:ilvl w:val="0"/>
          <w:numId w:val="154"/>
        </w:numPr>
        <w:spacing w:after="0"/>
        <w:contextualSpacing/>
        <w:jc w:val="both"/>
        <w:rPr>
          <w:rFonts w:cs="Arial"/>
          <w:lang w:val="es-MX"/>
        </w:rPr>
      </w:pPr>
      <w:r w:rsidRPr="00D85ADA">
        <w:rPr>
          <w:rFonts w:cs="Arial"/>
          <w:lang w:val="es-MX"/>
        </w:rPr>
        <w:t>Los resultados del Formulario Único de Reporte de Avances de la Gestión – FURAG, que lidera el Departamento Administrativo de la Función Pública – DAFP para la versión 2016, evidenciaron que se logró avanzar en todos los componentes frente a lo alcanzado en la versión 2015, excepto en el Plan Anticorrupción que se encuentra en revisión por parte del DAFP. En componente Acceso a Información Pública se pasó de 85,8 a 95,1; en Participación Ciudadana de 67,1 a 89,5; en Rendición de Cuentas de 83,8 a 94,6; en Servicio al Ciudadano de 85,5 a 92,6; en Gobierno en Línea de 62,5 a 65,2; en Gestión Documental de 62,2 a 73,7; Racionalización de Trámites de 94,3 a 96,6; en Talento Humano de 76,1 a 89,6; en Plan de Adquisiciones permanece en 100 puntos y en Gestión de Calidad pasó de 83 a 94,1.</w:t>
      </w:r>
    </w:p>
    <w:p w:rsidR="00D85ADA" w:rsidRPr="00D85ADA" w:rsidRDefault="00D85ADA" w:rsidP="00D85ADA">
      <w:pPr>
        <w:spacing w:after="0"/>
        <w:contextualSpacing/>
        <w:jc w:val="both"/>
        <w:rPr>
          <w:rFonts w:cs="Arial"/>
          <w:lang w:val="es-MX"/>
        </w:rPr>
      </w:pPr>
    </w:p>
    <w:p w:rsidR="00D85ADA" w:rsidRDefault="00545652" w:rsidP="00A44A2B">
      <w:pPr>
        <w:numPr>
          <w:ilvl w:val="0"/>
          <w:numId w:val="154"/>
        </w:numPr>
        <w:spacing w:after="0"/>
        <w:contextualSpacing/>
        <w:jc w:val="both"/>
        <w:rPr>
          <w:rFonts w:cs="Arial"/>
          <w:lang w:val="es-MX"/>
        </w:rPr>
      </w:pPr>
      <w:r w:rsidRPr="00D85ADA">
        <w:rPr>
          <w:rFonts w:cs="Arial"/>
          <w:lang w:val="es-MX"/>
        </w:rPr>
        <w:lastRenderedPageBreak/>
        <w:t>Se realizaron consultas y participaron 8.670 personas en igual número de encuestas presenciales en las cuales se tuvo la oportunidad de escuchar gestión, plantear inquietudes, brindar respuesta</w:t>
      </w:r>
      <w:r w:rsidR="00D85ADA">
        <w:rPr>
          <w:rFonts w:cs="Arial"/>
          <w:lang w:val="es-MX"/>
        </w:rPr>
        <w:t>s y generación de compromisos.</w:t>
      </w:r>
    </w:p>
    <w:p w:rsidR="00545652" w:rsidRPr="00D85ADA" w:rsidRDefault="00545652" w:rsidP="00D85ADA">
      <w:pPr>
        <w:spacing w:after="0"/>
        <w:contextualSpacing/>
        <w:jc w:val="both"/>
        <w:rPr>
          <w:rFonts w:cs="Arial"/>
          <w:lang w:val="es-MX"/>
        </w:rPr>
      </w:pPr>
      <w:r w:rsidRPr="00D85ADA">
        <w:rPr>
          <w:rFonts w:cs="Arial"/>
          <w:lang w:val="es-MX"/>
        </w:rPr>
        <w:t xml:space="preserve"> </w:t>
      </w:r>
    </w:p>
    <w:p w:rsidR="00AC16AB" w:rsidRDefault="00AC16AB" w:rsidP="00A44A2B">
      <w:pPr>
        <w:pStyle w:val="Ttulo2"/>
        <w:numPr>
          <w:ilvl w:val="1"/>
          <w:numId w:val="50"/>
        </w:numPr>
        <w:rPr>
          <w:rFonts w:cs="Arial"/>
          <w:b/>
        </w:rPr>
      </w:pPr>
      <w:bookmarkStart w:id="142" w:name="_Toc505183090"/>
      <w:r w:rsidRPr="007608C2">
        <w:rPr>
          <w:rFonts w:cs="Arial"/>
          <w:b/>
        </w:rPr>
        <w:t>RETOS 2018</w:t>
      </w:r>
      <w:bookmarkEnd w:id="142"/>
    </w:p>
    <w:p w:rsidR="00D85ADA" w:rsidRPr="00D85ADA" w:rsidRDefault="00D85ADA" w:rsidP="00D85ADA">
      <w:pPr>
        <w:spacing w:after="0"/>
      </w:pPr>
    </w:p>
    <w:p w:rsidR="00545652" w:rsidRPr="00D85ADA" w:rsidRDefault="00545652" w:rsidP="00A44A2B">
      <w:pPr>
        <w:numPr>
          <w:ilvl w:val="0"/>
          <w:numId w:val="154"/>
        </w:numPr>
        <w:spacing w:after="0"/>
        <w:contextualSpacing/>
        <w:jc w:val="both"/>
        <w:rPr>
          <w:rFonts w:cs="Arial"/>
          <w:lang w:val="es-MX"/>
        </w:rPr>
      </w:pPr>
      <w:r w:rsidRPr="00D85ADA">
        <w:rPr>
          <w:rFonts w:cs="Arial"/>
          <w:lang w:val="es-MX"/>
        </w:rPr>
        <w:t>Diseñar una estrategia de divulgación para la consulta de la información del proceso de RPC en la página Web, dando continuidad a procesos de consultas ciudadanas, conservando lo planificado en la meta de mesas públicas para el 2018.</w:t>
      </w:r>
    </w:p>
    <w:p w:rsidR="00BD7C93" w:rsidRPr="00D85ADA" w:rsidRDefault="00BD7C93" w:rsidP="00D85ADA">
      <w:pPr>
        <w:spacing w:after="0"/>
        <w:ind w:left="360"/>
        <w:contextualSpacing/>
        <w:jc w:val="both"/>
        <w:rPr>
          <w:rFonts w:cs="Arial"/>
          <w:lang w:val="es-MX"/>
        </w:rPr>
      </w:pPr>
    </w:p>
    <w:p w:rsidR="00D85ADA" w:rsidRDefault="00545652" w:rsidP="00A44A2B">
      <w:pPr>
        <w:numPr>
          <w:ilvl w:val="0"/>
          <w:numId w:val="154"/>
        </w:numPr>
        <w:spacing w:after="0"/>
        <w:contextualSpacing/>
        <w:jc w:val="both"/>
        <w:rPr>
          <w:rFonts w:cs="Arial"/>
          <w:lang w:val="es-MX"/>
        </w:rPr>
      </w:pPr>
      <w:r w:rsidRPr="00D85ADA">
        <w:rPr>
          <w:rFonts w:cs="Arial"/>
          <w:lang w:val="es-MX"/>
        </w:rPr>
        <w:t>Línea anticorrupción 2.0: evolucionar el canal de atención de denuncias de presuntos actos de corrupción a un canal de asesoría y de información dirigido a colaboradores de la Entidad y Ciudadanos en general para facilitar el reconocimiento de riesgos de corrupción y fortalecer las capacidades de vigilancia del buen uso de los recursos de los NNA.</w:t>
      </w:r>
    </w:p>
    <w:p w:rsidR="00D85ADA" w:rsidRPr="00D85ADA" w:rsidRDefault="00D85ADA" w:rsidP="00D85ADA">
      <w:pPr>
        <w:spacing w:after="0"/>
        <w:contextualSpacing/>
        <w:jc w:val="both"/>
        <w:rPr>
          <w:rFonts w:cs="Arial"/>
          <w:lang w:val="es-MX"/>
        </w:rPr>
      </w:pPr>
    </w:p>
    <w:p w:rsidR="00545652" w:rsidRPr="00D85ADA" w:rsidRDefault="00545652" w:rsidP="00A44A2B">
      <w:pPr>
        <w:numPr>
          <w:ilvl w:val="0"/>
          <w:numId w:val="154"/>
        </w:numPr>
        <w:spacing w:after="0"/>
        <w:contextualSpacing/>
        <w:jc w:val="both"/>
        <w:rPr>
          <w:rFonts w:cs="Arial"/>
          <w:lang w:val="es-MX"/>
        </w:rPr>
      </w:pPr>
      <w:r w:rsidRPr="00D85ADA">
        <w:rPr>
          <w:rFonts w:cs="Arial"/>
          <w:lang w:val="es-MX"/>
        </w:rPr>
        <w:t>Certificar con Sello de Excelencia cinco (5) conjuntos de Datos publicados en el Portal de Datos Abiertos colombianos.</w:t>
      </w:r>
    </w:p>
    <w:p w:rsidR="00BD7C93" w:rsidRPr="00D85ADA" w:rsidRDefault="00BD7C93" w:rsidP="00D85ADA">
      <w:pPr>
        <w:spacing w:after="0"/>
        <w:ind w:left="360"/>
        <w:contextualSpacing/>
        <w:jc w:val="both"/>
        <w:rPr>
          <w:rFonts w:cs="Arial"/>
          <w:lang w:val="es-MX"/>
        </w:rPr>
      </w:pPr>
    </w:p>
    <w:p w:rsidR="00545652" w:rsidRPr="00D85ADA" w:rsidRDefault="00545652" w:rsidP="00A44A2B">
      <w:pPr>
        <w:numPr>
          <w:ilvl w:val="0"/>
          <w:numId w:val="154"/>
        </w:numPr>
        <w:spacing w:after="0"/>
        <w:contextualSpacing/>
        <w:jc w:val="both"/>
        <w:rPr>
          <w:rFonts w:cs="Arial"/>
          <w:lang w:val="es-MX"/>
        </w:rPr>
      </w:pPr>
      <w:r w:rsidRPr="00D85ADA">
        <w:rPr>
          <w:rFonts w:cs="Arial"/>
          <w:lang w:val="es-MX"/>
        </w:rPr>
        <w:t>Fortalecer ejercicios de participación Ciudadana a través de medios virtuales de forma articulada con las Áreas Misionales y la Ofi</w:t>
      </w:r>
      <w:r w:rsidR="00D85ADA" w:rsidRPr="00D85ADA">
        <w:rPr>
          <w:rFonts w:cs="Arial"/>
          <w:lang w:val="es-MX"/>
        </w:rPr>
        <w:t>cina Asesora de Comunicaciones.</w:t>
      </w:r>
    </w:p>
    <w:p w:rsidR="00D85ADA" w:rsidRPr="00D85ADA" w:rsidRDefault="00D85ADA" w:rsidP="00D85ADA">
      <w:pPr>
        <w:spacing w:after="0"/>
        <w:ind w:left="360"/>
        <w:contextualSpacing/>
        <w:jc w:val="both"/>
        <w:rPr>
          <w:rFonts w:cs="Arial"/>
          <w:lang w:val="es-MX"/>
        </w:rPr>
      </w:pPr>
    </w:p>
    <w:p w:rsidR="00545652" w:rsidRDefault="00545652" w:rsidP="00A44A2B">
      <w:pPr>
        <w:numPr>
          <w:ilvl w:val="0"/>
          <w:numId w:val="154"/>
        </w:numPr>
        <w:spacing w:after="0"/>
        <w:contextualSpacing/>
        <w:jc w:val="both"/>
        <w:rPr>
          <w:rFonts w:cs="Arial"/>
          <w:lang w:val="es-MX"/>
        </w:rPr>
      </w:pPr>
      <w:r w:rsidRPr="00D85ADA">
        <w:rPr>
          <w:rFonts w:cs="Arial"/>
          <w:lang w:val="es-MX"/>
        </w:rPr>
        <w:t>Adoptar mediante acto administrativo, el Modelo de Atención Presencial del ICBF en todos los puntos de atención, con el fin de estandarizar las condiciones mínimas del servicio y mejorar los niveles de satisfacción de los usuarios.</w:t>
      </w:r>
    </w:p>
    <w:p w:rsidR="00D85ADA" w:rsidRPr="00D85ADA" w:rsidRDefault="00D85ADA" w:rsidP="00D85ADA">
      <w:pPr>
        <w:spacing w:after="0"/>
        <w:contextualSpacing/>
        <w:jc w:val="both"/>
        <w:rPr>
          <w:rFonts w:cs="Arial"/>
          <w:lang w:val="es-MX"/>
        </w:rPr>
      </w:pPr>
    </w:p>
    <w:p w:rsidR="00545652" w:rsidRPr="00D85ADA" w:rsidRDefault="00545652" w:rsidP="00A44A2B">
      <w:pPr>
        <w:numPr>
          <w:ilvl w:val="0"/>
          <w:numId w:val="154"/>
        </w:numPr>
        <w:spacing w:after="0"/>
        <w:contextualSpacing/>
        <w:jc w:val="both"/>
        <w:rPr>
          <w:rFonts w:cs="Arial"/>
          <w:lang w:val="es-MX"/>
        </w:rPr>
      </w:pPr>
      <w:r w:rsidRPr="00D85ADA">
        <w:rPr>
          <w:rFonts w:cs="Arial"/>
          <w:lang w:val="es-MX"/>
        </w:rPr>
        <w:t>Continuar implementando mejoras para ascender de forma significativa en el Índice de Transparencia de Entidades Públicas - ITEP, en la versión 2016-2017.</w:t>
      </w:r>
    </w:p>
    <w:p w:rsidR="00BD7C93" w:rsidRDefault="00BD7C93">
      <w:pPr>
        <w:spacing w:after="0" w:line="240" w:lineRule="auto"/>
        <w:rPr>
          <w:rFonts w:cs="Arial"/>
        </w:rPr>
      </w:pPr>
      <w:r>
        <w:rPr>
          <w:rFonts w:cs="Arial"/>
        </w:rPr>
        <w:br w:type="page"/>
      </w:r>
    </w:p>
    <w:p w:rsidR="00F26175" w:rsidRPr="007608C2" w:rsidRDefault="00F26175" w:rsidP="00A44A2B">
      <w:pPr>
        <w:pStyle w:val="Ttulo1"/>
        <w:numPr>
          <w:ilvl w:val="0"/>
          <w:numId w:val="50"/>
        </w:numPr>
        <w:rPr>
          <w:rFonts w:cs="Arial"/>
        </w:rPr>
      </w:pPr>
      <w:bookmarkStart w:id="143" w:name="_Toc505183091"/>
      <w:r w:rsidRPr="007608C2">
        <w:rPr>
          <w:rFonts w:cs="Arial"/>
        </w:rPr>
        <w:lastRenderedPageBreak/>
        <w:t>G</w:t>
      </w:r>
      <w:r w:rsidR="00D85ADA">
        <w:rPr>
          <w:rFonts w:cs="Arial"/>
        </w:rPr>
        <w:t>ESTIÓ</w:t>
      </w:r>
      <w:r w:rsidR="00AC16AB" w:rsidRPr="007608C2">
        <w:rPr>
          <w:rFonts w:cs="Arial"/>
        </w:rPr>
        <w:t>N DEL CONOCIMIENTO E INNOVACIÓN</w:t>
      </w:r>
      <w:bookmarkEnd w:id="143"/>
    </w:p>
    <w:p w:rsidR="00F26175" w:rsidRPr="007608C2" w:rsidRDefault="00F26175" w:rsidP="00F26175">
      <w:pPr>
        <w:pStyle w:val="Prrafodelista"/>
        <w:spacing w:before="100" w:beforeAutospacing="1" w:after="100" w:afterAutospacing="1" w:line="240" w:lineRule="auto"/>
        <w:ind w:left="0"/>
        <w:jc w:val="both"/>
        <w:rPr>
          <w:rFonts w:cs="Arial"/>
        </w:rPr>
      </w:pPr>
      <w:r w:rsidRPr="007608C2">
        <w:rPr>
          <w:rFonts w:cs="Arial"/>
        </w:rPr>
        <w:t>El ICBF en concordancia con las directrices establecidas en el Plan Nacional de Desarrollo -PND 2014-2018 “Todos por un Nuevo País” y lo definido en su Plan Indicativo institucional 2015-2018 “Estamos cambiando el mundo”, para los temas de innovación y la gestión del conocimiento, realizó en la vigencia 2016 el diseño Modelo de Gestión de Conocimiento e Innovación con el objetivo de desarrollar soluciones novedosas en sus procesos y servicios, de manera que aporte al mejoramiento continuo en el quehacer de la Entidad y la calidad de la atención.</w:t>
      </w:r>
    </w:p>
    <w:p w:rsidR="00F26175" w:rsidRPr="007608C2" w:rsidRDefault="00F26175" w:rsidP="00F26175">
      <w:pPr>
        <w:pStyle w:val="Prrafodelista"/>
        <w:spacing w:before="100" w:beforeAutospacing="1" w:after="100" w:afterAutospacing="1" w:line="240" w:lineRule="auto"/>
        <w:ind w:left="0"/>
        <w:jc w:val="both"/>
        <w:rPr>
          <w:rFonts w:cs="Arial"/>
        </w:rPr>
      </w:pPr>
      <w:r w:rsidRPr="007608C2">
        <w:rPr>
          <w:rFonts w:cs="Arial"/>
        </w:rPr>
        <w:t>Para promover la Gestión del Conocimiento y la Innovación, en el 2017 el ICBF viene implementado algunas estrategias como son:</w:t>
      </w:r>
    </w:p>
    <w:p w:rsidR="00F26175" w:rsidRPr="007608C2" w:rsidRDefault="00F26175" w:rsidP="00A44A2B">
      <w:pPr>
        <w:pStyle w:val="Prrafodelista"/>
        <w:numPr>
          <w:ilvl w:val="0"/>
          <w:numId w:val="21"/>
        </w:numPr>
        <w:spacing w:before="100" w:beforeAutospacing="1" w:after="100" w:afterAutospacing="1" w:line="240" w:lineRule="auto"/>
        <w:jc w:val="both"/>
        <w:rPr>
          <w:rFonts w:cs="Arial"/>
          <w:b/>
          <w:u w:val="single"/>
        </w:rPr>
      </w:pPr>
      <w:r w:rsidRPr="007608C2">
        <w:rPr>
          <w:rFonts w:cs="Arial"/>
          <w:b/>
          <w:u w:val="single"/>
        </w:rPr>
        <w:t>GECO:</w:t>
      </w:r>
    </w:p>
    <w:p w:rsidR="00F26175" w:rsidRPr="007608C2" w:rsidRDefault="00F26175" w:rsidP="00F26175">
      <w:pPr>
        <w:pStyle w:val="Prrafodelista"/>
        <w:spacing w:before="100" w:beforeAutospacing="1" w:after="100" w:afterAutospacing="1" w:line="240" w:lineRule="auto"/>
        <w:ind w:left="0"/>
        <w:jc w:val="both"/>
        <w:rPr>
          <w:rFonts w:cs="Arial"/>
        </w:rPr>
      </w:pPr>
      <w:r w:rsidRPr="007608C2">
        <w:rPr>
          <w:rFonts w:cs="Arial"/>
        </w:rPr>
        <w:t>El aplicativo web GECO v1.0 esta modificado al 100%, incluyendo las temáticas de Comunidades étnicas, personas con discapacidad, Género y diversidad sexual, mejorando el algoritmo de búsqueda y la interfaz gráfica de usuario. Se actualizaron los casos de uso necesarios que serán enviados a la DIT para su validación, aprobación y posterior actualización de la versión en producción.</w:t>
      </w:r>
    </w:p>
    <w:p w:rsidR="00F26175" w:rsidRPr="007608C2" w:rsidRDefault="00F26175" w:rsidP="00F26175">
      <w:pPr>
        <w:spacing w:before="100" w:beforeAutospacing="1" w:after="100" w:afterAutospacing="1" w:line="240" w:lineRule="auto"/>
        <w:jc w:val="both"/>
        <w:rPr>
          <w:rFonts w:cs="Arial"/>
        </w:rPr>
      </w:pPr>
      <w:r w:rsidRPr="007608C2">
        <w:rPr>
          <w:rFonts w:cs="Arial"/>
        </w:rPr>
        <w:t>Frente a la usabilidad del aplicativo GECO, durante el año 2017, se presentaron 80.600 visitas o sesiones en el sitio web. El seguimiento al número de consultas se realizó a través de la herramienta Google Analytics, que permite conocer el número de visitas a cada página web del sitio, el país de origen de la visita, el tipo de dispositivo, entre otros datos de conexión.</w:t>
      </w:r>
    </w:p>
    <w:p w:rsidR="00F26175" w:rsidRPr="007608C2" w:rsidRDefault="00F26175" w:rsidP="00F26175">
      <w:pPr>
        <w:pStyle w:val="Prrafodelista"/>
        <w:spacing w:before="100" w:beforeAutospacing="1" w:after="100" w:afterAutospacing="1" w:line="240" w:lineRule="auto"/>
        <w:ind w:left="0"/>
        <w:jc w:val="both"/>
        <w:rPr>
          <w:rFonts w:cs="Arial"/>
        </w:rPr>
      </w:pPr>
      <w:r w:rsidRPr="007608C2">
        <w:rPr>
          <w:rFonts w:cs="Arial"/>
        </w:rPr>
        <w:t>La mayoría de las consultas fueron realizadas desde Colombia (97,10%), aunque como se muestra en la siguiente tabla, también se realizaron consultas desde el exterior, principalmente en Estados Unidos, España, Venezuela, Canadá, Italia entre otros.</w:t>
      </w:r>
    </w:p>
    <w:p w:rsidR="00BD7C93" w:rsidRDefault="00F26175" w:rsidP="00BD7C93">
      <w:pPr>
        <w:pStyle w:val="Prrafodelista"/>
        <w:spacing w:before="100" w:beforeAutospacing="1" w:after="100" w:afterAutospacing="1" w:line="240" w:lineRule="auto"/>
        <w:ind w:left="0"/>
        <w:jc w:val="center"/>
        <w:rPr>
          <w:rFonts w:cs="Arial"/>
        </w:rPr>
      </w:pPr>
      <w:r w:rsidRPr="007608C2">
        <w:rPr>
          <w:rFonts w:cs="Arial"/>
          <w:noProof/>
          <w:sz w:val="18"/>
          <w:szCs w:val="18"/>
          <w:lang w:val="es-CO" w:eastAsia="es-CO"/>
        </w:rPr>
        <w:drawing>
          <wp:inline distT="0" distB="0" distL="0" distR="0" wp14:anchorId="50440AC2" wp14:editId="5D5D9A14">
            <wp:extent cx="1846266" cy="2436823"/>
            <wp:effectExtent l="0" t="0" r="1905" b="1905"/>
            <wp:docPr id="474" name="Imagen 474" descr="cid:image001.png@01D3801B.69F4F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801B.69F4F590"/>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1852196" cy="2444650"/>
                    </a:xfrm>
                    <a:prstGeom prst="rect">
                      <a:avLst/>
                    </a:prstGeom>
                    <a:noFill/>
                    <a:ln>
                      <a:noFill/>
                    </a:ln>
                  </pic:spPr>
                </pic:pic>
              </a:graphicData>
            </a:graphic>
          </wp:inline>
        </w:drawing>
      </w:r>
    </w:p>
    <w:p w:rsidR="00F26175" w:rsidRPr="00BD7C93" w:rsidRDefault="00F26175" w:rsidP="00985A5D">
      <w:pPr>
        <w:pStyle w:val="Prrafodelista"/>
        <w:spacing w:after="100" w:afterAutospacing="1" w:line="240" w:lineRule="auto"/>
        <w:ind w:left="0"/>
        <w:jc w:val="center"/>
        <w:rPr>
          <w:rFonts w:cs="Arial"/>
        </w:rPr>
      </w:pPr>
      <w:r w:rsidRPr="00BD7C93">
        <w:rPr>
          <w:rFonts w:cs="Arial"/>
          <w:sz w:val="16"/>
          <w:szCs w:val="16"/>
        </w:rPr>
        <w:t>Fuente: Google Analytics GECO</w:t>
      </w:r>
    </w:p>
    <w:p w:rsidR="00F26175" w:rsidRPr="007608C2" w:rsidRDefault="00F26175" w:rsidP="00F26175">
      <w:pPr>
        <w:spacing w:before="100" w:beforeAutospacing="1" w:after="100" w:afterAutospacing="1" w:line="240" w:lineRule="auto"/>
        <w:jc w:val="both"/>
        <w:rPr>
          <w:rFonts w:cs="Arial"/>
        </w:rPr>
      </w:pPr>
      <w:r w:rsidRPr="007608C2">
        <w:rPr>
          <w:rFonts w:cs="Arial"/>
        </w:rPr>
        <w:lastRenderedPageBreak/>
        <w:t>Por su parte, las 10 regiones de Colombia en las cuáles se realiza el mayor número de consultas a preguntas frecuentes de GECO son Bogotá, Antioquía y Valle del Cauca.</w:t>
      </w:r>
    </w:p>
    <w:p w:rsidR="00F26175" w:rsidRPr="007608C2" w:rsidRDefault="00F26175" w:rsidP="00BD7C93">
      <w:pPr>
        <w:spacing w:before="100" w:beforeAutospacing="1" w:after="100" w:afterAutospacing="1" w:line="240" w:lineRule="auto"/>
        <w:jc w:val="center"/>
        <w:rPr>
          <w:rFonts w:cs="Arial"/>
        </w:rPr>
      </w:pPr>
      <w:r w:rsidRPr="007608C2">
        <w:rPr>
          <w:rFonts w:cs="Arial"/>
          <w:noProof/>
          <w:lang w:val="es-CO" w:eastAsia="es-CO"/>
        </w:rPr>
        <w:drawing>
          <wp:inline distT="0" distB="0" distL="0" distR="0" wp14:anchorId="6AECD6CB" wp14:editId="1AF9084F">
            <wp:extent cx="2096219" cy="2788389"/>
            <wp:effectExtent l="0" t="0" r="0" b="0"/>
            <wp:docPr id="475" name="Imagen 475" descr="cid:image002.png@01D3801B.69F4F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801B.69F4F590"/>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2096337" cy="2788546"/>
                    </a:xfrm>
                    <a:prstGeom prst="rect">
                      <a:avLst/>
                    </a:prstGeom>
                    <a:noFill/>
                    <a:ln>
                      <a:noFill/>
                    </a:ln>
                  </pic:spPr>
                </pic:pic>
              </a:graphicData>
            </a:graphic>
          </wp:inline>
        </w:drawing>
      </w:r>
    </w:p>
    <w:p w:rsidR="00F26175" w:rsidRPr="00BD7C93" w:rsidRDefault="00F26175" w:rsidP="00985A5D">
      <w:pPr>
        <w:spacing w:after="100" w:afterAutospacing="1" w:line="240" w:lineRule="auto"/>
        <w:jc w:val="center"/>
        <w:rPr>
          <w:rFonts w:cs="Arial"/>
          <w:sz w:val="16"/>
          <w:szCs w:val="16"/>
        </w:rPr>
      </w:pPr>
      <w:r w:rsidRPr="00BD7C93">
        <w:rPr>
          <w:rFonts w:cs="Arial"/>
          <w:sz w:val="16"/>
          <w:szCs w:val="16"/>
        </w:rPr>
        <w:t>Fuente: Google Analytics GECO</w:t>
      </w:r>
    </w:p>
    <w:p w:rsidR="00F26175" w:rsidRPr="007608C2" w:rsidRDefault="00F26175" w:rsidP="00F26175">
      <w:pPr>
        <w:spacing w:before="100" w:beforeAutospacing="1" w:after="100" w:afterAutospacing="1" w:line="240" w:lineRule="auto"/>
        <w:jc w:val="both"/>
        <w:rPr>
          <w:rFonts w:cs="Arial"/>
        </w:rPr>
      </w:pPr>
      <w:r w:rsidRPr="007608C2">
        <w:rPr>
          <w:rFonts w:cs="Arial"/>
        </w:rPr>
        <w:t>De acuerdo con este seguimiento, a la fecha más de 36 mil usuarios han visitado GECO, realizando en promedio 4 consultas durante un tiempo promedio de 3 min. Entre las temáticas más consultadas en GECO, se resaltan Alimentos con 51.689 visitas, Custodias con 38.008 y Adopciones con 23.001 visitas.</w:t>
      </w:r>
    </w:p>
    <w:p w:rsidR="00F26175" w:rsidRPr="007608C2" w:rsidRDefault="00F26175" w:rsidP="00A44A2B">
      <w:pPr>
        <w:pStyle w:val="Prrafodelista"/>
        <w:numPr>
          <w:ilvl w:val="0"/>
          <w:numId w:val="21"/>
        </w:numPr>
        <w:spacing w:before="100" w:beforeAutospacing="1" w:after="100" w:afterAutospacing="1" w:line="240" w:lineRule="auto"/>
        <w:ind w:left="708"/>
        <w:jc w:val="both"/>
        <w:rPr>
          <w:rFonts w:cs="Arial"/>
          <w:b/>
          <w:u w:val="single"/>
        </w:rPr>
      </w:pPr>
      <w:r w:rsidRPr="007608C2">
        <w:rPr>
          <w:rFonts w:cs="Arial"/>
          <w:b/>
          <w:u w:val="single"/>
        </w:rPr>
        <w:t>Evaluaciones, Investigaciones, Estudios y Análisis:</w:t>
      </w:r>
    </w:p>
    <w:p w:rsidR="00F26175" w:rsidRPr="007608C2" w:rsidRDefault="00F26175" w:rsidP="00F26175">
      <w:pPr>
        <w:spacing w:before="100" w:beforeAutospacing="1" w:after="100" w:afterAutospacing="1" w:line="240" w:lineRule="auto"/>
        <w:jc w:val="both"/>
        <w:rPr>
          <w:rFonts w:cs="Arial"/>
        </w:rPr>
      </w:pPr>
      <w:r w:rsidRPr="007608C2">
        <w:rPr>
          <w:rFonts w:cs="Arial"/>
        </w:rPr>
        <w:t>El Instituto Colombiano de Bienestar Familiar -ICBF a través de la Subdirección de Monitoreo y Evaluación de la Dirección de Planeación y Control de Gestión, diseña, aplica y promueve las evaluaciones, investigaciones, encuestas, estudios y análisis. En ese sentido, la Subdirección de Monitoreo y Evaluación lidera</w:t>
      </w:r>
      <w:r w:rsidR="00BD7C93">
        <w:rPr>
          <w:rFonts w:cs="Arial"/>
        </w:rPr>
        <w:t xml:space="preserve"> la </w:t>
      </w:r>
      <w:r w:rsidRPr="007608C2">
        <w:rPr>
          <w:rFonts w:cs="Arial"/>
        </w:rPr>
        <w:t>“</w:t>
      </w:r>
      <w:r w:rsidRPr="007608C2">
        <w:rPr>
          <w:rFonts w:cs="Arial"/>
          <w:i/>
        </w:rPr>
        <w:t>Agenda de Evaluaciones, investigaciones, Estudios y Análisis del ICBF 2017”</w:t>
      </w:r>
      <w:r w:rsidRPr="007608C2">
        <w:rPr>
          <w:rFonts w:cs="Arial"/>
        </w:rPr>
        <w:t xml:space="preserve">, el cual tiene como objetivo relacionar los temas, proyectos, programas y políticas estratégicas a estudiar, investigar o evaluar durante una vigencia fiscal determinada. </w:t>
      </w:r>
    </w:p>
    <w:p w:rsidR="00F26175" w:rsidRPr="007608C2" w:rsidRDefault="00F26175" w:rsidP="00F26175">
      <w:pPr>
        <w:spacing w:before="100" w:beforeAutospacing="1" w:after="100" w:afterAutospacing="1" w:line="240" w:lineRule="auto"/>
        <w:jc w:val="both"/>
        <w:rPr>
          <w:rFonts w:cs="Arial"/>
        </w:rPr>
      </w:pPr>
      <w:r w:rsidRPr="007608C2">
        <w:rPr>
          <w:rFonts w:cs="Arial"/>
        </w:rPr>
        <w:t>El proyecto de inversión de estudios sociales ha destinado recursos para monitorear la gestión institucional, realizar investigaciones, estudios del Observatorio del Bienestar de la Niñez, encuestas poblacionales y evaluar los programas, proyectos y servicios del ICBF orientada al fortalecimiento de la entidad con el fin de mejorar el bienestar de la niñez, la adolescencia y la familia en el marco de la gestión para la prestación de los servicios.</w:t>
      </w:r>
    </w:p>
    <w:p w:rsidR="00F26175" w:rsidRPr="007608C2" w:rsidRDefault="00F26175" w:rsidP="00F26175">
      <w:pPr>
        <w:spacing w:before="100" w:beforeAutospacing="1" w:after="100" w:afterAutospacing="1" w:line="240" w:lineRule="auto"/>
        <w:jc w:val="both"/>
        <w:rPr>
          <w:rFonts w:cs="Arial"/>
        </w:rPr>
      </w:pPr>
    </w:p>
    <w:tbl>
      <w:tblPr>
        <w:tblStyle w:val="Tablaconcuadrcula1"/>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397"/>
        <w:gridCol w:w="1427"/>
        <w:gridCol w:w="1347"/>
        <w:gridCol w:w="1887"/>
      </w:tblGrid>
      <w:tr w:rsidR="00F26175" w:rsidRPr="00BD7C93" w:rsidTr="00BD7C93">
        <w:trPr>
          <w:trHeight w:val="457"/>
          <w:jc w:val="center"/>
        </w:trPr>
        <w:tc>
          <w:tcPr>
            <w:tcW w:w="0" w:type="auto"/>
            <w:shd w:val="clear" w:color="auto" w:fill="76922E"/>
            <w:vAlign w:val="center"/>
          </w:tcPr>
          <w:p w:rsidR="00F26175" w:rsidRPr="00BD7C93" w:rsidRDefault="00F26175" w:rsidP="00BD7C93">
            <w:pPr>
              <w:spacing w:after="0" w:line="240" w:lineRule="auto"/>
              <w:jc w:val="center"/>
              <w:rPr>
                <w:rFonts w:cs="Arial"/>
                <w:b/>
                <w:bCs/>
                <w:color w:val="FFFFFF" w:themeColor="background1"/>
                <w:sz w:val="18"/>
                <w:szCs w:val="18"/>
                <w:lang w:eastAsia="es-CO"/>
              </w:rPr>
            </w:pPr>
          </w:p>
        </w:tc>
        <w:tc>
          <w:tcPr>
            <w:tcW w:w="0" w:type="auto"/>
            <w:shd w:val="clear" w:color="auto" w:fill="76922E"/>
            <w:vAlign w:val="center"/>
          </w:tcPr>
          <w:p w:rsidR="00F26175" w:rsidRPr="00BD7C93" w:rsidRDefault="00F26175" w:rsidP="00BD7C93">
            <w:pPr>
              <w:spacing w:after="0" w:line="240" w:lineRule="auto"/>
              <w:jc w:val="center"/>
              <w:rPr>
                <w:rFonts w:cs="Arial"/>
                <w:b/>
                <w:bCs/>
                <w:color w:val="FFFFFF" w:themeColor="background1"/>
                <w:sz w:val="18"/>
                <w:szCs w:val="18"/>
                <w:lang w:eastAsia="es-CO"/>
              </w:rPr>
            </w:pPr>
            <w:r w:rsidRPr="00BD7C93">
              <w:rPr>
                <w:rFonts w:cs="Arial"/>
                <w:b/>
                <w:bCs/>
                <w:color w:val="FFFFFF" w:themeColor="background1"/>
                <w:sz w:val="18"/>
                <w:szCs w:val="18"/>
                <w:lang w:eastAsia="es-CO"/>
              </w:rPr>
              <w:t>Meta</w:t>
            </w:r>
          </w:p>
          <w:p w:rsidR="00F26175" w:rsidRPr="00BD7C93" w:rsidRDefault="00F26175" w:rsidP="00BD7C93">
            <w:pPr>
              <w:spacing w:after="0" w:line="240" w:lineRule="auto"/>
              <w:jc w:val="center"/>
              <w:rPr>
                <w:rFonts w:cs="Arial"/>
                <w:b/>
                <w:bCs/>
                <w:color w:val="FFFFFF" w:themeColor="background1"/>
                <w:sz w:val="18"/>
                <w:szCs w:val="18"/>
                <w:lang w:eastAsia="es-CO"/>
              </w:rPr>
            </w:pPr>
            <w:r w:rsidRPr="00BD7C93">
              <w:rPr>
                <w:rFonts w:cs="Arial"/>
                <w:b/>
                <w:bCs/>
                <w:color w:val="FFFFFF" w:themeColor="background1"/>
                <w:sz w:val="18"/>
                <w:szCs w:val="18"/>
                <w:lang w:eastAsia="es-CO"/>
              </w:rPr>
              <w:t>2017</w:t>
            </w:r>
          </w:p>
        </w:tc>
        <w:tc>
          <w:tcPr>
            <w:tcW w:w="0" w:type="auto"/>
            <w:shd w:val="clear" w:color="auto" w:fill="76922E"/>
            <w:vAlign w:val="center"/>
          </w:tcPr>
          <w:p w:rsidR="00F26175" w:rsidRPr="00BD7C93" w:rsidRDefault="00F26175" w:rsidP="00BD7C93">
            <w:pPr>
              <w:spacing w:after="0" w:line="240" w:lineRule="auto"/>
              <w:jc w:val="center"/>
              <w:rPr>
                <w:rFonts w:cs="Arial"/>
                <w:b/>
                <w:bCs/>
                <w:color w:val="FFFFFF" w:themeColor="background1"/>
                <w:sz w:val="18"/>
                <w:szCs w:val="18"/>
                <w:lang w:eastAsia="es-CO"/>
              </w:rPr>
            </w:pPr>
            <w:r w:rsidRPr="00BD7C93">
              <w:rPr>
                <w:rFonts w:cs="Arial"/>
                <w:b/>
                <w:bCs/>
                <w:color w:val="FFFFFF" w:themeColor="background1"/>
                <w:sz w:val="18"/>
                <w:szCs w:val="18"/>
                <w:lang w:eastAsia="es-CO"/>
              </w:rPr>
              <w:t>Avance</w:t>
            </w:r>
          </w:p>
          <w:p w:rsidR="00F26175" w:rsidRPr="00BD7C93" w:rsidRDefault="00F26175" w:rsidP="00BD7C93">
            <w:pPr>
              <w:spacing w:after="0" w:line="240" w:lineRule="auto"/>
              <w:jc w:val="center"/>
              <w:rPr>
                <w:rFonts w:cs="Arial"/>
                <w:b/>
                <w:bCs/>
                <w:color w:val="FFFFFF" w:themeColor="background1"/>
                <w:sz w:val="18"/>
                <w:szCs w:val="18"/>
                <w:lang w:eastAsia="es-CO"/>
              </w:rPr>
            </w:pPr>
            <w:r w:rsidRPr="00BD7C93">
              <w:rPr>
                <w:rFonts w:cs="Arial"/>
                <w:b/>
                <w:bCs/>
                <w:color w:val="FFFFFF" w:themeColor="background1"/>
                <w:sz w:val="18"/>
                <w:szCs w:val="18"/>
                <w:lang w:eastAsia="es-CO"/>
              </w:rPr>
              <w:t>2017</w:t>
            </w:r>
          </w:p>
        </w:tc>
        <w:tc>
          <w:tcPr>
            <w:tcW w:w="0" w:type="auto"/>
            <w:shd w:val="clear" w:color="auto" w:fill="76922E"/>
            <w:vAlign w:val="center"/>
          </w:tcPr>
          <w:p w:rsidR="00F26175" w:rsidRPr="00BD7C93" w:rsidRDefault="00BD7C93" w:rsidP="00BD7C93">
            <w:pPr>
              <w:spacing w:after="0" w:line="240" w:lineRule="auto"/>
              <w:jc w:val="center"/>
              <w:rPr>
                <w:rFonts w:cs="Arial"/>
                <w:b/>
                <w:bCs/>
                <w:color w:val="FFFFFF" w:themeColor="background1"/>
                <w:sz w:val="18"/>
                <w:szCs w:val="18"/>
                <w:lang w:eastAsia="es-CO"/>
              </w:rPr>
            </w:pPr>
            <w:r>
              <w:rPr>
                <w:rFonts w:cs="Arial"/>
                <w:b/>
                <w:bCs/>
                <w:color w:val="FFFFFF" w:themeColor="background1"/>
                <w:sz w:val="18"/>
                <w:szCs w:val="18"/>
                <w:lang w:eastAsia="es-CO"/>
              </w:rPr>
              <w:t>% de C</w:t>
            </w:r>
            <w:r w:rsidR="00F26175" w:rsidRPr="00BD7C93">
              <w:rPr>
                <w:rFonts w:cs="Arial"/>
                <w:b/>
                <w:bCs/>
                <w:color w:val="FFFFFF" w:themeColor="background1"/>
                <w:sz w:val="18"/>
                <w:szCs w:val="18"/>
                <w:lang w:eastAsia="es-CO"/>
              </w:rPr>
              <w:t>umplimiento</w:t>
            </w:r>
          </w:p>
        </w:tc>
      </w:tr>
      <w:tr w:rsidR="00F26175" w:rsidRPr="00BD7C93" w:rsidTr="00BD7C93">
        <w:trPr>
          <w:trHeight w:val="294"/>
          <w:jc w:val="center"/>
        </w:trPr>
        <w:tc>
          <w:tcPr>
            <w:tcW w:w="0" w:type="auto"/>
            <w:vAlign w:val="center"/>
          </w:tcPr>
          <w:p w:rsidR="00F26175" w:rsidRPr="00BD7C93" w:rsidRDefault="00F26175" w:rsidP="00F26175">
            <w:pPr>
              <w:spacing w:before="100" w:beforeAutospacing="1" w:after="100" w:afterAutospacing="1" w:line="240" w:lineRule="auto"/>
              <w:jc w:val="both"/>
              <w:rPr>
                <w:rStyle w:val="texto1"/>
                <w:rFonts w:ascii="Arial" w:eastAsia="Times New Roman" w:hAnsi="Arial" w:cs="Arial"/>
                <w:b/>
                <w:bCs/>
                <w:color w:val="auto"/>
                <w:sz w:val="18"/>
                <w:szCs w:val="18"/>
              </w:rPr>
            </w:pPr>
            <w:r w:rsidRPr="00BD7C93">
              <w:rPr>
                <w:rStyle w:val="texto1"/>
                <w:rFonts w:ascii="Arial" w:eastAsia="Times New Roman" w:hAnsi="Arial" w:cs="Arial"/>
                <w:b/>
                <w:color w:val="auto"/>
                <w:sz w:val="18"/>
                <w:szCs w:val="18"/>
              </w:rPr>
              <w:t>Cobertura</w:t>
            </w:r>
          </w:p>
        </w:tc>
        <w:tc>
          <w:tcPr>
            <w:tcW w:w="0" w:type="auto"/>
            <w:vAlign w:val="center"/>
          </w:tcPr>
          <w:p w:rsidR="00F26175" w:rsidRPr="00BD7C93" w:rsidRDefault="00F26175" w:rsidP="00BD7C93">
            <w:pPr>
              <w:spacing w:before="100" w:beforeAutospacing="1" w:after="100" w:afterAutospacing="1" w:line="240" w:lineRule="auto"/>
              <w:jc w:val="center"/>
              <w:rPr>
                <w:rStyle w:val="texto1"/>
                <w:rFonts w:ascii="Arial" w:eastAsia="Times New Roman" w:hAnsi="Arial" w:cs="Arial"/>
                <w:color w:val="auto"/>
                <w:sz w:val="18"/>
                <w:szCs w:val="18"/>
              </w:rPr>
            </w:pPr>
            <w:r w:rsidRPr="00BD7C93">
              <w:rPr>
                <w:rStyle w:val="texto1"/>
                <w:rFonts w:ascii="Arial" w:eastAsia="Times New Roman" w:hAnsi="Arial" w:cs="Arial"/>
                <w:color w:val="auto"/>
                <w:sz w:val="18"/>
                <w:szCs w:val="18"/>
              </w:rPr>
              <w:t>15</w:t>
            </w:r>
          </w:p>
        </w:tc>
        <w:tc>
          <w:tcPr>
            <w:tcW w:w="0" w:type="auto"/>
            <w:vAlign w:val="center"/>
          </w:tcPr>
          <w:p w:rsidR="00F26175" w:rsidRPr="00BD7C93" w:rsidRDefault="00F26175" w:rsidP="00BD7C93">
            <w:pPr>
              <w:spacing w:before="100" w:beforeAutospacing="1" w:after="100" w:afterAutospacing="1" w:line="240" w:lineRule="auto"/>
              <w:jc w:val="center"/>
              <w:rPr>
                <w:rStyle w:val="texto1"/>
                <w:rFonts w:ascii="Arial" w:eastAsia="Times New Roman" w:hAnsi="Arial" w:cs="Arial"/>
                <w:color w:val="auto"/>
                <w:sz w:val="18"/>
                <w:szCs w:val="18"/>
              </w:rPr>
            </w:pPr>
            <w:r w:rsidRPr="00BD7C93">
              <w:rPr>
                <w:rStyle w:val="texto1"/>
                <w:rFonts w:ascii="Arial" w:eastAsia="Times New Roman" w:hAnsi="Arial" w:cs="Arial"/>
                <w:color w:val="auto"/>
                <w:sz w:val="18"/>
                <w:szCs w:val="18"/>
              </w:rPr>
              <w:t>15</w:t>
            </w:r>
          </w:p>
        </w:tc>
        <w:tc>
          <w:tcPr>
            <w:tcW w:w="0" w:type="auto"/>
            <w:vAlign w:val="center"/>
          </w:tcPr>
          <w:p w:rsidR="00F26175" w:rsidRPr="00BD7C93" w:rsidRDefault="00F26175" w:rsidP="00BD7C93">
            <w:pPr>
              <w:spacing w:before="100" w:beforeAutospacing="1" w:after="100" w:afterAutospacing="1" w:line="240" w:lineRule="auto"/>
              <w:jc w:val="center"/>
              <w:rPr>
                <w:rStyle w:val="texto1"/>
                <w:rFonts w:ascii="Arial" w:eastAsia="Times New Roman" w:hAnsi="Arial" w:cs="Arial"/>
                <w:color w:val="auto"/>
                <w:sz w:val="18"/>
                <w:szCs w:val="18"/>
              </w:rPr>
            </w:pPr>
            <w:r w:rsidRPr="00BD7C93">
              <w:rPr>
                <w:rStyle w:val="texto1"/>
                <w:rFonts w:ascii="Arial" w:eastAsia="Times New Roman" w:hAnsi="Arial" w:cs="Arial"/>
                <w:color w:val="auto"/>
                <w:sz w:val="18"/>
                <w:szCs w:val="18"/>
              </w:rPr>
              <w:t>100%</w:t>
            </w:r>
          </w:p>
        </w:tc>
      </w:tr>
      <w:tr w:rsidR="00F26175" w:rsidRPr="00BD7C93" w:rsidTr="00BD7C93">
        <w:trPr>
          <w:trHeight w:val="220"/>
          <w:jc w:val="center"/>
        </w:trPr>
        <w:tc>
          <w:tcPr>
            <w:tcW w:w="0" w:type="auto"/>
            <w:shd w:val="clear" w:color="auto" w:fill="76922E"/>
            <w:vAlign w:val="center"/>
          </w:tcPr>
          <w:p w:rsidR="00F26175" w:rsidRPr="00BD7C93" w:rsidRDefault="00F26175" w:rsidP="00BD7C93">
            <w:pPr>
              <w:spacing w:after="0" w:line="240" w:lineRule="auto"/>
              <w:jc w:val="center"/>
              <w:rPr>
                <w:rFonts w:cs="Arial"/>
                <w:b/>
                <w:bCs/>
                <w:color w:val="FFFFFF" w:themeColor="background1"/>
                <w:sz w:val="18"/>
                <w:szCs w:val="18"/>
                <w:lang w:eastAsia="es-CO"/>
              </w:rPr>
            </w:pPr>
          </w:p>
        </w:tc>
        <w:tc>
          <w:tcPr>
            <w:tcW w:w="0" w:type="auto"/>
            <w:shd w:val="clear" w:color="auto" w:fill="76922E"/>
            <w:vAlign w:val="center"/>
          </w:tcPr>
          <w:p w:rsidR="00F26175" w:rsidRPr="00BD7C93" w:rsidRDefault="00F26175" w:rsidP="00BD7C93">
            <w:pPr>
              <w:spacing w:after="0" w:line="240" w:lineRule="auto"/>
              <w:jc w:val="center"/>
              <w:rPr>
                <w:rFonts w:cs="Arial"/>
                <w:b/>
                <w:bCs/>
                <w:color w:val="FFFFFF" w:themeColor="background1"/>
                <w:sz w:val="18"/>
                <w:szCs w:val="18"/>
                <w:lang w:eastAsia="es-CO"/>
              </w:rPr>
            </w:pPr>
            <w:r w:rsidRPr="00BD7C93">
              <w:rPr>
                <w:rFonts w:cs="Arial"/>
                <w:b/>
                <w:bCs/>
                <w:color w:val="FFFFFF" w:themeColor="background1"/>
                <w:sz w:val="18"/>
                <w:szCs w:val="18"/>
                <w:lang w:eastAsia="es-CO"/>
              </w:rPr>
              <w:t>Compromisos</w:t>
            </w:r>
          </w:p>
          <w:p w:rsidR="00F26175" w:rsidRPr="00BD7C93" w:rsidRDefault="00F26175" w:rsidP="00BD7C93">
            <w:pPr>
              <w:spacing w:after="0" w:line="240" w:lineRule="auto"/>
              <w:jc w:val="center"/>
              <w:rPr>
                <w:rFonts w:cs="Arial"/>
                <w:b/>
                <w:bCs/>
                <w:color w:val="FFFFFF" w:themeColor="background1"/>
                <w:sz w:val="18"/>
                <w:szCs w:val="18"/>
                <w:lang w:eastAsia="es-CO"/>
              </w:rPr>
            </w:pPr>
            <w:r w:rsidRPr="00BD7C93">
              <w:rPr>
                <w:rFonts w:cs="Arial"/>
                <w:b/>
                <w:bCs/>
                <w:color w:val="FFFFFF" w:themeColor="background1"/>
                <w:sz w:val="18"/>
                <w:szCs w:val="18"/>
                <w:lang w:eastAsia="es-CO"/>
              </w:rPr>
              <w:t>2017</w:t>
            </w:r>
          </w:p>
        </w:tc>
        <w:tc>
          <w:tcPr>
            <w:tcW w:w="0" w:type="auto"/>
            <w:shd w:val="clear" w:color="auto" w:fill="76922E"/>
            <w:vAlign w:val="center"/>
          </w:tcPr>
          <w:p w:rsidR="00F26175" w:rsidRPr="00BD7C93" w:rsidRDefault="00F26175" w:rsidP="00BD7C93">
            <w:pPr>
              <w:spacing w:after="0" w:line="240" w:lineRule="auto"/>
              <w:jc w:val="center"/>
              <w:rPr>
                <w:rFonts w:cs="Arial"/>
                <w:b/>
                <w:bCs/>
                <w:color w:val="FFFFFF" w:themeColor="background1"/>
                <w:sz w:val="18"/>
                <w:szCs w:val="18"/>
                <w:lang w:eastAsia="es-CO"/>
              </w:rPr>
            </w:pPr>
            <w:r w:rsidRPr="00BD7C93">
              <w:rPr>
                <w:rFonts w:cs="Arial"/>
                <w:b/>
                <w:bCs/>
                <w:color w:val="FFFFFF" w:themeColor="background1"/>
                <w:sz w:val="18"/>
                <w:szCs w:val="18"/>
                <w:lang w:eastAsia="es-CO"/>
              </w:rPr>
              <w:t>Obligaciones</w:t>
            </w:r>
          </w:p>
          <w:p w:rsidR="00F26175" w:rsidRPr="00BD7C93" w:rsidRDefault="00F26175" w:rsidP="00BD7C93">
            <w:pPr>
              <w:spacing w:after="0" w:line="240" w:lineRule="auto"/>
              <w:jc w:val="center"/>
              <w:rPr>
                <w:rFonts w:cs="Arial"/>
                <w:b/>
                <w:bCs/>
                <w:color w:val="FFFFFF" w:themeColor="background1"/>
                <w:sz w:val="18"/>
                <w:szCs w:val="18"/>
                <w:lang w:eastAsia="es-CO"/>
              </w:rPr>
            </w:pPr>
            <w:r w:rsidRPr="00BD7C93">
              <w:rPr>
                <w:rFonts w:cs="Arial"/>
                <w:b/>
                <w:bCs/>
                <w:color w:val="FFFFFF" w:themeColor="background1"/>
                <w:sz w:val="18"/>
                <w:szCs w:val="18"/>
                <w:lang w:eastAsia="es-CO"/>
              </w:rPr>
              <w:t>2017</w:t>
            </w:r>
          </w:p>
        </w:tc>
        <w:tc>
          <w:tcPr>
            <w:tcW w:w="0" w:type="auto"/>
            <w:shd w:val="clear" w:color="auto" w:fill="76922E"/>
            <w:vAlign w:val="center"/>
          </w:tcPr>
          <w:p w:rsidR="00F26175" w:rsidRPr="00BD7C93" w:rsidRDefault="00F26175" w:rsidP="00BD7C93">
            <w:pPr>
              <w:pStyle w:val="NormalWeb"/>
              <w:spacing w:before="0" w:beforeAutospacing="0" w:after="0" w:afterAutospacing="0"/>
              <w:jc w:val="center"/>
              <w:rPr>
                <w:rFonts w:ascii="Arial" w:eastAsia="Calibri" w:hAnsi="Arial" w:cs="Arial"/>
                <w:b/>
                <w:bCs/>
                <w:color w:val="FFFFFF" w:themeColor="background1"/>
                <w:sz w:val="18"/>
                <w:szCs w:val="18"/>
                <w:lang w:val="es-ES"/>
              </w:rPr>
            </w:pPr>
            <w:r w:rsidRPr="00BD7C93">
              <w:rPr>
                <w:rFonts w:ascii="Arial" w:eastAsia="Calibri" w:hAnsi="Arial" w:cs="Arial"/>
                <w:b/>
                <w:bCs/>
                <w:color w:val="FFFFFF" w:themeColor="background1"/>
                <w:sz w:val="18"/>
                <w:szCs w:val="18"/>
                <w:lang w:val="es-ES"/>
              </w:rPr>
              <w:t>% de Ejecución</w:t>
            </w:r>
          </w:p>
        </w:tc>
      </w:tr>
      <w:tr w:rsidR="00F26175" w:rsidRPr="00BD7C93" w:rsidTr="00BD7C93">
        <w:trPr>
          <w:trHeight w:val="457"/>
          <w:jc w:val="center"/>
        </w:trPr>
        <w:tc>
          <w:tcPr>
            <w:tcW w:w="0" w:type="auto"/>
            <w:vAlign w:val="center"/>
          </w:tcPr>
          <w:p w:rsidR="00F26175" w:rsidRPr="00BD7C93" w:rsidRDefault="00F26175" w:rsidP="00BD7C93">
            <w:pPr>
              <w:spacing w:before="100" w:beforeAutospacing="1" w:after="100" w:afterAutospacing="1" w:line="240" w:lineRule="auto"/>
              <w:jc w:val="both"/>
              <w:rPr>
                <w:rFonts w:eastAsia="Times New Roman" w:cs="Arial"/>
                <w:b/>
                <w:bCs/>
                <w:sz w:val="18"/>
                <w:szCs w:val="18"/>
              </w:rPr>
            </w:pPr>
            <w:r w:rsidRPr="00BD7C93">
              <w:rPr>
                <w:rFonts w:eastAsia="Times New Roman" w:cs="Arial"/>
                <w:b/>
                <w:sz w:val="18"/>
                <w:szCs w:val="18"/>
              </w:rPr>
              <w:t>Inversión* (millones de $)</w:t>
            </w:r>
          </w:p>
        </w:tc>
        <w:tc>
          <w:tcPr>
            <w:tcW w:w="0" w:type="auto"/>
            <w:vAlign w:val="center"/>
          </w:tcPr>
          <w:p w:rsidR="00F26175" w:rsidRPr="00BD7C93" w:rsidRDefault="00F26175" w:rsidP="00BD7C93">
            <w:pPr>
              <w:spacing w:before="100" w:beforeAutospacing="1" w:after="100" w:afterAutospacing="1" w:line="240" w:lineRule="auto"/>
              <w:jc w:val="center"/>
              <w:rPr>
                <w:rFonts w:eastAsia="Times New Roman" w:cs="Arial"/>
                <w:sz w:val="18"/>
                <w:szCs w:val="18"/>
              </w:rPr>
            </w:pPr>
            <w:r w:rsidRPr="00BD7C93">
              <w:rPr>
                <w:rFonts w:eastAsia="Times New Roman" w:cs="Arial"/>
                <w:sz w:val="18"/>
                <w:szCs w:val="18"/>
              </w:rPr>
              <w:t>$4.021,7</w:t>
            </w:r>
          </w:p>
        </w:tc>
        <w:tc>
          <w:tcPr>
            <w:tcW w:w="0" w:type="auto"/>
            <w:vAlign w:val="center"/>
          </w:tcPr>
          <w:p w:rsidR="00F26175" w:rsidRPr="00BD7C93" w:rsidRDefault="00F26175" w:rsidP="00BD7C93">
            <w:pPr>
              <w:spacing w:before="100" w:beforeAutospacing="1" w:after="100" w:afterAutospacing="1" w:line="240" w:lineRule="auto"/>
              <w:jc w:val="center"/>
              <w:rPr>
                <w:rFonts w:eastAsia="Times New Roman" w:cs="Arial"/>
                <w:sz w:val="18"/>
                <w:szCs w:val="18"/>
              </w:rPr>
            </w:pPr>
            <w:r w:rsidRPr="00BD7C93">
              <w:rPr>
                <w:rFonts w:eastAsia="Times New Roman" w:cs="Arial"/>
                <w:sz w:val="18"/>
                <w:szCs w:val="18"/>
              </w:rPr>
              <w:t>$2.768,4</w:t>
            </w:r>
          </w:p>
        </w:tc>
        <w:tc>
          <w:tcPr>
            <w:tcW w:w="0" w:type="auto"/>
            <w:vAlign w:val="center"/>
          </w:tcPr>
          <w:p w:rsidR="00F26175" w:rsidRPr="00BD7C93" w:rsidRDefault="00F26175" w:rsidP="00BD7C93">
            <w:pPr>
              <w:pStyle w:val="NormalWeb"/>
              <w:jc w:val="center"/>
              <w:rPr>
                <w:rFonts w:ascii="Arial" w:hAnsi="Arial" w:cs="Arial"/>
                <w:sz w:val="18"/>
                <w:szCs w:val="18"/>
              </w:rPr>
            </w:pPr>
            <w:r w:rsidRPr="00BD7C93">
              <w:rPr>
                <w:rFonts w:ascii="Arial" w:hAnsi="Arial" w:cs="Arial"/>
                <w:sz w:val="18"/>
                <w:szCs w:val="18"/>
              </w:rPr>
              <w:t>69%</w:t>
            </w:r>
          </w:p>
        </w:tc>
      </w:tr>
    </w:tbl>
    <w:p w:rsidR="00F26175" w:rsidRPr="00BD7C93" w:rsidRDefault="00F26175" w:rsidP="00985A5D">
      <w:pPr>
        <w:spacing w:after="100" w:afterAutospacing="1" w:line="240" w:lineRule="auto"/>
        <w:ind w:left="708"/>
        <w:jc w:val="center"/>
        <w:rPr>
          <w:rFonts w:cs="Arial"/>
          <w:sz w:val="16"/>
          <w:szCs w:val="16"/>
        </w:rPr>
      </w:pPr>
      <w:r w:rsidRPr="00BD7C93">
        <w:rPr>
          <w:rFonts w:cs="Arial"/>
          <w:sz w:val="16"/>
          <w:szCs w:val="16"/>
        </w:rPr>
        <w:t>Fuente: Reporte</w:t>
      </w:r>
      <w:r w:rsidR="00BD7C93">
        <w:rPr>
          <w:rFonts w:cs="Arial"/>
          <w:sz w:val="16"/>
          <w:szCs w:val="16"/>
        </w:rPr>
        <w:t xml:space="preserve"> SIIF Nación. Corte 29 n</w:t>
      </w:r>
      <w:r w:rsidRPr="00BD7C93">
        <w:rPr>
          <w:rFonts w:cs="Arial"/>
          <w:sz w:val="16"/>
          <w:szCs w:val="16"/>
        </w:rPr>
        <w:t>oviembre de 2017</w:t>
      </w:r>
    </w:p>
    <w:p w:rsidR="00F26175" w:rsidRPr="007608C2" w:rsidRDefault="00F26175" w:rsidP="00F26175">
      <w:pPr>
        <w:spacing w:before="100" w:beforeAutospacing="1" w:after="100" w:afterAutospacing="1" w:line="240" w:lineRule="auto"/>
        <w:contextualSpacing/>
        <w:jc w:val="both"/>
        <w:rPr>
          <w:rFonts w:cs="Arial"/>
        </w:rPr>
      </w:pPr>
      <w:r w:rsidRPr="007608C2">
        <w:rPr>
          <w:rFonts w:cs="Arial"/>
        </w:rPr>
        <w:t xml:space="preserve">En este contexto, se vienen realizando cuatro (4) evaluaciones: i) la evaluación de operaciones y resultados de la Modalidad Territorios étnicos con bienestar -MTEB de la Dir. de Familias y Comunidades; ii) la Evaluación de Operaciones de la Estrategia de Unidades Móviles de la Dirección de </w:t>
      </w:r>
      <w:r w:rsidR="00BD7C93" w:rsidRPr="007608C2">
        <w:rPr>
          <w:rFonts w:cs="Arial"/>
        </w:rPr>
        <w:t>Protección</w:t>
      </w:r>
      <w:r w:rsidRPr="007608C2">
        <w:rPr>
          <w:rFonts w:cs="Arial"/>
        </w:rPr>
        <w:t xml:space="preserve"> y iii) la Evaluación de Operaciones del Modelo de Atención Para Adolescentes y Jóvenes en Conflicto con la Ley - SRPA del ICBF, las cuales se encuentran en proceso de ejecución y planeación de la prueba piloto y diseño metodológico, y iv) la Evaluación de Impacto sobre la política “ De cero a siempre” sobre el desarrollo de niños y niñas elegibles en la Encuesta Longitudinal de Colombia- ELCA 2010-2016 que se espera tener resultados en el mes de diciembre de 2017; Adicionalmente se viene participando en el comité técnico de seguimiento de la Evaluación de la Política de Atención Integral a la Primera Infancia de Cero a Siempre que lidera el DNP y la Presidencia a través de la Comisión Intersectorial de Primera Infancia-CIPI.</w:t>
      </w:r>
    </w:p>
    <w:p w:rsidR="00F26175" w:rsidRPr="007608C2" w:rsidRDefault="00F26175" w:rsidP="00F26175">
      <w:pPr>
        <w:spacing w:before="100" w:beforeAutospacing="1" w:after="100" w:afterAutospacing="1" w:line="240" w:lineRule="auto"/>
        <w:ind w:left="708"/>
        <w:contextualSpacing/>
        <w:jc w:val="both"/>
        <w:rPr>
          <w:rFonts w:cs="Arial"/>
        </w:rPr>
      </w:pPr>
    </w:p>
    <w:p w:rsidR="00F26175" w:rsidRPr="007608C2" w:rsidRDefault="00F26175" w:rsidP="00F26175">
      <w:pPr>
        <w:spacing w:before="100" w:beforeAutospacing="1" w:after="100" w:afterAutospacing="1" w:line="240" w:lineRule="auto"/>
        <w:contextualSpacing/>
        <w:jc w:val="both"/>
        <w:rPr>
          <w:rFonts w:cs="Arial"/>
        </w:rPr>
      </w:pPr>
      <w:r w:rsidRPr="007608C2">
        <w:rPr>
          <w:rFonts w:cs="Arial"/>
        </w:rPr>
        <w:t xml:space="preserve">En la vigencia de 2017 el Observatorio apoyó al grupo de evaluaciones e investigaciones en el desarrollo de dos (2) Investigaciones a nivel regional a través de la estrategia de Investigación social participativa (ISP), documentos que se desarrollan en apoyo de las áreas misionales de la </w:t>
      </w:r>
      <w:r w:rsidR="00BD7C93">
        <w:rPr>
          <w:rFonts w:cs="Arial"/>
        </w:rPr>
        <w:t xml:space="preserve">Sede Nacional y las regionales </w:t>
      </w:r>
      <w:r w:rsidRPr="007608C2">
        <w:rPr>
          <w:rFonts w:cs="Arial"/>
        </w:rPr>
        <w:t xml:space="preserve">Amazonas, Caquetá y Putumayo. Los temas de estas investigaciones son suicidio en adolescentes y jóvenes indígenas y una aproximación diagnóstica de la niñez y adolescencia en las zonas de reserva campesinas. </w:t>
      </w:r>
    </w:p>
    <w:p w:rsidR="00F26175" w:rsidRPr="007608C2" w:rsidRDefault="00F26175" w:rsidP="00F26175">
      <w:pPr>
        <w:spacing w:before="100" w:beforeAutospacing="1" w:after="100" w:afterAutospacing="1" w:line="240" w:lineRule="auto"/>
        <w:contextualSpacing/>
        <w:jc w:val="both"/>
        <w:rPr>
          <w:rFonts w:cs="Arial"/>
        </w:rPr>
      </w:pPr>
    </w:p>
    <w:p w:rsidR="00F26175" w:rsidRPr="007608C2" w:rsidRDefault="00F26175" w:rsidP="00F26175">
      <w:pPr>
        <w:spacing w:before="100" w:beforeAutospacing="1" w:after="100" w:afterAutospacing="1" w:line="240" w:lineRule="auto"/>
        <w:contextualSpacing/>
        <w:jc w:val="both"/>
        <w:rPr>
          <w:rFonts w:cs="Arial"/>
        </w:rPr>
      </w:pPr>
      <w:r w:rsidRPr="007608C2">
        <w:rPr>
          <w:rFonts w:cs="Arial"/>
        </w:rPr>
        <w:t xml:space="preserve">De igual forma, se bridó apoyo en el desarrollo de Investigaciones Externas, que corresponden a solicitudes de estudiantes de universidades que están realizando pregrado o posgrado y que requieren información y asesoría sobre el proceso metodológico para aportar al desarrollo de su trabajo de tesis, centros de investigación o Entidades proveedoras de Conocimiento que están investigando sobre temáticas relacionadas con el ICBF a través de la Direcciones de Servicios y Atenciones. Se está </w:t>
      </w:r>
      <w:r w:rsidR="00BD7C93">
        <w:rPr>
          <w:rFonts w:cs="Arial"/>
        </w:rPr>
        <w:t xml:space="preserve">promoviendo la socialización e </w:t>
      </w:r>
      <w:r w:rsidRPr="007608C2">
        <w:rPr>
          <w:rFonts w:cs="Arial"/>
        </w:rPr>
        <w:t>implementación del Modelo de Gestión de Conocimiento en conjunto con las áreas misionales del ICBF y el Sistema Nacional de Bienestar Familiar-SNBF.</w:t>
      </w:r>
    </w:p>
    <w:p w:rsidR="00F26175" w:rsidRPr="007608C2" w:rsidRDefault="00F26175" w:rsidP="00F26175">
      <w:pPr>
        <w:spacing w:before="100" w:beforeAutospacing="1" w:after="100" w:afterAutospacing="1" w:line="240" w:lineRule="auto"/>
        <w:ind w:left="708"/>
        <w:contextualSpacing/>
        <w:jc w:val="both"/>
        <w:rPr>
          <w:rFonts w:cs="Arial"/>
        </w:rPr>
      </w:pPr>
    </w:p>
    <w:p w:rsidR="00F26175" w:rsidRPr="007608C2" w:rsidRDefault="00F26175" w:rsidP="00F26175">
      <w:pPr>
        <w:spacing w:before="100" w:beforeAutospacing="1" w:after="100" w:afterAutospacing="1" w:line="240" w:lineRule="auto"/>
        <w:contextualSpacing/>
        <w:jc w:val="both"/>
        <w:rPr>
          <w:rFonts w:cs="Arial"/>
        </w:rPr>
      </w:pPr>
      <w:r w:rsidRPr="007608C2">
        <w:rPr>
          <w:rFonts w:cs="Arial"/>
        </w:rPr>
        <w:t>Así mismo, en el desarrollo de la “</w:t>
      </w:r>
      <w:r w:rsidRPr="007608C2">
        <w:rPr>
          <w:rFonts w:cs="Arial"/>
          <w:i/>
        </w:rPr>
        <w:t>Encuesta Nacional de la Situación Nutricional- ENSIN 2015</w:t>
      </w:r>
      <w:r w:rsidRPr="007608C2">
        <w:rPr>
          <w:rFonts w:cs="Arial"/>
        </w:rPr>
        <w:t xml:space="preserve">”, al cierre de la vigencia 2017 a través del </w:t>
      </w:r>
      <w:bookmarkStart w:id="144" w:name="_Toc483995190"/>
      <w:r w:rsidRPr="007608C2">
        <w:rPr>
          <w:rFonts w:cs="Arial"/>
        </w:rPr>
        <w:t>CONVENIO MARCO 1418</w:t>
      </w:r>
      <w:bookmarkEnd w:id="144"/>
      <w:r w:rsidRPr="007608C2">
        <w:rPr>
          <w:rFonts w:cs="Arial"/>
        </w:rPr>
        <w:t>, cuyo objeto es: “Aunar esfuerzos técnicos, humanos y financieros con el fin de avanzar en la fase tres de la encuesta nacional de la situación alimentaria y nutricional ENSIN 2015 en el marco de la alianza interinst</w:t>
      </w:r>
      <w:r w:rsidR="00BD7C93">
        <w:rPr>
          <w:rFonts w:cs="Arial"/>
        </w:rPr>
        <w:t xml:space="preserve">itucional para su desarrollo”, </w:t>
      </w:r>
      <w:r w:rsidRPr="007608C2">
        <w:rPr>
          <w:rFonts w:cs="Arial"/>
        </w:rPr>
        <w:t>se adelantaron las siguientes actividades:</w:t>
      </w:r>
    </w:p>
    <w:p w:rsidR="00A24D71" w:rsidRPr="007608C2" w:rsidRDefault="00A24D71" w:rsidP="00F26175">
      <w:pPr>
        <w:spacing w:before="100" w:beforeAutospacing="1" w:after="100" w:afterAutospacing="1" w:line="240" w:lineRule="auto"/>
        <w:contextualSpacing/>
        <w:jc w:val="both"/>
        <w:rPr>
          <w:rFonts w:cs="Arial"/>
        </w:rPr>
      </w:pPr>
    </w:p>
    <w:p w:rsidR="00F26175" w:rsidRPr="007608C2" w:rsidRDefault="00F26175" w:rsidP="00A44A2B">
      <w:pPr>
        <w:numPr>
          <w:ilvl w:val="0"/>
          <w:numId w:val="96"/>
        </w:numPr>
        <w:spacing w:after="0" w:line="240" w:lineRule="auto"/>
        <w:jc w:val="both"/>
        <w:rPr>
          <w:rFonts w:cs="Arial"/>
        </w:rPr>
      </w:pPr>
      <w:r w:rsidRPr="007608C2">
        <w:rPr>
          <w:rFonts w:cs="Arial"/>
        </w:rPr>
        <w:t xml:space="preserve">Resultados preliminares a nivel nacional </w:t>
      </w:r>
    </w:p>
    <w:p w:rsidR="00F26175" w:rsidRPr="007608C2" w:rsidRDefault="00F26175" w:rsidP="00A44A2B">
      <w:pPr>
        <w:numPr>
          <w:ilvl w:val="0"/>
          <w:numId w:val="96"/>
        </w:numPr>
        <w:spacing w:after="0" w:line="240" w:lineRule="auto"/>
        <w:jc w:val="both"/>
        <w:rPr>
          <w:rFonts w:cs="Arial"/>
        </w:rPr>
      </w:pPr>
      <w:r w:rsidRPr="007608C2">
        <w:rPr>
          <w:rFonts w:cs="Arial"/>
        </w:rPr>
        <w:t xml:space="preserve">Resumen ejecutivo de resultados </w:t>
      </w:r>
    </w:p>
    <w:p w:rsidR="00F26175" w:rsidRPr="007608C2" w:rsidRDefault="00F26175" w:rsidP="00A44A2B">
      <w:pPr>
        <w:numPr>
          <w:ilvl w:val="0"/>
          <w:numId w:val="96"/>
        </w:numPr>
        <w:spacing w:after="0" w:line="240" w:lineRule="auto"/>
        <w:jc w:val="both"/>
        <w:rPr>
          <w:rFonts w:cs="Arial"/>
        </w:rPr>
      </w:pPr>
      <w:r w:rsidRPr="007608C2">
        <w:rPr>
          <w:rFonts w:cs="Arial"/>
        </w:rPr>
        <w:lastRenderedPageBreak/>
        <w:t xml:space="preserve">Documento de análisis general de resultados basados en el modelo de determinantes sociales de la SAN </w:t>
      </w:r>
    </w:p>
    <w:p w:rsidR="00F26175" w:rsidRPr="007608C2" w:rsidRDefault="00F26175" w:rsidP="00A44A2B">
      <w:pPr>
        <w:numPr>
          <w:ilvl w:val="0"/>
          <w:numId w:val="96"/>
        </w:numPr>
        <w:spacing w:after="0" w:line="240" w:lineRule="auto"/>
        <w:jc w:val="both"/>
        <w:rPr>
          <w:rFonts w:cs="Arial"/>
        </w:rPr>
      </w:pPr>
      <w:r w:rsidRPr="007608C2">
        <w:rPr>
          <w:rFonts w:cs="Arial"/>
        </w:rPr>
        <w:t xml:space="preserve">6 eventos de socialización </w:t>
      </w:r>
    </w:p>
    <w:p w:rsidR="00F26175" w:rsidRPr="007608C2" w:rsidRDefault="00F26175" w:rsidP="00A44A2B">
      <w:pPr>
        <w:numPr>
          <w:ilvl w:val="0"/>
          <w:numId w:val="96"/>
        </w:numPr>
        <w:spacing w:after="0" w:line="240" w:lineRule="auto"/>
        <w:jc w:val="both"/>
        <w:rPr>
          <w:rFonts w:cs="Arial"/>
        </w:rPr>
      </w:pPr>
      <w:r w:rsidRPr="007608C2">
        <w:rPr>
          <w:rFonts w:cs="Arial"/>
        </w:rPr>
        <w:t xml:space="preserve">1 nota de política </w:t>
      </w:r>
    </w:p>
    <w:p w:rsidR="00F26175" w:rsidRPr="007608C2" w:rsidRDefault="00F26175" w:rsidP="00A44A2B">
      <w:pPr>
        <w:numPr>
          <w:ilvl w:val="0"/>
          <w:numId w:val="96"/>
        </w:numPr>
        <w:spacing w:after="0" w:line="240" w:lineRule="auto"/>
        <w:jc w:val="both"/>
        <w:rPr>
          <w:rFonts w:cs="Arial"/>
        </w:rPr>
      </w:pPr>
      <w:r w:rsidRPr="007608C2">
        <w:rPr>
          <w:rFonts w:cs="Arial"/>
        </w:rPr>
        <w:t xml:space="preserve">Bases de datos depuradas con variables calculadas, factores de expansión y pesos muestrales – Disposición de bases en los portales web de las instituciones </w:t>
      </w:r>
    </w:p>
    <w:p w:rsidR="00F26175" w:rsidRPr="007608C2" w:rsidRDefault="00F26175" w:rsidP="00F26175">
      <w:pPr>
        <w:spacing w:before="100" w:beforeAutospacing="1" w:after="100" w:afterAutospacing="1" w:line="240" w:lineRule="auto"/>
        <w:ind w:left="708"/>
        <w:contextualSpacing/>
        <w:jc w:val="both"/>
        <w:rPr>
          <w:rFonts w:cs="Arial"/>
        </w:rPr>
      </w:pPr>
    </w:p>
    <w:p w:rsidR="00F26175" w:rsidRPr="007608C2" w:rsidRDefault="00F26175" w:rsidP="00F26175">
      <w:pPr>
        <w:jc w:val="both"/>
        <w:rPr>
          <w:rFonts w:cs="Arial"/>
        </w:rPr>
      </w:pPr>
      <w:r w:rsidRPr="007608C2">
        <w:rPr>
          <w:rFonts w:cs="Arial"/>
        </w:rPr>
        <w:t>Durante la vigencia 2017, se adelanta el convenio 1207 de 31 de Marzo de 2017, con las entidades del orden nacional como son DEPARTAMENTO ADMINISTRATIVO NACIONAL DE ESTADÍSTICA-DANE, INSTITUTO NACIONAL DE SALUD - INS y de Cooperación como el PROGRAMA MUNDIAL DE ALIMENTOS PMA,  producto de dicho convenio se adelanta el estudio con los pueblos Indígenas Uwa, en el  departamento de Arauca, con el pueblo indígena Sikuani  en el departamento de Arauca, con el pueblo indígena Kichwa en el departamento del Putumayo , con el pueblo indígena Muruy en el departamento del Putumayo.</w:t>
      </w:r>
    </w:p>
    <w:p w:rsidR="00F26175" w:rsidRPr="007608C2" w:rsidRDefault="00F26175" w:rsidP="00F26175">
      <w:pPr>
        <w:spacing w:before="100" w:beforeAutospacing="1" w:after="100" w:afterAutospacing="1" w:line="240" w:lineRule="auto"/>
        <w:jc w:val="both"/>
        <w:rPr>
          <w:rFonts w:cs="Arial"/>
        </w:rPr>
      </w:pPr>
      <w:r w:rsidRPr="007608C2">
        <w:rPr>
          <w:rFonts w:cs="Arial"/>
        </w:rPr>
        <w:t>Por último, es importante mencionar, que se contin</w:t>
      </w:r>
      <w:r w:rsidR="00A24D71" w:rsidRPr="007608C2">
        <w:rPr>
          <w:rFonts w:cs="Arial"/>
        </w:rPr>
        <w:t>u</w:t>
      </w:r>
      <w:r w:rsidR="00BD7C93">
        <w:rPr>
          <w:rFonts w:cs="Arial"/>
        </w:rPr>
        <w:t>ó</w:t>
      </w:r>
      <w:r w:rsidRPr="007608C2">
        <w:rPr>
          <w:rFonts w:cs="Arial"/>
        </w:rPr>
        <w:t xml:space="preserve"> apoyando el proceso de institucionalización del Observatorio del Bienestar de la Niñez, en el cual para la vigencia 2017 y en cumplimiento de la política de Cero Papel, se elaboraron ocho (8) infografías diagramadas y subidas al micrositio del observatorio, relacionadas con las unidades de análisis: Violencias contra la niñez, Adolescentes en conflicto con la Ley Penal y Conflicto armado, paz y niñez. Adicionalmente, se hicieron dos mesas nacionales, con base en las cuales se elaboraron dos boletines, uno sobre víctimas de minas antipersona y otro sobre víctimas de uso y utilización por parte de grupos armados. Se elaboró en asocio al área técnica un Modelo de Riesgo de suicidio infantil. Se apoyó al SNBF en la elaboración y supervisión técnica de documentos como el INFORM, la metodología de análisis situacionales de la niñez desarrollado entre SNBF y Save The Children. Se estructuraron fichas técnicas para realización de diagnósticos poblacionales. De igual forma se hicieron 12 mesas temáticas, diez (10) departamentales y dos (2) nacionales sobre el rol de los jóvenes en los procesos de Construcción de paz, de estos talleres y conferencias se entregaron documentos que dan cuenta de los avances y principales conclusiones. Finalmente, el observatorio trabajó fuertemente en el proceso de articulación con las áreas misionales, para lo cual se desarrolló trabajo con DNA, con la dirección de Familias, la Dirección de </w:t>
      </w:r>
      <w:r w:rsidR="00D85ADA" w:rsidRPr="007608C2">
        <w:rPr>
          <w:rFonts w:cs="Arial"/>
        </w:rPr>
        <w:t>Protección</w:t>
      </w:r>
      <w:r w:rsidRPr="007608C2">
        <w:rPr>
          <w:rFonts w:cs="Arial"/>
        </w:rPr>
        <w:t xml:space="preserve"> y con el grupo de Evaluaciones e Investigaciones en el desarrollo metodológico y técnico de las ISP de 2017. </w:t>
      </w:r>
    </w:p>
    <w:p w:rsidR="00F26175" w:rsidRPr="007608C2" w:rsidRDefault="00D85ADA" w:rsidP="00F26175">
      <w:pPr>
        <w:spacing w:before="100" w:beforeAutospacing="1" w:after="100" w:afterAutospacing="1" w:line="240" w:lineRule="auto"/>
        <w:jc w:val="both"/>
        <w:rPr>
          <w:rFonts w:cs="Arial"/>
        </w:rPr>
      </w:pPr>
      <w:r>
        <w:rPr>
          <w:rFonts w:cs="Arial"/>
        </w:rPr>
        <w:t>Para la v</w:t>
      </w:r>
      <w:r w:rsidR="00F26175" w:rsidRPr="007608C2">
        <w:rPr>
          <w:rFonts w:cs="Arial"/>
        </w:rPr>
        <w:t xml:space="preserve">igencia 2018 se espera desarrollar las siguientes acciones: </w:t>
      </w:r>
    </w:p>
    <w:p w:rsidR="00F26175" w:rsidRPr="007608C2" w:rsidRDefault="00F26175" w:rsidP="00A44A2B">
      <w:pPr>
        <w:pStyle w:val="Prrafodelista"/>
        <w:numPr>
          <w:ilvl w:val="0"/>
          <w:numId w:val="21"/>
        </w:numPr>
        <w:spacing w:before="100" w:beforeAutospacing="1" w:after="100" w:afterAutospacing="1" w:line="240" w:lineRule="auto"/>
        <w:jc w:val="both"/>
        <w:rPr>
          <w:rFonts w:cs="Arial"/>
        </w:rPr>
      </w:pPr>
      <w:r w:rsidRPr="007608C2">
        <w:rPr>
          <w:rFonts w:cs="Arial"/>
        </w:rPr>
        <w:t>Fortalecer el marco del modelo de Gestión de Conocimiento con otras acciones como:</w:t>
      </w:r>
    </w:p>
    <w:p w:rsidR="00F26175" w:rsidRPr="007608C2" w:rsidRDefault="00F26175" w:rsidP="00A44A2B">
      <w:pPr>
        <w:pStyle w:val="Prrafodelista"/>
        <w:numPr>
          <w:ilvl w:val="1"/>
          <w:numId w:val="22"/>
        </w:numPr>
        <w:spacing w:before="100" w:beforeAutospacing="1" w:after="100" w:afterAutospacing="1" w:line="240" w:lineRule="auto"/>
        <w:jc w:val="both"/>
        <w:rPr>
          <w:rFonts w:cs="Arial"/>
        </w:rPr>
      </w:pPr>
      <w:r w:rsidRPr="007608C2">
        <w:rPr>
          <w:rFonts w:cs="Arial"/>
        </w:rPr>
        <w:t>Rediseñar y posicionar la Biblioteca Virtual</w:t>
      </w:r>
    </w:p>
    <w:p w:rsidR="00F26175" w:rsidRPr="007608C2" w:rsidRDefault="00F26175" w:rsidP="00A44A2B">
      <w:pPr>
        <w:pStyle w:val="Prrafodelista"/>
        <w:numPr>
          <w:ilvl w:val="1"/>
          <w:numId w:val="22"/>
        </w:numPr>
        <w:spacing w:before="100" w:beforeAutospacing="1" w:after="100" w:afterAutospacing="1" w:line="240" w:lineRule="auto"/>
        <w:jc w:val="both"/>
        <w:rPr>
          <w:rFonts w:cs="Arial"/>
        </w:rPr>
      </w:pPr>
      <w:r w:rsidRPr="007608C2">
        <w:rPr>
          <w:rFonts w:cs="Arial"/>
        </w:rPr>
        <w:t xml:space="preserve">Fortalecer / Posicionar el Observatorio </w:t>
      </w:r>
    </w:p>
    <w:p w:rsidR="00F26175" w:rsidRPr="00D85ADA" w:rsidRDefault="00F26175" w:rsidP="00A44A2B">
      <w:pPr>
        <w:numPr>
          <w:ilvl w:val="0"/>
          <w:numId w:val="154"/>
        </w:numPr>
        <w:spacing w:after="0"/>
        <w:contextualSpacing/>
        <w:jc w:val="both"/>
        <w:rPr>
          <w:rFonts w:cs="Arial"/>
          <w:lang w:val="es-MX"/>
        </w:rPr>
      </w:pPr>
      <w:r w:rsidRPr="00D85ADA">
        <w:rPr>
          <w:rFonts w:cs="Arial"/>
          <w:lang w:val="es-MX"/>
        </w:rPr>
        <w:t>Con respecto a la ENSIN, realizar estudios a profundidad con base en los resultados de la encuesta.</w:t>
      </w:r>
    </w:p>
    <w:p w:rsidR="00BD7C93" w:rsidRPr="00D85ADA" w:rsidRDefault="00BD7C93" w:rsidP="00D85ADA">
      <w:pPr>
        <w:spacing w:after="0"/>
        <w:ind w:left="360"/>
        <w:contextualSpacing/>
        <w:jc w:val="both"/>
        <w:rPr>
          <w:rFonts w:cs="Arial"/>
          <w:lang w:val="es-MX"/>
        </w:rPr>
      </w:pPr>
    </w:p>
    <w:p w:rsidR="00D85ADA" w:rsidRDefault="00F26175" w:rsidP="00A44A2B">
      <w:pPr>
        <w:numPr>
          <w:ilvl w:val="0"/>
          <w:numId w:val="154"/>
        </w:numPr>
        <w:spacing w:after="0"/>
        <w:contextualSpacing/>
        <w:jc w:val="both"/>
        <w:rPr>
          <w:rFonts w:cs="Arial"/>
          <w:lang w:val="es-MX"/>
        </w:rPr>
      </w:pPr>
      <w:r w:rsidRPr="00D85ADA">
        <w:rPr>
          <w:rFonts w:cs="Arial"/>
          <w:lang w:val="es-MX"/>
        </w:rPr>
        <w:lastRenderedPageBreak/>
        <w:t>Adelantar ENSANI en los pueblos indígenas priorizados por los Autos de la Corte por riesgo de supervivencia cultural.</w:t>
      </w:r>
    </w:p>
    <w:p w:rsidR="00D85ADA" w:rsidRPr="00D85ADA" w:rsidRDefault="00D85ADA" w:rsidP="00D85ADA">
      <w:pPr>
        <w:spacing w:after="0"/>
        <w:contextualSpacing/>
        <w:jc w:val="both"/>
        <w:rPr>
          <w:rFonts w:cs="Arial"/>
          <w:lang w:val="es-MX"/>
        </w:rPr>
      </w:pPr>
    </w:p>
    <w:p w:rsidR="00F26175" w:rsidRDefault="00F26175" w:rsidP="00A44A2B">
      <w:pPr>
        <w:numPr>
          <w:ilvl w:val="0"/>
          <w:numId w:val="154"/>
        </w:numPr>
        <w:spacing w:after="0"/>
        <w:contextualSpacing/>
        <w:jc w:val="both"/>
        <w:rPr>
          <w:rFonts w:cs="Arial"/>
          <w:lang w:val="es-MX"/>
        </w:rPr>
      </w:pPr>
      <w:r w:rsidRPr="00D85ADA">
        <w:rPr>
          <w:rFonts w:cs="Arial"/>
          <w:lang w:val="es-MX"/>
        </w:rPr>
        <w:t>Elaborar documentos, estudios y análisis que se articulen con las Direcciones de Protección, Niñez y Adolescencia; Primera Infancia y Familias y Comunidades.</w:t>
      </w:r>
    </w:p>
    <w:p w:rsidR="00D85ADA" w:rsidRPr="00D85ADA" w:rsidRDefault="00D85ADA" w:rsidP="00D85ADA">
      <w:pPr>
        <w:spacing w:after="0"/>
        <w:contextualSpacing/>
        <w:jc w:val="both"/>
        <w:rPr>
          <w:rFonts w:cs="Arial"/>
          <w:lang w:val="es-MX"/>
        </w:rPr>
      </w:pPr>
    </w:p>
    <w:p w:rsidR="00F26175" w:rsidRDefault="00F26175" w:rsidP="00A44A2B">
      <w:pPr>
        <w:numPr>
          <w:ilvl w:val="0"/>
          <w:numId w:val="154"/>
        </w:numPr>
        <w:spacing w:after="0"/>
        <w:contextualSpacing/>
        <w:jc w:val="both"/>
        <w:rPr>
          <w:rFonts w:cs="Arial"/>
          <w:lang w:val="es-MX"/>
        </w:rPr>
      </w:pPr>
      <w:r w:rsidRPr="00D85ADA">
        <w:rPr>
          <w:rFonts w:cs="Arial"/>
          <w:lang w:val="es-MX"/>
        </w:rPr>
        <w:t>Generar estrategias de difusión y socialización de las investigaciones y evaluaciones.</w:t>
      </w:r>
    </w:p>
    <w:p w:rsidR="00D85ADA" w:rsidRPr="00D85ADA" w:rsidRDefault="00D85ADA" w:rsidP="00D85ADA">
      <w:pPr>
        <w:spacing w:after="0"/>
        <w:contextualSpacing/>
        <w:jc w:val="both"/>
        <w:rPr>
          <w:rFonts w:cs="Arial"/>
          <w:lang w:val="es-MX"/>
        </w:rPr>
      </w:pPr>
    </w:p>
    <w:p w:rsidR="00F26175" w:rsidRPr="00D85ADA" w:rsidRDefault="00F26175" w:rsidP="00A44A2B">
      <w:pPr>
        <w:numPr>
          <w:ilvl w:val="0"/>
          <w:numId w:val="154"/>
        </w:numPr>
        <w:spacing w:after="0"/>
        <w:contextualSpacing/>
        <w:jc w:val="both"/>
        <w:rPr>
          <w:rFonts w:cs="Arial"/>
          <w:lang w:val="es-MX"/>
        </w:rPr>
      </w:pPr>
      <w:r w:rsidRPr="00D85ADA">
        <w:rPr>
          <w:rFonts w:cs="Arial"/>
          <w:lang w:val="es-MX"/>
        </w:rPr>
        <w:t>Fortalecer los planes de implementa</w:t>
      </w:r>
      <w:r w:rsidR="00D85ADA">
        <w:rPr>
          <w:rFonts w:cs="Arial"/>
          <w:lang w:val="es-MX"/>
        </w:rPr>
        <w:t>ción de recomendaciones de las e</w:t>
      </w:r>
      <w:r w:rsidRPr="00D85ADA">
        <w:rPr>
          <w:rFonts w:cs="Arial"/>
          <w:lang w:val="es-MX"/>
        </w:rPr>
        <w:t>valuaciones de los programas del ICBF.</w:t>
      </w:r>
    </w:p>
    <w:p w:rsidR="00F26175" w:rsidRPr="007608C2" w:rsidRDefault="00F26175" w:rsidP="00F26175">
      <w:pPr>
        <w:pStyle w:val="Prrafodelista"/>
        <w:spacing w:before="100" w:beforeAutospacing="1" w:after="100" w:afterAutospacing="1" w:line="240" w:lineRule="auto"/>
        <w:ind w:left="360"/>
        <w:contextualSpacing/>
        <w:jc w:val="both"/>
        <w:rPr>
          <w:rFonts w:cs="Arial"/>
        </w:rPr>
      </w:pPr>
    </w:p>
    <w:p w:rsidR="00F26175" w:rsidRPr="007608C2" w:rsidRDefault="00F26175" w:rsidP="00A44A2B">
      <w:pPr>
        <w:pStyle w:val="Prrafodelista"/>
        <w:numPr>
          <w:ilvl w:val="0"/>
          <w:numId w:val="21"/>
        </w:numPr>
        <w:spacing w:before="100" w:beforeAutospacing="1" w:after="100" w:afterAutospacing="1" w:line="240" w:lineRule="auto"/>
        <w:ind w:left="708"/>
        <w:jc w:val="both"/>
        <w:rPr>
          <w:rFonts w:cs="Arial"/>
          <w:b/>
          <w:u w:val="single"/>
        </w:rPr>
      </w:pPr>
      <w:r w:rsidRPr="007608C2">
        <w:rPr>
          <w:rFonts w:cs="Arial"/>
          <w:b/>
          <w:u w:val="single"/>
        </w:rPr>
        <w:t>Innovación:</w:t>
      </w:r>
    </w:p>
    <w:p w:rsidR="00F26175" w:rsidRPr="007608C2" w:rsidRDefault="00F26175" w:rsidP="00F26175">
      <w:pPr>
        <w:pStyle w:val="Textocomentario"/>
        <w:spacing w:before="100" w:beforeAutospacing="1" w:after="100" w:afterAutospacing="1"/>
        <w:jc w:val="both"/>
        <w:rPr>
          <w:rFonts w:cs="Arial"/>
          <w:sz w:val="22"/>
          <w:szCs w:val="22"/>
        </w:rPr>
      </w:pPr>
      <w:r w:rsidRPr="007608C2">
        <w:rPr>
          <w:rFonts w:cs="Arial"/>
          <w:sz w:val="22"/>
          <w:szCs w:val="22"/>
        </w:rPr>
        <w:t xml:space="preserve">Se implementó la estrategia </w:t>
      </w:r>
      <w:r w:rsidRPr="00E2319F">
        <w:rPr>
          <w:rFonts w:cs="Arial"/>
          <w:sz w:val="22"/>
          <w:szCs w:val="22"/>
        </w:rPr>
        <w:t>denominada “TU CONOCIMIENTO INNSPIRA</w:t>
      </w:r>
      <w:r w:rsidRPr="00E2319F">
        <w:rPr>
          <w:rFonts w:cs="Arial"/>
          <w:b/>
          <w:sz w:val="22"/>
          <w:szCs w:val="22"/>
        </w:rPr>
        <w:t>” la</w:t>
      </w:r>
      <w:r w:rsidRPr="007608C2">
        <w:rPr>
          <w:rFonts w:cs="Arial"/>
          <w:sz w:val="22"/>
          <w:szCs w:val="22"/>
        </w:rPr>
        <w:t xml:space="preserve"> cual busca identificar retos, necesidades y problemas en el Instituto a nivel nacional. Dentro de las necesidades y problemas identificados, </w:t>
      </w:r>
      <w:bookmarkStart w:id="145" w:name="_Hlk500781416"/>
      <w:r w:rsidRPr="007608C2">
        <w:rPr>
          <w:rFonts w:cs="Arial"/>
          <w:sz w:val="22"/>
          <w:szCs w:val="22"/>
        </w:rPr>
        <w:t xml:space="preserve">se destacaron los siguientes tres (3) retos </w:t>
      </w:r>
    </w:p>
    <w:p w:rsidR="00F26175" w:rsidRPr="007608C2" w:rsidRDefault="00F26175" w:rsidP="00A44A2B">
      <w:pPr>
        <w:pStyle w:val="Textocomentario"/>
        <w:numPr>
          <w:ilvl w:val="0"/>
          <w:numId w:val="95"/>
        </w:numPr>
        <w:spacing w:before="100" w:beforeAutospacing="1" w:after="100" w:afterAutospacing="1"/>
        <w:jc w:val="both"/>
        <w:rPr>
          <w:rFonts w:cs="Arial"/>
          <w:sz w:val="22"/>
          <w:szCs w:val="22"/>
        </w:rPr>
      </w:pPr>
      <w:r w:rsidRPr="007608C2">
        <w:rPr>
          <w:rFonts w:cs="Arial"/>
          <w:sz w:val="22"/>
          <w:szCs w:val="22"/>
        </w:rPr>
        <w:t>¿Cómo mejorar la supervisión de los programas de primera infancia?</w:t>
      </w:r>
    </w:p>
    <w:p w:rsidR="00F26175" w:rsidRPr="007608C2" w:rsidRDefault="00F26175" w:rsidP="00A44A2B">
      <w:pPr>
        <w:pStyle w:val="Textocomentario"/>
        <w:numPr>
          <w:ilvl w:val="0"/>
          <w:numId w:val="95"/>
        </w:numPr>
        <w:spacing w:before="100" w:beforeAutospacing="1" w:after="100" w:afterAutospacing="1"/>
        <w:jc w:val="both"/>
        <w:rPr>
          <w:rFonts w:cs="Arial"/>
          <w:sz w:val="22"/>
          <w:szCs w:val="22"/>
        </w:rPr>
      </w:pPr>
      <w:r w:rsidRPr="007608C2">
        <w:rPr>
          <w:rFonts w:cs="Arial"/>
          <w:sz w:val="22"/>
          <w:szCs w:val="22"/>
        </w:rPr>
        <w:t xml:space="preserve"> ¿Cómo mejorar la supervisión de los programas de Protección?</w:t>
      </w:r>
      <w:bookmarkEnd w:id="145"/>
      <w:r w:rsidRPr="007608C2">
        <w:rPr>
          <w:rFonts w:cs="Arial"/>
          <w:sz w:val="22"/>
          <w:szCs w:val="22"/>
        </w:rPr>
        <w:t xml:space="preserve"> </w:t>
      </w:r>
    </w:p>
    <w:p w:rsidR="00F26175" w:rsidRPr="007608C2" w:rsidRDefault="00F26175" w:rsidP="00A44A2B">
      <w:pPr>
        <w:pStyle w:val="Textocomentario"/>
        <w:numPr>
          <w:ilvl w:val="0"/>
          <w:numId w:val="95"/>
        </w:numPr>
        <w:spacing w:before="100" w:beforeAutospacing="1" w:after="100" w:afterAutospacing="1"/>
        <w:jc w:val="both"/>
        <w:rPr>
          <w:rFonts w:cs="Arial"/>
          <w:sz w:val="22"/>
          <w:szCs w:val="22"/>
        </w:rPr>
      </w:pPr>
      <w:r w:rsidRPr="007608C2">
        <w:rPr>
          <w:rFonts w:cs="Arial"/>
          <w:sz w:val="22"/>
          <w:szCs w:val="22"/>
        </w:rPr>
        <w:t xml:space="preserve"> ¿Cómo hacer uso eficiente del papel en el </w:t>
      </w:r>
      <w:r w:rsidR="00D85ADA" w:rsidRPr="007608C2">
        <w:rPr>
          <w:rFonts w:cs="Arial"/>
          <w:sz w:val="22"/>
          <w:szCs w:val="22"/>
        </w:rPr>
        <w:t>ICBF?</w:t>
      </w:r>
      <w:r w:rsidRPr="007608C2">
        <w:rPr>
          <w:rFonts w:cs="Arial"/>
          <w:sz w:val="22"/>
          <w:szCs w:val="22"/>
        </w:rPr>
        <w:t xml:space="preserve"> </w:t>
      </w:r>
    </w:p>
    <w:p w:rsidR="00F26175" w:rsidRPr="007608C2" w:rsidRDefault="00F26175" w:rsidP="00F26175">
      <w:pPr>
        <w:pStyle w:val="NormalWeb"/>
        <w:jc w:val="both"/>
        <w:rPr>
          <w:rFonts w:ascii="Arial" w:eastAsia="Calibri" w:hAnsi="Arial" w:cs="Arial"/>
          <w:sz w:val="22"/>
          <w:szCs w:val="22"/>
          <w:lang w:val="es-ES" w:eastAsia="en-US"/>
        </w:rPr>
      </w:pPr>
      <w:r w:rsidRPr="007608C2">
        <w:rPr>
          <w:rFonts w:ascii="Arial" w:eastAsia="Calibri" w:hAnsi="Arial" w:cs="Arial"/>
          <w:sz w:val="22"/>
          <w:szCs w:val="22"/>
          <w:lang w:val="es-ES" w:eastAsia="en-US"/>
        </w:rPr>
        <w:t xml:space="preserve">El desarrollo de esta estrategia se desarrolló en cinco (5) fases: 1) fase de conformación de equipos y acuerdos, 2) fase de identificación y caracterización del problema, 3) fase de ideación, propuesta de valor y validación, 4) fase de Project Canvas y 5) fase de presentación proyectos e evaluación nacional.  Esta jornada contó inicialmente con la participación 99 equipos de innovación inscritos desde las treinta y tres (33) regionales y la Sede de la Dirección General, los cuales luego de una revisión de requisitos pasaron 90 de ellos, los cuales entraron a firma los acuerdos para avanzar y es así como en esos momentos quedan 60 equipos en participación. </w:t>
      </w:r>
    </w:p>
    <w:p w:rsidR="00F26175" w:rsidRPr="007608C2" w:rsidRDefault="00F26175" w:rsidP="00F26175">
      <w:pPr>
        <w:pStyle w:val="Textocomentario"/>
        <w:spacing w:before="100" w:beforeAutospacing="1" w:after="100" w:afterAutospacing="1"/>
        <w:jc w:val="both"/>
        <w:rPr>
          <w:rFonts w:cs="Arial"/>
          <w:sz w:val="22"/>
          <w:szCs w:val="22"/>
        </w:rPr>
      </w:pPr>
      <w:r w:rsidRPr="007608C2">
        <w:rPr>
          <w:rFonts w:cs="Arial"/>
          <w:sz w:val="22"/>
          <w:szCs w:val="22"/>
        </w:rPr>
        <w:t>Para el desarrollo de la primera fase de la estrategia se invitó a nivel nacional a todos los funcionarios tanto servidores como contratistas, que quisieran conformar equipos de innovación y participaran presentando proyectos de Innovación como respuesta a las necesidades frente a cada uno de los retos Estos equipos pasaron a trabajar en la identificación y caracterización del problema, haciendo el registro de la información solamente 30 de ellos, los cuales mantienen su foco en los proyectos de innovación. Desde la Dirección de Planeación y Control de Gestión se llevó a cabo el encuentro nacional de innovación ICBF del 18 al 19 de septiembre de 2017, en donde participaron integrantes de cada uno de los treinta (30) equipos.</w:t>
      </w:r>
    </w:p>
    <w:p w:rsidR="00F26175" w:rsidRPr="007608C2" w:rsidRDefault="00F26175" w:rsidP="00F26175">
      <w:pPr>
        <w:pStyle w:val="NormalWeb"/>
        <w:jc w:val="both"/>
        <w:rPr>
          <w:rFonts w:ascii="Arial" w:eastAsia="Calibri" w:hAnsi="Arial" w:cs="Arial"/>
          <w:sz w:val="22"/>
          <w:szCs w:val="22"/>
          <w:lang w:val="es-ES" w:eastAsia="en-US"/>
        </w:rPr>
      </w:pPr>
      <w:r w:rsidRPr="007608C2">
        <w:rPr>
          <w:rFonts w:ascii="Arial" w:eastAsia="Calibri" w:hAnsi="Arial" w:cs="Arial"/>
          <w:sz w:val="22"/>
          <w:szCs w:val="22"/>
          <w:lang w:val="es-ES" w:eastAsia="en-US"/>
        </w:rPr>
        <w:t>En este encuentro se enseñaron metodologías para ideación, el cómo elaborar un canvas, algunos tips sobre la técnica del elevator pitch e igualmente sobre la formulación del Project canvas. Para ese entonces esas personas regresaron a sus regionales para hacer la multiplicación del conocimiento adquirido y avanzar en las jornadas de ideación, propuesta de valor y presentación de estas al equipo evaluador en cada una de las regionales.</w:t>
      </w:r>
    </w:p>
    <w:p w:rsidR="00F26175" w:rsidRPr="007608C2" w:rsidRDefault="00F26175" w:rsidP="00F26175">
      <w:pPr>
        <w:pStyle w:val="NormalWeb"/>
        <w:jc w:val="both"/>
        <w:rPr>
          <w:rFonts w:ascii="Arial" w:eastAsia="Calibri" w:hAnsi="Arial" w:cs="Arial"/>
          <w:sz w:val="22"/>
          <w:szCs w:val="22"/>
          <w:lang w:val="es-ES" w:eastAsia="en-US"/>
        </w:rPr>
      </w:pPr>
      <w:r w:rsidRPr="007608C2">
        <w:rPr>
          <w:rFonts w:ascii="Arial" w:eastAsia="Calibri" w:hAnsi="Arial" w:cs="Arial"/>
          <w:sz w:val="22"/>
          <w:szCs w:val="22"/>
          <w:lang w:val="es-ES" w:eastAsia="en-US"/>
        </w:rPr>
        <w:lastRenderedPageBreak/>
        <w:t xml:space="preserve">Luego de la validación de los 30 equipos de 17 regionales, con 196 personas de los siguientes retos: 14 Supervisión Primera Infancia, 6 Supervisión Protección y 10 Uso Eficiente del papel; avanzaron a la fase de final de presentación de proyectos a evaluación nacional 18 equipos de 14 regionales así: 8 proyectos de Supervisión Primera Infancia, 6 proyectos Uso Eficiente del Papel y 4 Proyectos de Supervisión de Protección con la participación de 125 personas. </w:t>
      </w:r>
    </w:p>
    <w:p w:rsidR="00F26175" w:rsidRPr="007608C2" w:rsidRDefault="00F26175" w:rsidP="00F26175">
      <w:pPr>
        <w:pStyle w:val="NormalWeb"/>
        <w:jc w:val="both"/>
        <w:rPr>
          <w:rFonts w:ascii="Arial" w:eastAsia="Calibri" w:hAnsi="Arial" w:cs="Arial"/>
          <w:sz w:val="22"/>
          <w:szCs w:val="22"/>
          <w:lang w:val="es-ES" w:eastAsia="en-US"/>
        </w:rPr>
      </w:pPr>
      <w:r w:rsidRPr="007608C2">
        <w:rPr>
          <w:rFonts w:ascii="Arial" w:eastAsia="Calibri" w:hAnsi="Arial" w:cs="Arial"/>
          <w:sz w:val="22"/>
          <w:szCs w:val="22"/>
          <w:lang w:val="es-ES" w:eastAsia="en-US"/>
        </w:rPr>
        <w:t xml:space="preserve">La Dirección de Planeación y Control de Gestión realizó el encuentro nacional de socialización de resultados de innovación durante los días 4 y 5 de diciembre de 2017, donde se realizó la evaluación de los proyectos finales de manera conjunta con la Dirección de Protección, la Dirección de Primera Infancia y la Dirección Administrativa. Del resultado de la evaluación se escogieron los tres proyectos más innovadores para cada uno de los retos. Los equipos seleccionados fueron: NORTEEXPLORA de la regional Norte de Santander por el reto supervisión de Primera Infancia, MI PAPEL de la Regional Antioquia por el reto Uso Eficiente del Papel y SUPER VISION “EL HEROE DE LA SUPERVISION” de la regional Caldas por el reto Supervisión de Protección. El día 5 de diciembre, con la asistencia de la Subdirectora General y los directores arriba mencionados, se llevó a cabo la entrega de reconocimientos a los equipos de innovación y fueron premiados los tres mejores equipos y sus proyectos. De esta manera culminó el ejercicio participativo de innovar en el Instituto Colombiano de Bienestar Familiar para la vigencia 2017. </w:t>
      </w:r>
    </w:p>
    <w:p w:rsidR="00F26175" w:rsidRPr="007608C2" w:rsidRDefault="00D85ADA" w:rsidP="00F26175">
      <w:pPr>
        <w:pStyle w:val="NormalWeb"/>
        <w:jc w:val="both"/>
        <w:rPr>
          <w:rFonts w:ascii="Arial" w:eastAsia="Calibri" w:hAnsi="Arial" w:cs="Arial"/>
          <w:sz w:val="22"/>
          <w:szCs w:val="22"/>
          <w:lang w:val="es-ES" w:eastAsia="en-US"/>
        </w:rPr>
      </w:pPr>
      <w:r>
        <w:rPr>
          <w:rFonts w:ascii="Arial" w:eastAsia="Calibri" w:hAnsi="Arial" w:cs="Arial"/>
          <w:sz w:val="22"/>
          <w:szCs w:val="22"/>
          <w:lang w:val="es-ES" w:eastAsia="en-US"/>
        </w:rPr>
        <w:t xml:space="preserve">Para 2018 </w:t>
      </w:r>
      <w:r w:rsidR="00F26175" w:rsidRPr="007608C2">
        <w:rPr>
          <w:rFonts w:ascii="Arial" w:eastAsia="Calibri" w:hAnsi="Arial" w:cs="Arial"/>
          <w:sz w:val="22"/>
          <w:szCs w:val="22"/>
          <w:lang w:val="es-ES" w:eastAsia="en-US"/>
        </w:rPr>
        <w:t xml:space="preserve">se tiene el reto de impulsar las actividades necesarias para iniciar la fase de implementación de cada uno de estos proyectos, así como también dar continuidad a la estrategia “TU CONOCIMIENTO INNSPIRA” con el fin de incentivar la innovación y gestión del conocimiento de los colaboradores del instituto </w:t>
      </w:r>
      <w:r w:rsidR="006B485A" w:rsidRPr="007608C2">
        <w:rPr>
          <w:rFonts w:ascii="Arial" w:eastAsia="Calibri" w:hAnsi="Arial" w:cs="Arial"/>
          <w:sz w:val="22"/>
          <w:szCs w:val="22"/>
          <w:lang w:val="es-ES" w:eastAsia="en-US"/>
        </w:rPr>
        <w:t>en beneficio</w:t>
      </w:r>
      <w:r w:rsidR="00F26175" w:rsidRPr="007608C2">
        <w:rPr>
          <w:rFonts w:ascii="Arial" w:eastAsia="Calibri" w:hAnsi="Arial" w:cs="Arial"/>
          <w:sz w:val="22"/>
          <w:szCs w:val="22"/>
          <w:lang w:val="es-ES" w:eastAsia="en-US"/>
        </w:rPr>
        <w:t xml:space="preserve"> de las familias colombianas.</w:t>
      </w:r>
    </w:p>
    <w:p w:rsidR="00F26175" w:rsidRPr="007608C2" w:rsidRDefault="00F26175" w:rsidP="00F26175">
      <w:pPr>
        <w:spacing w:before="100" w:beforeAutospacing="1" w:after="100" w:afterAutospacing="1" w:line="240" w:lineRule="auto"/>
        <w:jc w:val="both"/>
        <w:rPr>
          <w:rFonts w:cs="Arial"/>
        </w:rPr>
      </w:pPr>
      <w:r w:rsidRPr="007608C2">
        <w:rPr>
          <w:rFonts w:cs="Arial"/>
        </w:rPr>
        <w:t>Durante todo el proceso se Implementó estrategia de Comunicación para la adopción, reconocimiento interno e implementación del modelo de innovación “TU CONOCIMIENTO INNSPIRA”</w:t>
      </w:r>
    </w:p>
    <w:p w:rsidR="00F26175" w:rsidRPr="007608C2" w:rsidRDefault="00F26175" w:rsidP="009D3362">
      <w:pPr>
        <w:rPr>
          <w:rFonts w:cs="Arial"/>
        </w:rPr>
      </w:pPr>
      <w:r w:rsidRPr="007608C2">
        <w:rPr>
          <w:rFonts w:cs="Arial"/>
        </w:rPr>
        <w:t>Dentro de las acciones realizadas durante la vigencia de 2017, la dirección de planeación y control de gestión trabajó de manera coordinada con la dirección de Gestión Humana, en el desarrollo de los textos y contenidos del curso virtual sobre innovación y creatividad; el cual se pretende implementar a partir el primer trimes</w:t>
      </w:r>
      <w:r w:rsidR="009D3362" w:rsidRPr="007608C2">
        <w:rPr>
          <w:rFonts w:cs="Arial"/>
        </w:rPr>
        <w:t>tre de 2018.</w:t>
      </w:r>
    </w:p>
    <w:p w:rsidR="00F26175" w:rsidRPr="007608C2" w:rsidRDefault="00F26175" w:rsidP="00F26175">
      <w:pPr>
        <w:pStyle w:val="Prrafodelista"/>
        <w:spacing w:before="100" w:beforeAutospacing="1" w:after="100" w:afterAutospacing="1" w:line="240" w:lineRule="auto"/>
        <w:ind w:left="360"/>
        <w:contextualSpacing/>
        <w:jc w:val="both"/>
        <w:rPr>
          <w:rFonts w:cs="Arial"/>
        </w:rPr>
      </w:pPr>
    </w:p>
    <w:p w:rsidR="00F26175" w:rsidRPr="007608C2" w:rsidRDefault="00F26175" w:rsidP="009D3362">
      <w:pPr>
        <w:rPr>
          <w:rFonts w:cs="Arial"/>
        </w:rPr>
      </w:pPr>
    </w:p>
    <w:p w:rsidR="00F26175" w:rsidRPr="007608C2" w:rsidRDefault="00F26175" w:rsidP="00E24A36">
      <w:pPr>
        <w:rPr>
          <w:rFonts w:cs="Arial"/>
        </w:rPr>
      </w:pPr>
    </w:p>
    <w:p w:rsidR="00C02E05" w:rsidRPr="007608C2" w:rsidRDefault="00C02E05" w:rsidP="00A44A2B">
      <w:pPr>
        <w:numPr>
          <w:ilvl w:val="0"/>
          <w:numId w:val="9"/>
        </w:numPr>
        <w:spacing w:before="100" w:beforeAutospacing="1" w:after="100" w:afterAutospacing="1" w:line="240" w:lineRule="auto"/>
        <w:contextualSpacing/>
        <w:jc w:val="both"/>
        <w:rPr>
          <w:rFonts w:cs="Arial"/>
          <w:b/>
          <w:vanish/>
        </w:rPr>
      </w:pPr>
    </w:p>
    <w:p w:rsidR="00015C71" w:rsidRPr="007608C2" w:rsidRDefault="00272E00" w:rsidP="00A44A2B">
      <w:pPr>
        <w:pStyle w:val="Ttulo1"/>
        <w:pageBreakBefore/>
        <w:numPr>
          <w:ilvl w:val="0"/>
          <w:numId w:val="50"/>
        </w:numPr>
        <w:spacing w:before="100" w:beforeAutospacing="1" w:after="100" w:afterAutospacing="1"/>
        <w:jc w:val="both"/>
        <w:rPr>
          <w:rFonts w:cs="Arial"/>
          <w:szCs w:val="22"/>
        </w:rPr>
      </w:pPr>
      <w:bookmarkStart w:id="146" w:name="_Toc505183092"/>
      <w:r w:rsidRPr="007608C2">
        <w:rPr>
          <w:rFonts w:cs="Arial"/>
          <w:szCs w:val="22"/>
        </w:rPr>
        <w:lastRenderedPageBreak/>
        <w:t>G</w:t>
      </w:r>
      <w:r w:rsidR="00015C71" w:rsidRPr="007608C2">
        <w:rPr>
          <w:rFonts w:cs="Arial"/>
          <w:szCs w:val="22"/>
        </w:rPr>
        <w:t>ESTIÓN DEL TALENTO HUMANO</w:t>
      </w:r>
      <w:bookmarkEnd w:id="146"/>
    </w:p>
    <w:p w:rsidR="000C5404" w:rsidRPr="007608C2" w:rsidRDefault="00D85ADA" w:rsidP="00A44A2B">
      <w:pPr>
        <w:pStyle w:val="Ttulo2"/>
        <w:numPr>
          <w:ilvl w:val="1"/>
          <w:numId w:val="139"/>
        </w:numPr>
        <w:spacing w:before="100" w:beforeAutospacing="1" w:after="100" w:afterAutospacing="1" w:line="240" w:lineRule="auto"/>
        <w:jc w:val="both"/>
        <w:rPr>
          <w:rFonts w:cs="Arial"/>
          <w:b/>
          <w:szCs w:val="22"/>
        </w:rPr>
      </w:pPr>
      <w:bookmarkStart w:id="147" w:name="_Toc470095202"/>
      <w:bookmarkStart w:id="148" w:name="_Toc505183093"/>
      <w:r>
        <w:rPr>
          <w:rFonts w:cs="Arial"/>
          <w:b/>
          <w:szCs w:val="22"/>
        </w:rPr>
        <w:t>Plan Institucional de C</w:t>
      </w:r>
      <w:r w:rsidR="000C5404" w:rsidRPr="007608C2">
        <w:rPr>
          <w:rFonts w:cs="Arial"/>
          <w:b/>
          <w:szCs w:val="22"/>
        </w:rPr>
        <w:t>apacitación</w:t>
      </w:r>
      <w:bookmarkEnd w:id="147"/>
      <w:bookmarkEnd w:id="148"/>
    </w:p>
    <w:p w:rsidR="00831800" w:rsidRPr="007608C2" w:rsidRDefault="00831800" w:rsidP="00831800">
      <w:pPr>
        <w:spacing w:before="100" w:beforeAutospacing="1" w:after="100" w:afterAutospacing="1" w:line="240" w:lineRule="auto"/>
        <w:ind w:left="21"/>
        <w:jc w:val="both"/>
        <w:rPr>
          <w:rFonts w:cs="Arial"/>
          <w:spacing w:val="-4"/>
          <w:lang w:eastAsia="es-CO"/>
        </w:rPr>
      </w:pPr>
      <w:r w:rsidRPr="007608C2">
        <w:rPr>
          <w:rFonts w:cs="Arial"/>
        </w:rPr>
        <w:t xml:space="preserve">El Plan Institucional de Capacitación del ICBF de la vigencia 2017 fue adoptado mediante la Resolución No. 2800 del 27 de abril de 2017 el cual busca planear, programar, ejecutar y realizar seguimiento de las actividades </w:t>
      </w:r>
      <w:r w:rsidRPr="007608C2">
        <w:rPr>
          <w:rFonts w:cs="Arial"/>
          <w:lang w:eastAsia="es-CO"/>
        </w:rPr>
        <w:t>de formación y capacitación para los servidores, a través de la generación de conocimientos, el desarrollo y fo</w:t>
      </w:r>
      <w:r w:rsidR="00D85ADA">
        <w:rPr>
          <w:rFonts w:cs="Arial"/>
          <w:lang w:eastAsia="es-CO"/>
        </w:rPr>
        <w:t xml:space="preserve">rtalecimiento de competencias, </w:t>
      </w:r>
      <w:r w:rsidRPr="007608C2">
        <w:rPr>
          <w:rFonts w:cs="Arial"/>
          <w:lang w:eastAsia="es-CO"/>
        </w:rPr>
        <w:t xml:space="preserve">contribuyendo al cumplimiento de la misión y objetivos institucionales, alineado con el pilar estratégico No. 2. Este plan </w:t>
      </w:r>
      <w:r w:rsidRPr="007608C2">
        <w:rPr>
          <w:rFonts w:cs="Arial"/>
        </w:rPr>
        <w:t xml:space="preserve">fue formulado con la revisión de compromisos institucionales, requerimientos de capacitación de las dependencias de la Sede de la Dirección General y Direcciones Regionales, matriz de priorización con información de control interno y resultados de evaluación de desempeño e informes de la vigencia 2016. Dicho plan está enmarcado en los siguientes ejes de desarrollo: </w:t>
      </w:r>
    </w:p>
    <w:p w:rsidR="00831800" w:rsidRPr="00D85ADA" w:rsidRDefault="00831800" w:rsidP="00831800">
      <w:pPr>
        <w:overflowPunct w:val="0"/>
        <w:spacing w:before="100" w:beforeAutospacing="1" w:after="100" w:afterAutospacing="1" w:line="240" w:lineRule="auto"/>
        <w:jc w:val="both"/>
        <w:textAlignment w:val="baseline"/>
        <w:rPr>
          <w:rFonts w:cs="Arial"/>
          <w:spacing w:val="-4"/>
          <w:u w:val="single"/>
          <w:lang w:eastAsia="es-CO"/>
        </w:rPr>
      </w:pPr>
      <w:r w:rsidRPr="00D85ADA">
        <w:rPr>
          <w:rFonts w:cs="Arial"/>
          <w:spacing w:val="-4"/>
          <w:u w:val="single"/>
          <w:lang w:eastAsia="es-CO"/>
        </w:rPr>
        <w:t>Ejes de desarrollo PIC</w:t>
      </w:r>
    </w:p>
    <w:tbl>
      <w:tblPr>
        <w:tblStyle w:val="Tablaconcuadrcula"/>
        <w:tblW w:w="9606"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3147"/>
        <w:gridCol w:w="6459"/>
      </w:tblGrid>
      <w:tr w:rsidR="00831800" w:rsidRPr="00D85ADA" w:rsidTr="00D85ADA">
        <w:trPr>
          <w:trHeight w:val="286"/>
          <w:tblHeader/>
          <w:jc w:val="center"/>
        </w:trPr>
        <w:tc>
          <w:tcPr>
            <w:tcW w:w="3147" w:type="dxa"/>
            <w:shd w:val="clear" w:color="auto" w:fill="76922E"/>
            <w:vAlign w:val="center"/>
            <w:hideMark/>
          </w:tcPr>
          <w:p w:rsidR="00831800" w:rsidRPr="00D85ADA" w:rsidRDefault="00831800" w:rsidP="00D85ADA">
            <w:pPr>
              <w:spacing w:before="100" w:beforeAutospacing="1" w:after="100" w:afterAutospacing="1" w:line="240" w:lineRule="auto"/>
              <w:jc w:val="center"/>
              <w:rPr>
                <w:rFonts w:cs="Arial"/>
                <w:b/>
                <w:bCs/>
                <w:color w:val="FFFFFF" w:themeColor="background1"/>
                <w:spacing w:val="-4"/>
                <w:sz w:val="18"/>
                <w:szCs w:val="18"/>
                <w:lang w:val="es-CO"/>
              </w:rPr>
            </w:pPr>
            <w:r w:rsidRPr="00D85ADA">
              <w:rPr>
                <w:rFonts w:cs="Arial"/>
                <w:b/>
                <w:bCs/>
                <w:color w:val="FFFFFF" w:themeColor="background1"/>
                <w:spacing w:val="-4"/>
                <w:sz w:val="18"/>
                <w:szCs w:val="18"/>
                <w:lang w:val="es-CO"/>
              </w:rPr>
              <w:t>Eje de Desarrollo</w:t>
            </w:r>
          </w:p>
        </w:tc>
        <w:tc>
          <w:tcPr>
            <w:tcW w:w="6459" w:type="dxa"/>
            <w:shd w:val="clear" w:color="auto" w:fill="76922E"/>
            <w:vAlign w:val="center"/>
            <w:hideMark/>
          </w:tcPr>
          <w:p w:rsidR="00831800" w:rsidRPr="00D85ADA" w:rsidRDefault="00831800" w:rsidP="00D85ADA">
            <w:pPr>
              <w:spacing w:before="100" w:beforeAutospacing="1" w:after="100" w:afterAutospacing="1" w:line="240" w:lineRule="auto"/>
              <w:jc w:val="center"/>
              <w:rPr>
                <w:rFonts w:cs="Arial"/>
                <w:b/>
                <w:bCs/>
                <w:color w:val="FFFFFF" w:themeColor="background1"/>
                <w:spacing w:val="-4"/>
                <w:sz w:val="18"/>
                <w:szCs w:val="18"/>
                <w:lang w:val="es-CO"/>
              </w:rPr>
            </w:pPr>
            <w:r w:rsidRPr="00D85ADA">
              <w:rPr>
                <w:rFonts w:cs="Arial"/>
                <w:b/>
                <w:bCs/>
                <w:color w:val="FFFFFF" w:themeColor="background1"/>
                <w:spacing w:val="-4"/>
                <w:sz w:val="18"/>
                <w:szCs w:val="18"/>
                <w:lang w:val="es-CO"/>
              </w:rPr>
              <w:t>Objetivos</w:t>
            </w:r>
          </w:p>
        </w:tc>
      </w:tr>
      <w:tr w:rsidR="00831800" w:rsidRPr="00D85ADA" w:rsidTr="00F26175">
        <w:trPr>
          <w:trHeight w:val="261"/>
          <w:jc w:val="center"/>
        </w:trPr>
        <w:tc>
          <w:tcPr>
            <w:tcW w:w="3147" w:type="dxa"/>
            <w:vAlign w:val="center"/>
            <w:hideMark/>
          </w:tcPr>
          <w:p w:rsidR="00831800" w:rsidRPr="00D85ADA" w:rsidRDefault="00831800" w:rsidP="00F26175">
            <w:pPr>
              <w:spacing w:before="100" w:beforeAutospacing="1" w:after="100" w:afterAutospacing="1" w:line="240" w:lineRule="auto"/>
              <w:jc w:val="both"/>
              <w:rPr>
                <w:rFonts w:cs="Arial"/>
                <w:bCs/>
                <w:spacing w:val="-4"/>
                <w:sz w:val="18"/>
                <w:szCs w:val="18"/>
                <w:lang w:val="es-CO"/>
              </w:rPr>
            </w:pPr>
            <w:r w:rsidRPr="00D85ADA">
              <w:rPr>
                <w:rFonts w:cs="Arial"/>
                <w:bCs/>
                <w:spacing w:val="-4"/>
                <w:sz w:val="18"/>
                <w:szCs w:val="18"/>
                <w:lang w:val="es-CO"/>
              </w:rPr>
              <w:t>Gestión Institucional</w:t>
            </w:r>
          </w:p>
        </w:tc>
        <w:tc>
          <w:tcPr>
            <w:tcW w:w="6459" w:type="dxa"/>
            <w:vAlign w:val="center"/>
            <w:hideMark/>
          </w:tcPr>
          <w:p w:rsidR="00D85ADA" w:rsidRDefault="00D85ADA" w:rsidP="00D85ADA">
            <w:pPr>
              <w:spacing w:before="100" w:beforeAutospacing="1" w:after="0" w:line="240" w:lineRule="auto"/>
              <w:jc w:val="both"/>
              <w:rPr>
                <w:rFonts w:cs="Arial"/>
                <w:spacing w:val="-4"/>
                <w:sz w:val="18"/>
                <w:szCs w:val="18"/>
              </w:rPr>
            </w:pPr>
            <w:r w:rsidRPr="00D85ADA">
              <w:rPr>
                <w:rFonts w:cs="Arial"/>
                <w:spacing w:val="-4"/>
                <w:sz w:val="18"/>
                <w:szCs w:val="18"/>
              </w:rPr>
              <w:t xml:space="preserve">Fortalecer y construir </w:t>
            </w:r>
            <w:r w:rsidR="00831800" w:rsidRPr="00D85ADA">
              <w:rPr>
                <w:rFonts w:cs="Arial"/>
                <w:spacing w:val="-4"/>
                <w:sz w:val="18"/>
                <w:szCs w:val="18"/>
              </w:rPr>
              <w:t>criterios conceptuales, metodológicos y técnicos para la prestación del servicio.</w:t>
            </w:r>
          </w:p>
          <w:p w:rsidR="00831800" w:rsidRPr="00D85ADA" w:rsidRDefault="00831800" w:rsidP="00D85ADA">
            <w:pPr>
              <w:spacing w:after="100" w:afterAutospacing="1" w:line="240" w:lineRule="auto"/>
              <w:jc w:val="both"/>
              <w:rPr>
                <w:rFonts w:cs="Arial"/>
                <w:spacing w:val="-4"/>
                <w:sz w:val="18"/>
                <w:szCs w:val="18"/>
              </w:rPr>
            </w:pPr>
            <w:r w:rsidRPr="00D85ADA">
              <w:rPr>
                <w:rFonts w:cs="Arial"/>
                <w:spacing w:val="-4"/>
                <w:sz w:val="18"/>
                <w:szCs w:val="18"/>
              </w:rPr>
              <w:t>Buscar la apropiación de modelos de gestión que garanticen la efectividad de las organizaciones.</w:t>
            </w:r>
          </w:p>
        </w:tc>
      </w:tr>
      <w:tr w:rsidR="00831800" w:rsidRPr="00D85ADA" w:rsidTr="00F26175">
        <w:trPr>
          <w:trHeight w:val="128"/>
          <w:jc w:val="center"/>
        </w:trPr>
        <w:tc>
          <w:tcPr>
            <w:tcW w:w="3147" w:type="dxa"/>
            <w:vAlign w:val="center"/>
            <w:hideMark/>
          </w:tcPr>
          <w:p w:rsidR="00831800" w:rsidRPr="00D85ADA" w:rsidRDefault="00831800" w:rsidP="00F26175">
            <w:pPr>
              <w:spacing w:before="100" w:beforeAutospacing="1" w:after="100" w:afterAutospacing="1" w:line="240" w:lineRule="auto"/>
              <w:jc w:val="both"/>
              <w:rPr>
                <w:rFonts w:cs="Arial"/>
                <w:bCs/>
                <w:spacing w:val="-4"/>
                <w:sz w:val="18"/>
                <w:szCs w:val="18"/>
                <w:lang w:val="es-CO"/>
              </w:rPr>
            </w:pPr>
            <w:r w:rsidRPr="00D85ADA">
              <w:rPr>
                <w:rFonts w:cs="Arial"/>
                <w:bCs/>
                <w:spacing w:val="-4"/>
                <w:sz w:val="18"/>
                <w:szCs w:val="18"/>
                <w:lang w:val="es-CO"/>
              </w:rPr>
              <w:t>Crecimiento Personal y Profesional</w:t>
            </w:r>
          </w:p>
        </w:tc>
        <w:tc>
          <w:tcPr>
            <w:tcW w:w="6459" w:type="dxa"/>
            <w:vAlign w:val="center"/>
            <w:hideMark/>
          </w:tcPr>
          <w:p w:rsidR="00831800" w:rsidRPr="00D85ADA" w:rsidRDefault="00831800" w:rsidP="00F26175">
            <w:pPr>
              <w:spacing w:before="100" w:beforeAutospacing="1" w:after="100" w:afterAutospacing="1" w:line="240" w:lineRule="auto"/>
              <w:jc w:val="both"/>
              <w:rPr>
                <w:rFonts w:cs="Arial"/>
                <w:spacing w:val="-4"/>
                <w:sz w:val="18"/>
                <w:szCs w:val="18"/>
              </w:rPr>
            </w:pPr>
            <w:r w:rsidRPr="00D85ADA">
              <w:rPr>
                <w:rFonts w:cs="Arial"/>
                <w:spacing w:val="-4"/>
                <w:sz w:val="18"/>
                <w:szCs w:val="18"/>
              </w:rPr>
              <w:t>Desarrollar conocimientos y habilidades particulares para el trabajo en la gestión (Misional y/o técnica).</w:t>
            </w:r>
          </w:p>
        </w:tc>
      </w:tr>
      <w:tr w:rsidR="00831800" w:rsidRPr="00D85ADA" w:rsidTr="00F26175">
        <w:trPr>
          <w:trHeight w:val="128"/>
          <w:jc w:val="center"/>
        </w:trPr>
        <w:tc>
          <w:tcPr>
            <w:tcW w:w="3147" w:type="dxa"/>
            <w:vAlign w:val="center"/>
          </w:tcPr>
          <w:p w:rsidR="00831800" w:rsidRPr="00D85ADA" w:rsidRDefault="00831800" w:rsidP="00F26175">
            <w:pPr>
              <w:spacing w:before="100" w:beforeAutospacing="1" w:after="100" w:afterAutospacing="1" w:line="240" w:lineRule="auto"/>
              <w:jc w:val="both"/>
              <w:rPr>
                <w:rFonts w:cs="Arial"/>
                <w:bCs/>
                <w:spacing w:val="-4"/>
                <w:sz w:val="18"/>
                <w:szCs w:val="18"/>
                <w:lang w:val="es-CO"/>
              </w:rPr>
            </w:pPr>
            <w:r w:rsidRPr="00D85ADA">
              <w:rPr>
                <w:rFonts w:cs="Arial"/>
                <w:bCs/>
                <w:spacing w:val="-4"/>
                <w:sz w:val="18"/>
                <w:szCs w:val="18"/>
                <w:lang w:val="es-CO"/>
              </w:rPr>
              <w:t>Acciones para Cambiar el Mundo</w:t>
            </w:r>
          </w:p>
        </w:tc>
        <w:tc>
          <w:tcPr>
            <w:tcW w:w="6459" w:type="dxa"/>
          </w:tcPr>
          <w:p w:rsidR="00831800" w:rsidRPr="00D85ADA" w:rsidRDefault="00831800" w:rsidP="00F26175">
            <w:pPr>
              <w:spacing w:before="100" w:beforeAutospacing="1" w:after="100" w:afterAutospacing="1" w:line="240" w:lineRule="auto"/>
              <w:jc w:val="both"/>
              <w:rPr>
                <w:rFonts w:cs="Arial"/>
                <w:spacing w:val="-4"/>
                <w:sz w:val="18"/>
                <w:szCs w:val="18"/>
              </w:rPr>
            </w:pPr>
            <w:r w:rsidRPr="00D85ADA">
              <w:rPr>
                <w:rFonts w:cs="Arial"/>
                <w:spacing w:val="-4"/>
                <w:sz w:val="18"/>
                <w:szCs w:val="18"/>
              </w:rPr>
              <w:t>Impulsar el desarrollo y participación de los servidores públicos en la construcción de su entorno social, familiar y laboral, hacia un cambio cultural.</w:t>
            </w:r>
          </w:p>
        </w:tc>
      </w:tr>
      <w:tr w:rsidR="00831800" w:rsidRPr="00D85ADA" w:rsidTr="00F26175">
        <w:trPr>
          <w:trHeight w:val="128"/>
          <w:jc w:val="center"/>
        </w:trPr>
        <w:tc>
          <w:tcPr>
            <w:tcW w:w="3147" w:type="dxa"/>
            <w:vAlign w:val="center"/>
          </w:tcPr>
          <w:p w:rsidR="00831800" w:rsidRPr="00D85ADA" w:rsidRDefault="00831800" w:rsidP="00F26175">
            <w:pPr>
              <w:spacing w:before="100" w:beforeAutospacing="1" w:after="100" w:afterAutospacing="1" w:line="240" w:lineRule="auto"/>
              <w:jc w:val="both"/>
              <w:rPr>
                <w:rFonts w:cs="Arial"/>
                <w:bCs/>
                <w:spacing w:val="-4"/>
                <w:sz w:val="18"/>
                <w:szCs w:val="18"/>
                <w:lang w:val="es-CO"/>
              </w:rPr>
            </w:pPr>
            <w:r w:rsidRPr="00D85ADA">
              <w:rPr>
                <w:rFonts w:cs="Arial"/>
                <w:bCs/>
                <w:spacing w:val="-4"/>
                <w:sz w:val="18"/>
                <w:szCs w:val="18"/>
                <w:lang w:val="es-CO"/>
              </w:rPr>
              <w:t>Desarrollo Territorial y Nacional</w:t>
            </w:r>
          </w:p>
        </w:tc>
        <w:tc>
          <w:tcPr>
            <w:tcW w:w="6459" w:type="dxa"/>
            <w:vAlign w:val="center"/>
          </w:tcPr>
          <w:p w:rsidR="00831800" w:rsidRPr="00D85ADA" w:rsidRDefault="00831800" w:rsidP="00F26175">
            <w:pPr>
              <w:spacing w:before="100" w:beforeAutospacing="1" w:after="100" w:afterAutospacing="1" w:line="240" w:lineRule="auto"/>
              <w:jc w:val="both"/>
              <w:rPr>
                <w:rFonts w:cs="Arial"/>
                <w:spacing w:val="-4"/>
                <w:sz w:val="18"/>
                <w:szCs w:val="18"/>
              </w:rPr>
            </w:pPr>
            <w:r w:rsidRPr="00D85ADA">
              <w:rPr>
                <w:rFonts w:cs="Arial"/>
                <w:spacing w:val="-4"/>
                <w:sz w:val="18"/>
                <w:szCs w:val="18"/>
              </w:rPr>
              <w:t>Asegurar la sostenibilidad social, cultural y económica del territorio en un contexto determinado.</w:t>
            </w:r>
          </w:p>
        </w:tc>
      </w:tr>
    </w:tbl>
    <w:p w:rsidR="00831800" w:rsidRPr="00D85ADA" w:rsidRDefault="00831800" w:rsidP="00985A5D">
      <w:pPr>
        <w:spacing w:after="100" w:afterAutospacing="1" w:line="240" w:lineRule="auto"/>
        <w:jc w:val="center"/>
        <w:rPr>
          <w:rFonts w:cs="Arial"/>
          <w:spacing w:val="-4"/>
          <w:sz w:val="16"/>
          <w:szCs w:val="16"/>
          <w:lang w:eastAsia="es-CO"/>
        </w:rPr>
      </w:pPr>
      <w:r w:rsidRPr="00D85ADA">
        <w:rPr>
          <w:rFonts w:cs="Arial"/>
          <w:spacing w:val="-4"/>
          <w:sz w:val="16"/>
          <w:szCs w:val="16"/>
          <w:lang w:eastAsia="es-CO"/>
        </w:rPr>
        <w:t>Fuente: Grupo de Desarrollo del Talento Humano</w:t>
      </w:r>
    </w:p>
    <w:p w:rsidR="00831800" w:rsidRPr="007608C2" w:rsidRDefault="00831800" w:rsidP="00831800">
      <w:pPr>
        <w:spacing w:before="100" w:beforeAutospacing="1" w:after="100" w:afterAutospacing="1" w:line="240" w:lineRule="auto"/>
        <w:jc w:val="both"/>
        <w:rPr>
          <w:rFonts w:cs="Arial"/>
          <w:lang w:eastAsia="es-CO"/>
        </w:rPr>
      </w:pPr>
      <w:r w:rsidRPr="007608C2">
        <w:rPr>
          <w:rFonts w:cs="Arial"/>
        </w:rPr>
        <w:t>El Plan Institucional de Capacitación (PIC) fue desarrollado mediante eventos presenciales y virtuales, bajo distintas modalidades y temáticas, a saber:</w:t>
      </w:r>
    </w:p>
    <w:p w:rsidR="00831800" w:rsidRPr="007608C2" w:rsidRDefault="00831800" w:rsidP="00831800">
      <w:pPr>
        <w:spacing w:before="100" w:beforeAutospacing="1" w:after="100" w:afterAutospacing="1" w:line="240" w:lineRule="auto"/>
        <w:jc w:val="both"/>
        <w:rPr>
          <w:rFonts w:cs="Arial"/>
          <w:u w:val="single"/>
          <w:lang w:eastAsia="es-CO"/>
        </w:rPr>
      </w:pPr>
      <w:r w:rsidRPr="007608C2">
        <w:rPr>
          <w:rFonts w:cs="Arial"/>
          <w:u w:val="single"/>
          <w:lang w:eastAsia="es-CO"/>
        </w:rPr>
        <w:t>Cursos presenciales</w:t>
      </w:r>
    </w:p>
    <w:p w:rsidR="00831800" w:rsidRPr="007608C2" w:rsidRDefault="00831800" w:rsidP="00A44A2B">
      <w:pPr>
        <w:pStyle w:val="Prrafodelista"/>
        <w:numPr>
          <w:ilvl w:val="0"/>
          <w:numId w:val="92"/>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b/>
          <w:lang w:val="es-CO" w:eastAsia="es-CO"/>
        </w:rPr>
        <w:t>Jornadas de Actualización</w:t>
      </w:r>
      <w:r w:rsidRPr="007608C2">
        <w:rPr>
          <w:rFonts w:eastAsia="Times New Roman" w:cs="Arial"/>
          <w:lang w:val="es-CO" w:eastAsia="es-CO"/>
        </w:rPr>
        <w:t>:</w:t>
      </w:r>
    </w:p>
    <w:p w:rsidR="00831800" w:rsidRPr="00D85ADA" w:rsidRDefault="00831800" w:rsidP="00A44A2B">
      <w:pPr>
        <w:numPr>
          <w:ilvl w:val="0"/>
          <w:numId w:val="154"/>
        </w:numPr>
        <w:spacing w:after="0"/>
        <w:contextualSpacing/>
        <w:jc w:val="both"/>
        <w:rPr>
          <w:rFonts w:cs="Arial"/>
          <w:lang w:val="es-MX"/>
        </w:rPr>
      </w:pPr>
      <w:r w:rsidRPr="00D85ADA">
        <w:rPr>
          <w:rFonts w:cs="Arial"/>
          <w:lang w:val="es-MX"/>
        </w:rPr>
        <w:t>Primera jornada de actualización: SIGE (generalidades y sus 4 ejes: Calidad, SST, Ambiental, Seguridad de la Información).</w:t>
      </w:r>
    </w:p>
    <w:p w:rsidR="00D85ADA" w:rsidRPr="00D85ADA" w:rsidRDefault="00D85ADA" w:rsidP="00D85ADA">
      <w:pPr>
        <w:spacing w:after="0"/>
        <w:ind w:left="360"/>
        <w:contextualSpacing/>
        <w:jc w:val="both"/>
        <w:rPr>
          <w:rFonts w:cs="Arial"/>
          <w:lang w:val="es-MX"/>
        </w:rPr>
      </w:pPr>
    </w:p>
    <w:p w:rsidR="00831800" w:rsidRDefault="00831800" w:rsidP="00A44A2B">
      <w:pPr>
        <w:numPr>
          <w:ilvl w:val="0"/>
          <w:numId w:val="154"/>
        </w:numPr>
        <w:spacing w:after="0"/>
        <w:contextualSpacing/>
        <w:jc w:val="both"/>
        <w:rPr>
          <w:rFonts w:cs="Arial"/>
          <w:lang w:val="es-MX"/>
        </w:rPr>
      </w:pPr>
      <w:r w:rsidRPr="00D85ADA">
        <w:rPr>
          <w:rFonts w:cs="Arial"/>
          <w:lang w:val="es-MX"/>
        </w:rPr>
        <w:t>Segunda jornada de actualización: Temas de función pública.</w:t>
      </w:r>
    </w:p>
    <w:p w:rsidR="00D85ADA" w:rsidRPr="00D85ADA" w:rsidRDefault="00D85ADA" w:rsidP="00D85ADA">
      <w:pPr>
        <w:spacing w:after="0"/>
        <w:contextualSpacing/>
        <w:jc w:val="both"/>
        <w:rPr>
          <w:rFonts w:cs="Arial"/>
          <w:lang w:val="es-MX"/>
        </w:rPr>
      </w:pPr>
    </w:p>
    <w:p w:rsidR="00831800" w:rsidRDefault="00831800" w:rsidP="00A44A2B">
      <w:pPr>
        <w:numPr>
          <w:ilvl w:val="0"/>
          <w:numId w:val="154"/>
        </w:numPr>
        <w:spacing w:after="0"/>
        <w:contextualSpacing/>
        <w:jc w:val="both"/>
        <w:rPr>
          <w:rFonts w:cs="Arial"/>
          <w:lang w:val="es-MX"/>
        </w:rPr>
      </w:pPr>
      <w:r w:rsidRPr="00D85ADA">
        <w:rPr>
          <w:rFonts w:cs="Arial"/>
          <w:lang w:val="es-MX"/>
        </w:rPr>
        <w:t xml:space="preserve">Tercera Jornada Actualización: Metas sociales y financieras, tablero de control, listado maestro de documentos </w:t>
      </w:r>
      <w:r w:rsidR="00D85ADA">
        <w:rPr>
          <w:rFonts w:cs="Arial"/>
          <w:lang w:val="es-MX"/>
        </w:rPr>
        <w:t>y Metas Sociales y Financieras.</w:t>
      </w:r>
    </w:p>
    <w:p w:rsidR="00D85ADA" w:rsidRPr="00D85ADA" w:rsidRDefault="00D85ADA" w:rsidP="00D85ADA">
      <w:pPr>
        <w:spacing w:after="0"/>
        <w:contextualSpacing/>
        <w:jc w:val="both"/>
        <w:rPr>
          <w:rFonts w:cs="Arial"/>
          <w:lang w:val="es-MX"/>
        </w:rPr>
      </w:pPr>
    </w:p>
    <w:p w:rsidR="00831800" w:rsidRDefault="00831800" w:rsidP="00A44A2B">
      <w:pPr>
        <w:numPr>
          <w:ilvl w:val="0"/>
          <w:numId w:val="154"/>
        </w:numPr>
        <w:spacing w:after="0"/>
        <w:contextualSpacing/>
        <w:jc w:val="both"/>
        <w:rPr>
          <w:rFonts w:cs="Arial"/>
          <w:lang w:val="es-MX"/>
        </w:rPr>
      </w:pPr>
      <w:r w:rsidRPr="00D85ADA">
        <w:rPr>
          <w:rFonts w:cs="Arial"/>
          <w:lang w:val="es-MX"/>
        </w:rPr>
        <w:t>Cuarta jornada de actualización: Temas del sector público.</w:t>
      </w:r>
    </w:p>
    <w:p w:rsidR="00D85ADA" w:rsidRPr="00D85ADA" w:rsidRDefault="00D85ADA" w:rsidP="00D85ADA">
      <w:pPr>
        <w:spacing w:after="0"/>
        <w:contextualSpacing/>
        <w:jc w:val="both"/>
        <w:rPr>
          <w:rFonts w:cs="Arial"/>
          <w:lang w:val="es-MX"/>
        </w:rPr>
      </w:pPr>
    </w:p>
    <w:p w:rsidR="00831800" w:rsidRDefault="00831800" w:rsidP="00A44A2B">
      <w:pPr>
        <w:numPr>
          <w:ilvl w:val="0"/>
          <w:numId w:val="154"/>
        </w:numPr>
        <w:spacing w:after="0"/>
        <w:contextualSpacing/>
        <w:jc w:val="both"/>
        <w:rPr>
          <w:rFonts w:cs="Arial"/>
          <w:lang w:val="es-MX"/>
        </w:rPr>
      </w:pPr>
      <w:r w:rsidRPr="00D85ADA">
        <w:rPr>
          <w:rFonts w:cs="Arial"/>
          <w:lang w:val="es-MX"/>
        </w:rPr>
        <w:t>Capacitaciones de Seguridad y Salud en el trabajo: capacitación del riesgo psicosocial, riesgo biomecánico, COPASST y Planes de Emergencia.</w:t>
      </w:r>
    </w:p>
    <w:p w:rsidR="00D85ADA" w:rsidRPr="00D85ADA" w:rsidRDefault="00D85ADA" w:rsidP="00D85ADA">
      <w:pPr>
        <w:spacing w:after="0"/>
        <w:contextualSpacing/>
        <w:jc w:val="both"/>
        <w:rPr>
          <w:rFonts w:cs="Arial"/>
          <w:lang w:val="es-MX"/>
        </w:rPr>
      </w:pPr>
    </w:p>
    <w:p w:rsidR="00831800" w:rsidRDefault="00831800" w:rsidP="00A44A2B">
      <w:pPr>
        <w:numPr>
          <w:ilvl w:val="0"/>
          <w:numId w:val="154"/>
        </w:numPr>
        <w:spacing w:after="0"/>
        <w:contextualSpacing/>
        <w:jc w:val="both"/>
        <w:rPr>
          <w:rFonts w:cs="Arial"/>
          <w:lang w:val="es-MX"/>
        </w:rPr>
      </w:pPr>
      <w:r w:rsidRPr="00D85ADA">
        <w:rPr>
          <w:rFonts w:cs="Arial"/>
          <w:lang w:val="es-MX"/>
        </w:rPr>
        <w:t>Capacitaciones de la Dirección de Contratación: supervisión de contratos, procesos sancionatorios, tienda virtual del estado colombiano, SIGEP, procesos de selección, liquidaciones, estado de contratos, SIRECI, FUC, SECOP y SITCO.</w:t>
      </w:r>
    </w:p>
    <w:p w:rsidR="00D85ADA" w:rsidRPr="00D85ADA" w:rsidRDefault="00D85ADA" w:rsidP="00D85ADA">
      <w:pPr>
        <w:spacing w:after="0"/>
        <w:contextualSpacing/>
        <w:jc w:val="both"/>
        <w:rPr>
          <w:rFonts w:cs="Arial"/>
          <w:lang w:val="es-MX"/>
        </w:rPr>
      </w:pPr>
    </w:p>
    <w:p w:rsidR="00831800" w:rsidRDefault="00831800" w:rsidP="00A44A2B">
      <w:pPr>
        <w:numPr>
          <w:ilvl w:val="0"/>
          <w:numId w:val="154"/>
        </w:numPr>
        <w:spacing w:after="0"/>
        <w:contextualSpacing/>
        <w:jc w:val="both"/>
        <w:rPr>
          <w:rFonts w:cs="Arial"/>
          <w:lang w:val="es-MX"/>
        </w:rPr>
      </w:pPr>
      <w:r w:rsidRPr="00D85ADA">
        <w:rPr>
          <w:rFonts w:cs="Arial"/>
          <w:lang w:val="es-MX"/>
        </w:rPr>
        <w:t xml:space="preserve">Capacitaciones de la Dirección Financiera: SIFF Nación </w:t>
      </w:r>
      <w:r w:rsidR="00D85ADA" w:rsidRPr="00D85ADA">
        <w:rPr>
          <w:rFonts w:cs="Arial"/>
          <w:lang w:val="es-MX"/>
        </w:rPr>
        <w:t>y Encuentro</w:t>
      </w:r>
      <w:r w:rsidR="00AA685F">
        <w:rPr>
          <w:rFonts w:cs="Arial"/>
          <w:lang w:val="es-MX"/>
        </w:rPr>
        <w:t xml:space="preserve"> de F</w:t>
      </w:r>
      <w:r w:rsidR="00D85ADA">
        <w:rPr>
          <w:rFonts w:cs="Arial"/>
          <w:lang w:val="es-MX"/>
        </w:rPr>
        <w:t>inanciera por macro zonas.</w:t>
      </w:r>
    </w:p>
    <w:p w:rsidR="00D85ADA" w:rsidRPr="00D85ADA" w:rsidRDefault="00D85ADA" w:rsidP="00D85ADA">
      <w:pPr>
        <w:spacing w:after="0"/>
        <w:contextualSpacing/>
        <w:jc w:val="both"/>
        <w:rPr>
          <w:rFonts w:cs="Arial"/>
          <w:lang w:val="es-MX"/>
        </w:rPr>
      </w:pPr>
    </w:p>
    <w:p w:rsidR="00831800" w:rsidRDefault="00831800" w:rsidP="00A44A2B">
      <w:pPr>
        <w:numPr>
          <w:ilvl w:val="0"/>
          <w:numId w:val="154"/>
        </w:numPr>
        <w:spacing w:after="0"/>
        <w:contextualSpacing/>
        <w:jc w:val="both"/>
        <w:rPr>
          <w:rFonts w:cs="Arial"/>
          <w:lang w:val="es-MX"/>
        </w:rPr>
      </w:pPr>
      <w:r w:rsidRPr="00D85ADA">
        <w:rPr>
          <w:rFonts w:cs="Arial"/>
          <w:lang w:val="es-MX"/>
        </w:rPr>
        <w:t>Capacitaciones de la Dirección de Abastecimiento: PACCO, estrategias locales, solicitud de eventos y sector para la mínima cuantía.</w:t>
      </w:r>
    </w:p>
    <w:p w:rsidR="00D85ADA" w:rsidRPr="00D85ADA" w:rsidRDefault="00D85ADA" w:rsidP="00D85ADA">
      <w:pPr>
        <w:spacing w:after="0"/>
        <w:contextualSpacing/>
        <w:jc w:val="both"/>
        <w:rPr>
          <w:rFonts w:cs="Arial"/>
          <w:lang w:val="es-MX"/>
        </w:rPr>
      </w:pPr>
    </w:p>
    <w:p w:rsidR="00831800" w:rsidRDefault="00831800" w:rsidP="00A44A2B">
      <w:pPr>
        <w:numPr>
          <w:ilvl w:val="0"/>
          <w:numId w:val="154"/>
        </w:numPr>
        <w:spacing w:after="0"/>
        <w:contextualSpacing/>
        <w:jc w:val="both"/>
        <w:rPr>
          <w:rFonts w:cs="Arial"/>
          <w:lang w:val="es-MX"/>
        </w:rPr>
      </w:pPr>
      <w:r w:rsidRPr="00D85ADA">
        <w:rPr>
          <w:rFonts w:cs="Arial"/>
          <w:lang w:val="es-MX"/>
        </w:rPr>
        <w:t>Videoconferencias de Gestión Documental.</w:t>
      </w:r>
    </w:p>
    <w:p w:rsidR="00D85ADA" w:rsidRPr="00D85ADA" w:rsidRDefault="00D85ADA" w:rsidP="00D85ADA">
      <w:pPr>
        <w:spacing w:after="0"/>
        <w:contextualSpacing/>
        <w:jc w:val="both"/>
        <w:rPr>
          <w:rFonts w:cs="Arial"/>
          <w:lang w:val="es-MX"/>
        </w:rPr>
      </w:pPr>
    </w:p>
    <w:p w:rsidR="00831800" w:rsidRDefault="00831800" w:rsidP="00A44A2B">
      <w:pPr>
        <w:numPr>
          <w:ilvl w:val="0"/>
          <w:numId w:val="154"/>
        </w:numPr>
        <w:spacing w:after="0"/>
        <w:contextualSpacing/>
        <w:jc w:val="both"/>
        <w:rPr>
          <w:rFonts w:cs="Arial"/>
          <w:lang w:val="es-MX"/>
        </w:rPr>
      </w:pPr>
      <w:r w:rsidRPr="00D85ADA">
        <w:rPr>
          <w:rFonts w:cs="Arial"/>
          <w:lang w:val="es-MX"/>
        </w:rPr>
        <w:t>Capacitaciones de la Dirección de Información y Tecnología: seguridad de la información, Uso y apropiación DIT.</w:t>
      </w:r>
    </w:p>
    <w:p w:rsidR="00D85ADA" w:rsidRPr="00D85ADA" w:rsidRDefault="00D85ADA" w:rsidP="00D85ADA">
      <w:pPr>
        <w:spacing w:after="0"/>
        <w:contextualSpacing/>
        <w:jc w:val="both"/>
        <w:rPr>
          <w:rFonts w:cs="Arial"/>
          <w:lang w:val="es-MX"/>
        </w:rPr>
      </w:pPr>
    </w:p>
    <w:p w:rsidR="00D85ADA" w:rsidRPr="00D85ADA" w:rsidRDefault="00831800" w:rsidP="00A44A2B">
      <w:pPr>
        <w:numPr>
          <w:ilvl w:val="0"/>
          <w:numId w:val="154"/>
        </w:numPr>
        <w:spacing w:after="0"/>
        <w:contextualSpacing/>
        <w:jc w:val="both"/>
        <w:rPr>
          <w:rFonts w:cs="Arial"/>
          <w:lang w:val="es-MX"/>
        </w:rPr>
      </w:pPr>
      <w:r w:rsidRPr="00D85ADA">
        <w:rPr>
          <w:rFonts w:cs="Arial"/>
          <w:lang w:val="es-MX"/>
        </w:rPr>
        <w:t>Capacitaciones con la Universidad Nacional en los siguientes temas:</w:t>
      </w:r>
    </w:p>
    <w:p w:rsidR="00831800" w:rsidRPr="007608C2" w:rsidRDefault="00831800" w:rsidP="00A44A2B">
      <w:pPr>
        <w:pStyle w:val="Prrafodelista"/>
        <w:numPr>
          <w:ilvl w:val="1"/>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 xml:space="preserve">Atención en Crisis </w:t>
      </w:r>
    </w:p>
    <w:p w:rsidR="00831800" w:rsidRPr="007608C2" w:rsidRDefault="00831800" w:rsidP="00A44A2B">
      <w:pPr>
        <w:pStyle w:val="Prrafodelista"/>
        <w:numPr>
          <w:ilvl w:val="1"/>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Pedagogía para la paz.</w:t>
      </w:r>
    </w:p>
    <w:p w:rsidR="00831800" w:rsidRPr="007608C2" w:rsidRDefault="00831800" w:rsidP="00A44A2B">
      <w:pPr>
        <w:pStyle w:val="Prrafodelista"/>
        <w:numPr>
          <w:ilvl w:val="1"/>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Fortalecimiento de la Política Pública enfocada en la Seguridad alimentaria y Nutricional.</w:t>
      </w:r>
    </w:p>
    <w:p w:rsidR="00831800" w:rsidRPr="007608C2" w:rsidRDefault="00831800" w:rsidP="00A44A2B">
      <w:pPr>
        <w:pStyle w:val="Prrafodelista"/>
        <w:numPr>
          <w:ilvl w:val="1"/>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Normas contables aplicables a entidades del gobierno.</w:t>
      </w:r>
    </w:p>
    <w:p w:rsidR="00831800" w:rsidRPr="007608C2" w:rsidRDefault="00831800" w:rsidP="00A44A2B">
      <w:pPr>
        <w:pStyle w:val="Prrafodelista"/>
        <w:numPr>
          <w:ilvl w:val="1"/>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Reforma tributaria.</w:t>
      </w:r>
    </w:p>
    <w:p w:rsidR="00831800" w:rsidRPr="007608C2" w:rsidRDefault="00831800" w:rsidP="00A44A2B">
      <w:pPr>
        <w:pStyle w:val="Prrafodelista"/>
        <w:numPr>
          <w:ilvl w:val="1"/>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 xml:space="preserve">Atención Integral en salud y nutrición en los primeros 1,000 días. </w:t>
      </w:r>
    </w:p>
    <w:p w:rsidR="00831800" w:rsidRPr="007608C2" w:rsidRDefault="00831800" w:rsidP="00A44A2B">
      <w:pPr>
        <w:pStyle w:val="Prrafodelista"/>
        <w:numPr>
          <w:ilvl w:val="1"/>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 xml:space="preserve">Negociación colectiva. </w:t>
      </w:r>
    </w:p>
    <w:p w:rsidR="00831800" w:rsidRPr="007608C2" w:rsidRDefault="00831800" w:rsidP="00A44A2B">
      <w:pPr>
        <w:pStyle w:val="Prrafodelista"/>
        <w:numPr>
          <w:ilvl w:val="1"/>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 xml:space="preserve">Gerencia del servicio. </w:t>
      </w:r>
    </w:p>
    <w:p w:rsidR="00831800" w:rsidRPr="007608C2" w:rsidRDefault="00831800" w:rsidP="00831800">
      <w:pPr>
        <w:spacing w:before="100" w:beforeAutospacing="1" w:after="100" w:afterAutospacing="1" w:line="240" w:lineRule="auto"/>
        <w:jc w:val="both"/>
        <w:rPr>
          <w:rFonts w:cs="Arial"/>
          <w:u w:val="single"/>
          <w:lang w:eastAsia="es-CO"/>
        </w:rPr>
      </w:pPr>
      <w:r w:rsidRPr="007608C2">
        <w:rPr>
          <w:rFonts w:cs="Arial"/>
          <w:u w:val="single"/>
          <w:lang w:eastAsia="es-CO"/>
        </w:rPr>
        <w:t>Cursos virtuales</w:t>
      </w:r>
    </w:p>
    <w:p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Aula de Transparencia.</w:t>
      </w:r>
    </w:p>
    <w:p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Aula Virtual: Humanización en el Trabajo: Jefes, Líderes y Directivos.</w:t>
      </w:r>
    </w:p>
    <w:p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Buenas Prácticas de Manipulación de Alimentos.</w:t>
      </w:r>
    </w:p>
    <w:p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Cátedra José Antonio Carballo Cabrera.</w:t>
      </w:r>
    </w:p>
    <w:p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Competencias intersectoriales para el abordaje integral de las violencias sexuales.</w:t>
      </w:r>
    </w:p>
    <w:p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Convención sobre los Derechos del Niño y sus protocolos facultativos.</w:t>
      </w:r>
    </w:p>
    <w:p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Curso de autoformación virtual para fortalecimiento de la atención a niñas, niños y adolescentes víctimas de violencia sexual dentro y fuera del marco del conflicto armado (*) PNUD.</w:t>
      </w:r>
    </w:p>
    <w:p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lastRenderedPageBreak/>
        <w:t>Curso virtual sobre “Guías Alimentarias Basadas en Alimentos – GABA.</w:t>
      </w:r>
    </w:p>
    <w:p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Diplomado Líneas de Productividad.</w:t>
      </w:r>
    </w:p>
    <w:p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Diplomado Proyecto de Vida.</w:t>
      </w:r>
    </w:p>
    <w:p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Diplomado Virtual: Componente Sistema Nacional de Bienestar Familiar.</w:t>
      </w:r>
    </w:p>
    <w:p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Diplomado Virtual “Prevención de violencias Intrafamiliar, Sexual y Comunitaria”.</w:t>
      </w:r>
    </w:p>
    <w:p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Ejecución de tratados y convenios Internacionales.</w:t>
      </w:r>
    </w:p>
    <w:p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Elaboración de Fichas de condiciones técnicas esenciales para entrega del bien y/o prestación del servicio.</w:t>
      </w:r>
    </w:p>
    <w:p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Formación en el lineamiento de inclusión y atención a familia " Modelo Solidario".</w:t>
      </w:r>
    </w:p>
    <w:p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Fundamentos del sistema de responsabilidad penal para adolescentes.</w:t>
      </w:r>
    </w:p>
    <w:p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Fundamentos para la Formulación y Gestión de Cooperación.</w:t>
      </w:r>
    </w:p>
    <w:p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Guía de Investigación del Trabajador Social en el Proceso Administrativo de Restablecimiento de Derechos.</w:t>
      </w:r>
    </w:p>
    <w:p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Guía de Nutrición.</w:t>
      </w:r>
    </w:p>
    <w:p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Guía de Psicología.</w:t>
      </w:r>
    </w:p>
    <w:p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Habilidades blandas: Competencias integrales para el mundo laboral.</w:t>
      </w:r>
    </w:p>
    <w:p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Lactancia Materna.</w:t>
      </w:r>
    </w:p>
    <w:p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Ley 1098, Código de infancia y adolescencia.</w:t>
      </w:r>
    </w:p>
    <w:p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Niños, niñas y adolescentes víctimas del conflicto armado.</w:t>
      </w:r>
    </w:p>
    <w:p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Operaciones Logísticas.</w:t>
      </w:r>
    </w:p>
    <w:p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Practicas Restaurativas.</w:t>
      </w:r>
    </w:p>
    <w:p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Programa de formación en derechos de infancia, adolescencia, juventud y familia.</w:t>
      </w:r>
    </w:p>
    <w:p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RIEN (Tutor, Nutrición).</w:t>
      </w:r>
    </w:p>
    <w:p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Sistema Integrado de Gestión: Sistema de gestión de calidad, Sistema de Gestión Ambiental, Sistema de Gestión de Seguridad de la Información y Sistema de Seguridad y Salud en el Trabajo.</w:t>
      </w:r>
    </w:p>
    <w:p w:rsidR="00831800" w:rsidRPr="007608C2" w:rsidRDefault="00831800" w:rsidP="00A44A2B">
      <w:pPr>
        <w:pStyle w:val="Prrafodelista"/>
        <w:numPr>
          <w:ilvl w:val="0"/>
          <w:numId w:val="10"/>
        </w:num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 xml:space="preserve">Sistema Virtual de Formación permanente en el conflicto armado. </w:t>
      </w:r>
    </w:p>
    <w:p w:rsidR="00831800" w:rsidRDefault="00831800" w:rsidP="00831800">
      <w:pPr>
        <w:spacing w:before="100" w:beforeAutospacing="1" w:after="100" w:afterAutospacing="1" w:line="240" w:lineRule="auto"/>
        <w:contextualSpacing/>
        <w:jc w:val="both"/>
        <w:rPr>
          <w:rFonts w:eastAsia="Times New Roman" w:cs="Arial"/>
          <w:lang w:val="es-CO" w:eastAsia="es-CO"/>
        </w:rPr>
      </w:pPr>
      <w:r w:rsidRPr="007608C2">
        <w:rPr>
          <w:rFonts w:eastAsia="Times New Roman" w:cs="Arial"/>
          <w:lang w:val="es-CO" w:eastAsia="es-CO"/>
        </w:rPr>
        <w:t>Así mismo, en la vigencia 2017 se contó la virtualización de 10 contenidos temáticos que harán parte de la oferta académica de la Escuela del ICBF en la vigencia 2018, que corresponden a:</w:t>
      </w:r>
    </w:p>
    <w:p w:rsidR="00AA685F" w:rsidRDefault="00AA685F" w:rsidP="00831800">
      <w:pPr>
        <w:spacing w:before="100" w:beforeAutospacing="1" w:after="100" w:afterAutospacing="1" w:line="240" w:lineRule="auto"/>
        <w:contextualSpacing/>
        <w:jc w:val="both"/>
        <w:rPr>
          <w:rFonts w:eastAsia="Times New Roman" w:cs="Arial"/>
          <w:lang w:val="es-CO" w:eastAsia="es-CO"/>
        </w:rPr>
      </w:pPr>
    </w:p>
    <w:tbl>
      <w:tblPr>
        <w:tblStyle w:val="Tablaconcuadrcula"/>
        <w:tblW w:w="7933"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628"/>
        <w:gridCol w:w="5321"/>
        <w:gridCol w:w="1984"/>
      </w:tblGrid>
      <w:tr w:rsidR="00831800" w:rsidRPr="00AA685F" w:rsidTr="00AA685F">
        <w:trPr>
          <w:trHeight w:val="315"/>
          <w:tblHeader/>
          <w:jc w:val="center"/>
        </w:trPr>
        <w:tc>
          <w:tcPr>
            <w:tcW w:w="628" w:type="dxa"/>
            <w:shd w:val="clear" w:color="auto" w:fill="76922E"/>
            <w:vAlign w:val="center"/>
          </w:tcPr>
          <w:p w:rsidR="00831800" w:rsidRPr="00AA685F" w:rsidRDefault="00AA685F" w:rsidP="00AA685F">
            <w:pPr>
              <w:spacing w:after="0"/>
              <w:jc w:val="center"/>
              <w:rPr>
                <w:rFonts w:eastAsia="Times New Roman" w:cs="Arial"/>
                <w:b/>
                <w:color w:val="FFFFFF" w:themeColor="background1"/>
                <w:sz w:val="18"/>
                <w:szCs w:val="18"/>
                <w:lang w:val="es-CO"/>
              </w:rPr>
            </w:pPr>
            <w:r w:rsidRPr="00AA685F">
              <w:rPr>
                <w:rFonts w:eastAsia="Times New Roman" w:cs="Arial"/>
                <w:b/>
                <w:color w:val="FFFFFF" w:themeColor="background1"/>
                <w:sz w:val="18"/>
                <w:szCs w:val="18"/>
                <w:lang w:val="es-CO"/>
              </w:rPr>
              <w:t>Ítem</w:t>
            </w:r>
          </w:p>
        </w:tc>
        <w:tc>
          <w:tcPr>
            <w:tcW w:w="5321" w:type="dxa"/>
            <w:shd w:val="clear" w:color="auto" w:fill="76922E"/>
            <w:noWrap/>
            <w:vAlign w:val="center"/>
            <w:hideMark/>
          </w:tcPr>
          <w:p w:rsidR="00831800" w:rsidRPr="00AA685F" w:rsidRDefault="00AA685F" w:rsidP="00AA685F">
            <w:pPr>
              <w:spacing w:after="0"/>
              <w:jc w:val="center"/>
              <w:rPr>
                <w:rFonts w:eastAsia="Times New Roman" w:cs="Arial"/>
                <w:b/>
                <w:color w:val="FFFFFF" w:themeColor="background1"/>
                <w:sz w:val="18"/>
                <w:szCs w:val="18"/>
                <w:lang w:val="es-CO"/>
              </w:rPr>
            </w:pPr>
            <w:r w:rsidRPr="00AA685F">
              <w:rPr>
                <w:rFonts w:eastAsia="Times New Roman" w:cs="Arial"/>
                <w:b/>
                <w:color w:val="FFFFFF" w:themeColor="background1"/>
                <w:sz w:val="18"/>
                <w:szCs w:val="18"/>
                <w:lang w:val="es-CO"/>
              </w:rPr>
              <w:t>Nombre</w:t>
            </w:r>
          </w:p>
        </w:tc>
        <w:tc>
          <w:tcPr>
            <w:tcW w:w="1984" w:type="dxa"/>
            <w:shd w:val="clear" w:color="auto" w:fill="76922E"/>
            <w:noWrap/>
            <w:vAlign w:val="center"/>
            <w:hideMark/>
          </w:tcPr>
          <w:p w:rsidR="00831800" w:rsidRPr="00AA685F" w:rsidRDefault="00AA685F" w:rsidP="00F26175">
            <w:pPr>
              <w:spacing w:after="0"/>
              <w:jc w:val="center"/>
              <w:rPr>
                <w:rFonts w:eastAsia="Times New Roman" w:cs="Arial"/>
                <w:b/>
                <w:color w:val="FFFFFF" w:themeColor="background1"/>
                <w:sz w:val="18"/>
                <w:szCs w:val="18"/>
                <w:lang w:val="es-CO"/>
              </w:rPr>
            </w:pPr>
            <w:r>
              <w:rPr>
                <w:rFonts w:eastAsia="Times New Roman" w:cs="Arial"/>
                <w:b/>
                <w:color w:val="FFFFFF" w:themeColor="background1"/>
                <w:sz w:val="18"/>
                <w:szCs w:val="18"/>
                <w:lang w:val="es-CO"/>
              </w:rPr>
              <w:t>Número d</w:t>
            </w:r>
            <w:r w:rsidRPr="00AA685F">
              <w:rPr>
                <w:rFonts w:eastAsia="Times New Roman" w:cs="Arial"/>
                <w:b/>
                <w:color w:val="FFFFFF" w:themeColor="background1"/>
                <w:sz w:val="18"/>
                <w:szCs w:val="18"/>
                <w:lang w:val="es-CO"/>
              </w:rPr>
              <w:t>e Horas Virtuales</w:t>
            </w:r>
          </w:p>
        </w:tc>
      </w:tr>
      <w:tr w:rsidR="00831800" w:rsidRPr="00AA685F" w:rsidTr="00AA685F">
        <w:trPr>
          <w:trHeight w:val="50"/>
          <w:jc w:val="center"/>
        </w:trPr>
        <w:tc>
          <w:tcPr>
            <w:tcW w:w="628" w:type="dxa"/>
            <w:vAlign w:val="center"/>
          </w:tcPr>
          <w:p w:rsidR="00831800" w:rsidRPr="00AA685F" w:rsidRDefault="00831800" w:rsidP="00AA685F">
            <w:pPr>
              <w:spacing w:after="0"/>
              <w:jc w:val="center"/>
              <w:rPr>
                <w:rFonts w:eastAsia="Times New Roman" w:cs="Arial"/>
                <w:color w:val="000000"/>
                <w:sz w:val="18"/>
                <w:szCs w:val="18"/>
                <w:lang w:eastAsia="es-ES"/>
              </w:rPr>
            </w:pPr>
            <w:r w:rsidRPr="00AA685F">
              <w:rPr>
                <w:rFonts w:eastAsia="Times New Roman" w:cs="Arial"/>
                <w:color w:val="000000"/>
                <w:sz w:val="18"/>
                <w:szCs w:val="18"/>
                <w:lang w:eastAsia="es-ES"/>
              </w:rPr>
              <w:t>1</w:t>
            </w:r>
          </w:p>
        </w:tc>
        <w:tc>
          <w:tcPr>
            <w:tcW w:w="5321" w:type="dxa"/>
            <w:noWrap/>
            <w:vAlign w:val="center"/>
          </w:tcPr>
          <w:p w:rsidR="00831800" w:rsidRPr="00AA685F" w:rsidRDefault="00AA685F" w:rsidP="00AA685F">
            <w:pPr>
              <w:spacing w:after="0"/>
              <w:rPr>
                <w:rFonts w:eastAsia="Times New Roman" w:cs="Arial"/>
                <w:sz w:val="18"/>
                <w:szCs w:val="18"/>
                <w:lang w:val="es-CO"/>
              </w:rPr>
            </w:pPr>
            <w:r>
              <w:rPr>
                <w:rFonts w:eastAsia="Times New Roman" w:cs="Arial"/>
                <w:sz w:val="18"/>
                <w:szCs w:val="18"/>
                <w:lang w:val="es-CO"/>
              </w:rPr>
              <w:t>Curso V</w:t>
            </w:r>
            <w:r w:rsidR="00831800" w:rsidRPr="00AA685F">
              <w:rPr>
                <w:rFonts w:eastAsia="Times New Roman" w:cs="Arial"/>
                <w:sz w:val="18"/>
                <w:szCs w:val="18"/>
                <w:lang w:val="es-CO"/>
              </w:rPr>
              <w:t>irtual, Servicios y Atención</w:t>
            </w:r>
          </w:p>
        </w:tc>
        <w:tc>
          <w:tcPr>
            <w:tcW w:w="1984" w:type="dxa"/>
            <w:noWrap/>
            <w:vAlign w:val="center"/>
          </w:tcPr>
          <w:p w:rsidR="00831800" w:rsidRPr="00AA685F" w:rsidRDefault="00831800" w:rsidP="00F26175">
            <w:pPr>
              <w:spacing w:after="0"/>
              <w:jc w:val="center"/>
              <w:rPr>
                <w:rFonts w:eastAsia="Times New Roman" w:cs="Arial"/>
                <w:sz w:val="18"/>
                <w:szCs w:val="18"/>
                <w:lang w:val="es-CO"/>
              </w:rPr>
            </w:pPr>
            <w:r w:rsidRPr="00AA685F">
              <w:rPr>
                <w:rFonts w:eastAsia="Times New Roman" w:cs="Arial"/>
                <w:sz w:val="18"/>
                <w:szCs w:val="18"/>
                <w:lang w:val="es-CO"/>
              </w:rPr>
              <w:t>48</w:t>
            </w:r>
          </w:p>
        </w:tc>
      </w:tr>
      <w:tr w:rsidR="00831800" w:rsidRPr="00AA685F" w:rsidTr="00AA685F">
        <w:trPr>
          <w:trHeight w:val="50"/>
          <w:jc w:val="center"/>
        </w:trPr>
        <w:tc>
          <w:tcPr>
            <w:tcW w:w="628" w:type="dxa"/>
            <w:vAlign w:val="center"/>
          </w:tcPr>
          <w:p w:rsidR="00831800" w:rsidRPr="00AA685F" w:rsidRDefault="00831800" w:rsidP="00AA685F">
            <w:pPr>
              <w:spacing w:after="0"/>
              <w:jc w:val="center"/>
              <w:rPr>
                <w:rFonts w:eastAsia="Times New Roman" w:cs="Arial"/>
                <w:color w:val="000000"/>
                <w:sz w:val="18"/>
                <w:szCs w:val="18"/>
                <w:lang w:eastAsia="es-ES"/>
              </w:rPr>
            </w:pPr>
            <w:r w:rsidRPr="00AA685F">
              <w:rPr>
                <w:rFonts w:eastAsia="Times New Roman" w:cs="Arial"/>
                <w:color w:val="000000"/>
                <w:sz w:val="18"/>
                <w:szCs w:val="18"/>
                <w:lang w:eastAsia="es-ES"/>
              </w:rPr>
              <w:t>2</w:t>
            </w:r>
          </w:p>
        </w:tc>
        <w:tc>
          <w:tcPr>
            <w:tcW w:w="5321" w:type="dxa"/>
            <w:noWrap/>
            <w:vAlign w:val="center"/>
          </w:tcPr>
          <w:p w:rsidR="00831800" w:rsidRPr="00AA685F" w:rsidRDefault="00AA685F" w:rsidP="00AA685F">
            <w:pPr>
              <w:spacing w:after="0"/>
              <w:rPr>
                <w:rFonts w:eastAsia="Times New Roman" w:cs="Arial"/>
                <w:sz w:val="18"/>
                <w:szCs w:val="18"/>
                <w:lang w:val="es-CO"/>
              </w:rPr>
            </w:pPr>
            <w:r>
              <w:rPr>
                <w:rFonts w:eastAsia="Times New Roman" w:cs="Arial"/>
                <w:sz w:val="18"/>
                <w:szCs w:val="18"/>
                <w:lang w:val="es-CO"/>
              </w:rPr>
              <w:t>Curso V</w:t>
            </w:r>
            <w:r w:rsidR="00831800" w:rsidRPr="00AA685F">
              <w:rPr>
                <w:rFonts w:eastAsia="Times New Roman" w:cs="Arial"/>
                <w:sz w:val="18"/>
                <w:szCs w:val="18"/>
                <w:lang w:val="es-CO"/>
              </w:rPr>
              <w:t>irtual Habilidades Administrativas</w:t>
            </w:r>
          </w:p>
        </w:tc>
        <w:tc>
          <w:tcPr>
            <w:tcW w:w="1984" w:type="dxa"/>
            <w:noWrap/>
            <w:vAlign w:val="center"/>
          </w:tcPr>
          <w:p w:rsidR="00831800" w:rsidRPr="00AA685F" w:rsidRDefault="00831800" w:rsidP="00F26175">
            <w:pPr>
              <w:spacing w:after="0"/>
              <w:jc w:val="center"/>
              <w:rPr>
                <w:rFonts w:eastAsia="Times New Roman" w:cs="Arial"/>
                <w:sz w:val="18"/>
                <w:szCs w:val="18"/>
                <w:lang w:val="es-CO"/>
              </w:rPr>
            </w:pPr>
            <w:r w:rsidRPr="00AA685F">
              <w:rPr>
                <w:rFonts w:eastAsia="Times New Roman" w:cs="Arial"/>
                <w:sz w:val="18"/>
                <w:szCs w:val="18"/>
                <w:lang w:val="es-CO"/>
              </w:rPr>
              <w:t>48</w:t>
            </w:r>
          </w:p>
        </w:tc>
      </w:tr>
      <w:tr w:rsidR="00831800" w:rsidRPr="00AA685F" w:rsidTr="00AA685F">
        <w:trPr>
          <w:trHeight w:val="50"/>
          <w:jc w:val="center"/>
        </w:trPr>
        <w:tc>
          <w:tcPr>
            <w:tcW w:w="628" w:type="dxa"/>
            <w:vAlign w:val="center"/>
          </w:tcPr>
          <w:p w:rsidR="00831800" w:rsidRPr="00AA685F" w:rsidRDefault="00831800" w:rsidP="00AA685F">
            <w:pPr>
              <w:spacing w:after="0"/>
              <w:jc w:val="center"/>
              <w:rPr>
                <w:rFonts w:eastAsia="Times New Roman" w:cs="Arial"/>
                <w:color w:val="000000"/>
                <w:sz w:val="18"/>
                <w:szCs w:val="18"/>
                <w:lang w:eastAsia="es-ES"/>
              </w:rPr>
            </w:pPr>
            <w:r w:rsidRPr="00AA685F">
              <w:rPr>
                <w:rFonts w:eastAsia="Times New Roman" w:cs="Arial"/>
                <w:color w:val="000000"/>
                <w:sz w:val="18"/>
                <w:szCs w:val="18"/>
                <w:lang w:eastAsia="es-ES"/>
              </w:rPr>
              <w:t>3</w:t>
            </w:r>
          </w:p>
        </w:tc>
        <w:tc>
          <w:tcPr>
            <w:tcW w:w="5321" w:type="dxa"/>
            <w:noWrap/>
            <w:vAlign w:val="center"/>
          </w:tcPr>
          <w:p w:rsidR="00831800" w:rsidRPr="00AA685F" w:rsidRDefault="00831800" w:rsidP="00AA685F">
            <w:pPr>
              <w:spacing w:after="0"/>
              <w:rPr>
                <w:rFonts w:eastAsia="Times New Roman" w:cs="Arial"/>
                <w:sz w:val="18"/>
                <w:szCs w:val="18"/>
                <w:lang w:val="es-CO"/>
              </w:rPr>
            </w:pPr>
            <w:r w:rsidRPr="00AA685F">
              <w:rPr>
                <w:rFonts w:eastAsia="Times New Roman" w:cs="Arial"/>
                <w:sz w:val="18"/>
                <w:szCs w:val="18"/>
                <w:lang w:val="es-CO"/>
              </w:rPr>
              <w:t>Curso Virtual Bie</w:t>
            </w:r>
            <w:r w:rsidR="00AA685F">
              <w:rPr>
                <w:rFonts w:eastAsia="Times New Roman" w:cs="Arial"/>
                <w:sz w:val="18"/>
                <w:szCs w:val="18"/>
                <w:lang w:val="es-CO"/>
              </w:rPr>
              <w:t>nestarina- Generalidades en la Programación, P</w:t>
            </w:r>
            <w:r w:rsidRPr="00AA685F">
              <w:rPr>
                <w:rFonts w:eastAsia="Times New Roman" w:cs="Arial"/>
                <w:sz w:val="18"/>
                <w:szCs w:val="18"/>
                <w:lang w:val="es-CO"/>
              </w:rPr>
              <w:t>romoción</w:t>
            </w:r>
            <w:r w:rsidR="00AA685F">
              <w:rPr>
                <w:rFonts w:eastAsia="Times New Roman" w:cs="Arial"/>
                <w:sz w:val="18"/>
                <w:szCs w:val="18"/>
                <w:lang w:val="es-CO"/>
              </w:rPr>
              <w:t xml:space="preserve"> </w:t>
            </w:r>
            <w:r w:rsidRPr="00AA685F">
              <w:rPr>
                <w:rFonts w:eastAsia="Times New Roman" w:cs="Arial"/>
                <w:sz w:val="18"/>
                <w:szCs w:val="18"/>
                <w:lang w:val="es-CO"/>
              </w:rPr>
              <w:t>-</w:t>
            </w:r>
            <w:r w:rsidR="00AA685F">
              <w:rPr>
                <w:rFonts w:eastAsia="Times New Roman" w:cs="Arial"/>
                <w:sz w:val="18"/>
                <w:szCs w:val="18"/>
                <w:lang w:val="es-CO"/>
              </w:rPr>
              <w:t xml:space="preserve"> Guía de Uso y Buenas Prá</w:t>
            </w:r>
            <w:r w:rsidRPr="00AA685F">
              <w:rPr>
                <w:rFonts w:eastAsia="Times New Roman" w:cs="Arial"/>
                <w:sz w:val="18"/>
                <w:szCs w:val="18"/>
                <w:lang w:val="es-CO"/>
              </w:rPr>
              <w:t>cticas</w:t>
            </w:r>
          </w:p>
        </w:tc>
        <w:tc>
          <w:tcPr>
            <w:tcW w:w="1984" w:type="dxa"/>
            <w:noWrap/>
            <w:vAlign w:val="center"/>
          </w:tcPr>
          <w:p w:rsidR="00831800" w:rsidRPr="00AA685F" w:rsidRDefault="00831800" w:rsidP="00F26175">
            <w:pPr>
              <w:spacing w:after="0"/>
              <w:jc w:val="center"/>
              <w:rPr>
                <w:rFonts w:eastAsia="Times New Roman" w:cs="Arial"/>
                <w:sz w:val="18"/>
                <w:szCs w:val="18"/>
                <w:lang w:val="es-CO"/>
              </w:rPr>
            </w:pPr>
            <w:r w:rsidRPr="00AA685F">
              <w:rPr>
                <w:rFonts w:eastAsia="Times New Roman" w:cs="Arial"/>
                <w:sz w:val="18"/>
                <w:szCs w:val="18"/>
                <w:lang w:val="es-CO"/>
              </w:rPr>
              <w:t>48</w:t>
            </w:r>
          </w:p>
        </w:tc>
      </w:tr>
      <w:tr w:rsidR="00831800" w:rsidRPr="00AA685F" w:rsidTr="00AA685F">
        <w:trPr>
          <w:trHeight w:val="50"/>
          <w:jc w:val="center"/>
        </w:trPr>
        <w:tc>
          <w:tcPr>
            <w:tcW w:w="628" w:type="dxa"/>
            <w:vAlign w:val="center"/>
          </w:tcPr>
          <w:p w:rsidR="00831800" w:rsidRPr="00AA685F" w:rsidRDefault="00831800" w:rsidP="00AA685F">
            <w:pPr>
              <w:spacing w:after="0"/>
              <w:jc w:val="center"/>
              <w:rPr>
                <w:rFonts w:eastAsia="Times New Roman" w:cs="Arial"/>
                <w:color w:val="000000"/>
                <w:sz w:val="18"/>
                <w:szCs w:val="18"/>
                <w:lang w:eastAsia="es-ES"/>
              </w:rPr>
            </w:pPr>
            <w:r w:rsidRPr="00AA685F">
              <w:rPr>
                <w:rFonts w:eastAsia="Times New Roman" w:cs="Arial"/>
                <w:color w:val="000000"/>
                <w:sz w:val="18"/>
                <w:szCs w:val="18"/>
                <w:lang w:eastAsia="es-ES"/>
              </w:rPr>
              <w:t>4</w:t>
            </w:r>
          </w:p>
        </w:tc>
        <w:tc>
          <w:tcPr>
            <w:tcW w:w="5321" w:type="dxa"/>
            <w:noWrap/>
            <w:vAlign w:val="center"/>
          </w:tcPr>
          <w:p w:rsidR="00831800" w:rsidRPr="00AA685F" w:rsidRDefault="00AA685F" w:rsidP="00AA685F">
            <w:pPr>
              <w:spacing w:after="0"/>
              <w:rPr>
                <w:rFonts w:eastAsia="Times New Roman" w:cs="Arial"/>
                <w:sz w:val="18"/>
                <w:szCs w:val="18"/>
                <w:lang w:val="es-CO"/>
              </w:rPr>
            </w:pPr>
            <w:r>
              <w:rPr>
                <w:rFonts w:eastAsia="Times New Roman" w:cs="Arial"/>
                <w:sz w:val="18"/>
                <w:szCs w:val="18"/>
                <w:lang w:val="es-CO"/>
              </w:rPr>
              <w:t>Curso Virtual, Innovación y C</w:t>
            </w:r>
            <w:r w:rsidR="00831800" w:rsidRPr="00AA685F">
              <w:rPr>
                <w:rFonts w:eastAsia="Times New Roman" w:cs="Arial"/>
                <w:sz w:val="18"/>
                <w:szCs w:val="18"/>
                <w:lang w:val="es-CO"/>
              </w:rPr>
              <w:t>reatividad</w:t>
            </w:r>
          </w:p>
        </w:tc>
        <w:tc>
          <w:tcPr>
            <w:tcW w:w="1984" w:type="dxa"/>
            <w:noWrap/>
            <w:vAlign w:val="center"/>
          </w:tcPr>
          <w:p w:rsidR="00831800" w:rsidRPr="00AA685F" w:rsidRDefault="00831800" w:rsidP="00F26175">
            <w:pPr>
              <w:spacing w:after="0"/>
              <w:jc w:val="center"/>
              <w:rPr>
                <w:rFonts w:eastAsia="Times New Roman" w:cs="Arial"/>
                <w:sz w:val="18"/>
                <w:szCs w:val="18"/>
                <w:lang w:val="es-CO"/>
              </w:rPr>
            </w:pPr>
            <w:r w:rsidRPr="00AA685F">
              <w:rPr>
                <w:rFonts w:eastAsia="Times New Roman" w:cs="Arial"/>
                <w:sz w:val="18"/>
                <w:szCs w:val="18"/>
                <w:lang w:val="es-CO"/>
              </w:rPr>
              <w:t>20</w:t>
            </w:r>
          </w:p>
        </w:tc>
      </w:tr>
      <w:tr w:rsidR="00831800" w:rsidRPr="00AA685F" w:rsidTr="00AA685F">
        <w:trPr>
          <w:trHeight w:val="50"/>
          <w:jc w:val="center"/>
        </w:trPr>
        <w:tc>
          <w:tcPr>
            <w:tcW w:w="628" w:type="dxa"/>
            <w:vAlign w:val="center"/>
          </w:tcPr>
          <w:p w:rsidR="00831800" w:rsidRPr="00AA685F" w:rsidRDefault="00831800" w:rsidP="00AA685F">
            <w:pPr>
              <w:spacing w:after="0"/>
              <w:jc w:val="center"/>
              <w:rPr>
                <w:rFonts w:eastAsia="Times New Roman" w:cs="Arial"/>
                <w:color w:val="000000"/>
                <w:sz w:val="18"/>
                <w:szCs w:val="18"/>
                <w:lang w:eastAsia="es-ES"/>
              </w:rPr>
            </w:pPr>
            <w:r w:rsidRPr="00AA685F">
              <w:rPr>
                <w:rFonts w:eastAsia="Times New Roman" w:cs="Arial"/>
                <w:color w:val="000000"/>
                <w:sz w:val="18"/>
                <w:szCs w:val="18"/>
                <w:lang w:eastAsia="es-ES"/>
              </w:rPr>
              <w:t>5</w:t>
            </w:r>
          </w:p>
        </w:tc>
        <w:tc>
          <w:tcPr>
            <w:tcW w:w="5321" w:type="dxa"/>
            <w:noWrap/>
            <w:vAlign w:val="center"/>
          </w:tcPr>
          <w:p w:rsidR="00831800" w:rsidRPr="00AA685F" w:rsidRDefault="00831800" w:rsidP="00AA685F">
            <w:pPr>
              <w:spacing w:after="0"/>
              <w:rPr>
                <w:rFonts w:eastAsia="Times New Roman" w:cs="Arial"/>
                <w:sz w:val="18"/>
                <w:szCs w:val="18"/>
                <w:lang w:val="es-CO"/>
              </w:rPr>
            </w:pPr>
            <w:r w:rsidRPr="00AA685F">
              <w:rPr>
                <w:rFonts w:eastAsia="Times New Roman" w:cs="Arial"/>
                <w:sz w:val="18"/>
                <w:szCs w:val="18"/>
                <w:lang w:val="es-CO"/>
              </w:rPr>
              <w:t>Curso Redacción y Ortografía</w:t>
            </w:r>
          </w:p>
        </w:tc>
        <w:tc>
          <w:tcPr>
            <w:tcW w:w="1984" w:type="dxa"/>
            <w:noWrap/>
            <w:vAlign w:val="center"/>
          </w:tcPr>
          <w:p w:rsidR="00831800" w:rsidRPr="00AA685F" w:rsidRDefault="00831800" w:rsidP="00F26175">
            <w:pPr>
              <w:spacing w:after="0"/>
              <w:jc w:val="center"/>
              <w:rPr>
                <w:rFonts w:eastAsia="Times New Roman" w:cs="Arial"/>
                <w:sz w:val="18"/>
                <w:szCs w:val="18"/>
                <w:lang w:val="es-CO"/>
              </w:rPr>
            </w:pPr>
            <w:r w:rsidRPr="00AA685F">
              <w:rPr>
                <w:rFonts w:eastAsia="Times New Roman" w:cs="Arial"/>
                <w:sz w:val="18"/>
                <w:szCs w:val="18"/>
                <w:lang w:val="es-CO"/>
              </w:rPr>
              <w:t>20</w:t>
            </w:r>
          </w:p>
        </w:tc>
      </w:tr>
      <w:tr w:rsidR="00831800" w:rsidRPr="00AA685F" w:rsidTr="00AA685F">
        <w:trPr>
          <w:trHeight w:val="50"/>
          <w:jc w:val="center"/>
        </w:trPr>
        <w:tc>
          <w:tcPr>
            <w:tcW w:w="628" w:type="dxa"/>
            <w:vAlign w:val="center"/>
          </w:tcPr>
          <w:p w:rsidR="00831800" w:rsidRPr="00AA685F" w:rsidRDefault="00831800" w:rsidP="00AA685F">
            <w:pPr>
              <w:spacing w:after="0"/>
              <w:jc w:val="center"/>
              <w:rPr>
                <w:rFonts w:eastAsia="Times New Roman" w:cs="Arial"/>
                <w:color w:val="000000"/>
                <w:sz w:val="18"/>
                <w:szCs w:val="18"/>
                <w:lang w:eastAsia="es-ES"/>
              </w:rPr>
            </w:pPr>
            <w:r w:rsidRPr="00AA685F">
              <w:rPr>
                <w:rFonts w:eastAsia="Times New Roman" w:cs="Arial"/>
                <w:color w:val="000000"/>
                <w:sz w:val="18"/>
                <w:szCs w:val="18"/>
                <w:lang w:eastAsia="es-ES"/>
              </w:rPr>
              <w:t>6</w:t>
            </w:r>
          </w:p>
        </w:tc>
        <w:tc>
          <w:tcPr>
            <w:tcW w:w="5321" w:type="dxa"/>
            <w:noWrap/>
            <w:vAlign w:val="center"/>
          </w:tcPr>
          <w:p w:rsidR="00831800" w:rsidRPr="00AA685F" w:rsidRDefault="00831800" w:rsidP="00AA685F">
            <w:pPr>
              <w:spacing w:after="0"/>
              <w:rPr>
                <w:rFonts w:eastAsia="Times New Roman" w:cs="Arial"/>
                <w:sz w:val="18"/>
                <w:szCs w:val="18"/>
                <w:lang w:val="es-CO"/>
              </w:rPr>
            </w:pPr>
            <w:r w:rsidRPr="00AA685F">
              <w:rPr>
                <w:rFonts w:eastAsia="Times New Roman" w:cs="Arial"/>
                <w:sz w:val="18"/>
                <w:szCs w:val="18"/>
                <w:lang w:val="es-CO"/>
              </w:rPr>
              <w:t>Derechos Humanos</w:t>
            </w:r>
          </w:p>
        </w:tc>
        <w:tc>
          <w:tcPr>
            <w:tcW w:w="1984" w:type="dxa"/>
            <w:noWrap/>
            <w:vAlign w:val="center"/>
          </w:tcPr>
          <w:p w:rsidR="00831800" w:rsidRPr="00AA685F" w:rsidRDefault="00831800" w:rsidP="00F26175">
            <w:pPr>
              <w:spacing w:after="0"/>
              <w:jc w:val="center"/>
              <w:rPr>
                <w:rFonts w:eastAsia="Times New Roman" w:cs="Arial"/>
                <w:sz w:val="18"/>
                <w:szCs w:val="18"/>
                <w:lang w:val="es-CO"/>
              </w:rPr>
            </w:pPr>
            <w:r w:rsidRPr="00AA685F">
              <w:rPr>
                <w:rFonts w:eastAsia="Times New Roman" w:cs="Arial"/>
                <w:sz w:val="18"/>
                <w:szCs w:val="18"/>
                <w:lang w:val="es-CO"/>
              </w:rPr>
              <w:t>48</w:t>
            </w:r>
          </w:p>
        </w:tc>
      </w:tr>
      <w:tr w:rsidR="00831800" w:rsidRPr="00AA685F" w:rsidTr="00AA685F">
        <w:trPr>
          <w:trHeight w:val="558"/>
          <w:jc w:val="center"/>
        </w:trPr>
        <w:tc>
          <w:tcPr>
            <w:tcW w:w="628" w:type="dxa"/>
            <w:vAlign w:val="center"/>
          </w:tcPr>
          <w:p w:rsidR="00831800" w:rsidRPr="00AA685F" w:rsidRDefault="00831800" w:rsidP="00AA685F">
            <w:pPr>
              <w:spacing w:after="0"/>
              <w:jc w:val="center"/>
              <w:rPr>
                <w:rFonts w:eastAsia="Times New Roman" w:cs="Arial"/>
                <w:color w:val="000000"/>
                <w:sz w:val="18"/>
                <w:szCs w:val="18"/>
                <w:lang w:eastAsia="es-ES"/>
              </w:rPr>
            </w:pPr>
            <w:r w:rsidRPr="00AA685F">
              <w:rPr>
                <w:rFonts w:eastAsia="Times New Roman" w:cs="Arial"/>
                <w:color w:val="000000"/>
                <w:sz w:val="18"/>
                <w:szCs w:val="18"/>
                <w:lang w:eastAsia="es-ES"/>
              </w:rPr>
              <w:t>7</w:t>
            </w:r>
          </w:p>
        </w:tc>
        <w:tc>
          <w:tcPr>
            <w:tcW w:w="5321" w:type="dxa"/>
            <w:noWrap/>
            <w:vAlign w:val="center"/>
          </w:tcPr>
          <w:p w:rsidR="00831800" w:rsidRPr="00AA685F" w:rsidRDefault="00831800" w:rsidP="00AA685F">
            <w:pPr>
              <w:spacing w:after="0"/>
              <w:rPr>
                <w:rFonts w:eastAsia="Times New Roman" w:cs="Arial"/>
                <w:sz w:val="18"/>
                <w:szCs w:val="18"/>
                <w:lang w:val="es-CO"/>
              </w:rPr>
            </w:pPr>
            <w:r w:rsidRPr="00AA685F">
              <w:rPr>
                <w:rFonts w:eastAsia="Times New Roman" w:cs="Arial"/>
                <w:sz w:val="18"/>
                <w:szCs w:val="18"/>
                <w:lang w:val="es-CO"/>
              </w:rPr>
              <w:t xml:space="preserve">Lineamiento técnico del modelo para la atención de los niños, las niñas y </w:t>
            </w:r>
            <w:r w:rsidR="00AA685F" w:rsidRPr="00AA685F">
              <w:rPr>
                <w:rFonts w:eastAsia="Times New Roman" w:cs="Arial"/>
                <w:sz w:val="18"/>
                <w:szCs w:val="18"/>
                <w:lang w:val="es-CO"/>
              </w:rPr>
              <w:t>adolescentes,</w:t>
            </w:r>
            <w:r w:rsidRPr="00AA685F">
              <w:rPr>
                <w:rFonts w:eastAsia="Times New Roman" w:cs="Arial"/>
                <w:sz w:val="18"/>
                <w:szCs w:val="18"/>
                <w:lang w:val="es-CO"/>
              </w:rPr>
              <w:t xml:space="preserve"> con sus derechos inobservados, amenazados o vulnerados</w:t>
            </w:r>
          </w:p>
        </w:tc>
        <w:tc>
          <w:tcPr>
            <w:tcW w:w="1984" w:type="dxa"/>
            <w:noWrap/>
            <w:vAlign w:val="center"/>
          </w:tcPr>
          <w:p w:rsidR="00831800" w:rsidRPr="00AA685F" w:rsidRDefault="00831800" w:rsidP="00F26175">
            <w:pPr>
              <w:spacing w:after="0"/>
              <w:jc w:val="center"/>
              <w:rPr>
                <w:rFonts w:eastAsia="Times New Roman" w:cs="Arial"/>
                <w:sz w:val="18"/>
                <w:szCs w:val="18"/>
                <w:lang w:val="es-CO"/>
              </w:rPr>
            </w:pPr>
            <w:r w:rsidRPr="00AA685F">
              <w:rPr>
                <w:rFonts w:eastAsia="Times New Roman" w:cs="Arial"/>
                <w:sz w:val="18"/>
                <w:szCs w:val="18"/>
                <w:lang w:val="es-CO"/>
              </w:rPr>
              <w:t>48</w:t>
            </w:r>
          </w:p>
        </w:tc>
      </w:tr>
      <w:tr w:rsidR="00831800" w:rsidRPr="00AA685F" w:rsidTr="00AA685F">
        <w:trPr>
          <w:trHeight w:val="558"/>
          <w:jc w:val="center"/>
        </w:trPr>
        <w:tc>
          <w:tcPr>
            <w:tcW w:w="628" w:type="dxa"/>
            <w:vAlign w:val="center"/>
          </w:tcPr>
          <w:p w:rsidR="00831800" w:rsidRPr="00AA685F" w:rsidRDefault="00831800" w:rsidP="00AA685F">
            <w:pPr>
              <w:spacing w:after="0"/>
              <w:jc w:val="center"/>
              <w:rPr>
                <w:rFonts w:cs="Arial"/>
                <w:sz w:val="18"/>
                <w:szCs w:val="18"/>
              </w:rPr>
            </w:pPr>
            <w:r w:rsidRPr="00AA685F">
              <w:rPr>
                <w:rFonts w:cs="Arial"/>
                <w:sz w:val="18"/>
                <w:szCs w:val="18"/>
              </w:rPr>
              <w:lastRenderedPageBreak/>
              <w:t>8</w:t>
            </w:r>
          </w:p>
        </w:tc>
        <w:tc>
          <w:tcPr>
            <w:tcW w:w="5321" w:type="dxa"/>
            <w:noWrap/>
            <w:vAlign w:val="center"/>
          </w:tcPr>
          <w:p w:rsidR="00831800" w:rsidRPr="00AA685F" w:rsidRDefault="00831800" w:rsidP="00AA685F">
            <w:pPr>
              <w:spacing w:after="0"/>
              <w:rPr>
                <w:rFonts w:eastAsia="Times New Roman" w:cs="Arial"/>
                <w:sz w:val="18"/>
                <w:szCs w:val="18"/>
                <w:lang w:val="es-CO"/>
              </w:rPr>
            </w:pPr>
            <w:r w:rsidRPr="00AA685F">
              <w:rPr>
                <w:rFonts w:eastAsia="Times New Roman" w:cs="Arial"/>
                <w:sz w:val="18"/>
                <w:szCs w:val="18"/>
                <w:lang w:val="es-CO"/>
              </w:rPr>
              <w:t xml:space="preserve">Lineamiento técnico de modalidades para la atención para la atención de los niños, las niñas y </w:t>
            </w:r>
            <w:r w:rsidR="00AA685F" w:rsidRPr="00AA685F">
              <w:rPr>
                <w:rFonts w:eastAsia="Times New Roman" w:cs="Arial"/>
                <w:sz w:val="18"/>
                <w:szCs w:val="18"/>
                <w:lang w:val="es-CO"/>
              </w:rPr>
              <w:t>adolescentes,</w:t>
            </w:r>
            <w:r w:rsidRPr="00AA685F">
              <w:rPr>
                <w:rFonts w:eastAsia="Times New Roman" w:cs="Arial"/>
                <w:sz w:val="18"/>
                <w:szCs w:val="18"/>
                <w:lang w:val="es-CO"/>
              </w:rPr>
              <w:t xml:space="preserve"> con sus derechos inobservados, amenazados o vulnerados</w:t>
            </w:r>
          </w:p>
        </w:tc>
        <w:tc>
          <w:tcPr>
            <w:tcW w:w="1984" w:type="dxa"/>
            <w:noWrap/>
            <w:vAlign w:val="center"/>
          </w:tcPr>
          <w:p w:rsidR="00831800" w:rsidRPr="00AA685F" w:rsidRDefault="00831800" w:rsidP="00F26175">
            <w:pPr>
              <w:spacing w:after="0"/>
              <w:jc w:val="center"/>
              <w:rPr>
                <w:rFonts w:eastAsia="Times New Roman" w:cs="Arial"/>
                <w:sz w:val="18"/>
                <w:szCs w:val="18"/>
                <w:lang w:val="es-CO"/>
              </w:rPr>
            </w:pPr>
            <w:r w:rsidRPr="00AA685F">
              <w:rPr>
                <w:rFonts w:eastAsia="Times New Roman" w:cs="Arial"/>
                <w:sz w:val="18"/>
                <w:szCs w:val="18"/>
                <w:lang w:val="es-CO"/>
              </w:rPr>
              <w:t>48</w:t>
            </w:r>
          </w:p>
        </w:tc>
      </w:tr>
      <w:tr w:rsidR="00831800" w:rsidRPr="00AA685F" w:rsidTr="00AA685F">
        <w:trPr>
          <w:trHeight w:val="183"/>
          <w:jc w:val="center"/>
        </w:trPr>
        <w:tc>
          <w:tcPr>
            <w:tcW w:w="628" w:type="dxa"/>
            <w:vAlign w:val="center"/>
          </w:tcPr>
          <w:p w:rsidR="00831800" w:rsidRPr="00AA685F" w:rsidRDefault="00831800" w:rsidP="00AA685F">
            <w:pPr>
              <w:jc w:val="center"/>
              <w:rPr>
                <w:rFonts w:cs="Arial"/>
                <w:sz w:val="18"/>
                <w:szCs w:val="18"/>
              </w:rPr>
            </w:pPr>
            <w:r w:rsidRPr="00AA685F">
              <w:rPr>
                <w:rFonts w:cs="Arial"/>
                <w:sz w:val="18"/>
                <w:szCs w:val="18"/>
              </w:rPr>
              <w:t>9</w:t>
            </w:r>
          </w:p>
        </w:tc>
        <w:tc>
          <w:tcPr>
            <w:tcW w:w="5321" w:type="dxa"/>
            <w:noWrap/>
            <w:vAlign w:val="center"/>
          </w:tcPr>
          <w:p w:rsidR="00831800" w:rsidRPr="00AA685F" w:rsidRDefault="00831800" w:rsidP="00AA685F">
            <w:pPr>
              <w:spacing w:after="0"/>
              <w:rPr>
                <w:rFonts w:eastAsia="Times New Roman" w:cs="Arial"/>
                <w:sz w:val="18"/>
                <w:szCs w:val="18"/>
                <w:lang w:val="es-CO"/>
              </w:rPr>
            </w:pPr>
            <w:r w:rsidRPr="00AA685F">
              <w:rPr>
                <w:rFonts w:eastAsia="Times New Roman" w:cs="Arial"/>
                <w:sz w:val="18"/>
                <w:szCs w:val="18"/>
                <w:lang w:val="es-CO"/>
              </w:rPr>
              <w:t>Haz de tu casa un hogar sustituto</w:t>
            </w:r>
          </w:p>
        </w:tc>
        <w:tc>
          <w:tcPr>
            <w:tcW w:w="1984" w:type="dxa"/>
            <w:noWrap/>
            <w:vAlign w:val="center"/>
          </w:tcPr>
          <w:p w:rsidR="00831800" w:rsidRPr="00AA685F" w:rsidRDefault="00831800" w:rsidP="00F26175">
            <w:pPr>
              <w:spacing w:after="0"/>
              <w:jc w:val="center"/>
              <w:rPr>
                <w:rFonts w:eastAsia="Times New Roman" w:cs="Arial"/>
                <w:color w:val="000000"/>
                <w:sz w:val="18"/>
                <w:szCs w:val="18"/>
                <w:lang w:eastAsia="es-ES"/>
              </w:rPr>
            </w:pPr>
            <w:r w:rsidRPr="00AA685F">
              <w:rPr>
                <w:rFonts w:eastAsia="Times New Roman" w:cs="Arial"/>
                <w:color w:val="000000"/>
                <w:sz w:val="18"/>
                <w:szCs w:val="18"/>
                <w:lang w:eastAsia="es-ES"/>
              </w:rPr>
              <w:t>20</w:t>
            </w:r>
          </w:p>
        </w:tc>
      </w:tr>
      <w:tr w:rsidR="00831800" w:rsidRPr="00AA685F" w:rsidTr="00AA685F">
        <w:trPr>
          <w:trHeight w:val="50"/>
          <w:jc w:val="center"/>
        </w:trPr>
        <w:tc>
          <w:tcPr>
            <w:tcW w:w="628" w:type="dxa"/>
            <w:vAlign w:val="center"/>
          </w:tcPr>
          <w:p w:rsidR="00831800" w:rsidRPr="00AA685F" w:rsidRDefault="00831800" w:rsidP="00AA685F">
            <w:pPr>
              <w:spacing w:after="0"/>
              <w:jc w:val="center"/>
              <w:rPr>
                <w:rFonts w:cs="Arial"/>
                <w:color w:val="000000"/>
                <w:sz w:val="18"/>
                <w:szCs w:val="18"/>
              </w:rPr>
            </w:pPr>
            <w:r w:rsidRPr="00AA685F">
              <w:rPr>
                <w:rFonts w:cs="Arial"/>
                <w:color w:val="000000"/>
                <w:sz w:val="18"/>
                <w:szCs w:val="18"/>
              </w:rPr>
              <w:t>10</w:t>
            </w:r>
          </w:p>
        </w:tc>
        <w:tc>
          <w:tcPr>
            <w:tcW w:w="5321" w:type="dxa"/>
            <w:noWrap/>
            <w:vAlign w:val="center"/>
          </w:tcPr>
          <w:p w:rsidR="00831800" w:rsidRPr="00AA685F" w:rsidRDefault="00831800" w:rsidP="00AA685F">
            <w:pPr>
              <w:spacing w:after="0"/>
              <w:rPr>
                <w:rFonts w:eastAsia="Times New Roman" w:cs="Arial"/>
                <w:sz w:val="18"/>
                <w:szCs w:val="18"/>
                <w:lang w:val="es-CO"/>
              </w:rPr>
            </w:pPr>
            <w:r w:rsidRPr="00AA685F">
              <w:rPr>
                <w:rFonts w:eastAsia="Times New Roman" w:cs="Arial"/>
                <w:sz w:val="18"/>
                <w:szCs w:val="18"/>
                <w:lang w:val="es-CO"/>
              </w:rPr>
              <w:t>Estrategias para la inclusión social y productiva de personas con discapacidad</w:t>
            </w:r>
          </w:p>
        </w:tc>
        <w:tc>
          <w:tcPr>
            <w:tcW w:w="1984" w:type="dxa"/>
            <w:noWrap/>
            <w:vAlign w:val="center"/>
          </w:tcPr>
          <w:p w:rsidR="00831800" w:rsidRPr="00AA685F" w:rsidRDefault="00831800" w:rsidP="00F26175">
            <w:pPr>
              <w:spacing w:after="0"/>
              <w:jc w:val="center"/>
              <w:rPr>
                <w:rFonts w:eastAsia="Times New Roman" w:cs="Arial"/>
                <w:color w:val="000000"/>
                <w:sz w:val="18"/>
                <w:szCs w:val="18"/>
                <w:lang w:eastAsia="es-ES"/>
              </w:rPr>
            </w:pPr>
            <w:r w:rsidRPr="00AA685F">
              <w:rPr>
                <w:rFonts w:eastAsia="Times New Roman" w:cs="Arial"/>
                <w:color w:val="000000"/>
                <w:sz w:val="18"/>
                <w:szCs w:val="18"/>
                <w:lang w:eastAsia="es-ES"/>
              </w:rPr>
              <w:t>48</w:t>
            </w:r>
          </w:p>
        </w:tc>
      </w:tr>
    </w:tbl>
    <w:p w:rsidR="006B485A" w:rsidRPr="00D85ADA" w:rsidRDefault="006B485A" w:rsidP="006B485A">
      <w:pPr>
        <w:spacing w:after="100" w:afterAutospacing="1" w:line="240" w:lineRule="auto"/>
        <w:jc w:val="center"/>
        <w:rPr>
          <w:rFonts w:cs="Arial"/>
          <w:spacing w:val="-4"/>
          <w:sz w:val="16"/>
          <w:szCs w:val="16"/>
          <w:lang w:eastAsia="es-CO"/>
        </w:rPr>
      </w:pPr>
      <w:r w:rsidRPr="00D85ADA">
        <w:rPr>
          <w:rFonts w:cs="Arial"/>
          <w:spacing w:val="-4"/>
          <w:sz w:val="16"/>
          <w:szCs w:val="16"/>
          <w:lang w:eastAsia="es-CO"/>
        </w:rPr>
        <w:t>Fuente: Grupo de Desarrollo del Talento Humano</w:t>
      </w:r>
    </w:p>
    <w:p w:rsidR="00831800" w:rsidRPr="007608C2" w:rsidRDefault="00AA685F" w:rsidP="00831800">
      <w:pPr>
        <w:spacing w:before="100" w:beforeAutospacing="1" w:after="100" w:afterAutospacing="1" w:line="240" w:lineRule="auto"/>
        <w:jc w:val="both"/>
        <w:rPr>
          <w:rFonts w:cs="Arial"/>
        </w:rPr>
      </w:pPr>
      <w:r>
        <w:rPr>
          <w:rFonts w:cs="Arial"/>
        </w:rPr>
        <w:t>A 31 de d</w:t>
      </w:r>
      <w:r w:rsidR="00831800" w:rsidRPr="007608C2">
        <w:rPr>
          <w:rFonts w:cs="Arial"/>
        </w:rPr>
        <w:t>iciembre de 2017, 4.449 servidores públicos, tanto de la Sede Nacional como de las Direcciones Regionales han sido capacitados bajo este Plan, con lo que se tiene un avance de cumplimiento del indicador de “Servidores capacitados” del 95.17% sobre una meta del 90% sobre los cargos provistos de la planta global del ICBF con corte al 31 de diciembre de 2016.</w:t>
      </w:r>
    </w:p>
    <w:p w:rsidR="00831800" w:rsidRPr="007608C2" w:rsidRDefault="00831800" w:rsidP="00831800">
      <w:pPr>
        <w:spacing w:before="100" w:beforeAutospacing="1" w:after="100" w:afterAutospacing="1" w:line="240" w:lineRule="auto"/>
        <w:jc w:val="both"/>
        <w:rPr>
          <w:rFonts w:cs="Arial"/>
        </w:rPr>
      </w:pPr>
      <w:r w:rsidRPr="007608C2">
        <w:rPr>
          <w:rFonts w:cs="Arial"/>
        </w:rPr>
        <w:t>A través del convenio Carlos Lleras Restrepo, se realizó renovación de créditos educativos durante el 1er semestre de 2017 y para el segundo semestre se suscribió el contrato interadministrativo con el ICETEX a fin de constituir un Fondo Educativo Funcionarios ICBF mediante el cual se otorgó financiación de créditos educativos y se financiaron actividades de educación y formación para el trabajo, de acuerdo con el siguiente cuadro:</w:t>
      </w:r>
    </w:p>
    <w:tbl>
      <w:tblPr>
        <w:tblW w:w="0" w:type="auto"/>
        <w:jc w:val="cente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left w:w="70" w:type="dxa"/>
          <w:right w:w="70" w:type="dxa"/>
        </w:tblCellMar>
        <w:tblLook w:val="04A0" w:firstRow="1" w:lastRow="0" w:firstColumn="1" w:lastColumn="0" w:noHBand="0" w:noVBand="1"/>
      </w:tblPr>
      <w:tblGrid>
        <w:gridCol w:w="2542"/>
        <w:gridCol w:w="2810"/>
        <w:gridCol w:w="1306"/>
        <w:gridCol w:w="2737"/>
      </w:tblGrid>
      <w:tr w:rsidR="00831800" w:rsidRPr="00AA685F" w:rsidTr="00AA685F">
        <w:trPr>
          <w:trHeight w:val="85"/>
          <w:jc w:val="center"/>
        </w:trPr>
        <w:tc>
          <w:tcPr>
            <w:tcW w:w="0" w:type="auto"/>
            <w:gridSpan w:val="4"/>
            <w:shd w:val="clear" w:color="auto" w:fill="76922E"/>
            <w:vAlign w:val="center"/>
          </w:tcPr>
          <w:p w:rsidR="00831800" w:rsidRPr="00AA685F" w:rsidRDefault="00831800" w:rsidP="00AA685F">
            <w:pPr>
              <w:spacing w:before="100" w:beforeAutospacing="1" w:after="100" w:afterAutospacing="1" w:line="240" w:lineRule="auto"/>
              <w:jc w:val="center"/>
              <w:rPr>
                <w:rFonts w:eastAsia="Times New Roman" w:cs="Arial"/>
                <w:b/>
                <w:bCs/>
                <w:color w:val="FFFFFF" w:themeColor="background1"/>
                <w:sz w:val="18"/>
                <w:szCs w:val="18"/>
                <w:lang w:eastAsia="es-CO"/>
              </w:rPr>
            </w:pPr>
            <w:r w:rsidRPr="00AA685F">
              <w:rPr>
                <w:rFonts w:eastAsia="Times New Roman" w:cs="Arial"/>
                <w:b/>
                <w:bCs/>
                <w:color w:val="FFFFFF" w:themeColor="background1"/>
                <w:sz w:val="18"/>
                <w:szCs w:val="18"/>
                <w:lang w:eastAsia="es-CO"/>
              </w:rPr>
              <w:t>Ejecución Convenio ICETEX</w:t>
            </w:r>
          </w:p>
        </w:tc>
      </w:tr>
      <w:tr w:rsidR="00831800" w:rsidRPr="00AA685F" w:rsidTr="00AA685F">
        <w:trPr>
          <w:trHeight w:val="50"/>
          <w:jc w:val="center"/>
        </w:trPr>
        <w:tc>
          <w:tcPr>
            <w:tcW w:w="0" w:type="auto"/>
            <w:shd w:val="clear" w:color="auto" w:fill="76922E"/>
            <w:vAlign w:val="center"/>
            <w:hideMark/>
          </w:tcPr>
          <w:p w:rsidR="00831800" w:rsidRPr="00AA685F" w:rsidRDefault="00AA685F" w:rsidP="00AA685F">
            <w:pPr>
              <w:spacing w:before="100" w:beforeAutospacing="1" w:after="100" w:afterAutospacing="1" w:line="240" w:lineRule="auto"/>
              <w:jc w:val="center"/>
              <w:rPr>
                <w:rFonts w:eastAsia="Times New Roman" w:cs="Arial"/>
                <w:b/>
                <w:bCs/>
                <w:color w:val="FFFFFF" w:themeColor="background1"/>
                <w:sz w:val="18"/>
                <w:szCs w:val="18"/>
                <w:lang w:eastAsia="es-CO"/>
              </w:rPr>
            </w:pPr>
            <w:r w:rsidRPr="00AA685F">
              <w:rPr>
                <w:rFonts w:eastAsia="Times New Roman" w:cs="Arial"/>
                <w:b/>
                <w:bCs/>
                <w:color w:val="FFFFFF" w:themeColor="background1"/>
                <w:sz w:val="18"/>
                <w:szCs w:val="18"/>
                <w:lang w:eastAsia="es-CO"/>
              </w:rPr>
              <w:t>Periodo</w:t>
            </w:r>
          </w:p>
        </w:tc>
        <w:tc>
          <w:tcPr>
            <w:tcW w:w="0" w:type="auto"/>
            <w:shd w:val="clear" w:color="auto" w:fill="76922E"/>
            <w:vAlign w:val="center"/>
            <w:hideMark/>
          </w:tcPr>
          <w:p w:rsidR="00831800" w:rsidRPr="00AA685F" w:rsidRDefault="00AA685F" w:rsidP="00AA685F">
            <w:pPr>
              <w:spacing w:before="100" w:beforeAutospacing="1" w:after="100" w:afterAutospacing="1" w:line="240" w:lineRule="auto"/>
              <w:jc w:val="center"/>
              <w:rPr>
                <w:rFonts w:eastAsia="Times New Roman" w:cs="Arial"/>
                <w:b/>
                <w:bCs/>
                <w:color w:val="FFFFFF" w:themeColor="background1"/>
                <w:sz w:val="18"/>
                <w:szCs w:val="18"/>
                <w:lang w:eastAsia="es-CO"/>
              </w:rPr>
            </w:pPr>
            <w:r w:rsidRPr="00AA685F">
              <w:rPr>
                <w:rFonts w:eastAsia="Times New Roman" w:cs="Arial"/>
                <w:b/>
                <w:bCs/>
                <w:color w:val="FFFFFF" w:themeColor="background1"/>
                <w:sz w:val="18"/>
                <w:szCs w:val="18"/>
                <w:lang w:eastAsia="es-CO"/>
              </w:rPr>
              <w:t>Clase</w:t>
            </w:r>
          </w:p>
        </w:tc>
        <w:tc>
          <w:tcPr>
            <w:tcW w:w="1306" w:type="dxa"/>
            <w:shd w:val="clear" w:color="auto" w:fill="76922E"/>
            <w:vAlign w:val="center"/>
            <w:hideMark/>
          </w:tcPr>
          <w:p w:rsidR="00831800" w:rsidRPr="00AA685F" w:rsidRDefault="00AA685F" w:rsidP="00AA685F">
            <w:pPr>
              <w:spacing w:before="100" w:beforeAutospacing="1" w:after="100" w:afterAutospacing="1" w:line="240" w:lineRule="auto"/>
              <w:jc w:val="center"/>
              <w:rPr>
                <w:rFonts w:eastAsia="Times New Roman" w:cs="Arial"/>
                <w:b/>
                <w:bCs/>
                <w:color w:val="FFFFFF" w:themeColor="background1"/>
                <w:sz w:val="18"/>
                <w:szCs w:val="18"/>
                <w:lang w:eastAsia="es-CO"/>
              </w:rPr>
            </w:pPr>
            <w:r w:rsidRPr="00AA685F">
              <w:rPr>
                <w:rFonts w:eastAsia="Times New Roman" w:cs="Arial"/>
                <w:b/>
                <w:bCs/>
                <w:color w:val="FFFFFF" w:themeColor="background1"/>
                <w:sz w:val="18"/>
                <w:szCs w:val="18"/>
                <w:lang w:eastAsia="es-CO"/>
              </w:rPr>
              <w:t>No. De Servidores Beneficiados</w:t>
            </w:r>
          </w:p>
        </w:tc>
        <w:tc>
          <w:tcPr>
            <w:tcW w:w="2737" w:type="dxa"/>
            <w:shd w:val="clear" w:color="auto" w:fill="76922E"/>
            <w:vAlign w:val="center"/>
            <w:hideMark/>
          </w:tcPr>
          <w:p w:rsidR="00831800" w:rsidRPr="00AA685F" w:rsidRDefault="00AA685F" w:rsidP="00AA685F">
            <w:pPr>
              <w:spacing w:before="100" w:beforeAutospacing="1" w:after="100" w:afterAutospacing="1" w:line="240" w:lineRule="auto"/>
              <w:jc w:val="center"/>
              <w:rPr>
                <w:rFonts w:eastAsia="Times New Roman" w:cs="Arial"/>
                <w:b/>
                <w:bCs/>
                <w:color w:val="FFFFFF" w:themeColor="background1"/>
                <w:sz w:val="18"/>
                <w:szCs w:val="18"/>
                <w:lang w:eastAsia="es-CO"/>
              </w:rPr>
            </w:pPr>
            <w:r w:rsidRPr="00AA685F">
              <w:rPr>
                <w:rFonts w:eastAsia="Times New Roman" w:cs="Arial"/>
                <w:b/>
                <w:bCs/>
                <w:color w:val="FFFFFF" w:themeColor="background1"/>
                <w:sz w:val="18"/>
                <w:szCs w:val="18"/>
                <w:lang w:eastAsia="es-CO"/>
              </w:rPr>
              <w:t>Valor</w:t>
            </w:r>
          </w:p>
        </w:tc>
      </w:tr>
      <w:tr w:rsidR="00831800" w:rsidRPr="00AA685F" w:rsidTr="00AA685F">
        <w:trPr>
          <w:trHeight w:val="340"/>
          <w:jc w:val="center"/>
        </w:trPr>
        <w:tc>
          <w:tcPr>
            <w:tcW w:w="0" w:type="auto"/>
            <w:vMerge w:val="restart"/>
            <w:shd w:val="clear" w:color="auto" w:fill="auto"/>
            <w:vAlign w:val="center"/>
            <w:hideMark/>
          </w:tcPr>
          <w:p w:rsidR="00831800" w:rsidRPr="00AA685F" w:rsidRDefault="00831800"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Primer semestre del 2017</w:t>
            </w:r>
          </w:p>
        </w:tc>
        <w:tc>
          <w:tcPr>
            <w:tcW w:w="0" w:type="auto"/>
            <w:shd w:val="clear" w:color="auto" w:fill="auto"/>
            <w:vAlign w:val="center"/>
            <w:hideMark/>
          </w:tcPr>
          <w:p w:rsidR="00831800" w:rsidRPr="00AA685F" w:rsidRDefault="00831800"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Renovaciones</w:t>
            </w:r>
          </w:p>
        </w:tc>
        <w:tc>
          <w:tcPr>
            <w:tcW w:w="1306" w:type="dxa"/>
            <w:shd w:val="clear" w:color="auto" w:fill="auto"/>
            <w:vAlign w:val="center"/>
            <w:hideMark/>
          </w:tcPr>
          <w:p w:rsidR="00831800" w:rsidRPr="00AA685F" w:rsidRDefault="00831800" w:rsidP="00AA685F">
            <w:pPr>
              <w:spacing w:before="100" w:beforeAutospacing="1" w:after="100" w:afterAutospacing="1" w:line="240" w:lineRule="auto"/>
              <w:jc w:val="center"/>
              <w:rPr>
                <w:rFonts w:eastAsia="Times New Roman" w:cs="Arial"/>
                <w:sz w:val="18"/>
                <w:szCs w:val="18"/>
                <w:lang w:val="es-CO" w:eastAsia="es-CO"/>
              </w:rPr>
            </w:pPr>
            <w:r w:rsidRPr="00AA685F">
              <w:rPr>
                <w:rFonts w:eastAsia="Times New Roman" w:cs="Arial"/>
                <w:sz w:val="18"/>
                <w:szCs w:val="18"/>
                <w:lang w:val="es-CO" w:eastAsia="es-CO"/>
              </w:rPr>
              <w:t>31</w:t>
            </w:r>
          </w:p>
        </w:tc>
        <w:tc>
          <w:tcPr>
            <w:tcW w:w="2737" w:type="dxa"/>
            <w:shd w:val="clear" w:color="000000" w:fill="FFFFFF"/>
            <w:vAlign w:val="center"/>
            <w:hideMark/>
          </w:tcPr>
          <w:p w:rsidR="00831800" w:rsidRPr="00AA685F" w:rsidRDefault="00831800" w:rsidP="00AA685F">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$178.701.957,76</w:t>
            </w:r>
          </w:p>
        </w:tc>
      </w:tr>
      <w:tr w:rsidR="00831800" w:rsidRPr="00AA685F" w:rsidTr="00AA685F">
        <w:trPr>
          <w:trHeight w:val="600"/>
          <w:jc w:val="center"/>
        </w:trPr>
        <w:tc>
          <w:tcPr>
            <w:tcW w:w="0" w:type="auto"/>
            <w:vMerge/>
            <w:vAlign w:val="center"/>
            <w:hideMark/>
          </w:tcPr>
          <w:p w:rsidR="00831800" w:rsidRPr="00AA685F" w:rsidRDefault="00831800" w:rsidP="00F26175">
            <w:pPr>
              <w:spacing w:before="100" w:beforeAutospacing="1" w:after="100" w:afterAutospacing="1" w:line="240" w:lineRule="auto"/>
              <w:jc w:val="both"/>
              <w:rPr>
                <w:rFonts w:eastAsia="Times New Roman" w:cs="Arial"/>
                <w:sz w:val="18"/>
                <w:szCs w:val="18"/>
                <w:lang w:val="es-CO" w:eastAsia="es-CO"/>
              </w:rPr>
            </w:pPr>
          </w:p>
        </w:tc>
        <w:tc>
          <w:tcPr>
            <w:tcW w:w="0" w:type="auto"/>
            <w:shd w:val="clear" w:color="auto" w:fill="auto"/>
            <w:vAlign w:val="center"/>
            <w:hideMark/>
          </w:tcPr>
          <w:p w:rsidR="00831800" w:rsidRPr="00AA685F" w:rsidRDefault="00831800"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Educación y formación para el trabajo</w:t>
            </w:r>
          </w:p>
        </w:tc>
        <w:tc>
          <w:tcPr>
            <w:tcW w:w="1306" w:type="dxa"/>
            <w:shd w:val="clear" w:color="auto" w:fill="auto"/>
            <w:vAlign w:val="center"/>
            <w:hideMark/>
          </w:tcPr>
          <w:p w:rsidR="00831800" w:rsidRPr="00AA685F" w:rsidRDefault="00831800" w:rsidP="00AA685F">
            <w:pPr>
              <w:spacing w:before="100" w:beforeAutospacing="1" w:after="100" w:afterAutospacing="1" w:line="240" w:lineRule="auto"/>
              <w:jc w:val="center"/>
              <w:rPr>
                <w:rFonts w:eastAsia="Times New Roman" w:cs="Arial"/>
                <w:sz w:val="18"/>
                <w:szCs w:val="18"/>
                <w:lang w:val="es-CO" w:eastAsia="es-CO"/>
              </w:rPr>
            </w:pPr>
            <w:r w:rsidRPr="00AA685F">
              <w:rPr>
                <w:rFonts w:eastAsia="Times New Roman" w:cs="Arial"/>
                <w:sz w:val="18"/>
                <w:szCs w:val="18"/>
                <w:lang w:val="es-CO" w:eastAsia="es-CO"/>
              </w:rPr>
              <w:t>29</w:t>
            </w:r>
          </w:p>
        </w:tc>
        <w:tc>
          <w:tcPr>
            <w:tcW w:w="2737" w:type="dxa"/>
            <w:shd w:val="clear" w:color="000000" w:fill="FFFFFF"/>
            <w:vAlign w:val="center"/>
            <w:hideMark/>
          </w:tcPr>
          <w:p w:rsidR="00831800" w:rsidRPr="00AA685F" w:rsidRDefault="00831800" w:rsidP="00AA685F">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$33.456.127,68</w:t>
            </w:r>
          </w:p>
        </w:tc>
      </w:tr>
      <w:tr w:rsidR="00831800" w:rsidRPr="00AA685F" w:rsidTr="00AA685F">
        <w:trPr>
          <w:trHeight w:val="340"/>
          <w:jc w:val="center"/>
        </w:trPr>
        <w:tc>
          <w:tcPr>
            <w:tcW w:w="0" w:type="auto"/>
            <w:vMerge w:val="restart"/>
            <w:shd w:val="clear" w:color="auto" w:fill="auto"/>
            <w:vAlign w:val="center"/>
            <w:hideMark/>
          </w:tcPr>
          <w:p w:rsidR="00831800" w:rsidRPr="00AA685F" w:rsidRDefault="00831800"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Segundo semestre del 2017</w:t>
            </w:r>
          </w:p>
        </w:tc>
        <w:tc>
          <w:tcPr>
            <w:tcW w:w="0" w:type="auto"/>
            <w:shd w:val="clear" w:color="auto" w:fill="auto"/>
            <w:vAlign w:val="center"/>
            <w:hideMark/>
          </w:tcPr>
          <w:p w:rsidR="00831800" w:rsidRPr="00AA685F" w:rsidRDefault="00831800"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Financiaciones</w:t>
            </w:r>
          </w:p>
        </w:tc>
        <w:tc>
          <w:tcPr>
            <w:tcW w:w="1306" w:type="dxa"/>
            <w:shd w:val="clear" w:color="auto" w:fill="auto"/>
            <w:vAlign w:val="center"/>
            <w:hideMark/>
          </w:tcPr>
          <w:p w:rsidR="00831800" w:rsidRPr="00AA685F" w:rsidRDefault="00831800" w:rsidP="00AA685F">
            <w:pPr>
              <w:spacing w:before="100" w:beforeAutospacing="1" w:after="100" w:afterAutospacing="1" w:line="240" w:lineRule="auto"/>
              <w:jc w:val="center"/>
              <w:rPr>
                <w:rFonts w:eastAsia="Times New Roman" w:cs="Arial"/>
                <w:sz w:val="18"/>
                <w:szCs w:val="18"/>
                <w:lang w:val="es-CO" w:eastAsia="es-CO"/>
              </w:rPr>
            </w:pPr>
            <w:r w:rsidRPr="00AA685F">
              <w:rPr>
                <w:rFonts w:eastAsia="Times New Roman" w:cs="Arial"/>
                <w:sz w:val="18"/>
                <w:szCs w:val="18"/>
                <w:lang w:val="es-CO" w:eastAsia="es-CO"/>
              </w:rPr>
              <w:t>55</w:t>
            </w:r>
          </w:p>
        </w:tc>
        <w:tc>
          <w:tcPr>
            <w:tcW w:w="2737" w:type="dxa"/>
            <w:shd w:val="clear" w:color="auto" w:fill="auto"/>
            <w:vAlign w:val="center"/>
            <w:hideMark/>
          </w:tcPr>
          <w:p w:rsidR="00831800" w:rsidRPr="00AA685F" w:rsidRDefault="00831800" w:rsidP="00AA685F">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195.312.264</w:t>
            </w:r>
          </w:p>
        </w:tc>
      </w:tr>
      <w:tr w:rsidR="00831800" w:rsidRPr="00AA685F" w:rsidTr="00AA685F">
        <w:trPr>
          <w:trHeight w:val="720"/>
          <w:jc w:val="center"/>
        </w:trPr>
        <w:tc>
          <w:tcPr>
            <w:tcW w:w="0" w:type="auto"/>
            <w:vMerge/>
            <w:vAlign w:val="center"/>
            <w:hideMark/>
          </w:tcPr>
          <w:p w:rsidR="00831800" w:rsidRPr="00AA685F" w:rsidRDefault="00831800" w:rsidP="00F26175">
            <w:pPr>
              <w:spacing w:before="100" w:beforeAutospacing="1" w:after="100" w:afterAutospacing="1" w:line="240" w:lineRule="auto"/>
              <w:jc w:val="both"/>
              <w:rPr>
                <w:rFonts w:eastAsia="Times New Roman" w:cs="Arial"/>
                <w:sz w:val="18"/>
                <w:szCs w:val="18"/>
                <w:lang w:val="es-CO" w:eastAsia="es-CO"/>
              </w:rPr>
            </w:pPr>
          </w:p>
        </w:tc>
        <w:tc>
          <w:tcPr>
            <w:tcW w:w="0" w:type="auto"/>
            <w:shd w:val="clear" w:color="auto" w:fill="auto"/>
            <w:vAlign w:val="center"/>
            <w:hideMark/>
          </w:tcPr>
          <w:p w:rsidR="00831800" w:rsidRPr="00AA685F" w:rsidRDefault="00831800"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Educación y formación para el trabajo</w:t>
            </w:r>
          </w:p>
        </w:tc>
        <w:tc>
          <w:tcPr>
            <w:tcW w:w="1306" w:type="dxa"/>
            <w:shd w:val="clear" w:color="auto" w:fill="auto"/>
            <w:vAlign w:val="center"/>
            <w:hideMark/>
          </w:tcPr>
          <w:p w:rsidR="00831800" w:rsidRPr="00AA685F" w:rsidRDefault="00831800" w:rsidP="00AA685F">
            <w:pPr>
              <w:spacing w:before="100" w:beforeAutospacing="1" w:after="100" w:afterAutospacing="1" w:line="240" w:lineRule="auto"/>
              <w:jc w:val="center"/>
              <w:rPr>
                <w:rFonts w:eastAsia="Times New Roman" w:cs="Arial"/>
                <w:sz w:val="18"/>
                <w:szCs w:val="18"/>
                <w:lang w:val="es-CO" w:eastAsia="es-CO"/>
              </w:rPr>
            </w:pPr>
            <w:r w:rsidRPr="00AA685F">
              <w:rPr>
                <w:rFonts w:eastAsia="Times New Roman" w:cs="Arial"/>
                <w:sz w:val="18"/>
                <w:szCs w:val="18"/>
                <w:lang w:val="es-CO" w:eastAsia="es-CO"/>
              </w:rPr>
              <w:t>97</w:t>
            </w:r>
          </w:p>
        </w:tc>
        <w:tc>
          <w:tcPr>
            <w:tcW w:w="2737" w:type="dxa"/>
            <w:shd w:val="clear" w:color="auto" w:fill="auto"/>
            <w:vAlign w:val="center"/>
            <w:hideMark/>
          </w:tcPr>
          <w:p w:rsidR="00831800" w:rsidRPr="00AA685F" w:rsidRDefault="00831800" w:rsidP="00AA685F">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$196.491.593</w:t>
            </w:r>
          </w:p>
        </w:tc>
      </w:tr>
      <w:tr w:rsidR="00831800" w:rsidRPr="00AA685F" w:rsidTr="00AA685F">
        <w:trPr>
          <w:trHeight w:val="227"/>
          <w:jc w:val="center"/>
        </w:trPr>
        <w:tc>
          <w:tcPr>
            <w:tcW w:w="0" w:type="auto"/>
            <w:shd w:val="clear" w:color="auto" w:fill="auto"/>
            <w:vAlign w:val="center"/>
            <w:hideMark/>
          </w:tcPr>
          <w:p w:rsidR="00831800" w:rsidRPr="00AA685F" w:rsidRDefault="00831800"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Proyección renovaciones 2018 - 1</w:t>
            </w:r>
          </w:p>
        </w:tc>
        <w:tc>
          <w:tcPr>
            <w:tcW w:w="0" w:type="auto"/>
            <w:shd w:val="clear" w:color="auto" w:fill="auto"/>
            <w:vAlign w:val="center"/>
            <w:hideMark/>
          </w:tcPr>
          <w:p w:rsidR="00831800" w:rsidRPr="00AA685F" w:rsidRDefault="00831800"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Renovaciones</w:t>
            </w:r>
          </w:p>
        </w:tc>
        <w:tc>
          <w:tcPr>
            <w:tcW w:w="1306" w:type="dxa"/>
            <w:shd w:val="clear" w:color="auto" w:fill="auto"/>
            <w:vAlign w:val="center"/>
            <w:hideMark/>
          </w:tcPr>
          <w:p w:rsidR="00831800" w:rsidRPr="00AA685F" w:rsidRDefault="00831800" w:rsidP="00AA685F">
            <w:pPr>
              <w:spacing w:before="100" w:beforeAutospacing="1" w:after="100" w:afterAutospacing="1" w:line="240" w:lineRule="auto"/>
              <w:jc w:val="center"/>
              <w:rPr>
                <w:rFonts w:eastAsia="Times New Roman" w:cs="Arial"/>
                <w:sz w:val="18"/>
                <w:szCs w:val="18"/>
                <w:lang w:val="es-CO" w:eastAsia="es-CO"/>
              </w:rPr>
            </w:pPr>
            <w:r w:rsidRPr="00AA685F">
              <w:rPr>
                <w:rFonts w:eastAsia="Times New Roman" w:cs="Arial"/>
                <w:sz w:val="18"/>
                <w:szCs w:val="18"/>
                <w:lang w:val="es-CO" w:eastAsia="es-CO"/>
              </w:rPr>
              <w:t>47</w:t>
            </w:r>
          </w:p>
        </w:tc>
        <w:tc>
          <w:tcPr>
            <w:tcW w:w="2737" w:type="dxa"/>
            <w:shd w:val="clear" w:color="000000" w:fill="FFFFFF"/>
            <w:vAlign w:val="center"/>
            <w:hideMark/>
          </w:tcPr>
          <w:p w:rsidR="00831800" w:rsidRPr="00AA685F" w:rsidRDefault="00831800" w:rsidP="00AA685F">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$159.000.000,00</w:t>
            </w:r>
          </w:p>
        </w:tc>
      </w:tr>
    </w:tbl>
    <w:p w:rsidR="00831800" w:rsidRPr="00AA685F" w:rsidRDefault="00831800" w:rsidP="00AA685F">
      <w:pPr>
        <w:spacing w:after="0" w:line="240" w:lineRule="auto"/>
        <w:jc w:val="center"/>
        <w:rPr>
          <w:rFonts w:cs="Arial"/>
          <w:spacing w:val="-4"/>
          <w:sz w:val="16"/>
          <w:szCs w:val="16"/>
          <w:lang w:eastAsia="es-CO"/>
        </w:rPr>
      </w:pPr>
      <w:r w:rsidRPr="00AA685F">
        <w:rPr>
          <w:rFonts w:cs="Arial"/>
          <w:spacing w:val="-4"/>
          <w:sz w:val="16"/>
          <w:szCs w:val="16"/>
          <w:lang w:eastAsia="es-CO"/>
        </w:rPr>
        <w:t>Fuente: Grupo de Desarrollo del Talento Humano</w:t>
      </w:r>
    </w:p>
    <w:p w:rsidR="00831800" w:rsidRPr="007608C2" w:rsidRDefault="00831800" w:rsidP="00831800">
      <w:pPr>
        <w:spacing w:before="100" w:beforeAutospacing="1" w:after="0" w:line="240" w:lineRule="auto"/>
        <w:jc w:val="both"/>
        <w:rPr>
          <w:rFonts w:cs="Arial"/>
        </w:rPr>
      </w:pPr>
    </w:p>
    <w:p w:rsidR="00831800" w:rsidRPr="007608C2" w:rsidRDefault="00831800" w:rsidP="00831800">
      <w:pPr>
        <w:spacing w:after="100" w:afterAutospacing="1" w:line="240" w:lineRule="auto"/>
        <w:jc w:val="both"/>
        <w:rPr>
          <w:rFonts w:cs="Arial"/>
        </w:rPr>
      </w:pPr>
      <w:r w:rsidRPr="007608C2">
        <w:rPr>
          <w:rFonts w:cs="Arial"/>
        </w:rPr>
        <w:t xml:space="preserve">Por otra parte, se dio continuidad a los Proyectos de Aprendizaje en Equipo (P.A.E), para lo cual se definieron 10 proyectos para 2017, logrando finalizar su cronograma de ejecución. El proceso se realizó a partir de la conformación, desarrollo y como última etapa el informe de cierre. </w:t>
      </w:r>
      <w:r w:rsidR="00AA685F" w:rsidRPr="007608C2">
        <w:rPr>
          <w:rFonts w:cs="Arial"/>
        </w:rPr>
        <w:t>A continuación</w:t>
      </w:r>
      <w:r w:rsidRPr="007608C2">
        <w:rPr>
          <w:rFonts w:cs="Arial"/>
        </w:rPr>
        <w:t>, se exponen los proyectos ejecutados:</w:t>
      </w: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6232"/>
        <w:gridCol w:w="2127"/>
      </w:tblGrid>
      <w:tr w:rsidR="00831800" w:rsidRPr="00AA685F" w:rsidTr="00AA685F">
        <w:trPr>
          <w:trHeight w:val="300"/>
          <w:tblHeader/>
          <w:jc w:val="center"/>
        </w:trPr>
        <w:tc>
          <w:tcPr>
            <w:tcW w:w="6232" w:type="dxa"/>
            <w:shd w:val="clear" w:color="auto" w:fill="76922E"/>
            <w:vAlign w:val="bottom"/>
            <w:hideMark/>
          </w:tcPr>
          <w:p w:rsidR="00831800" w:rsidRPr="00AA685F" w:rsidRDefault="00AA685F" w:rsidP="00AA685F">
            <w:pPr>
              <w:spacing w:before="100" w:beforeAutospacing="1" w:after="100" w:afterAutospacing="1" w:line="240" w:lineRule="auto"/>
              <w:jc w:val="center"/>
              <w:rPr>
                <w:rFonts w:eastAsia="Times New Roman" w:cs="Arial"/>
                <w:b/>
                <w:bCs/>
                <w:color w:val="FFFFFF" w:themeColor="background1"/>
                <w:sz w:val="18"/>
                <w:szCs w:val="18"/>
                <w:lang w:eastAsia="es-CO"/>
              </w:rPr>
            </w:pPr>
            <w:r w:rsidRPr="00AA685F">
              <w:rPr>
                <w:rFonts w:eastAsia="Times New Roman" w:cs="Arial"/>
                <w:b/>
                <w:bCs/>
                <w:color w:val="FFFFFF" w:themeColor="background1"/>
                <w:sz w:val="18"/>
                <w:szCs w:val="18"/>
                <w:lang w:eastAsia="es-CO"/>
              </w:rPr>
              <w:t xml:space="preserve">Nombre </w:t>
            </w:r>
            <w:r>
              <w:rPr>
                <w:rFonts w:eastAsia="Times New Roman" w:cs="Arial"/>
                <w:b/>
                <w:bCs/>
                <w:color w:val="FFFFFF" w:themeColor="background1"/>
                <w:sz w:val="18"/>
                <w:szCs w:val="18"/>
                <w:lang w:eastAsia="es-CO"/>
              </w:rPr>
              <w:t>d</w:t>
            </w:r>
            <w:r w:rsidRPr="00AA685F">
              <w:rPr>
                <w:rFonts w:eastAsia="Times New Roman" w:cs="Arial"/>
                <w:b/>
                <w:bCs/>
                <w:color w:val="FFFFFF" w:themeColor="background1"/>
                <w:sz w:val="18"/>
                <w:szCs w:val="18"/>
                <w:lang w:eastAsia="es-CO"/>
              </w:rPr>
              <w:t>el Proyecto</w:t>
            </w:r>
          </w:p>
        </w:tc>
        <w:tc>
          <w:tcPr>
            <w:tcW w:w="2127" w:type="dxa"/>
            <w:shd w:val="clear" w:color="auto" w:fill="76922E"/>
            <w:vAlign w:val="bottom"/>
            <w:hideMark/>
          </w:tcPr>
          <w:p w:rsidR="00831800" w:rsidRPr="00AA685F" w:rsidRDefault="00AA685F" w:rsidP="00AA685F">
            <w:pPr>
              <w:spacing w:before="100" w:beforeAutospacing="1" w:after="100" w:afterAutospacing="1" w:line="240" w:lineRule="auto"/>
              <w:jc w:val="center"/>
              <w:rPr>
                <w:rFonts w:eastAsia="Times New Roman" w:cs="Arial"/>
                <w:b/>
                <w:bCs/>
                <w:color w:val="FFFFFF" w:themeColor="background1"/>
                <w:sz w:val="18"/>
                <w:szCs w:val="18"/>
                <w:lang w:eastAsia="es-CO"/>
              </w:rPr>
            </w:pPr>
            <w:r w:rsidRPr="00AA685F">
              <w:rPr>
                <w:rFonts w:eastAsia="Times New Roman" w:cs="Arial"/>
                <w:b/>
                <w:bCs/>
                <w:color w:val="FFFFFF" w:themeColor="background1"/>
                <w:sz w:val="18"/>
                <w:szCs w:val="18"/>
                <w:lang w:eastAsia="es-CO"/>
              </w:rPr>
              <w:t>Regional</w:t>
            </w:r>
          </w:p>
        </w:tc>
      </w:tr>
      <w:tr w:rsidR="00831800" w:rsidRPr="00AA685F" w:rsidTr="00AA685F">
        <w:trPr>
          <w:trHeight w:val="85"/>
          <w:jc w:val="center"/>
        </w:trPr>
        <w:tc>
          <w:tcPr>
            <w:tcW w:w="6232" w:type="dxa"/>
            <w:shd w:val="clear" w:color="auto" w:fill="auto"/>
            <w:vAlign w:val="center"/>
            <w:hideMark/>
          </w:tcPr>
          <w:p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w:t>
            </w:r>
            <w:r w:rsidR="00831800" w:rsidRPr="00AA685F">
              <w:rPr>
                <w:rFonts w:eastAsia="Times New Roman" w:cs="Arial"/>
                <w:sz w:val="18"/>
                <w:szCs w:val="18"/>
                <w:lang w:val="es-CO" w:eastAsia="es-CO"/>
              </w:rPr>
              <w:t>Cultura Ambiental</w:t>
            </w:r>
            <w:r w:rsidRPr="00AA685F">
              <w:rPr>
                <w:rFonts w:eastAsia="Times New Roman" w:cs="Arial"/>
                <w:sz w:val="18"/>
                <w:szCs w:val="18"/>
                <w:lang w:val="es-CO" w:eastAsia="es-CO"/>
              </w:rPr>
              <w:t>”</w:t>
            </w:r>
          </w:p>
        </w:tc>
        <w:tc>
          <w:tcPr>
            <w:tcW w:w="2127" w:type="dxa"/>
            <w:shd w:val="clear" w:color="auto" w:fill="auto"/>
            <w:vAlign w:val="bottom"/>
            <w:hideMark/>
          </w:tcPr>
          <w:p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Boyacá</w:t>
            </w:r>
          </w:p>
        </w:tc>
      </w:tr>
      <w:tr w:rsidR="00831800" w:rsidRPr="00AA685F" w:rsidTr="00AA685F">
        <w:trPr>
          <w:trHeight w:val="85"/>
          <w:jc w:val="center"/>
        </w:trPr>
        <w:tc>
          <w:tcPr>
            <w:tcW w:w="6232" w:type="dxa"/>
            <w:shd w:val="clear" w:color="auto" w:fill="auto"/>
            <w:vAlign w:val="center"/>
            <w:hideMark/>
          </w:tcPr>
          <w:p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w:t>
            </w:r>
            <w:r w:rsidR="00831800" w:rsidRPr="00AA685F">
              <w:rPr>
                <w:rFonts w:eastAsia="Times New Roman" w:cs="Arial"/>
                <w:sz w:val="18"/>
                <w:szCs w:val="18"/>
                <w:lang w:val="es-CO" w:eastAsia="es-CO"/>
              </w:rPr>
              <w:t xml:space="preserve">Realización </w:t>
            </w:r>
            <w:r w:rsidR="0021510F">
              <w:rPr>
                <w:rFonts w:eastAsia="Times New Roman" w:cs="Arial"/>
                <w:sz w:val="18"/>
                <w:szCs w:val="18"/>
                <w:lang w:val="es-CO" w:eastAsia="es-CO"/>
              </w:rPr>
              <w:t>d</w:t>
            </w:r>
            <w:r w:rsidRPr="00AA685F">
              <w:rPr>
                <w:rFonts w:eastAsia="Times New Roman" w:cs="Arial"/>
                <w:sz w:val="18"/>
                <w:szCs w:val="18"/>
                <w:lang w:val="es-CO" w:eastAsia="es-CO"/>
              </w:rPr>
              <w:t xml:space="preserve">e </w:t>
            </w:r>
            <w:r w:rsidR="00831800" w:rsidRPr="00AA685F">
              <w:rPr>
                <w:rFonts w:eastAsia="Times New Roman" w:cs="Arial"/>
                <w:sz w:val="18"/>
                <w:szCs w:val="18"/>
                <w:lang w:val="es-CO" w:eastAsia="es-CO"/>
              </w:rPr>
              <w:t>Vida</w:t>
            </w:r>
            <w:r w:rsidRPr="00AA685F">
              <w:rPr>
                <w:rFonts w:eastAsia="Times New Roman" w:cs="Arial"/>
                <w:sz w:val="18"/>
                <w:szCs w:val="18"/>
                <w:lang w:val="es-CO" w:eastAsia="es-CO"/>
              </w:rPr>
              <w:t>”</w:t>
            </w:r>
          </w:p>
        </w:tc>
        <w:tc>
          <w:tcPr>
            <w:tcW w:w="2127" w:type="dxa"/>
            <w:shd w:val="clear" w:color="auto" w:fill="auto"/>
            <w:vAlign w:val="bottom"/>
            <w:hideMark/>
          </w:tcPr>
          <w:p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Valle</w:t>
            </w:r>
          </w:p>
        </w:tc>
      </w:tr>
      <w:tr w:rsidR="00831800" w:rsidRPr="00AA685F" w:rsidTr="00AA685F">
        <w:trPr>
          <w:trHeight w:val="85"/>
          <w:jc w:val="center"/>
        </w:trPr>
        <w:tc>
          <w:tcPr>
            <w:tcW w:w="6232" w:type="dxa"/>
            <w:shd w:val="clear" w:color="auto" w:fill="auto"/>
            <w:vAlign w:val="center"/>
            <w:hideMark/>
          </w:tcPr>
          <w:p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w:t>
            </w:r>
            <w:r w:rsidR="00831800" w:rsidRPr="00AA685F">
              <w:rPr>
                <w:rFonts w:eastAsia="Times New Roman" w:cs="Arial"/>
                <w:sz w:val="18"/>
                <w:szCs w:val="18"/>
                <w:lang w:val="es-CO" w:eastAsia="es-CO"/>
              </w:rPr>
              <w:t xml:space="preserve">Los Verdaderos Colores </w:t>
            </w:r>
            <w:r w:rsidR="0021510F">
              <w:rPr>
                <w:rFonts w:eastAsia="Times New Roman" w:cs="Arial"/>
                <w:sz w:val="18"/>
                <w:szCs w:val="18"/>
                <w:lang w:val="es-CO" w:eastAsia="es-CO"/>
              </w:rPr>
              <w:t>d</w:t>
            </w:r>
            <w:r w:rsidRPr="00AA685F">
              <w:rPr>
                <w:rFonts w:eastAsia="Times New Roman" w:cs="Arial"/>
                <w:sz w:val="18"/>
                <w:szCs w:val="18"/>
                <w:lang w:val="es-CO" w:eastAsia="es-CO"/>
              </w:rPr>
              <w:t xml:space="preserve">el </w:t>
            </w:r>
            <w:r w:rsidR="00831800" w:rsidRPr="00AA685F">
              <w:rPr>
                <w:rFonts w:eastAsia="Times New Roman" w:cs="Arial"/>
                <w:sz w:val="18"/>
                <w:szCs w:val="18"/>
                <w:lang w:val="es-CO" w:eastAsia="es-CO"/>
              </w:rPr>
              <w:t>Compromiso</w:t>
            </w:r>
            <w:r w:rsidRPr="00AA685F">
              <w:rPr>
                <w:rFonts w:eastAsia="Times New Roman" w:cs="Arial"/>
                <w:sz w:val="18"/>
                <w:szCs w:val="18"/>
                <w:lang w:val="es-CO" w:eastAsia="es-CO"/>
              </w:rPr>
              <w:t>"</w:t>
            </w:r>
          </w:p>
        </w:tc>
        <w:tc>
          <w:tcPr>
            <w:tcW w:w="2127" w:type="dxa"/>
            <w:shd w:val="clear" w:color="auto" w:fill="auto"/>
            <w:vAlign w:val="bottom"/>
            <w:hideMark/>
          </w:tcPr>
          <w:p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Meta</w:t>
            </w:r>
          </w:p>
        </w:tc>
      </w:tr>
      <w:tr w:rsidR="00831800" w:rsidRPr="00AA685F" w:rsidTr="00AA685F">
        <w:trPr>
          <w:trHeight w:val="85"/>
          <w:jc w:val="center"/>
        </w:trPr>
        <w:tc>
          <w:tcPr>
            <w:tcW w:w="6232" w:type="dxa"/>
            <w:shd w:val="clear" w:color="auto" w:fill="auto"/>
            <w:vAlign w:val="center"/>
            <w:hideMark/>
          </w:tcPr>
          <w:p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lastRenderedPageBreak/>
              <w:t>"</w:t>
            </w:r>
            <w:r w:rsidR="00831800" w:rsidRPr="00AA685F">
              <w:rPr>
                <w:rFonts w:eastAsia="Times New Roman" w:cs="Arial"/>
                <w:sz w:val="18"/>
                <w:szCs w:val="18"/>
                <w:lang w:val="es-CO" w:eastAsia="es-CO"/>
              </w:rPr>
              <w:t xml:space="preserve">Desarrollo </w:t>
            </w:r>
            <w:r w:rsidR="0021510F">
              <w:rPr>
                <w:rFonts w:eastAsia="Times New Roman" w:cs="Arial"/>
                <w:sz w:val="18"/>
                <w:szCs w:val="18"/>
                <w:lang w:val="es-CO" w:eastAsia="es-CO"/>
              </w:rPr>
              <w:t>d</w:t>
            </w:r>
            <w:r w:rsidRPr="00AA685F">
              <w:rPr>
                <w:rFonts w:eastAsia="Times New Roman" w:cs="Arial"/>
                <w:sz w:val="18"/>
                <w:szCs w:val="18"/>
                <w:lang w:val="es-CO" w:eastAsia="es-CO"/>
              </w:rPr>
              <w:t xml:space="preserve">e Estrategias Ambientales Para Hacer Del </w:t>
            </w:r>
            <w:r w:rsidR="00831800" w:rsidRPr="00AA685F">
              <w:rPr>
                <w:rFonts w:eastAsia="Times New Roman" w:cs="Arial"/>
                <w:sz w:val="18"/>
                <w:szCs w:val="18"/>
                <w:lang w:val="es-CO" w:eastAsia="es-CO"/>
              </w:rPr>
              <w:t xml:space="preserve">ICBF </w:t>
            </w:r>
            <w:r w:rsidR="0021510F">
              <w:rPr>
                <w:rFonts w:eastAsia="Times New Roman" w:cs="Arial"/>
                <w:sz w:val="18"/>
                <w:szCs w:val="18"/>
                <w:lang w:val="es-CO" w:eastAsia="es-CO"/>
              </w:rPr>
              <w:t>u</w:t>
            </w:r>
            <w:r w:rsidRPr="00AA685F">
              <w:rPr>
                <w:rFonts w:eastAsia="Times New Roman" w:cs="Arial"/>
                <w:sz w:val="18"/>
                <w:szCs w:val="18"/>
                <w:lang w:val="es-CO" w:eastAsia="es-CO"/>
              </w:rPr>
              <w:t>na Entidad Amigable Con El Planeta"</w:t>
            </w:r>
          </w:p>
        </w:tc>
        <w:tc>
          <w:tcPr>
            <w:tcW w:w="2127" w:type="dxa"/>
            <w:shd w:val="clear" w:color="auto" w:fill="auto"/>
            <w:vAlign w:val="bottom"/>
            <w:hideMark/>
          </w:tcPr>
          <w:p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Risaralda</w:t>
            </w:r>
          </w:p>
        </w:tc>
      </w:tr>
      <w:tr w:rsidR="00831800" w:rsidRPr="00AA685F" w:rsidTr="00AA685F">
        <w:trPr>
          <w:trHeight w:val="85"/>
          <w:jc w:val="center"/>
        </w:trPr>
        <w:tc>
          <w:tcPr>
            <w:tcW w:w="6232" w:type="dxa"/>
            <w:shd w:val="clear" w:color="auto" w:fill="auto"/>
            <w:vAlign w:val="center"/>
            <w:hideMark/>
          </w:tcPr>
          <w:p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w:t>
            </w:r>
            <w:r w:rsidR="00831800" w:rsidRPr="00AA685F">
              <w:rPr>
                <w:rFonts w:eastAsia="Times New Roman" w:cs="Arial"/>
                <w:sz w:val="18"/>
                <w:szCs w:val="18"/>
                <w:lang w:val="es-CO" w:eastAsia="es-CO"/>
              </w:rPr>
              <w:t xml:space="preserve">PARD </w:t>
            </w:r>
            <w:r w:rsidRPr="00AA685F">
              <w:rPr>
                <w:rFonts w:eastAsia="Times New Roman" w:cs="Arial"/>
                <w:sz w:val="18"/>
                <w:szCs w:val="18"/>
                <w:lang w:val="es-CO" w:eastAsia="es-CO"/>
              </w:rPr>
              <w:t xml:space="preserve">– </w:t>
            </w:r>
            <w:r w:rsidR="00831800" w:rsidRPr="00AA685F">
              <w:rPr>
                <w:rFonts w:eastAsia="Times New Roman" w:cs="Arial"/>
                <w:sz w:val="18"/>
                <w:szCs w:val="18"/>
                <w:lang w:val="es-CO" w:eastAsia="es-CO"/>
              </w:rPr>
              <w:t xml:space="preserve">Ley </w:t>
            </w:r>
            <w:r w:rsidR="0021510F">
              <w:rPr>
                <w:rFonts w:eastAsia="Times New Roman" w:cs="Arial"/>
                <w:sz w:val="18"/>
                <w:szCs w:val="18"/>
                <w:lang w:val="es-CO" w:eastAsia="es-CO"/>
              </w:rPr>
              <w:t>d</w:t>
            </w:r>
            <w:r w:rsidRPr="00AA685F">
              <w:rPr>
                <w:rFonts w:eastAsia="Times New Roman" w:cs="Arial"/>
                <w:sz w:val="18"/>
                <w:szCs w:val="18"/>
                <w:lang w:val="es-CO" w:eastAsia="es-CO"/>
              </w:rPr>
              <w:t xml:space="preserve">e </w:t>
            </w:r>
            <w:r w:rsidR="00831800" w:rsidRPr="00AA685F">
              <w:rPr>
                <w:rFonts w:eastAsia="Times New Roman" w:cs="Arial"/>
                <w:sz w:val="18"/>
                <w:szCs w:val="18"/>
                <w:lang w:val="es-CO" w:eastAsia="es-CO"/>
              </w:rPr>
              <w:t>Infancia</w:t>
            </w:r>
            <w:r w:rsidRPr="00AA685F">
              <w:rPr>
                <w:rFonts w:eastAsia="Times New Roman" w:cs="Arial"/>
                <w:sz w:val="18"/>
                <w:szCs w:val="18"/>
                <w:lang w:val="es-CO" w:eastAsia="es-CO"/>
              </w:rPr>
              <w:t>"</w:t>
            </w:r>
          </w:p>
        </w:tc>
        <w:tc>
          <w:tcPr>
            <w:tcW w:w="2127" w:type="dxa"/>
            <w:shd w:val="clear" w:color="auto" w:fill="auto"/>
            <w:vAlign w:val="bottom"/>
            <w:hideMark/>
          </w:tcPr>
          <w:p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Pr>
                <w:rFonts w:eastAsia="Times New Roman" w:cs="Arial"/>
                <w:sz w:val="18"/>
                <w:szCs w:val="18"/>
                <w:lang w:val="es-CO" w:eastAsia="es-CO"/>
              </w:rPr>
              <w:t>Sede Nacional - Defensores d</w:t>
            </w:r>
            <w:r w:rsidRPr="00AA685F">
              <w:rPr>
                <w:rFonts w:eastAsia="Times New Roman" w:cs="Arial"/>
                <w:sz w:val="18"/>
                <w:szCs w:val="18"/>
                <w:lang w:val="es-CO" w:eastAsia="es-CO"/>
              </w:rPr>
              <w:t>e Familia</w:t>
            </w:r>
          </w:p>
        </w:tc>
      </w:tr>
      <w:tr w:rsidR="00831800" w:rsidRPr="00AA685F" w:rsidTr="00AA685F">
        <w:trPr>
          <w:trHeight w:val="600"/>
          <w:jc w:val="center"/>
        </w:trPr>
        <w:tc>
          <w:tcPr>
            <w:tcW w:w="6232" w:type="dxa"/>
            <w:shd w:val="clear" w:color="auto" w:fill="auto"/>
            <w:vAlign w:val="center"/>
            <w:hideMark/>
          </w:tcPr>
          <w:p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w:t>
            </w:r>
            <w:r w:rsidR="00831800" w:rsidRPr="00AA685F">
              <w:rPr>
                <w:rFonts w:eastAsia="Times New Roman" w:cs="Arial"/>
                <w:sz w:val="18"/>
                <w:szCs w:val="18"/>
                <w:lang w:val="es-CO" w:eastAsia="es-CO"/>
              </w:rPr>
              <w:t>Somos Uno</w:t>
            </w:r>
            <w:r w:rsidRPr="00AA685F">
              <w:rPr>
                <w:rFonts w:eastAsia="Times New Roman" w:cs="Arial"/>
                <w:sz w:val="18"/>
                <w:szCs w:val="18"/>
                <w:lang w:val="es-CO" w:eastAsia="es-CO"/>
              </w:rPr>
              <w:t>"</w:t>
            </w:r>
          </w:p>
        </w:tc>
        <w:tc>
          <w:tcPr>
            <w:tcW w:w="2127" w:type="dxa"/>
            <w:shd w:val="clear" w:color="auto" w:fill="auto"/>
            <w:vAlign w:val="bottom"/>
            <w:hideMark/>
          </w:tcPr>
          <w:p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Pr>
                <w:rFonts w:eastAsia="Times New Roman" w:cs="Arial"/>
                <w:sz w:val="18"/>
                <w:szCs w:val="18"/>
                <w:lang w:val="es-CO" w:eastAsia="es-CO"/>
              </w:rPr>
              <w:t>Sede Nacional - Dirección de Información y</w:t>
            </w:r>
            <w:r w:rsidRPr="00AA685F">
              <w:rPr>
                <w:rFonts w:eastAsia="Times New Roman" w:cs="Arial"/>
                <w:sz w:val="18"/>
                <w:szCs w:val="18"/>
                <w:lang w:val="es-CO" w:eastAsia="es-CO"/>
              </w:rPr>
              <w:t xml:space="preserve"> Tecnología</w:t>
            </w:r>
          </w:p>
        </w:tc>
      </w:tr>
      <w:tr w:rsidR="00831800" w:rsidRPr="00AA685F" w:rsidTr="00AA685F">
        <w:trPr>
          <w:trHeight w:val="162"/>
          <w:jc w:val="center"/>
        </w:trPr>
        <w:tc>
          <w:tcPr>
            <w:tcW w:w="6232" w:type="dxa"/>
            <w:shd w:val="clear" w:color="auto" w:fill="auto"/>
            <w:vAlign w:val="center"/>
            <w:hideMark/>
          </w:tcPr>
          <w:p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w:t>
            </w:r>
            <w:r w:rsidR="00831800" w:rsidRPr="00AA685F">
              <w:rPr>
                <w:rFonts w:eastAsia="Times New Roman" w:cs="Arial"/>
                <w:sz w:val="18"/>
                <w:szCs w:val="18"/>
                <w:lang w:val="es-CO" w:eastAsia="es-CO"/>
              </w:rPr>
              <w:t>Gestión Documental</w:t>
            </w:r>
            <w:r w:rsidRPr="00AA685F">
              <w:rPr>
                <w:rFonts w:eastAsia="Times New Roman" w:cs="Arial"/>
                <w:sz w:val="18"/>
                <w:szCs w:val="18"/>
                <w:lang w:val="es-CO" w:eastAsia="es-CO"/>
              </w:rPr>
              <w:t>"</w:t>
            </w:r>
          </w:p>
        </w:tc>
        <w:tc>
          <w:tcPr>
            <w:tcW w:w="2127" w:type="dxa"/>
            <w:shd w:val="clear" w:color="auto" w:fill="auto"/>
            <w:vAlign w:val="bottom"/>
            <w:hideMark/>
          </w:tcPr>
          <w:p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Sede Nacional</w:t>
            </w:r>
          </w:p>
        </w:tc>
      </w:tr>
      <w:tr w:rsidR="00831800" w:rsidRPr="00AA685F" w:rsidTr="00AA685F">
        <w:trPr>
          <w:trHeight w:val="85"/>
          <w:jc w:val="center"/>
        </w:trPr>
        <w:tc>
          <w:tcPr>
            <w:tcW w:w="6232" w:type="dxa"/>
            <w:shd w:val="clear" w:color="auto" w:fill="auto"/>
            <w:vAlign w:val="center"/>
            <w:hideMark/>
          </w:tcPr>
          <w:p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w:t>
            </w:r>
            <w:r w:rsidR="00831800" w:rsidRPr="00AA685F">
              <w:rPr>
                <w:rFonts w:eastAsia="Times New Roman" w:cs="Arial"/>
                <w:sz w:val="18"/>
                <w:szCs w:val="18"/>
                <w:lang w:val="es-CO" w:eastAsia="es-CO"/>
              </w:rPr>
              <w:t xml:space="preserve">Gestión </w:t>
            </w:r>
            <w:r w:rsidR="0021510F">
              <w:rPr>
                <w:rFonts w:eastAsia="Times New Roman" w:cs="Arial"/>
                <w:sz w:val="18"/>
                <w:szCs w:val="18"/>
                <w:lang w:val="es-CO" w:eastAsia="es-CO"/>
              </w:rPr>
              <w:t>c</w:t>
            </w:r>
            <w:r w:rsidRPr="00AA685F">
              <w:rPr>
                <w:rFonts w:eastAsia="Times New Roman" w:cs="Arial"/>
                <w:sz w:val="18"/>
                <w:szCs w:val="18"/>
                <w:lang w:val="es-CO" w:eastAsia="es-CO"/>
              </w:rPr>
              <w:t xml:space="preserve">on </w:t>
            </w:r>
            <w:r w:rsidR="00831800" w:rsidRPr="00AA685F">
              <w:rPr>
                <w:rFonts w:eastAsia="Times New Roman" w:cs="Arial"/>
                <w:sz w:val="18"/>
                <w:szCs w:val="18"/>
                <w:lang w:val="es-CO" w:eastAsia="es-CO"/>
              </w:rPr>
              <w:t>Calidad</w:t>
            </w:r>
            <w:r w:rsidRPr="00AA685F">
              <w:rPr>
                <w:rFonts w:eastAsia="Times New Roman" w:cs="Arial"/>
                <w:sz w:val="18"/>
                <w:szCs w:val="18"/>
                <w:lang w:val="es-CO" w:eastAsia="es-CO"/>
              </w:rPr>
              <w:t>"</w:t>
            </w:r>
          </w:p>
        </w:tc>
        <w:tc>
          <w:tcPr>
            <w:tcW w:w="2127" w:type="dxa"/>
            <w:shd w:val="clear" w:color="auto" w:fill="auto"/>
            <w:vAlign w:val="bottom"/>
            <w:hideMark/>
          </w:tcPr>
          <w:p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 xml:space="preserve">Sede Nacional </w:t>
            </w:r>
            <w:r>
              <w:rPr>
                <w:rFonts w:eastAsia="Times New Roman" w:cs="Arial"/>
                <w:sz w:val="18"/>
                <w:szCs w:val="18"/>
                <w:lang w:val="es-CO" w:eastAsia="es-CO"/>
              </w:rPr>
              <w:t>–</w:t>
            </w:r>
            <w:r w:rsidRPr="00AA685F">
              <w:rPr>
                <w:rFonts w:eastAsia="Times New Roman" w:cs="Arial"/>
                <w:sz w:val="18"/>
                <w:szCs w:val="18"/>
                <w:lang w:val="es-CO" w:eastAsia="es-CO"/>
              </w:rPr>
              <w:t xml:space="preserve"> Subdi</w:t>
            </w:r>
            <w:r>
              <w:rPr>
                <w:rFonts w:eastAsia="Times New Roman" w:cs="Arial"/>
                <w:sz w:val="18"/>
                <w:szCs w:val="18"/>
                <w:lang w:val="es-CO" w:eastAsia="es-CO"/>
              </w:rPr>
              <w:t>rección d</w:t>
            </w:r>
            <w:r w:rsidRPr="00AA685F">
              <w:rPr>
                <w:rFonts w:eastAsia="Times New Roman" w:cs="Arial"/>
                <w:sz w:val="18"/>
                <w:szCs w:val="18"/>
                <w:lang w:val="es-CO" w:eastAsia="es-CO"/>
              </w:rPr>
              <w:t>e Recursos Tecnológicos</w:t>
            </w:r>
          </w:p>
        </w:tc>
      </w:tr>
      <w:tr w:rsidR="00831800" w:rsidRPr="00AA685F" w:rsidTr="00AA685F">
        <w:trPr>
          <w:trHeight w:val="85"/>
          <w:jc w:val="center"/>
        </w:trPr>
        <w:tc>
          <w:tcPr>
            <w:tcW w:w="6232" w:type="dxa"/>
            <w:shd w:val="clear" w:color="auto" w:fill="auto"/>
            <w:vAlign w:val="center"/>
            <w:hideMark/>
          </w:tcPr>
          <w:p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w:t>
            </w:r>
            <w:r w:rsidR="00831800" w:rsidRPr="00AA685F">
              <w:rPr>
                <w:rFonts w:eastAsia="Times New Roman" w:cs="Arial"/>
                <w:sz w:val="18"/>
                <w:szCs w:val="18"/>
                <w:lang w:val="es-CO" w:eastAsia="es-CO"/>
              </w:rPr>
              <w:t xml:space="preserve">Protocolo </w:t>
            </w:r>
            <w:r w:rsidR="0021510F">
              <w:rPr>
                <w:rFonts w:eastAsia="Times New Roman" w:cs="Arial"/>
                <w:sz w:val="18"/>
                <w:szCs w:val="18"/>
                <w:lang w:val="es-CO" w:eastAsia="es-CO"/>
              </w:rPr>
              <w:t>para l</w:t>
            </w:r>
            <w:r w:rsidRPr="00AA685F">
              <w:rPr>
                <w:rFonts w:eastAsia="Times New Roman" w:cs="Arial"/>
                <w:sz w:val="18"/>
                <w:szCs w:val="18"/>
                <w:lang w:val="es-CO" w:eastAsia="es-CO"/>
              </w:rPr>
              <w:t xml:space="preserve">a </w:t>
            </w:r>
            <w:r w:rsidR="00831800" w:rsidRPr="00AA685F">
              <w:rPr>
                <w:rFonts w:eastAsia="Times New Roman" w:cs="Arial"/>
                <w:sz w:val="18"/>
                <w:szCs w:val="18"/>
                <w:lang w:val="es-CO" w:eastAsia="es-CO"/>
              </w:rPr>
              <w:t xml:space="preserve">Prevención </w:t>
            </w:r>
            <w:r w:rsidR="0021510F">
              <w:rPr>
                <w:rFonts w:eastAsia="Times New Roman" w:cs="Arial"/>
                <w:sz w:val="18"/>
                <w:szCs w:val="18"/>
                <w:lang w:val="es-CO" w:eastAsia="es-CO"/>
              </w:rPr>
              <w:t>d</w:t>
            </w:r>
            <w:r w:rsidRPr="00AA685F">
              <w:rPr>
                <w:rFonts w:eastAsia="Times New Roman" w:cs="Arial"/>
                <w:sz w:val="18"/>
                <w:szCs w:val="18"/>
                <w:lang w:val="es-CO" w:eastAsia="es-CO"/>
              </w:rPr>
              <w:t xml:space="preserve">el </w:t>
            </w:r>
            <w:r w:rsidR="00831800" w:rsidRPr="00AA685F">
              <w:rPr>
                <w:rFonts w:eastAsia="Times New Roman" w:cs="Arial"/>
                <w:sz w:val="18"/>
                <w:szCs w:val="18"/>
                <w:lang w:val="es-CO" w:eastAsia="es-CO"/>
              </w:rPr>
              <w:t>Riesgo Público</w:t>
            </w:r>
            <w:r w:rsidRPr="00AA685F">
              <w:rPr>
                <w:rFonts w:eastAsia="Times New Roman" w:cs="Arial"/>
                <w:sz w:val="18"/>
                <w:szCs w:val="18"/>
                <w:lang w:val="es-CO" w:eastAsia="es-CO"/>
              </w:rPr>
              <w:t>"</w:t>
            </w:r>
          </w:p>
        </w:tc>
        <w:tc>
          <w:tcPr>
            <w:tcW w:w="2127" w:type="dxa"/>
            <w:shd w:val="clear" w:color="auto" w:fill="auto"/>
            <w:vAlign w:val="bottom"/>
            <w:hideMark/>
          </w:tcPr>
          <w:p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Atlántico</w:t>
            </w:r>
          </w:p>
        </w:tc>
      </w:tr>
      <w:tr w:rsidR="00831800" w:rsidRPr="00AA685F" w:rsidTr="00AA685F">
        <w:trPr>
          <w:trHeight w:val="85"/>
          <w:jc w:val="center"/>
        </w:trPr>
        <w:tc>
          <w:tcPr>
            <w:tcW w:w="6232" w:type="dxa"/>
            <w:shd w:val="clear" w:color="auto" w:fill="auto"/>
            <w:vAlign w:val="center"/>
            <w:hideMark/>
          </w:tcPr>
          <w:p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sidRPr="00AA685F">
              <w:rPr>
                <w:rFonts w:eastAsia="Times New Roman" w:cs="Arial"/>
                <w:sz w:val="18"/>
                <w:szCs w:val="18"/>
                <w:lang w:val="es-CO" w:eastAsia="es-CO"/>
              </w:rPr>
              <w:t>"</w:t>
            </w:r>
            <w:r w:rsidR="00831800" w:rsidRPr="00AA685F">
              <w:rPr>
                <w:rFonts w:eastAsia="Times New Roman" w:cs="Arial"/>
                <w:sz w:val="18"/>
                <w:szCs w:val="18"/>
                <w:lang w:val="es-CO" w:eastAsia="es-CO"/>
              </w:rPr>
              <w:t xml:space="preserve">Promoción </w:t>
            </w:r>
            <w:r w:rsidR="0021510F">
              <w:rPr>
                <w:rFonts w:eastAsia="Times New Roman" w:cs="Arial"/>
                <w:sz w:val="18"/>
                <w:szCs w:val="18"/>
                <w:lang w:val="es-CO" w:eastAsia="es-CO"/>
              </w:rPr>
              <w:t>para l</w:t>
            </w:r>
            <w:r w:rsidRPr="00AA685F">
              <w:rPr>
                <w:rFonts w:eastAsia="Times New Roman" w:cs="Arial"/>
                <w:sz w:val="18"/>
                <w:szCs w:val="18"/>
                <w:lang w:val="es-CO" w:eastAsia="es-CO"/>
              </w:rPr>
              <w:t xml:space="preserve">a </w:t>
            </w:r>
            <w:r w:rsidR="00831800" w:rsidRPr="00AA685F">
              <w:rPr>
                <w:rFonts w:eastAsia="Times New Roman" w:cs="Arial"/>
                <w:sz w:val="18"/>
                <w:szCs w:val="18"/>
                <w:lang w:val="es-CO" w:eastAsia="es-CO"/>
              </w:rPr>
              <w:t xml:space="preserve">Interiorización </w:t>
            </w:r>
            <w:r w:rsidR="0021510F">
              <w:rPr>
                <w:rFonts w:eastAsia="Times New Roman" w:cs="Arial"/>
                <w:sz w:val="18"/>
                <w:szCs w:val="18"/>
                <w:lang w:val="es-CO" w:eastAsia="es-CO"/>
              </w:rPr>
              <w:t>de l</w:t>
            </w:r>
            <w:r w:rsidRPr="00AA685F">
              <w:rPr>
                <w:rFonts w:eastAsia="Times New Roman" w:cs="Arial"/>
                <w:sz w:val="18"/>
                <w:szCs w:val="18"/>
                <w:lang w:val="es-CO" w:eastAsia="es-CO"/>
              </w:rPr>
              <w:t xml:space="preserve">as </w:t>
            </w:r>
            <w:r w:rsidR="00831800" w:rsidRPr="00AA685F">
              <w:rPr>
                <w:rFonts w:eastAsia="Times New Roman" w:cs="Arial"/>
                <w:sz w:val="18"/>
                <w:szCs w:val="18"/>
                <w:lang w:val="es-CO" w:eastAsia="es-CO"/>
              </w:rPr>
              <w:t xml:space="preserve">Políticas </w:t>
            </w:r>
            <w:r w:rsidRPr="00AA685F">
              <w:rPr>
                <w:rFonts w:eastAsia="Times New Roman" w:cs="Arial"/>
                <w:sz w:val="18"/>
                <w:szCs w:val="18"/>
                <w:lang w:val="es-CO" w:eastAsia="es-CO"/>
              </w:rPr>
              <w:t xml:space="preserve">Públicas </w:t>
            </w:r>
            <w:r w:rsidR="00831800" w:rsidRPr="00AA685F">
              <w:rPr>
                <w:rFonts w:eastAsia="Times New Roman" w:cs="Arial"/>
                <w:sz w:val="18"/>
                <w:szCs w:val="18"/>
                <w:lang w:val="es-CO" w:eastAsia="es-CO"/>
              </w:rPr>
              <w:t>SIGE</w:t>
            </w:r>
            <w:r w:rsidRPr="00AA685F">
              <w:rPr>
                <w:rFonts w:eastAsia="Times New Roman" w:cs="Arial"/>
                <w:sz w:val="18"/>
                <w:szCs w:val="18"/>
                <w:lang w:val="es-CO" w:eastAsia="es-CO"/>
              </w:rPr>
              <w:t>"</w:t>
            </w:r>
          </w:p>
        </w:tc>
        <w:tc>
          <w:tcPr>
            <w:tcW w:w="2127" w:type="dxa"/>
            <w:shd w:val="clear" w:color="auto" w:fill="auto"/>
            <w:vAlign w:val="bottom"/>
            <w:hideMark/>
          </w:tcPr>
          <w:p w:rsidR="00831800" w:rsidRPr="00AA685F" w:rsidRDefault="00AA685F" w:rsidP="00F26175">
            <w:pPr>
              <w:spacing w:before="100" w:beforeAutospacing="1" w:after="100" w:afterAutospacing="1" w:line="240" w:lineRule="auto"/>
              <w:jc w:val="both"/>
              <w:rPr>
                <w:rFonts w:eastAsia="Times New Roman" w:cs="Arial"/>
                <w:sz w:val="18"/>
                <w:szCs w:val="18"/>
                <w:lang w:val="es-CO" w:eastAsia="es-CO"/>
              </w:rPr>
            </w:pPr>
            <w:r>
              <w:rPr>
                <w:rFonts w:eastAsia="Times New Roman" w:cs="Arial"/>
                <w:sz w:val="18"/>
                <w:szCs w:val="18"/>
                <w:lang w:val="es-CO" w:eastAsia="es-CO"/>
              </w:rPr>
              <w:t>Norte d</w:t>
            </w:r>
            <w:r w:rsidRPr="00AA685F">
              <w:rPr>
                <w:rFonts w:eastAsia="Times New Roman" w:cs="Arial"/>
                <w:sz w:val="18"/>
                <w:szCs w:val="18"/>
                <w:lang w:val="es-CO" w:eastAsia="es-CO"/>
              </w:rPr>
              <w:t>e Santander</w:t>
            </w:r>
          </w:p>
        </w:tc>
      </w:tr>
    </w:tbl>
    <w:p w:rsidR="00831800" w:rsidRPr="0021510F" w:rsidRDefault="00831800" w:rsidP="00985A5D">
      <w:pPr>
        <w:spacing w:after="100" w:afterAutospacing="1" w:line="240" w:lineRule="auto"/>
        <w:jc w:val="center"/>
        <w:rPr>
          <w:rFonts w:cs="Arial"/>
          <w:spacing w:val="-4"/>
          <w:sz w:val="16"/>
          <w:szCs w:val="16"/>
          <w:lang w:eastAsia="es-CO"/>
        </w:rPr>
      </w:pPr>
      <w:r w:rsidRPr="0021510F">
        <w:rPr>
          <w:rFonts w:cs="Arial"/>
          <w:spacing w:val="-4"/>
          <w:sz w:val="16"/>
          <w:szCs w:val="16"/>
          <w:lang w:eastAsia="es-CO"/>
        </w:rPr>
        <w:t>Fuente: Grupo de Desarrollo del Talento Humano</w:t>
      </w:r>
    </w:p>
    <w:p w:rsidR="00831800" w:rsidRPr="007608C2" w:rsidRDefault="00831800" w:rsidP="00831800">
      <w:pPr>
        <w:overflowPunct w:val="0"/>
        <w:spacing w:before="100" w:beforeAutospacing="1" w:after="100" w:afterAutospacing="1" w:line="240" w:lineRule="auto"/>
        <w:jc w:val="both"/>
        <w:textAlignment w:val="baseline"/>
        <w:rPr>
          <w:rFonts w:cs="Arial"/>
        </w:rPr>
      </w:pPr>
      <w:r w:rsidRPr="007608C2">
        <w:rPr>
          <w:rFonts w:cs="Arial"/>
        </w:rPr>
        <w:t xml:space="preserve">De igual manera, durante el año 2017 se dio continuidad al desarrollo del proyecto Modelo de Gestión por Competencias, cuyo objetivo se centró en la definición y fortalecimiento de las competencias comportamentales propias de los colaboradores del ICBF que permitan alcanzar los objetivos organizacionales. Durante el año se identificaron y validaron las competencias comportamentales de los siguientes perfiles: </w:t>
      </w:r>
    </w:p>
    <w:p w:rsidR="00831800" w:rsidRPr="007608C2" w:rsidRDefault="00831800" w:rsidP="00831800">
      <w:pPr>
        <w:overflowPunct w:val="0"/>
        <w:spacing w:before="100" w:beforeAutospacing="1" w:after="100" w:afterAutospacing="1" w:line="240" w:lineRule="auto"/>
        <w:jc w:val="both"/>
        <w:textAlignment w:val="baseline"/>
        <w:rPr>
          <w:rFonts w:cs="Arial"/>
          <w:b/>
        </w:rPr>
      </w:pPr>
      <w:r w:rsidRPr="007608C2">
        <w:rPr>
          <w:rFonts w:cs="Arial"/>
          <w:b/>
        </w:rPr>
        <w:t>Competencias comportamentales por perfil</w:t>
      </w: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4013"/>
        <w:gridCol w:w="4523"/>
      </w:tblGrid>
      <w:tr w:rsidR="00831800" w:rsidRPr="0021510F" w:rsidTr="0021510F">
        <w:trPr>
          <w:trHeight w:val="60"/>
          <w:tblHeader/>
          <w:jc w:val="center"/>
        </w:trPr>
        <w:tc>
          <w:tcPr>
            <w:tcW w:w="0" w:type="auto"/>
            <w:shd w:val="clear" w:color="auto" w:fill="76922E"/>
            <w:vAlign w:val="center"/>
            <w:hideMark/>
          </w:tcPr>
          <w:p w:rsidR="00831800" w:rsidRPr="0021510F" w:rsidRDefault="00831800" w:rsidP="0021510F">
            <w:pPr>
              <w:spacing w:before="100" w:beforeAutospacing="1" w:after="100" w:afterAutospacing="1" w:line="240" w:lineRule="auto"/>
              <w:jc w:val="center"/>
              <w:rPr>
                <w:rFonts w:eastAsia="Times New Roman" w:cs="Arial"/>
                <w:bCs/>
                <w:color w:val="FFFFFF" w:themeColor="background1"/>
                <w:sz w:val="18"/>
                <w:szCs w:val="18"/>
                <w:lang w:val="es-CO" w:eastAsia="es-CO"/>
              </w:rPr>
            </w:pPr>
            <w:r w:rsidRPr="0021510F">
              <w:rPr>
                <w:rFonts w:eastAsia="Times New Roman" w:cs="Arial"/>
                <w:bCs/>
                <w:color w:val="FFFFFF" w:themeColor="background1"/>
                <w:sz w:val="18"/>
                <w:szCs w:val="18"/>
                <w:lang w:eastAsia="es-CO"/>
              </w:rPr>
              <w:t>Perfil</w:t>
            </w:r>
          </w:p>
        </w:tc>
        <w:tc>
          <w:tcPr>
            <w:tcW w:w="0" w:type="auto"/>
            <w:shd w:val="clear" w:color="auto" w:fill="76922E"/>
            <w:vAlign w:val="center"/>
            <w:hideMark/>
          </w:tcPr>
          <w:p w:rsidR="00831800" w:rsidRPr="0021510F" w:rsidRDefault="00831800" w:rsidP="0021510F">
            <w:pPr>
              <w:spacing w:before="100" w:beforeAutospacing="1" w:after="100" w:afterAutospacing="1" w:line="240" w:lineRule="auto"/>
              <w:jc w:val="center"/>
              <w:rPr>
                <w:rFonts w:eastAsia="Times New Roman" w:cs="Arial"/>
                <w:bCs/>
                <w:color w:val="FFFFFF" w:themeColor="background1"/>
                <w:sz w:val="18"/>
                <w:szCs w:val="18"/>
                <w:lang w:eastAsia="es-CO"/>
              </w:rPr>
            </w:pPr>
            <w:r w:rsidRPr="0021510F">
              <w:rPr>
                <w:rFonts w:eastAsia="Times New Roman" w:cs="Arial"/>
                <w:bCs/>
                <w:color w:val="FFFFFF" w:themeColor="background1"/>
                <w:sz w:val="18"/>
                <w:szCs w:val="18"/>
                <w:lang w:eastAsia="es-CO"/>
              </w:rPr>
              <w:t>Competencias</w:t>
            </w:r>
          </w:p>
        </w:tc>
      </w:tr>
      <w:tr w:rsidR="00831800" w:rsidRPr="0021510F" w:rsidTr="0021510F">
        <w:trPr>
          <w:trHeight w:val="60"/>
          <w:jc w:val="center"/>
        </w:trPr>
        <w:tc>
          <w:tcPr>
            <w:tcW w:w="0" w:type="auto"/>
            <w:vMerge w:val="restart"/>
            <w:shd w:val="clear" w:color="auto" w:fill="auto"/>
            <w:vAlign w:val="center"/>
            <w:hideMark/>
          </w:tcPr>
          <w:p w:rsidR="00831800" w:rsidRPr="0021510F" w:rsidRDefault="0021510F" w:rsidP="00F26175">
            <w:pPr>
              <w:spacing w:before="100" w:beforeAutospacing="1" w:after="100" w:afterAutospacing="1" w:line="240" w:lineRule="auto"/>
              <w:jc w:val="both"/>
              <w:rPr>
                <w:rFonts w:eastAsia="Times New Roman" w:cs="Arial"/>
                <w:bCs/>
                <w:sz w:val="18"/>
                <w:szCs w:val="18"/>
                <w:lang w:val="es-CO" w:eastAsia="es-CO"/>
              </w:rPr>
            </w:pPr>
            <w:r>
              <w:rPr>
                <w:rFonts w:eastAsia="Times New Roman" w:cs="Arial"/>
                <w:bCs/>
                <w:sz w:val="18"/>
                <w:szCs w:val="18"/>
                <w:lang w:eastAsia="es-CO"/>
              </w:rPr>
              <w:t>Equipos d</w:t>
            </w:r>
            <w:r w:rsidRPr="0021510F">
              <w:rPr>
                <w:rFonts w:eastAsia="Times New Roman" w:cs="Arial"/>
                <w:bCs/>
                <w:sz w:val="18"/>
                <w:szCs w:val="18"/>
                <w:lang w:eastAsia="es-CO"/>
              </w:rPr>
              <w:t>e Asistencia Técnica</w:t>
            </w:r>
          </w:p>
        </w:tc>
        <w:tc>
          <w:tcPr>
            <w:tcW w:w="0" w:type="auto"/>
            <w:shd w:val="clear" w:color="auto" w:fill="auto"/>
            <w:vAlign w:val="center"/>
          </w:tcPr>
          <w:p w:rsidR="00831800" w:rsidRPr="0021510F" w:rsidRDefault="00831800" w:rsidP="00F26175">
            <w:pPr>
              <w:spacing w:before="100" w:beforeAutospacing="1" w:after="100" w:afterAutospacing="1" w:line="240" w:lineRule="auto"/>
              <w:jc w:val="both"/>
              <w:rPr>
                <w:rFonts w:eastAsia="Times New Roman" w:cs="Arial"/>
                <w:sz w:val="18"/>
                <w:szCs w:val="18"/>
                <w:lang w:val="es-CO" w:eastAsia="es-CO"/>
              </w:rPr>
            </w:pPr>
            <w:r w:rsidRPr="0021510F">
              <w:rPr>
                <w:rFonts w:eastAsia="Times New Roman" w:cs="Arial"/>
                <w:sz w:val="18"/>
                <w:szCs w:val="18"/>
                <w:lang w:val="es-CO" w:eastAsia="es-CO"/>
              </w:rPr>
              <w:t>Buen trato</w:t>
            </w:r>
          </w:p>
        </w:tc>
      </w:tr>
      <w:tr w:rsidR="00831800" w:rsidRPr="0021510F" w:rsidTr="0021510F">
        <w:trPr>
          <w:trHeight w:val="60"/>
          <w:jc w:val="center"/>
        </w:trPr>
        <w:tc>
          <w:tcPr>
            <w:tcW w:w="0" w:type="auto"/>
            <w:vMerge/>
            <w:vAlign w:val="center"/>
            <w:hideMark/>
          </w:tcPr>
          <w:p w:rsidR="00831800" w:rsidRPr="0021510F" w:rsidRDefault="00831800" w:rsidP="00F26175">
            <w:pPr>
              <w:spacing w:before="100" w:beforeAutospacing="1" w:after="100" w:afterAutospacing="1" w:line="240" w:lineRule="auto"/>
              <w:jc w:val="both"/>
              <w:rPr>
                <w:rFonts w:eastAsia="Times New Roman" w:cs="Arial"/>
                <w:bCs/>
                <w:sz w:val="18"/>
                <w:szCs w:val="18"/>
                <w:lang w:val="es-CO" w:eastAsia="es-CO"/>
              </w:rPr>
            </w:pPr>
          </w:p>
        </w:tc>
        <w:tc>
          <w:tcPr>
            <w:tcW w:w="0" w:type="auto"/>
            <w:shd w:val="clear" w:color="auto" w:fill="auto"/>
            <w:vAlign w:val="center"/>
          </w:tcPr>
          <w:p w:rsidR="00831800" w:rsidRPr="0021510F" w:rsidRDefault="00831800" w:rsidP="00F26175">
            <w:pPr>
              <w:spacing w:before="100" w:beforeAutospacing="1" w:after="100" w:afterAutospacing="1" w:line="240" w:lineRule="auto"/>
              <w:jc w:val="both"/>
              <w:rPr>
                <w:rFonts w:eastAsia="Times New Roman" w:cs="Arial"/>
                <w:sz w:val="18"/>
                <w:szCs w:val="18"/>
                <w:lang w:val="es-CO" w:eastAsia="es-CO"/>
              </w:rPr>
            </w:pPr>
            <w:r w:rsidRPr="0021510F">
              <w:rPr>
                <w:rFonts w:eastAsia="Times New Roman" w:cs="Arial"/>
                <w:sz w:val="18"/>
                <w:szCs w:val="18"/>
                <w:lang w:val="es-CO" w:eastAsia="es-CO"/>
              </w:rPr>
              <w:t>Interacciones efectivas</w:t>
            </w:r>
          </w:p>
        </w:tc>
      </w:tr>
      <w:tr w:rsidR="00831800" w:rsidRPr="0021510F" w:rsidTr="0021510F">
        <w:trPr>
          <w:trHeight w:val="60"/>
          <w:jc w:val="center"/>
        </w:trPr>
        <w:tc>
          <w:tcPr>
            <w:tcW w:w="0" w:type="auto"/>
            <w:vMerge/>
            <w:vAlign w:val="center"/>
            <w:hideMark/>
          </w:tcPr>
          <w:p w:rsidR="00831800" w:rsidRPr="0021510F" w:rsidRDefault="00831800" w:rsidP="00F26175">
            <w:pPr>
              <w:spacing w:before="100" w:beforeAutospacing="1" w:after="100" w:afterAutospacing="1" w:line="240" w:lineRule="auto"/>
              <w:jc w:val="both"/>
              <w:rPr>
                <w:rFonts w:eastAsia="Times New Roman" w:cs="Arial"/>
                <w:bCs/>
                <w:sz w:val="18"/>
                <w:szCs w:val="18"/>
                <w:lang w:val="es-CO" w:eastAsia="es-CO"/>
              </w:rPr>
            </w:pPr>
          </w:p>
        </w:tc>
        <w:tc>
          <w:tcPr>
            <w:tcW w:w="0" w:type="auto"/>
            <w:shd w:val="clear" w:color="auto" w:fill="auto"/>
            <w:vAlign w:val="center"/>
          </w:tcPr>
          <w:p w:rsidR="00831800" w:rsidRPr="0021510F" w:rsidRDefault="00831800" w:rsidP="00F26175">
            <w:pPr>
              <w:spacing w:before="100" w:beforeAutospacing="1" w:after="100" w:afterAutospacing="1" w:line="240" w:lineRule="auto"/>
              <w:jc w:val="both"/>
              <w:rPr>
                <w:rFonts w:eastAsia="Times New Roman" w:cs="Arial"/>
                <w:sz w:val="18"/>
                <w:szCs w:val="18"/>
                <w:lang w:val="es-CO" w:eastAsia="es-CO"/>
              </w:rPr>
            </w:pPr>
            <w:r w:rsidRPr="0021510F">
              <w:rPr>
                <w:rFonts w:eastAsia="Times New Roman" w:cs="Arial"/>
                <w:sz w:val="18"/>
                <w:szCs w:val="18"/>
                <w:lang w:val="es-CO" w:eastAsia="es-CO"/>
              </w:rPr>
              <w:t>Sensibilidad institucional y social</w:t>
            </w:r>
          </w:p>
        </w:tc>
      </w:tr>
      <w:tr w:rsidR="00831800" w:rsidRPr="0021510F" w:rsidTr="0021510F">
        <w:trPr>
          <w:trHeight w:val="60"/>
          <w:jc w:val="center"/>
        </w:trPr>
        <w:tc>
          <w:tcPr>
            <w:tcW w:w="0" w:type="auto"/>
            <w:vMerge/>
            <w:vAlign w:val="center"/>
            <w:hideMark/>
          </w:tcPr>
          <w:p w:rsidR="00831800" w:rsidRPr="0021510F" w:rsidRDefault="00831800" w:rsidP="00F26175">
            <w:pPr>
              <w:spacing w:before="100" w:beforeAutospacing="1" w:after="100" w:afterAutospacing="1" w:line="240" w:lineRule="auto"/>
              <w:jc w:val="both"/>
              <w:rPr>
                <w:rFonts w:eastAsia="Times New Roman" w:cs="Arial"/>
                <w:bCs/>
                <w:sz w:val="18"/>
                <w:szCs w:val="18"/>
                <w:lang w:val="es-CO" w:eastAsia="es-CO"/>
              </w:rPr>
            </w:pPr>
          </w:p>
        </w:tc>
        <w:tc>
          <w:tcPr>
            <w:tcW w:w="0" w:type="auto"/>
            <w:shd w:val="clear" w:color="auto" w:fill="auto"/>
            <w:vAlign w:val="center"/>
          </w:tcPr>
          <w:p w:rsidR="00831800" w:rsidRPr="0021510F" w:rsidRDefault="00831800" w:rsidP="00F26175">
            <w:pPr>
              <w:spacing w:before="100" w:beforeAutospacing="1" w:after="100" w:afterAutospacing="1" w:line="240" w:lineRule="auto"/>
              <w:jc w:val="both"/>
              <w:rPr>
                <w:rFonts w:eastAsia="Times New Roman" w:cs="Arial"/>
                <w:sz w:val="18"/>
                <w:szCs w:val="18"/>
                <w:lang w:val="es-CO" w:eastAsia="es-CO"/>
              </w:rPr>
            </w:pPr>
            <w:r w:rsidRPr="0021510F">
              <w:rPr>
                <w:rFonts w:eastAsia="Times New Roman" w:cs="Arial"/>
                <w:sz w:val="18"/>
                <w:szCs w:val="18"/>
                <w:lang w:val="es-CO" w:eastAsia="es-CO"/>
              </w:rPr>
              <w:t>Construir y compartir conocimientos</w:t>
            </w:r>
          </w:p>
        </w:tc>
      </w:tr>
      <w:tr w:rsidR="00831800" w:rsidRPr="0021510F" w:rsidTr="0021510F">
        <w:trPr>
          <w:trHeight w:val="60"/>
          <w:jc w:val="center"/>
        </w:trPr>
        <w:tc>
          <w:tcPr>
            <w:tcW w:w="0" w:type="auto"/>
            <w:vMerge w:val="restart"/>
            <w:shd w:val="clear" w:color="auto" w:fill="auto"/>
            <w:vAlign w:val="center"/>
          </w:tcPr>
          <w:p w:rsidR="00831800" w:rsidRPr="0021510F" w:rsidRDefault="0021510F" w:rsidP="00F26175">
            <w:pPr>
              <w:spacing w:before="100" w:beforeAutospacing="1" w:after="100" w:afterAutospacing="1" w:line="240" w:lineRule="auto"/>
              <w:jc w:val="both"/>
              <w:rPr>
                <w:rFonts w:eastAsia="Times New Roman" w:cs="Arial"/>
                <w:bCs/>
                <w:sz w:val="18"/>
                <w:szCs w:val="18"/>
                <w:lang w:eastAsia="es-CO"/>
              </w:rPr>
            </w:pPr>
            <w:r>
              <w:rPr>
                <w:rFonts w:eastAsia="Times New Roman" w:cs="Arial"/>
                <w:bCs/>
                <w:sz w:val="18"/>
                <w:szCs w:val="18"/>
                <w:lang w:eastAsia="es-CO"/>
              </w:rPr>
              <w:t>Equipos de Supervisión d</w:t>
            </w:r>
            <w:r w:rsidRPr="0021510F">
              <w:rPr>
                <w:rFonts w:eastAsia="Times New Roman" w:cs="Arial"/>
                <w:bCs/>
                <w:sz w:val="18"/>
                <w:szCs w:val="18"/>
                <w:lang w:eastAsia="es-CO"/>
              </w:rPr>
              <w:t>e Contratos Misionales</w:t>
            </w:r>
          </w:p>
        </w:tc>
        <w:tc>
          <w:tcPr>
            <w:tcW w:w="0" w:type="auto"/>
            <w:shd w:val="clear" w:color="auto" w:fill="auto"/>
            <w:vAlign w:val="center"/>
          </w:tcPr>
          <w:p w:rsidR="00831800" w:rsidRPr="0021510F" w:rsidRDefault="00831800" w:rsidP="00F26175">
            <w:pPr>
              <w:spacing w:before="100" w:beforeAutospacing="1" w:after="100" w:afterAutospacing="1" w:line="240" w:lineRule="auto"/>
              <w:jc w:val="both"/>
              <w:rPr>
                <w:rFonts w:eastAsia="Times New Roman" w:cs="Arial"/>
                <w:sz w:val="18"/>
                <w:szCs w:val="18"/>
                <w:lang w:eastAsia="es-CO"/>
              </w:rPr>
            </w:pPr>
            <w:r w:rsidRPr="0021510F">
              <w:rPr>
                <w:rFonts w:eastAsia="Times New Roman" w:cs="Arial"/>
                <w:sz w:val="18"/>
                <w:szCs w:val="18"/>
                <w:lang w:eastAsia="es-CO"/>
              </w:rPr>
              <w:t>Integridad Ética</w:t>
            </w:r>
          </w:p>
        </w:tc>
      </w:tr>
      <w:tr w:rsidR="00831800" w:rsidRPr="0021510F" w:rsidTr="0021510F">
        <w:trPr>
          <w:trHeight w:val="60"/>
          <w:jc w:val="center"/>
        </w:trPr>
        <w:tc>
          <w:tcPr>
            <w:tcW w:w="0" w:type="auto"/>
            <w:vMerge/>
            <w:shd w:val="clear" w:color="auto" w:fill="auto"/>
            <w:vAlign w:val="center"/>
          </w:tcPr>
          <w:p w:rsidR="00831800" w:rsidRPr="0021510F" w:rsidRDefault="00831800" w:rsidP="00F26175">
            <w:pPr>
              <w:spacing w:before="100" w:beforeAutospacing="1" w:after="100" w:afterAutospacing="1" w:line="240" w:lineRule="auto"/>
              <w:jc w:val="both"/>
              <w:rPr>
                <w:rFonts w:eastAsia="Times New Roman" w:cs="Arial"/>
                <w:bCs/>
                <w:sz w:val="18"/>
                <w:szCs w:val="18"/>
                <w:lang w:eastAsia="es-CO"/>
              </w:rPr>
            </w:pPr>
          </w:p>
        </w:tc>
        <w:tc>
          <w:tcPr>
            <w:tcW w:w="0" w:type="auto"/>
            <w:shd w:val="clear" w:color="auto" w:fill="auto"/>
            <w:vAlign w:val="center"/>
          </w:tcPr>
          <w:p w:rsidR="00831800" w:rsidRPr="0021510F" w:rsidRDefault="00831800" w:rsidP="00F26175">
            <w:pPr>
              <w:spacing w:before="100" w:beforeAutospacing="1" w:after="100" w:afterAutospacing="1" w:line="240" w:lineRule="auto"/>
              <w:jc w:val="both"/>
              <w:rPr>
                <w:rFonts w:eastAsia="Times New Roman" w:cs="Arial"/>
                <w:sz w:val="18"/>
                <w:szCs w:val="18"/>
                <w:lang w:eastAsia="es-CO"/>
              </w:rPr>
            </w:pPr>
            <w:r w:rsidRPr="0021510F">
              <w:rPr>
                <w:rFonts w:eastAsia="Times New Roman" w:cs="Arial"/>
                <w:sz w:val="18"/>
                <w:szCs w:val="18"/>
                <w:lang w:eastAsia="es-CO"/>
              </w:rPr>
              <w:t>Asertividad en la comunicación</w:t>
            </w:r>
          </w:p>
        </w:tc>
      </w:tr>
      <w:tr w:rsidR="00831800" w:rsidRPr="0021510F" w:rsidTr="0021510F">
        <w:trPr>
          <w:trHeight w:val="60"/>
          <w:jc w:val="center"/>
        </w:trPr>
        <w:tc>
          <w:tcPr>
            <w:tcW w:w="0" w:type="auto"/>
            <w:vMerge/>
            <w:shd w:val="clear" w:color="auto" w:fill="auto"/>
            <w:vAlign w:val="center"/>
          </w:tcPr>
          <w:p w:rsidR="00831800" w:rsidRPr="0021510F" w:rsidRDefault="00831800" w:rsidP="00F26175">
            <w:pPr>
              <w:spacing w:before="100" w:beforeAutospacing="1" w:after="100" w:afterAutospacing="1" w:line="240" w:lineRule="auto"/>
              <w:jc w:val="both"/>
              <w:rPr>
                <w:rFonts w:eastAsia="Times New Roman" w:cs="Arial"/>
                <w:bCs/>
                <w:sz w:val="18"/>
                <w:szCs w:val="18"/>
                <w:lang w:eastAsia="es-CO"/>
              </w:rPr>
            </w:pPr>
          </w:p>
        </w:tc>
        <w:tc>
          <w:tcPr>
            <w:tcW w:w="0" w:type="auto"/>
            <w:shd w:val="clear" w:color="auto" w:fill="auto"/>
            <w:vAlign w:val="center"/>
          </w:tcPr>
          <w:p w:rsidR="00831800" w:rsidRPr="0021510F" w:rsidRDefault="00831800" w:rsidP="00F26175">
            <w:pPr>
              <w:spacing w:before="100" w:beforeAutospacing="1" w:after="100" w:afterAutospacing="1" w:line="240" w:lineRule="auto"/>
              <w:jc w:val="both"/>
              <w:rPr>
                <w:rFonts w:eastAsia="Times New Roman" w:cs="Arial"/>
                <w:sz w:val="18"/>
                <w:szCs w:val="18"/>
                <w:lang w:eastAsia="es-CO"/>
              </w:rPr>
            </w:pPr>
            <w:r w:rsidRPr="0021510F">
              <w:rPr>
                <w:rFonts w:eastAsia="Times New Roman" w:cs="Arial"/>
                <w:sz w:val="18"/>
                <w:szCs w:val="18"/>
                <w:lang w:eastAsia="es-CO"/>
              </w:rPr>
              <w:t>Actitud hacia el logro de los objetivos</w:t>
            </w:r>
          </w:p>
        </w:tc>
      </w:tr>
      <w:tr w:rsidR="00831800" w:rsidRPr="0021510F" w:rsidTr="0021510F">
        <w:trPr>
          <w:trHeight w:val="60"/>
          <w:jc w:val="center"/>
        </w:trPr>
        <w:tc>
          <w:tcPr>
            <w:tcW w:w="0" w:type="auto"/>
            <w:vMerge/>
            <w:shd w:val="clear" w:color="auto" w:fill="auto"/>
            <w:vAlign w:val="center"/>
          </w:tcPr>
          <w:p w:rsidR="00831800" w:rsidRPr="0021510F" w:rsidRDefault="00831800" w:rsidP="00F26175">
            <w:pPr>
              <w:spacing w:before="100" w:beforeAutospacing="1" w:after="100" w:afterAutospacing="1" w:line="240" w:lineRule="auto"/>
              <w:jc w:val="both"/>
              <w:rPr>
                <w:rFonts w:eastAsia="Times New Roman" w:cs="Arial"/>
                <w:bCs/>
                <w:sz w:val="18"/>
                <w:szCs w:val="18"/>
                <w:lang w:eastAsia="es-CO"/>
              </w:rPr>
            </w:pPr>
          </w:p>
        </w:tc>
        <w:tc>
          <w:tcPr>
            <w:tcW w:w="0" w:type="auto"/>
            <w:shd w:val="clear" w:color="auto" w:fill="auto"/>
            <w:vAlign w:val="center"/>
          </w:tcPr>
          <w:p w:rsidR="00831800" w:rsidRPr="0021510F" w:rsidRDefault="00831800" w:rsidP="00F26175">
            <w:pPr>
              <w:spacing w:before="100" w:beforeAutospacing="1" w:after="100" w:afterAutospacing="1" w:line="240" w:lineRule="auto"/>
              <w:jc w:val="both"/>
              <w:rPr>
                <w:rFonts w:eastAsia="Times New Roman" w:cs="Arial"/>
                <w:sz w:val="18"/>
                <w:szCs w:val="18"/>
                <w:lang w:eastAsia="es-CO"/>
              </w:rPr>
            </w:pPr>
            <w:r w:rsidRPr="0021510F">
              <w:rPr>
                <w:rFonts w:eastAsia="Times New Roman" w:cs="Arial"/>
                <w:sz w:val="18"/>
                <w:szCs w:val="18"/>
                <w:lang w:eastAsia="es-CO"/>
              </w:rPr>
              <w:t>Comprensión de dinámicas y contextos socioculturales</w:t>
            </w:r>
          </w:p>
        </w:tc>
      </w:tr>
    </w:tbl>
    <w:p w:rsidR="00831800" w:rsidRPr="0021510F" w:rsidRDefault="00831800" w:rsidP="00985A5D">
      <w:pPr>
        <w:spacing w:after="100" w:afterAutospacing="1" w:line="240" w:lineRule="auto"/>
        <w:jc w:val="center"/>
        <w:rPr>
          <w:rFonts w:cs="Arial"/>
          <w:spacing w:val="-4"/>
          <w:sz w:val="18"/>
          <w:lang w:eastAsia="es-CO"/>
        </w:rPr>
      </w:pPr>
      <w:r w:rsidRPr="0021510F">
        <w:rPr>
          <w:rFonts w:cs="Arial"/>
          <w:spacing w:val="-4"/>
          <w:sz w:val="16"/>
          <w:lang w:eastAsia="es-CO"/>
        </w:rPr>
        <w:t>Fuente: Grupo de Desarrollo del Talento Humano</w:t>
      </w:r>
    </w:p>
    <w:p w:rsidR="00831800" w:rsidRPr="007608C2" w:rsidRDefault="00831800" w:rsidP="00831800">
      <w:pPr>
        <w:spacing w:before="100" w:beforeAutospacing="1" w:after="100" w:afterAutospacing="1" w:line="240" w:lineRule="auto"/>
        <w:jc w:val="both"/>
        <w:rPr>
          <w:rFonts w:cs="Arial"/>
        </w:rPr>
      </w:pPr>
      <w:r w:rsidRPr="007608C2">
        <w:rPr>
          <w:rFonts w:cs="Arial"/>
        </w:rPr>
        <w:t>Con esta identificación y validación, se formularon indicadores para las conductas de cada perfil, lo que permitió e la valoración de competencias mediante la observación, determinar si las competencias estaban presentes en cada colaborador y la definición de pl</w:t>
      </w:r>
      <w:r w:rsidR="0021510F">
        <w:rPr>
          <w:rFonts w:cs="Arial"/>
        </w:rPr>
        <w:t xml:space="preserve">anes de acción que les permita </w:t>
      </w:r>
      <w:r w:rsidRPr="007608C2">
        <w:rPr>
          <w:rFonts w:cs="Arial"/>
        </w:rPr>
        <w:t>elevar su grado de desarrollo. Para iniciar la formalización del proyecto enunciado, se propuso su inclusión en la Resolución que adopta el sistema de valoración de competencias de los colaboradores vinculados en provisionalidad, dentro del perfil de Defensor de Familia</w:t>
      </w:r>
    </w:p>
    <w:p w:rsidR="00831800" w:rsidRPr="007608C2" w:rsidRDefault="00831800" w:rsidP="00831800">
      <w:pPr>
        <w:spacing w:before="100" w:beforeAutospacing="1" w:after="100" w:afterAutospacing="1" w:line="240" w:lineRule="auto"/>
        <w:jc w:val="both"/>
        <w:rPr>
          <w:rFonts w:eastAsia="Times New Roman" w:cs="Arial"/>
          <w:lang w:val="es-CO" w:eastAsia="es-ES"/>
        </w:rPr>
      </w:pPr>
      <w:r w:rsidRPr="007608C2">
        <w:rPr>
          <w:rFonts w:eastAsia="Times New Roman" w:cs="Arial"/>
          <w:lang w:val="es-CO" w:eastAsia="es-ES"/>
        </w:rPr>
        <w:t>Por otro lado, en lo que respecta al tema de Inducción se implementó el indicador inducción virtual 2017, con el fin de llevar una medición más detallada mostrando una mejora significativa desde su primera medición (Regional 39.06% - Nacional 42.85%) quedando en rango crítico, para obtener unos resultados en la quinta medición en el rango adecuado (Regional con 93,38 y Nacional con 90,96%).</w:t>
      </w:r>
    </w:p>
    <w:p w:rsidR="00831800" w:rsidRPr="007608C2" w:rsidRDefault="00831800" w:rsidP="00A44A2B">
      <w:pPr>
        <w:pStyle w:val="Ttulo2"/>
        <w:numPr>
          <w:ilvl w:val="1"/>
          <w:numId w:val="139"/>
        </w:numPr>
        <w:spacing w:before="100" w:beforeAutospacing="1" w:after="100" w:afterAutospacing="1" w:line="240" w:lineRule="auto"/>
        <w:jc w:val="both"/>
        <w:rPr>
          <w:rFonts w:cs="Arial"/>
          <w:b/>
          <w:szCs w:val="22"/>
        </w:rPr>
      </w:pPr>
      <w:bookmarkStart w:id="149" w:name="_Toc470095203"/>
      <w:bookmarkStart w:id="150" w:name="_Toc503465543"/>
      <w:r w:rsidRPr="007608C2">
        <w:rPr>
          <w:rFonts w:cs="Arial"/>
          <w:b/>
          <w:szCs w:val="22"/>
        </w:rPr>
        <w:lastRenderedPageBreak/>
        <w:t xml:space="preserve"> </w:t>
      </w:r>
      <w:bookmarkStart w:id="151" w:name="_Toc505183094"/>
      <w:r w:rsidRPr="007608C2">
        <w:rPr>
          <w:rFonts w:cs="Arial"/>
          <w:b/>
          <w:szCs w:val="22"/>
        </w:rPr>
        <w:t>Plan de bienestar e incentivos</w:t>
      </w:r>
      <w:bookmarkEnd w:id="149"/>
      <w:bookmarkEnd w:id="150"/>
      <w:bookmarkEnd w:id="151"/>
    </w:p>
    <w:p w:rsidR="00831800" w:rsidRPr="007608C2" w:rsidRDefault="00831800" w:rsidP="00831800">
      <w:pPr>
        <w:pStyle w:val="Textoindependiente"/>
        <w:spacing w:before="100" w:beforeAutospacing="1" w:after="100" w:afterAutospacing="1"/>
        <w:rPr>
          <w:rFonts w:ascii="Arial" w:hAnsi="Arial" w:cs="Arial"/>
          <w:sz w:val="22"/>
          <w:szCs w:val="22"/>
        </w:rPr>
      </w:pPr>
      <w:r w:rsidRPr="007608C2">
        <w:rPr>
          <w:rFonts w:ascii="Arial" w:hAnsi="Arial" w:cs="Arial"/>
          <w:sz w:val="22"/>
          <w:szCs w:val="22"/>
        </w:rPr>
        <w:t>Las actividades de bienestar tienen como objetivo fomentar el desarrollo humano integral del servidor público, a través del mejoramiento de su nivel de vida individual, social y familiar, contribuyendo a elevar los niveles de satisfacción y efectividad en el campo laboral dentro del marco normativo de la Ley 909 de 2004 y el Decreto 1083 de 2015. Marco dentro del cual se desarrollaron múltiples actividades en el periodo revisado.</w:t>
      </w:r>
    </w:p>
    <w:p w:rsidR="00831800" w:rsidRPr="007608C2" w:rsidRDefault="00831800" w:rsidP="00831800">
      <w:pPr>
        <w:pStyle w:val="Textoindependiente"/>
        <w:spacing w:before="100" w:beforeAutospacing="1" w:after="100" w:afterAutospacing="1"/>
        <w:rPr>
          <w:rFonts w:ascii="Arial" w:hAnsi="Arial" w:cs="Arial"/>
          <w:sz w:val="22"/>
          <w:szCs w:val="22"/>
        </w:rPr>
      </w:pPr>
      <w:r w:rsidRPr="007608C2">
        <w:rPr>
          <w:rFonts w:ascii="Arial" w:hAnsi="Arial" w:cs="Arial"/>
          <w:sz w:val="22"/>
          <w:szCs w:val="22"/>
        </w:rPr>
        <w:t>Dentro del programa de bienestar se establecieron tres componentes: i) calidad de vida laboral, ii) protección y servicios sociales, iii) Estar bien es bienestar, en  el que se encuentran las siguientes actividades para las 33 regionales y sede de la Dirección General:</w:t>
      </w:r>
    </w:p>
    <w:p w:rsidR="00831800" w:rsidRPr="007608C2" w:rsidRDefault="00831800" w:rsidP="00831800">
      <w:pPr>
        <w:pStyle w:val="Textoindependiente"/>
        <w:spacing w:before="100" w:beforeAutospacing="1" w:after="100" w:afterAutospacing="1"/>
        <w:rPr>
          <w:rFonts w:ascii="Arial" w:hAnsi="Arial" w:cs="Arial"/>
          <w:b/>
          <w:sz w:val="22"/>
          <w:szCs w:val="22"/>
        </w:rPr>
      </w:pPr>
      <w:r w:rsidRPr="007608C2">
        <w:rPr>
          <w:rFonts w:ascii="Arial" w:hAnsi="Arial" w:cs="Arial"/>
          <w:b/>
          <w:sz w:val="22"/>
          <w:szCs w:val="22"/>
        </w:rPr>
        <w:t>Actividades de los componentes del programa de bienestar 2017</w:t>
      </w: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2419"/>
        <w:gridCol w:w="3910"/>
        <w:gridCol w:w="3066"/>
      </w:tblGrid>
      <w:tr w:rsidR="00831800" w:rsidRPr="0021510F" w:rsidTr="00985A5D">
        <w:trPr>
          <w:trHeight w:val="50"/>
          <w:tblHeader/>
          <w:jc w:val="center"/>
        </w:trPr>
        <w:tc>
          <w:tcPr>
            <w:tcW w:w="0" w:type="auto"/>
            <w:shd w:val="clear" w:color="auto" w:fill="76922E"/>
            <w:vAlign w:val="center"/>
            <w:hideMark/>
          </w:tcPr>
          <w:p w:rsidR="00831800" w:rsidRPr="0021510F" w:rsidRDefault="00831800" w:rsidP="0021510F">
            <w:pPr>
              <w:spacing w:before="100" w:beforeAutospacing="1" w:after="100" w:afterAutospacing="1" w:line="240" w:lineRule="auto"/>
              <w:jc w:val="center"/>
              <w:rPr>
                <w:rFonts w:eastAsia="Times New Roman" w:cs="Arial"/>
                <w:b/>
                <w:bCs/>
                <w:color w:val="FFFFFF" w:themeColor="background1"/>
                <w:sz w:val="18"/>
                <w:lang w:val="es-CO" w:eastAsia="es-CO"/>
              </w:rPr>
            </w:pPr>
            <w:r w:rsidRPr="0021510F">
              <w:rPr>
                <w:rFonts w:eastAsia="Times New Roman" w:cs="Arial"/>
                <w:b/>
                <w:bCs/>
                <w:color w:val="FFFFFF" w:themeColor="background1"/>
                <w:sz w:val="18"/>
                <w:lang w:eastAsia="es-CO"/>
              </w:rPr>
              <w:t>Calidad de Vida Laboral</w:t>
            </w:r>
          </w:p>
        </w:tc>
        <w:tc>
          <w:tcPr>
            <w:tcW w:w="0" w:type="auto"/>
            <w:shd w:val="clear" w:color="auto" w:fill="76922E"/>
            <w:vAlign w:val="center"/>
            <w:hideMark/>
          </w:tcPr>
          <w:p w:rsidR="00831800" w:rsidRPr="0021510F" w:rsidRDefault="00831800" w:rsidP="0021510F">
            <w:pPr>
              <w:spacing w:before="100" w:beforeAutospacing="1" w:after="100" w:afterAutospacing="1" w:line="240" w:lineRule="auto"/>
              <w:jc w:val="center"/>
              <w:rPr>
                <w:rFonts w:eastAsia="Times New Roman" w:cs="Arial"/>
                <w:b/>
                <w:bCs/>
                <w:color w:val="FFFFFF" w:themeColor="background1"/>
                <w:sz w:val="18"/>
                <w:lang w:val="es-CO" w:eastAsia="es-CO"/>
              </w:rPr>
            </w:pPr>
            <w:r w:rsidRPr="0021510F">
              <w:rPr>
                <w:rFonts w:eastAsia="Times New Roman" w:cs="Arial"/>
                <w:b/>
                <w:bCs/>
                <w:color w:val="FFFFFF" w:themeColor="background1"/>
                <w:sz w:val="18"/>
                <w:lang w:eastAsia="es-CO"/>
              </w:rPr>
              <w:t>Protección y Servicios Sociales</w:t>
            </w:r>
          </w:p>
        </w:tc>
        <w:tc>
          <w:tcPr>
            <w:tcW w:w="0" w:type="auto"/>
            <w:shd w:val="clear" w:color="auto" w:fill="76922E"/>
            <w:vAlign w:val="center"/>
            <w:hideMark/>
          </w:tcPr>
          <w:p w:rsidR="00831800" w:rsidRPr="0021510F" w:rsidRDefault="00831800" w:rsidP="0021510F">
            <w:pPr>
              <w:spacing w:before="100" w:beforeAutospacing="1" w:after="100" w:afterAutospacing="1" w:line="240" w:lineRule="auto"/>
              <w:jc w:val="center"/>
              <w:rPr>
                <w:rFonts w:eastAsia="Times New Roman" w:cs="Arial"/>
                <w:b/>
                <w:bCs/>
                <w:color w:val="FFFFFF" w:themeColor="background1"/>
                <w:sz w:val="18"/>
                <w:lang w:val="es-CO" w:eastAsia="es-CO"/>
              </w:rPr>
            </w:pPr>
            <w:r w:rsidRPr="0021510F">
              <w:rPr>
                <w:rFonts w:eastAsia="Times New Roman" w:cs="Arial"/>
                <w:b/>
                <w:bCs/>
                <w:color w:val="FFFFFF" w:themeColor="background1"/>
                <w:sz w:val="18"/>
                <w:lang w:eastAsia="es-CO"/>
              </w:rPr>
              <w:t>Estar Bien es Bienestar</w:t>
            </w:r>
          </w:p>
        </w:tc>
      </w:tr>
      <w:tr w:rsidR="00831800" w:rsidRPr="0021510F" w:rsidTr="00985A5D">
        <w:trPr>
          <w:trHeight w:val="60"/>
          <w:jc w:val="center"/>
        </w:trPr>
        <w:tc>
          <w:tcPr>
            <w:tcW w:w="0" w:type="auto"/>
            <w:vMerge w:val="restart"/>
            <w:shd w:val="clear" w:color="auto" w:fill="auto"/>
            <w:vAlign w:val="center"/>
            <w:hideMark/>
          </w:tcPr>
          <w:p w:rsidR="00831800" w:rsidRPr="0021510F" w:rsidRDefault="00831800" w:rsidP="00F26175">
            <w:pPr>
              <w:spacing w:before="100" w:beforeAutospacing="1" w:after="100" w:afterAutospacing="1" w:line="240" w:lineRule="auto"/>
              <w:jc w:val="both"/>
              <w:rPr>
                <w:rFonts w:eastAsia="Times New Roman" w:cs="Arial"/>
                <w:sz w:val="18"/>
                <w:lang w:val="es-CO" w:eastAsia="es-CO"/>
              </w:rPr>
            </w:pPr>
            <w:r w:rsidRPr="0021510F">
              <w:rPr>
                <w:rFonts w:eastAsia="Times New Roman" w:cs="Arial"/>
                <w:sz w:val="18"/>
                <w:lang w:eastAsia="es-CO"/>
              </w:rPr>
              <w:t>Medición de clima laboral</w:t>
            </w:r>
          </w:p>
        </w:tc>
        <w:tc>
          <w:tcPr>
            <w:tcW w:w="0" w:type="auto"/>
            <w:shd w:val="clear" w:color="auto" w:fill="auto"/>
            <w:vAlign w:val="center"/>
            <w:hideMark/>
          </w:tcPr>
          <w:p w:rsidR="00831800" w:rsidRPr="0021510F" w:rsidRDefault="00831800" w:rsidP="00F26175">
            <w:pPr>
              <w:spacing w:before="100" w:beforeAutospacing="1" w:after="100" w:afterAutospacing="1" w:line="240" w:lineRule="auto"/>
              <w:jc w:val="both"/>
              <w:rPr>
                <w:rFonts w:eastAsia="Times New Roman" w:cs="Arial"/>
                <w:sz w:val="18"/>
                <w:lang w:val="es-CO" w:eastAsia="es-CO"/>
              </w:rPr>
            </w:pPr>
            <w:r w:rsidRPr="0021510F">
              <w:rPr>
                <w:rFonts w:eastAsia="Times New Roman" w:cs="Arial"/>
                <w:sz w:val="18"/>
                <w:lang w:eastAsia="es-CO"/>
              </w:rPr>
              <w:t>Actividades deportivas</w:t>
            </w:r>
          </w:p>
        </w:tc>
        <w:tc>
          <w:tcPr>
            <w:tcW w:w="0" w:type="auto"/>
            <w:shd w:val="clear" w:color="auto" w:fill="auto"/>
            <w:vAlign w:val="center"/>
            <w:hideMark/>
          </w:tcPr>
          <w:p w:rsidR="00831800" w:rsidRPr="0021510F" w:rsidRDefault="00831800" w:rsidP="00F26175">
            <w:pPr>
              <w:spacing w:before="100" w:beforeAutospacing="1" w:after="100" w:afterAutospacing="1" w:line="240" w:lineRule="auto"/>
              <w:jc w:val="both"/>
              <w:rPr>
                <w:rFonts w:eastAsia="Times New Roman" w:cs="Arial"/>
                <w:sz w:val="18"/>
                <w:lang w:val="es-CO" w:eastAsia="es-CO"/>
              </w:rPr>
            </w:pPr>
            <w:r w:rsidRPr="0021510F">
              <w:rPr>
                <w:rFonts w:eastAsia="Times New Roman" w:cs="Arial"/>
                <w:sz w:val="18"/>
                <w:lang w:eastAsia="es-CO"/>
              </w:rPr>
              <w:t>Quiero conocer tu mundo</w:t>
            </w:r>
          </w:p>
        </w:tc>
      </w:tr>
      <w:tr w:rsidR="00831800" w:rsidRPr="0021510F" w:rsidTr="00985A5D">
        <w:trPr>
          <w:trHeight w:val="60"/>
          <w:jc w:val="center"/>
        </w:trPr>
        <w:tc>
          <w:tcPr>
            <w:tcW w:w="0" w:type="auto"/>
            <w:vMerge/>
            <w:vAlign w:val="center"/>
            <w:hideMark/>
          </w:tcPr>
          <w:p w:rsidR="00831800" w:rsidRPr="0021510F" w:rsidRDefault="00831800" w:rsidP="00F26175">
            <w:pPr>
              <w:spacing w:before="100" w:beforeAutospacing="1" w:after="100" w:afterAutospacing="1" w:line="240" w:lineRule="auto"/>
              <w:jc w:val="both"/>
              <w:rPr>
                <w:rFonts w:eastAsia="Times New Roman" w:cs="Arial"/>
                <w:sz w:val="18"/>
                <w:lang w:val="es-CO" w:eastAsia="es-CO"/>
              </w:rPr>
            </w:pPr>
          </w:p>
        </w:tc>
        <w:tc>
          <w:tcPr>
            <w:tcW w:w="0" w:type="auto"/>
            <w:shd w:val="clear" w:color="auto" w:fill="auto"/>
            <w:vAlign w:val="center"/>
            <w:hideMark/>
          </w:tcPr>
          <w:p w:rsidR="00831800" w:rsidRPr="0021510F" w:rsidRDefault="00831800" w:rsidP="00F26175">
            <w:pPr>
              <w:spacing w:before="100" w:beforeAutospacing="1" w:after="100" w:afterAutospacing="1" w:line="240" w:lineRule="auto"/>
              <w:jc w:val="both"/>
              <w:rPr>
                <w:rFonts w:eastAsia="Times New Roman" w:cs="Arial"/>
                <w:sz w:val="18"/>
                <w:lang w:val="es-CO" w:eastAsia="es-CO"/>
              </w:rPr>
            </w:pPr>
            <w:r w:rsidRPr="0021510F">
              <w:rPr>
                <w:rFonts w:eastAsia="Times New Roman" w:cs="Arial"/>
                <w:sz w:val="18"/>
                <w:lang w:eastAsia="es-CO"/>
              </w:rPr>
              <w:t>Actividades recreativas y vacacionales</w:t>
            </w:r>
          </w:p>
        </w:tc>
        <w:tc>
          <w:tcPr>
            <w:tcW w:w="0" w:type="auto"/>
            <w:shd w:val="clear" w:color="auto" w:fill="auto"/>
            <w:vAlign w:val="center"/>
            <w:hideMark/>
          </w:tcPr>
          <w:p w:rsidR="00831800" w:rsidRPr="0021510F" w:rsidRDefault="00831800" w:rsidP="00F26175">
            <w:pPr>
              <w:spacing w:before="100" w:beforeAutospacing="1" w:after="100" w:afterAutospacing="1" w:line="240" w:lineRule="auto"/>
              <w:jc w:val="both"/>
              <w:rPr>
                <w:rFonts w:eastAsia="Times New Roman" w:cs="Arial"/>
                <w:sz w:val="18"/>
                <w:lang w:val="es-CO" w:eastAsia="es-CO"/>
              </w:rPr>
            </w:pPr>
            <w:r w:rsidRPr="0021510F">
              <w:rPr>
                <w:rFonts w:eastAsia="Times New Roman" w:cs="Arial"/>
                <w:sz w:val="18"/>
                <w:lang w:eastAsia="es-CO"/>
              </w:rPr>
              <w:t>Buzón de sugerencias</w:t>
            </w:r>
          </w:p>
        </w:tc>
      </w:tr>
      <w:tr w:rsidR="00831800" w:rsidRPr="0021510F" w:rsidTr="00985A5D">
        <w:trPr>
          <w:trHeight w:val="60"/>
          <w:jc w:val="center"/>
        </w:trPr>
        <w:tc>
          <w:tcPr>
            <w:tcW w:w="0" w:type="auto"/>
            <w:vMerge/>
            <w:vAlign w:val="center"/>
            <w:hideMark/>
          </w:tcPr>
          <w:p w:rsidR="00831800" w:rsidRPr="0021510F" w:rsidRDefault="00831800" w:rsidP="00F26175">
            <w:pPr>
              <w:spacing w:before="100" w:beforeAutospacing="1" w:after="100" w:afterAutospacing="1" w:line="240" w:lineRule="auto"/>
              <w:jc w:val="both"/>
              <w:rPr>
                <w:rFonts w:eastAsia="Times New Roman" w:cs="Arial"/>
                <w:sz w:val="18"/>
                <w:lang w:val="es-CO" w:eastAsia="es-CO"/>
              </w:rPr>
            </w:pPr>
          </w:p>
        </w:tc>
        <w:tc>
          <w:tcPr>
            <w:tcW w:w="0" w:type="auto"/>
            <w:shd w:val="clear" w:color="auto" w:fill="auto"/>
            <w:vAlign w:val="center"/>
            <w:hideMark/>
          </w:tcPr>
          <w:p w:rsidR="00831800" w:rsidRPr="0021510F" w:rsidRDefault="00831800" w:rsidP="00F26175">
            <w:pPr>
              <w:spacing w:before="100" w:beforeAutospacing="1" w:after="100" w:afterAutospacing="1" w:line="240" w:lineRule="auto"/>
              <w:jc w:val="both"/>
              <w:rPr>
                <w:rFonts w:eastAsia="Times New Roman" w:cs="Arial"/>
                <w:sz w:val="18"/>
                <w:lang w:val="es-CO" w:eastAsia="es-CO"/>
              </w:rPr>
            </w:pPr>
            <w:r w:rsidRPr="0021510F">
              <w:rPr>
                <w:rFonts w:eastAsia="Times New Roman" w:cs="Arial"/>
                <w:sz w:val="18"/>
                <w:lang w:eastAsia="es-CO"/>
              </w:rPr>
              <w:t>Actividades culturales y artísticas</w:t>
            </w:r>
          </w:p>
        </w:tc>
        <w:tc>
          <w:tcPr>
            <w:tcW w:w="0" w:type="auto"/>
            <w:shd w:val="clear" w:color="auto" w:fill="auto"/>
            <w:vAlign w:val="center"/>
            <w:hideMark/>
          </w:tcPr>
          <w:p w:rsidR="00831800" w:rsidRPr="0021510F" w:rsidRDefault="00831800" w:rsidP="00F26175">
            <w:pPr>
              <w:spacing w:before="100" w:beforeAutospacing="1" w:after="100" w:afterAutospacing="1" w:line="240" w:lineRule="auto"/>
              <w:jc w:val="both"/>
              <w:rPr>
                <w:rFonts w:eastAsia="Times New Roman" w:cs="Arial"/>
                <w:sz w:val="18"/>
                <w:lang w:val="es-CO" w:eastAsia="es-CO"/>
              </w:rPr>
            </w:pPr>
            <w:r w:rsidRPr="0021510F">
              <w:rPr>
                <w:rFonts w:eastAsia="Times New Roman" w:cs="Arial"/>
                <w:sz w:val="18"/>
                <w:lang w:eastAsia="es-CO"/>
              </w:rPr>
              <w:t>Tardes de viernes</w:t>
            </w:r>
          </w:p>
        </w:tc>
      </w:tr>
      <w:tr w:rsidR="00831800" w:rsidRPr="0021510F" w:rsidTr="00985A5D">
        <w:trPr>
          <w:trHeight w:val="60"/>
          <w:jc w:val="center"/>
        </w:trPr>
        <w:tc>
          <w:tcPr>
            <w:tcW w:w="0" w:type="auto"/>
            <w:vMerge w:val="restart"/>
            <w:shd w:val="clear" w:color="auto" w:fill="auto"/>
            <w:vAlign w:val="center"/>
            <w:hideMark/>
          </w:tcPr>
          <w:p w:rsidR="00831800" w:rsidRPr="0021510F" w:rsidRDefault="00831800" w:rsidP="00F26175">
            <w:pPr>
              <w:spacing w:before="100" w:beforeAutospacing="1" w:after="100" w:afterAutospacing="1" w:line="240" w:lineRule="auto"/>
              <w:jc w:val="both"/>
              <w:rPr>
                <w:rFonts w:eastAsia="Times New Roman" w:cs="Arial"/>
                <w:sz w:val="18"/>
                <w:lang w:val="es-CO" w:eastAsia="es-CO"/>
              </w:rPr>
            </w:pPr>
            <w:r w:rsidRPr="0021510F">
              <w:rPr>
                <w:rFonts w:eastAsia="Times New Roman" w:cs="Arial"/>
                <w:sz w:val="18"/>
                <w:lang w:eastAsia="es-CO"/>
              </w:rPr>
              <w:t>Día Nacional del Servidor Público</w:t>
            </w:r>
          </w:p>
        </w:tc>
        <w:tc>
          <w:tcPr>
            <w:tcW w:w="0" w:type="auto"/>
            <w:vMerge w:val="restart"/>
            <w:shd w:val="clear" w:color="auto" w:fill="auto"/>
            <w:vAlign w:val="center"/>
            <w:hideMark/>
          </w:tcPr>
          <w:p w:rsidR="00831800" w:rsidRPr="0021510F" w:rsidRDefault="00831800" w:rsidP="00F26175">
            <w:pPr>
              <w:spacing w:before="100" w:beforeAutospacing="1" w:after="100" w:afterAutospacing="1" w:line="240" w:lineRule="auto"/>
              <w:jc w:val="both"/>
              <w:rPr>
                <w:rFonts w:eastAsia="Times New Roman" w:cs="Arial"/>
                <w:sz w:val="18"/>
                <w:lang w:val="es-CO" w:eastAsia="es-CO"/>
              </w:rPr>
            </w:pPr>
            <w:r w:rsidRPr="0021510F">
              <w:rPr>
                <w:rFonts w:eastAsia="Times New Roman" w:cs="Arial"/>
                <w:sz w:val="18"/>
                <w:lang w:eastAsia="es-CO"/>
              </w:rPr>
              <w:t>Capacitaciones informarles “talleres de manualidades”</w:t>
            </w:r>
          </w:p>
        </w:tc>
        <w:tc>
          <w:tcPr>
            <w:tcW w:w="0" w:type="auto"/>
            <w:shd w:val="clear" w:color="auto" w:fill="auto"/>
            <w:vAlign w:val="center"/>
            <w:hideMark/>
          </w:tcPr>
          <w:p w:rsidR="00831800" w:rsidRPr="0021510F" w:rsidRDefault="00831800" w:rsidP="00F26175">
            <w:pPr>
              <w:spacing w:before="100" w:beforeAutospacing="1" w:after="100" w:afterAutospacing="1" w:line="240" w:lineRule="auto"/>
              <w:jc w:val="both"/>
              <w:rPr>
                <w:rFonts w:eastAsia="Times New Roman" w:cs="Arial"/>
                <w:sz w:val="18"/>
                <w:lang w:val="es-CO" w:eastAsia="es-CO"/>
              </w:rPr>
            </w:pPr>
            <w:r w:rsidRPr="0021510F">
              <w:rPr>
                <w:rFonts w:eastAsia="Times New Roman" w:cs="Arial"/>
                <w:sz w:val="18"/>
                <w:lang w:eastAsia="es-CO"/>
              </w:rPr>
              <w:t>Talleres para Servidores Públicos y Familias</w:t>
            </w:r>
          </w:p>
        </w:tc>
      </w:tr>
      <w:tr w:rsidR="00831800" w:rsidRPr="0021510F" w:rsidTr="00985A5D">
        <w:trPr>
          <w:trHeight w:val="60"/>
          <w:jc w:val="center"/>
        </w:trPr>
        <w:tc>
          <w:tcPr>
            <w:tcW w:w="0" w:type="auto"/>
            <w:vMerge/>
            <w:vAlign w:val="center"/>
            <w:hideMark/>
          </w:tcPr>
          <w:p w:rsidR="00831800" w:rsidRPr="0021510F" w:rsidRDefault="00831800" w:rsidP="00F26175">
            <w:pPr>
              <w:spacing w:before="100" w:beforeAutospacing="1" w:after="100" w:afterAutospacing="1" w:line="240" w:lineRule="auto"/>
              <w:jc w:val="both"/>
              <w:rPr>
                <w:rFonts w:eastAsia="Times New Roman" w:cs="Arial"/>
                <w:sz w:val="18"/>
                <w:lang w:val="es-CO" w:eastAsia="es-CO"/>
              </w:rPr>
            </w:pPr>
          </w:p>
        </w:tc>
        <w:tc>
          <w:tcPr>
            <w:tcW w:w="0" w:type="auto"/>
            <w:vMerge/>
            <w:vAlign w:val="center"/>
            <w:hideMark/>
          </w:tcPr>
          <w:p w:rsidR="00831800" w:rsidRPr="0021510F" w:rsidRDefault="00831800" w:rsidP="00F26175">
            <w:pPr>
              <w:spacing w:before="100" w:beforeAutospacing="1" w:after="100" w:afterAutospacing="1" w:line="240" w:lineRule="auto"/>
              <w:jc w:val="both"/>
              <w:rPr>
                <w:rFonts w:eastAsia="Times New Roman" w:cs="Arial"/>
                <w:sz w:val="18"/>
                <w:lang w:val="es-CO" w:eastAsia="es-CO"/>
              </w:rPr>
            </w:pPr>
          </w:p>
        </w:tc>
        <w:tc>
          <w:tcPr>
            <w:tcW w:w="0" w:type="auto"/>
            <w:shd w:val="clear" w:color="auto" w:fill="auto"/>
            <w:vAlign w:val="center"/>
            <w:hideMark/>
          </w:tcPr>
          <w:p w:rsidR="00831800" w:rsidRPr="0021510F" w:rsidRDefault="00831800" w:rsidP="00F26175">
            <w:pPr>
              <w:spacing w:before="100" w:beforeAutospacing="1" w:after="100" w:afterAutospacing="1" w:line="240" w:lineRule="auto"/>
              <w:jc w:val="both"/>
              <w:rPr>
                <w:rFonts w:eastAsia="Times New Roman" w:cs="Arial"/>
                <w:sz w:val="18"/>
                <w:lang w:val="es-CO" w:eastAsia="es-CO"/>
              </w:rPr>
            </w:pPr>
            <w:r w:rsidRPr="0021510F">
              <w:rPr>
                <w:rFonts w:eastAsia="Times New Roman" w:cs="Arial"/>
                <w:sz w:val="18"/>
                <w:lang w:eastAsia="es-CO"/>
              </w:rPr>
              <w:t>Vivamos la misión ICBF</w:t>
            </w:r>
          </w:p>
        </w:tc>
      </w:tr>
      <w:tr w:rsidR="00831800" w:rsidRPr="0021510F" w:rsidTr="00985A5D">
        <w:trPr>
          <w:trHeight w:val="60"/>
          <w:jc w:val="center"/>
        </w:trPr>
        <w:tc>
          <w:tcPr>
            <w:tcW w:w="0" w:type="auto"/>
            <w:vMerge w:val="restart"/>
            <w:shd w:val="clear" w:color="auto" w:fill="auto"/>
            <w:vAlign w:val="center"/>
            <w:hideMark/>
          </w:tcPr>
          <w:p w:rsidR="00831800" w:rsidRPr="0021510F" w:rsidRDefault="00831800" w:rsidP="00F26175">
            <w:pPr>
              <w:spacing w:before="100" w:beforeAutospacing="1" w:after="100" w:afterAutospacing="1" w:line="240" w:lineRule="auto"/>
              <w:jc w:val="both"/>
              <w:rPr>
                <w:rFonts w:eastAsia="Times New Roman" w:cs="Arial"/>
                <w:sz w:val="18"/>
                <w:lang w:val="es-CO" w:eastAsia="es-CO"/>
              </w:rPr>
            </w:pPr>
            <w:r w:rsidRPr="0021510F">
              <w:rPr>
                <w:rFonts w:eastAsia="Times New Roman" w:cs="Arial"/>
                <w:sz w:val="18"/>
                <w:lang w:eastAsia="es-CO"/>
              </w:rPr>
              <w:t>Pre pensionados</w:t>
            </w:r>
          </w:p>
        </w:tc>
        <w:tc>
          <w:tcPr>
            <w:tcW w:w="0" w:type="auto"/>
            <w:vMerge w:val="restart"/>
            <w:shd w:val="clear" w:color="auto" w:fill="auto"/>
            <w:vAlign w:val="center"/>
            <w:hideMark/>
          </w:tcPr>
          <w:p w:rsidR="00831800" w:rsidRPr="0021510F" w:rsidRDefault="00831800" w:rsidP="00F26175">
            <w:pPr>
              <w:spacing w:before="100" w:beforeAutospacing="1" w:after="100" w:afterAutospacing="1" w:line="240" w:lineRule="auto"/>
              <w:jc w:val="both"/>
              <w:rPr>
                <w:rFonts w:eastAsia="Times New Roman" w:cs="Arial"/>
                <w:sz w:val="18"/>
                <w:lang w:val="es-CO" w:eastAsia="es-CO"/>
              </w:rPr>
            </w:pPr>
            <w:r w:rsidRPr="0021510F">
              <w:rPr>
                <w:rFonts w:eastAsia="Times New Roman" w:cs="Arial"/>
                <w:sz w:val="18"/>
                <w:lang w:eastAsia="es-CO"/>
              </w:rPr>
              <w:t>Promoción y prevención de la salud “semana de la salud”</w:t>
            </w:r>
          </w:p>
        </w:tc>
        <w:tc>
          <w:tcPr>
            <w:tcW w:w="0" w:type="auto"/>
            <w:shd w:val="clear" w:color="auto" w:fill="auto"/>
            <w:vAlign w:val="center"/>
            <w:hideMark/>
          </w:tcPr>
          <w:p w:rsidR="00831800" w:rsidRPr="0021510F" w:rsidRDefault="00831800" w:rsidP="00F26175">
            <w:pPr>
              <w:spacing w:before="100" w:beforeAutospacing="1" w:after="100" w:afterAutospacing="1" w:line="240" w:lineRule="auto"/>
              <w:jc w:val="both"/>
              <w:rPr>
                <w:rFonts w:eastAsia="Times New Roman" w:cs="Arial"/>
                <w:sz w:val="18"/>
                <w:lang w:val="es-CO" w:eastAsia="es-CO"/>
              </w:rPr>
            </w:pPr>
            <w:r w:rsidRPr="0021510F">
              <w:rPr>
                <w:rFonts w:eastAsia="Times New Roman" w:cs="Arial"/>
                <w:sz w:val="18"/>
                <w:lang w:eastAsia="es-CO"/>
              </w:rPr>
              <w:t>Campaña del buen trato</w:t>
            </w:r>
          </w:p>
        </w:tc>
      </w:tr>
      <w:tr w:rsidR="00831800" w:rsidRPr="0021510F" w:rsidTr="00985A5D">
        <w:trPr>
          <w:trHeight w:val="60"/>
          <w:jc w:val="center"/>
        </w:trPr>
        <w:tc>
          <w:tcPr>
            <w:tcW w:w="0" w:type="auto"/>
            <w:vMerge/>
            <w:shd w:val="clear" w:color="auto" w:fill="auto"/>
            <w:vAlign w:val="center"/>
          </w:tcPr>
          <w:p w:rsidR="00831800" w:rsidRPr="0021510F" w:rsidRDefault="00831800" w:rsidP="00F26175">
            <w:pPr>
              <w:spacing w:before="100" w:beforeAutospacing="1" w:after="100" w:afterAutospacing="1" w:line="240" w:lineRule="auto"/>
              <w:jc w:val="both"/>
              <w:rPr>
                <w:rFonts w:eastAsia="Times New Roman" w:cs="Arial"/>
                <w:sz w:val="18"/>
                <w:lang w:eastAsia="es-CO"/>
              </w:rPr>
            </w:pPr>
          </w:p>
        </w:tc>
        <w:tc>
          <w:tcPr>
            <w:tcW w:w="0" w:type="auto"/>
            <w:vMerge/>
            <w:shd w:val="clear" w:color="auto" w:fill="auto"/>
            <w:vAlign w:val="center"/>
          </w:tcPr>
          <w:p w:rsidR="00831800" w:rsidRPr="0021510F" w:rsidRDefault="00831800" w:rsidP="00F26175">
            <w:pPr>
              <w:spacing w:before="100" w:beforeAutospacing="1" w:after="100" w:afterAutospacing="1" w:line="240" w:lineRule="auto"/>
              <w:jc w:val="both"/>
              <w:rPr>
                <w:rFonts w:eastAsia="Times New Roman" w:cs="Arial"/>
                <w:sz w:val="18"/>
                <w:lang w:eastAsia="es-CO"/>
              </w:rPr>
            </w:pPr>
          </w:p>
        </w:tc>
        <w:tc>
          <w:tcPr>
            <w:tcW w:w="0" w:type="auto"/>
            <w:shd w:val="clear" w:color="auto" w:fill="auto"/>
            <w:vAlign w:val="center"/>
          </w:tcPr>
          <w:p w:rsidR="00831800" w:rsidRPr="0021510F" w:rsidRDefault="00831800" w:rsidP="00F26175">
            <w:pPr>
              <w:spacing w:before="100" w:beforeAutospacing="1" w:after="100" w:afterAutospacing="1" w:line="240" w:lineRule="auto"/>
              <w:jc w:val="both"/>
              <w:rPr>
                <w:rFonts w:eastAsia="Times New Roman" w:cs="Arial"/>
                <w:sz w:val="18"/>
                <w:lang w:eastAsia="es-CO"/>
              </w:rPr>
            </w:pPr>
            <w:r w:rsidRPr="0021510F">
              <w:rPr>
                <w:rFonts w:eastAsia="Times New Roman" w:cs="Arial"/>
                <w:sz w:val="18"/>
                <w:lang w:eastAsia="es-CO"/>
              </w:rPr>
              <w:t>Olimpiadas del saber</w:t>
            </w:r>
          </w:p>
        </w:tc>
      </w:tr>
    </w:tbl>
    <w:p w:rsidR="00831800" w:rsidRPr="00985A5D" w:rsidRDefault="00831800" w:rsidP="00985A5D">
      <w:pPr>
        <w:spacing w:after="100" w:afterAutospacing="1" w:line="240" w:lineRule="auto"/>
        <w:jc w:val="center"/>
        <w:rPr>
          <w:rFonts w:cs="Arial"/>
          <w:spacing w:val="-4"/>
          <w:sz w:val="16"/>
          <w:szCs w:val="16"/>
          <w:lang w:eastAsia="es-CO"/>
        </w:rPr>
      </w:pPr>
      <w:r w:rsidRPr="00985A5D">
        <w:rPr>
          <w:rFonts w:cs="Arial"/>
          <w:spacing w:val="-4"/>
          <w:sz w:val="16"/>
          <w:szCs w:val="16"/>
          <w:lang w:eastAsia="es-CO"/>
        </w:rPr>
        <w:t>Fuente: Grupo de Desarrollo del Talento Humano</w:t>
      </w:r>
    </w:p>
    <w:p w:rsidR="00831800" w:rsidRPr="007608C2" w:rsidRDefault="00831800" w:rsidP="002A2234">
      <w:pPr>
        <w:pStyle w:val="Prrafodelista"/>
        <w:spacing w:before="100" w:beforeAutospacing="1" w:after="100" w:afterAutospacing="1" w:line="240" w:lineRule="auto"/>
        <w:ind w:left="0"/>
        <w:jc w:val="both"/>
        <w:rPr>
          <w:rFonts w:cs="Arial"/>
        </w:rPr>
      </w:pPr>
      <w:r w:rsidRPr="007608C2">
        <w:rPr>
          <w:rFonts w:cs="Arial"/>
        </w:rPr>
        <w:t>La ejecución del Plan de Bienestar implicó:</w:t>
      </w:r>
      <w:r w:rsidRPr="007608C2">
        <w:rPr>
          <w:rFonts w:eastAsia="Times New Roman" w:cs="Arial"/>
          <w:lang w:val="es-CO" w:eastAsia="es-ES"/>
        </w:rPr>
        <w:t xml:space="preserve"> i) elaboración de encuesta sociodemográfica para aplicar a los Servidores Públicos del ICBF, con el fin de conocer la población objetivo en la que  enfocarán las actividades del Plan; ii) elaboración del programa de bienestar del nivel nacional, el cual fue adoptado bajo la Resolución 1719 de 2017; iii) elaboración por parte de cada regional y la Sede de la Dirección General de cada plan de bienestar, los cuales fueron aprobados en febrero de 2017 y se encuentran en el siguiente enlace: </w:t>
      </w:r>
      <w:r w:rsidRPr="007608C2">
        <w:rPr>
          <w:rFonts w:cs="Arial"/>
        </w:rPr>
        <w:t>http://www.icbf.gov.co/portal/page/portal/IntranetICBF/organigrama/SecretariaGeneral/ghumana/talento-humano/bienestar-social</w:t>
      </w:r>
      <w:r w:rsidRPr="007608C2">
        <w:rPr>
          <w:rStyle w:val="Hipervnculo"/>
          <w:rFonts w:eastAsia="Times New Roman" w:cs="Arial"/>
          <w:lang w:eastAsia="es-ES"/>
        </w:rPr>
        <w:t>;</w:t>
      </w:r>
      <w:r w:rsidRPr="007608C2">
        <w:rPr>
          <w:rFonts w:cs="Arial"/>
          <w:lang w:val="es-CO"/>
        </w:rPr>
        <w:t xml:space="preserve"> i</w:t>
      </w:r>
      <w:r w:rsidRPr="007608C2">
        <w:rPr>
          <w:rFonts w:cs="Arial"/>
          <w:lang w:val="es-MX"/>
        </w:rPr>
        <w:t>v) adopción del Plan de Incentivos</w:t>
      </w:r>
      <w:r w:rsidRPr="007608C2">
        <w:rPr>
          <w:rStyle w:val="Refdenotaalpie"/>
          <w:rFonts w:cs="Arial"/>
          <w:lang w:val="es-MX"/>
        </w:rPr>
        <w:footnoteReference w:id="25"/>
      </w:r>
      <w:r w:rsidRPr="007608C2">
        <w:rPr>
          <w:rFonts w:cs="Arial"/>
          <w:lang w:val="es-MX"/>
        </w:rPr>
        <w:t xml:space="preserve"> mediante la Resolución 4600 de 2017; v) aplicación de la encuesta </w:t>
      </w:r>
      <w:r w:rsidRPr="007608C2">
        <w:rPr>
          <w:rFonts w:eastAsia="Times New Roman" w:cs="Arial"/>
          <w:lang w:val="es-CO" w:eastAsia="es-ES"/>
        </w:rPr>
        <w:t>de diagnóstico de necesidades para establecer las actividades a ejecutar dentro del programa de Bienestar para la vigencia 2018.</w:t>
      </w:r>
      <w:r w:rsidR="002A2234" w:rsidRPr="007608C2">
        <w:rPr>
          <w:rFonts w:eastAsia="Times New Roman" w:cs="Arial"/>
          <w:lang w:val="es-CO" w:eastAsia="es-ES"/>
        </w:rPr>
        <w:t xml:space="preserve"> </w:t>
      </w:r>
      <w:r w:rsidRPr="007608C2">
        <w:rPr>
          <w:rFonts w:cs="Arial"/>
        </w:rPr>
        <w:t xml:space="preserve">Las actividades ejecutadas que se destacaron de los planes de bienestar se describen a continuación: </w:t>
      </w:r>
    </w:p>
    <w:p w:rsidR="00831800" w:rsidRDefault="00831800" w:rsidP="00A44A2B">
      <w:pPr>
        <w:pStyle w:val="Prrafodelista"/>
        <w:numPr>
          <w:ilvl w:val="0"/>
          <w:numId w:val="11"/>
        </w:numPr>
        <w:spacing w:before="100" w:beforeAutospacing="1" w:after="100" w:afterAutospacing="1" w:line="240" w:lineRule="auto"/>
        <w:ind w:left="284" w:hanging="284"/>
        <w:jc w:val="both"/>
        <w:rPr>
          <w:rFonts w:cs="Arial"/>
        </w:rPr>
      </w:pPr>
      <w:r w:rsidRPr="007608C2">
        <w:rPr>
          <w:rFonts w:cs="Arial"/>
          <w:u w:val="single"/>
        </w:rPr>
        <w:t>Apoyo escolar a nivel nacional</w:t>
      </w:r>
      <w:r w:rsidRPr="007608C2">
        <w:rPr>
          <w:rFonts w:cs="Arial"/>
        </w:rPr>
        <w:t>: Con el fin de contribuir al mejoramiento del nivel educativo de los hijos de los servidores públicos</w:t>
      </w:r>
      <w:r w:rsidRPr="007608C2">
        <w:rPr>
          <w:rStyle w:val="Refdenotaalpie"/>
          <w:rFonts w:cs="Arial"/>
        </w:rPr>
        <w:footnoteReference w:id="26"/>
      </w:r>
      <w:r w:rsidRPr="007608C2">
        <w:rPr>
          <w:rFonts w:cs="Arial"/>
        </w:rPr>
        <w:t xml:space="preserve"> del ICBF, se realizaron dos convocatorias así:</w:t>
      </w:r>
    </w:p>
    <w:p w:rsidR="00946C2A" w:rsidRDefault="00946C2A" w:rsidP="00946C2A">
      <w:pPr>
        <w:spacing w:before="100" w:beforeAutospacing="1" w:after="100" w:afterAutospacing="1" w:line="240" w:lineRule="auto"/>
        <w:jc w:val="both"/>
        <w:rPr>
          <w:rFonts w:cs="Arial"/>
        </w:rPr>
      </w:pPr>
    </w:p>
    <w:p w:rsidR="00946C2A" w:rsidRPr="00946C2A" w:rsidRDefault="00946C2A" w:rsidP="00946C2A">
      <w:pPr>
        <w:spacing w:after="0" w:line="240" w:lineRule="auto"/>
        <w:jc w:val="both"/>
        <w:rPr>
          <w:rFonts w:cs="Arial"/>
        </w:rPr>
      </w:pP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921"/>
        <w:gridCol w:w="1291"/>
        <w:gridCol w:w="1611"/>
        <w:gridCol w:w="1242"/>
      </w:tblGrid>
      <w:tr w:rsidR="00831800" w:rsidRPr="00985A5D" w:rsidTr="00985A5D">
        <w:trPr>
          <w:trHeight w:val="50"/>
          <w:jc w:val="center"/>
        </w:trPr>
        <w:tc>
          <w:tcPr>
            <w:tcW w:w="0" w:type="auto"/>
            <w:gridSpan w:val="4"/>
            <w:shd w:val="clear" w:color="auto" w:fill="76922E"/>
            <w:noWrap/>
            <w:vAlign w:val="center"/>
            <w:hideMark/>
          </w:tcPr>
          <w:p w:rsidR="00831800" w:rsidRPr="00985A5D" w:rsidRDefault="00985A5D" w:rsidP="00F26175">
            <w:pPr>
              <w:spacing w:before="100" w:beforeAutospacing="1" w:after="100" w:afterAutospacing="1" w:line="240" w:lineRule="auto"/>
              <w:jc w:val="center"/>
              <w:rPr>
                <w:rFonts w:cs="Arial"/>
                <w:b/>
                <w:bCs/>
                <w:sz w:val="18"/>
                <w:szCs w:val="18"/>
                <w:lang w:eastAsia="es-CO"/>
              </w:rPr>
            </w:pPr>
            <w:r w:rsidRPr="00985A5D">
              <w:rPr>
                <w:rFonts w:cs="Arial"/>
                <w:b/>
                <w:bCs/>
                <w:color w:val="FFFFFF" w:themeColor="background1"/>
                <w:sz w:val="18"/>
                <w:szCs w:val="18"/>
                <w:lang w:eastAsia="es-CO"/>
              </w:rPr>
              <w:lastRenderedPageBreak/>
              <w:t>Apoyo Escolar</w:t>
            </w:r>
          </w:p>
        </w:tc>
      </w:tr>
      <w:tr w:rsidR="00831800" w:rsidRPr="00985A5D" w:rsidTr="00985A5D">
        <w:trPr>
          <w:trHeight w:val="50"/>
          <w:jc w:val="center"/>
        </w:trPr>
        <w:tc>
          <w:tcPr>
            <w:tcW w:w="0" w:type="auto"/>
            <w:shd w:val="clear" w:color="auto" w:fill="76922E"/>
            <w:noWrap/>
            <w:vAlign w:val="center"/>
            <w:hideMark/>
          </w:tcPr>
          <w:p w:rsidR="00831800" w:rsidRPr="00985A5D" w:rsidRDefault="00985A5D" w:rsidP="00F26175">
            <w:pPr>
              <w:spacing w:before="100" w:beforeAutospacing="1" w:after="100" w:afterAutospacing="1" w:line="240" w:lineRule="auto"/>
              <w:jc w:val="center"/>
              <w:rPr>
                <w:rFonts w:cs="Arial"/>
                <w:b/>
                <w:bCs/>
                <w:color w:val="FFFFFF" w:themeColor="background1"/>
                <w:sz w:val="18"/>
                <w:szCs w:val="18"/>
                <w:lang w:eastAsia="es-CO"/>
              </w:rPr>
            </w:pPr>
            <w:r w:rsidRPr="00985A5D">
              <w:rPr>
                <w:rFonts w:cs="Arial"/>
                <w:b/>
                <w:bCs/>
                <w:color w:val="FFFFFF" w:themeColor="background1"/>
                <w:sz w:val="18"/>
                <w:szCs w:val="18"/>
                <w:lang w:eastAsia="es-CO"/>
              </w:rPr>
              <w:t>Año</w:t>
            </w:r>
          </w:p>
        </w:tc>
        <w:tc>
          <w:tcPr>
            <w:tcW w:w="0" w:type="auto"/>
            <w:shd w:val="clear" w:color="auto" w:fill="76922E"/>
            <w:noWrap/>
            <w:vAlign w:val="center"/>
            <w:hideMark/>
          </w:tcPr>
          <w:p w:rsidR="00831800" w:rsidRPr="00985A5D" w:rsidRDefault="00985A5D" w:rsidP="00F26175">
            <w:pPr>
              <w:spacing w:before="100" w:beforeAutospacing="1" w:after="100" w:afterAutospacing="1" w:line="240" w:lineRule="auto"/>
              <w:jc w:val="center"/>
              <w:rPr>
                <w:rFonts w:cs="Arial"/>
                <w:b/>
                <w:bCs/>
                <w:color w:val="FFFFFF" w:themeColor="background1"/>
                <w:sz w:val="18"/>
                <w:szCs w:val="18"/>
                <w:lang w:eastAsia="es-CO"/>
              </w:rPr>
            </w:pPr>
            <w:r w:rsidRPr="00985A5D">
              <w:rPr>
                <w:rFonts w:eastAsia="Times New Roman" w:cs="Arial"/>
                <w:b/>
                <w:bCs/>
                <w:color w:val="FFFFFF" w:themeColor="background1"/>
                <w:sz w:val="18"/>
                <w:szCs w:val="18"/>
                <w:lang w:eastAsia="es-CO"/>
              </w:rPr>
              <w:t>Valor</w:t>
            </w:r>
            <w:r w:rsidRPr="00985A5D">
              <w:rPr>
                <w:rFonts w:cs="Arial"/>
                <w:b/>
                <w:bCs/>
                <w:color w:val="FFFFFF" w:themeColor="background1"/>
                <w:sz w:val="18"/>
                <w:szCs w:val="18"/>
                <w:lang w:eastAsia="es-CO"/>
              </w:rPr>
              <w:t xml:space="preserve"> Pagado</w:t>
            </w:r>
          </w:p>
        </w:tc>
        <w:tc>
          <w:tcPr>
            <w:tcW w:w="0" w:type="auto"/>
            <w:shd w:val="clear" w:color="auto" w:fill="76922E"/>
            <w:noWrap/>
            <w:vAlign w:val="center"/>
            <w:hideMark/>
          </w:tcPr>
          <w:p w:rsidR="00831800" w:rsidRPr="00985A5D" w:rsidRDefault="00985A5D" w:rsidP="00F26175">
            <w:pPr>
              <w:spacing w:before="100" w:beforeAutospacing="1" w:after="100" w:afterAutospacing="1" w:line="240" w:lineRule="auto"/>
              <w:jc w:val="center"/>
              <w:rPr>
                <w:rFonts w:cs="Arial"/>
                <w:b/>
                <w:bCs/>
                <w:color w:val="FFFFFF" w:themeColor="background1"/>
                <w:sz w:val="18"/>
                <w:szCs w:val="18"/>
                <w:lang w:eastAsia="es-CO"/>
              </w:rPr>
            </w:pPr>
            <w:r w:rsidRPr="00985A5D">
              <w:rPr>
                <w:rFonts w:cs="Arial"/>
                <w:b/>
                <w:bCs/>
                <w:color w:val="FFFFFF" w:themeColor="background1"/>
                <w:sz w:val="18"/>
                <w:szCs w:val="18"/>
                <w:lang w:eastAsia="es-CO"/>
              </w:rPr>
              <w:t>No. Beneficiarios</w:t>
            </w:r>
          </w:p>
        </w:tc>
        <w:tc>
          <w:tcPr>
            <w:tcW w:w="0" w:type="auto"/>
            <w:shd w:val="clear" w:color="auto" w:fill="76922E"/>
            <w:noWrap/>
            <w:vAlign w:val="center"/>
            <w:hideMark/>
          </w:tcPr>
          <w:p w:rsidR="00831800" w:rsidRPr="00985A5D" w:rsidRDefault="00985A5D" w:rsidP="00F26175">
            <w:pPr>
              <w:spacing w:before="100" w:beforeAutospacing="1" w:after="100" w:afterAutospacing="1" w:line="240" w:lineRule="auto"/>
              <w:jc w:val="center"/>
              <w:rPr>
                <w:rFonts w:cs="Arial"/>
                <w:b/>
                <w:bCs/>
                <w:color w:val="FFFFFF" w:themeColor="background1"/>
                <w:sz w:val="18"/>
                <w:szCs w:val="18"/>
                <w:lang w:eastAsia="es-CO"/>
              </w:rPr>
            </w:pPr>
            <w:r w:rsidRPr="00985A5D">
              <w:rPr>
                <w:rFonts w:cs="Arial"/>
                <w:b/>
                <w:bCs/>
                <w:color w:val="FFFFFF" w:themeColor="background1"/>
                <w:sz w:val="18"/>
                <w:szCs w:val="18"/>
                <w:lang w:eastAsia="es-CO"/>
              </w:rPr>
              <w:t>Valor Total</w:t>
            </w:r>
          </w:p>
        </w:tc>
      </w:tr>
      <w:tr w:rsidR="00831800" w:rsidRPr="00985A5D" w:rsidTr="00985A5D">
        <w:trPr>
          <w:trHeight w:val="260"/>
          <w:jc w:val="center"/>
        </w:trPr>
        <w:tc>
          <w:tcPr>
            <w:tcW w:w="0" w:type="auto"/>
            <w:shd w:val="clear" w:color="auto" w:fill="auto"/>
            <w:noWrap/>
            <w:vAlign w:val="center"/>
          </w:tcPr>
          <w:p w:rsidR="00831800" w:rsidRPr="00985A5D" w:rsidRDefault="00831800" w:rsidP="00F26175">
            <w:pPr>
              <w:spacing w:before="100" w:beforeAutospacing="1" w:after="100" w:afterAutospacing="1" w:line="240" w:lineRule="auto"/>
              <w:jc w:val="both"/>
              <w:rPr>
                <w:rFonts w:cs="Arial"/>
                <w:b/>
                <w:bCs/>
                <w:sz w:val="18"/>
                <w:szCs w:val="18"/>
                <w:lang w:eastAsia="es-CO"/>
              </w:rPr>
            </w:pPr>
            <w:r w:rsidRPr="00985A5D">
              <w:rPr>
                <w:rFonts w:cs="Arial"/>
                <w:b/>
                <w:bCs/>
                <w:sz w:val="18"/>
                <w:szCs w:val="18"/>
                <w:lang w:eastAsia="es-CO"/>
              </w:rPr>
              <w:t>2017 (1er. semestre)</w:t>
            </w:r>
          </w:p>
        </w:tc>
        <w:tc>
          <w:tcPr>
            <w:tcW w:w="0" w:type="auto"/>
            <w:shd w:val="clear" w:color="auto" w:fill="auto"/>
            <w:noWrap/>
            <w:vAlign w:val="center"/>
          </w:tcPr>
          <w:p w:rsidR="00831800" w:rsidRPr="00985A5D" w:rsidRDefault="00831800" w:rsidP="00F26175">
            <w:pPr>
              <w:spacing w:before="100" w:beforeAutospacing="1" w:after="100" w:afterAutospacing="1" w:line="240" w:lineRule="auto"/>
              <w:jc w:val="both"/>
              <w:rPr>
                <w:rFonts w:cs="Arial"/>
                <w:sz w:val="18"/>
                <w:szCs w:val="18"/>
                <w:lang w:eastAsia="es-CO"/>
              </w:rPr>
            </w:pPr>
            <w:r w:rsidRPr="00985A5D">
              <w:rPr>
                <w:rFonts w:cs="Arial"/>
                <w:sz w:val="18"/>
                <w:szCs w:val="18"/>
                <w:lang w:eastAsia="es-CO"/>
              </w:rPr>
              <w:t>$122.101</w:t>
            </w:r>
          </w:p>
        </w:tc>
        <w:tc>
          <w:tcPr>
            <w:tcW w:w="0" w:type="auto"/>
            <w:shd w:val="clear" w:color="auto" w:fill="auto"/>
            <w:noWrap/>
            <w:vAlign w:val="center"/>
          </w:tcPr>
          <w:p w:rsidR="00831800" w:rsidRPr="00985A5D" w:rsidRDefault="00831800" w:rsidP="00F26175">
            <w:pPr>
              <w:spacing w:before="100" w:beforeAutospacing="1" w:after="100" w:afterAutospacing="1" w:line="240" w:lineRule="auto"/>
              <w:jc w:val="both"/>
              <w:rPr>
                <w:rFonts w:cs="Arial"/>
                <w:sz w:val="18"/>
                <w:szCs w:val="18"/>
                <w:lang w:eastAsia="es-CO"/>
              </w:rPr>
            </w:pPr>
            <w:r w:rsidRPr="00985A5D">
              <w:rPr>
                <w:rFonts w:cs="Arial"/>
                <w:sz w:val="18"/>
                <w:szCs w:val="18"/>
                <w:lang w:eastAsia="es-CO"/>
              </w:rPr>
              <w:t>1.260</w:t>
            </w:r>
          </w:p>
        </w:tc>
        <w:tc>
          <w:tcPr>
            <w:tcW w:w="0" w:type="auto"/>
            <w:shd w:val="clear" w:color="auto" w:fill="auto"/>
            <w:noWrap/>
            <w:vAlign w:val="center"/>
          </w:tcPr>
          <w:p w:rsidR="00831800" w:rsidRPr="00985A5D" w:rsidRDefault="00831800" w:rsidP="00F26175">
            <w:pPr>
              <w:spacing w:before="100" w:beforeAutospacing="1" w:after="100" w:afterAutospacing="1" w:line="240" w:lineRule="auto"/>
              <w:jc w:val="both"/>
              <w:rPr>
                <w:rFonts w:cs="Arial"/>
                <w:sz w:val="18"/>
                <w:szCs w:val="18"/>
                <w:lang w:eastAsia="es-CO"/>
              </w:rPr>
            </w:pPr>
            <w:r w:rsidRPr="00985A5D">
              <w:rPr>
                <w:rFonts w:cs="Arial"/>
                <w:sz w:val="18"/>
                <w:szCs w:val="18"/>
                <w:lang w:eastAsia="es-CO"/>
              </w:rPr>
              <w:t>$153.236.755</w:t>
            </w:r>
          </w:p>
        </w:tc>
      </w:tr>
      <w:tr w:rsidR="00831800" w:rsidRPr="00985A5D" w:rsidTr="00985A5D">
        <w:trPr>
          <w:trHeight w:val="228"/>
          <w:jc w:val="center"/>
        </w:trPr>
        <w:tc>
          <w:tcPr>
            <w:tcW w:w="0" w:type="auto"/>
            <w:shd w:val="clear" w:color="auto" w:fill="auto"/>
            <w:vAlign w:val="center"/>
          </w:tcPr>
          <w:p w:rsidR="00831800" w:rsidRPr="00985A5D" w:rsidRDefault="00831800" w:rsidP="00F26175">
            <w:pPr>
              <w:spacing w:before="100" w:beforeAutospacing="1" w:after="100" w:afterAutospacing="1" w:line="240" w:lineRule="auto"/>
              <w:jc w:val="both"/>
              <w:rPr>
                <w:rFonts w:cs="Arial"/>
                <w:b/>
                <w:bCs/>
                <w:sz w:val="18"/>
                <w:szCs w:val="18"/>
                <w:lang w:eastAsia="es-CO"/>
              </w:rPr>
            </w:pPr>
            <w:r w:rsidRPr="00985A5D">
              <w:rPr>
                <w:rFonts w:cs="Arial"/>
                <w:b/>
                <w:bCs/>
                <w:sz w:val="18"/>
                <w:szCs w:val="18"/>
                <w:lang w:eastAsia="es-CO"/>
              </w:rPr>
              <w:t>2017 (2do. semestre)</w:t>
            </w:r>
          </w:p>
        </w:tc>
        <w:tc>
          <w:tcPr>
            <w:tcW w:w="0" w:type="auto"/>
            <w:shd w:val="clear" w:color="auto" w:fill="auto"/>
            <w:noWrap/>
            <w:vAlign w:val="center"/>
          </w:tcPr>
          <w:p w:rsidR="00831800" w:rsidRPr="00985A5D" w:rsidRDefault="00831800" w:rsidP="00F26175">
            <w:pPr>
              <w:spacing w:before="100" w:beforeAutospacing="1" w:after="100" w:afterAutospacing="1" w:line="240" w:lineRule="auto"/>
              <w:jc w:val="both"/>
              <w:rPr>
                <w:rFonts w:cs="Arial"/>
                <w:sz w:val="18"/>
                <w:szCs w:val="18"/>
                <w:lang w:eastAsia="es-CO"/>
              </w:rPr>
            </w:pPr>
            <w:r w:rsidRPr="00985A5D">
              <w:rPr>
                <w:rFonts w:cs="Arial"/>
                <w:sz w:val="18"/>
                <w:szCs w:val="18"/>
                <w:lang w:eastAsia="es-CO"/>
              </w:rPr>
              <w:t>$122.101</w:t>
            </w:r>
          </w:p>
        </w:tc>
        <w:tc>
          <w:tcPr>
            <w:tcW w:w="0" w:type="auto"/>
            <w:shd w:val="clear" w:color="auto" w:fill="auto"/>
            <w:noWrap/>
            <w:vAlign w:val="center"/>
          </w:tcPr>
          <w:p w:rsidR="00831800" w:rsidRPr="00985A5D" w:rsidRDefault="00831800" w:rsidP="00F26175">
            <w:pPr>
              <w:spacing w:before="100" w:beforeAutospacing="1" w:after="100" w:afterAutospacing="1" w:line="240" w:lineRule="auto"/>
              <w:jc w:val="both"/>
              <w:rPr>
                <w:rFonts w:cs="Arial"/>
                <w:sz w:val="18"/>
                <w:szCs w:val="18"/>
                <w:lang w:eastAsia="es-CO"/>
              </w:rPr>
            </w:pPr>
            <w:r w:rsidRPr="00985A5D">
              <w:rPr>
                <w:rFonts w:cs="Arial"/>
                <w:sz w:val="18"/>
                <w:szCs w:val="18"/>
                <w:lang w:eastAsia="es-CO"/>
              </w:rPr>
              <w:t>466</w:t>
            </w:r>
          </w:p>
        </w:tc>
        <w:tc>
          <w:tcPr>
            <w:tcW w:w="0" w:type="auto"/>
            <w:shd w:val="clear" w:color="auto" w:fill="auto"/>
            <w:noWrap/>
            <w:vAlign w:val="center"/>
          </w:tcPr>
          <w:p w:rsidR="00831800" w:rsidRPr="00985A5D" w:rsidRDefault="00831800" w:rsidP="00F26175">
            <w:pPr>
              <w:spacing w:before="100" w:beforeAutospacing="1" w:after="100" w:afterAutospacing="1" w:line="240" w:lineRule="auto"/>
              <w:jc w:val="both"/>
              <w:rPr>
                <w:rFonts w:cs="Arial"/>
                <w:sz w:val="18"/>
                <w:szCs w:val="18"/>
                <w:lang w:eastAsia="es-CO"/>
              </w:rPr>
            </w:pPr>
            <w:r w:rsidRPr="00985A5D">
              <w:rPr>
                <w:rFonts w:cs="Arial"/>
                <w:sz w:val="18"/>
                <w:szCs w:val="18"/>
                <w:lang w:eastAsia="es-CO"/>
              </w:rPr>
              <w:t>$56.899.066</w:t>
            </w:r>
          </w:p>
        </w:tc>
      </w:tr>
    </w:tbl>
    <w:p w:rsidR="00831800" w:rsidRPr="00985A5D" w:rsidRDefault="00831800" w:rsidP="00985A5D">
      <w:pPr>
        <w:spacing w:after="0" w:line="240" w:lineRule="auto"/>
        <w:ind w:left="708"/>
        <w:jc w:val="center"/>
        <w:rPr>
          <w:rFonts w:cs="Arial"/>
          <w:spacing w:val="-4"/>
          <w:sz w:val="16"/>
          <w:szCs w:val="16"/>
          <w:lang w:eastAsia="es-CO"/>
        </w:rPr>
      </w:pPr>
      <w:r w:rsidRPr="00985A5D">
        <w:rPr>
          <w:rFonts w:cs="Arial"/>
          <w:spacing w:val="-4"/>
          <w:sz w:val="16"/>
          <w:szCs w:val="16"/>
          <w:lang w:eastAsia="es-CO"/>
        </w:rPr>
        <w:t>Fuente: Grupo de Desarrollo del Talento Humano</w:t>
      </w:r>
    </w:p>
    <w:p w:rsidR="00831800" w:rsidRPr="007608C2" w:rsidRDefault="00831800" w:rsidP="00831800">
      <w:pPr>
        <w:spacing w:after="0" w:line="240" w:lineRule="auto"/>
        <w:jc w:val="both"/>
        <w:rPr>
          <w:rFonts w:cs="Arial"/>
          <w:b/>
          <w:spacing w:val="-4"/>
          <w:sz w:val="18"/>
          <w:lang w:eastAsia="es-CO"/>
        </w:rPr>
      </w:pPr>
    </w:p>
    <w:p w:rsidR="00831800" w:rsidRPr="007608C2" w:rsidRDefault="00831800" w:rsidP="00A44A2B">
      <w:pPr>
        <w:pStyle w:val="Prrafodelista"/>
        <w:numPr>
          <w:ilvl w:val="0"/>
          <w:numId w:val="11"/>
        </w:numPr>
        <w:ind w:left="426" w:hanging="426"/>
        <w:contextualSpacing/>
        <w:jc w:val="both"/>
        <w:rPr>
          <w:rFonts w:cs="Arial"/>
          <w:u w:val="single"/>
        </w:rPr>
      </w:pPr>
      <w:r w:rsidRPr="007608C2">
        <w:rPr>
          <w:rFonts w:cs="Arial"/>
          <w:u w:val="single"/>
        </w:rPr>
        <w:t>Bonos de integración familiar</w:t>
      </w:r>
      <w:r w:rsidRPr="00E2319F">
        <w:rPr>
          <w:rFonts w:cs="Arial"/>
        </w:rPr>
        <w:t xml:space="preserve">: </w:t>
      </w:r>
      <w:r w:rsidRPr="007608C2">
        <w:rPr>
          <w:rFonts w:cs="Arial"/>
        </w:rPr>
        <w:t xml:space="preserve">Para la vigencia 2017, este beneficio ascendió a un valor de </w:t>
      </w:r>
      <w:r w:rsidRPr="00E2319F">
        <w:rPr>
          <w:rFonts w:cs="Arial"/>
        </w:rPr>
        <w:t>$816.692.820.</w:t>
      </w:r>
    </w:p>
    <w:p w:rsidR="00831800" w:rsidRPr="007608C2" w:rsidRDefault="00831800" w:rsidP="00A44A2B">
      <w:pPr>
        <w:pStyle w:val="Textoindependiente"/>
        <w:numPr>
          <w:ilvl w:val="0"/>
          <w:numId w:val="12"/>
        </w:numPr>
        <w:rPr>
          <w:rFonts w:ascii="Arial" w:hAnsi="Arial" w:cs="Arial"/>
          <w:sz w:val="22"/>
          <w:szCs w:val="22"/>
        </w:rPr>
      </w:pPr>
      <w:r w:rsidRPr="007608C2">
        <w:rPr>
          <w:rFonts w:ascii="Arial" w:hAnsi="Arial" w:cs="Arial"/>
          <w:sz w:val="22"/>
          <w:szCs w:val="22"/>
          <w:u w:val="single"/>
        </w:rPr>
        <w:t>Programa de bienestar – Salarios Emocionales</w:t>
      </w:r>
      <w:r w:rsidRPr="00E2319F">
        <w:rPr>
          <w:rFonts w:ascii="Arial" w:hAnsi="Arial" w:cs="Arial"/>
          <w:sz w:val="22"/>
          <w:szCs w:val="22"/>
        </w:rPr>
        <w:t>:</w:t>
      </w:r>
      <w:r w:rsidRPr="007608C2">
        <w:rPr>
          <w:rFonts w:ascii="Arial" w:hAnsi="Arial" w:cs="Arial"/>
          <w:sz w:val="22"/>
          <w:szCs w:val="22"/>
        </w:rPr>
        <w:t xml:space="preserve"> Esta línea de acción continuó  su implementación mediante la Resolución No. 917 de 2017 y la Resolución No. 1719 de 2017, las cuales otorgan incentivos por el uso de la bicicleta y un día de permiso remunerado el día del cumpleaños del servidor, con lo que se proporciona a los colaboradores beneficios con los cuales puedan cubrir necesidades personales, familiares y profesionales que conlleven a elevar los niveles de satisfacción, efectividad, identificación con el instituto y al mejoramiento del clima laboral.</w:t>
      </w:r>
    </w:p>
    <w:p w:rsidR="00831800" w:rsidRPr="007608C2" w:rsidRDefault="00831800" w:rsidP="00A44A2B">
      <w:pPr>
        <w:pStyle w:val="Prrafodelista"/>
        <w:numPr>
          <w:ilvl w:val="0"/>
          <w:numId w:val="11"/>
        </w:numPr>
        <w:shd w:val="clear" w:color="auto" w:fill="FFFFFF"/>
        <w:spacing w:before="100" w:beforeAutospacing="1" w:after="100" w:afterAutospacing="1" w:line="240" w:lineRule="auto"/>
        <w:ind w:left="284" w:hanging="284"/>
        <w:jc w:val="both"/>
        <w:rPr>
          <w:rFonts w:cs="Arial"/>
          <w:lang w:val="es-MX"/>
        </w:rPr>
      </w:pPr>
      <w:r w:rsidRPr="007608C2">
        <w:rPr>
          <w:rFonts w:cs="Arial"/>
          <w:u w:val="single"/>
          <w:lang w:val="es-MX"/>
        </w:rPr>
        <w:t>Alianzas Sede de la Dirección General</w:t>
      </w:r>
      <w:r w:rsidRPr="00E2319F">
        <w:rPr>
          <w:rFonts w:cs="Arial"/>
          <w:lang w:val="es-MX"/>
        </w:rPr>
        <w:t>:</w:t>
      </w:r>
      <w:r w:rsidRPr="007608C2">
        <w:rPr>
          <w:rFonts w:cs="Arial"/>
          <w:lang w:val="es-MX"/>
        </w:rPr>
        <w:t xml:space="preserve"> En esta vigencia, se </w:t>
      </w:r>
      <w:r w:rsidR="00985A5D" w:rsidRPr="007608C2">
        <w:rPr>
          <w:rFonts w:cs="Arial"/>
          <w:lang w:val="es-MX"/>
        </w:rPr>
        <w:t>estableció contacto</w:t>
      </w:r>
      <w:r w:rsidRPr="007608C2">
        <w:rPr>
          <w:rFonts w:cs="Arial"/>
          <w:lang w:val="es-MX"/>
        </w:rPr>
        <w:t xml:space="preserve"> con distintas empresas para emprender alianzas que generen descuentos o valor agregad</w:t>
      </w:r>
      <w:r w:rsidR="00985A5D">
        <w:rPr>
          <w:rFonts w:cs="Arial"/>
          <w:lang w:val="es-MX"/>
        </w:rPr>
        <w:t>o a los servicios suministrados</w:t>
      </w:r>
      <w:r w:rsidRPr="007608C2">
        <w:rPr>
          <w:rFonts w:cs="Arial"/>
          <w:lang w:val="es-MX"/>
        </w:rPr>
        <w:t xml:space="preserve"> a los colaboradores del ICBF en la Sede de la Dirección General. De estas gestiones se destaca lo siguiente:</w:t>
      </w:r>
    </w:p>
    <w:p w:rsidR="00831800" w:rsidRPr="007608C2" w:rsidRDefault="00831800" w:rsidP="00831800">
      <w:pPr>
        <w:pStyle w:val="Prrafodelista"/>
        <w:shd w:val="clear" w:color="auto" w:fill="FFFFFF"/>
        <w:spacing w:before="100" w:beforeAutospacing="1" w:after="100" w:afterAutospacing="1" w:line="240" w:lineRule="auto"/>
        <w:ind w:left="284"/>
        <w:jc w:val="both"/>
        <w:rPr>
          <w:rFonts w:cs="Arial"/>
          <w:b/>
          <w:lang w:val="es-MX"/>
        </w:rPr>
      </w:pPr>
      <w:r w:rsidRPr="007608C2">
        <w:rPr>
          <w:rFonts w:cs="Arial"/>
          <w:b/>
          <w:u w:val="single"/>
          <w:lang w:val="es-MX"/>
        </w:rPr>
        <w:t>Alianzas Realizadas</w:t>
      </w:r>
    </w:p>
    <w:tbl>
      <w:tblPr>
        <w:tblW w:w="6482"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875"/>
        <w:gridCol w:w="2607"/>
      </w:tblGrid>
      <w:tr w:rsidR="00831800" w:rsidRPr="00985A5D" w:rsidTr="00E2319F">
        <w:trPr>
          <w:trHeight w:val="211"/>
          <w:tblHeader/>
          <w:jc w:val="center"/>
        </w:trPr>
        <w:tc>
          <w:tcPr>
            <w:tcW w:w="3875" w:type="dxa"/>
            <w:shd w:val="clear" w:color="auto" w:fill="76922E"/>
            <w:noWrap/>
            <w:vAlign w:val="bottom"/>
            <w:hideMark/>
          </w:tcPr>
          <w:p w:rsidR="00831800" w:rsidRPr="00E2319F" w:rsidRDefault="00985A5D" w:rsidP="00985A5D">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E2319F">
              <w:rPr>
                <w:rFonts w:eastAsia="Times New Roman" w:cs="Arial"/>
                <w:b/>
                <w:bCs/>
                <w:color w:val="FFFFFF" w:themeColor="background1"/>
                <w:sz w:val="18"/>
                <w:szCs w:val="18"/>
                <w:lang w:val="es-CO" w:eastAsia="es-CO"/>
              </w:rPr>
              <w:t>Alianza</w:t>
            </w:r>
          </w:p>
        </w:tc>
        <w:tc>
          <w:tcPr>
            <w:tcW w:w="2607" w:type="dxa"/>
            <w:shd w:val="clear" w:color="auto" w:fill="76922E"/>
            <w:noWrap/>
            <w:vAlign w:val="bottom"/>
            <w:hideMark/>
          </w:tcPr>
          <w:p w:rsidR="00831800" w:rsidRPr="00E2319F" w:rsidRDefault="00985A5D" w:rsidP="00985A5D">
            <w:pPr>
              <w:spacing w:before="100" w:beforeAutospacing="1" w:after="100" w:afterAutospacing="1" w:line="240" w:lineRule="auto"/>
              <w:jc w:val="center"/>
              <w:rPr>
                <w:rFonts w:eastAsia="Times New Roman" w:cs="Arial"/>
                <w:b/>
                <w:bCs/>
                <w:color w:val="FFFFFF" w:themeColor="background1"/>
                <w:sz w:val="18"/>
                <w:szCs w:val="18"/>
                <w:lang w:val="es-CO" w:eastAsia="es-CO"/>
              </w:rPr>
            </w:pPr>
            <w:r w:rsidRPr="00E2319F">
              <w:rPr>
                <w:rFonts w:eastAsia="Times New Roman" w:cs="Arial"/>
                <w:b/>
                <w:bCs/>
                <w:color w:val="FFFFFF" w:themeColor="background1"/>
                <w:sz w:val="18"/>
                <w:szCs w:val="18"/>
                <w:lang w:val="es-CO" w:eastAsia="es-CO"/>
              </w:rPr>
              <w:t>Descuento</w:t>
            </w:r>
          </w:p>
        </w:tc>
      </w:tr>
      <w:tr w:rsidR="00831800" w:rsidRPr="00985A5D" w:rsidTr="00E2319F">
        <w:trPr>
          <w:trHeight w:val="211"/>
          <w:jc w:val="center"/>
        </w:trPr>
        <w:tc>
          <w:tcPr>
            <w:tcW w:w="3875" w:type="dxa"/>
            <w:shd w:val="clear" w:color="auto" w:fill="auto"/>
            <w:noWrap/>
            <w:vAlign w:val="center"/>
            <w:hideMark/>
          </w:tcPr>
          <w:p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 xml:space="preserve">Teatro Nacional </w:t>
            </w:r>
          </w:p>
        </w:tc>
        <w:tc>
          <w:tcPr>
            <w:tcW w:w="2607" w:type="dxa"/>
            <w:shd w:val="clear" w:color="auto" w:fill="auto"/>
            <w:noWrap/>
            <w:vAlign w:val="bottom"/>
            <w:hideMark/>
          </w:tcPr>
          <w:p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20% y 30%</w:t>
            </w:r>
          </w:p>
        </w:tc>
      </w:tr>
      <w:tr w:rsidR="00831800" w:rsidRPr="00985A5D" w:rsidTr="00E2319F">
        <w:trPr>
          <w:trHeight w:val="211"/>
          <w:jc w:val="center"/>
        </w:trPr>
        <w:tc>
          <w:tcPr>
            <w:tcW w:w="3875" w:type="dxa"/>
            <w:shd w:val="clear" w:color="auto" w:fill="auto"/>
            <w:noWrap/>
            <w:vAlign w:val="center"/>
            <w:hideMark/>
          </w:tcPr>
          <w:p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Teatro Ensamble</w:t>
            </w:r>
          </w:p>
        </w:tc>
        <w:tc>
          <w:tcPr>
            <w:tcW w:w="2607" w:type="dxa"/>
            <w:shd w:val="clear" w:color="auto" w:fill="auto"/>
            <w:noWrap/>
            <w:vAlign w:val="bottom"/>
            <w:hideMark/>
          </w:tcPr>
          <w:p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15%</w:t>
            </w:r>
          </w:p>
        </w:tc>
      </w:tr>
      <w:tr w:rsidR="00831800" w:rsidRPr="00985A5D" w:rsidTr="00E2319F">
        <w:trPr>
          <w:trHeight w:val="211"/>
          <w:jc w:val="center"/>
        </w:trPr>
        <w:tc>
          <w:tcPr>
            <w:tcW w:w="3875" w:type="dxa"/>
            <w:shd w:val="clear" w:color="auto" w:fill="auto"/>
            <w:noWrap/>
            <w:vAlign w:val="center"/>
            <w:hideMark/>
          </w:tcPr>
          <w:p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Teatro Santa Fe</w:t>
            </w:r>
          </w:p>
        </w:tc>
        <w:tc>
          <w:tcPr>
            <w:tcW w:w="2607" w:type="dxa"/>
            <w:shd w:val="clear" w:color="auto" w:fill="auto"/>
            <w:noWrap/>
            <w:vAlign w:val="bottom"/>
            <w:hideMark/>
          </w:tcPr>
          <w:p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40%</w:t>
            </w:r>
          </w:p>
        </w:tc>
      </w:tr>
      <w:tr w:rsidR="00831800" w:rsidRPr="00985A5D" w:rsidTr="00E2319F">
        <w:trPr>
          <w:trHeight w:val="211"/>
          <w:jc w:val="center"/>
        </w:trPr>
        <w:tc>
          <w:tcPr>
            <w:tcW w:w="3875" w:type="dxa"/>
            <w:shd w:val="clear" w:color="auto" w:fill="auto"/>
            <w:noWrap/>
            <w:vAlign w:val="center"/>
            <w:hideMark/>
          </w:tcPr>
          <w:p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 xml:space="preserve">Mundo aventura </w:t>
            </w:r>
          </w:p>
        </w:tc>
        <w:tc>
          <w:tcPr>
            <w:tcW w:w="2607" w:type="dxa"/>
            <w:shd w:val="clear" w:color="auto" w:fill="auto"/>
            <w:noWrap/>
            <w:vAlign w:val="bottom"/>
            <w:hideMark/>
          </w:tcPr>
          <w:p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40%</w:t>
            </w:r>
          </w:p>
        </w:tc>
      </w:tr>
      <w:tr w:rsidR="00831800" w:rsidRPr="00985A5D" w:rsidTr="00E2319F">
        <w:trPr>
          <w:trHeight w:val="211"/>
          <w:jc w:val="center"/>
        </w:trPr>
        <w:tc>
          <w:tcPr>
            <w:tcW w:w="3875" w:type="dxa"/>
            <w:shd w:val="clear" w:color="auto" w:fill="auto"/>
            <w:noWrap/>
            <w:vAlign w:val="center"/>
            <w:hideMark/>
          </w:tcPr>
          <w:p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 xml:space="preserve">Chevrolet </w:t>
            </w:r>
          </w:p>
        </w:tc>
        <w:tc>
          <w:tcPr>
            <w:tcW w:w="2607" w:type="dxa"/>
            <w:shd w:val="clear" w:color="auto" w:fill="auto"/>
            <w:noWrap/>
            <w:vAlign w:val="bottom"/>
            <w:hideMark/>
          </w:tcPr>
          <w:p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5%</w:t>
            </w:r>
          </w:p>
        </w:tc>
      </w:tr>
      <w:tr w:rsidR="00831800" w:rsidRPr="00985A5D" w:rsidTr="00E2319F">
        <w:trPr>
          <w:trHeight w:val="211"/>
          <w:jc w:val="center"/>
        </w:trPr>
        <w:tc>
          <w:tcPr>
            <w:tcW w:w="3875" w:type="dxa"/>
            <w:shd w:val="clear" w:color="auto" w:fill="auto"/>
            <w:noWrap/>
            <w:vAlign w:val="center"/>
            <w:hideMark/>
          </w:tcPr>
          <w:p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 xml:space="preserve">Productos Ana María </w:t>
            </w:r>
          </w:p>
        </w:tc>
        <w:tc>
          <w:tcPr>
            <w:tcW w:w="2607" w:type="dxa"/>
            <w:shd w:val="clear" w:color="auto" w:fill="auto"/>
            <w:noWrap/>
            <w:vAlign w:val="bottom"/>
            <w:hideMark/>
          </w:tcPr>
          <w:p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15%</w:t>
            </w:r>
          </w:p>
        </w:tc>
      </w:tr>
      <w:tr w:rsidR="00831800" w:rsidRPr="00985A5D" w:rsidTr="00E2319F">
        <w:trPr>
          <w:trHeight w:val="211"/>
          <w:jc w:val="center"/>
        </w:trPr>
        <w:tc>
          <w:tcPr>
            <w:tcW w:w="3875" w:type="dxa"/>
            <w:shd w:val="clear" w:color="auto" w:fill="auto"/>
            <w:noWrap/>
            <w:vAlign w:val="center"/>
            <w:hideMark/>
          </w:tcPr>
          <w:p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Productos Natura y Mary Kay</w:t>
            </w:r>
          </w:p>
        </w:tc>
        <w:tc>
          <w:tcPr>
            <w:tcW w:w="2607" w:type="dxa"/>
            <w:shd w:val="clear" w:color="auto" w:fill="auto"/>
            <w:noWrap/>
            <w:vAlign w:val="bottom"/>
            <w:hideMark/>
          </w:tcPr>
          <w:p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10%</w:t>
            </w:r>
          </w:p>
        </w:tc>
      </w:tr>
      <w:tr w:rsidR="00831800" w:rsidRPr="00985A5D" w:rsidTr="00E2319F">
        <w:trPr>
          <w:trHeight w:val="211"/>
          <w:jc w:val="center"/>
        </w:trPr>
        <w:tc>
          <w:tcPr>
            <w:tcW w:w="3875" w:type="dxa"/>
            <w:shd w:val="clear" w:color="auto" w:fill="auto"/>
            <w:noWrap/>
            <w:vAlign w:val="center"/>
            <w:hideMark/>
          </w:tcPr>
          <w:p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Ramo</w:t>
            </w:r>
          </w:p>
        </w:tc>
        <w:tc>
          <w:tcPr>
            <w:tcW w:w="2607" w:type="dxa"/>
            <w:shd w:val="clear" w:color="auto" w:fill="auto"/>
            <w:noWrap/>
            <w:vAlign w:val="bottom"/>
            <w:hideMark/>
          </w:tcPr>
          <w:p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5%</w:t>
            </w:r>
          </w:p>
        </w:tc>
      </w:tr>
      <w:tr w:rsidR="00831800" w:rsidRPr="00985A5D" w:rsidTr="00E2319F">
        <w:trPr>
          <w:trHeight w:val="50"/>
          <w:jc w:val="center"/>
        </w:trPr>
        <w:tc>
          <w:tcPr>
            <w:tcW w:w="3875" w:type="dxa"/>
            <w:shd w:val="clear" w:color="auto" w:fill="auto"/>
            <w:noWrap/>
            <w:vAlign w:val="center"/>
            <w:hideMark/>
          </w:tcPr>
          <w:p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Price Smart</w:t>
            </w:r>
          </w:p>
        </w:tc>
        <w:tc>
          <w:tcPr>
            <w:tcW w:w="2607" w:type="dxa"/>
            <w:shd w:val="clear" w:color="auto" w:fill="auto"/>
            <w:hideMark/>
          </w:tcPr>
          <w:p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Adjudicación de membresía y entrega de obsequio por la afiliación</w:t>
            </w:r>
          </w:p>
        </w:tc>
      </w:tr>
      <w:tr w:rsidR="00831800" w:rsidRPr="00985A5D" w:rsidTr="00E2319F">
        <w:trPr>
          <w:trHeight w:val="211"/>
          <w:jc w:val="center"/>
        </w:trPr>
        <w:tc>
          <w:tcPr>
            <w:tcW w:w="3875" w:type="dxa"/>
            <w:shd w:val="clear" w:color="auto" w:fill="auto"/>
            <w:noWrap/>
            <w:vAlign w:val="center"/>
            <w:hideMark/>
          </w:tcPr>
          <w:p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Surtimax</w:t>
            </w:r>
          </w:p>
        </w:tc>
        <w:tc>
          <w:tcPr>
            <w:tcW w:w="2607" w:type="dxa"/>
            <w:shd w:val="clear" w:color="auto" w:fill="auto"/>
            <w:noWrap/>
            <w:vAlign w:val="bottom"/>
            <w:hideMark/>
          </w:tcPr>
          <w:p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Productos a Mil</w:t>
            </w:r>
          </w:p>
        </w:tc>
      </w:tr>
      <w:tr w:rsidR="00831800" w:rsidRPr="00985A5D" w:rsidTr="00E2319F">
        <w:trPr>
          <w:trHeight w:val="211"/>
          <w:jc w:val="center"/>
        </w:trPr>
        <w:tc>
          <w:tcPr>
            <w:tcW w:w="3875" w:type="dxa"/>
            <w:shd w:val="clear" w:color="auto" w:fill="auto"/>
            <w:noWrap/>
            <w:vAlign w:val="center"/>
            <w:hideMark/>
          </w:tcPr>
          <w:p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 xml:space="preserve">Famisanar  </w:t>
            </w:r>
          </w:p>
        </w:tc>
        <w:tc>
          <w:tcPr>
            <w:tcW w:w="2607" w:type="dxa"/>
            <w:shd w:val="clear" w:color="auto" w:fill="auto"/>
            <w:noWrap/>
            <w:vAlign w:val="bottom"/>
            <w:hideMark/>
          </w:tcPr>
          <w:p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10%</w:t>
            </w:r>
          </w:p>
        </w:tc>
      </w:tr>
      <w:tr w:rsidR="00831800" w:rsidRPr="00985A5D" w:rsidTr="00E2319F">
        <w:trPr>
          <w:trHeight w:val="211"/>
          <w:jc w:val="center"/>
        </w:trPr>
        <w:tc>
          <w:tcPr>
            <w:tcW w:w="3875" w:type="dxa"/>
            <w:shd w:val="clear" w:color="auto" w:fill="auto"/>
            <w:noWrap/>
            <w:vAlign w:val="center"/>
            <w:hideMark/>
          </w:tcPr>
          <w:p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Emermedica</w:t>
            </w:r>
          </w:p>
        </w:tc>
        <w:tc>
          <w:tcPr>
            <w:tcW w:w="2607" w:type="dxa"/>
            <w:shd w:val="clear" w:color="auto" w:fill="auto"/>
            <w:noWrap/>
            <w:vAlign w:val="bottom"/>
            <w:hideMark/>
          </w:tcPr>
          <w:p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10%</w:t>
            </w:r>
          </w:p>
        </w:tc>
      </w:tr>
      <w:tr w:rsidR="00831800" w:rsidRPr="00985A5D" w:rsidTr="00E2319F">
        <w:trPr>
          <w:trHeight w:val="211"/>
          <w:jc w:val="center"/>
        </w:trPr>
        <w:tc>
          <w:tcPr>
            <w:tcW w:w="3875" w:type="dxa"/>
            <w:shd w:val="clear" w:color="auto" w:fill="auto"/>
            <w:noWrap/>
            <w:vAlign w:val="center"/>
            <w:hideMark/>
          </w:tcPr>
          <w:p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Agencia de Viajes Shaday</w:t>
            </w:r>
          </w:p>
        </w:tc>
        <w:tc>
          <w:tcPr>
            <w:tcW w:w="2607" w:type="dxa"/>
            <w:shd w:val="clear" w:color="auto" w:fill="auto"/>
            <w:noWrap/>
            <w:vAlign w:val="bottom"/>
            <w:hideMark/>
          </w:tcPr>
          <w:p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10%</w:t>
            </w:r>
          </w:p>
        </w:tc>
      </w:tr>
      <w:tr w:rsidR="00831800" w:rsidRPr="00985A5D" w:rsidTr="00E2319F">
        <w:trPr>
          <w:trHeight w:val="211"/>
          <w:jc w:val="center"/>
        </w:trPr>
        <w:tc>
          <w:tcPr>
            <w:tcW w:w="3875" w:type="dxa"/>
            <w:shd w:val="clear" w:color="auto" w:fill="auto"/>
            <w:noWrap/>
            <w:vAlign w:val="center"/>
            <w:hideMark/>
          </w:tcPr>
          <w:p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 xml:space="preserve">Ferias Entorno comercial </w:t>
            </w:r>
          </w:p>
        </w:tc>
        <w:tc>
          <w:tcPr>
            <w:tcW w:w="2607" w:type="dxa"/>
            <w:shd w:val="clear" w:color="auto" w:fill="auto"/>
            <w:noWrap/>
            <w:vAlign w:val="bottom"/>
            <w:hideMark/>
          </w:tcPr>
          <w:p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5%</w:t>
            </w:r>
          </w:p>
        </w:tc>
      </w:tr>
      <w:tr w:rsidR="00831800" w:rsidRPr="00985A5D" w:rsidTr="00E2319F">
        <w:trPr>
          <w:trHeight w:val="211"/>
          <w:jc w:val="center"/>
        </w:trPr>
        <w:tc>
          <w:tcPr>
            <w:tcW w:w="3875" w:type="dxa"/>
            <w:shd w:val="clear" w:color="auto" w:fill="auto"/>
            <w:noWrap/>
            <w:vAlign w:val="center"/>
          </w:tcPr>
          <w:p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Zenú</w:t>
            </w:r>
          </w:p>
        </w:tc>
        <w:tc>
          <w:tcPr>
            <w:tcW w:w="2607" w:type="dxa"/>
            <w:shd w:val="clear" w:color="auto" w:fill="auto"/>
            <w:noWrap/>
            <w:vAlign w:val="bottom"/>
          </w:tcPr>
          <w:p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20%</w:t>
            </w:r>
          </w:p>
        </w:tc>
      </w:tr>
      <w:tr w:rsidR="00831800" w:rsidRPr="00985A5D" w:rsidTr="00E2319F">
        <w:trPr>
          <w:trHeight w:val="211"/>
          <w:jc w:val="center"/>
        </w:trPr>
        <w:tc>
          <w:tcPr>
            <w:tcW w:w="3875" w:type="dxa"/>
            <w:shd w:val="clear" w:color="auto" w:fill="auto"/>
            <w:noWrap/>
            <w:vAlign w:val="center"/>
            <w:hideMark/>
          </w:tcPr>
          <w:p w:rsidR="00831800" w:rsidRPr="00985A5D" w:rsidRDefault="00831800" w:rsidP="00F26175">
            <w:pPr>
              <w:spacing w:before="100" w:beforeAutospacing="1" w:after="100" w:afterAutospacing="1" w:line="240" w:lineRule="auto"/>
              <w:ind w:firstLineChars="100" w:firstLine="180"/>
              <w:jc w:val="both"/>
              <w:rPr>
                <w:rFonts w:eastAsia="Times New Roman" w:cs="Arial"/>
                <w:sz w:val="18"/>
                <w:szCs w:val="18"/>
                <w:lang w:val="es-CO" w:eastAsia="es-CO"/>
              </w:rPr>
            </w:pPr>
            <w:r w:rsidRPr="00985A5D">
              <w:rPr>
                <w:rFonts w:eastAsia="Times New Roman" w:cs="Arial"/>
                <w:sz w:val="18"/>
                <w:szCs w:val="18"/>
                <w:lang w:val="es-CO" w:eastAsia="es-CO"/>
              </w:rPr>
              <w:t>Verde y Agua – Caminatas ecológicas</w:t>
            </w:r>
          </w:p>
        </w:tc>
        <w:tc>
          <w:tcPr>
            <w:tcW w:w="2607" w:type="dxa"/>
            <w:shd w:val="clear" w:color="auto" w:fill="auto"/>
            <w:noWrap/>
            <w:vAlign w:val="bottom"/>
            <w:hideMark/>
          </w:tcPr>
          <w:p w:rsidR="00831800" w:rsidRPr="00985A5D" w:rsidRDefault="00831800" w:rsidP="00F26175">
            <w:pPr>
              <w:spacing w:before="100" w:beforeAutospacing="1" w:after="100" w:afterAutospacing="1" w:line="240" w:lineRule="auto"/>
              <w:jc w:val="both"/>
              <w:rPr>
                <w:rFonts w:eastAsia="Times New Roman" w:cs="Arial"/>
                <w:sz w:val="18"/>
                <w:szCs w:val="18"/>
                <w:lang w:val="es-CO" w:eastAsia="es-CO"/>
              </w:rPr>
            </w:pPr>
            <w:r w:rsidRPr="00985A5D">
              <w:rPr>
                <w:rFonts w:eastAsia="Times New Roman" w:cs="Arial"/>
                <w:sz w:val="18"/>
                <w:szCs w:val="18"/>
                <w:lang w:val="es-CO" w:eastAsia="es-CO"/>
              </w:rPr>
              <w:t>10%</w:t>
            </w:r>
          </w:p>
        </w:tc>
      </w:tr>
    </w:tbl>
    <w:p w:rsidR="00831800" w:rsidRPr="00E2319F" w:rsidRDefault="00647ACF" w:rsidP="00647ACF">
      <w:pPr>
        <w:spacing w:after="100" w:afterAutospacing="1" w:line="240" w:lineRule="auto"/>
        <w:ind w:left="1416"/>
        <w:rPr>
          <w:rFonts w:cs="Arial"/>
          <w:spacing w:val="-4"/>
          <w:sz w:val="16"/>
          <w:szCs w:val="16"/>
          <w:lang w:eastAsia="es-CO"/>
        </w:rPr>
      </w:pPr>
      <w:r>
        <w:rPr>
          <w:rFonts w:cs="Arial"/>
          <w:spacing w:val="-4"/>
          <w:sz w:val="16"/>
          <w:szCs w:val="16"/>
          <w:lang w:eastAsia="es-CO"/>
        </w:rPr>
        <w:t xml:space="preserve">                                       </w:t>
      </w:r>
      <w:r w:rsidR="00831800" w:rsidRPr="00E2319F">
        <w:rPr>
          <w:rFonts w:cs="Arial"/>
          <w:spacing w:val="-4"/>
          <w:sz w:val="16"/>
          <w:szCs w:val="16"/>
          <w:lang w:eastAsia="es-CO"/>
        </w:rPr>
        <w:t>Fuente: Grupo de Desarrollo del Talento Humano</w:t>
      </w:r>
    </w:p>
    <w:p w:rsidR="00831800" w:rsidRPr="007608C2" w:rsidRDefault="00831800" w:rsidP="00831800">
      <w:pPr>
        <w:spacing w:before="100" w:beforeAutospacing="1" w:after="100" w:afterAutospacing="1" w:line="240" w:lineRule="auto"/>
        <w:jc w:val="both"/>
        <w:rPr>
          <w:rFonts w:cs="Arial"/>
          <w:b/>
        </w:rPr>
      </w:pPr>
      <w:r w:rsidRPr="007608C2">
        <w:rPr>
          <w:rFonts w:cs="Arial"/>
          <w:lang w:val="es-MX"/>
        </w:rPr>
        <w:t xml:space="preserve">El presupuesto del Plan de Bienestar de las 33 Regionales y la Sede de la Dirección General de 2017 fue de </w:t>
      </w:r>
      <w:r w:rsidRPr="007608C2">
        <w:rPr>
          <w:rFonts w:cs="Arial"/>
        </w:rPr>
        <w:t xml:space="preserve">$3.968.270.877, el </w:t>
      </w:r>
      <w:r w:rsidRPr="007608C2">
        <w:rPr>
          <w:rFonts w:cs="Arial"/>
          <w:lang w:val="es-MX"/>
        </w:rPr>
        <w:t xml:space="preserve">cual ha permitido tener una cobertura del 99,19% de servidores que han participado en actividades de bienestar, lo que se traduce en 4.994 personas en todo el </w:t>
      </w:r>
      <w:r w:rsidRPr="007608C2">
        <w:rPr>
          <w:rFonts w:cs="Arial"/>
          <w:lang w:val="es-MX"/>
        </w:rPr>
        <w:lastRenderedPageBreak/>
        <w:t>país a 31 de diciembre de 2017, quienes asignaron un 94% de satisfacción frente a las actividades realizadas.</w:t>
      </w:r>
    </w:p>
    <w:p w:rsidR="00831800" w:rsidRPr="007608C2" w:rsidRDefault="00831800" w:rsidP="00A44A2B">
      <w:pPr>
        <w:pStyle w:val="Prrafodelista"/>
        <w:numPr>
          <w:ilvl w:val="0"/>
          <w:numId w:val="4"/>
        </w:numPr>
        <w:spacing w:before="100" w:beforeAutospacing="1" w:after="100" w:afterAutospacing="1" w:line="240" w:lineRule="auto"/>
        <w:ind w:left="284" w:hanging="284"/>
        <w:jc w:val="both"/>
        <w:rPr>
          <w:rFonts w:cs="Arial"/>
        </w:rPr>
      </w:pPr>
      <w:bookmarkStart w:id="152" w:name="_Toc470095204"/>
      <w:r w:rsidRPr="007608C2">
        <w:rPr>
          <w:rFonts w:cs="Arial"/>
          <w:u w:val="single"/>
        </w:rPr>
        <w:t>Gestión del Sistema de Seguridad y Salud en el Trabajo:</w:t>
      </w:r>
      <w:r w:rsidRPr="007608C2">
        <w:rPr>
          <w:rFonts w:cs="Arial"/>
        </w:rPr>
        <w:t xml:space="preserve"> </w:t>
      </w:r>
    </w:p>
    <w:p w:rsidR="00831800" w:rsidRPr="007608C2" w:rsidRDefault="00831800" w:rsidP="00831800">
      <w:pPr>
        <w:spacing w:before="100" w:beforeAutospacing="1" w:after="100" w:afterAutospacing="1" w:line="240" w:lineRule="auto"/>
        <w:jc w:val="both"/>
        <w:rPr>
          <w:rFonts w:cs="Arial"/>
        </w:rPr>
      </w:pPr>
      <w:r w:rsidRPr="007608C2">
        <w:rPr>
          <w:rFonts w:cs="Arial"/>
        </w:rPr>
        <w:t xml:space="preserve">Dentro del componente de Calidad de Vida Laboral, se incluyen las actividades del Sistema de Gestión de Seguridad y Salud en el Trabajo, con las cuales se busca la </w:t>
      </w:r>
      <w:r w:rsidRPr="007608C2">
        <w:rPr>
          <w:rFonts w:cs="Arial"/>
          <w:bCs/>
          <w:lang w:eastAsia="es-CO"/>
        </w:rPr>
        <w:t xml:space="preserve">prevención y disminución de incidentes, accidentes, lesiones, enfermedades laborales </w:t>
      </w:r>
      <w:r w:rsidRPr="007608C2">
        <w:rPr>
          <w:rFonts w:cs="Arial"/>
          <w:bCs/>
          <w:iCs/>
          <w:lang w:eastAsia="es-CO"/>
        </w:rPr>
        <w:t xml:space="preserve">y amenazas  </w:t>
      </w:r>
      <w:r w:rsidRPr="007608C2">
        <w:rPr>
          <w:rFonts w:cs="Arial"/>
          <w:lang w:eastAsia="es-CO"/>
        </w:rPr>
        <w:t xml:space="preserve">a través de la identificación de peligros, valoración de riesgos y determinación de controles, </w:t>
      </w:r>
      <w:r w:rsidRPr="007608C2">
        <w:rPr>
          <w:rFonts w:cs="Arial"/>
          <w:iCs/>
          <w:lang w:eastAsia="es-CO"/>
        </w:rPr>
        <w:t>así como la preparación y respuesta ante emergencias y contingencias</w:t>
      </w:r>
      <w:r w:rsidRPr="007608C2">
        <w:rPr>
          <w:rFonts w:cs="Arial"/>
          <w:lang w:eastAsia="es-CO"/>
        </w:rPr>
        <w:t xml:space="preserve">, logrando responder a las necesidades  de los colaboradores del ICBF - partes interesadas </w:t>
      </w:r>
      <w:r w:rsidRPr="007608C2">
        <w:rPr>
          <w:rFonts w:cs="Arial"/>
        </w:rPr>
        <w:t xml:space="preserve"> y así alcanzar el más alto grado de bienestar físico, social y mental.</w:t>
      </w:r>
    </w:p>
    <w:p w:rsidR="00831800" w:rsidRPr="007608C2" w:rsidRDefault="00831800" w:rsidP="00831800">
      <w:pPr>
        <w:spacing w:before="100" w:beforeAutospacing="1" w:after="100" w:afterAutospacing="1" w:line="240" w:lineRule="auto"/>
        <w:jc w:val="both"/>
        <w:rPr>
          <w:rFonts w:cs="Arial"/>
        </w:rPr>
      </w:pPr>
      <w:r w:rsidRPr="007608C2">
        <w:rPr>
          <w:rFonts w:cs="Arial"/>
        </w:rPr>
        <w:t>En este contexto, se desarrollaron las actividades planeadas en el Plan de Trabajo Anual del ICBF con enfoque en inspecciones de seguridad, evaluación de requisitos legales, investigación de accidentes de trabajo, gestión del COPASST, seguimiento al cierre de Acciones de Mejora, controles operacionales, implementa</w:t>
      </w:r>
      <w:r w:rsidR="00E2319F">
        <w:rPr>
          <w:rFonts w:cs="Arial"/>
        </w:rPr>
        <w:t xml:space="preserve">ción programa de orden y aseo, </w:t>
      </w:r>
      <w:r w:rsidRPr="007608C2">
        <w:rPr>
          <w:rFonts w:cs="Arial"/>
        </w:rPr>
        <w:t>entre otras logrando un avance del 95% de ejecución.  Así mismo, en las regionales y centros zonales se han desarrollado actividades articuladas al Plan de Trabajo de la ARL con énfasis en las intervenciones de Plan Básico (capacit</w:t>
      </w:r>
      <w:r w:rsidR="00E2319F">
        <w:rPr>
          <w:rFonts w:cs="Arial"/>
        </w:rPr>
        <w:t xml:space="preserve">aciones a Brigadas, COPASST) y </w:t>
      </w:r>
      <w:r w:rsidRPr="007608C2">
        <w:rPr>
          <w:rFonts w:cs="Arial"/>
        </w:rPr>
        <w:t xml:space="preserve">en </w:t>
      </w:r>
      <w:r w:rsidR="00946C2A" w:rsidRPr="007608C2">
        <w:rPr>
          <w:rFonts w:cs="Arial"/>
        </w:rPr>
        <w:t>las del</w:t>
      </w:r>
      <w:r w:rsidRPr="007608C2">
        <w:rPr>
          <w:rFonts w:cs="Arial"/>
        </w:rPr>
        <w:t xml:space="preserve"> Plan especializado  (Psicosocial grupal e individual con enfoque a las Equipos de Defensoría  e intervenciones en desordenes musculoesqueléticos a todos los colaboradores). </w:t>
      </w:r>
    </w:p>
    <w:p w:rsidR="00831800" w:rsidRPr="007608C2" w:rsidRDefault="00831800" w:rsidP="00831800">
      <w:pPr>
        <w:spacing w:before="100" w:beforeAutospacing="1" w:after="100" w:afterAutospacing="1" w:line="240" w:lineRule="auto"/>
        <w:jc w:val="both"/>
        <w:rPr>
          <w:rFonts w:cs="Arial"/>
        </w:rPr>
      </w:pPr>
      <w:r w:rsidRPr="007608C2">
        <w:rPr>
          <w:rFonts w:cs="Arial"/>
        </w:rPr>
        <w:t>En Medicina Preventiva, se realizó seguimiento a los casos que se encuentran en proceso de calificación de origen de enfermedad y al cumplimiento de las recomendaciones medico laborales en los servidores públicos. De igual forma, se implementaron actividades de Promoción y Prevención de acuerdo con los diagnósticos de salud y a la mayor causalidad de ausentismo presentada por enfermedad común en este periodo (desarrollo de síntomas osteomusculares e infecciones respiratorias) y por enfermedad laboral (desarrollo de síntomas osteomusculares y esfera mental).</w:t>
      </w:r>
    </w:p>
    <w:p w:rsidR="00831800" w:rsidRPr="007608C2" w:rsidRDefault="00831800" w:rsidP="00831800">
      <w:pPr>
        <w:spacing w:before="100" w:beforeAutospacing="1" w:after="100" w:afterAutospacing="1" w:line="240" w:lineRule="auto"/>
        <w:jc w:val="both"/>
        <w:rPr>
          <w:rFonts w:cs="Arial"/>
        </w:rPr>
      </w:pPr>
      <w:r w:rsidRPr="007608C2">
        <w:rPr>
          <w:rFonts w:cs="Arial"/>
        </w:rPr>
        <w:t>En cuanto al tema de emergencia y contingencia se logró un avance de ej</w:t>
      </w:r>
      <w:r w:rsidR="00E2319F">
        <w:rPr>
          <w:rFonts w:cs="Arial"/>
        </w:rPr>
        <w:t>ecución del 100% de las visitas</w:t>
      </w:r>
      <w:r w:rsidRPr="007608C2">
        <w:rPr>
          <w:rFonts w:cs="Arial"/>
        </w:rPr>
        <w:t xml:space="preserve"> y la formulación </w:t>
      </w:r>
      <w:r w:rsidR="006B485A" w:rsidRPr="007608C2">
        <w:rPr>
          <w:rFonts w:cs="Arial"/>
        </w:rPr>
        <w:t>de los</w:t>
      </w:r>
      <w:r w:rsidRPr="007608C2">
        <w:rPr>
          <w:rFonts w:cs="Arial"/>
        </w:rPr>
        <w:t xml:space="preserve"> planes de los 209 centros zonales del ICBF.</w:t>
      </w:r>
      <w:r w:rsidR="002A2234" w:rsidRPr="007608C2">
        <w:rPr>
          <w:rFonts w:cs="Arial"/>
        </w:rPr>
        <w:t xml:space="preserve"> Por otro lado, los a</w:t>
      </w:r>
      <w:r w:rsidRPr="007608C2">
        <w:rPr>
          <w:rFonts w:cs="Arial"/>
        </w:rPr>
        <w:t xml:space="preserve">ccidentes de trabajo, se presentaron 456 casos siendo las Regionales: Bogotá, Antioquia, Atlántico con mayor incidencia. La causalidad más significativa ha sido por caídas del mismo nivel y golpes. </w:t>
      </w:r>
    </w:p>
    <w:p w:rsidR="00831800" w:rsidRPr="007608C2" w:rsidRDefault="00831800" w:rsidP="00831800">
      <w:pPr>
        <w:spacing w:before="100" w:beforeAutospacing="1" w:after="100" w:afterAutospacing="1" w:line="240" w:lineRule="auto"/>
        <w:jc w:val="both"/>
        <w:rPr>
          <w:rFonts w:cs="Arial"/>
        </w:rPr>
      </w:pPr>
      <w:r w:rsidRPr="007608C2">
        <w:rPr>
          <w:rFonts w:cs="Arial"/>
        </w:rPr>
        <w:t>Para el control integral del Sistema, se continúa con el reporte de 3 indicadores: Tasa de accidentalidad (en óptimo), índice de lesiones incapacitantes (en óptimo) y ausentismo por enfermedad laboral (en crítico), con el fin de tomar las medidas necesarias para alcanzar el objetivo de la Política de Seguridad y Salud en el Trabajo.</w:t>
      </w:r>
    </w:p>
    <w:p w:rsidR="00831800" w:rsidRPr="007608C2" w:rsidRDefault="00831800" w:rsidP="00831800">
      <w:pPr>
        <w:spacing w:before="100" w:beforeAutospacing="1" w:after="100" w:afterAutospacing="1" w:line="240" w:lineRule="auto"/>
        <w:jc w:val="both"/>
        <w:rPr>
          <w:rFonts w:cs="Arial"/>
        </w:rPr>
      </w:pPr>
      <w:r w:rsidRPr="007608C2">
        <w:rPr>
          <w:rFonts w:cs="Arial"/>
        </w:rPr>
        <w:t xml:space="preserve">Finalmente, el ICBF en la vigencia 2017 logró ampliar el número de regionales certificadas en la NTC OHSAS 18001:2007, pasando de 16 a 19; las regionales actualmente certificadas son: San Andrés, Casanare, Bogotá, Risaralda, Antioquia, Santander, Bolívar, Nariño, Amazonas, Quindío, </w:t>
      </w:r>
      <w:r w:rsidRPr="007608C2">
        <w:rPr>
          <w:rFonts w:cs="Arial"/>
        </w:rPr>
        <w:lastRenderedPageBreak/>
        <w:t>Caquetá, Cundinamarca, Caldas, Valle, Huila, Tolima, Atlántico, Cauca, Meta y Sede de la Dirección General.</w:t>
      </w:r>
    </w:p>
    <w:p w:rsidR="00831800" w:rsidRPr="007608C2" w:rsidRDefault="00831800" w:rsidP="00A44A2B">
      <w:pPr>
        <w:pStyle w:val="Ttulo2"/>
        <w:numPr>
          <w:ilvl w:val="1"/>
          <w:numId w:val="139"/>
        </w:numPr>
        <w:spacing w:before="100" w:beforeAutospacing="1" w:after="100" w:afterAutospacing="1" w:line="240" w:lineRule="auto"/>
        <w:jc w:val="both"/>
        <w:rPr>
          <w:rFonts w:cs="Arial"/>
          <w:b/>
          <w:szCs w:val="22"/>
        </w:rPr>
      </w:pPr>
      <w:bookmarkStart w:id="153" w:name="_Toc503465544"/>
      <w:r w:rsidRPr="007608C2">
        <w:rPr>
          <w:rFonts w:cs="Arial"/>
          <w:b/>
          <w:szCs w:val="22"/>
        </w:rPr>
        <w:t xml:space="preserve"> </w:t>
      </w:r>
      <w:bookmarkStart w:id="154" w:name="_Toc505183095"/>
      <w:r w:rsidRPr="007608C2">
        <w:rPr>
          <w:rFonts w:cs="Arial"/>
          <w:b/>
          <w:szCs w:val="22"/>
        </w:rPr>
        <w:t>Plan anual de vacantes</w:t>
      </w:r>
      <w:bookmarkEnd w:id="152"/>
      <w:bookmarkEnd w:id="153"/>
      <w:bookmarkEnd w:id="154"/>
      <w:r w:rsidRPr="007608C2">
        <w:rPr>
          <w:rFonts w:cs="Arial"/>
          <w:b/>
          <w:szCs w:val="22"/>
        </w:rPr>
        <w:t xml:space="preserve"> </w:t>
      </w:r>
    </w:p>
    <w:p w:rsidR="00831800" w:rsidRPr="007608C2" w:rsidRDefault="00831800" w:rsidP="00831800">
      <w:pPr>
        <w:spacing w:before="100" w:beforeAutospacing="1" w:after="100" w:afterAutospacing="1" w:line="240" w:lineRule="auto"/>
        <w:jc w:val="both"/>
        <w:rPr>
          <w:rFonts w:cs="Arial"/>
        </w:rPr>
      </w:pPr>
      <w:r w:rsidRPr="007608C2">
        <w:rPr>
          <w:rFonts w:cs="Arial"/>
        </w:rPr>
        <w:t xml:space="preserve">El plan anual de vacantes tiene por objetivo, diseñar estrategias de planeación anual de la provisión del talento humano, con el fin de que el ICBF pueda identificar las necesidades de la planta de personal, disponiendo de la gestión del talento humano como una estrategia organizacional y realizar la provisión de las vacantes existentes. Para la vigencia se </w:t>
      </w:r>
      <w:r w:rsidR="00E2319F" w:rsidRPr="007608C2">
        <w:rPr>
          <w:rFonts w:cs="Arial"/>
        </w:rPr>
        <w:t>propuso proveer</w:t>
      </w:r>
      <w:r w:rsidRPr="007608C2">
        <w:rPr>
          <w:rFonts w:cs="Arial"/>
        </w:rPr>
        <w:t xml:space="preserve"> el 100% de las vacantes durante 2017, de acuerdo con lo establecido en la Ley 909 del 2005 y el Decreto Reglamentario 1083 de 2015.</w:t>
      </w:r>
    </w:p>
    <w:p w:rsidR="00E2319F" w:rsidRDefault="00831800" w:rsidP="00831800">
      <w:pPr>
        <w:spacing w:before="100" w:beforeAutospacing="1" w:after="100" w:afterAutospacing="1" w:line="240" w:lineRule="auto"/>
        <w:contextualSpacing/>
        <w:jc w:val="both"/>
        <w:rPr>
          <w:rFonts w:cs="Arial"/>
        </w:rPr>
      </w:pPr>
      <w:r w:rsidRPr="007608C2">
        <w:rPr>
          <w:rFonts w:cs="Arial"/>
        </w:rPr>
        <w:t xml:space="preserve">En 2017, el Instituto contó con una planta de carácter temporal con 3.737 empleos, la cual fue aprobada por el Decreto 2138 de </w:t>
      </w:r>
      <w:r w:rsidR="00E2319F">
        <w:rPr>
          <w:rFonts w:cs="Arial"/>
        </w:rPr>
        <w:t>d</w:t>
      </w:r>
      <w:r w:rsidR="00E2319F" w:rsidRPr="007608C2">
        <w:rPr>
          <w:rFonts w:cs="Arial"/>
        </w:rPr>
        <w:t>iciembre 22</w:t>
      </w:r>
      <w:r w:rsidRPr="007608C2">
        <w:rPr>
          <w:rFonts w:cs="Arial"/>
        </w:rPr>
        <w:t xml:space="preserve"> de 2016 y que fue suprimida mediante Decreto 1479 de </w:t>
      </w:r>
      <w:r w:rsidR="00E2319F" w:rsidRPr="007608C2">
        <w:rPr>
          <w:rFonts w:cs="Arial"/>
        </w:rPr>
        <w:t>septiembre</w:t>
      </w:r>
      <w:r w:rsidRPr="007608C2">
        <w:rPr>
          <w:rFonts w:cs="Arial"/>
        </w:rPr>
        <w:t xml:space="preserve"> 4 de </w:t>
      </w:r>
      <w:r w:rsidR="00E2319F" w:rsidRPr="007608C2">
        <w:rPr>
          <w:rFonts w:cs="Arial"/>
        </w:rPr>
        <w:t>2017, aumentando</w:t>
      </w:r>
      <w:r w:rsidRPr="007608C2">
        <w:rPr>
          <w:rFonts w:cs="Arial"/>
        </w:rPr>
        <w:t xml:space="preserve"> la Planta de Personal de Carácter Permanente en un 73%, pasando así de 5.127 a 8.864 servidores. Debido a la ampliación, </w:t>
      </w:r>
      <w:r w:rsidR="00E2319F" w:rsidRPr="007608C2">
        <w:rPr>
          <w:rFonts w:cs="Arial"/>
        </w:rPr>
        <w:t>fue necesario</w:t>
      </w:r>
      <w:r w:rsidRPr="007608C2">
        <w:rPr>
          <w:rFonts w:cs="Arial"/>
        </w:rPr>
        <w:t xml:space="preserve"> realizar un plan de choque para la provisión de las nuevas vacantes, el cual se basó en las convocatorias internas y externas para la provisión de la planta temporal, privilegiando el principio del mérito. Para el 31 de diciembre de </w:t>
      </w:r>
      <w:r w:rsidR="00E2319F" w:rsidRPr="007608C2">
        <w:rPr>
          <w:rFonts w:cs="Arial"/>
        </w:rPr>
        <w:t>2017 existían</w:t>
      </w:r>
      <w:r w:rsidRPr="007608C2">
        <w:rPr>
          <w:rFonts w:cs="Arial"/>
        </w:rPr>
        <w:t xml:space="preserve"> 1.181 vacantes en toda la planta de personal, correspondientes al 13%.</w:t>
      </w:r>
    </w:p>
    <w:p w:rsidR="00831800" w:rsidRPr="007608C2" w:rsidRDefault="00831800" w:rsidP="00831800">
      <w:pPr>
        <w:spacing w:before="100" w:beforeAutospacing="1" w:after="100" w:afterAutospacing="1" w:line="240" w:lineRule="auto"/>
        <w:contextualSpacing/>
        <w:jc w:val="both"/>
        <w:rPr>
          <w:rFonts w:cs="Arial"/>
        </w:rPr>
      </w:pPr>
      <w:r w:rsidRPr="007608C2">
        <w:rPr>
          <w:rFonts w:cs="Arial"/>
        </w:rPr>
        <w:t xml:space="preserve"> </w:t>
      </w:r>
    </w:p>
    <w:p w:rsidR="00831800" w:rsidRPr="007608C2" w:rsidRDefault="00831800" w:rsidP="00831800">
      <w:pPr>
        <w:spacing w:before="100" w:beforeAutospacing="1" w:after="100" w:afterAutospacing="1" w:line="240" w:lineRule="auto"/>
        <w:jc w:val="both"/>
        <w:rPr>
          <w:rFonts w:cs="Arial"/>
        </w:rPr>
      </w:pPr>
      <w:r w:rsidRPr="007608C2">
        <w:rPr>
          <w:rFonts w:cs="Arial"/>
        </w:rPr>
        <w:t xml:space="preserve">La Dirección de Gestión Humana realizó seguimiento a la solución de fondo a las vacantes de la planta global que es la Convocatoria Pública No. 433 de 2016, </w:t>
      </w:r>
      <w:bookmarkStart w:id="155" w:name="_Toc470095205"/>
      <w:r w:rsidRPr="007608C2">
        <w:rPr>
          <w:rFonts w:cs="Arial"/>
        </w:rPr>
        <w:t xml:space="preserve">que es desarrollada por la Comisión Nacional de Servicio Civil. </w:t>
      </w:r>
    </w:p>
    <w:p w:rsidR="00831800" w:rsidRPr="007608C2" w:rsidRDefault="00831800" w:rsidP="00A44A2B">
      <w:pPr>
        <w:pStyle w:val="Ttulo2"/>
        <w:numPr>
          <w:ilvl w:val="1"/>
          <w:numId w:val="139"/>
        </w:numPr>
        <w:rPr>
          <w:rFonts w:cs="Arial"/>
          <w:b/>
        </w:rPr>
      </w:pPr>
      <w:bookmarkStart w:id="156" w:name="_Toc503465545"/>
      <w:bookmarkStart w:id="157" w:name="_Toc505183096"/>
      <w:r w:rsidRPr="007608C2">
        <w:rPr>
          <w:rFonts w:cs="Arial"/>
          <w:b/>
        </w:rPr>
        <w:t>LOGROS 2017</w:t>
      </w:r>
      <w:bookmarkEnd w:id="155"/>
      <w:bookmarkEnd w:id="156"/>
      <w:bookmarkEnd w:id="157"/>
    </w:p>
    <w:p w:rsidR="00831800" w:rsidRPr="007608C2" w:rsidRDefault="00831800" w:rsidP="008E18FA">
      <w:pPr>
        <w:pStyle w:val="Prrafodelista"/>
        <w:numPr>
          <w:ilvl w:val="0"/>
          <w:numId w:val="3"/>
        </w:numPr>
        <w:spacing w:before="100" w:beforeAutospacing="1" w:after="0" w:afterAutospacing="1" w:line="240" w:lineRule="auto"/>
        <w:jc w:val="both"/>
        <w:rPr>
          <w:rFonts w:cs="Arial"/>
        </w:rPr>
      </w:pPr>
      <w:r w:rsidRPr="007608C2">
        <w:rPr>
          <w:rFonts w:cs="Arial"/>
        </w:rPr>
        <w:t>Para el cierre de esta vigencia, el valor recobrado por concepto de incapacidades ha sido de $2.304.697.565 correspondiente a los pagos recibidos por 17 EPS.</w:t>
      </w:r>
      <w:r w:rsidR="002A2234" w:rsidRPr="007608C2">
        <w:rPr>
          <w:rFonts w:cs="Arial"/>
        </w:rPr>
        <w:t xml:space="preserve">  Por otra parte, e</w:t>
      </w:r>
      <w:r w:rsidRPr="007608C2">
        <w:rPr>
          <w:rFonts w:cs="Arial"/>
        </w:rPr>
        <w:t>n conjunto con el Grupo Financiero y Contable, se ha adelantado el proceso de conciliación de la cuenta contable de incapacidades de los siete terceros que representan mayor saldo así:</w:t>
      </w:r>
    </w:p>
    <w:tbl>
      <w:tblPr>
        <w:tblStyle w:val="Tabladecuadrcula4-nfasis322"/>
        <w:tblpPr w:leftFromText="141" w:rightFromText="141" w:vertAnchor="text" w:horzAnchor="page" w:tblpX="2200" w:tblpY="129"/>
        <w:tblW w:w="8926"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530"/>
        <w:gridCol w:w="1973"/>
        <w:gridCol w:w="2013"/>
        <w:gridCol w:w="2410"/>
      </w:tblGrid>
      <w:tr w:rsidR="00831800" w:rsidRPr="007608C2" w:rsidTr="00946C2A">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530" w:type="dxa"/>
            <w:tcBorders>
              <w:top w:val="none" w:sz="0" w:space="0" w:color="auto"/>
              <w:left w:val="none" w:sz="0" w:space="0" w:color="auto"/>
              <w:bottom w:val="none" w:sz="0" w:space="0" w:color="auto"/>
              <w:right w:val="none" w:sz="0" w:space="0" w:color="auto"/>
            </w:tcBorders>
            <w:shd w:val="clear" w:color="auto" w:fill="76922E"/>
            <w:vAlign w:val="center"/>
            <w:hideMark/>
          </w:tcPr>
          <w:p w:rsidR="00831800" w:rsidRPr="00E2319F" w:rsidRDefault="00E2319F" w:rsidP="00F26175">
            <w:pPr>
              <w:spacing w:before="100" w:beforeAutospacing="1" w:after="100" w:afterAutospacing="1" w:line="240" w:lineRule="auto"/>
              <w:jc w:val="center"/>
              <w:rPr>
                <w:rFonts w:eastAsia="Times New Roman" w:cs="Arial"/>
                <w:b w:val="0"/>
                <w:bCs w:val="0"/>
                <w:sz w:val="18"/>
                <w:lang w:val="es-CO"/>
              </w:rPr>
            </w:pPr>
            <w:r w:rsidRPr="00E2319F">
              <w:rPr>
                <w:rFonts w:eastAsia="Times New Roman" w:cs="Arial"/>
                <w:sz w:val="18"/>
                <w:lang w:val="es-CO"/>
              </w:rPr>
              <w:t>Tercero</w:t>
            </w:r>
          </w:p>
        </w:tc>
        <w:tc>
          <w:tcPr>
            <w:tcW w:w="1973" w:type="dxa"/>
            <w:tcBorders>
              <w:top w:val="none" w:sz="0" w:space="0" w:color="auto"/>
              <w:left w:val="none" w:sz="0" w:space="0" w:color="auto"/>
              <w:bottom w:val="none" w:sz="0" w:space="0" w:color="auto"/>
              <w:right w:val="none" w:sz="0" w:space="0" w:color="auto"/>
            </w:tcBorders>
            <w:shd w:val="clear" w:color="auto" w:fill="76922E"/>
            <w:vAlign w:val="center"/>
            <w:hideMark/>
          </w:tcPr>
          <w:p w:rsidR="00831800" w:rsidRPr="00E2319F" w:rsidRDefault="00E2319F" w:rsidP="00F26175">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lang w:val="es-CO"/>
              </w:rPr>
            </w:pPr>
            <w:r w:rsidRPr="00E2319F">
              <w:rPr>
                <w:rFonts w:eastAsia="Times New Roman" w:cs="Arial"/>
                <w:sz w:val="18"/>
                <w:lang w:val="es-CO"/>
              </w:rPr>
              <w:t>Cierre 2016</w:t>
            </w:r>
          </w:p>
        </w:tc>
        <w:tc>
          <w:tcPr>
            <w:tcW w:w="2013" w:type="dxa"/>
            <w:tcBorders>
              <w:top w:val="none" w:sz="0" w:space="0" w:color="auto"/>
              <w:left w:val="none" w:sz="0" w:space="0" w:color="auto"/>
              <w:bottom w:val="none" w:sz="0" w:space="0" w:color="auto"/>
              <w:right w:val="none" w:sz="0" w:space="0" w:color="auto"/>
            </w:tcBorders>
            <w:shd w:val="clear" w:color="auto" w:fill="76922E"/>
            <w:vAlign w:val="center"/>
            <w:hideMark/>
          </w:tcPr>
          <w:p w:rsidR="00831800" w:rsidRPr="00E2319F" w:rsidRDefault="00E2319F" w:rsidP="00F26175">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lang w:val="es-CO"/>
              </w:rPr>
            </w:pPr>
            <w:r>
              <w:rPr>
                <w:rFonts w:eastAsia="Times New Roman" w:cs="Arial"/>
                <w:sz w:val="18"/>
                <w:lang w:val="es-CO"/>
              </w:rPr>
              <w:t>Saldo a</w:t>
            </w:r>
            <w:r w:rsidRPr="00E2319F">
              <w:rPr>
                <w:rFonts w:eastAsia="Times New Roman" w:cs="Arial"/>
                <w:sz w:val="18"/>
                <w:lang w:val="es-CO"/>
              </w:rPr>
              <w:t xml:space="preserve"> Noviembre 2017  </w:t>
            </w:r>
            <w:r w:rsidR="00831800" w:rsidRPr="00E2319F">
              <w:rPr>
                <w:rStyle w:val="Refdenotaalpie"/>
                <w:rFonts w:eastAsia="Times New Roman" w:cs="Arial"/>
                <w:sz w:val="18"/>
                <w:lang w:val="es-CO"/>
              </w:rPr>
              <w:footnoteReference w:id="27"/>
            </w:r>
          </w:p>
        </w:tc>
        <w:tc>
          <w:tcPr>
            <w:tcW w:w="2410" w:type="dxa"/>
            <w:tcBorders>
              <w:top w:val="none" w:sz="0" w:space="0" w:color="auto"/>
              <w:left w:val="none" w:sz="0" w:space="0" w:color="auto"/>
              <w:bottom w:val="none" w:sz="0" w:space="0" w:color="auto"/>
              <w:right w:val="none" w:sz="0" w:space="0" w:color="auto"/>
            </w:tcBorders>
            <w:shd w:val="clear" w:color="auto" w:fill="76922E"/>
            <w:vAlign w:val="center"/>
            <w:hideMark/>
          </w:tcPr>
          <w:p w:rsidR="00831800" w:rsidRPr="00E2319F" w:rsidRDefault="00E2319F" w:rsidP="00F26175">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lang w:val="es-CO"/>
              </w:rPr>
            </w:pPr>
            <w:r w:rsidRPr="00E2319F">
              <w:rPr>
                <w:rFonts w:eastAsia="Times New Roman" w:cs="Arial"/>
                <w:sz w:val="18"/>
                <w:lang w:val="es-CO"/>
              </w:rPr>
              <w:t>% Impacto Sa</w:t>
            </w:r>
            <w:r>
              <w:rPr>
                <w:rFonts w:eastAsia="Times New Roman" w:cs="Arial"/>
                <w:sz w:val="18"/>
                <w:lang w:val="es-CO"/>
              </w:rPr>
              <w:t>ldo Total Cuenta Incapacidades a</w:t>
            </w:r>
            <w:r w:rsidRPr="00E2319F">
              <w:rPr>
                <w:rFonts w:eastAsia="Times New Roman" w:cs="Arial"/>
                <w:sz w:val="18"/>
                <w:lang w:val="es-CO"/>
              </w:rPr>
              <w:t xml:space="preserve"> Noviembre</w:t>
            </w:r>
          </w:p>
        </w:tc>
      </w:tr>
      <w:tr w:rsidR="00831800" w:rsidRPr="007608C2" w:rsidTr="00946C2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30" w:type="dxa"/>
            <w:shd w:val="clear" w:color="auto" w:fill="auto"/>
            <w:vAlign w:val="center"/>
            <w:hideMark/>
          </w:tcPr>
          <w:p w:rsidR="00831800" w:rsidRPr="00E2319F" w:rsidRDefault="00E2319F" w:rsidP="00F26175">
            <w:pPr>
              <w:spacing w:before="100" w:beforeAutospacing="1" w:after="100" w:afterAutospacing="1" w:line="240" w:lineRule="auto"/>
              <w:jc w:val="both"/>
              <w:rPr>
                <w:rFonts w:eastAsia="Times New Roman" w:cs="Arial"/>
                <w:b w:val="0"/>
                <w:sz w:val="18"/>
                <w:lang w:val="es-CO"/>
              </w:rPr>
            </w:pPr>
            <w:r w:rsidRPr="00E2319F">
              <w:rPr>
                <w:rFonts w:eastAsia="Times New Roman" w:cs="Arial"/>
                <w:b w:val="0"/>
                <w:sz w:val="18"/>
                <w:lang w:val="es-CO"/>
              </w:rPr>
              <w:t>Cafesalud</w:t>
            </w:r>
          </w:p>
        </w:tc>
        <w:tc>
          <w:tcPr>
            <w:tcW w:w="1973" w:type="dxa"/>
            <w:shd w:val="clear" w:color="auto" w:fill="auto"/>
            <w:vAlign w:val="center"/>
            <w:hideMark/>
          </w:tcPr>
          <w:p w:rsidR="00831800" w:rsidRPr="00E2319F" w:rsidRDefault="00831800" w:rsidP="00F26175">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18"/>
                <w:lang w:val="es-CO"/>
              </w:rPr>
            </w:pPr>
            <w:r w:rsidRPr="00E2319F">
              <w:rPr>
                <w:rFonts w:eastAsia="Times New Roman" w:cs="Arial"/>
                <w:sz w:val="18"/>
                <w:lang w:val="es-CO"/>
              </w:rPr>
              <w:t>$473.807.901</w:t>
            </w:r>
          </w:p>
        </w:tc>
        <w:tc>
          <w:tcPr>
            <w:tcW w:w="2013" w:type="dxa"/>
            <w:shd w:val="clear" w:color="auto" w:fill="auto"/>
            <w:vAlign w:val="center"/>
          </w:tcPr>
          <w:p w:rsidR="00831800" w:rsidRPr="00E2319F" w:rsidRDefault="00831800" w:rsidP="00F26175">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bCs/>
                <w:sz w:val="18"/>
                <w:lang w:val="es-CO"/>
              </w:rPr>
            </w:pPr>
            <w:r w:rsidRPr="00E2319F">
              <w:rPr>
                <w:rFonts w:eastAsia="Times New Roman" w:cs="Arial"/>
                <w:bCs/>
                <w:sz w:val="18"/>
              </w:rPr>
              <w:t>$409.606.239</w:t>
            </w:r>
          </w:p>
        </w:tc>
        <w:tc>
          <w:tcPr>
            <w:tcW w:w="2410" w:type="dxa"/>
            <w:shd w:val="clear" w:color="auto" w:fill="auto"/>
            <w:vAlign w:val="center"/>
            <w:hideMark/>
          </w:tcPr>
          <w:p w:rsidR="00831800" w:rsidRPr="00E2319F" w:rsidRDefault="00831800" w:rsidP="00F26175">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12.68%</w:t>
            </w:r>
          </w:p>
        </w:tc>
      </w:tr>
      <w:tr w:rsidR="00831800" w:rsidRPr="007608C2" w:rsidTr="00946C2A">
        <w:trPr>
          <w:trHeight w:val="171"/>
        </w:trPr>
        <w:tc>
          <w:tcPr>
            <w:cnfStyle w:val="001000000000" w:firstRow="0" w:lastRow="0" w:firstColumn="1" w:lastColumn="0" w:oddVBand="0" w:evenVBand="0" w:oddHBand="0" w:evenHBand="0" w:firstRowFirstColumn="0" w:firstRowLastColumn="0" w:lastRowFirstColumn="0" w:lastRowLastColumn="0"/>
            <w:tcW w:w="2530" w:type="dxa"/>
            <w:shd w:val="clear" w:color="auto" w:fill="auto"/>
            <w:vAlign w:val="center"/>
            <w:hideMark/>
          </w:tcPr>
          <w:p w:rsidR="00831800" w:rsidRPr="00E2319F" w:rsidRDefault="00E2319F" w:rsidP="00F26175">
            <w:pPr>
              <w:spacing w:before="100" w:beforeAutospacing="1" w:after="100" w:afterAutospacing="1" w:line="240" w:lineRule="auto"/>
              <w:jc w:val="both"/>
              <w:rPr>
                <w:rFonts w:eastAsia="Times New Roman" w:cs="Arial"/>
                <w:b w:val="0"/>
                <w:sz w:val="18"/>
                <w:lang w:val="es-CO"/>
              </w:rPr>
            </w:pPr>
            <w:r w:rsidRPr="00E2319F">
              <w:rPr>
                <w:rFonts w:eastAsia="Times New Roman" w:cs="Arial"/>
                <w:b w:val="0"/>
                <w:sz w:val="18"/>
                <w:lang w:val="es-CO"/>
              </w:rPr>
              <w:t>Saludcoop</w:t>
            </w:r>
          </w:p>
        </w:tc>
        <w:tc>
          <w:tcPr>
            <w:tcW w:w="1973" w:type="dxa"/>
            <w:shd w:val="clear" w:color="auto" w:fill="auto"/>
            <w:vAlign w:val="center"/>
            <w:hideMark/>
          </w:tcPr>
          <w:p w:rsidR="00831800" w:rsidRPr="00E2319F" w:rsidRDefault="00831800" w:rsidP="00F26175">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18"/>
                <w:lang w:val="es-CO"/>
              </w:rPr>
            </w:pPr>
            <w:r w:rsidRPr="00E2319F">
              <w:rPr>
                <w:rFonts w:eastAsia="Times New Roman" w:cs="Arial"/>
                <w:sz w:val="18"/>
                <w:lang w:val="es-CO"/>
              </w:rPr>
              <w:t>$739.283.181</w:t>
            </w:r>
          </w:p>
        </w:tc>
        <w:tc>
          <w:tcPr>
            <w:tcW w:w="2013" w:type="dxa"/>
            <w:shd w:val="clear" w:color="auto" w:fill="auto"/>
            <w:vAlign w:val="center"/>
          </w:tcPr>
          <w:p w:rsidR="00831800" w:rsidRPr="00E2319F" w:rsidRDefault="00831800" w:rsidP="00F26175">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bCs/>
                <w:sz w:val="18"/>
                <w:lang w:val="es-CO"/>
              </w:rPr>
            </w:pPr>
            <w:r w:rsidRPr="00E2319F">
              <w:rPr>
                <w:rFonts w:eastAsia="Times New Roman" w:cs="Arial"/>
                <w:bCs/>
                <w:sz w:val="18"/>
              </w:rPr>
              <w:t>$328.256.205</w:t>
            </w:r>
          </w:p>
        </w:tc>
        <w:tc>
          <w:tcPr>
            <w:tcW w:w="2410" w:type="dxa"/>
            <w:shd w:val="clear" w:color="auto" w:fill="auto"/>
            <w:vAlign w:val="center"/>
          </w:tcPr>
          <w:p w:rsidR="00831800" w:rsidRPr="00E2319F" w:rsidRDefault="00831800" w:rsidP="00F26175">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10.16%</w:t>
            </w:r>
          </w:p>
        </w:tc>
      </w:tr>
      <w:tr w:rsidR="00831800" w:rsidRPr="007608C2" w:rsidTr="00946C2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30" w:type="dxa"/>
            <w:shd w:val="clear" w:color="auto" w:fill="auto"/>
            <w:vAlign w:val="center"/>
            <w:hideMark/>
          </w:tcPr>
          <w:p w:rsidR="00831800" w:rsidRPr="00E2319F" w:rsidRDefault="00E2319F" w:rsidP="00F26175">
            <w:pPr>
              <w:spacing w:before="100" w:beforeAutospacing="1" w:after="100" w:afterAutospacing="1" w:line="240" w:lineRule="auto"/>
              <w:jc w:val="both"/>
              <w:rPr>
                <w:rFonts w:eastAsia="Times New Roman" w:cs="Arial"/>
                <w:b w:val="0"/>
                <w:sz w:val="18"/>
                <w:lang w:val="es-CO"/>
              </w:rPr>
            </w:pPr>
            <w:r>
              <w:rPr>
                <w:rFonts w:eastAsia="Times New Roman" w:cs="Arial"/>
                <w:b w:val="0"/>
                <w:sz w:val="18"/>
                <w:lang w:val="es-CO"/>
              </w:rPr>
              <w:t>Nueva EPS</w:t>
            </w:r>
          </w:p>
        </w:tc>
        <w:tc>
          <w:tcPr>
            <w:tcW w:w="1973" w:type="dxa"/>
            <w:shd w:val="clear" w:color="auto" w:fill="auto"/>
            <w:vAlign w:val="center"/>
            <w:hideMark/>
          </w:tcPr>
          <w:p w:rsidR="00831800" w:rsidRPr="00E2319F" w:rsidRDefault="00831800" w:rsidP="00F26175">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18"/>
                <w:lang w:val="es-CO"/>
              </w:rPr>
            </w:pPr>
            <w:r w:rsidRPr="00E2319F">
              <w:rPr>
                <w:rFonts w:eastAsia="Times New Roman" w:cs="Arial"/>
                <w:sz w:val="18"/>
                <w:lang w:val="es-CO"/>
              </w:rPr>
              <w:t>$671.473.254</w:t>
            </w:r>
          </w:p>
        </w:tc>
        <w:tc>
          <w:tcPr>
            <w:tcW w:w="2013" w:type="dxa"/>
            <w:shd w:val="clear" w:color="auto" w:fill="auto"/>
            <w:vAlign w:val="center"/>
          </w:tcPr>
          <w:p w:rsidR="00831800" w:rsidRPr="00E2319F" w:rsidRDefault="00831800" w:rsidP="00F26175">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$292.291.722</w:t>
            </w:r>
          </w:p>
        </w:tc>
        <w:tc>
          <w:tcPr>
            <w:tcW w:w="2410" w:type="dxa"/>
            <w:shd w:val="clear" w:color="auto" w:fill="auto"/>
            <w:vAlign w:val="center"/>
          </w:tcPr>
          <w:p w:rsidR="00831800" w:rsidRPr="00E2319F" w:rsidRDefault="00831800" w:rsidP="00F26175">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9.05%</w:t>
            </w:r>
          </w:p>
        </w:tc>
      </w:tr>
      <w:tr w:rsidR="00831800" w:rsidRPr="007608C2" w:rsidTr="00946C2A">
        <w:trPr>
          <w:trHeight w:val="260"/>
        </w:trPr>
        <w:tc>
          <w:tcPr>
            <w:cnfStyle w:val="001000000000" w:firstRow="0" w:lastRow="0" w:firstColumn="1" w:lastColumn="0" w:oddVBand="0" w:evenVBand="0" w:oddHBand="0" w:evenHBand="0" w:firstRowFirstColumn="0" w:firstRowLastColumn="0" w:lastRowFirstColumn="0" w:lastRowLastColumn="0"/>
            <w:tcW w:w="2530" w:type="dxa"/>
            <w:shd w:val="clear" w:color="auto" w:fill="auto"/>
            <w:vAlign w:val="center"/>
          </w:tcPr>
          <w:p w:rsidR="00831800" w:rsidRPr="00E2319F" w:rsidRDefault="00E2319F" w:rsidP="00F26175">
            <w:pPr>
              <w:spacing w:before="100" w:beforeAutospacing="1" w:after="100" w:afterAutospacing="1" w:line="240" w:lineRule="auto"/>
              <w:jc w:val="both"/>
              <w:rPr>
                <w:rFonts w:eastAsia="Times New Roman" w:cs="Arial"/>
                <w:b w:val="0"/>
                <w:sz w:val="18"/>
                <w:lang w:val="es-CO"/>
              </w:rPr>
            </w:pPr>
            <w:r w:rsidRPr="00E2319F">
              <w:rPr>
                <w:rFonts w:eastAsia="Times New Roman" w:cs="Arial"/>
                <w:b w:val="0"/>
                <w:sz w:val="18"/>
                <w:lang w:val="es-CO"/>
              </w:rPr>
              <w:t>Comfenalco Antioquia</w:t>
            </w:r>
          </w:p>
        </w:tc>
        <w:tc>
          <w:tcPr>
            <w:tcW w:w="1973" w:type="dxa"/>
            <w:shd w:val="clear" w:color="auto" w:fill="auto"/>
            <w:vAlign w:val="center"/>
          </w:tcPr>
          <w:p w:rsidR="00831800" w:rsidRPr="00E2319F" w:rsidRDefault="00E2319F" w:rsidP="00F26175">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$ 23</w:t>
            </w:r>
            <w:r w:rsidR="00831800" w:rsidRPr="00E2319F">
              <w:rPr>
                <w:rFonts w:eastAsia="Times New Roman" w:cs="Arial"/>
                <w:bCs/>
                <w:sz w:val="18"/>
                <w:lang w:val="es-CO"/>
              </w:rPr>
              <w:t>.676.468</w:t>
            </w:r>
          </w:p>
        </w:tc>
        <w:tc>
          <w:tcPr>
            <w:tcW w:w="2013" w:type="dxa"/>
            <w:shd w:val="clear" w:color="auto" w:fill="auto"/>
            <w:vAlign w:val="center"/>
          </w:tcPr>
          <w:p w:rsidR="00831800" w:rsidRPr="00E2319F" w:rsidRDefault="00831800" w:rsidP="00F26175">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    5.099.610</w:t>
            </w:r>
          </w:p>
        </w:tc>
        <w:tc>
          <w:tcPr>
            <w:tcW w:w="2410" w:type="dxa"/>
            <w:shd w:val="clear" w:color="auto" w:fill="auto"/>
            <w:vAlign w:val="center"/>
          </w:tcPr>
          <w:p w:rsidR="00831800" w:rsidRPr="00E2319F" w:rsidRDefault="00831800" w:rsidP="00F26175">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0.16%</w:t>
            </w:r>
          </w:p>
        </w:tc>
      </w:tr>
      <w:tr w:rsidR="00831800" w:rsidRPr="007608C2" w:rsidTr="00946C2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30" w:type="dxa"/>
            <w:shd w:val="clear" w:color="auto" w:fill="auto"/>
            <w:vAlign w:val="center"/>
          </w:tcPr>
          <w:p w:rsidR="00831800" w:rsidRPr="00E2319F" w:rsidRDefault="00E2319F" w:rsidP="00F26175">
            <w:pPr>
              <w:spacing w:before="100" w:beforeAutospacing="1" w:after="100" w:afterAutospacing="1" w:line="240" w:lineRule="auto"/>
              <w:jc w:val="both"/>
              <w:rPr>
                <w:rFonts w:eastAsia="Times New Roman" w:cs="Arial"/>
                <w:b w:val="0"/>
                <w:sz w:val="18"/>
                <w:lang w:val="es-CO"/>
              </w:rPr>
            </w:pPr>
            <w:r w:rsidRPr="00E2319F">
              <w:rPr>
                <w:rFonts w:eastAsia="Times New Roman" w:cs="Arial"/>
                <w:b w:val="0"/>
                <w:sz w:val="18"/>
                <w:lang w:val="es-CO"/>
              </w:rPr>
              <w:t>Solsalud</w:t>
            </w:r>
          </w:p>
        </w:tc>
        <w:tc>
          <w:tcPr>
            <w:tcW w:w="1973" w:type="dxa"/>
            <w:shd w:val="clear" w:color="auto" w:fill="auto"/>
            <w:vAlign w:val="center"/>
          </w:tcPr>
          <w:p w:rsidR="00831800" w:rsidRPr="00E2319F" w:rsidRDefault="00831800" w:rsidP="00F26175">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    3 773.226</w:t>
            </w:r>
          </w:p>
        </w:tc>
        <w:tc>
          <w:tcPr>
            <w:tcW w:w="2013" w:type="dxa"/>
            <w:shd w:val="clear" w:color="auto" w:fill="auto"/>
            <w:vAlign w:val="center"/>
          </w:tcPr>
          <w:p w:rsidR="00831800" w:rsidRPr="00E2319F" w:rsidRDefault="00831800" w:rsidP="00F26175">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     -</w:t>
            </w:r>
          </w:p>
        </w:tc>
        <w:tc>
          <w:tcPr>
            <w:tcW w:w="2410" w:type="dxa"/>
            <w:shd w:val="clear" w:color="auto" w:fill="auto"/>
            <w:vAlign w:val="center"/>
          </w:tcPr>
          <w:p w:rsidR="00831800" w:rsidRPr="00E2319F" w:rsidRDefault="00831800" w:rsidP="00F26175">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0.12%</w:t>
            </w:r>
          </w:p>
        </w:tc>
      </w:tr>
      <w:tr w:rsidR="00831800" w:rsidRPr="007608C2" w:rsidTr="00946C2A">
        <w:trPr>
          <w:trHeight w:val="260"/>
        </w:trPr>
        <w:tc>
          <w:tcPr>
            <w:cnfStyle w:val="001000000000" w:firstRow="0" w:lastRow="0" w:firstColumn="1" w:lastColumn="0" w:oddVBand="0" w:evenVBand="0" w:oddHBand="0" w:evenHBand="0" w:firstRowFirstColumn="0" w:firstRowLastColumn="0" w:lastRowFirstColumn="0" w:lastRowLastColumn="0"/>
            <w:tcW w:w="2530" w:type="dxa"/>
            <w:shd w:val="clear" w:color="auto" w:fill="auto"/>
            <w:vAlign w:val="center"/>
          </w:tcPr>
          <w:p w:rsidR="00831800" w:rsidRPr="00E2319F" w:rsidRDefault="00E2319F" w:rsidP="00F26175">
            <w:pPr>
              <w:spacing w:before="100" w:beforeAutospacing="1" w:after="100" w:afterAutospacing="1" w:line="240" w:lineRule="auto"/>
              <w:jc w:val="both"/>
              <w:rPr>
                <w:rFonts w:eastAsia="Times New Roman" w:cs="Arial"/>
                <w:b w:val="0"/>
                <w:sz w:val="18"/>
                <w:lang w:val="es-CO"/>
              </w:rPr>
            </w:pPr>
            <w:r w:rsidRPr="00E2319F">
              <w:rPr>
                <w:rFonts w:eastAsia="Times New Roman" w:cs="Arial"/>
                <w:b w:val="0"/>
                <w:sz w:val="18"/>
                <w:lang w:val="es-CO"/>
              </w:rPr>
              <w:t>Humanavivir</w:t>
            </w:r>
          </w:p>
        </w:tc>
        <w:tc>
          <w:tcPr>
            <w:tcW w:w="1973" w:type="dxa"/>
            <w:shd w:val="clear" w:color="auto" w:fill="auto"/>
            <w:vAlign w:val="center"/>
          </w:tcPr>
          <w:p w:rsidR="00831800" w:rsidRPr="00E2319F" w:rsidRDefault="00831800" w:rsidP="00F26175">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    4 655.342</w:t>
            </w:r>
          </w:p>
        </w:tc>
        <w:tc>
          <w:tcPr>
            <w:tcW w:w="2013" w:type="dxa"/>
            <w:shd w:val="clear" w:color="auto" w:fill="auto"/>
            <w:vAlign w:val="center"/>
          </w:tcPr>
          <w:p w:rsidR="00831800" w:rsidRPr="00E2319F" w:rsidRDefault="00831800" w:rsidP="00F26175">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     -</w:t>
            </w:r>
          </w:p>
        </w:tc>
        <w:tc>
          <w:tcPr>
            <w:tcW w:w="2410" w:type="dxa"/>
            <w:shd w:val="clear" w:color="auto" w:fill="auto"/>
            <w:vAlign w:val="center"/>
          </w:tcPr>
          <w:p w:rsidR="00831800" w:rsidRPr="00E2319F" w:rsidRDefault="00831800" w:rsidP="00F26175">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0.14%</w:t>
            </w:r>
          </w:p>
        </w:tc>
      </w:tr>
      <w:tr w:rsidR="00831800" w:rsidRPr="007608C2" w:rsidTr="00946C2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30" w:type="dxa"/>
            <w:shd w:val="clear" w:color="auto" w:fill="auto"/>
            <w:vAlign w:val="center"/>
          </w:tcPr>
          <w:p w:rsidR="00831800" w:rsidRPr="00E2319F" w:rsidRDefault="00E2319F" w:rsidP="00F26175">
            <w:pPr>
              <w:spacing w:before="100" w:beforeAutospacing="1" w:after="100" w:afterAutospacing="1" w:line="240" w:lineRule="auto"/>
              <w:jc w:val="both"/>
              <w:rPr>
                <w:rFonts w:eastAsia="Times New Roman" w:cs="Arial"/>
                <w:b w:val="0"/>
                <w:sz w:val="18"/>
                <w:lang w:val="es-CO"/>
              </w:rPr>
            </w:pPr>
            <w:r w:rsidRPr="00E2319F">
              <w:rPr>
                <w:rFonts w:eastAsia="Times New Roman" w:cs="Arial"/>
                <w:b w:val="0"/>
                <w:sz w:val="18"/>
                <w:lang w:val="es-CO"/>
              </w:rPr>
              <w:t>Allianz Seguros</w:t>
            </w:r>
          </w:p>
        </w:tc>
        <w:tc>
          <w:tcPr>
            <w:tcW w:w="1973" w:type="dxa"/>
            <w:shd w:val="clear" w:color="auto" w:fill="auto"/>
            <w:vAlign w:val="center"/>
          </w:tcPr>
          <w:p w:rsidR="00831800" w:rsidRPr="00E2319F" w:rsidRDefault="00831800" w:rsidP="00F26175">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       408.944</w:t>
            </w:r>
          </w:p>
        </w:tc>
        <w:tc>
          <w:tcPr>
            <w:tcW w:w="2013" w:type="dxa"/>
            <w:shd w:val="clear" w:color="auto" w:fill="auto"/>
            <w:vAlign w:val="center"/>
          </w:tcPr>
          <w:p w:rsidR="00831800" w:rsidRPr="00E2319F" w:rsidRDefault="00831800" w:rsidP="00F26175">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     -</w:t>
            </w:r>
          </w:p>
        </w:tc>
        <w:tc>
          <w:tcPr>
            <w:tcW w:w="2410" w:type="dxa"/>
            <w:shd w:val="clear" w:color="auto" w:fill="auto"/>
            <w:vAlign w:val="center"/>
          </w:tcPr>
          <w:p w:rsidR="00831800" w:rsidRPr="00E2319F" w:rsidRDefault="00831800" w:rsidP="00F26175">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0.01%</w:t>
            </w:r>
          </w:p>
        </w:tc>
      </w:tr>
      <w:tr w:rsidR="00831800" w:rsidRPr="007608C2" w:rsidTr="00946C2A">
        <w:trPr>
          <w:trHeight w:val="260"/>
        </w:trPr>
        <w:tc>
          <w:tcPr>
            <w:cnfStyle w:val="001000000000" w:firstRow="0" w:lastRow="0" w:firstColumn="1" w:lastColumn="0" w:oddVBand="0" w:evenVBand="0" w:oddHBand="0" w:evenHBand="0" w:firstRowFirstColumn="0" w:firstRowLastColumn="0" w:lastRowFirstColumn="0" w:lastRowLastColumn="0"/>
            <w:tcW w:w="2530" w:type="dxa"/>
            <w:shd w:val="clear" w:color="auto" w:fill="E2EFDA"/>
            <w:vAlign w:val="center"/>
            <w:hideMark/>
          </w:tcPr>
          <w:p w:rsidR="00831800" w:rsidRPr="00E2319F" w:rsidRDefault="00831800" w:rsidP="00F26175">
            <w:pPr>
              <w:spacing w:before="100" w:beforeAutospacing="1" w:after="100" w:afterAutospacing="1" w:line="240" w:lineRule="auto"/>
              <w:jc w:val="both"/>
              <w:rPr>
                <w:rFonts w:eastAsia="Times New Roman" w:cs="Arial"/>
                <w:b w:val="0"/>
                <w:bCs w:val="0"/>
                <w:sz w:val="18"/>
                <w:lang w:val="es-CO"/>
              </w:rPr>
            </w:pPr>
            <w:r w:rsidRPr="00E2319F">
              <w:rPr>
                <w:rFonts w:eastAsia="Times New Roman" w:cs="Arial"/>
                <w:b w:val="0"/>
                <w:sz w:val="18"/>
                <w:lang w:val="es-CO"/>
              </w:rPr>
              <w:t>Total</w:t>
            </w:r>
          </w:p>
        </w:tc>
        <w:tc>
          <w:tcPr>
            <w:tcW w:w="1973" w:type="dxa"/>
            <w:shd w:val="clear" w:color="auto" w:fill="E2EFDA"/>
            <w:vAlign w:val="center"/>
            <w:hideMark/>
          </w:tcPr>
          <w:p w:rsidR="00831800" w:rsidRPr="00E2319F" w:rsidRDefault="00831800" w:rsidP="00F26175">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$1.917.078.316</w:t>
            </w:r>
          </w:p>
        </w:tc>
        <w:tc>
          <w:tcPr>
            <w:tcW w:w="2013" w:type="dxa"/>
            <w:shd w:val="clear" w:color="auto" w:fill="E2EFDA"/>
            <w:vAlign w:val="center"/>
            <w:hideMark/>
          </w:tcPr>
          <w:p w:rsidR="00831800" w:rsidRPr="00E2319F" w:rsidRDefault="00831800" w:rsidP="00F26175">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$1.035.253.776</w:t>
            </w:r>
          </w:p>
        </w:tc>
        <w:tc>
          <w:tcPr>
            <w:tcW w:w="2410" w:type="dxa"/>
            <w:shd w:val="clear" w:color="auto" w:fill="E2EFDA"/>
            <w:vAlign w:val="center"/>
            <w:hideMark/>
          </w:tcPr>
          <w:p w:rsidR="00831800" w:rsidRPr="00E2319F" w:rsidRDefault="00831800" w:rsidP="00F26175">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8"/>
                <w:lang w:val="es-CO"/>
              </w:rPr>
            </w:pPr>
            <w:r w:rsidRPr="00E2319F">
              <w:rPr>
                <w:rFonts w:eastAsia="Times New Roman" w:cs="Arial"/>
                <w:bCs/>
                <w:sz w:val="18"/>
                <w:lang w:val="es-CO"/>
              </w:rPr>
              <w:t>32,32%</w:t>
            </w:r>
          </w:p>
        </w:tc>
      </w:tr>
    </w:tbl>
    <w:p w:rsidR="00831800" w:rsidRPr="00E2319F" w:rsidRDefault="00831800" w:rsidP="00647ACF">
      <w:pPr>
        <w:spacing w:before="100" w:beforeAutospacing="1" w:after="100" w:afterAutospacing="1" w:line="240" w:lineRule="auto"/>
        <w:jc w:val="center"/>
        <w:rPr>
          <w:rFonts w:cs="Arial"/>
          <w:spacing w:val="-4"/>
          <w:sz w:val="16"/>
          <w:szCs w:val="16"/>
          <w:lang w:eastAsia="es-CO"/>
        </w:rPr>
      </w:pPr>
      <w:r w:rsidRPr="00E2319F">
        <w:rPr>
          <w:rFonts w:cs="Arial"/>
          <w:spacing w:val="-4"/>
          <w:sz w:val="16"/>
          <w:szCs w:val="16"/>
          <w:lang w:eastAsia="es-CO"/>
        </w:rPr>
        <w:lastRenderedPageBreak/>
        <w:t>Fuente: Grupo de Nómina y Seguridad Social</w:t>
      </w:r>
    </w:p>
    <w:p w:rsidR="00831800" w:rsidRDefault="00831800" w:rsidP="00A44A2B">
      <w:pPr>
        <w:numPr>
          <w:ilvl w:val="0"/>
          <w:numId w:val="79"/>
        </w:numPr>
        <w:spacing w:before="100" w:beforeAutospacing="1" w:after="100" w:afterAutospacing="1" w:line="240" w:lineRule="auto"/>
        <w:contextualSpacing/>
        <w:jc w:val="both"/>
        <w:rPr>
          <w:rFonts w:cs="Arial"/>
        </w:rPr>
      </w:pPr>
      <w:r w:rsidRPr="00E2319F">
        <w:rPr>
          <w:rFonts w:cs="Arial"/>
        </w:rPr>
        <w:t>En el Comité de Sostenibilidad de diciembre de 2017, se autorizó el saneamiento de la cuenta contable de incapacidades por $328.256.205 correspondientes a Saludcoop, teniendo en cuenta la imposibilidad de cobro ante una entidad liquidada. En los demás casos con inconvenientes para cobro, se están gestionando las acciones correspondientes en conjunto con la Dirección Financiera y la Oficina Asesora Jurídica.</w:t>
      </w:r>
    </w:p>
    <w:p w:rsidR="00647ACF" w:rsidRPr="00E2319F" w:rsidRDefault="00647ACF" w:rsidP="00647ACF">
      <w:pPr>
        <w:spacing w:before="100" w:beforeAutospacing="1" w:after="100" w:afterAutospacing="1" w:line="240" w:lineRule="auto"/>
        <w:ind w:left="360"/>
        <w:contextualSpacing/>
        <w:jc w:val="both"/>
        <w:rPr>
          <w:rFonts w:cs="Arial"/>
        </w:rPr>
      </w:pPr>
    </w:p>
    <w:p w:rsidR="00831800" w:rsidRDefault="00831800" w:rsidP="00A44A2B">
      <w:pPr>
        <w:numPr>
          <w:ilvl w:val="0"/>
          <w:numId w:val="79"/>
        </w:numPr>
        <w:spacing w:before="100" w:beforeAutospacing="1" w:after="100" w:afterAutospacing="1" w:line="240" w:lineRule="auto"/>
        <w:contextualSpacing/>
        <w:jc w:val="both"/>
        <w:rPr>
          <w:rFonts w:cs="Arial"/>
        </w:rPr>
      </w:pPr>
      <w:r w:rsidRPr="00647ACF">
        <w:rPr>
          <w:rFonts w:cs="Arial"/>
        </w:rPr>
        <w:t>En cuanto a los saldos contables de incapacidades con vigencia anterior al año 2013, se está apoyando a las direcciones regionales para que avancen en lo correspondiente (reclasificaciones contables y/o revisión en Comités de Sostenibilidad). Al mes de noviembre de 2017 se reconoce un avance de depuración de $240.235.713 respecto al saldo registrado a diciembre de 2016 ($342.263.686).</w:t>
      </w:r>
    </w:p>
    <w:p w:rsidR="00647ACF" w:rsidRPr="00647ACF" w:rsidRDefault="00647ACF" w:rsidP="00647ACF">
      <w:pPr>
        <w:spacing w:before="100" w:beforeAutospacing="1" w:after="100" w:afterAutospacing="1" w:line="240" w:lineRule="auto"/>
        <w:contextualSpacing/>
        <w:jc w:val="both"/>
        <w:rPr>
          <w:rFonts w:cs="Arial"/>
        </w:rPr>
      </w:pPr>
    </w:p>
    <w:p w:rsidR="00831800" w:rsidRDefault="00831800" w:rsidP="00A44A2B">
      <w:pPr>
        <w:numPr>
          <w:ilvl w:val="0"/>
          <w:numId w:val="79"/>
        </w:numPr>
        <w:spacing w:before="100" w:beforeAutospacing="1" w:after="100" w:afterAutospacing="1" w:line="240" w:lineRule="auto"/>
        <w:contextualSpacing/>
        <w:jc w:val="both"/>
        <w:rPr>
          <w:rFonts w:cs="Arial"/>
        </w:rPr>
      </w:pPr>
      <w:r w:rsidRPr="00E2319F">
        <w:rPr>
          <w:rFonts w:cs="Arial"/>
        </w:rPr>
        <w:t xml:space="preserve">Cumplimiento del 95% de las actividades propuesta del plan de trabajo anual de acuerdo </w:t>
      </w:r>
      <w:r w:rsidR="00647ACF" w:rsidRPr="00E2319F">
        <w:rPr>
          <w:rFonts w:cs="Arial"/>
        </w:rPr>
        <w:t>con lo</w:t>
      </w:r>
      <w:r w:rsidRPr="00E2319F">
        <w:rPr>
          <w:rFonts w:cs="Arial"/>
        </w:rPr>
        <w:t xml:space="preserve"> establecido en el Decreto 1072 de 2015.</w:t>
      </w:r>
    </w:p>
    <w:p w:rsidR="00647ACF" w:rsidRPr="00E2319F" w:rsidRDefault="00647ACF" w:rsidP="00647ACF">
      <w:pPr>
        <w:spacing w:before="100" w:beforeAutospacing="1" w:after="100" w:afterAutospacing="1" w:line="240" w:lineRule="auto"/>
        <w:contextualSpacing/>
        <w:jc w:val="both"/>
        <w:rPr>
          <w:rFonts w:cs="Arial"/>
        </w:rPr>
      </w:pPr>
    </w:p>
    <w:p w:rsidR="00831800" w:rsidRDefault="00831800" w:rsidP="00A44A2B">
      <w:pPr>
        <w:numPr>
          <w:ilvl w:val="0"/>
          <w:numId w:val="79"/>
        </w:numPr>
        <w:spacing w:before="100" w:beforeAutospacing="1" w:after="100" w:afterAutospacing="1" w:line="240" w:lineRule="auto"/>
        <w:contextualSpacing/>
        <w:jc w:val="both"/>
        <w:rPr>
          <w:rFonts w:cs="Arial"/>
        </w:rPr>
      </w:pPr>
      <w:r w:rsidRPr="00E2319F">
        <w:rPr>
          <w:rFonts w:cs="Arial"/>
        </w:rPr>
        <w:t>Ampliación de la planta de personal permanente del Instituto, en 3.737 cargos aprobados mediante Decreto 2138 de 2016 como planta temporal con vigencia para el año 2017, en cargos permanentes de la planta de personal del ICBF, materializada mediante Decreto 14</w:t>
      </w:r>
      <w:r w:rsidR="00647ACF">
        <w:rPr>
          <w:rFonts w:cs="Arial"/>
        </w:rPr>
        <w:t>79 del 4 de septiembre de 2017.</w:t>
      </w:r>
    </w:p>
    <w:p w:rsidR="00647ACF" w:rsidRPr="00E2319F" w:rsidRDefault="00647ACF" w:rsidP="00647ACF">
      <w:pPr>
        <w:spacing w:before="100" w:beforeAutospacing="1" w:after="100" w:afterAutospacing="1" w:line="240" w:lineRule="auto"/>
        <w:contextualSpacing/>
        <w:jc w:val="both"/>
        <w:rPr>
          <w:rFonts w:cs="Arial"/>
        </w:rPr>
      </w:pPr>
    </w:p>
    <w:p w:rsidR="00831800" w:rsidRPr="00E2319F" w:rsidRDefault="00831800" w:rsidP="002A2234">
      <w:pPr>
        <w:spacing w:before="100" w:beforeAutospacing="1" w:after="100" w:afterAutospacing="1" w:line="240" w:lineRule="auto"/>
        <w:jc w:val="both"/>
        <w:rPr>
          <w:rFonts w:cs="Arial"/>
        </w:rPr>
      </w:pPr>
      <w:r w:rsidRPr="00E2319F">
        <w:rPr>
          <w:rFonts w:cs="Arial"/>
        </w:rPr>
        <w:t>Es importante destacar que con esta ampliación de planta de personal, se incrementa el número de cargos del nivel profesional de 3.442 a 7.045, fortaleciendo la profesionalización de los cargos que componen la planta de personal, como se observa en el siguiente cuadro:</w:t>
      </w: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751"/>
        <w:gridCol w:w="1507"/>
        <w:gridCol w:w="1095"/>
        <w:gridCol w:w="1750"/>
        <w:gridCol w:w="1271"/>
      </w:tblGrid>
      <w:tr w:rsidR="00831800" w:rsidRPr="003B52D6" w:rsidTr="003B52D6">
        <w:trPr>
          <w:trHeight w:val="182"/>
          <w:tblHeader/>
          <w:jc w:val="center"/>
        </w:trPr>
        <w:tc>
          <w:tcPr>
            <w:tcW w:w="0" w:type="auto"/>
            <w:shd w:val="clear" w:color="auto" w:fill="76922E"/>
            <w:vAlign w:val="center"/>
            <w:hideMark/>
          </w:tcPr>
          <w:p w:rsidR="00831800" w:rsidRPr="003B52D6" w:rsidRDefault="003B52D6" w:rsidP="003B52D6">
            <w:pPr>
              <w:spacing w:before="100" w:beforeAutospacing="1" w:after="100" w:afterAutospacing="1" w:line="240" w:lineRule="auto"/>
              <w:jc w:val="center"/>
              <w:rPr>
                <w:rFonts w:eastAsia="Times New Roman" w:cs="Arial"/>
                <w:b/>
                <w:bCs/>
                <w:color w:val="FFFFFF" w:themeColor="background1"/>
                <w:sz w:val="18"/>
                <w:szCs w:val="18"/>
                <w:lang w:eastAsia="es-ES"/>
              </w:rPr>
            </w:pPr>
            <w:r>
              <w:rPr>
                <w:rFonts w:eastAsia="Times New Roman" w:cs="Arial"/>
                <w:b/>
                <w:bCs/>
                <w:color w:val="FFFFFF" w:themeColor="background1"/>
                <w:sz w:val="18"/>
                <w:szCs w:val="18"/>
                <w:lang w:eastAsia="es-ES"/>
              </w:rPr>
              <w:t>Planta de</w:t>
            </w:r>
            <w:r w:rsidRPr="003B52D6">
              <w:rPr>
                <w:rFonts w:eastAsia="Times New Roman" w:cs="Arial"/>
                <w:b/>
                <w:bCs/>
                <w:color w:val="FFFFFF" w:themeColor="background1"/>
                <w:sz w:val="18"/>
                <w:szCs w:val="18"/>
                <w:lang w:eastAsia="es-ES"/>
              </w:rPr>
              <w:t xml:space="preserve"> Personal</w:t>
            </w:r>
          </w:p>
        </w:tc>
        <w:tc>
          <w:tcPr>
            <w:tcW w:w="0" w:type="auto"/>
            <w:gridSpan w:val="2"/>
            <w:shd w:val="clear" w:color="auto" w:fill="76922E"/>
            <w:vAlign w:val="center"/>
          </w:tcPr>
          <w:p w:rsidR="00831800" w:rsidRPr="003B52D6" w:rsidRDefault="00831800" w:rsidP="003B52D6">
            <w:pPr>
              <w:spacing w:before="100" w:beforeAutospacing="1" w:after="100" w:afterAutospacing="1" w:line="240" w:lineRule="auto"/>
              <w:jc w:val="center"/>
              <w:rPr>
                <w:rFonts w:eastAsia="Times New Roman" w:cs="Arial"/>
                <w:b/>
                <w:bCs/>
                <w:color w:val="FFFFFF" w:themeColor="background1"/>
                <w:sz w:val="18"/>
                <w:szCs w:val="18"/>
                <w:lang w:eastAsia="es-ES"/>
              </w:rPr>
            </w:pPr>
            <w:r w:rsidRPr="003B52D6">
              <w:rPr>
                <w:rFonts w:eastAsia="Times New Roman" w:cs="Arial"/>
                <w:b/>
                <w:bCs/>
                <w:color w:val="FFFFFF" w:themeColor="background1"/>
                <w:sz w:val="18"/>
                <w:szCs w:val="18"/>
                <w:lang w:eastAsia="es-ES"/>
              </w:rPr>
              <w:t>Vigente a 1 de enero de 2017</w:t>
            </w:r>
          </w:p>
        </w:tc>
        <w:tc>
          <w:tcPr>
            <w:tcW w:w="0" w:type="auto"/>
            <w:gridSpan w:val="2"/>
            <w:shd w:val="clear" w:color="auto" w:fill="76922E"/>
            <w:vAlign w:val="center"/>
          </w:tcPr>
          <w:p w:rsidR="00831800" w:rsidRPr="003B52D6" w:rsidRDefault="00831800" w:rsidP="003B52D6">
            <w:pPr>
              <w:spacing w:before="100" w:beforeAutospacing="1" w:after="100" w:afterAutospacing="1" w:line="240" w:lineRule="auto"/>
              <w:jc w:val="center"/>
              <w:rPr>
                <w:rFonts w:eastAsia="Times New Roman" w:cs="Arial"/>
                <w:b/>
                <w:bCs/>
                <w:color w:val="FFFFFF" w:themeColor="background1"/>
                <w:sz w:val="18"/>
                <w:szCs w:val="18"/>
                <w:lang w:eastAsia="es-ES"/>
              </w:rPr>
            </w:pPr>
            <w:r w:rsidRPr="003B52D6">
              <w:rPr>
                <w:rFonts w:eastAsia="Times New Roman" w:cs="Arial"/>
                <w:b/>
                <w:bCs/>
                <w:color w:val="FFFFFF" w:themeColor="background1"/>
                <w:sz w:val="18"/>
                <w:szCs w:val="18"/>
                <w:lang w:eastAsia="es-ES"/>
              </w:rPr>
              <w:t>V</w:t>
            </w:r>
            <w:r w:rsidR="003B52D6">
              <w:rPr>
                <w:rFonts w:eastAsia="Times New Roman" w:cs="Arial"/>
                <w:b/>
                <w:bCs/>
                <w:color w:val="FFFFFF" w:themeColor="background1"/>
                <w:sz w:val="18"/>
                <w:szCs w:val="18"/>
                <w:lang w:eastAsia="es-ES"/>
              </w:rPr>
              <w:t>igente después de la ampliación</w:t>
            </w:r>
          </w:p>
        </w:tc>
      </w:tr>
      <w:tr w:rsidR="00831800" w:rsidRPr="003B52D6" w:rsidTr="003B52D6">
        <w:trPr>
          <w:trHeight w:val="50"/>
          <w:tblHeader/>
          <w:jc w:val="center"/>
        </w:trPr>
        <w:tc>
          <w:tcPr>
            <w:tcW w:w="0" w:type="auto"/>
            <w:shd w:val="clear" w:color="auto" w:fill="76922E"/>
            <w:vAlign w:val="bottom"/>
            <w:hideMark/>
          </w:tcPr>
          <w:p w:rsidR="00831800" w:rsidRPr="003B52D6" w:rsidRDefault="003B52D6" w:rsidP="003B52D6">
            <w:pPr>
              <w:spacing w:before="100" w:beforeAutospacing="1" w:after="100" w:afterAutospacing="1" w:line="240" w:lineRule="auto"/>
              <w:jc w:val="center"/>
              <w:rPr>
                <w:rFonts w:eastAsia="Times New Roman" w:cs="Arial"/>
                <w:b/>
                <w:bCs/>
                <w:color w:val="FFFFFF" w:themeColor="background1"/>
                <w:sz w:val="18"/>
                <w:szCs w:val="18"/>
                <w:lang w:eastAsia="es-ES"/>
              </w:rPr>
            </w:pPr>
            <w:r w:rsidRPr="003B52D6">
              <w:rPr>
                <w:rFonts w:eastAsia="Times New Roman" w:cs="Arial"/>
                <w:b/>
                <w:bCs/>
                <w:color w:val="FFFFFF" w:themeColor="background1"/>
                <w:sz w:val="18"/>
                <w:szCs w:val="18"/>
                <w:lang w:eastAsia="es-ES"/>
              </w:rPr>
              <w:t>Nivel</w:t>
            </w:r>
          </w:p>
        </w:tc>
        <w:tc>
          <w:tcPr>
            <w:tcW w:w="0" w:type="auto"/>
            <w:shd w:val="clear" w:color="auto" w:fill="76922E"/>
            <w:vAlign w:val="bottom"/>
            <w:hideMark/>
          </w:tcPr>
          <w:p w:rsidR="00831800" w:rsidRPr="003B52D6" w:rsidRDefault="00831800" w:rsidP="003B52D6">
            <w:pPr>
              <w:spacing w:before="100" w:beforeAutospacing="1" w:after="100" w:afterAutospacing="1" w:line="240" w:lineRule="auto"/>
              <w:jc w:val="center"/>
              <w:rPr>
                <w:rFonts w:eastAsia="Times New Roman" w:cs="Arial"/>
                <w:b/>
                <w:bCs/>
                <w:color w:val="FFFFFF" w:themeColor="background1"/>
                <w:sz w:val="18"/>
                <w:szCs w:val="18"/>
                <w:lang w:eastAsia="es-ES"/>
              </w:rPr>
            </w:pPr>
            <w:r w:rsidRPr="003B52D6">
              <w:rPr>
                <w:rFonts w:eastAsia="Times New Roman" w:cs="Arial"/>
                <w:b/>
                <w:bCs/>
                <w:color w:val="FFFFFF" w:themeColor="background1"/>
                <w:sz w:val="18"/>
                <w:szCs w:val="18"/>
                <w:lang w:eastAsia="es-ES"/>
              </w:rPr>
              <w:t>Nro. Cargos</w:t>
            </w:r>
          </w:p>
        </w:tc>
        <w:tc>
          <w:tcPr>
            <w:tcW w:w="0" w:type="auto"/>
            <w:shd w:val="clear" w:color="auto" w:fill="76922E"/>
            <w:vAlign w:val="bottom"/>
            <w:hideMark/>
          </w:tcPr>
          <w:p w:rsidR="00831800" w:rsidRPr="003B52D6" w:rsidRDefault="00831800" w:rsidP="003B52D6">
            <w:pPr>
              <w:spacing w:before="100" w:beforeAutospacing="1" w:after="100" w:afterAutospacing="1" w:line="240" w:lineRule="auto"/>
              <w:jc w:val="center"/>
              <w:rPr>
                <w:rFonts w:eastAsia="Times New Roman" w:cs="Arial"/>
                <w:b/>
                <w:bCs/>
                <w:color w:val="FFFFFF" w:themeColor="background1"/>
                <w:sz w:val="18"/>
                <w:szCs w:val="18"/>
                <w:lang w:eastAsia="es-ES"/>
              </w:rPr>
            </w:pPr>
            <w:r w:rsidRPr="003B52D6">
              <w:rPr>
                <w:rFonts w:eastAsia="Times New Roman" w:cs="Arial"/>
                <w:b/>
                <w:bCs/>
                <w:color w:val="FFFFFF" w:themeColor="background1"/>
                <w:sz w:val="18"/>
                <w:szCs w:val="18"/>
                <w:lang w:eastAsia="es-ES"/>
              </w:rPr>
              <w:t>%</w:t>
            </w:r>
          </w:p>
        </w:tc>
        <w:tc>
          <w:tcPr>
            <w:tcW w:w="0" w:type="auto"/>
            <w:shd w:val="clear" w:color="auto" w:fill="76922E"/>
            <w:vAlign w:val="bottom"/>
          </w:tcPr>
          <w:p w:rsidR="00831800" w:rsidRPr="003B52D6" w:rsidRDefault="00831800" w:rsidP="003B52D6">
            <w:pPr>
              <w:spacing w:before="100" w:beforeAutospacing="1" w:after="100" w:afterAutospacing="1" w:line="240" w:lineRule="auto"/>
              <w:jc w:val="center"/>
              <w:rPr>
                <w:rFonts w:eastAsia="Times New Roman" w:cs="Arial"/>
                <w:b/>
                <w:bCs/>
                <w:color w:val="FFFFFF" w:themeColor="background1"/>
                <w:sz w:val="18"/>
                <w:szCs w:val="18"/>
                <w:lang w:eastAsia="es-ES"/>
              </w:rPr>
            </w:pPr>
            <w:r w:rsidRPr="003B52D6">
              <w:rPr>
                <w:rFonts w:eastAsia="Times New Roman" w:cs="Arial"/>
                <w:b/>
                <w:bCs/>
                <w:color w:val="FFFFFF" w:themeColor="background1"/>
                <w:sz w:val="18"/>
                <w:szCs w:val="18"/>
                <w:lang w:eastAsia="es-ES"/>
              </w:rPr>
              <w:t>Nro. Cargos</w:t>
            </w:r>
          </w:p>
        </w:tc>
        <w:tc>
          <w:tcPr>
            <w:tcW w:w="0" w:type="auto"/>
            <w:shd w:val="clear" w:color="auto" w:fill="76922E"/>
            <w:vAlign w:val="bottom"/>
          </w:tcPr>
          <w:p w:rsidR="00831800" w:rsidRPr="003B52D6" w:rsidRDefault="00831800" w:rsidP="003B52D6">
            <w:pPr>
              <w:spacing w:before="100" w:beforeAutospacing="1" w:after="100" w:afterAutospacing="1" w:line="240" w:lineRule="auto"/>
              <w:jc w:val="center"/>
              <w:rPr>
                <w:rFonts w:eastAsia="Times New Roman" w:cs="Arial"/>
                <w:b/>
                <w:bCs/>
                <w:color w:val="FFFFFF" w:themeColor="background1"/>
                <w:sz w:val="18"/>
                <w:szCs w:val="18"/>
                <w:lang w:eastAsia="es-ES"/>
              </w:rPr>
            </w:pPr>
            <w:r w:rsidRPr="003B52D6">
              <w:rPr>
                <w:rFonts w:eastAsia="Times New Roman" w:cs="Arial"/>
                <w:b/>
                <w:bCs/>
                <w:color w:val="FFFFFF" w:themeColor="background1"/>
                <w:sz w:val="18"/>
                <w:szCs w:val="18"/>
                <w:lang w:eastAsia="es-ES"/>
              </w:rPr>
              <w:t>%</w:t>
            </w:r>
          </w:p>
        </w:tc>
      </w:tr>
      <w:tr w:rsidR="00831800" w:rsidRPr="003B52D6" w:rsidTr="003B52D6">
        <w:trPr>
          <w:trHeight w:val="285"/>
          <w:jc w:val="center"/>
        </w:trPr>
        <w:tc>
          <w:tcPr>
            <w:tcW w:w="0" w:type="auto"/>
            <w:shd w:val="clear" w:color="auto" w:fill="auto"/>
            <w:vAlign w:val="bottom"/>
            <w:hideMark/>
          </w:tcPr>
          <w:p w:rsidR="00831800" w:rsidRPr="003B52D6" w:rsidRDefault="003B52D6" w:rsidP="00F26175">
            <w:pPr>
              <w:spacing w:before="100" w:beforeAutospacing="1" w:after="100" w:afterAutospacing="1" w:line="240" w:lineRule="auto"/>
              <w:jc w:val="both"/>
              <w:rPr>
                <w:rFonts w:eastAsia="Times New Roman" w:cs="Arial"/>
                <w:sz w:val="18"/>
                <w:szCs w:val="18"/>
                <w:lang w:eastAsia="es-ES"/>
              </w:rPr>
            </w:pPr>
            <w:r w:rsidRPr="003B52D6">
              <w:rPr>
                <w:rFonts w:eastAsia="Times New Roman" w:cs="Arial"/>
                <w:sz w:val="18"/>
                <w:szCs w:val="18"/>
                <w:lang w:eastAsia="es-ES"/>
              </w:rPr>
              <w:t>Directivo</w:t>
            </w:r>
          </w:p>
        </w:tc>
        <w:tc>
          <w:tcPr>
            <w:tcW w:w="0" w:type="auto"/>
            <w:shd w:val="clear" w:color="auto" w:fill="auto"/>
            <w:vAlign w:val="bottom"/>
            <w:hideMark/>
          </w:tcPr>
          <w:p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eastAsia="Times New Roman" w:cs="Arial"/>
                <w:sz w:val="18"/>
                <w:szCs w:val="18"/>
                <w:lang w:eastAsia="es-ES"/>
              </w:rPr>
              <w:t>71</w:t>
            </w:r>
          </w:p>
        </w:tc>
        <w:tc>
          <w:tcPr>
            <w:tcW w:w="0" w:type="auto"/>
            <w:shd w:val="clear" w:color="auto" w:fill="auto"/>
            <w:vAlign w:val="bottom"/>
            <w:hideMark/>
          </w:tcPr>
          <w:p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eastAsia="Times New Roman" w:cs="Arial"/>
                <w:sz w:val="18"/>
                <w:szCs w:val="18"/>
                <w:lang w:eastAsia="es-ES"/>
              </w:rPr>
              <w:t>1,38%</w:t>
            </w:r>
          </w:p>
        </w:tc>
        <w:tc>
          <w:tcPr>
            <w:tcW w:w="0" w:type="auto"/>
            <w:vAlign w:val="bottom"/>
          </w:tcPr>
          <w:p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cs="Arial"/>
                <w:sz w:val="18"/>
                <w:szCs w:val="18"/>
              </w:rPr>
              <w:t>71</w:t>
            </w:r>
          </w:p>
        </w:tc>
        <w:tc>
          <w:tcPr>
            <w:tcW w:w="0" w:type="auto"/>
            <w:vAlign w:val="bottom"/>
          </w:tcPr>
          <w:p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cs="Arial"/>
                <w:sz w:val="18"/>
                <w:szCs w:val="18"/>
              </w:rPr>
              <w:t>0,80%</w:t>
            </w:r>
          </w:p>
        </w:tc>
      </w:tr>
      <w:tr w:rsidR="00831800" w:rsidRPr="003B52D6" w:rsidTr="003B52D6">
        <w:trPr>
          <w:trHeight w:val="285"/>
          <w:jc w:val="center"/>
        </w:trPr>
        <w:tc>
          <w:tcPr>
            <w:tcW w:w="0" w:type="auto"/>
            <w:shd w:val="clear" w:color="auto" w:fill="auto"/>
            <w:vAlign w:val="bottom"/>
            <w:hideMark/>
          </w:tcPr>
          <w:p w:rsidR="00831800" w:rsidRPr="003B52D6" w:rsidRDefault="003B52D6" w:rsidP="00F26175">
            <w:pPr>
              <w:spacing w:before="100" w:beforeAutospacing="1" w:after="100" w:afterAutospacing="1" w:line="240" w:lineRule="auto"/>
              <w:jc w:val="both"/>
              <w:rPr>
                <w:rFonts w:eastAsia="Times New Roman" w:cs="Arial"/>
                <w:sz w:val="18"/>
                <w:szCs w:val="18"/>
                <w:lang w:eastAsia="es-ES"/>
              </w:rPr>
            </w:pPr>
            <w:r w:rsidRPr="003B52D6">
              <w:rPr>
                <w:rFonts w:eastAsia="Times New Roman" w:cs="Arial"/>
                <w:sz w:val="18"/>
                <w:szCs w:val="18"/>
                <w:lang w:eastAsia="es-ES"/>
              </w:rPr>
              <w:t>Asesor</w:t>
            </w:r>
          </w:p>
        </w:tc>
        <w:tc>
          <w:tcPr>
            <w:tcW w:w="0" w:type="auto"/>
            <w:shd w:val="clear" w:color="auto" w:fill="auto"/>
            <w:vAlign w:val="bottom"/>
            <w:hideMark/>
          </w:tcPr>
          <w:p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eastAsia="Times New Roman" w:cs="Arial"/>
                <w:sz w:val="18"/>
                <w:szCs w:val="18"/>
                <w:lang w:eastAsia="es-ES"/>
              </w:rPr>
              <w:t>17</w:t>
            </w:r>
          </w:p>
        </w:tc>
        <w:tc>
          <w:tcPr>
            <w:tcW w:w="0" w:type="auto"/>
            <w:shd w:val="clear" w:color="auto" w:fill="auto"/>
            <w:vAlign w:val="bottom"/>
            <w:hideMark/>
          </w:tcPr>
          <w:p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eastAsia="Times New Roman" w:cs="Arial"/>
                <w:sz w:val="18"/>
                <w:szCs w:val="18"/>
                <w:lang w:eastAsia="es-ES"/>
              </w:rPr>
              <w:t>0,33%</w:t>
            </w:r>
          </w:p>
        </w:tc>
        <w:tc>
          <w:tcPr>
            <w:tcW w:w="0" w:type="auto"/>
            <w:vAlign w:val="bottom"/>
          </w:tcPr>
          <w:p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cs="Arial"/>
                <w:sz w:val="18"/>
                <w:szCs w:val="18"/>
              </w:rPr>
              <w:t>17</w:t>
            </w:r>
          </w:p>
        </w:tc>
        <w:tc>
          <w:tcPr>
            <w:tcW w:w="0" w:type="auto"/>
            <w:vAlign w:val="bottom"/>
          </w:tcPr>
          <w:p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cs="Arial"/>
                <w:sz w:val="18"/>
                <w:szCs w:val="18"/>
              </w:rPr>
              <w:t>0,19%</w:t>
            </w:r>
          </w:p>
        </w:tc>
      </w:tr>
      <w:tr w:rsidR="00831800" w:rsidRPr="003B52D6" w:rsidTr="003B52D6">
        <w:trPr>
          <w:trHeight w:val="285"/>
          <w:jc w:val="center"/>
        </w:trPr>
        <w:tc>
          <w:tcPr>
            <w:tcW w:w="0" w:type="auto"/>
            <w:shd w:val="clear" w:color="auto" w:fill="auto"/>
            <w:vAlign w:val="bottom"/>
            <w:hideMark/>
          </w:tcPr>
          <w:p w:rsidR="00831800" w:rsidRPr="003B52D6" w:rsidRDefault="003B52D6" w:rsidP="00F26175">
            <w:pPr>
              <w:spacing w:before="100" w:beforeAutospacing="1" w:after="100" w:afterAutospacing="1" w:line="240" w:lineRule="auto"/>
              <w:jc w:val="both"/>
              <w:rPr>
                <w:rFonts w:eastAsia="Times New Roman" w:cs="Arial"/>
                <w:b/>
                <w:sz w:val="18"/>
                <w:szCs w:val="18"/>
                <w:lang w:eastAsia="es-ES"/>
              </w:rPr>
            </w:pPr>
            <w:r w:rsidRPr="003B52D6">
              <w:rPr>
                <w:rFonts w:eastAsia="Times New Roman" w:cs="Arial"/>
                <w:b/>
                <w:sz w:val="18"/>
                <w:szCs w:val="18"/>
                <w:lang w:eastAsia="es-ES"/>
              </w:rPr>
              <w:t>Profesional</w:t>
            </w:r>
          </w:p>
        </w:tc>
        <w:tc>
          <w:tcPr>
            <w:tcW w:w="0" w:type="auto"/>
            <w:shd w:val="clear" w:color="auto" w:fill="auto"/>
            <w:vAlign w:val="bottom"/>
            <w:hideMark/>
          </w:tcPr>
          <w:p w:rsidR="00831800" w:rsidRPr="003B52D6" w:rsidRDefault="00831800" w:rsidP="003B52D6">
            <w:pPr>
              <w:spacing w:before="100" w:beforeAutospacing="1" w:after="100" w:afterAutospacing="1" w:line="240" w:lineRule="auto"/>
              <w:jc w:val="center"/>
              <w:rPr>
                <w:rFonts w:eastAsia="Times New Roman" w:cs="Arial"/>
                <w:b/>
                <w:sz w:val="18"/>
                <w:szCs w:val="18"/>
                <w:lang w:eastAsia="es-ES"/>
              </w:rPr>
            </w:pPr>
            <w:r w:rsidRPr="003B52D6">
              <w:rPr>
                <w:rFonts w:eastAsia="Times New Roman" w:cs="Arial"/>
                <w:b/>
                <w:sz w:val="18"/>
                <w:szCs w:val="18"/>
                <w:lang w:eastAsia="es-ES"/>
              </w:rPr>
              <w:t>3.442</w:t>
            </w:r>
          </w:p>
        </w:tc>
        <w:tc>
          <w:tcPr>
            <w:tcW w:w="0" w:type="auto"/>
            <w:shd w:val="clear" w:color="auto" w:fill="auto"/>
            <w:vAlign w:val="bottom"/>
            <w:hideMark/>
          </w:tcPr>
          <w:p w:rsidR="00831800" w:rsidRPr="003B52D6" w:rsidRDefault="00831800" w:rsidP="003B52D6">
            <w:pPr>
              <w:spacing w:before="100" w:beforeAutospacing="1" w:after="100" w:afterAutospacing="1" w:line="240" w:lineRule="auto"/>
              <w:jc w:val="center"/>
              <w:rPr>
                <w:rFonts w:eastAsia="Times New Roman" w:cs="Arial"/>
                <w:b/>
                <w:sz w:val="18"/>
                <w:szCs w:val="18"/>
                <w:lang w:eastAsia="es-ES"/>
              </w:rPr>
            </w:pPr>
            <w:r w:rsidRPr="003B52D6">
              <w:rPr>
                <w:rFonts w:eastAsia="Times New Roman" w:cs="Arial"/>
                <w:b/>
                <w:sz w:val="18"/>
                <w:szCs w:val="18"/>
                <w:lang w:eastAsia="es-ES"/>
              </w:rPr>
              <w:t>67,13%</w:t>
            </w:r>
          </w:p>
        </w:tc>
        <w:tc>
          <w:tcPr>
            <w:tcW w:w="0" w:type="auto"/>
            <w:vAlign w:val="bottom"/>
          </w:tcPr>
          <w:p w:rsidR="00831800" w:rsidRPr="003B52D6" w:rsidRDefault="00831800" w:rsidP="003B52D6">
            <w:pPr>
              <w:spacing w:before="100" w:beforeAutospacing="1" w:after="100" w:afterAutospacing="1" w:line="240" w:lineRule="auto"/>
              <w:jc w:val="center"/>
              <w:rPr>
                <w:rFonts w:eastAsia="Times New Roman" w:cs="Arial"/>
                <w:b/>
                <w:sz w:val="18"/>
                <w:szCs w:val="18"/>
                <w:lang w:eastAsia="es-ES"/>
              </w:rPr>
            </w:pPr>
            <w:r w:rsidRPr="003B52D6">
              <w:rPr>
                <w:rFonts w:cs="Arial"/>
                <w:b/>
                <w:sz w:val="18"/>
                <w:szCs w:val="18"/>
              </w:rPr>
              <w:t>7.045</w:t>
            </w:r>
          </w:p>
        </w:tc>
        <w:tc>
          <w:tcPr>
            <w:tcW w:w="0" w:type="auto"/>
            <w:vAlign w:val="bottom"/>
          </w:tcPr>
          <w:p w:rsidR="00831800" w:rsidRPr="003B52D6" w:rsidRDefault="00831800" w:rsidP="003B52D6">
            <w:pPr>
              <w:spacing w:before="100" w:beforeAutospacing="1" w:after="100" w:afterAutospacing="1" w:line="240" w:lineRule="auto"/>
              <w:jc w:val="center"/>
              <w:rPr>
                <w:rFonts w:eastAsia="Times New Roman" w:cs="Arial"/>
                <w:b/>
                <w:sz w:val="18"/>
                <w:szCs w:val="18"/>
                <w:lang w:eastAsia="es-ES"/>
              </w:rPr>
            </w:pPr>
            <w:r w:rsidRPr="003B52D6">
              <w:rPr>
                <w:rFonts w:cs="Arial"/>
                <w:b/>
                <w:sz w:val="18"/>
                <w:szCs w:val="18"/>
              </w:rPr>
              <w:t>79,48%</w:t>
            </w:r>
          </w:p>
        </w:tc>
      </w:tr>
      <w:tr w:rsidR="00831800" w:rsidRPr="003B52D6" w:rsidTr="003B52D6">
        <w:trPr>
          <w:trHeight w:val="285"/>
          <w:jc w:val="center"/>
        </w:trPr>
        <w:tc>
          <w:tcPr>
            <w:tcW w:w="0" w:type="auto"/>
            <w:shd w:val="clear" w:color="auto" w:fill="auto"/>
            <w:vAlign w:val="bottom"/>
            <w:hideMark/>
          </w:tcPr>
          <w:p w:rsidR="00831800" w:rsidRPr="003B52D6" w:rsidRDefault="003B52D6" w:rsidP="00F26175">
            <w:pPr>
              <w:spacing w:before="100" w:beforeAutospacing="1" w:after="100" w:afterAutospacing="1" w:line="240" w:lineRule="auto"/>
              <w:jc w:val="both"/>
              <w:rPr>
                <w:rFonts w:eastAsia="Times New Roman" w:cs="Arial"/>
                <w:sz w:val="18"/>
                <w:szCs w:val="18"/>
                <w:lang w:eastAsia="es-ES"/>
              </w:rPr>
            </w:pPr>
            <w:r w:rsidRPr="003B52D6">
              <w:rPr>
                <w:rFonts w:eastAsia="Times New Roman" w:cs="Arial"/>
                <w:sz w:val="18"/>
                <w:szCs w:val="18"/>
                <w:lang w:eastAsia="es-ES"/>
              </w:rPr>
              <w:t>Técnico</w:t>
            </w:r>
          </w:p>
        </w:tc>
        <w:tc>
          <w:tcPr>
            <w:tcW w:w="0" w:type="auto"/>
            <w:shd w:val="clear" w:color="auto" w:fill="auto"/>
            <w:vAlign w:val="bottom"/>
            <w:hideMark/>
          </w:tcPr>
          <w:p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eastAsia="Times New Roman" w:cs="Arial"/>
                <w:sz w:val="18"/>
                <w:szCs w:val="18"/>
                <w:lang w:eastAsia="es-ES"/>
              </w:rPr>
              <w:t>726</w:t>
            </w:r>
          </w:p>
        </w:tc>
        <w:tc>
          <w:tcPr>
            <w:tcW w:w="0" w:type="auto"/>
            <w:shd w:val="clear" w:color="auto" w:fill="auto"/>
            <w:vAlign w:val="bottom"/>
            <w:hideMark/>
          </w:tcPr>
          <w:p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eastAsia="Times New Roman" w:cs="Arial"/>
                <w:sz w:val="18"/>
                <w:szCs w:val="18"/>
                <w:lang w:eastAsia="es-ES"/>
              </w:rPr>
              <w:t>14,16%</w:t>
            </w:r>
          </w:p>
        </w:tc>
        <w:tc>
          <w:tcPr>
            <w:tcW w:w="0" w:type="auto"/>
            <w:vAlign w:val="bottom"/>
          </w:tcPr>
          <w:p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cs="Arial"/>
                <w:sz w:val="18"/>
                <w:szCs w:val="18"/>
              </w:rPr>
              <w:t>830</w:t>
            </w:r>
          </w:p>
        </w:tc>
        <w:tc>
          <w:tcPr>
            <w:tcW w:w="0" w:type="auto"/>
            <w:vAlign w:val="bottom"/>
          </w:tcPr>
          <w:p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cs="Arial"/>
                <w:sz w:val="18"/>
                <w:szCs w:val="18"/>
              </w:rPr>
              <w:t>9,36%</w:t>
            </w:r>
          </w:p>
        </w:tc>
      </w:tr>
      <w:tr w:rsidR="00831800" w:rsidRPr="003B52D6" w:rsidTr="003B52D6">
        <w:trPr>
          <w:trHeight w:val="285"/>
          <w:jc w:val="center"/>
        </w:trPr>
        <w:tc>
          <w:tcPr>
            <w:tcW w:w="0" w:type="auto"/>
            <w:shd w:val="clear" w:color="auto" w:fill="auto"/>
            <w:vAlign w:val="bottom"/>
            <w:hideMark/>
          </w:tcPr>
          <w:p w:rsidR="00831800" w:rsidRPr="003B52D6" w:rsidRDefault="003B52D6" w:rsidP="00F26175">
            <w:pPr>
              <w:spacing w:before="100" w:beforeAutospacing="1" w:after="100" w:afterAutospacing="1" w:line="240" w:lineRule="auto"/>
              <w:jc w:val="both"/>
              <w:rPr>
                <w:rFonts w:eastAsia="Times New Roman" w:cs="Arial"/>
                <w:sz w:val="18"/>
                <w:szCs w:val="18"/>
                <w:lang w:eastAsia="es-ES"/>
              </w:rPr>
            </w:pPr>
            <w:r w:rsidRPr="003B52D6">
              <w:rPr>
                <w:rFonts w:eastAsia="Times New Roman" w:cs="Arial"/>
                <w:sz w:val="18"/>
                <w:szCs w:val="18"/>
                <w:lang w:eastAsia="es-ES"/>
              </w:rPr>
              <w:t>Asistencial</w:t>
            </w:r>
          </w:p>
        </w:tc>
        <w:tc>
          <w:tcPr>
            <w:tcW w:w="0" w:type="auto"/>
            <w:shd w:val="clear" w:color="auto" w:fill="auto"/>
            <w:vAlign w:val="bottom"/>
            <w:hideMark/>
          </w:tcPr>
          <w:p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eastAsia="Times New Roman" w:cs="Arial"/>
                <w:sz w:val="18"/>
                <w:szCs w:val="18"/>
                <w:lang w:eastAsia="es-ES"/>
              </w:rPr>
              <w:t>871</w:t>
            </w:r>
          </w:p>
        </w:tc>
        <w:tc>
          <w:tcPr>
            <w:tcW w:w="0" w:type="auto"/>
            <w:shd w:val="clear" w:color="auto" w:fill="auto"/>
            <w:vAlign w:val="bottom"/>
            <w:hideMark/>
          </w:tcPr>
          <w:p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eastAsia="Times New Roman" w:cs="Arial"/>
                <w:sz w:val="18"/>
                <w:szCs w:val="18"/>
                <w:lang w:eastAsia="es-ES"/>
              </w:rPr>
              <w:t>16,99%</w:t>
            </w:r>
          </w:p>
        </w:tc>
        <w:tc>
          <w:tcPr>
            <w:tcW w:w="0" w:type="auto"/>
            <w:vAlign w:val="bottom"/>
          </w:tcPr>
          <w:p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cs="Arial"/>
                <w:sz w:val="18"/>
                <w:szCs w:val="18"/>
              </w:rPr>
              <w:t>901</w:t>
            </w:r>
          </w:p>
        </w:tc>
        <w:tc>
          <w:tcPr>
            <w:tcW w:w="0" w:type="auto"/>
            <w:vAlign w:val="bottom"/>
          </w:tcPr>
          <w:p w:rsidR="00831800" w:rsidRPr="003B52D6" w:rsidRDefault="00831800" w:rsidP="003B52D6">
            <w:pPr>
              <w:spacing w:before="100" w:beforeAutospacing="1" w:after="100" w:afterAutospacing="1" w:line="240" w:lineRule="auto"/>
              <w:jc w:val="center"/>
              <w:rPr>
                <w:rFonts w:eastAsia="Times New Roman" w:cs="Arial"/>
                <w:sz w:val="18"/>
                <w:szCs w:val="18"/>
                <w:lang w:eastAsia="es-ES"/>
              </w:rPr>
            </w:pPr>
            <w:r w:rsidRPr="003B52D6">
              <w:rPr>
                <w:rFonts w:cs="Arial"/>
                <w:sz w:val="18"/>
                <w:szCs w:val="18"/>
              </w:rPr>
              <w:t>10,16%</w:t>
            </w:r>
          </w:p>
        </w:tc>
      </w:tr>
      <w:tr w:rsidR="00831800" w:rsidRPr="003B52D6" w:rsidTr="00647ACF">
        <w:trPr>
          <w:trHeight w:val="300"/>
          <w:jc w:val="center"/>
        </w:trPr>
        <w:tc>
          <w:tcPr>
            <w:tcW w:w="0" w:type="auto"/>
            <w:shd w:val="clear" w:color="auto" w:fill="E2EFDA"/>
            <w:vAlign w:val="bottom"/>
            <w:hideMark/>
          </w:tcPr>
          <w:p w:rsidR="00831800" w:rsidRPr="003B52D6" w:rsidRDefault="003B52D6" w:rsidP="00F26175">
            <w:pPr>
              <w:spacing w:before="100" w:beforeAutospacing="1" w:after="100" w:afterAutospacing="1" w:line="240" w:lineRule="auto"/>
              <w:jc w:val="both"/>
              <w:rPr>
                <w:rFonts w:eastAsia="Times New Roman" w:cs="Arial"/>
                <w:b/>
                <w:bCs/>
                <w:sz w:val="18"/>
                <w:szCs w:val="18"/>
                <w:lang w:eastAsia="es-ES"/>
              </w:rPr>
            </w:pPr>
            <w:r w:rsidRPr="003B52D6">
              <w:rPr>
                <w:rFonts w:eastAsia="Times New Roman" w:cs="Arial"/>
                <w:b/>
                <w:bCs/>
                <w:sz w:val="18"/>
                <w:szCs w:val="18"/>
                <w:lang w:eastAsia="es-ES"/>
              </w:rPr>
              <w:t>Total Planta</w:t>
            </w:r>
          </w:p>
        </w:tc>
        <w:tc>
          <w:tcPr>
            <w:tcW w:w="0" w:type="auto"/>
            <w:shd w:val="clear" w:color="auto" w:fill="E2EFDA"/>
            <w:vAlign w:val="bottom"/>
            <w:hideMark/>
          </w:tcPr>
          <w:p w:rsidR="00831800" w:rsidRPr="003B52D6" w:rsidRDefault="00831800" w:rsidP="003B52D6">
            <w:pPr>
              <w:spacing w:before="100" w:beforeAutospacing="1" w:after="100" w:afterAutospacing="1" w:line="240" w:lineRule="auto"/>
              <w:jc w:val="center"/>
              <w:rPr>
                <w:rFonts w:eastAsia="Times New Roman" w:cs="Arial"/>
                <w:b/>
                <w:bCs/>
                <w:sz w:val="18"/>
                <w:szCs w:val="18"/>
                <w:lang w:eastAsia="es-ES"/>
              </w:rPr>
            </w:pPr>
            <w:r w:rsidRPr="003B52D6">
              <w:rPr>
                <w:rFonts w:eastAsia="Times New Roman" w:cs="Arial"/>
                <w:b/>
                <w:bCs/>
                <w:sz w:val="18"/>
                <w:szCs w:val="18"/>
                <w:lang w:eastAsia="es-ES"/>
              </w:rPr>
              <w:t>5.127</w:t>
            </w:r>
          </w:p>
        </w:tc>
        <w:tc>
          <w:tcPr>
            <w:tcW w:w="0" w:type="auto"/>
            <w:shd w:val="clear" w:color="auto" w:fill="E2EFDA"/>
            <w:vAlign w:val="bottom"/>
            <w:hideMark/>
          </w:tcPr>
          <w:p w:rsidR="00831800" w:rsidRPr="003B52D6" w:rsidRDefault="00831800" w:rsidP="003B52D6">
            <w:pPr>
              <w:spacing w:before="100" w:beforeAutospacing="1" w:after="100" w:afterAutospacing="1" w:line="240" w:lineRule="auto"/>
              <w:jc w:val="center"/>
              <w:rPr>
                <w:rFonts w:eastAsia="Times New Roman" w:cs="Arial"/>
                <w:b/>
                <w:bCs/>
                <w:sz w:val="18"/>
                <w:szCs w:val="18"/>
                <w:lang w:eastAsia="es-ES"/>
              </w:rPr>
            </w:pPr>
            <w:r w:rsidRPr="003B52D6">
              <w:rPr>
                <w:rFonts w:eastAsia="Times New Roman" w:cs="Arial"/>
                <w:b/>
                <w:bCs/>
                <w:sz w:val="18"/>
                <w:szCs w:val="18"/>
                <w:lang w:eastAsia="es-ES"/>
              </w:rPr>
              <w:t>100,00%</w:t>
            </w:r>
          </w:p>
        </w:tc>
        <w:tc>
          <w:tcPr>
            <w:tcW w:w="0" w:type="auto"/>
            <w:shd w:val="clear" w:color="auto" w:fill="E2EFDA"/>
            <w:vAlign w:val="bottom"/>
          </w:tcPr>
          <w:p w:rsidR="00831800" w:rsidRPr="003B52D6" w:rsidRDefault="00831800" w:rsidP="003B52D6">
            <w:pPr>
              <w:spacing w:before="100" w:beforeAutospacing="1" w:after="100" w:afterAutospacing="1" w:line="240" w:lineRule="auto"/>
              <w:jc w:val="center"/>
              <w:rPr>
                <w:rFonts w:eastAsia="Times New Roman" w:cs="Arial"/>
                <w:b/>
                <w:bCs/>
                <w:sz w:val="18"/>
                <w:szCs w:val="18"/>
                <w:lang w:eastAsia="es-ES"/>
              </w:rPr>
            </w:pPr>
            <w:r w:rsidRPr="003B52D6">
              <w:rPr>
                <w:rFonts w:cs="Arial"/>
                <w:b/>
                <w:bCs/>
                <w:sz w:val="18"/>
                <w:szCs w:val="18"/>
              </w:rPr>
              <w:t>8.864</w:t>
            </w:r>
          </w:p>
        </w:tc>
        <w:tc>
          <w:tcPr>
            <w:tcW w:w="0" w:type="auto"/>
            <w:shd w:val="clear" w:color="auto" w:fill="E2EFDA"/>
            <w:vAlign w:val="bottom"/>
          </w:tcPr>
          <w:p w:rsidR="00831800" w:rsidRPr="003B52D6" w:rsidRDefault="00831800" w:rsidP="003B52D6">
            <w:pPr>
              <w:spacing w:before="100" w:beforeAutospacing="1" w:after="100" w:afterAutospacing="1" w:line="240" w:lineRule="auto"/>
              <w:jc w:val="center"/>
              <w:rPr>
                <w:rFonts w:eastAsia="Times New Roman" w:cs="Arial"/>
                <w:b/>
                <w:bCs/>
                <w:sz w:val="18"/>
                <w:szCs w:val="18"/>
                <w:lang w:eastAsia="es-ES"/>
              </w:rPr>
            </w:pPr>
            <w:r w:rsidRPr="003B52D6">
              <w:rPr>
                <w:rFonts w:cs="Arial"/>
                <w:b/>
                <w:bCs/>
                <w:sz w:val="18"/>
                <w:szCs w:val="18"/>
              </w:rPr>
              <w:t>100,00%</w:t>
            </w:r>
          </w:p>
        </w:tc>
      </w:tr>
    </w:tbl>
    <w:p w:rsidR="00831800" w:rsidRPr="003B52D6" w:rsidRDefault="00831800" w:rsidP="00647ACF">
      <w:pPr>
        <w:spacing w:after="0" w:line="240" w:lineRule="auto"/>
        <w:jc w:val="center"/>
        <w:rPr>
          <w:rFonts w:cs="Arial"/>
          <w:sz w:val="16"/>
          <w:szCs w:val="16"/>
          <w:lang w:eastAsia="es-ES"/>
        </w:rPr>
      </w:pPr>
      <w:r w:rsidRPr="003B52D6">
        <w:rPr>
          <w:rFonts w:cs="Arial"/>
          <w:sz w:val="16"/>
          <w:szCs w:val="16"/>
          <w:lang w:eastAsia="es-ES"/>
        </w:rPr>
        <w:t>Fuente: Grupo de Registro y Control</w:t>
      </w:r>
    </w:p>
    <w:p w:rsidR="003B52D6" w:rsidRPr="00E2319F" w:rsidRDefault="003B52D6" w:rsidP="00831800">
      <w:pPr>
        <w:spacing w:after="0" w:line="240" w:lineRule="auto"/>
        <w:jc w:val="both"/>
        <w:rPr>
          <w:rFonts w:cs="Arial"/>
          <w:sz w:val="18"/>
          <w:lang w:eastAsia="es-ES"/>
        </w:rPr>
      </w:pPr>
    </w:p>
    <w:p w:rsidR="003B52D6" w:rsidRDefault="00831800" w:rsidP="00A44A2B">
      <w:pPr>
        <w:numPr>
          <w:ilvl w:val="0"/>
          <w:numId w:val="79"/>
        </w:numPr>
        <w:spacing w:before="100" w:beforeAutospacing="1" w:after="100" w:afterAutospacing="1" w:line="240" w:lineRule="auto"/>
        <w:contextualSpacing/>
        <w:jc w:val="both"/>
        <w:rPr>
          <w:rFonts w:cs="Arial"/>
        </w:rPr>
      </w:pPr>
      <w:r w:rsidRPr="00E2319F">
        <w:rPr>
          <w:rFonts w:cs="Arial"/>
        </w:rPr>
        <w:t>Uno de los retos para 2017 se relacionaba con el “Acompañamiento al desarrollo del 100% de las etapas programadas de la Convocatoria 433 para la provisión de 2.470 empleos” de los cargos de la planta de personal que están ofert</w:t>
      </w:r>
      <w:r w:rsidR="003B52D6">
        <w:rPr>
          <w:rFonts w:cs="Arial"/>
        </w:rPr>
        <w:t>ados para concurso por la CNSC.</w:t>
      </w:r>
    </w:p>
    <w:p w:rsidR="003B52D6" w:rsidRDefault="003B52D6" w:rsidP="003B52D6">
      <w:pPr>
        <w:spacing w:before="100" w:beforeAutospacing="1" w:after="100" w:afterAutospacing="1" w:line="240" w:lineRule="auto"/>
        <w:ind w:left="360"/>
        <w:contextualSpacing/>
        <w:jc w:val="both"/>
        <w:rPr>
          <w:rFonts w:cs="Arial"/>
        </w:rPr>
      </w:pPr>
    </w:p>
    <w:p w:rsidR="00831800" w:rsidRDefault="00831800" w:rsidP="00A44A2B">
      <w:pPr>
        <w:numPr>
          <w:ilvl w:val="0"/>
          <w:numId w:val="79"/>
        </w:numPr>
        <w:spacing w:before="100" w:beforeAutospacing="1" w:after="100" w:afterAutospacing="1" w:line="240" w:lineRule="auto"/>
        <w:contextualSpacing/>
        <w:jc w:val="both"/>
        <w:rPr>
          <w:rFonts w:cs="Arial"/>
        </w:rPr>
      </w:pPr>
      <w:r w:rsidRPr="00E2319F">
        <w:rPr>
          <w:rFonts w:cs="Arial"/>
        </w:rPr>
        <w:t>Efectivamente, en conjunto con la CNSC y la Universidad de Medellín, se compartió el resultado del estudio adelantado por esta Dirección sobre las competencias comportamentales específicas para los cargos del Equipo Técnico Interdisciplinario de la Defensoría de Familia y  las propias del cargo de Defensor de Familia, que servirán de base para la elaboración de la prueba psicotécnica de personalidad que será aplicada a los profesionales aspirantes a los cargos de las diferentes áreas misionales.</w:t>
      </w:r>
    </w:p>
    <w:p w:rsidR="003B52D6" w:rsidRPr="003B52D6" w:rsidRDefault="003B52D6" w:rsidP="003B52D6">
      <w:pPr>
        <w:spacing w:before="100" w:beforeAutospacing="1" w:after="100" w:afterAutospacing="1" w:line="240" w:lineRule="auto"/>
        <w:contextualSpacing/>
        <w:jc w:val="both"/>
        <w:rPr>
          <w:rFonts w:cs="Arial"/>
        </w:rPr>
      </w:pPr>
    </w:p>
    <w:p w:rsidR="00831800" w:rsidRDefault="00831800" w:rsidP="00A44A2B">
      <w:pPr>
        <w:numPr>
          <w:ilvl w:val="0"/>
          <w:numId w:val="79"/>
        </w:numPr>
        <w:spacing w:before="100" w:beforeAutospacing="1" w:after="100" w:afterAutospacing="1" w:line="240" w:lineRule="auto"/>
        <w:contextualSpacing/>
        <w:jc w:val="both"/>
        <w:rPr>
          <w:rFonts w:cs="Arial"/>
        </w:rPr>
      </w:pPr>
      <w:r w:rsidRPr="00E2319F">
        <w:rPr>
          <w:rFonts w:cs="Arial"/>
        </w:rPr>
        <w:t>Selección de personal para Provisión de la</w:t>
      </w:r>
      <w:r w:rsidRPr="003B52D6">
        <w:rPr>
          <w:rFonts w:cs="Arial"/>
        </w:rPr>
        <w:t xml:space="preserve"> Planta Temporal, </w:t>
      </w:r>
      <w:r w:rsidRPr="00E2319F">
        <w:rPr>
          <w:rFonts w:cs="Arial"/>
        </w:rPr>
        <w:t>de acuerdo a las fases y procedimientos establecidos, para lo cual se elaboraron 8.895 fichas de análisis de los candidatos que superaron los requisitos mínimos de la Planta Temporal. Se cumplieron las siguientes actividades: Cuestionario de vinculación, Análisis de Antecedentes, Prueba Jurídica y Entrevistas a candidatos.</w:t>
      </w:r>
    </w:p>
    <w:p w:rsidR="003B52D6" w:rsidRPr="003B52D6" w:rsidRDefault="003B52D6" w:rsidP="003B52D6">
      <w:pPr>
        <w:spacing w:before="100" w:beforeAutospacing="1" w:after="100" w:afterAutospacing="1" w:line="240" w:lineRule="auto"/>
        <w:contextualSpacing/>
        <w:jc w:val="both"/>
        <w:rPr>
          <w:rFonts w:cs="Arial"/>
        </w:rPr>
      </w:pPr>
    </w:p>
    <w:p w:rsidR="00831800" w:rsidRDefault="00831800" w:rsidP="00A44A2B">
      <w:pPr>
        <w:numPr>
          <w:ilvl w:val="0"/>
          <w:numId w:val="79"/>
        </w:numPr>
        <w:spacing w:before="100" w:beforeAutospacing="1" w:after="100" w:afterAutospacing="1" w:line="240" w:lineRule="auto"/>
        <w:contextualSpacing/>
        <w:jc w:val="both"/>
        <w:rPr>
          <w:rFonts w:cs="Arial"/>
        </w:rPr>
      </w:pPr>
      <w:r w:rsidRPr="003B52D6">
        <w:rPr>
          <w:rFonts w:cs="Arial"/>
        </w:rPr>
        <w:t>1.019 solicitudes para actualizar el Registro Público de Carrera Administrativa ante la Comisión Nacional del Servicio Civil.</w:t>
      </w:r>
    </w:p>
    <w:p w:rsidR="003B52D6" w:rsidRPr="003B52D6" w:rsidRDefault="003B52D6" w:rsidP="003B52D6">
      <w:pPr>
        <w:spacing w:before="100" w:beforeAutospacing="1" w:after="100" w:afterAutospacing="1" w:line="240" w:lineRule="auto"/>
        <w:contextualSpacing/>
        <w:jc w:val="both"/>
        <w:rPr>
          <w:rFonts w:cs="Arial"/>
        </w:rPr>
      </w:pPr>
    </w:p>
    <w:p w:rsidR="00831800" w:rsidRDefault="00831800" w:rsidP="00A44A2B">
      <w:pPr>
        <w:numPr>
          <w:ilvl w:val="0"/>
          <w:numId w:val="79"/>
        </w:numPr>
        <w:spacing w:before="100" w:beforeAutospacing="1" w:after="100" w:afterAutospacing="1" w:line="240" w:lineRule="auto"/>
        <w:contextualSpacing/>
        <w:jc w:val="both"/>
        <w:rPr>
          <w:rFonts w:cs="Arial"/>
        </w:rPr>
      </w:pPr>
      <w:r w:rsidRPr="003B52D6">
        <w:rPr>
          <w:rFonts w:cs="Arial"/>
        </w:rPr>
        <w:t>Expedición de la Resolución 0044 de enero 2 de 2017 para evaluar el desempeño de servidores de la Planta Temporal y proyecto de resolución para evaluación a servidores provisionales.</w:t>
      </w:r>
    </w:p>
    <w:p w:rsidR="003B52D6" w:rsidRPr="003B52D6" w:rsidRDefault="003B52D6" w:rsidP="003B52D6">
      <w:pPr>
        <w:spacing w:before="100" w:beforeAutospacing="1" w:after="100" w:afterAutospacing="1" w:line="240" w:lineRule="auto"/>
        <w:contextualSpacing/>
        <w:jc w:val="both"/>
        <w:rPr>
          <w:rFonts w:cs="Arial"/>
        </w:rPr>
      </w:pPr>
    </w:p>
    <w:p w:rsidR="00831800" w:rsidRDefault="00831800" w:rsidP="00A44A2B">
      <w:pPr>
        <w:numPr>
          <w:ilvl w:val="0"/>
          <w:numId w:val="79"/>
        </w:numPr>
        <w:spacing w:before="100" w:beforeAutospacing="1" w:after="100" w:afterAutospacing="1" w:line="240" w:lineRule="auto"/>
        <w:contextualSpacing/>
        <w:jc w:val="both"/>
        <w:rPr>
          <w:rFonts w:cs="Arial"/>
        </w:rPr>
      </w:pPr>
      <w:r w:rsidRPr="00E2319F">
        <w:rPr>
          <w:rFonts w:cs="Arial"/>
        </w:rPr>
        <w:t>Capacitación de 4.449 servidores públicos, de acuerdo al corte del 6 bimestre del indicador PA48, obteniendo resultados óptimos en sus 5 mediciones con avance de 95.17%</w:t>
      </w:r>
      <w:r w:rsidR="003B52D6">
        <w:rPr>
          <w:rFonts w:cs="Arial"/>
        </w:rPr>
        <w:t>.</w:t>
      </w:r>
    </w:p>
    <w:p w:rsidR="003B52D6" w:rsidRPr="00E2319F" w:rsidRDefault="003B52D6" w:rsidP="003B52D6">
      <w:pPr>
        <w:spacing w:before="100" w:beforeAutospacing="1" w:after="100" w:afterAutospacing="1" w:line="240" w:lineRule="auto"/>
        <w:contextualSpacing/>
        <w:jc w:val="both"/>
        <w:rPr>
          <w:rFonts w:cs="Arial"/>
        </w:rPr>
      </w:pPr>
    </w:p>
    <w:p w:rsidR="003B52D6" w:rsidRDefault="00831800" w:rsidP="00A44A2B">
      <w:pPr>
        <w:numPr>
          <w:ilvl w:val="0"/>
          <w:numId w:val="79"/>
        </w:numPr>
        <w:spacing w:before="100" w:beforeAutospacing="1" w:after="100" w:afterAutospacing="1" w:line="240" w:lineRule="auto"/>
        <w:contextualSpacing/>
        <w:jc w:val="both"/>
        <w:rPr>
          <w:rFonts w:cs="Arial"/>
        </w:rPr>
      </w:pPr>
      <w:r w:rsidRPr="00E2319F">
        <w:rPr>
          <w:rFonts w:cs="Arial"/>
        </w:rPr>
        <w:t>Formalización de 10 Proyectos de Aprendizaje en Equipo a nivel nacional, realizando al menos una actividad mensualmente.</w:t>
      </w:r>
    </w:p>
    <w:p w:rsidR="003B52D6" w:rsidRPr="003B52D6" w:rsidRDefault="003B52D6" w:rsidP="003B52D6">
      <w:pPr>
        <w:spacing w:before="100" w:beforeAutospacing="1" w:after="100" w:afterAutospacing="1" w:line="240" w:lineRule="auto"/>
        <w:contextualSpacing/>
        <w:jc w:val="both"/>
        <w:rPr>
          <w:rFonts w:cs="Arial"/>
        </w:rPr>
      </w:pPr>
    </w:p>
    <w:p w:rsidR="00831800" w:rsidRDefault="00831800" w:rsidP="00A44A2B">
      <w:pPr>
        <w:numPr>
          <w:ilvl w:val="0"/>
          <w:numId w:val="79"/>
        </w:numPr>
        <w:spacing w:before="100" w:beforeAutospacing="1" w:after="100" w:afterAutospacing="1" w:line="240" w:lineRule="auto"/>
        <w:contextualSpacing/>
        <w:jc w:val="both"/>
        <w:rPr>
          <w:rFonts w:cs="Arial"/>
        </w:rPr>
      </w:pPr>
      <w:r w:rsidRPr="00E2319F">
        <w:rPr>
          <w:rFonts w:cs="Arial"/>
        </w:rPr>
        <w:t>Migración de la plataforma virtual de la Escuela del ICBF, con avance de 50% del proceso.</w:t>
      </w:r>
    </w:p>
    <w:p w:rsidR="003B52D6" w:rsidRPr="00E2319F" w:rsidRDefault="003B52D6" w:rsidP="003B52D6">
      <w:pPr>
        <w:spacing w:before="100" w:beforeAutospacing="1" w:after="100" w:afterAutospacing="1" w:line="240" w:lineRule="auto"/>
        <w:contextualSpacing/>
        <w:jc w:val="both"/>
        <w:rPr>
          <w:rFonts w:cs="Arial"/>
        </w:rPr>
      </w:pPr>
    </w:p>
    <w:p w:rsidR="002A2234" w:rsidRDefault="00831800" w:rsidP="00A44A2B">
      <w:pPr>
        <w:numPr>
          <w:ilvl w:val="0"/>
          <w:numId w:val="79"/>
        </w:numPr>
        <w:spacing w:before="100" w:beforeAutospacing="1" w:after="100" w:afterAutospacing="1" w:line="240" w:lineRule="auto"/>
        <w:contextualSpacing/>
        <w:jc w:val="both"/>
        <w:rPr>
          <w:rFonts w:cs="Arial"/>
        </w:rPr>
      </w:pPr>
      <w:r w:rsidRPr="003B52D6">
        <w:rPr>
          <w:rFonts w:cs="Arial"/>
        </w:rPr>
        <w:t>Una de las metas grandes para el 2017 fue la actualización de las hojas de vida del archivo donde existían 33 metros lineales por reclasificar y reinsertar. A la fecha, se logró reclasificar el 100% y a 31 de diciembre de 2017 se finalizó con la reinserción total de document</w:t>
      </w:r>
      <w:r w:rsidR="003B52D6">
        <w:rPr>
          <w:rFonts w:cs="Arial"/>
        </w:rPr>
        <w:t xml:space="preserve">os. Adicionalmente, se definió </w:t>
      </w:r>
      <w:r w:rsidRPr="003B52D6">
        <w:rPr>
          <w:rFonts w:cs="Arial"/>
        </w:rPr>
        <w:t xml:space="preserve">el procedimiento interno de préstamo de historias laborales y el correo  </w:t>
      </w:r>
      <w:hyperlink r:id="rId69" w:history="1">
        <w:r w:rsidRPr="003B52D6">
          <w:t>prestamosarchivoDGH@icbf.gov.co</w:t>
        </w:r>
      </w:hyperlink>
      <w:r w:rsidRPr="003B52D6">
        <w:rPr>
          <w:rFonts w:cs="Arial"/>
        </w:rPr>
        <w:t xml:space="preserve">  con el fin de garantizar el cumplimiento de los tiempos de entrega, de la política de tratamiento de Datos Personales y de la Política </w:t>
      </w:r>
      <w:bookmarkStart w:id="158" w:name="_Toc470095206"/>
      <w:bookmarkStart w:id="159" w:name="_Toc503465546"/>
      <w:r w:rsidR="003B52D6">
        <w:rPr>
          <w:rFonts w:cs="Arial"/>
        </w:rPr>
        <w:t>de Seguridad de la Información.</w:t>
      </w:r>
    </w:p>
    <w:p w:rsidR="003B52D6" w:rsidRPr="003B52D6" w:rsidRDefault="003B52D6" w:rsidP="003B52D6">
      <w:pPr>
        <w:spacing w:before="100" w:beforeAutospacing="1" w:after="100" w:afterAutospacing="1" w:line="240" w:lineRule="auto"/>
        <w:contextualSpacing/>
        <w:jc w:val="both"/>
        <w:rPr>
          <w:rFonts w:cs="Arial"/>
        </w:rPr>
      </w:pPr>
    </w:p>
    <w:p w:rsidR="00831800" w:rsidRPr="003B52D6" w:rsidRDefault="00831800" w:rsidP="00A44A2B">
      <w:pPr>
        <w:numPr>
          <w:ilvl w:val="0"/>
          <w:numId w:val="79"/>
        </w:numPr>
        <w:spacing w:before="100" w:beforeAutospacing="1" w:after="100" w:afterAutospacing="1" w:line="240" w:lineRule="auto"/>
        <w:contextualSpacing/>
        <w:jc w:val="both"/>
        <w:rPr>
          <w:rFonts w:cs="Arial"/>
        </w:rPr>
      </w:pPr>
      <w:r w:rsidRPr="00E2319F">
        <w:rPr>
          <w:rFonts w:cs="Arial"/>
        </w:rPr>
        <w:t xml:space="preserve">Durante el año 2017 el ICBF reporto una deuda presunta entre AFP, COLPENSIONES y distintas EPS consolidada de aproximadamente $11.300.000.000, a 31 de diciembre se realizó una disminución de $ 6.777.000.000, </w:t>
      </w:r>
    </w:p>
    <w:p w:rsidR="00831800" w:rsidRPr="00E2319F" w:rsidRDefault="00831800" w:rsidP="00A44A2B">
      <w:pPr>
        <w:pStyle w:val="Ttulo2"/>
        <w:numPr>
          <w:ilvl w:val="1"/>
          <w:numId w:val="139"/>
        </w:numPr>
        <w:rPr>
          <w:rFonts w:cs="Arial"/>
          <w:b/>
        </w:rPr>
      </w:pPr>
      <w:bookmarkStart w:id="160" w:name="_Toc505183097"/>
      <w:r w:rsidRPr="00E2319F">
        <w:rPr>
          <w:rFonts w:cs="Arial"/>
          <w:b/>
        </w:rPr>
        <w:t>RETOS 2018</w:t>
      </w:r>
      <w:bookmarkEnd w:id="158"/>
      <w:bookmarkEnd w:id="159"/>
      <w:bookmarkEnd w:id="160"/>
    </w:p>
    <w:p w:rsidR="00831800" w:rsidRDefault="00831800" w:rsidP="00A44A2B">
      <w:pPr>
        <w:numPr>
          <w:ilvl w:val="0"/>
          <w:numId w:val="79"/>
        </w:numPr>
        <w:spacing w:before="100" w:beforeAutospacing="1" w:after="100" w:afterAutospacing="1" w:line="240" w:lineRule="auto"/>
        <w:contextualSpacing/>
        <w:jc w:val="both"/>
        <w:rPr>
          <w:rFonts w:cs="Arial"/>
        </w:rPr>
      </w:pPr>
      <w:r w:rsidRPr="003B52D6">
        <w:rPr>
          <w:rFonts w:cs="Arial"/>
        </w:rPr>
        <w:t>Adelantar un plan integral de transición para la provisión de 2.470 empleos de la planta global ofertados en la Convocatoria No. 433.</w:t>
      </w:r>
    </w:p>
    <w:p w:rsidR="003B52D6" w:rsidRPr="003B52D6" w:rsidRDefault="003B52D6" w:rsidP="003B52D6">
      <w:pPr>
        <w:spacing w:before="100" w:beforeAutospacing="1" w:after="100" w:afterAutospacing="1" w:line="240" w:lineRule="auto"/>
        <w:ind w:left="360"/>
        <w:contextualSpacing/>
        <w:jc w:val="both"/>
        <w:rPr>
          <w:rFonts w:cs="Arial"/>
        </w:rPr>
      </w:pPr>
    </w:p>
    <w:p w:rsidR="00831800" w:rsidRDefault="00831800" w:rsidP="00A44A2B">
      <w:pPr>
        <w:numPr>
          <w:ilvl w:val="0"/>
          <w:numId w:val="79"/>
        </w:numPr>
        <w:spacing w:before="100" w:beforeAutospacing="1" w:after="100" w:afterAutospacing="1" w:line="240" w:lineRule="auto"/>
        <w:contextualSpacing/>
        <w:jc w:val="both"/>
        <w:rPr>
          <w:rFonts w:cs="Arial"/>
        </w:rPr>
      </w:pPr>
      <w:r w:rsidRPr="00E2319F">
        <w:rPr>
          <w:rFonts w:cs="Arial"/>
        </w:rPr>
        <w:t xml:space="preserve">Formulación y adopción de componentes estratégicos para la generación de valor público dentro del Plan Institucional de Capacitación, de acuerdo con el Plan Nacional de Formación y </w:t>
      </w:r>
      <w:r w:rsidR="003B52D6" w:rsidRPr="00E2319F">
        <w:rPr>
          <w:rFonts w:cs="Arial"/>
        </w:rPr>
        <w:t>Capacitación 2017</w:t>
      </w:r>
      <w:r w:rsidRPr="00E2319F">
        <w:rPr>
          <w:rFonts w:cs="Arial"/>
        </w:rPr>
        <w:t xml:space="preserve"> – 2027.</w:t>
      </w:r>
    </w:p>
    <w:p w:rsidR="003B52D6" w:rsidRPr="00E2319F" w:rsidRDefault="003B52D6" w:rsidP="003B52D6">
      <w:pPr>
        <w:spacing w:before="100" w:beforeAutospacing="1" w:after="100" w:afterAutospacing="1" w:line="240" w:lineRule="auto"/>
        <w:contextualSpacing/>
        <w:jc w:val="both"/>
        <w:rPr>
          <w:rFonts w:cs="Arial"/>
        </w:rPr>
      </w:pPr>
    </w:p>
    <w:p w:rsidR="00831800" w:rsidRDefault="00831800" w:rsidP="00A44A2B">
      <w:pPr>
        <w:numPr>
          <w:ilvl w:val="0"/>
          <w:numId w:val="79"/>
        </w:numPr>
        <w:spacing w:before="100" w:beforeAutospacing="1" w:after="100" w:afterAutospacing="1" w:line="240" w:lineRule="auto"/>
        <w:contextualSpacing/>
        <w:jc w:val="both"/>
        <w:rPr>
          <w:rFonts w:cs="Arial"/>
        </w:rPr>
      </w:pPr>
      <w:r w:rsidRPr="00E2319F">
        <w:rPr>
          <w:rFonts w:cs="Arial"/>
        </w:rPr>
        <w:t>Finalizar la migración e implementación de plataforma de la Escuela del ICBF a la versión 3.1 de Moodle</w:t>
      </w:r>
      <w:r w:rsidR="003B52D6">
        <w:rPr>
          <w:rFonts w:cs="Arial"/>
        </w:rPr>
        <w:t>.</w:t>
      </w:r>
    </w:p>
    <w:p w:rsidR="003B52D6" w:rsidRPr="003B52D6" w:rsidRDefault="003B52D6" w:rsidP="003B52D6">
      <w:pPr>
        <w:spacing w:before="100" w:beforeAutospacing="1" w:after="100" w:afterAutospacing="1" w:line="240" w:lineRule="auto"/>
        <w:contextualSpacing/>
        <w:jc w:val="both"/>
        <w:rPr>
          <w:rFonts w:cs="Arial"/>
        </w:rPr>
      </w:pPr>
    </w:p>
    <w:p w:rsidR="00831800" w:rsidRDefault="00831800" w:rsidP="00A44A2B">
      <w:pPr>
        <w:numPr>
          <w:ilvl w:val="0"/>
          <w:numId w:val="79"/>
        </w:numPr>
        <w:spacing w:before="100" w:beforeAutospacing="1" w:after="100" w:afterAutospacing="1" w:line="240" w:lineRule="auto"/>
        <w:contextualSpacing/>
        <w:jc w:val="both"/>
        <w:rPr>
          <w:rFonts w:cs="Arial"/>
        </w:rPr>
      </w:pPr>
      <w:r w:rsidRPr="003B52D6">
        <w:rPr>
          <w:rFonts w:cs="Arial"/>
        </w:rPr>
        <w:t xml:space="preserve">Socialización e implementación del Sistema de Valoración de Desempeño Laboral para los servidores con nombramiento Provisional, lo cual implica un incremento de la población a evaluar de 2.500 a 8.000 aproximadamente y la inclusión como plan piloto de la valoración de competencias comportamentales propias diseñadas por el ICBF para el </w:t>
      </w:r>
      <w:r w:rsidR="003B52D6">
        <w:rPr>
          <w:rFonts w:cs="Arial"/>
        </w:rPr>
        <w:t>empleo de Defensor de Familia.</w:t>
      </w:r>
    </w:p>
    <w:p w:rsidR="003B52D6" w:rsidRPr="003B52D6" w:rsidRDefault="003B52D6" w:rsidP="003B52D6">
      <w:pPr>
        <w:spacing w:before="100" w:beforeAutospacing="1" w:after="100" w:afterAutospacing="1" w:line="240" w:lineRule="auto"/>
        <w:contextualSpacing/>
        <w:jc w:val="both"/>
        <w:rPr>
          <w:rFonts w:cs="Arial"/>
        </w:rPr>
      </w:pPr>
    </w:p>
    <w:p w:rsidR="00831800" w:rsidRDefault="00831800" w:rsidP="00A44A2B">
      <w:pPr>
        <w:numPr>
          <w:ilvl w:val="0"/>
          <w:numId w:val="79"/>
        </w:numPr>
        <w:spacing w:before="100" w:beforeAutospacing="1" w:after="100" w:afterAutospacing="1" w:line="240" w:lineRule="auto"/>
        <w:contextualSpacing/>
        <w:jc w:val="both"/>
        <w:rPr>
          <w:rFonts w:cs="Arial"/>
        </w:rPr>
      </w:pPr>
      <w:r w:rsidRPr="003B52D6">
        <w:rPr>
          <w:rFonts w:cs="Arial"/>
        </w:rPr>
        <w:t>Optimizar la herramienta tecnológica de procesamiento de liquidación de nómina para lograr mayor efectividad y cumplimiento en dicho proceso, así como en sus actividades inherentes.</w:t>
      </w:r>
    </w:p>
    <w:p w:rsidR="003B52D6" w:rsidRPr="003B52D6" w:rsidRDefault="003B52D6" w:rsidP="003B52D6">
      <w:pPr>
        <w:spacing w:before="100" w:beforeAutospacing="1" w:after="100" w:afterAutospacing="1" w:line="240" w:lineRule="auto"/>
        <w:contextualSpacing/>
        <w:jc w:val="both"/>
        <w:rPr>
          <w:rFonts w:cs="Arial"/>
        </w:rPr>
      </w:pPr>
    </w:p>
    <w:p w:rsidR="00831800" w:rsidRDefault="00831800" w:rsidP="00A44A2B">
      <w:pPr>
        <w:numPr>
          <w:ilvl w:val="0"/>
          <w:numId w:val="79"/>
        </w:numPr>
        <w:spacing w:before="100" w:beforeAutospacing="1" w:after="100" w:afterAutospacing="1" w:line="240" w:lineRule="auto"/>
        <w:contextualSpacing/>
        <w:jc w:val="both"/>
        <w:rPr>
          <w:rFonts w:cs="Arial"/>
        </w:rPr>
      </w:pPr>
      <w:r w:rsidRPr="003B52D6">
        <w:rPr>
          <w:rFonts w:cs="Arial"/>
        </w:rPr>
        <w:t>Avanzar en la gestión de cobro, control de la depuración y saneamiento de la cuenta contable de incapacidades tanto</w:t>
      </w:r>
      <w:r w:rsidR="003B52D6">
        <w:rPr>
          <w:rFonts w:cs="Arial"/>
        </w:rPr>
        <w:t xml:space="preserve"> </w:t>
      </w:r>
      <w:r w:rsidRPr="003B52D6">
        <w:rPr>
          <w:rFonts w:cs="Arial"/>
        </w:rPr>
        <w:t>las Direcciones Regionales como en la Sede de la Dirección General.</w:t>
      </w:r>
    </w:p>
    <w:p w:rsidR="003B52D6" w:rsidRPr="00E2319F" w:rsidRDefault="003B52D6" w:rsidP="003B52D6">
      <w:pPr>
        <w:spacing w:before="100" w:beforeAutospacing="1" w:after="100" w:afterAutospacing="1" w:line="240" w:lineRule="auto"/>
        <w:contextualSpacing/>
        <w:jc w:val="both"/>
        <w:rPr>
          <w:rFonts w:cs="Arial"/>
        </w:rPr>
      </w:pPr>
    </w:p>
    <w:p w:rsidR="00831800" w:rsidRDefault="00831800" w:rsidP="00A44A2B">
      <w:pPr>
        <w:numPr>
          <w:ilvl w:val="0"/>
          <w:numId w:val="79"/>
        </w:numPr>
        <w:spacing w:before="100" w:beforeAutospacing="1" w:after="100" w:afterAutospacing="1" w:line="240" w:lineRule="auto"/>
        <w:contextualSpacing/>
        <w:jc w:val="both"/>
        <w:rPr>
          <w:rFonts w:cs="Arial"/>
        </w:rPr>
      </w:pPr>
      <w:r w:rsidRPr="003B52D6">
        <w:rPr>
          <w:rFonts w:cs="Arial"/>
        </w:rPr>
        <w:t>Provisión de 1.181 cargos de la planta que están pendientes por proveer.</w:t>
      </w:r>
    </w:p>
    <w:p w:rsidR="003B52D6" w:rsidRPr="003B52D6" w:rsidRDefault="003B52D6" w:rsidP="003B52D6">
      <w:pPr>
        <w:spacing w:before="100" w:beforeAutospacing="1" w:after="100" w:afterAutospacing="1" w:line="240" w:lineRule="auto"/>
        <w:contextualSpacing/>
        <w:jc w:val="both"/>
        <w:rPr>
          <w:rFonts w:cs="Arial"/>
        </w:rPr>
      </w:pPr>
    </w:p>
    <w:p w:rsidR="00831800" w:rsidRDefault="00831800" w:rsidP="00A44A2B">
      <w:pPr>
        <w:numPr>
          <w:ilvl w:val="0"/>
          <w:numId w:val="79"/>
        </w:numPr>
        <w:spacing w:before="100" w:beforeAutospacing="1" w:after="100" w:afterAutospacing="1" w:line="240" w:lineRule="auto"/>
        <w:contextualSpacing/>
        <w:jc w:val="both"/>
        <w:rPr>
          <w:rFonts w:cs="Arial"/>
        </w:rPr>
      </w:pPr>
      <w:r w:rsidRPr="003B52D6">
        <w:rPr>
          <w:rFonts w:cs="Arial"/>
        </w:rPr>
        <w:t>Finalizar la reinserción de documentos e iniciar la trasferencia de las historias laborales de retirados de 2011 a 2013.</w:t>
      </w:r>
    </w:p>
    <w:p w:rsidR="003B52D6" w:rsidRPr="003B52D6" w:rsidRDefault="003B52D6" w:rsidP="003B52D6">
      <w:pPr>
        <w:spacing w:before="100" w:beforeAutospacing="1" w:after="100" w:afterAutospacing="1" w:line="240" w:lineRule="auto"/>
        <w:ind w:left="360"/>
        <w:contextualSpacing/>
        <w:jc w:val="both"/>
        <w:rPr>
          <w:rFonts w:cs="Arial"/>
        </w:rPr>
      </w:pPr>
    </w:p>
    <w:p w:rsidR="00831800" w:rsidRPr="003B52D6" w:rsidRDefault="00831800" w:rsidP="00A44A2B">
      <w:pPr>
        <w:numPr>
          <w:ilvl w:val="0"/>
          <w:numId w:val="79"/>
        </w:numPr>
        <w:spacing w:before="100" w:beforeAutospacing="1" w:after="100" w:afterAutospacing="1" w:line="240" w:lineRule="auto"/>
        <w:contextualSpacing/>
        <w:jc w:val="both"/>
        <w:rPr>
          <w:rFonts w:cs="Arial"/>
        </w:rPr>
      </w:pPr>
      <w:r w:rsidRPr="003B52D6">
        <w:rPr>
          <w:rFonts w:cs="Arial"/>
        </w:rPr>
        <w:t>Depurar el 70% de la Deuda Presunta Restante e iniciar el proceso de liquidación de la Deuda Real de Colpensiones, AFP y EPS.</w:t>
      </w:r>
    </w:p>
    <w:p w:rsidR="00831800" w:rsidRPr="00E2319F" w:rsidRDefault="00831800" w:rsidP="002A2234">
      <w:pPr>
        <w:pStyle w:val="Prrafodelista"/>
        <w:spacing w:before="100" w:beforeAutospacing="1" w:after="100" w:afterAutospacing="1" w:line="240" w:lineRule="auto"/>
        <w:ind w:left="360"/>
        <w:jc w:val="both"/>
        <w:rPr>
          <w:rFonts w:cs="Arial"/>
        </w:rPr>
      </w:pPr>
    </w:p>
    <w:p w:rsidR="00831800" w:rsidRPr="00E2319F" w:rsidRDefault="00831800" w:rsidP="00831800">
      <w:pPr>
        <w:pStyle w:val="Prrafodelista"/>
        <w:spacing w:before="100" w:beforeAutospacing="1" w:after="100" w:afterAutospacing="1" w:line="240" w:lineRule="auto"/>
        <w:ind w:left="360"/>
        <w:contextualSpacing/>
        <w:jc w:val="both"/>
        <w:rPr>
          <w:rFonts w:cs="Arial"/>
          <w:color w:val="FF0000"/>
          <w:lang w:val="es-CO"/>
        </w:rPr>
      </w:pPr>
    </w:p>
    <w:p w:rsidR="00831800" w:rsidRPr="00E2319F" w:rsidRDefault="00831800" w:rsidP="00831800">
      <w:pPr>
        <w:rPr>
          <w:rFonts w:cs="Arial"/>
        </w:rPr>
      </w:pPr>
    </w:p>
    <w:p w:rsidR="00831800" w:rsidRPr="00E2319F" w:rsidRDefault="00831800" w:rsidP="00831800">
      <w:pPr>
        <w:rPr>
          <w:rFonts w:cs="Arial"/>
        </w:rPr>
      </w:pPr>
    </w:p>
    <w:p w:rsidR="00015C71" w:rsidRPr="00E2319F" w:rsidRDefault="00D222ED" w:rsidP="00A44A2B">
      <w:pPr>
        <w:pStyle w:val="Ttulo1"/>
        <w:pageBreakBefore/>
        <w:numPr>
          <w:ilvl w:val="0"/>
          <w:numId w:val="139"/>
        </w:numPr>
        <w:spacing w:before="100" w:beforeAutospacing="1" w:after="100" w:afterAutospacing="1"/>
        <w:jc w:val="both"/>
        <w:rPr>
          <w:rFonts w:cs="Arial"/>
          <w:szCs w:val="22"/>
        </w:rPr>
      </w:pPr>
      <w:bookmarkStart w:id="161" w:name="_Toc441847086"/>
      <w:bookmarkStart w:id="162" w:name="_Toc505183098"/>
      <w:r w:rsidRPr="00E2319F">
        <w:rPr>
          <w:rFonts w:cs="Arial"/>
          <w:szCs w:val="22"/>
        </w:rPr>
        <w:lastRenderedPageBreak/>
        <w:t>GESTIÓN</w:t>
      </w:r>
      <w:r w:rsidR="00A1269F" w:rsidRPr="00E2319F">
        <w:rPr>
          <w:rFonts w:cs="Arial"/>
          <w:szCs w:val="22"/>
        </w:rPr>
        <w:t xml:space="preserve"> </w:t>
      </w:r>
      <w:r w:rsidR="00015C71" w:rsidRPr="00E2319F">
        <w:rPr>
          <w:rFonts w:cs="Arial"/>
          <w:szCs w:val="22"/>
        </w:rPr>
        <w:t>ADMINISTRATIVA</w:t>
      </w:r>
      <w:bookmarkEnd w:id="161"/>
      <w:bookmarkEnd w:id="162"/>
    </w:p>
    <w:p w:rsidR="00AF0398" w:rsidRPr="00E2319F" w:rsidRDefault="00860402" w:rsidP="00A44A2B">
      <w:pPr>
        <w:pStyle w:val="Ttulo2"/>
        <w:numPr>
          <w:ilvl w:val="1"/>
          <w:numId w:val="139"/>
        </w:numPr>
        <w:rPr>
          <w:rFonts w:cs="Arial"/>
          <w:b/>
        </w:rPr>
      </w:pPr>
      <w:bookmarkStart w:id="163" w:name="_Toc505183099"/>
      <w:r w:rsidRPr="00E2319F">
        <w:rPr>
          <w:rFonts w:cs="Arial"/>
          <w:b/>
        </w:rPr>
        <w:t>Grupo de Infraestructura Inmobiliaria</w:t>
      </w:r>
      <w:bookmarkEnd w:id="163"/>
      <w:r w:rsidRPr="00E2319F">
        <w:rPr>
          <w:rFonts w:cs="Arial"/>
          <w:b/>
        </w:rPr>
        <w:t xml:space="preserve"> </w:t>
      </w:r>
    </w:p>
    <w:p w:rsidR="007B6477" w:rsidRPr="00E2319F" w:rsidRDefault="007B6477" w:rsidP="007B6477">
      <w:pPr>
        <w:jc w:val="both"/>
        <w:rPr>
          <w:rFonts w:cs="Arial"/>
        </w:rPr>
      </w:pPr>
    </w:p>
    <w:p w:rsidR="007B6477" w:rsidRPr="00E2319F" w:rsidRDefault="007B6477" w:rsidP="007B6477">
      <w:pPr>
        <w:jc w:val="both"/>
        <w:rPr>
          <w:rFonts w:cs="Arial"/>
        </w:rPr>
      </w:pPr>
      <w:r w:rsidRPr="00E2319F">
        <w:rPr>
          <w:rFonts w:cs="Arial"/>
        </w:rPr>
        <w:t xml:space="preserve">Para gestionar la infraestructura inmobiliaria requerida para la operación del Instituto Colombiano de Bienestar Familiar, la entidad ha conformado el Grupo de Infraestructura Inmobiliaria -GII , el cual, de conformidad con lo establecido en el Artículo 21 de la Resolución ICBF No 060 de 2013, brinda soporte a la Dirección Administrativa en el diseño de políticas, proyectos, programas de trabajo y toma de decisiones para la administración, gestión y control en el uso, mantenimiento, adecuación y conservación de los bienes inmuebles del ICBF y la adquisición y/o construcción de nuevas unidades aplicativas. </w:t>
      </w:r>
    </w:p>
    <w:p w:rsidR="007B6477" w:rsidRPr="00E2319F" w:rsidRDefault="007B6477" w:rsidP="007B6477">
      <w:pPr>
        <w:jc w:val="both"/>
        <w:rPr>
          <w:rFonts w:cs="Arial"/>
        </w:rPr>
      </w:pPr>
      <w:r w:rsidRPr="00E2319F">
        <w:rPr>
          <w:rFonts w:cs="Arial"/>
        </w:rPr>
        <w:t>Este grupo desarrolla la estructuración y gestión de proyectos, mediante el accionar de grupos internos de trabajo, con los cuales se atienden las necesidades propias del Instituto en cada una de las unidades aplicativas existentes, a saber:</w:t>
      </w:r>
    </w:p>
    <w:p w:rsidR="007B6477" w:rsidRPr="00E2319F" w:rsidRDefault="007B6477" w:rsidP="007B6477">
      <w:pPr>
        <w:jc w:val="both"/>
        <w:rPr>
          <w:rFonts w:cs="Arial"/>
          <w:b/>
        </w:rPr>
      </w:pPr>
      <w:bookmarkStart w:id="164" w:name="_Toc503465549"/>
      <w:r w:rsidRPr="00E2319F">
        <w:rPr>
          <w:rFonts w:cs="Arial"/>
          <w:b/>
        </w:rPr>
        <w:t>Infraestructura para la atención de la Primera Infancia</w:t>
      </w:r>
      <w:bookmarkEnd w:id="164"/>
    </w:p>
    <w:p w:rsidR="007B6477" w:rsidRPr="00E2319F" w:rsidRDefault="007B6477" w:rsidP="007B6477">
      <w:pPr>
        <w:jc w:val="both"/>
        <w:rPr>
          <w:rFonts w:cs="Arial"/>
        </w:rPr>
      </w:pPr>
      <w:r w:rsidRPr="00E2319F">
        <w:rPr>
          <w:rFonts w:cs="Arial"/>
        </w:rPr>
        <w:t>La atención a la primera infancia se desarrolla en diferentes tipos de edificaciones, ya sean propiedad del ICBF o no, de acuerdo con el tipo de programa de atención que se presta en ellas. Por lo tanto, los procesos que desarrolla el Grupo Infraestructura Inmobiliaria - GII en este sentido se orientan a la supervisión y acompañamiento técnico de los contratos que para tal fin se realicen.</w:t>
      </w:r>
    </w:p>
    <w:p w:rsidR="007B6477" w:rsidRPr="00E2319F" w:rsidRDefault="007B6477" w:rsidP="007B6477">
      <w:pPr>
        <w:jc w:val="both"/>
        <w:rPr>
          <w:rFonts w:cs="Arial"/>
        </w:rPr>
      </w:pPr>
      <w:r w:rsidRPr="00E2319F">
        <w:rPr>
          <w:rFonts w:cs="Arial"/>
        </w:rPr>
        <w:t xml:space="preserve">Hasta 2013 las necesidades identificadas por el GII se desarrollaban a través de contratos interadministrativos de gerencia integral de proyectos con ejecutores como FONADE y FONDECUN o, a través de convenios interadministrativos y/o de asociación para aunar esfuerzos entre diferentes entidades públicas y/o privadas, como por ejemplo Fundación Carulla, Fundación Argos, Fundación Carvajal. Posteriormente, en atención al plan de mejoramiento suscrito con la Contraloría General de la República, los procesos de selección por parte del ICBF se realizan de manera directa. </w:t>
      </w:r>
    </w:p>
    <w:p w:rsidR="007B6477" w:rsidRPr="00E2319F" w:rsidRDefault="007B6477" w:rsidP="007B6477">
      <w:pPr>
        <w:jc w:val="both"/>
        <w:rPr>
          <w:rFonts w:cs="Arial"/>
        </w:rPr>
      </w:pPr>
      <w:r w:rsidRPr="00E2319F">
        <w:rPr>
          <w:rFonts w:cs="Arial"/>
        </w:rPr>
        <w:t>Para 2017, el Grupo de Infraestructura Inmobiliaria adelantó procesos de selección de Contracción, y contratos Administrativos de acuerdo a las necesidades priorizadas de nuestra infraestructura, en los cuales se realizó seguimiento y supervisión de los siguientes convenios/contratos y proyectos, los cuales son intervenidos con recursos propios del ICBF:</w:t>
      </w:r>
    </w:p>
    <w:p w:rsidR="007B6477" w:rsidRPr="00E2319F" w:rsidRDefault="007B6477" w:rsidP="007B6477">
      <w:pPr>
        <w:jc w:val="both"/>
        <w:rPr>
          <w:rFonts w:cs="Arial"/>
          <w:b/>
        </w:rPr>
      </w:pPr>
      <w:r w:rsidRPr="00E2319F">
        <w:rPr>
          <w:rFonts w:cs="Arial"/>
          <w:b/>
        </w:rPr>
        <w:t>Proyectos en ejecución a cargo del GII – Primera Infancia</w:t>
      </w:r>
    </w:p>
    <w:p w:rsidR="007B6477" w:rsidRPr="00E2319F" w:rsidRDefault="007B6477" w:rsidP="007B6477">
      <w:pPr>
        <w:jc w:val="both"/>
        <w:rPr>
          <w:rFonts w:cs="Arial"/>
        </w:rPr>
      </w:pPr>
      <w:r w:rsidRPr="00E2319F">
        <w:rPr>
          <w:rFonts w:cs="Arial"/>
        </w:rPr>
        <w:t>Para la vigencia 2017 de conformidad con la priorización efectuada se estableció la necesidad de realizar seguimiento a la intervención de 29 unidades aplicativas, de las cuales 5 correspondían directamente a la Sede Nacional y 24 mediante traslados a las Regionales.</w:t>
      </w:r>
    </w:p>
    <w:p w:rsidR="007B6477" w:rsidRPr="00E2319F" w:rsidRDefault="007B6477" w:rsidP="007B6477">
      <w:pPr>
        <w:jc w:val="both"/>
        <w:rPr>
          <w:rFonts w:cs="Arial"/>
        </w:rPr>
      </w:pPr>
      <w:r w:rsidRPr="00E2319F">
        <w:rPr>
          <w:rFonts w:cs="Arial"/>
        </w:rPr>
        <w:lastRenderedPageBreak/>
        <w:t xml:space="preserve">La gestión adelantada en la Sede Nacional correspondió al seguimiento a la ejecución de recursos por valor total de $5.553 millones, con los cuales se ejecutaron dos (2) adecuaciones correspondientes al H.I. Mi Terruñito y al H.I. Mi Mundo Feliz, dos (2) estudios, diseños y construcción del CDI Los Girasoles y CDI Nuevo Amanecer y un (1) estudio y diseño correspondiente al </w:t>
      </w:r>
      <w:r w:rsidRPr="00E2319F">
        <w:rPr>
          <w:rFonts w:cs="Arial"/>
          <w:lang w:eastAsia="es-CO"/>
        </w:rPr>
        <w:t>CDI Tarso.</w:t>
      </w:r>
    </w:p>
    <w:p w:rsidR="007B6477" w:rsidRPr="00E2319F" w:rsidRDefault="007B6477" w:rsidP="00647ACF">
      <w:pPr>
        <w:jc w:val="center"/>
        <w:rPr>
          <w:rFonts w:cs="Arial"/>
          <w:b/>
        </w:rPr>
      </w:pPr>
      <w:r w:rsidRPr="00E2319F">
        <w:rPr>
          <w:rFonts w:cs="Arial"/>
          <w:b/>
        </w:rPr>
        <w:t>Proyectos en ejecución infraestructuras para atención a la primera infancia</w:t>
      </w: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shd w:val="clear" w:color="auto" w:fill="92D050"/>
        <w:tblCellMar>
          <w:left w:w="70" w:type="dxa"/>
          <w:right w:w="70" w:type="dxa"/>
        </w:tblCellMar>
        <w:tblLook w:val="04A0" w:firstRow="1" w:lastRow="0" w:firstColumn="1" w:lastColumn="0" w:noHBand="0" w:noVBand="1"/>
      </w:tblPr>
      <w:tblGrid>
        <w:gridCol w:w="1351"/>
        <w:gridCol w:w="981"/>
        <w:gridCol w:w="1891"/>
        <w:gridCol w:w="2252"/>
        <w:gridCol w:w="1792"/>
      </w:tblGrid>
      <w:tr w:rsidR="007B6477" w:rsidRPr="00647ACF" w:rsidTr="00352567">
        <w:trPr>
          <w:trHeight w:val="50"/>
          <w:jc w:val="center"/>
        </w:trPr>
        <w:tc>
          <w:tcPr>
            <w:tcW w:w="0" w:type="auto"/>
            <w:shd w:val="clear" w:color="auto" w:fill="76922E"/>
            <w:vAlign w:val="center"/>
            <w:hideMark/>
          </w:tcPr>
          <w:p w:rsidR="007B6477" w:rsidRPr="00352567" w:rsidRDefault="007B647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Departamento</w:t>
            </w:r>
          </w:p>
        </w:tc>
        <w:tc>
          <w:tcPr>
            <w:tcW w:w="0" w:type="auto"/>
            <w:shd w:val="clear" w:color="auto" w:fill="76922E"/>
            <w:vAlign w:val="center"/>
            <w:hideMark/>
          </w:tcPr>
          <w:p w:rsidR="007B6477" w:rsidRPr="00352567" w:rsidRDefault="007B647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Municipio</w:t>
            </w:r>
          </w:p>
        </w:tc>
        <w:tc>
          <w:tcPr>
            <w:tcW w:w="0" w:type="auto"/>
            <w:shd w:val="clear" w:color="auto" w:fill="76922E"/>
            <w:vAlign w:val="center"/>
            <w:hideMark/>
          </w:tcPr>
          <w:p w:rsidR="007B6477" w:rsidRPr="00352567" w:rsidRDefault="007B647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Nombre</w:t>
            </w:r>
          </w:p>
        </w:tc>
        <w:tc>
          <w:tcPr>
            <w:tcW w:w="0" w:type="auto"/>
            <w:shd w:val="clear" w:color="auto" w:fill="76922E"/>
            <w:vAlign w:val="center"/>
            <w:hideMark/>
          </w:tcPr>
          <w:p w:rsidR="007B6477" w:rsidRPr="00352567" w:rsidRDefault="007B647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Intervención</w:t>
            </w:r>
          </w:p>
        </w:tc>
        <w:tc>
          <w:tcPr>
            <w:tcW w:w="0" w:type="auto"/>
            <w:shd w:val="clear" w:color="auto" w:fill="76922E"/>
            <w:vAlign w:val="center"/>
            <w:hideMark/>
          </w:tcPr>
          <w:p w:rsidR="007B6477" w:rsidRPr="00352567" w:rsidRDefault="007B647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Valor Intervención</w:t>
            </w:r>
          </w:p>
        </w:tc>
      </w:tr>
      <w:tr w:rsidR="007B6477" w:rsidRPr="00647ACF" w:rsidTr="00647ACF">
        <w:trPr>
          <w:trHeight w:val="220"/>
          <w:jc w:val="center"/>
        </w:trPr>
        <w:tc>
          <w:tcPr>
            <w:tcW w:w="0" w:type="auto"/>
            <w:shd w:val="clear" w:color="auto" w:fill="auto"/>
            <w:vAlign w:val="center"/>
            <w:hideMark/>
          </w:tcPr>
          <w:p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Tolima</w:t>
            </w:r>
          </w:p>
        </w:tc>
        <w:tc>
          <w:tcPr>
            <w:tcW w:w="0" w:type="auto"/>
            <w:shd w:val="clear" w:color="auto" w:fill="auto"/>
            <w:vAlign w:val="center"/>
            <w:hideMark/>
          </w:tcPr>
          <w:p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Líbano</w:t>
            </w:r>
          </w:p>
        </w:tc>
        <w:tc>
          <w:tcPr>
            <w:tcW w:w="0" w:type="auto"/>
            <w:shd w:val="clear" w:color="auto" w:fill="auto"/>
            <w:vAlign w:val="center"/>
            <w:hideMark/>
          </w:tcPr>
          <w:p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H.I. Mi Terruñito</w:t>
            </w:r>
          </w:p>
        </w:tc>
        <w:tc>
          <w:tcPr>
            <w:tcW w:w="0" w:type="auto"/>
            <w:shd w:val="clear" w:color="auto" w:fill="auto"/>
            <w:vAlign w:val="center"/>
            <w:hideMark/>
          </w:tcPr>
          <w:p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Adecuación</w:t>
            </w:r>
          </w:p>
        </w:tc>
        <w:tc>
          <w:tcPr>
            <w:tcW w:w="0" w:type="auto"/>
            <w:shd w:val="clear" w:color="auto" w:fill="auto"/>
            <w:vAlign w:val="center"/>
            <w:hideMark/>
          </w:tcPr>
          <w:p w:rsidR="007B6477" w:rsidRPr="00647ACF" w:rsidRDefault="007B6477" w:rsidP="00647ACF">
            <w:pPr>
              <w:spacing w:before="100" w:beforeAutospacing="1" w:after="100" w:afterAutospacing="1" w:line="240" w:lineRule="auto"/>
              <w:rPr>
                <w:rFonts w:eastAsia="Times New Roman" w:cs="Arial"/>
                <w:sz w:val="18"/>
                <w:szCs w:val="18"/>
                <w:lang w:val="es-CO" w:eastAsia="es-CO"/>
              </w:rPr>
            </w:pPr>
            <w:r w:rsidRPr="00647ACF">
              <w:rPr>
                <w:rFonts w:eastAsia="Times New Roman" w:cs="Arial"/>
                <w:sz w:val="18"/>
                <w:szCs w:val="18"/>
                <w:lang w:val="es-CO" w:eastAsia="es-CO"/>
              </w:rPr>
              <w:t xml:space="preserve"> $     576.167.454,00 </w:t>
            </w:r>
          </w:p>
        </w:tc>
      </w:tr>
      <w:tr w:rsidR="007B6477" w:rsidRPr="00647ACF" w:rsidTr="00647ACF">
        <w:trPr>
          <w:trHeight w:val="233"/>
          <w:jc w:val="center"/>
        </w:trPr>
        <w:tc>
          <w:tcPr>
            <w:tcW w:w="0" w:type="auto"/>
            <w:shd w:val="clear" w:color="auto" w:fill="auto"/>
            <w:vAlign w:val="center"/>
          </w:tcPr>
          <w:p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Tolima</w:t>
            </w:r>
          </w:p>
        </w:tc>
        <w:tc>
          <w:tcPr>
            <w:tcW w:w="0" w:type="auto"/>
            <w:shd w:val="clear" w:color="auto" w:fill="auto"/>
            <w:vAlign w:val="center"/>
          </w:tcPr>
          <w:p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Líbano</w:t>
            </w:r>
          </w:p>
        </w:tc>
        <w:tc>
          <w:tcPr>
            <w:tcW w:w="0" w:type="auto"/>
            <w:shd w:val="clear" w:color="auto" w:fill="auto"/>
            <w:vAlign w:val="center"/>
          </w:tcPr>
          <w:p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H.I. Mi Terruñito</w:t>
            </w:r>
          </w:p>
        </w:tc>
        <w:tc>
          <w:tcPr>
            <w:tcW w:w="0" w:type="auto"/>
            <w:shd w:val="clear" w:color="auto" w:fill="auto"/>
            <w:vAlign w:val="center"/>
          </w:tcPr>
          <w:p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Adecuación - Interventoría</w:t>
            </w:r>
          </w:p>
        </w:tc>
        <w:tc>
          <w:tcPr>
            <w:tcW w:w="0" w:type="auto"/>
            <w:shd w:val="clear" w:color="auto" w:fill="auto"/>
            <w:vAlign w:val="center"/>
          </w:tcPr>
          <w:p w:rsidR="007B6477" w:rsidRPr="00647ACF" w:rsidRDefault="007B6477" w:rsidP="00647ACF">
            <w:pPr>
              <w:spacing w:before="100" w:beforeAutospacing="1" w:after="100" w:afterAutospacing="1" w:line="240" w:lineRule="auto"/>
              <w:rPr>
                <w:rFonts w:eastAsia="Times New Roman" w:cs="Arial"/>
                <w:sz w:val="18"/>
                <w:szCs w:val="18"/>
                <w:lang w:val="es-CO" w:eastAsia="es-CO"/>
              </w:rPr>
            </w:pPr>
            <w:r w:rsidRPr="00647ACF">
              <w:rPr>
                <w:rFonts w:eastAsia="Times New Roman" w:cs="Arial"/>
                <w:sz w:val="18"/>
                <w:szCs w:val="18"/>
                <w:lang w:val="es-CO" w:eastAsia="es-CO"/>
              </w:rPr>
              <w:t xml:space="preserve"> $    47.830.860,00</w:t>
            </w:r>
          </w:p>
        </w:tc>
      </w:tr>
      <w:tr w:rsidR="007B6477" w:rsidRPr="00647ACF" w:rsidTr="00647ACF">
        <w:trPr>
          <w:trHeight w:val="233"/>
          <w:jc w:val="center"/>
        </w:trPr>
        <w:tc>
          <w:tcPr>
            <w:tcW w:w="0" w:type="auto"/>
            <w:shd w:val="clear" w:color="auto" w:fill="auto"/>
            <w:vAlign w:val="center"/>
            <w:hideMark/>
          </w:tcPr>
          <w:p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Putumayo</w:t>
            </w:r>
          </w:p>
        </w:tc>
        <w:tc>
          <w:tcPr>
            <w:tcW w:w="0" w:type="auto"/>
            <w:shd w:val="clear" w:color="auto" w:fill="auto"/>
            <w:vAlign w:val="center"/>
            <w:hideMark/>
          </w:tcPr>
          <w:p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Sibundoy</w:t>
            </w:r>
          </w:p>
        </w:tc>
        <w:tc>
          <w:tcPr>
            <w:tcW w:w="0" w:type="auto"/>
            <w:shd w:val="clear" w:color="auto" w:fill="auto"/>
            <w:vAlign w:val="center"/>
            <w:hideMark/>
          </w:tcPr>
          <w:p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H.I. Mi Mundo Feliz</w:t>
            </w:r>
          </w:p>
        </w:tc>
        <w:tc>
          <w:tcPr>
            <w:tcW w:w="0" w:type="auto"/>
            <w:shd w:val="clear" w:color="auto" w:fill="auto"/>
            <w:vAlign w:val="center"/>
            <w:hideMark/>
          </w:tcPr>
          <w:p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Adecuación</w:t>
            </w:r>
          </w:p>
        </w:tc>
        <w:tc>
          <w:tcPr>
            <w:tcW w:w="0" w:type="auto"/>
            <w:shd w:val="clear" w:color="auto" w:fill="auto"/>
            <w:vAlign w:val="center"/>
            <w:hideMark/>
          </w:tcPr>
          <w:p w:rsidR="007B6477" w:rsidRPr="00647ACF" w:rsidRDefault="007B6477" w:rsidP="00647ACF">
            <w:pPr>
              <w:spacing w:before="100" w:beforeAutospacing="1" w:after="100" w:afterAutospacing="1" w:line="240" w:lineRule="auto"/>
              <w:rPr>
                <w:rFonts w:eastAsia="Times New Roman" w:cs="Arial"/>
                <w:sz w:val="18"/>
                <w:szCs w:val="18"/>
                <w:lang w:val="es-CO" w:eastAsia="es-CO"/>
              </w:rPr>
            </w:pPr>
            <w:r w:rsidRPr="00647ACF">
              <w:rPr>
                <w:rFonts w:eastAsia="Times New Roman" w:cs="Arial"/>
                <w:sz w:val="18"/>
                <w:szCs w:val="18"/>
                <w:lang w:val="es-CO" w:eastAsia="es-CO"/>
              </w:rPr>
              <w:t xml:space="preserve"> $     396.483.629,00 </w:t>
            </w:r>
          </w:p>
        </w:tc>
      </w:tr>
      <w:tr w:rsidR="007B6477" w:rsidRPr="00647ACF" w:rsidTr="00647ACF">
        <w:trPr>
          <w:trHeight w:val="233"/>
          <w:jc w:val="center"/>
        </w:trPr>
        <w:tc>
          <w:tcPr>
            <w:tcW w:w="0" w:type="auto"/>
            <w:shd w:val="clear" w:color="auto" w:fill="auto"/>
            <w:vAlign w:val="center"/>
          </w:tcPr>
          <w:p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Putumayo</w:t>
            </w:r>
          </w:p>
        </w:tc>
        <w:tc>
          <w:tcPr>
            <w:tcW w:w="0" w:type="auto"/>
            <w:shd w:val="clear" w:color="auto" w:fill="auto"/>
            <w:vAlign w:val="center"/>
          </w:tcPr>
          <w:p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Sibundoy</w:t>
            </w:r>
          </w:p>
        </w:tc>
        <w:tc>
          <w:tcPr>
            <w:tcW w:w="0" w:type="auto"/>
            <w:shd w:val="clear" w:color="auto" w:fill="auto"/>
            <w:vAlign w:val="center"/>
          </w:tcPr>
          <w:p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H.I. Mi Mundo Feliz</w:t>
            </w:r>
          </w:p>
        </w:tc>
        <w:tc>
          <w:tcPr>
            <w:tcW w:w="0" w:type="auto"/>
            <w:shd w:val="clear" w:color="auto" w:fill="auto"/>
            <w:vAlign w:val="center"/>
          </w:tcPr>
          <w:p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Adecuación - Interventoría</w:t>
            </w:r>
          </w:p>
        </w:tc>
        <w:tc>
          <w:tcPr>
            <w:tcW w:w="0" w:type="auto"/>
            <w:shd w:val="clear" w:color="auto" w:fill="auto"/>
            <w:vAlign w:val="center"/>
          </w:tcPr>
          <w:p w:rsidR="007B6477" w:rsidRPr="00647ACF" w:rsidRDefault="007B6477" w:rsidP="00647ACF">
            <w:pPr>
              <w:spacing w:before="100" w:beforeAutospacing="1" w:after="100" w:afterAutospacing="1" w:line="240" w:lineRule="auto"/>
              <w:rPr>
                <w:rFonts w:eastAsia="Times New Roman" w:cs="Arial"/>
                <w:sz w:val="18"/>
                <w:szCs w:val="18"/>
                <w:lang w:val="es-CO" w:eastAsia="es-CO"/>
              </w:rPr>
            </w:pPr>
            <w:r w:rsidRPr="00647ACF">
              <w:rPr>
                <w:rFonts w:eastAsia="Times New Roman" w:cs="Arial"/>
                <w:sz w:val="18"/>
                <w:szCs w:val="18"/>
                <w:lang w:val="es-CO" w:eastAsia="es-CO"/>
              </w:rPr>
              <w:t>$      39.254.292,00</w:t>
            </w:r>
          </w:p>
        </w:tc>
      </w:tr>
      <w:tr w:rsidR="007B6477" w:rsidRPr="00647ACF" w:rsidTr="00647ACF">
        <w:trPr>
          <w:trHeight w:val="233"/>
          <w:jc w:val="center"/>
        </w:trPr>
        <w:tc>
          <w:tcPr>
            <w:tcW w:w="0" w:type="auto"/>
            <w:shd w:val="clear" w:color="auto" w:fill="auto"/>
            <w:vAlign w:val="center"/>
            <w:hideMark/>
          </w:tcPr>
          <w:p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 xml:space="preserve">Bolívar </w:t>
            </w:r>
          </w:p>
        </w:tc>
        <w:tc>
          <w:tcPr>
            <w:tcW w:w="0" w:type="auto"/>
            <w:shd w:val="clear" w:color="auto" w:fill="auto"/>
            <w:vAlign w:val="center"/>
            <w:hideMark/>
          </w:tcPr>
          <w:p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 xml:space="preserve">Cartagena </w:t>
            </w:r>
          </w:p>
        </w:tc>
        <w:tc>
          <w:tcPr>
            <w:tcW w:w="0" w:type="auto"/>
            <w:shd w:val="clear" w:color="auto" w:fill="auto"/>
            <w:vAlign w:val="center"/>
            <w:hideMark/>
          </w:tcPr>
          <w:p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CDI Los Girasoles</w:t>
            </w:r>
          </w:p>
        </w:tc>
        <w:tc>
          <w:tcPr>
            <w:tcW w:w="0" w:type="auto"/>
            <w:shd w:val="clear" w:color="auto" w:fill="auto"/>
            <w:vAlign w:val="center"/>
            <w:hideMark/>
          </w:tcPr>
          <w:p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 xml:space="preserve">Obra Nueva </w:t>
            </w:r>
          </w:p>
        </w:tc>
        <w:tc>
          <w:tcPr>
            <w:tcW w:w="0" w:type="auto"/>
            <w:shd w:val="clear" w:color="auto" w:fill="auto"/>
            <w:vAlign w:val="center"/>
            <w:hideMark/>
          </w:tcPr>
          <w:p w:rsidR="007B6477" w:rsidRPr="00647ACF" w:rsidRDefault="007B6477" w:rsidP="00647ACF">
            <w:pPr>
              <w:spacing w:before="100" w:beforeAutospacing="1" w:after="100" w:afterAutospacing="1" w:line="240" w:lineRule="auto"/>
              <w:rPr>
                <w:rFonts w:eastAsia="Times New Roman" w:cs="Arial"/>
                <w:sz w:val="18"/>
                <w:szCs w:val="18"/>
                <w:lang w:val="es-CO" w:eastAsia="es-CO"/>
              </w:rPr>
            </w:pPr>
            <w:r w:rsidRPr="00647ACF">
              <w:rPr>
                <w:rFonts w:eastAsia="Times New Roman" w:cs="Arial"/>
                <w:sz w:val="18"/>
                <w:szCs w:val="18"/>
                <w:lang w:val="es-CO" w:eastAsia="es-CO"/>
              </w:rPr>
              <w:t xml:space="preserve"> $ 1.790.000.000,00 </w:t>
            </w:r>
          </w:p>
        </w:tc>
      </w:tr>
      <w:tr w:rsidR="007B6477" w:rsidRPr="00647ACF" w:rsidTr="00647ACF">
        <w:trPr>
          <w:trHeight w:val="233"/>
          <w:jc w:val="center"/>
        </w:trPr>
        <w:tc>
          <w:tcPr>
            <w:tcW w:w="0" w:type="auto"/>
            <w:shd w:val="clear" w:color="auto" w:fill="auto"/>
            <w:vAlign w:val="center"/>
            <w:hideMark/>
          </w:tcPr>
          <w:p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Cundinamarca</w:t>
            </w:r>
          </w:p>
        </w:tc>
        <w:tc>
          <w:tcPr>
            <w:tcW w:w="0" w:type="auto"/>
            <w:shd w:val="clear" w:color="auto" w:fill="auto"/>
            <w:vAlign w:val="center"/>
            <w:hideMark/>
          </w:tcPr>
          <w:p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 xml:space="preserve">Pacho </w:t>
            </w:r>
          </w:p>
        </w:tc>
        <w:tc>
          <w:tcPr>
            <w:tcW w:w="0" w:type="auto"/>
            <w:shd w:val="clear" w:color="auto" w:fill="auto"/>
            <w:vAlign w:val="center"/>
            <w:hideMark/>
          </w:tcPr>
          <w:p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CDI Nuevo Amanecer</w:t>
            </w:r>
          </w:p>
        </w:tc>
        <w:tc>
          <w:tcPr>
            <w:tcW w:w="0" w:type="auto"/>
            <w:shd w:val="clear" w:color="auto" w:fill="auto"/>
            <w:vAlign w:val="center"/>
            <w:hideMark/>
          </w:tcPr>
          <w:p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 xml:space="preserve">Obra Nueva </w:t>
            </w:r>
          </w:p>
        </w:tc>
        <w:tc>
          <w:tcPr>
            <w:tcW w:w="0" w:type="auto"/>
            <w:shd w:val="clear" w:color="auto" w:fill="auto"/>
            <w:vAlign w:val="center"/>
            <w:hideMark/>
          </w:tcPr>
          <w:p w:rsidR="007B6477" w:rsidRPr="00647ACF" w:rsidRDefault="007B6477" w:rsidP="00647ACF">
            <w:pPr>
              <w:spacing w:before="100" w:beforeAutospacing="1" w:after="100" w:afterAutospacing="1" w:line="240" w:lineRule="auto"/>
              <w:rPr>
                <w:rFonts w:eastAsia="Times New Roman" w:cs="Arial"/>
                <w:sz w:val="18"/>
                <w:szCs w:val="18"/>
                <w:lang w:val="es-CO" w:eastAsia="es-CO"/>
              </w:rPr>
            </w:pPr>
            <w:r w:rsidRPr="00647ACF">
              <w:rPr>
                <w:rFonts w:eastAsia="Times New Roman" w:cs="Arial"/>
                <w:sz w:val="18"/>
                <w:szCs w:val="18"/>
                <w:lang w:val="es-CO" w:eastAsia="es-CO"/>
              </w:rPr>
              <w:t xml:space="preserve"> $ 2.630.000.000,00 </w:t>
            </w:r>
          </w:p>
        </w:tc>
      </w:tr>
      <w:tr w:rsidR="007B6477" w:rsidRPr="00647ACF" w:rsidTr="00647ACF">
        <w:trPr>
          <w:trHeight w:val="50"/>
          <w:jc w:val="center"/>
        </w:trPr>
        <w:tc>
          <w:tcPr>
            <w:tcW w:w="0" w:type="auto"/>
            <w:shd w:val="clear" w:color="auto" w:fill="auto"/>
            <w:vAlign w:val="center"/>
          </w:tcPr>
          <w:p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Antioquia</w:t>
            </w:r>
          </w:p>
        </w:tc>
        <w:tc>
          <w:tcPr>
            <w:tcW w:w="0" w:type="auto"/>
            <w:shd w:val="clear" w:color="auto" w:fill="auto"/>
            <w:vAlign w:val="center"/>
          </w:tcPr>
          <w:p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Tarso</w:t>
            </w:r>
          </w:p>
        </w:tc>
        <w:tc>
          <w:tcPr>
            <w:tcW w:w="0" w:type="auto"/>
            <w:shd w:val="clear" w:color="auto" w:fill="auto"/>
            <w:vAlign w:val="center"/>
          </w:tcPr>
          <w:p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CDI Tarso</w:t>
            </w:r>
          </w:p>
        </w:tc>
        <w:tc>
          <w:tcPr>
            <w:tcW w:w="0" w:type="auto"/>
            <w:shd w:val="clear" w:color="auto" w:fill="auto"/>
            <w:vAlign w:val="center"/>
          </w:tcPr>
          <w:p w:rsidR="007B6477" w:rsidRPr="00647ACF" w:rsidRDefault="007B6477" w:rsidP="00647ACF">
            <w:pPr>
              <w:spacing w:before="100" w:beforeAutospacing="1" w:after="100" w:afterAutospacing="1" w:line="240" w:lineRule="auto"/>
              <w:jc w:val="both"/>
              <w:rPr>
                <w:rFonts w:eastAsia="Times New Roman" w:cs="Arial"/>
                <w:sz w:val="18"/>
                <w:szCs w:val="18"/>
                <w:lang w:val="es-CO" w:eastAsia="es-CO"/>
              </w:rPr>
            </w:pPr>
            <w:r w:rsidRPr="00647ACF">
              <w:rPr>
                <w:rFonts w:eastAsia="Times New Roman" w:cs="Arial"/>
                <w:sz w:val="18"/>
                <w:szCs w:val="18"/>
                <w:lang w:val="es-CO" w:eastAsia="es-CO"/>
              </w:rPr>
              <w:t>Estudios y Diseños</w:t>
            </w:r>
          </w:p>
        </w:tc>
        <w:tc>
          <w:tcPr>
            <w:tcW w:w="0" w:type="auto"/>
            <w:shd w:val="clear" w:color="auto" w:fill="auto"/>
            <w:vAlign w:val="center"/>
          </w:tcPr>
          <w:p w:rsidR="007B6477" w:rsidRPr="00647ACF" w:rsidRDefault="007B6477" w:rsidP="00647ACF">
            <w:pPr>
              <w:spacing w:before="100" w:beforeAutospacing="1" w:after="100" w:afterAutospacing="1" w:line="240" w:lineRule="auto"/>
              <w:rPr>
                <w:rFonts w:eastAsia="Times New Roman" w:cs="Arial"/>
                <w:sz w:val="18"/>
                <w:szCs w:val="18"/>
                <w:lang w:val="es-CO" w:eastAsia="es-CO"/>
              </w:rPr>
            </w:pPr>
            <w:r w:rsidRPr="00647ACF">
              <w:rPr>
                <w:rFonts w:eastAsia="Times New Roman" w:cs="Arial"/>
                <w:sz w:val="18"/>
                <w:szCs w:val="18"/>
                <w:lang w:val="es-CO" w:eastAsia="es-CO"/>
              </w:rPr>
              <w:t xml:space="preserve">       $ 73.568.106,00</w:t>
            </w:r>
          </w:p>
        </w:tc>
      </w:tr>
    </w:tbl>
    <w:p w:rsidR="006B485A" w:rsidRDefault="006B485A" w:rsidP="006B485A">
      <w:pPr>
        <w:jc w:val="center"/>
        <w:rPr>
          <w:rFonts w:cs="Arial"/>
          <w:b/>
        </w:rPr>
      </w:pPr>
      <w:r w:rsidRPr="0012175B">
        <w:rPr>
          <w:rFonts w:cs="Arial"/>
          <w:sz w:val="16"/>
        </w:rPr>
        <w:t>Fuente: Grupo Infraestructura Inmobiliaria ICBF</w:t>
      </w:r>
    </w:p>
    <w:p w:rsidR="007B6477" w:rsidRPr="00E2319F" w:rsidRDefault="007B6477" w:rsidP="007B6477">
      <w:pPr>
        <w:jc w:val="both"/>
        <w:rPr>
          <w:rFonts w:cs="Arial"/>
          <w:b/>
        </w:rPr>
      </w:pPr>
      <w:r w:rsidRPr="00E2319F">
        <w:rPr>
          <w:rFonts w:cs="Arial"/>
        </w:rPr>
        <w:t>Mediante la ejecución de recursos asignados directamente a las Regionales, desde el GII se ejecutó un total de $1.53 millones, con los cuales se ejecutaron veinticuatro (24) adecuaciones, con las cuales se benefició a la población de quince (15) regionales</w:t>
      </w:r>
      <w:r w:rsidRPr="00E2319F">
        <w:rPr>
          <w:rFonts w:cs="Arial"/>
          <w:lang w:eastAsia="es-CO"/>
        </w:rPr>
        <w:t>.</w:t>
      </w:r>
    </w:p>
    <w:p w:rsidR="007B6477" w:rsidRPr="00E2319F" w:rsidRDefault="007B6477" w:rsidP="007B6477">
      <w:pPr>
        <w:jc w:val="center"/>
        <w:rPr>
          <w:rFonts w:cs="Arial"/>
          <w:b/>
        </w:rPr>
      </w:pPr>
      <w:r w:rsidRPr="00E2319F">
        <w:rPr>
          <w:rFonts w:cs="Arial"/>
          <w:b/>
        </w:rPr>
        <w:t>Traslados a regionales para intervención de infraestructuras para atención a la primera infancia</w:t>
      </w: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085"/>
        <w:gridCol w:w="1387"/>
        <w:gridCol w:w="1529"/>
        <w:gridCol w:w="1742"/>
        <w:gridCol w:w="3652"/>
      </w:tblGrid>
      <w:tr w:rsidR="007B6477" w:rsidRPr="00352567" w:rsidTr="00352567">
        <w:trPr>
          <w:trHeight w:val="121"/>
          <w:jc w:val="center"/>
        </w:trPr>
        <w:tc>
          <w:tcPr>
            <w:tcW w:w="0" w:type="auto"/>
            <w:shd w:val="clear" w:color="auto" w:fill="76922E"/>
            <w:vAlign w:val="center"/>
            <w:hideMark/>
          </w:tcPr>
          <w:p w:rsidR="007B6477" w:rsidRPr="00352567" w:rsidRDefault="0035256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Regional</w:t>
            </w:r>
          </w:p>
        </w:tc>
        <w:tc>
          <w:tcPr>
            <w:tcW w:w="0" w:type="auto"/>
            <w:shd w:val="clear" w:color="auto" w:fill="76922E"/>
            <w:vAlign w:val="center"/>
            <w:hideMark/>
          </w:tcPr>
          <w:p w:rsidR="007B6477" w:rsidRPr="00352567" w:rsidRDefault="0035256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Municipio</w:t>
            </w:r>
          </w:p>
        </w:tc>
        <w:tc>
          <w:tcPr>
            <w:tcW w:w="0" w:type="auto"/>
            <w:shd w:val="clear" w:color="auto" w:fill="76922E"/>
            <w:vAlign w:val="center"/>
            <w:hideMark/>
          </w:tcPr>
          <w:p w:rsidR="007B6477" w:rsidRPr="00352567" w:rsidRDefault="0035256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Hogar Infantil</w:t>
            </w:r>
          </w:p>
        </w:tc>
        <w:tc>
          <w:tcPr>
            <w:tcW w:w="0" w:type="auto"/>
            <w:shd w:val="clear" w:color="auto" w:fill="76922E"/>
            <w:vAlign w:val="center"/>
            <w:hideMark/>
          </w:tcPr>
          <w:p w:rsidR="007B6477" w:rsidRPr="00352567" w:rsidRDefault="0035256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Valor Traslado</w:t>
            </w:r>
          </w:p>
        </w:tc>
        <w:tc>
          <w:tcPr>
            <w:tcW w:w="0" w:type="auto"/>
            <w:shd w:val="clear" w:color="auto" w:fill="76922E"/>
            <w:vAlign w:val="center"/>
            <w:hideMark/>
          </w:tcPr>
          <w:p w:rsidR="007B6477" w:rsidRPr="00352567" w:rsidRDefault="0035256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Estado</w:t>
            </w:r>
          </w:p>
        </w:tc>
      </w:tr>
      <w:tr w:rsidR="007B6477" w:rsidRPr="00352567" w:rsidTr="00352567">
        <w:trPr>
          <w:trHeight w:val="142"/>
          <w:jc w:val="center"/>
        </w:trPr>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Córdoba</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Montería</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La Pradera</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r w:rsidRPr="00352567">
              <w:rPr>
                <w:rFonts w:eastAsia="Times New Roman" w:cs="Arial"/>
                <w:sz w:val="18"/>
                <w:szCs w:val="18"/>
                <w:lang w:val="es-CO" w:eastAsia="es-CO"/>
              </w:rPr>
              <w:t xml:space="preserve">    $171.255.063,00</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Termi</w:t>
            </w:r>
            <w:r w:rsidR="0012175B">
              <w:rPr>
                <w:rFonts w:eastAsia="Times New Roman" w:cs="Arial"/>
                <w:sz w:val="18"/>
                <w:szCs w:val="18"/>
                <w:lang w:val="es-CO" w:eastAsia="es-CO"/>
              </w:rPr>
              <w:t>nado – En proceso de recibo de o</w:t>
            </w:r>
            <w:r w:rsidRPr="00352567">
              <w:rPr>
                <w:rFonts w:eastAsia="Times New Roman" w:cs="Arial"/>
                <w:sz w:val="18"/>
                <w:szCs w:val="18"/>
                <w:lang w:val="es-CO" w:eastAsia="es-CO"/>
              </w:rPr>
              <w:t>bra.</w:t>
            </w:r>
          </w:p>
        </w:tc>
      </w:tr>
      <w:tr w:rsidR="007B6477" w:rsidRPr="00352567" w:rsidTr="00352567">
        <w:trPr>
          <w:trHeight w:val="121"/>
          <w:jc w:val="center"/>
        </w:trPr>
        <w:tc>
          <w:tcPr>
            <w:tcW w:w="0" w:type="auto"/>
            <w:shd w:val="clear" w:color="auto" w:fill="76922E"/>
            <w:vAlign w:val="center"/>
            <w:hideMark/>
          </w:tcPr>
          <w:p w:rsidR="007B6477" w:rsidRPr="00352567" w:rsidRDefault="0035256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Regional</w:t>
            </w:r>
          </w:p>
        </w:tc>
        <w:tc>
          <w:tcPr>
            <w:tcW w:w="0" w:type="auto"/>
            <w:shd w:val="clear" w:color="auto" w:fill="76922E"/>
            <w:vAlign w:val="center"/>
            <w:hideMark/>
          </w:tcPr>
          <w:p w:rsidR="007B6477" w:rsidRPr="00352567" w:rsidRDefault="0035256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Municipio</w:t>
            </w:r>
          </w:p>
        </w:tc>
        <w:tc>
          <w:tcPr>
            <w:tcW w:w="0" w:type="auto"/>
            <w:shd w:val="clear" w:color="auto" w:fill="76922E"/>
            <w:vAlign w:val="center"/>
            <w:hideMark/>
          </w:tcPr>
          <w:p w:rsidR="007B6477" w:rsidRPr="00352567" w:rsidRDefault="0035256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Hogar Infantil</w:t>
            </w:r>
          </w:p>
        </w:tc>
        <w:tc>
          <w:tcPr>
            <w:tcW w:w="0" w:type="auto"/>
            <w:shd w:val="clear" w:color="auto" w:fill="76922E"/>
            <w:vAlign w:val="center"/>
            <w:hideMark/>
          </w:tcPr>
          <w:p w:rsidR="007B6477" w:rsidRPr="00352567" w:rsidRDefault="0035256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Valor Traslado</w:t>
            </w:r>
          </w:p>
        </w:tc>
        <w:tc>
          <w:tcPr>
            <w:tcW w:w="0" w:type="auto"/>
            <w:shd w:val="clear" w:color="auto" w:fill="76922E"/>
            <w:vAlign w:val="center"/>
            <w:hideMark/>
          </w:tcPr>
          <w:p w:rsidR="007B6477" w:rsidRPr="00352567" w:rsidRDefault="0035256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Estado</w:t>
            </w:r>
          </w:p>
        </w:tc>
      </w:tr>
      <w:tr w:rsidR="007B6477" w:rsidRPr="00352567" w:rsidTr="00352567">
        <w:trPr>
          <w:trHeight w:val="147"/>
          <w:jc w:val="center"/>
        </w:trPr>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Santander</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Bucaramanga</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José Raquel Mercado</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r w:rsidRPr="00352567">
              <w:rPr>
                <w:rFonts w:eastAsia="Times New Roman" w:cs="Arial"/>
                <w:sz w:val="18"/>
                <w:szCs w:val="18"/>
                <w:lang w:val="es-CO" w:eastAsia="es-CO"/>
              </w:rPr>
              <w:t xml:space="preserve">   $52.256.445,00</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Termi</w:t>
            </w:r>
            <w:r w:rsidR="0012175B">
              <w:rPr>
                <w:rFonts w:eastAsia="Times New Roman" w:cs="Arial"/>
                <w:sz w:val="18"/>
                <w:szCs w:val="18"/>
                <w:lang w:val="es-CO" w:eastAsia="es-CO"/>
              </w:rPr>
              <w:t>nado – En proceso de recibo de o</w:t>
            </w:r>
            <w:r w:rsidRPr="00352567">
              <w:rPr>
                <w:rFonts w:eastAsia="Times New Roman" w:cs="Arial"/>
                <w:sz w:val="18"/>
                <w:szCs w:val="18"/>
                <w:lang w:val="es-CO" w:eastAsia="es-CO"/>
              </w:rPr>
              <w:t>bra.</w:t>
            </w:r>
          </w:p>
        </w:tc>
      </w:tr>
      <w:tr w:rsidR="007B6477" w:rsidRPr="00352567" w:rsidTr="00352567">
        <w:trPr>
          <w:trHeight w:val="127"/>
          <w:jc w:val="center"/>
        </w:trPr>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Bogotá</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Bogotá</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Chiquilines</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r w:rsidRPr="00352567">
              <w:rPr>
                <w:rFonts w:eastAsia="Times New Roman" w:cs="Arial"/>
                <w:sz w:val="18"/>
                <w:szCs w:val="18"/>
                <w:lang w:val="es-CO" w:eastAsia="es-CO"/>
              </w:rPr>
              <w:t xml:space="preserve">       $73.485.234,00</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Termi</w:t>
            </w:r>
            <w:r w:rsidR="0012175B">
              <w:rPr>
                <w:rFonts w:eastAsia="Times New Roman" w:cs="Arial"/>
                <w:sz w:val="18"/>
                <w:szCs w:val="18"/>
                <w:lang w:val="es-CO" w:eastAsia="es-CO"/>
              </w:rPr>
              <w:t>nado – En proceso de recibo de o</w:t>
            </w:r>
            <w:r w:rsidRPr="00352567">
              <w:rPr>
                <w:rFonts w:eastAsia="Times New Roman" w:cs="Arial"/>
                <w:sz w:val="18"/>
                <w:szCs w:val="18"/>
                <w:lang w:val="es-CO" w:eastAsia="es-CO"/>
              </w:rPr>
              <w:t>bra.</w:t>
            </w:r>
          </w:p>
        </w:tc>
      </w:tr>
      <w:tr w:rsidR="007B6477" w:rsidRPr="00352567" w:rsidTr="00352567">
        <w:trPr>
          <w:trHeight w:val="115"/>
          <w:jc w:val="center"/>
        </w:trPr>
        <w:tc>
          <w:tcPr>
            <w:tcW w:w="0" w:type="auto"/>
            <w:vMerge w:val="restart"/>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Cauca</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Santander de Quilichao</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Santa Inés</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r w:rsidRPr="00352567">
              <w:rPr>
                <w:rFonts w:eastAsia="Times New Roman" w:cs="Arial"/>
                <w:sz w:val="18"/>
                <w:szCs w:val="18"/>
                <w:lang w:val="es-CO" w:eastAsia="es-CO"/>
              </w:rPr>
              <w:t xml:space="preserve">      $84.011.612,00</w:t>
            </w:r>
          </w:p>
        </w:tc>
        <w:tc>
          <w:tcPr>
            <w:tcW w:w="0" w:type="auto"/>
            <w:vMerge w:val="restart"/>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Terminado – En proceso de re</w:t>
            </w:r>
            <w:r w:rsidR="0012175B">
              <w:rPr>
                <w:rFonts w:eastAsia="Times New Roman" w:cs="Arial"/>
                <w:sz w:val="18"/>
                <w:szCs w:val="18"/>
                <w:lang w:val="es-CO" w:eastAsia="es-CO"/>
              </w:rPr>
              <w:t>cibo de o</w:t>
            </w:r>
            <w:r w:rsidRPr="00352567">
              <w:rPr>
                <w:rFonts w:eastAsia="Times New Roman" w:cs="Arial"/>
                <w:sz w:val="18"/>
                <w:szCs w:val="18"/>
                <w:lang w:val="es-CO" w:eastAsia="es-CO"/>
              </w:rPr>
              <w:t>bra.</w:t>
            </w:r>
          </w:p>
        </w:tc>
      </w:tr>
      <w:tr w:rsidR="007B6477" w:rsidRPr="00352567" w:rsidTr="00352567">
        <w:trPr>
          <w:trHeight w:val="50"/>
          <w:jc w:val="center"/>
        </w:trPr>
        <w:tc>
          <w:tcPr>
            <w:tcW w:w="0" w:type="auto"/>
            <w:vMerge/>
            <w:vAlign w:val="center"/>
            <w:hideMark/>
          </w:tcPr>
          <w:p w:rsidR="007B6477" w:rsidRPr="00352567" w:rsidRDefault="007B6477" w:rsidP="00751035">
            <w:pPr>
              <w:rPr>
                <w:rFonts w:cs="Arial"/>
                <w:sz w:val="18"/>
                <w:szCs w:val="18"/>
                <w:lang w:eastAsia="es-CO"/>
              </w:rPr>
            </w:pP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Popayán</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Duendecillos</w:t>
            </w:r>
          </w:p>
        </w:tc>
        <w:tc>
          <w:tcPr>
            <w:tcW w:w="0" w:type="auto"/>
            <w:shd w:val="clear" w:color="auto" w:fill="auto"/>
            <w:vAlign w:val="center"/>
            <w:hideMark/>
          </w:tcPr>
          <w:p w:rsidR="007B6477" w:rsidRPr="00352567" w:rsidRDefault="007B6477" w:rsidP="00352567">
            <w:pPr>
              <w:jc w:val="right"/>
              <w:rPr>
                <w:rFonts w:cs="Arial"/>
                <w:sz w:val="18"/>
                <w:szCs w:val="18"/>
                <w:lang w:eastAsia="es-CO"/>
              </w:rPr>
            </w:pPr>
            <w:r w:rsidRPr="00352567">
              <w:rPr>
                <w:rFonts w:cs="Arial"/>
                <w:sz w:val="18"/>
                <w:szCs w:val="18"/>
                <w:lang w:eastAsia="es-CO"/>
              </w:rPr>
              <w:t xml:space="preserve">       $51.442.343,00</w:t>
            </w:r>
          </w:p>
        </w:tc>
        <w:tc>
          <w:tcPr>
            <w:tcW w:w="0" w:type="auto"/>
            <w:vMerge/>
            <w:vAlign w:val="center"/>
            <w:hideMark/>
          </w:tcPr>
          <w:p w:rsidR="007B6477" w:rsidRPr="00352567" w:rsidRDefault="007B6477" w:rsidP="00751035">
            <w:pPr>
              <w:rPr>
                <w:rFonts w:cs="Arial"/>
                <w:sz w:val="18"/>
                <w:szCs w:val="18"/>
                <w:lang w:eastAsia="es-CO"/>
              </w:rPr>
            </w:pPr>
          </w:p>
        </w:tc>
      </w:tr>
      <w:tr w:rsidR="007B6477" w:rsidRPr="00352567" w:rsidTr="00352567">
        <w:trPr>
          <w:trHeight w:val="155"/>
          <w:jc w:val="center"/>
        </w:trPr>
        <w:tc>
          <w:tcPr>
            <w:tcW w:w="0" w:type="auto"/>
            <w:vMerge w:val="restart"/>
            <w:shd w:val="clear" w:color="auto" w:fill="auto"/>
            <w:vAlign w:val="center"/>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Caquetá</w:t>
            </w:r>
          </w:p>
        </w:tc>
        <w:tc>
          <w:tcPr>
            <w:tcW w:w="0" w:type="auto"/>
            <w:shd w:val="clear" w:color="auto" w:fill="auto"/>
            <w:vAlign w:val="center"/>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Montañita</w:t>
            </w:r>
          </w:p>
        </w:tc>
        <w:tc>
          <w:tcPr>
            <w:tcW w:w="0" w:type="auto"/>
            <w:shd w:val="clear" w:color="auto" w:fill="auto"/>
            <w:vAlign w:val="center"/>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Montañita</w:t>
            </w:r>
          </w:p>
        </w:tc>
        <w:tc>
          <w:tcPr>
            <w:tcW w:w="0" w:type="auto"/>
            <w:vMerge w:val="restart"/>
            <w:shd w:val="clear" w:color="auto" w:fill="auto"/>
            <w:vAlign w:val="center"/>
          </w:tcPr>
          <w:p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p>
          <w:p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r w:rsidRPr="00352567">
              <w:rPr>
                <w:rFonts w:eastAsia="Times New Roman" w:cs="Arial"/>
                <w:sz w:val="18"/>
                <w:szCs w:val="18"/>
                <w:lang w:val="es-CO" w:eastAsia="es-CO"/>
              </w:rPr>
              <w:t xml:space="preserve">   $198.138.425,00</w:t>
            </w:r>
          </w:p>
          <w:p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p>
        </w:tc>
        <w:tc>
          <w:tcPr>
            <w:tcW w:w="0" w:type="auto"/>
            <w:vMerge w:val="restart"/>
            <w:shd w:val="clear" w:color="auto" w:fill="auto"/>
            <w:vAlign w:val="center"/>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Termi</w:t>
            </w:r>
            <w:r w:rsidR="0012175B">
              <w:rPr>
                <w:rFonts w:eastAsia="Times New Roman" w:cs="Arial"/>
                <w:sz w:val="18"/>
                <w:szCs w:val="18"/>
                <w:lang w:val="es-CO" w:eastAsia="es-CO"/>
              </w:rPr>
              <w:t>nado – En proceso de recibo de o</w:t>
            </w:r>
            <w:r w:rsidRPr="00352567">
              <w:rPr>
                <w:rFonts w:eastAsia="Times New Roman" w:cs="Arial"/>
                <w:sz w:val="18"/>
                <w:szCs w:val="18"/>
                <w:lang w:val="es-CO" w:eastAsia="es-CO"/>
              </w:rPr>
              <w:t>bra.</w:t>
            </w:r>
          </w:p>
        </w:tc>
      </w:tr>
      <w:tr w:rsidR="007B6477" w:rsidRPr="00352567" w:rsidTr="00352567">
        <w:trPr>
          <w:trHeight w:val="155"/>
          <w:jc w:val="center"/>
        </w:trPr>
        <w:tc>
          <w:tcPr>
            <w:tcW w:w="0" w:type="auto"/>
            <w:vMerge/>
            <w:shd w:val="clear" w:color="auto" w:fill="auto"/>
            <w:vAlign w:val="center"/>
            <w:hideMark/>
          </w:tcPr>
          <w:p w:rsidR="007B6477" w:rsidRPr="00352567" w:rsidRDefault="007B6477" w:rsidP="00751035">
            <w:pPr>
              <w:rPr>
                <w:rFonts w:cs="Arial"/>
                <w:sz w:val="18"/>
                <w:szCs w:val="18"/>
                <w:lang w:eastAsia="es-CO"/>
              </w:rPr>
            </w:pP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Florencia</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Los Olivos</w:t>
            </w:r>
          </w:p>
        </w:tc>
        <w:tc>
          <w:tcPr>
            <w:tcW w:w="0" w:type="auto"/>
            <w:vMerge/>
            <w:shd w:val="clear" w:color="auto" w:fill="auto"/>
            <w:vAlign w:val="center"/>
            <w:hideMark/>
          </w:tcPr>
          <w:p w:rsidR="007B6477" w:rsidRPr="00352567" w:rsidRDefault="007B6477" w:rsidP="00352567">
            <w:pPr>
              <w:jc w:val="right"/>
              <w:rPr>
                <w:rFonts w:cs="Arial"/>
                <w:sz w:val="18"/>
                <w:szCs w:val="18"/>
                <w:lang w:eastAsia="es-CO"/>
              </w:rPr>
            </w:pPr>
          </w:p>
        </w:tc>
        <w:tc>
          <w:tcPr>
            <w:tcW w:w="0" w:type="auto"/>
            <w:vMerge/>
            <w:shd w:val="clear" w:color="auto" w:fill="auto"/>
            <w:vAlign w:val="center"/>
            <w:hideMark/>
          </w:tcPr>
          <w:p w:rsidR="007B6477" w:rsidRPr="00352567" w:rsidRDefault="007B6477" w:rsidP="00751035">
            <w:pPr>
              <w:rPr>
                <w:rFonts w:cs="Arial"/>
                <w:sz w:val="18"/>
                <w:szCs w:val="18"/>
                <w:lang w:eastAsia="es-CO"/>
              </w:rPr>
            </w:pPr>
          </w:p>
        </w:tc>
      </w:tr>
      <w:tr w:rsidR="007B6477" w:rsidRPr="00352567" w:rsidTr="00352567">
        <w:trPr>
          <w:trHeight w:val="147"/>
          <w:jc w:val="center"/>
        </w:trPr>
        <w:tc>
          <w:tcPr>
            <w:tcW w:w="0" w:type="auto"/>
            <w:vMerge/>
            <w:vAlign w:val="center"/>
            <w:hideMark/>
          </w:tcPr>
          <w:p w:rsidR="007B6477" w:rsidRPr="00352567" w:rsidRDefault="007B6477" w:rsidP="00751035">
            <w:pPr>
              <w:rPr>
                <w:rFonts w:cs="Arial"/>
                <w:sz w:val="18"/>
                <w:szCs w:val="18"/>
                <w:lang w:eastAsia="es-CO"/>
              </w:rPr>
            </w:pP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Florencia</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La Esperanza</w:t>
            </w:r>
          </w:p>
        </w:tc>
        <w:tc>
          <w:tcPr>
            <w:tcW w:w="0" w:type="auto"/>
            <w:vMerge/>
            <w:shd w:val="clear" w:color="auto" w:fill="auto"/>
            <w:vAlign w:val="center"/>
            <w:hideMark/>
          </w:tcPr>
          <w:p w:rsidR="007B6477" w:rsidRPr="00352567" w:rsidRDefault="007B6477" w:rsidP="00352567">
            <w:pPr>
              <w:jc w:val="right"/>
              <w:rPr>
                <w:rFonts w:cs="Arial"/>
                <w:sz w:val="18"/>
                <w:szCs w:val="18"/>
                <w:lang w:eastAsia="es-CO"/>
              </w:rPr>
            </w:pPr>
          </w:p>
        </w:tc>
        <w:tc>
          <w:tcPr>
            <w:tcW w:w="0" w:type="auto"/>
            <w:vMerge/>
            <w:vAlign w:val="center"/>
            <w:hideMark/>
          </w:tcPr>
          <w:p w:rsidR="007B6477" w:rsidRPr="00352567" w:rsidRDefault="007B6477" w:rsidP="00751035">
            <w:pPr>
              <w:rPr>
                <w:rFonts w:cs="Arial"/>
                <w:sz w:val="18"/>
                <w:szCs w:val="18"/>
                <w:lang w:eastAsia="es-CO"/>
              </w:rPr>
            </w:pPr>
          </w:p>
        </w:tc>
      </w:tr>
      <w:tr w:rsidR="007B6477" w:rsidRPr="00352567" w:rsidTr="00352567">
        <w:trPr>
          <w:trHeight w:val="135"/>
          <w:jc w:val="center"/>
        </w:trPr>
        <w:tc>
          <w:tcPr>
            <w:tcW w:w="0" w:type="auto"/>
            <w:vMerge/>
            <w:vAlign w:val="center"/>
            <w:hideMark/>
          </w:tcPr>
          <w:p w:rsidR="007B6477" w:rsidRPr="00352567" w:rsidRDefault="007B6477" w:rsidP="00751035">
            <w:pPr>
              <w:rPr>
                <w:rFonts w:cs="Arial"/>
                <w:sz w:val="18"/>
                <w:szCs w:val="18"/>
                <w:lang w:eastAsia="es-CO"/>
              </w:rPr>
            </w:pPr>
          </w:p>
        </w:tc>
        <w:tc>
          <w:tcPr>
            <w:tcW w:w="0" w:type="auto"/>
            <w:shd w:val="clear" w:color="auto" w:fill="auto"/>
            <w:vAlign w:val="center"/>
            <w:hideMark/>
          </w:tcPr>
          <w:p w:rsidR="007B6477" w:rsidRPr="00352567" w:rsidRDefault="00352567" w:rsidP="00352567">
            <w:pPr>
              <w:spacing w:before="100" w:beforeAutospacing="1" w:after="100" w:afterAutospacing="1" w:line="240" w:lineRule="auto"/>
              <w:jc w:val="both"/>
              <w:rPr>
                <w:rFonts w:eastAsia="Times New Roman" w:cs="Arial"/>
                <w:sz w:val="18"/>
                <w:szCs w:val="18"/>
                <w:lang w:val="es-CO" w:eastAsia="es-CO"/>
              </w:rPr>
            </w:pPr>
            <w:r>
              <w:rPr>
                <w:rFonts w:eastAsia="Times New Roman" w:cs="Arial"/>
                <w:sz w:val="18"/>
                <w:szCs w:val="18"/>
                <w:lang w:val="es-CO" w:eastAsia="es-CO"/>
              </w:rPr>
              <w:t>San José de F</w:t>
            </w:r>
            <w:r w:rsidR="007B6477" w:rsidRPr="00352567">
              <w:rPr>
                <w:rFonts w:eastAsia="Times New Roman" w:cs="Arial"/>
                <w:sz w:val="18"/>
                <w:szCs w:val="18"/>
                <w:lang w:val="es-CO" w:eastAsia="es-CO"/>
              </w:rPr>
              <w:t>ragua</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San José de Fragua</w:t>
            </w:r>
          </w:p>
        </w:tc>
        <w:tc>
          <w:tcPr>
            <w:tcW w:w="0" w:type="auto"/>
            <w:vMerge/>
            <w:shd w:val="clear" w:color="auto" w:fill="auto"/>
            <w:vAlign w:val="center"/>
            <w:hideMark/>
          </w:tcPr>
          <w:p w:rsidR="007B6477" w:rsidRPr="00352567" w:rsidRDefault="007B6477" w:rsidP="00352567">
            <w:pPr>
              <w:jc w:val="right"/>
              <w:rPr>
                <w:rFonts w:cs="Arial"/>
                <w:sz w:val="18"/>
                <w:szCs w:val="18"/>
                <w:lang w:eastAsia="es-CO"/>
              </w:rPr>
            </w:pPr>
          </w:p>
        </w:tc>
        <w:tc>
          <w:tcPr>
            <w:tcW w:w="0" w:type="auto"/>
            <w:vMerge/>
            <w:vAlign w:val="center"/>
            <w:hideMark/>
          </w:tcPr>
          <w:p w:rsidR="007B6477" w:rsidRPr="00352567" w:rsidRDefault="007B6477" w:rsidP="00751035">
            <w:pPr>
              <w:rPr>
                <w:rFonts w:cs="Arial"/>
                <w:sz w:val="18"/>
                <w:szCs w:val="18"/>
                <w:lang w:eastAsia="es-CO"/>
              </w:rPr>
            </w:pPr>
          </w:p>
        </w:tc>
      </w:tr>
      <w:tr w:rsidR="007B6477" w:rsidRPr="00352567" w:rsidTr="00352567">
        <w:trPr>
          <w:trHeight w:val="139"/>
          <w:jc w:val="center"/>
        </w:trPr>
        <w:tc>
          <w:tcPr>
            <w:tcW w:w="0" w:type="auto"/>
            <w:vMerge/>
            <w:vAlign w:val="center"/>
            <w:hideMark/>
          </w:tcPr>
          <w:p w:rsidR="007B6477" w:rsidRPr="00352567" w:rsidRDefault="007B6477" w:rsidP="00751035">
            <w:pPr>
              <w:rPr>
                <w:rFonts w:cs="Arial"/>
                <w:sz w:val="18"/>
                <w:szCs w:val="18"/>
                <w:lang w:eastAsia="es-CO"/>
              </w:rPr>
            </w:pP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San Vicente del Caguan</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Luis Alberto Fierro</w:t>
            </w:r>
          </w:p>
        </w:tc>
        <w:tc>
          <w:tcPr>
            <w:tcW w:w="0" w:type="auto"/>
            <w:vMerge/>
            <w:shd w:val="clear" w:color="auto" w:fill="auto"/>
            <w:vAlign w:val="center"/>
            <w:hideMark/>
          </w:tcPr>
          <w:p w:rsidR="007B6477" w:rsidRPr="00352567" w:rsidRDefault="007B6477" w:rsidP="00352567">
            <w:pPr>
              <w:jc w:val="right"/>
              <w:rPr>
                <w:rFonts w:cs="Arial"/>
                <w:sz w:val="18"/>
                <w:szCs w:val="18"/>
                <w:lang w:eastAsia="es-CO"/>
              </w:rPr>
            </w:pPr>
          </w:p>
        </w:tc>
        <w:tc>
          <w:tcPr>
            <w:tcW w:w="0" w:type="auto"/>
            <w:vMerge/>
            <w:vAlign w:val="center"/>
            <w:hideMark/>
          </w:tcPr>
          <w:p w:rsidR="007B6477" w:rsidRPr="00352567" w:rsidRDefault="007B6477" w:rsidP="00751035">
            <w:pPr>
              <w:rPr>
                <w:rFonts w:cs="Arial"/>
                <w:sz w:val="18"/>
                <w:szCs w:val="18"/>
                <w:lang w:eastAsia="es-CO"/>
              </w:rPr>
            </w:pPr>
          </w:p>
        </w:tc>
      </w:tr>
      <w:tr w:rsidR="007B6477" w:rsidRPr="00352567" w:rsidTr="00352567">
        <w:trPr>
          <w:trHeight w:val="227"/>
          <w:jc w:val="center"/>
        </w:trPr>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Antioquia</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Urrao</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Pilatunas</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r w:rsidRPr="00352567">
              <w:rPr>
                <w:rFonts w:eastAsia="Times New Roman" w:cs="Arial"/>
                <w:sz w:val="18"/>
                <w:szCs w:val="18"/>
                <w:lang w:val="es-CO" w:eastAsia="es-CO"/>
              </w:rPr>
              <w:t xml:space="preserve">    $168.519.133,00</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Termi</w:t>
            </w:r>
            <w:r w:rsidR="0012175B">
              <w:rPr>
                <w:rFonts w:eastAsia="Times New Roman" w:cs="Arial"/>
                <w:sz w:val="18"/>
                <w:szCs w:val="18"/>
                <w:lang w:val="es-CO" w:eastAsia="es-CO"/>
              </w:rPr>
              <w:t>nado – En proceso de recibo de o</w:t>
            </w:r>
            <w:r w:rsidRPr="00352567">
              <w:rPr>
                <w:rFonts w:eastAsia="Times New Roman" w:cs="Arial"/>
                <w:sz w:val="18"/>
                <w:szCs w:val="18"/>
                <w:lang w:val="es-CO" w:eastAsia="es-CO"/>
              </w:rPr>
              <w:t>bra.</w:t>
            </w:r>
          </w:p>
        </w:tc>
      </w:tr>
      <w:tr w:rsidR="007B6477" w:rsidRPr="00352567" w:rsidTr="00352567">
        <w:trPr>
          <w:trHeight w:val="142"/>
          <w:jc w:val="center"/>
        </w:trPr>
        <w:tc>
          <w:tcPr>
            <w:tcW w:w="0" w:type="auto"/>
            <w:vMerge w:val="restart"/>
            <w:shd w:val="clear" w:color="auto" w:fill="auto"/>
            <w:vAlign w:val="center"/>
            <w:hideMark/>
          </w:tcPr>
          <w:p w:rsidR="007B6477" w:rsidRPr="00352567" w:rsidRDefault="007B6477" w:rsidP="00751035">
            <w:pPr>
              <w:rPr>
                <w:rFonts w:cs="Arial"/>
                <w:sz w:val="18"/>
                <w:szCs w:val="18"/>
                <w:lang w:eastAsia="es-CO"/>
              </w:rPr>
            </w:pPr>
            <w:r w:rsidRPr="00352567">
              <w:rPr>
                <w:rFonts w:cs="Arial"/>
                <w:sz w:val="18"/>
                <w:szCs w:val="18"/>
                <w:lang w:eastAsia="es-CO"/>
              </w:rPr>
              <w:t>Atlántico</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Baraona</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Baraona</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r w:rsidRPr="00352567">
              <w:rPr>
                <w:rFonts w:eastAsia="Times New Roman" w:cs="Arial"/>
                <w:sz w:val="18"/>
                <w:szCs w:val="18"/>
                <w:lang w:val="es-CO" w:eastAsia="es-CO"/>
              </w:rPr>
              <w:t xml:space="preserve">     $100.013.151,00</w:t>
            </w:r>
          </w:p>
        </w:tc>
        <w:tc>
          <w:tcPr>
            <w:tcW w:w="0" w:type="auto"/>
            <w:vMerge w:val="restart"/>
            <w:shd w:val="clear" w:color="auto" w:fill="auto"/>
            <w:vAlign w:val="center"/>
            <w:hideMark/>
          </w:tcPr>
          <w:p w:rsidR="007B6477" w:rsidRPr="00352567" w:rsidRDefault="007B6477" w:rsidP="00751035">
            <w:pPr>
              <w:rPr>
                <w:rFonts w:eastAsia="Times New Roman" w:cs="Arial"/>
                <w:sz w:val="18"/>
                <w:szCs w:val="18"/>
                <w:lang w:val="es-CO" w:eastAsia="es-CO"/>
              </w:rPr>
            </w:pPr>
            <w:r w:rsidRPr="00352567">
              <w:rPr>
                <w:rFonts w:eastAsia="Times New Roman" w:cs="Arial"/>
                <w:sz w:val="18"/>
                <w:szCs w:val="18"/>
                <w:lang w:val="es-CO" w:eastAsia="es-CO"/>
              </w:rPr>
              <w:t>Termi</w:t>
            </w:r>
            <w:r w:rsidR="0012175B">
              <w:rPr>
                <w:rFonts w:eastAsia="Times New Roman" w:cs="Arial"/>
                <w:sz w:val="18"/>
                <w:szCs w:val="18"/>
                <w:lang w:val="es-CO" w:eastAsia="es-CO"/>
              </w:rPr>
              <w:t>nado – En proceso de recibo de o</w:t>
            </w:r>
            <w:r w:rsidRPr="00352567">
              <w:rPr>
                <w:rFonts w:eastAsia="Times New Roman" w:cs="Arial"/>
                <w:sz w:val="18"/>
                <w:szCs w:val="18"/>
                <w:lang w:val="es-CO" w:eastAsia="es-CO"/>
              </w:rPr>
              <w:t>bra.</w:t>
            </w:r>
          </w:p>
        </w:tc>
      </w:tr>
      <w:tr w:rsidR="007B6477" w:rsidRPr="00352567" w:rsidTr="00352567">
        <w:trPr>
          <w:trHeight w:val="139"/>
          <w:jc w:val="center"/>
        </w:trPr>
        <w:tc>
          <w:tcPr>
            <w:tcW w:w="0" w:type="auto"/>
            <w:vMerge/>
            <w:vAlign w:val="center"/>
            <w:hideMark/>
          </w:tcPr>
          <w:p w:rsidR="007B6477" w:rsidRPr="00352567" w:rsidRDefault="007B6477" w:rsidP="00751035">
            <w:pPr>
              <w:rPr>
                <w:rFonts w:cs="Arial"/>
                <w:sz w:val="18"/>
                <w:szCs w:val="18"/>
                <w:lang w:eastAsia="es-CO"/>
              </w:rPr>
            </w:pP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Sabanalarga</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Getsemaní</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r w:rsidRPr="00352567">
              <w:rPr>
                <w:rFonts w:eastAsia="Times New Roman" w:cs="Arial"/>
                <w:sz w:val="18"/>
                <w:szCs w:val="18"/>
                <w:lang w:val="es-CO" w:eastAsia="es-CO"/>
              </w:rPr>
              <w:t xml:space="preserve">      $57.750.000,00</w:t>
            </w:r>
          </w:p>
        </w:tc>
        <w:tc>
          <w:tcPr>
            <w:tcW w:w="0" w:type="auto"/>
            <w:vMerge/>
            <w:vAlign w:val="center"/>
            <w:hideMark/>
          </w:tcPr>
          <w:p w:rsidR="007B6477" w:rsidRPr="00352567" w:rsidRDefault="007B6477" w:rsidP="00751035">
            <w:pPr>
              <w:rPr>
                <w:rFonts w:eastAsia="Times New Roman" w:cs="Arial"/>
                <w:sz w:val="18"/>
                <w:szCs w:val="18"/>
                <w:lang w:val="es-CO" w:eastAsia="es-CO"/>
              </w:rPr>
            </w:pPr>
          </w:p>
        </w:tc>
      </w:tr>
      <w:tr w:rsidR="007B6477" w:rsidRPr="00352567" w:rsidTr="00352567">
        <w:trPr>
          <w:trHeight w:val="167"/>
          <w:jc w:val="center"/>
        </w:trPr>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Norte de Santander</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Toledo</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Cafeteritos</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$ 30.000.000,00</w:t>
            </w:r>
          </w:p>
        </w:tc>
        <w:tc>
          <w:tcPr>
            <w:tcW w:w="0" w:type="auto"/>
            <w:shd w:val="clear" w:color="auto" w:fill="auto"/>
            <w:noWrap/>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Termi</w:t>
            </w:r>
            <w:r w:rsidR="0012175B">
              <w:rPr>
                <w:rFonts w:eastAsia="Times New Roman" w:cs="Arial"/>
                <w:sz w:val="18"/>
                <w:szCs w:val="18"/>
                <w:lang w:val="es-CO" w:eastAsia="es-CO"/>
              </w:rPr>
              <w:t>nado – En proceso de recibo de o</w:t>
            </w:r>
            <w:r w:rsidRPr="00352567">
              <w:rPr>
                <w:rFonts w:eastAsia="Times New Roman" w:cs="Arial"/>
                <w:sz w:val="18"/>
                <w:szCs w:val="18"/>
                <w:lang w:val="es-CO" w:eastAsia="es-CO"/>
              </w:rPr>
              <w:t>bra.</w:t>
            </w:r>
          </w:p>
        </w:tc>
      </w:tr>
      <w:tr w:rsidR="007B6477" w:rsidRPr="00352567" w:rsidTr="00352567">
        <w:trPr>
          <w:trHeight w:val="50"/>
          <w:jc w:val="center"/>
        </w:trPr>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Nariño</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Sandona</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Las Mercedes</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 xml:space="preserve">      185.778.700,00</w:t>
            </w:r>
          </w:p>
        </w:tc>
        <w:tc>
          <w:tcPr>
            <w:tcW w:w="0" w:type="auto"/>
            <w:shd w:val="clear" w:color="auto" w:fill="auto"/>
            <w:noWrap/>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Termi</w:t>
            </w:r>
            <w:r w:rsidR="0012175B">
              <w:rPr>
                <w:rFonts w:eastAsia="Times New Roman" w:cs="Arial"/>
                <w:sz w:val="18"/>
                <w:szCs w:val="18"/>
                <w:lang w:val="es-CO" w:eastAsia="es-CO"/>
              </w:rPr>
              <w:t>nado – En proceso de recibo de o</w:t>
            </w:r>
            <w:r w:rsidRPr="00352567">
              <w:rPr>
                <w:rFonts w:eastAsia="Times New Roman" w:cs="Arial"/>
                <w:sz w:val="18"/>
                <w:szCs w:val="18"/>
                <w:lang w:val="es-CO" w:eastAsia="es-CO"/>
              </w:rPr>
              <w:t>bra.</w:t>
            </w:r>
          </w:p>
        </w:tc>
      </w:tr>
      <w:tr w:rsidR="007B6477" w:rsidRPr="00352567" w:rsidTr="00352567">
        <w:trPr>
          <w:trHeight w:val="121"/>
          <w:jc w:val="center"/>
        </w:trPr>
        <w:tc>
          <w:tcPr>
            <w:tcW w:w="0" w:type="auto"/>
            <w:shd w:val="clear" w:color="auto" w:fill="76922E"/>
            <w:vAlign w:val="center"/>
            <w:hideMark/>
          </w:tcPr>
          <w:p w:rsidR="007B6477" w:rsidRPr="00352567" w:rsidRDefault="0035256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Regional</w:t>
            </w:r>
          </w:p>
        </w:tc>
        <w:tc>
          <w:tcPr>
            <w:tcW w:w="0" w:type="auto"/>
            <w:shd w:val="clear" w:color="auto" w:fill="76922E"/>
            <w:vAlign w:val="center"/>
            <w:hideMark/>
          </w:tcPr>
          <w:p w:rsidR="007B6477" w:rsidRPr="00352567" w:rsidRDefault="0035256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Municipio</w:t>
            </w:r>
          </w:p>
        </w:tc>
        <w:tc>
          <w:tcPr>
            <w:tcW w:w="0" w:type="auto"/>
            <w:shd w:val="clear" w:color="auto" w:fill="76922E"/>
            <w:vAlign w:val="center"/>
            <w:hideMark/>
          </w:tcPr>
          <w:p w:rsidR="007B6477" w:rsidRPr="00352567" w:rsidRDefault="0035256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Hogar Infantil</w:t>
            </w:r>
          </w:p>
        </w:tc>
        <w:tc>
          <w:tcPr>
            <w:tcW w:w="0" w:type="auto"/>
            <w:shd w:val="clear" w:color="auto" w:fill="76922E"/>
            <w:vAlign w:val="center"/>
            <w:hideMark/>
          </w:tcPr>
          <w:p w:rsidR="007B6477" w:rsidRPr="00352567" w:rsidRDefault="0035256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Valor Traslado</w:t>
            </w:r>
          </w:p>
        </w:tc>
        <w:tc>
          <w:tcPr>
            <w:tcW w:w="0" w:type="auto"/>
            <w:shd w:val="clear" w:color="auto" w:fill="76922E"/>
            <w:vAlign w:val="center"/>
            <w:hideMark/>
          </w:tcPr>
          <w:p w:rsidR="007B6477" w:rsidRPr="00352567" w:rsidRDefault="00352567" w:rsidP="00352567">
            <w:pPr>
              <w:spacing w:before="100" w:beforeAutospacing="1" w:after="100" w:afterAutospacing="1" w:line="240" w:lineRule="auto"/>
              <w:jc w:val="center"/>
              <w:rPr>
                <w:rFonts w:eastAsia="Times New Roman" w:cs="Arial"/>
                <w:b/>
                <w:bCs/>
                <w:color w:val="FFFFFF" w:themeColor="background1"/>
                <w:sz w:val="18"/>
                <w:szCs w:val="18"/>
                <w:lang w:eastAsia="es-ES"/>
              </w:rPr>
            </w:pPr>
            <w:r w:rsidRPr="00352567">
              <w:rPr>
                <w:rFonts w:eastAsia="Times New Roman" w:cs="Arial"/>
                <w:b/>
                <w:bCs/>
                <w:color w:val="FFFFFF" w:themeColor="background1"/>
                <w:sz w:val="18"/>
                <w:szCs w:val="18"/>
                <w:lang w:eastAsia="es-ES"/>
              </w:rPr>
              <w:t>Estado</w:t>
            </w:r>
          </w:p>
        </w:tc>
      </w:tr>
      <w:tr w:rsidR="007B6477" w:rsidRPr="00352567" w:rsidTr="00352567">
        <w:trPr>
          <w:trHeight w:val="211"/>
          <w:jc w:val="center"/>
        </w:trPr>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lastRenderedPageBreak/>
              <w:t>Risaralda</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Pereira</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Otún 1</w:t>
            </w:r>
            <w:r w:rsidRPr="00352567">
              <w:rPr>
                <w:rFonts w:eastAsia="Times New Roman" w:cs="Arial"/>
                <w:sz w:val="18"/>
                <w:szCs w:val="18"/>
                <w:lang w:val="es-CO" w:eastAsia="es-CO"/>
              </w:rPr>
              <w:br/>
              <w:t>Otún 2</w:t>
            </w:r>
            <w:r w:rsidRPr="00352567">
              <w:rPr>
                <w:rFonts w:eastAsia="Times New Roman" w:cs="Arial"/>
                <w:sz w:val="18"/>
                <w:szCs w:val="18"/>
                <w:lang w:val="es-CO" w:eastAsia="es-CO"/>
              </w:rPr>
              <w:br/>
              <w:t>Caperucita</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r w:rsidRPr="00352567">
              <w:rPr>
                <w:rFonts w:eastAsia="Times New Roman" w:cs="Arial"/>
                <w:sz w:val="18"/>
                <w:szCs w:val="18"/>
                <w:lang w:val="es-CO" w:eastAsia="es-CO"/>
              </w:rPr>
              <w:t xml:space="preserve">      $64.921.686,00</w:t>
            </w:r>
          </w:p>
        </w:tc>
        <w:tc>
          <w:tcPr>
            <w:tcW w:w="0" w:type="auto"/>
            <w:shd w:val="clear" w:color="auto" w:fill="auto"/>
            <w:noWrap/>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Terminado</w:t>
            </w:r>
          </w:p>
        </w:tc>
      </w:tr>
      <w:tr w:rsidR="007B6477" w:rsidRPr="00352567" w:rsidTr="00352567">
        <w:trPr>
          <w:trHeight w:val="163"/>
          <w:jc w:val="center"/>
        </w:trPr>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Caldas</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Manizales</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Los Ositos</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r w:rsidRPr="00352567">
              <w:rPr>
                <w:rFonts w:eastAsia="Times New Roman" w:cs="Arial"/>
                <w:sz w:val="18"/>
                <w:szCs w:val="18"/>
                <w:lang w:val="es-CO" w:eastAsia="es-CO"/>
              </w:rPr>
              <w:t>$17.730.856,00</w:t>
            </w:r>
          </w:p>
        </w:tc>
        <w:tc>
          <w:tcPr>
            <w:tcW w:w="0" w:type="auto"/>
            <w:shd w:val="clear" w:color="auto" w:fill="auto"/>
            <w:noWrap/>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Terminado</w:t>
            </w:r>
          </w:p>
        </w:tc>
      </w:tr>
      <w:tr w:rsidR="007B6477" w:rsidRPr="00352567" w:rsidTr="00352567">
        <w:trPr>
          <w:trHeight w:val="155"/>
          <w:jc w:val="center"/>
        </w:trPr>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Meta</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Villavicencio</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20 de Julio</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r w:rsidRPr="00352567">
              <w:rPr>
                <w:rFonts w:eastAsia="Times New Roman" w:cs="Arial"/>
                <w:sz w:val="18"/>
                <w:szCs w:val="18"/>
                <w:lang w:val="es-CO" w:eastAsia="es-CO"/>
              </w:rPr>
              <w:t xml:space="preserve">  $81.130.630,00</w:t>
            </w:r>
          </w:p>
        </w:tc>
        <w:tc>
          <w:tcPr>
            <w:tcW w:w="0" w:type="auto"/>
            <w:shd w:val="clear" w:color="auto" w:fill="auto"/>
            <w:noWrap/>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Terminado – En proceso de recibo de Obra.</w:t>
            </w:r>
          </w:p>
        </w:tc>
      </w:tr>
      <w:tr w:rsidR="007B6477" w:rsidRPr="00352567" w:rsidTr="00352567">
        <w:trPr>
          <w:trHeight w:val="152"/>
          <w:jc w:val="center"/>
        </w:trPr>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Guajira</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Riohacha</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San Judas Tadeo</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r w:rsidRPr="00352567">
              <w:rPr>
                <w:rFonts w:eastAsia="Times New Roman" w:cs="Arial"/>
                <w:sz w:val="18"/>
                <w:szCs w:val="18"/>
                <w:lang w:val="es-CO" w:eastAsia="es-CO"/>
              </w:rPr>
              <w:t xml:space="preserve">     $12.000.000,00</w:t>
            </w:r>
          </w:p>
        </w:tc>
        <w:tc>
          <w:tcPr>
            <w:tcW w:w="0" w:type="auto"/>
            <w:shd w:val="clear" w:color="auto" w:fill="auto"/>
            <w:noWrap/>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Terminado</w:t>
            </w:r>
          </w:p>
        </w:tc>
      </w:tr>
      <w:tr w:rsidR="007B6477" w:rsidRPr="00352567" w:rsidTr="00352567">
        <w:trPr>
          <w:trHeight w:val="77"/>
          <w:jc w:val="center"/>
        </w:trPr>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Quindío</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Filandia</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CDI La Colina</w:t>
            </w:r>
          </w:p>
        </w:tc>
        <w:tc>
          <w:tcPr>
            <w:tcW w:w="0" w:type="auto"/>
            <w:shd w:val="clear" w:color="auto" w:fill="auto"/>
            <w:noWrap/>
            <w:vAlign w:val="center"/>
            <w:hideMark/>
          </w:tcPr>
          <w:p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r w:rsidRPr="00352567">
              <w:rPr>
                <w:rFonts w:eastAsia="Times New Roman" w:cs="Arial"/>
                <w:sz w:val="18"/>
                <w:szCs w:val="18"/>
                <w:lang w:val="es-CO" w:eastAsia="es-CO"/>
              </w:rPr>
              <w:t xml:space="preserve">       $73.721.657,18</w:t>
            </w:r>
          </w:p>
        </w:tc>
        <w:tc>
          <w:tcPr>
            <w:tcW w:w="0" w:type="auto"/>
            <w:shd w:val="clear" w:color="auto" w:fill="auto"/>
            <w:noWrap/>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Terminado – En proceso de recibo de Obra.</w:t>
            </w:r>
          </w:p>
        </w:tc>
      </w:tr>
      <w:tr w:rsidR="007B6477" w:rsidRPr="00352567" w:rsidTr="00352567">
        <w:trPr>
          <w:trHeight w:val="125"/>
          <w:jc w:val="center"/>
        </w:trPr>
        <w:tc>
          <w:tcPr>
            <w:tcW w:w="0" w:type="auto"/>
            <w:vMerge w:val="restart"/>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Putumayo</w:t>
            </w: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Puerto asís</w:t>
            </w:r>
          </w:p>
        </w:tc>
        <w:tc>
          <w:tcPr>
            <w:tcW w:w="0" w:type="auto"/>
            <w:shd w:val="clear" w:color="auto" w:fill="auto"/>
            <w:noWrap/>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H.I. Ternuritas</w:t>
            </w:r>
          </w:p>
        </w:tc>
        <w:tc>
          <w:tcPr>
            <w:tcW w:w="0" w:type="auto"/>
            <w:shd w:val="clear" w:color="auto" w:fill="auto"/>
            <w:noWrap/>
            <w:vAlign w:val="center"/>
            <w:hideMark/>
          </w:tcPr>
          <w:p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r w:rsidRPr="00352567">
              <w:rPr>
                <w:rFonts w:eastAsia="Times New Roman" w:cs="Arial"/>
                <w:sz w:val="18"/>
                <w:szCs w:val="18"/>
                <w:lang w:val="es-CO" w:eastAsia="es-CO"/>
              </w:rPr>
              <w:t xml:space="preserve">         $6.000.000,00</w:t>
            </w:r>
          </w:p>
        </w:tc>
        <w:tc>
          <w:tcPr>
            <w:tcW w:w="0" w:type="auto"/>
            <w:shd w:val="clear" w:color="auto" w:fill="auto"/>
            <w:noWrap/>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Terminado – En proceso de recibo de Obra.</w:t>
            </w:r>
          </w:p>
        </w:tc>
      </w:tr>
      <w:tr w:rsidR="007B6477" w:rsidRPr="00352567" w:rsidTr="00352567">
        <w:trPr>
          <w:trHeight w:val="50"/>
          <w:jc w:val="center"/>
        </w:trPr>
        <w:tc>
          <w:tcPr>
            <w:tcW w:w="0" w:type="auto"/>
            <w:vMerge/>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p>
        </w:tc>
        <w:tc>
          <w:tcPr>
            <w:tcW w:w="0" w:type="auto"/>
            <w:shd w:val="clear" w:color="auto" w:fill="auto"/>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Sibundoy</w:t>
            </w:r>
          </w:p>
        </w:tc>
        <w:tc>
          <w:tcPr>
            <w:tcW w:w="0" w:type="auto"/>
            <w:shd w:val="clear" w:color="auto" w:fill="auto"/>
            <w:vAlign w:val="center"/>
            <w:hideMark/>
          </w:tcPr>
          <w:p w:rsidR="007B6477" w:rsidRPr="00352567" w:rsidRDefault="00352567" w:rsidP="00352567">
            <w:pPr>
              <w:spacing w:before="100" w:beforeAutospacing="1" w:after="100" w:afterAutospacing="1" w:line="240" w:lineRule="auto"/>
              <w:jc w:val="both"/>
              <w:rPr>
                <w:rFonts w:eastAsia="Times New Roman" w:cs="Arial"/>
                <w:sz w:val="18"/>
                <w:szCs w:val="18"/>
                <w:lang w:val="es-CO" w:eastAsia="es-CO"/>
              </w:rPr>
            </w:pPr>
            <w:r>
              <w:rPr>
                <w:rFonts w:eastAsia="Times New Roman" w:cs="Arial"/>
                <w:sz w:val="18"/>
                <w:szCs w:val="18"/>
                <w:lang w:val="es-CO" w:eastAsia="es-CO"/>
              </w:rPr>
              <w:t>Institución E</w:t>
            </w:r>
            <w:r w:rsidR="007B6477" w:rsidRPr="00352567">
              <w:rPr>
                <w:rFonts w:eastAsia="Times New Roman" w:cs="Arial"/>
                <w:sz w:val="18"/>
                <w:szCs w:val="18"/>
                <w:lang w:val="es-CO" w:eastAsia="es-CO"/>
              </w:rPr>
              <w:t>ducativa</w:t>
            </w:r>
            <w:r>
              <w:rPr>
                <w:rFonts w:eastAsia="Times New Roman" w:cs="Arial"/>
                <w:sz w:val="18"/>
                <w:szCs w:val="18"/>
                <w:lang w:val="es-CO" w:eastAsia="es-CO"/>
              </w:rPr>
              <w:t xml:space="preserve"> del M</w:t>
            </w:r>
            <w:r w:rsidR="007B6477" w:rsidRPr="00352567">
              <w:rPr>
                <w:rFonts w:eastAsia="Times New Roman" w:cs="Arial"/>
                <w:sz w:val="18"/>
                <w:szCs w:val="18"/>
                <w:lang w:val="es-CO" w:eastAsia="es-CO"/>
              </w:rPr>
              <w:t>unicipio</w:t>
            </w:r>
          </w:p>
        </w:tc>
        <w:tc>
          <w:tcPr>
            <w:tcW w:w="0" w:type="auto"/>
            <w:shd w:val="clear" w:color="auto" w:fill="auto"/>
            <w:noWrap/>
            <w:vAlign w:val="center"/>
            <w:hideMark/>
          </w:tcPr>
          <w:p w:rsidR="007B6477" w:rsidRPr="00352567" w:rsidRDefault="007B6477" w:rsidP="00352567">
            <w:pPr>
              <w:spacing w:before="100" w:beforeAutospacing="1" w:after="100" w:afterAutospacing="1" w:line="240" w:lineRule="auto"/>
              <w:jc w:val="right"/>
              <w:rPr>
                <w:rFonts w:eastAsia="Times New Roman" w:cs="Arial"/>
                <w:sz w:val="18"/>
                <w:szCs w:val="18"/>
                <w:lang w:val="es-CO" w:eastAsia="es-CO"/>
              </w:rPr>
            </w:pPr>
            <w:r w:rsidRPr="00352567">
              <w:rPr>
                <w:rFonts w:eastAsia="Times New Roman" w:cs="Arial"/>
                <w:sz w:val="18"/>
                <w:szCs w:val="18"/>
                <w:lang w:val="es-CO" w:eastAsia="es-CO"/>
              </w:rPr>
              <w:t xml:space="preserve">       $25.000.000,00</w:t>
            </w:r>
          </w:p>
        </w:tc>
        <w:tc>
          <w:tcPr>
            <w:tcW w:w="0" w:type="auto"/>
            <w:shd w:val="clear" w:color="auto" w:fill="auto"/>
            <w:noWrap/>
            <w:vAlign w:val="center"/>
            <w:hideMark/>
          </w:tcPr>
          <w:p w:rsidR="007B6477" w:rsidRPr="00352567" w:rsidRDefault="007B6477" w:rsidP="00352567">
            <w:pPr>
              <w:spacing w:before="100" w:beforeAutospacing="1" w:after="100" w:afterAutospacing="1" w:line="240" w:lineRule="auto"/>
              <w:jc w:val="both"/>
              <w:rPr>
                <w:rFonts w:eastAsia="Times New Roman" w:cs="Arial"/>
                <w:sz w:val="18"/>
                <w:szCs w:val="18"/>
                <w:lang w:val="es-CO" w:eastAsia="es-CO"/>
              </w:rPr>
            </w:pPr>
            <w:r w:rsidRPr="00352567">
              <w:rPr>
                <w:rFonts w:eastAsia="Times New Roman" w:cs="Arial"/>
                <w:sz w:val="18"/>
                <w:szCs w:val="18"/>
                <w:lang w:val="es-CO" w:eastAsia="es-CO"/>
              </w:rPr>
              <w:t>Terminado</w:t>
            </w:r>
          </w:p>
        </w:tc>
      </w:tr>
    </w:tbl>
    <w:p w:rsidR="00352567" w:rsidRDefault="006B485A" w:rsidP="006B485A">
      <w:pPr>
        <w:jc w:val="center"/>
        <w:rPr>
          <w:rFonts w:cs="Arial"/>
          <w:b/>
        </w:rPr>
      </w:pPr>
      <w:r w:rsidRPr="0012175B">
        <w:rPr>
          <w:rFonts w:cs="Arial"/>
          <w:sz w:val="16"/>
        </w:rPr>
        <w:t>Fuente: Grupo Infraestructura Inmobiliaria ICBF</w:t>
      </w:r>
    </w:p>
    <w:p w:rsidR="007B6477" w:rsidRPr="00E2319F" w:rsidRDefault="007B6477" w:rsidP="007B6477">
      <w:pPr>
        <w:jc w:val="both"/>
        <w:rPr>
          <w:rFonts w:cs="Arial"/>
          <w:b/>
        </w:rPr>
      </w:pPr>
      <w:r w:rsidRPr="00E2319F">
        <w:rPr>
          <w:rFonts w:cs="Arial"/>
          <w:b/>
        </w:rPr>
        <w:t>Fortalecer las intervenciones de las unidades donde se presta el servicio de atención a la primera infancia</w:t>
      </w:r>
    </w:p>
    <w:p w:rsidR="007B6477" w:rsidRPr="00E2319F" w:rsidRDefault="007B6477" w:rsidP="007B6477">
      <w:pPr>
        <w:jc w:val="both"/>
        <w:rPr>
          <w:rFonts w:cs="Arial"/>
        </w:rPr>
      </w:pPr>
      <w:r w:rsidRPr="00E2319F">
        <w:rPr>
          <w:rFonts w:cs="Arial"/>
        </w:rPr>
        <w:t>Se realizó la adhesión al Contrato Interadministrativo No. 068/16 suscrito entre DAPRE, MINCULTURA y FINDETER, donde se logró incluir la ejecución del CDI El Clan de los Pilluelos, ubicado en el Municipio de Vélez, infraestructura propia del ICBF, que por vulnerabilidad tuvo que ser evacuada y requiere actualización. El ICBF cofinanciará el proyecto con recursos por valor de $ 1.000.000.000,00.</w:t>
      </w:r>
    </w:p>
    <w:p w:rsidR="007B6477" w:rsidRPr="00E2319F" w:rsidRDefault="007B6477" w:rsidP="007B6477">
      <w:pPr>
        <w:jc w:val="both"/>
        <w:rPr>
          <w:rFonts w:cs="Arial"/>
        </w:rPr>
      </w:pPr>
      <w:r w:rsidRPr="00E2319F">
        <w:rPr>
          <w:rFonts w:cs="Arial"/>
        </w:rPr>
        <w:t>Se adelantó la inclusión de las siguientes intervenciones mediante contrato interadministrativo Findeter 1564/16.</w:t>
      </w:r>
    </w:p>
    <w:tbl>
      <w:tblPr>
        <w:tblpPr w:leftFromText="141" w:rightFromText="141" w:vertAnchor="text" w:horzAnchor="margin" w:tblpXSpec="center" w:tblpY="-44"/>
        <w:tblW w:w="0" w:type="auto"/>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709"/>
        <w:gridCol w:w="1001"/>
        <w:gridCol w:w="1556"/>
        <w:gridCol w:w="3421"/>
        <w:gridCol w:w="1708"/>
      </w:tblGrid>
      <w:tr w:rsidR="007B6477" w:rsidRPr="0012175B" w:rsidTr="0012175B">
        <w:trPr>
          <w:trHeight w:val="50"/>
        </w:trPr>
        <w:tc>
          <w:tcPr>
            <w:tcW w:w="0" w:type="auto"/>
            <w:shd w:val="clear" w:color="auto" w:fill="76922E"/>
            <w:vAlign w:val="center"/>
            <w:hideMark/>
          </w:tcPr>
          <w:p w:rsidR="007B6477" w:rsidRPr="0012175B" w:rsidRDefault="007B6477" w:rsidP="0012175B">
            <w:pPr>
              <w:spacing w:before="100" w:beforeAutospacing="1" w:after="100" w:afterAutospacing="1" w:line="240" w:lineRule="auto"/>
              <w:jc w:val="center"/>
              <w:rPr>
                <w:rFonts w:eastAsia="Times New Roman" w:cs="Arial"/>
                <w:b/>
                <w:bCs/>
                <w:color w:val="FFFFFF" w:themeColor="background1"/>
                <w:sz w:val="18"/>
                <w:szCs w:val="18"/>
                <w:lang w:eastAsia="es-ES"/>
              </w:rPr>
            </w:pPr>
            <w:r w:rsidRPr="0012175B">
              <w:rPr>
                <w:rFonts w:eastAsia="Times New Roman" w:cs="Arial"/>
                <w:b/>
                <w:bCs/>
                <w:color w:val="FFFFFF" w:themeColor="background1"/>
                <w:sz w:val="18"/>
                <w:szCs w:val="18"/>
                <w:lang w:eastAsia="es-ES"/>
              </w:rPr>
              <w:t>Departamento</w:t>
            </w:r>
          </w:p>
        </w:tc>
        <w:tc>
          <w:tcPr>
            <w:tcW w:w="0" w:type="auto"/>
            <w:shd w:val="clear" w:color="auto" w:fill="76922E"/>
            <w:vAlign w:val="center"/>
            <w:hideMark/>
          </w:tcPr>
          <w:p w:rsidR="007B6477" w:rsidRPr="0012175B" w:rsidRDefault="007B6477" w:rsidP="0012175B">
            <w:pPr>
              <w:spacing w:before="100" w:beforeAutospacing="1" w:after="100" w:afterAutospacing="1" w:line="240" w:lineRule="auto"/>
              <w:jc w:val="center"/>
              <w:rPr>
                <w:rFonts w:eastAsia="Times New Roman" w:cs="Arial"/>
                <w:b/>
                <w:bCs/>
                <w:color w:val="FFFFFF" w:themeColor="background1"/>
                <w:sz w:val="18"/>
                <w:szCs w:val="18"/>
                <w:lang w:eastAsia="es-ES"/>
              </w:rPr>
            </w:pPr>
            <w:r w:rsidRPr="0012175B">
              <w:rPr>
                <w:rFonts w:eastAsia="Times New Roman" w:cs="Arial"/>
                <w:b/>
                <w:bCs/>
                <w:color w:val="FFFFFF" w:themeColor="background1"/>
                <w:sz w:val="18"/>
                <w:szCs w:val="18"/>
                <w:lang w:eastAsia="es-ES"/>
              </w:rPr>
              <w:t>Municipio</w:t>
            </w:r>
          </w:p>
        </w:tc>
        <w:tc>
          <w:tcPr>
            <w:tcW w:w="0" w:type="auto"/>
            <w:shd w:val="clear" w:color="auto" w:fill="76922E"/>
            <w:vAlign w:val="center"/>
            <w:hideMark/>
          </w:tcPr>
          <w:p w:rsidR="007B6477" w:rsidRPr="0012175B" w:rsidRDefault="007B6477" w:rsidP="0012175B">
            <w:pPr>
              <w:spacing w:before="100" w:beforeAutospacing="1" w:after="100" w:afterAutospacing="1" w:line="240" w:lineRule="auto"/>
              <w:jc w:val="center"/>
              <w:rPr>
                <w:rFonts w:eastAsia="Times New Roman" w:cs="Arial"/>
                <w:b/>
                <w:bCs/>
                <w:color w:val="FFFFFF" w:themeColor="background1"/>
                <w:sz w:val="18"/>
                <w:szCs w:val="18"/>
                <w:lang w:eastAsia="es-ES"/>
              </w:rPr>
            </w:pPr>
            <w:r w:rsidRPr="0012175B">
              <w:rPr>
                <w:rFonts w:eastAsia="Times New Roman" w:cs="Arial"/>
                <w:b/>
                <w:bCs/>
                <w:color w:val="FFFFFF" w:themeColor="background1"/>
                <w:sz w:val="18"/>
                <w:szCs w:val="18"/>
                <w:lang w:eastAsia="es-ES"/>
              </w:rPr>
              <w:t>Nombre</w:t>
            </w:r>
          </w:p>
        </w:tc>
        <w:tc>
          <w:tcPr>
            <w:tcW w:w="0" w:type="auto"/>
            <w:shd w:val="clear" w:color="auto" w:fill="76922E"/>
            <w:vAlign w:val="center"/>
            <w:hideMark/>
          </w:tcPr>
          <w:p w:rsidR="007B6477" w:rsidRPr="0012175B" w:rsidRDefault="007B6477" w:rsidP="0012175B">
            <w:pPr>
              <w:spacing w:before="100" w:beforeAutospacing="1" w:after="100" w:afterAutospacing="1" w:line="240" w:lineRule="auto"/>
              <w:jc w:val="center"/>
              <w:rPr>
                <w:rFonts w:eastAsia="Times New Roman" w:cs="Arial"/>
                <w:b/>
                <w:bCs/>
                <w:color w:val="FFFFFF" w:themeColor="background1"/>
                <w:sz w:val="18"/>
                <w:szCs w:val="18"/>
                <w:lang w:eastAsia="es-ES"/>
              </w:rPr>
            </w:pPr>
            <w:r w:rsidRPr="0012175B">
              <w:rPr>
                <w:rFonts w:eastAsia="Times New Roman" w:cs="Arial"/>
                <w:b/>
                <w:bCs/>
                <w:color w:val="FFFFFF" w:themeColor="background1"/>
                <w:sz w:val="18"/>
                <w:szCs w:val="18"/>
                <w:lang w:eastAsia="es-ES"/>
              </w:rPr>
              <w:t>Intervención</w:t>
            </w:r>
          </w:p>
        </w:tc>
        <w:tc>
          <w:tcPr>
            <w:tcW w:w="0" w:type="auto"/>
            <w:shd w:val="clear" w:color="auto" w:fill="76922E"/>
            <w:vAlign w:val="center"/>
            <w:hideMark/>
          </w:tcPr>
          <w:p w:rsidR="007B6477" w:rsidRPr="0012175B" w:rsidRDefault="007B6477" w:rsidP="0012175B">
            <w:pPr>
              <w:spacing w:before="100" w:beforeAutospacing="1" w:after="100" w:afterAutospacing="1" w:line="240" w:lineRule="auto"/>
              <w:jc w:val="center"/>
              <w:rPr>
                <w:rFonts w:eastAsia="Times New Roman" w:cs="Arial"/>
                <w:b/>
                <w:bCs/>
                <w:color w:val="FFFFFF" w:themeColor="background1"/>
                <w:sz w:val="18"/>
                <w:szCs w:val="18"/>
                <w:lang w:eastAsia="es-ES"/>
              </w:rPr>
            </w:pPr>
            <w:r w:rsidRPr="0012175B">
              <w:rPr>
                <w:rFonts w:eastAsia="Times New Roman" w:cs="Arial"/>
                <w:b/>
                <w:bCs/>
                <w:color w:val="FFFFFF" w:themeColor="background1"/>
                <w:sz w:val="18"/>
                <w:szCs w:val="18"/>
                <w:lang w:eastAsia="es-ES"/>
              </w:rPr>
              <w:t>Valor Intervención</w:t>
            </w:r>
          </w:p>
        </w:tc>
      </w:tr>
      <w:tr w:rsidR="007B6477" w:rsidRPr="0012175B" w:rsidTr="00AB6408">
        <w:trPr>
          <w:trHeight w:val="136"/>
        </w:trPr>
        <w:tc>
          <w:tcPr>
            <w:tcW w:w="0" w:type="auto"/>
            <w:shd w:val="clear" w:color="auto" w:fill="auto"/>
            <w:vAlign w:val="center"/>
          </w:tcPr>
          <w:p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Tolima</w:t>
            </w:r>
          </w:p>
        </w:tc>
        <w:tc>
          <w:tcPr>
            <w:tcW w:w="0" w:type="auto"/>
            <w:shd w:val="clear" w:color="auto" w:fill="auto"/>
            <w:vAlign w:val="center"/>
          </w:tcPr>
          <w:p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Ibagué</w:t>
            </w:r>
          </w:p>
        </w:tc>
        <w:tc>
          <w:tcPr>
            <w:tcW w:w="0" w:type="auto"/>
            <w:shd w:val="clear" w:color="auto" w:fill="auto"/>
            <w:vAlign w:val="center"/>
          </w:tcPr>
          <w:p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H.I Copetín</w:t>
            </w:r>
          </w:p>
        </w:tc>
        <w:tc>
          <w:tcPr>
            <w:tcW w:w="0" w:type="auto"/>
            <w:shd w:val="clear" w:color="auto" w:fill="auto"/>
            <w:vAlign w:val="center"/>
          </w:tcPr>
          <w:p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Estudios, Diseños y Construcción</w:t>
            </w:r>
          </w:p>
        </w:tc>
        <w:tc>
          <w:tcPr>
            <w:tcW w:w="0" w:type="auto"/>
            <w:shd w:val="clear" w:color="auto" w:fill="auto"/>
            <w:vAlign w:val="center"/>
          </w:tcPr>
          <w:p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$1.680.270.998</w:t>
            </w:r>
          </w:p>
        </w:tc>
      </w:tr>
      <w:tr w:rsidR="007B6477" w:rsidRPr="0012175B" w:rsidTr="00AB6408">
        <w:trPr>
          <w:trHeight w:val="54"/>
        </w:trPr>
        <w:tc>
          <w:tcPr>
            <w:tcW w:w="0" w:type="auto"/>
            <w:shd w:val="clear" w:color="auto" w:fill="auto"/>
            <w:vAlign w:val="center"/>
          </w:tcPr>
          <w:p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Norte de Santander</w:t>
            </w:r>
          </w:p>
        </w:tc>
        <w:tc>
          <w:tcPr>
            <w:tcW w:w="0" w:type="auto"/>
            <w:shd w:val="clear" w:color="auto" w:fill="auto"/>
            <w:vAlign w:val="center"/>
          </w:tcPr>
          <w:p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Toledo</w:t>
            </w:r>
          </w:p>
        </w:tc>
        <w:tc>
          <w:tcPr>
            <w:tcW w:w="0" w:type="auto"/>
            <w:shd w:val="clear" w:color="auto" w:fill="auto"/>
            <w:vAlign w:val="center"/>
          </w:tcPr>
          <w:p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H.I Cafeteritos</w:t>
            </w:r>
          </w:p>
        </w:tc>
        <w:tc>
          <w:tcPr>
            <w:tcW w:w="0" w:type="auto"/>
            <w:shd w:val="clear" w:color="auto" w:fill="auto"/>
            <w:vAlign w:val="center"/>
          </w:tcPr>
          <w:p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Ajuste de Diseños y Construcción Bloque</w:t>
            </w:r>
          </w:p>
        </w:tc>
        <w:tc>
          <w:tcPr>
            <w:tcW w:w="0" w:type="auto"/>
            <w:shd w:val="clear" w:color="auto" w:fill="auto"/>
            <w:vAlign w:val="center"/>
          </w:tcPr>
          <w:p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$652.944.680</w:t>
            </w:r>
          </w:p>
        </w:tc>
      </w:tr>
      <w:tr w:rsidR="007B6477" w:rsidRPr="0012175B" w:rsidTr="00AB6408">
        <w:trPr>
          <w:trHeight w:val="128"/>
        </w:trPr>
        <w:tc>
          <w:tcPr>
            <w:tcW w:w="0" w:type="auto"/>
            <w:shd w:val="clear" w:color="auto" w:fill="auto"/>
            <w:vAlign w:val="center"/>
          </w:tcPr>
          <w:p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Bogotá</w:t>
            </w:r>
          </w:p>
        </w:tc>
        <w:tc>
          <w:tcPr>
            <w:tcW w:w="0" w:type="auto"/>
            <w:shd w:val="clear" w:color="auto" w:fill="auto"/>
            <w:vAlign w:val="center"/>
          </w:tcPr>
          <w:p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Bogotá</w:t>
            </w:r>
          </w:p>
        </w:tc>
        <w:tc>
          <w:tcPr>
            <w:tcW w:w="0" w:type="auto"/>
            <w:shd w:val="clear" w:color="auto" w:fill="auto"/>
            <w:vAlign w:val="center"/>
          </w:tcPr>
          <w:p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H.I Cafeteritos</w:t>
            </w:r>
          </w:p>
        </w:tc>
        <w:tc>
          <w:tcPr>
            <w:tcW w:w="0" w:type="auto"/>
            <w:shd w:val="clear" w:color="auto" w:fill="auto"/>
            <w:vAlign w:val="center"/>
          </w:tcPr>
          <w:p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Estudios y Diseños</w:t>
            </w:r>
          </w:p>
        </w:tc>
        <w:tc>
          <w:tcPr>
            <w:tcW w:w="0" w:type="auto"/>
            <w:shd w:val="clear" w:color="auto" w:fill="auto"/>
            <w:vAlign w:val="center"/>
          </w:tcPr>
          <w:p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$152.938.710</w:t>
            </w:r>
          </w:p>
        </w:tc>
      </w:tr>
      <w:tr w:rsidR="007B6477" w:rsidRPr="0012175B" w:rsidTr="00AB6408">
        <w:trPr>
          <w:trHeight w:val="50"/>
        </w:trPr>
        <w:tc>
          <w:tcPr>
            <w:tcW w:w="0" w:type="auto"/>
            <w:shd w:val="clear" w:color="auto" w:fill="auto"/>
            <w:vAlign w:val="center"/>
          </w:tcPr>
          <w:p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 xml:space="preserve">Boyacá </w:t>
            </w:r>
          </w:p>
        </w:tc>
        <w:tc>
          <w:tcPr>
            <w:tcW w:w="0" w:type="auto"/>
            <w:shd w:val="clear" w:color="auto" w:fill="auto"/>
            <w:vAlign w:val="center"/>
          </w:tcPr>
          <w:p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Sogamoso</w:t>
            </w:r>
          </w:p>
        </w:tc>
        <w:tc>
          <w:tcPr>
            <w:tcW w:w="0" w:type="auto"/>
            <w:shd w:val="clear" w:color="auto" w:fill="auto"/>
            <w:vAlign w:val="center"/>
          </w:tcPr>
          <w:p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H.I La Magdalena</w:t>
            </w:r>
          </w:p>
        </w:tc>
        <w:tc>
          <w:tcPr>
            <w:tcW w:w="0" w:type="auto"/>
            <w:shd w:val="clear" w:color="auto" w:fill="auto"/>
            <w:vAlign w:val="center"/>
          </w:tcPr>
          <w:p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Estudios y Diseños</w:t>
            </w:r>
          </w:p>
        </w:tc>
        <w:tc>
          <w:tcPr>
            <w:tcW w:w="0" w:type="auto"/>
            <w:shd w:val="clear" w:color="auto" w:fill="auto"/>
            <w:vAlign w:val="center"/>
          </w:tcPr>
          <w:p w:rsidR="007B6477" w:rsidRPr="0012175B" w:rsidRDefault="007B6477" w:rsidP="0012175B">
            <w:pPr>
              <w:spacing w:before="100" w:beforeAutospacing="1" w:after="100" w:afterAutospacing="1" w:line="240" w:lineRule="auto"/>
              <w:jc w:val="both"/>
              <w:rPr>
                <w:rFonts w:eastAsia="Times New Roman" w:cs="Arial"/>
                <w:sz w:val="18"/>
                <w:szCs w:val="18"/>
                <w:lang w:val="es-CO" w:eastAsia="es-CO"/>
              </w:rPr>
            </w:pPr>
            <w:r w:rsidRPr="0012175B">
              <w:rPr>
                <w:rFonts w:eastAsia="Times New Roman" w:cs="Arial"/>
                <w:sz w:val="18"/>
                <w:szCs w:val="18"/>
                <w:lang w:val="es-CO" w:eastAsia="es-CO"/>
              </w:rPr>
              <w:t>$151.457.410</w:t>
            </w:r>
          </w:p>
        </w:tc>
      </w:tr>
    </w:tbl>
    <w:p w:rsidR="007B6477" w:rsidRPr="0012175B" w:rsidRDefault="007B6477" w:rsidP="0012175B">
      <w:pPr>
        <w:jc w:val="center"/>
        <w:rPr>
          <w:rFonts w:cs="Arial"/>
          <w:sz w:val="16"/>
        </w:rPr>
      </w:pPr>
      <w:r w:rsidRPr="0012175B">
        <w:rPr>
          <w:rFonts w:cs="Arial"/>
          <w:sz w:val="16"/>
        </w:rPr>
        <w:t>Fuente: Grupo Infraestructura Inmobiliaria ICBF. Corte diciembre</w:t>
      </w:r>
      <w:r w:rsidR="0012175B">
        <w:rPr>
          <w:rFonts w:cs="Arial"/>
          <w:sz w:val="16"/>
        </w:rPr>
        <w:t xml:space="preserve"> de 2017</w:t>
      </w:r>
    </w:p>
    <w:p w:rsidR="007B6477" w:rsidRPr="00E2319F" w:rsidRDefault="007B6477" w:rsidP="007B6477">
      <w:pPr>
        <w:jc w:val="both"/>
        <w:rPr>
          <w:rFonts w:cs="Arial"/>
        </w:rPr>
      </w:pPr>
      <w:r w:rsidRPr="00E2319F">
        <w:rPr>
          <w:rFonts w:cs="Arial"/>
        </w:rPr>
        <w:t>En materia de adecuaciones, el Grupo de Infraestructura Inmobiliaria adelantó la contratación y supervisión de las adecuaciones de los siguientes Hogares Infantiles, los cuales fueron intervenidos con recursos del ICBF:</w:t>
      </w:r>
    </w:p>
    <w:tbl>
      <w:tblPr>
        <w:tblStyle w:val="Tabladecuadrcula6concolores-nfasis6"/>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shd w:val="clear" w:color="auto" w:fill="FFFFFF" w:themeFill="background1"/>
        <w:tblLook w:val="0420" w:firstRow="1" w:lastRow="0" w:firstColumn="0" w:lastColumn="0" w:noHBand="0" w:noVBand="1"/>
      </w:tblPr>
      <w:tblGrid>
        <w:gridCol w:w="2139"/>
        <w:gridCol w:w="1134"/>
        <w:gridCol w:w="1037"/>
        <w:gridCol w:w="2289"/>
        <w:gridCol w:w="1094"/>
        <w:gridCol w:w="1702"/>
      </w:tblGrid>
      <w:tr w:rsidR="007B6477" w:rsidRPr="0012175B" w:rsidTr="007D364A">
        <w:trPr>
          <w:cnfStyle w:val="100000000000" w:firstRow="1" w:lastRow="0" w:firstColumn="0" w:lastColumn="0" w:oddVBand="0" w:evenVBand="0" w:oddHBand="0" w:evenHBand="0" w:firstRowFirstColumn="0" w:firstRowLastColumn="0" w:lastRowFirstColumn="0" w:lastRowLastColumn="0"/>
          <w:trHeight w:val="20"/>
          <w:jc w:val="center"/>
        </w:trPr>
        <w:tc>
          <w:tcPr>
            <w:tcW w:w="0" w:type="auto"/>
            <w:tcBorders>
              <w:bottom w:val="none" w:sz="0" w:space="0" w:color="auto"/>
            </w:tcBorders>
            <w:shd w:val="clear" w:color="auto" w:fill="76922E"/>
            <w:vAlign w:val="center"/>
            <w:hideMark/>
          </w:tcPr>
          <w:p w:rsidR="007B6477" w:rsidRPr="0012175B" w:rsidRDefault="0012175B" w:rsidP="0012175B">
            <w:pPr>
              <w:spacing w:before="100" w:beforeAutospacing="1" w:after="100" w:afterAutospacing="1" w:line="240" w:lineRule="auto"/>
              <w:jc w:val="center"/>
              <w:rPr>
                <w:rFonts w:eastAsia="Times New Roman" w:cs="Arial"/>
                <w:bCs w:val="0"/>
                <w:color w:val="FFFFFF" w:themeColor="background1"/>
                <w:sz w:val="18"/>
                <w:szCs w:val="18"/>
                <w:lang w:eastAsia="es-ES"/>
              </w:rPr>
            </w:pPr>
            <w:r w:rsidRPr="0012175B">
              <w:rPr>
                <w:rFonts w:eastAsia="Times New Roman" w:cs="Arial"/>
                <w:bCs w:val="0"/>
                <w:color w:val="FFFFFF" w:themeColor="background1"/>
                <w:sz w:val="18"/>
                <w:szCs w:val="18"/>
                <w:lang w:eastAsia="es-ES"/>
              </w:rPr>
              <w:t>Tipo</w:t>
            </w:r>
          </w:p>
        </w:tc>
        <w:tc>
          <w:tcPr>
            <w:tcW w:w="0" w:type="auto"/>
            <w:tcBorders>
              <w:bottom w:val="none" w:sz="0" w:space="0" w:color="auto"/>
            </w:tcBorders>
            <w:shd w:val="clear" w:color="auto" w:fill="76922E"/>
            <w:vAlign w:val="center"/>
            <w:hideMark/>
          </w:tcPr>
          <w:p w:rsidR="007B6477" w:rsidRPr="0012175B" w:rsidRDefault="0012175B" w:rsidP="0012175B">
            <w:pPr>
              <w:spacing w:before="100" w:beforeAutospacing="1" w:after="100" w:afterAutospacing="1" w:line="240" w:lineRule="auto"/>
              <w:jc w:val="center"/>
              <w:rPr>
                <w:rFonts w:eastAsia="Times New Roman" w:cs="Arial"/>
                <w:bCs w:val="0"/>
                <w:color w:val="FFFFFF" w:themeColor="background1"/>
                <w:sz w:val="18"/>
                <w:szCs w:val="18"/>
                <w:lang w:eastAsia="es-ES"/>
              </w:rPr>
            </w:pPr>
            <w:r w:rsidRPr="0012175B">
              <w:rPr>
                <w:rFonts w:eastAsia="Times New Roman" w:cs="Arial"/>
                <w:bCs w:val="0"/>
                <w:color w:val="FFFFFF" w:themeColor="background1"/>
                <w:sz w:val="18"/>
                <w:szCs w:val="18"/>
                <w:lang w:eastAsia="es-ES"/>
              </w:rPr>
              <w:t>Celebrado Entre</w:t>
            </w:r>
          </w:p>
        </w:tc>
        <w:tc>
          <w:tcPr>
            <w:tcW w:w="0" w:type="auto"/>
            <w:tcBorders>
              <w:bottom w:val="none" w:sz="0" w:space="0" w:color="auto"/>
            </w:tcBorders>
            <w:shd w:val="clear" w:color="auto" w:fill="76922E"/>
            <w:vAlign w:val="center"/>
            <w:hideMark/>
          </w:tcPr>
          <w:p w:rsidR="007B6477" w:rsidRPr="0012175B" w:rsidRDefault="0012175B" w:rsidP="0012175B">
            <w:pPr>
              <w:spacing w:before="100" w:beforeAutospacing="1" w:after="100" w:afterAutospacing="1" w:line="240" w:lineRule="auto"/>
              <w:jc w:val="center"/>
              <w:rPr>
                <w:rFonts w:eastAsia="Times New Roman" w:cs="Arial"/>
                <w:bCs w:val="0"/>
                <w:color w:val="FFFFFF" w:themeColor="background1"/>
                <w:sz w:val="18"/>
                <w:szCs w:val="18"/>
                <w:lang w:eastAsia="es-ES"/>
              </w:rPr>
            </w:pPr>
            <w:r w:rsidRPr="0012175B">
              <w:rPr>
                <w:rFonts w:eastAsia="Times New Roman" w:cs="Arial"/>
                <w:bCs w:val="0"/>
                <w:color w:val="FFFFFF" w:themeColor="background1"/>
                <w:sz w:val="18"/>
                <w:szCs w:val="18"/>
                <w:lang w:eastAsia="es-ES"/>
              </w:rPr>
              <w:t>Recursos</w:t>
            </w:r>
          </w:p>
        </w:tc>
        <w:tc>
          <w:tcPr>
            <w:tcW w:w="0" w:type="auto"/>
            <w:tcBorders>
              <w:bottom w:val="none" w:sz="0" w:space="0" w:color="auto"/>
            </w:tcBorders>
            <w:shd w:val="clear" w:color="auto" w:fill="76922E"/>
            <w:vAlign w:val="center"/>
            <w:hideMark/>
          </w:tcPr>
          <w:p w:rsidR="007B6477" w:rsidRPr="0012175B" w:rsidRDefault="0012175B" w:rsidP="0012175B">
            <w:pPr>
              <w:spacing w:before="100" w:beforeAutospacing="1" w:after="100" w:afterAutospacing="1" w:line="240" w:lineRule="auto"/>
              <w:jc w:val="center"/>
              <w:rPr>
                <w:rFonts w:eastAsia="Times New Roman" w:cs="Arial"/>
                <w:bCs w:val="0"/>
                <w:color w:val="FFFFFF" w:themeColor="background1"/>
                <w:sz w:val="18"/>
                <w:szCs w:val="18"/>
                <w:lang w:eastAsia="es-ES"/>
              </w:rPr>
            </w:pPr>
            <w:r w:rsidRPr="0012175B">
              <w:rPr>
                <w:rFonts w:eastAsia="Times New Roman" w:cs="Arial"/>
                <w:bCs w:val="0"/>
                <w:color w:val="FFFFFF" w:themeColor="background1"/>
                <w:sz w:val="18"/>
                <w:szCs w:val="18"/>
                <w:lang w:eastAsia="es-ES"/>
              </w:rPr>
              <w:t>Objeto</w:t>
            </w:r>
          </w:p>
        </w:tc>
        <w:tc>
          <w:tcPr>
            <w:tcW w:w="0" w:type="auto"/>
            <w:tcBorders>
              <w:bottom w:val="none" w:sz="0" w:space="0" w:color="auto"/>
            </w:tcBorders>
            <w:shd w:val="clear" w:color="auto" w:fill="76922E"/>
            <w:vAlign w:val="center"/>
            <w:hideMark/>
          </w:tcPr>
          <w:p w:rsidR="007B6477" w:rsidRPr="0012175B" w:rsidRDefault="0012175B" w:rsidP="0012175B">
            <w:pPr>
              <w:spacing w:before="100" w:beforeAutospacing="1" w:after="100" w:afterAutospacing="1" w:line="240" w:lineRule="auto"/>
              <w:jc w:val="center"/>
              <w:rPr>
                <w:rFonts w:eastAsia="Times New Roman" w:cs="Arial"/>
                <w:bCs w:val="0"/>
                <w:color w:val="FFFFFF" w:themeColor="background1"/>
                <w:sz w:val="18"/>
                <w:szCs w:val="18"/>
                <w:lang w:eastAsia="es-ES"/>
              </w:rPr>
            </w:pPr>
            <w:r w:rsidRPr="0012175B">
              <w:rPr>
                <w:rFonts w:eastAsia="Times New Roman" w:cs="Arial"/>
                <w:bCs w:val="0"/>
                <w:color w:val="FFFFFF" w:themeColor="background1"/>
                <w:sz w:val="18"/>
                <w:szCs w:val="18"/>
                <w:lang w:eastAsia="es-ES"/>
              </w:rPr>
              <w:t>Estado</w:t>
            </w:r>
          </w:p>
        </w:tc>
        <w:tc>
          <w:tcPr>
            <w:tcW w:w="0" w:type="auto"/>
            <w:tcBorders>
              <w:bottom w:val="none" w:sz="0" w:space="0" w:color="auto"/>
            </w:tcBorders>
            <w:shd w:val="clear" w:color="auto" w:fill="76922E"/>
            <w:vAlign w:val="center"/>
            <w:hideMark/>
          </w:tcPr>
          <w:p w:rsidR="007B6477" w:rsidRPr="0012175B" w:rsidRDefault="0012175B" w:rsidP="0012175B">
            <w:pPr>
              <w:spacing w:before="100" w:beforeAutospacing="1" w:after="100" w:afterAutospacing="1" w:line="240" w:lineRule="auto"/>
              <w:jc w:val="center"/>
              <w:rPr>
                <w:rFonts w:eastAsia="Times New Roman" w:cs="Arial"/>
                <w:bCs w:val="0"/>
                <w:color w:val="FFFFFF" w:themeColor="background1"/>
                <w:sz w:val="18"/>
                <w:szCs w:val="18"/>
                <w:lang w:eastAsia="es-ES"/>
              </w:rPr>
            </w:pPr>
            <w:r w:rsidRPr="0012175B">
              <w:rPr>
                <w:rFonts w:eastAsia="Times New Roman" w:cs="Arial"/>
                <w:bCs w:val="0"/>
                <w:color w:val="FFFFFF" w:themeColor="background1"/>
                <w:sz w:val="18"/>
                <w:szCs w:val="18"/>
                <w:lang w:eastAsia="es-ES"/>
              </w:rPr>
              <w:t>Proyectos</w:t>
            </w:r>
          </w:p>
        </w:tc>
      </w:tr>
      <w:tr w:rsidR="007B6477" w:rsidRPr="0012175B" w:rsidTr="007D364A">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shd w:val="clear" w:color="auto" w:fill="FFFFFF" w:themeFill="background1"/>
            <w:vAlign w:val="center"/>
            <w:hideMark/>
          </w:tcPr>
          <w:p w:rsidR="007B6477" w:rsidRPr="0012175B" w:rsidRDefault="007B6477" w:rsidP="00751035">
            <w:pPr>
              <w:rPr>
                <w:rFonts w:cs="Arial"/>
                <w:color w:val="auto"/>
                <w:sz w:val="18"/>
                <w:szCs w:val="18"/>
              </w:rPr>
            </w:pPr>
            <w:r w:rsidRPr="0012175B">
              <w:rPr>
                <w:rFonts w:cs="Arial"/>
                <w:color w:val="auto"/>
                <w:sz w:val="18"/>
                <w:szCs w:val="18"/>
              </w:rPr>
              <w:t>Convenio Interadministrativo1564 de 2016</w:t>
            </w:r>
          </w:p>
        </w:tc>
        <w:tc>
          <w:tcPr>
            <w:tcW w:w="0" w:type="auto"/>
            <w:shd w:val="clear" w:color="auto" w:fill="FFFFFF" w:themeFill="background1"/>
            <w:vAlign w:val="center"/>
            <w:hideMark/>
          </w:tcPr>
          <w:p w:rsidR="007B6477" w:rsidRPr="0012175B" w:rsidRDefault="007B6477" w:rsidP="00751035">
            <w:pPr>
              <w:rPr>
                <w:rFonts w:cs="Arial"/>
                <w:color w:val="auto"/>
                <w:sz w:val="18"/>
                <w:szCs w:val="18"/>
              </w:rPr>
            </w:pPr>
            <w:r w:rsidRPr="0012175B">
              <w:rPr>
                <w:rFonts w:cs="Arial"/>
                <w:color w:val="auto"/>
                <w:sz w:val="18"/>
                <w:szCs w:val="18"/>
              </w:rPr>
              <w:t>ICBF- FINDETER</w:t>
            </w:r>
          </w:p>
        </w:tc>
        <w:tc>
          <w:tcPr>
            <w:tcW w:w="0" w:type="auto"/>
            <w:shd w:val="clear" w:color="auto" w:fill="FFFFFF" w:themeFill="background1"/>
            <w:vAlign w:val="center"/>
            <w:hideMark/>
          </w:tcPr>
          <w:p w:rsidR="007B6477" w:rsidRPr="0012175B" w:rsidRDefault="007B6477" w:rsidP="00751035">
            <w:pPr>
              <w:rPr>
                <w:rFonts w:cs="Arial"/>
                <w:color w:val="auto"/>
                <w:sz w:val="18"/>
                <w:szCs w:val="18"/>
              </w:rPr>
            </w:pPr>
            <w:r w:rsidRPr="0012175B">
              <w:rPr>
                <w:rFonts w:cs="Arial"/>
                <w:color w:val="auto"/>
                <w:sz w:val="18"/>
                <w:szCs w:val="18"/>
              </w:rPr>
              <w:t>ICBF</w:t>
            </w:r>
          </w:p>
        </w:tc>
        <w:tc>
          <w:tcPr>
            <w:tcW w:w="0" w:type="auto"/>
            <w:shd w:val="clear" w:color="auto" w:fill="FFFFFF" w:themeFill="background1"/>
            <w:vAlign w:val="center"/>
            <w:hideMark/>
          </w:tcPr>
          <w:p w:rsidR="007B6477" w:rsidRPr="0012175B" w:rsidRDefault="007B6477" w:rsidP="00751035">
            <w:pPr>
              <w:rPr>
                <w:rFonts w:cs="Arial"/>
                <w:color w:val="auto"/>
                <w:sz w:val="18"/>
                <w:szCs w:val="18"/>
              </w:rPr>
            </w:pPr>
            <w:r w:rsidRPr="0012175B">
              <w:rPr>
                <w:rFonts w:cs="Arial"/>
                <w:color w:val="auto"/>
                <w:sz w:val="18"/>
                <w:szCs w:val="18"/>
              </w:rPr>
              <w:t>Prestar el servicio de asistencia técnica para el desarrollo de proyectos en el marco de la aplicación primaria del plan de intervención de la infraestructura del ICBF.</w:t>
            </w:r>
          </w:p>
        </w:tc>
        <w:tc>
          <w:tcPr>
            <w:tcW w:w="0" w:type="auto"/>
            <w:shd w:val="clear" w:color="auto" w:fill="FFFFFF" w:themeFill="background1"/>
            <w:vAlign w:val="center"/>
            <w:hideMark/>
          </w:tcPr>
          <w:p w:rsidR="007B6477" w:rsidRPr="0012175B" w:rsidRDefault="007B6477" w:rsidP="00751035">
            <w:pPr>
              <w:rPr>
                <w:rFonts w:cs="Arial"/>
                <w:color w:val="auto"/>
                <w:sz w:val="18"/>
                <w:szCs w:val="18"/>
              </w:rPr>
            </w:pPr>
            <w:r w:rsidRPr="0012175B">
              <w:rPr>
                <w:rFonts w:cs="Arial"/>
                <w:color w:val="auto"/>
                <w:sz w:val="18"/>
                <w:szCs w:val="18"/>
              </w:rPr>
              <w:t xml:space="preserve">En ejecución: </w:t>
            </w:r>
          </w:p>
          <w:p w:rsidR="007B6477" w:rsidRPr="0012175B" w:rsidRDefault="007B6477" w:rsidP="00751035">
            <w:pPr>
              <w:rPr>
                <w:rFonts w:cs="Arial"/>
                <w:color w:val="auto"/>
                <w:sz w:val="18"/>
                <w:szCs w:val="18"/>
              </w:rPr>
            </w:pPr>
          </w:p>
        </w:tc>
        <w:tc>
          <w:tcPr>
            <w:tcW w:w="0" w:type="auto"/>
            <w:shd w:val="clear" w:color="auto" w:fill="FFFFFF" w:themeFill="background1"/>
            <w:vAlign w:val="center"/>
            <w:hideMark/>
          </w:tcPr>
          <w:p w:rsidR="007B6477" w:rsidRPr="0012175B" w:rsidRDefault="007B6477" w:rsidP="00751035">
            <w:pPr>
              <w:rPr>
                <w:rFonts w:cs="Arial"/>
                <w:color w:val="auto"/>
                <w:sz w:val="18"/>
                <w:szCs w:val="18"/>
              </w:rPr>
            </w:pPr>
            <w:r w:rsidRPr="0012175B">
              <w:rPr>
                <w:rFonts w:cs="Arial"/>
                <w:color w:val="auto"/>
                <w:sz w:val="18"/>
                <w:szCs w:val="18"/>
              </w:rPr>
              <w:t>Diseño y Construcción CDI Girasoles –  Cartagena Bolívar (En trámite de Licencia)</w:t>
            </w:r>
          </w:p>
          <w:p w:rsidR="007B6477" w:rsidRPr="0012175B" w:rsidRDefault="007B6477" w:rsidP="00751035">
            <w:pPr>
              <w:rPr>
                <w:rFonts w:cs="Arial"/>
                <w:color w:val="auto"/>
                <w:sz w:val="18"/>
                <w:szCs w:val="18"/>
              </w:rPr>
            </w:pPr>
            <w:r w:rsidRPr="0012175B">
              <w:rPr>
                <w:rFonts w:cs="Arial"/>
                <w:color w:val="auto"/>
                <w:sz w:val="18"/>
                <w:szCs w:val="18"/>
              </w:rPr>
              <w:t xml:space="preserve">Diseño y construcción CDI Pacho – </w:t>
            </w:r>
            <w:r w:rsidRPr="0012175B">
              <w:rPr>
                <w:rFonts w:cs="Arial"/>
                <w:color w:val="auto"/>
                <w:sz w:val="18"/>
                <w:szCs w:val="18"/>
              </w:rPr>
              <w:lastRenderedPageBreak/>
              <w:t>Cundinamarca (En ejecución)</w:t>
            </w:r>
          </w:p>
          <w:p w:rsidR="007B6477" w:rsidRPr="0012175B" w:rsidRDefault="007B6477" w:rsidP="00751035">
            <w:pPr>
              <w:rPr>
                <w:rFonts w:cs="Arial"/>
                <w:color w:val="auto"/>
                <w:sz w:val="18"/>
                <w:szCs w:val="18"/>
              </w:rPr>
            </w:pPr>
            <w:r w:rsidRPr="0012175B">
              <w:rPr>
                <w:rFonts w:cs="Arial"/>
                <w:color w:val="auto"/>
                <w:sz w:val="18"/>
                <w:szCs w:val="18"/>
              </w:rPr>
              <w:t>Diseño y construcción Hogar Infantil Copetín  (Ibagué – Tolima) (En etapa de Diagnóstico)</w:t>
            </w:r>
          </w:p>
          <w:p w:rsidR="007B6477" w:rsidRPr="0012175B" w:rsidRDefault="007B6477" w:rsidP="00751035">
            <w:pPr>
              <w:rPr>
                <w:rFonts w:cs="Arial"/>
                <w:color w:val="auto"/>
                <w:sz w:val="18"/>
                <w:szCs w:val="18"/>
              </w:rPr>
            </w:pPr>
            <w:r w:rsidRPr="0012175B">
              <w:rPr>
                <w:rFonts w:cs="Arial"/>
                <w:color w:val="auto"/>
                <w:sz w:val="18"/>
                <w:szCs w:val="18"/>
              </w:rPr>
              <w:t>Construcción Bloque No. 1 Hogar Infantil Cafeteritos – (Toledo Norte de Santander) (En espera de entrega de estudios y diseños).</w:t>
            </w:r>
          </w:p>
          <w:p w:rsidR="007B6477" w:rsidRPr="0012175B" w:rsidRDefault="007B6477" w:rsidP="00751035">
            <w:pPr>
              <w:rPr>
                <w:rFonts w:cs="Arial"/>
                <w:color w:val="auto"/>
                <w:sz w:val="18"/>
                <w:szCs w:val="18"/>
              </w:rPr>
            </w:pPr>
            <w:r w:rsidRPr="0012175B">
              <w:rPr>
                <w:rFonts w:cs="Arial"/>
                <w:color w:val="auto"/>
                <w:sz w:val="18"/>
                <w:szCs w:val="18"/>
              </w:rPr>
              <w:t>Estudios y Diseños Hogar Infantil la Magdalena (Sogamoso – Boyacá)</w:t>
            </w:r>
          </w:p>
        </w:tc>
      </w:tr>
      <w:tr w:rsidR="007B6477" w:rsidRPr="0012175B" w:rsidTr="007D364A">
        <w:trPr>
          <w:trHeight w:val="20"/>
          <w:jc w:val="center"/>
        </w:trPr>
        <w:tc>
          <w:tcPr>
            <w:tcW w:w="0" w:type="auto"/>
            <w:shd w:val="clear" w:color="auto" w:fill="FFFFFF" w:themeFill="background1"/>
            <w:vAlign w:val="center"/>
            <w:hideMark/>
          </w:tcPr>
          <w:p w:rsidR="007B6477" w:rsidRPr="0012175B" w:rsidRDefault="007B6477" w:rsidP="00751035">
            <w:pPr>
              <w:rPr>
                <w:rFonts w:cs="Arial"/>
                <w:color w:val="auto"/>
                <w:sz w:val="18"/>
                <w:szCs w:val="18"/>
              </w:rPr>
            </w:pPr>
            <w:r w:rsidRPr="0012175B">
              <w:rPr>
                <w:rFonts w:cs="Arial"/>
                <w:color w:val="auto"/>
                <w:sz w:val="18"/>
                <w:szCs w:val="18"/>
              </w:rPr>
              <w:lastRenderedPageBreak/>
              <w:t>Convenio Interadministrativo 007 de 2016</w:t>
            </w:r>
          </w:p>
        </w:tc>
        <w:tc>
          <w:tcPr>
            <w:tcW w:w="0" w:type="auto"/>
            <w:shd w:val="clear" w:color="auto" w:fill="FFFFFF" w:themeFill="background1"/>
            <w:vAlign w:val="center"/>
            <w:hideMark/>
          </w:tcPr>
          <w:p w:rsidR="007B6477" w:rsidRPr="0012175B" w:rsidRDefault="007B6477" w:rsidP="00751035">
            <w:pPr>
              <w:rPr>
                <w:rFonts w:cs="Arial"/>
                <w:color w:val="auto"/>
                <w:sz w:val="18"/>
                <w:szCs w:val="18"/>
              </w:rPr>
            </w:pPr>
            <w:r w:rsidRPr="0012175B">
              <w:rPr>
                <w:rFonts w:cs="Arial"/>
                <w:color w:val="auto"/>
                <w:sz w:val="18"/>
                <w:szCs w:val="18"/>
              </w:rPr>
              <w:t>DAPRE - ICBF</w:t>
            </w:r>
          </w:p>
        </w:tc>
        <w:tc>
          <w:tcPr>
            <w:tcW w:w="0" w:type="auto"/>
            <w:shd w:val="clear" w:color="auto" w:fill="FFFFFF" w:themeFill="background1"/>
            <w:vAlign w:val="center"/>
            <w:hideMark/>
          </w:tcPr>
          <w:p w:rsidR="007B6477" w:rsidRPr="0012175B" w:rsidRDefault="007B6477" w:rsidP="00751035">
            <w:pPr>
              <w:rPr>
                <w:rFonts w:cs="Arial"/>
                <w:color w:val="auto"/>
                <w:sz w:val="18"/>
                <w:szCs w:val="18"/>
              </w:rPr>
            </w:pPr>
            <w:r w:rsidRPr="0012175B">
              <w:rPr>
                <w:rFonts w:cs="Arial"/>
                <w:color w:val="auto"/>
                <w:sz w:val="18"/>
                <w:szCs w:val="18"/>
              </w:rPr>
              <w:t xml:space="preserve"> DAPRE</w:t>
            </w:r>
          </w:p>
        </w:tc>
        <w:tc>
          <w:tcPr>
            <w:tcW w:w="0" w:type="auto"/>
            <w:shd w:val="clear" w:color="auto" w:fill="FFFFFF" w:themeFill="background1"/>
            <w:vAlign w:val="center"/>
            <w:hideMark/>
          </w:tcPr>
          <w:p w:rsidR="007B6477" w:rsidRPr="0012175B" w:rsidRDefault="007B6477" w:rsidP="00751035">
            <w:pPr>
              <w:rPr>
                <w:rFonts w:cs="Arial"/>
                <w:color w:val="auto"/>
                <w:sz w:val="18"/>
                <w:szCs w:val="18"/>
              </w:rPr>
            </w:pPr>
            <w:r w:rsidRPr="0012175B">
              <w:rPr>
                <w:rFonts w:cs="Arial"/>
                <w:color w:val="auto"/>
                <w:sz w:val="18"/>
                <w:szCs w:val="18"/>
              </w:rPr>
              <w:t>Aunar esfuerzos y recursos financieros, técnicos, administrativos logísticos y los demás que sean necesarios para definir, proponer, diseñar e implementar acciones que permitan desarrollar y ejecutar los lineamientos definidos para la atención de la primera infancia en el marco de la Estrategia de Atención Integral “De Cero a Siempre</w:t>
            </w:r>
          </w:p>
        </w:tc>
        <w:tc>
          <w:tcPr>
            <w:tcW w:w="0" w:type="auto"/>
            <w:shd w:val="clear" w:color="auto" w:fill="FFFFFF" w:themeFill="background1"/>
            <w:vAlign w:val="center"/>
            <w:hideMark/>
          </w:tcPr>
          <w:p w:rsidR="007B6477" w:rsidRPr="0012175B" w:rsidRDefault="007B6477" w:rsidP="00751035">
            <w:pPr>
              <w:rPr>
                <w:rFonts w:cs="Arial"/>
                <w:color w:val="auto"/>
                <w:sz w:val="18"/>
                <w:szCs w:val="18"/>
              </w:rPr>
            </w:pPr>
            <w:r w:rsidRPr="0012175B">
              <w:rPr>
                <w:rFonts w:cs="Arial"/>
                <w:color w:val="auto"/>
                <w:sz w:val="18"/>
                <w:szCs w:val="18"/>
              </w:rPr>
              <w:t>En ejecución: En etapa de diseños</w:t>
            </w:r>
          </w:p>
        </w:tc>
        <w:tc>
          <w:tcPr>
            <w:tcW w:w="0" w:type="auto"/>
            <w:shd w:val="clear" w:color="auto" w:fill="FFFFFF" w:themeFill="background1"/>
            <w:vAlign w:val="center"/>
            <w:hideMark/>
          </w:tcPr>
          <w:p w:rsidR="007B6477" w:rsidRPr="0012175B" w:rsidRDefault="007B6477" w:rsidP="00751035">
            <w:pPr>
              <w:rPr>
                <w:rFonts w:cs="Arial"/>
                <w:color w:val="auto"/>
                <w:sz w:val="18"/>
                <w:szCs w:val="18"/>
              </w:rPr>
            </w:pPr>
            <w:r w:rsidRPr="0012175B">
              <w:rPr>
                <w:rFonts w:cs="Arial"/>
                <w:color w:val="auto"/>
                <w:sz w:val="18"/>
                <w:szCs w:val="18"/>
              </w:rPr>
              <w:t>Diseño y construcción del CDI Vélez (Santander) para atención a 160 niños y niñas.</w:t>
            </w:r>
          </w:p>
          <w:p w:rsidR="007B6477" w:rsidRPr="0012175B" w:rsidRDefault="007B6477" w:rsidP="00751035">
            <w:pPr>
              <w:rPr>
                <w:rFonts w:cs="Arial"/>
                <w:color w:val="auto"/>
                <w:sz w:val="18"/>
                <w:szCs w:val="18"/>
              </w:rPr>
            </w:pPr>
            <w:r w:rsidRPr="0012175B">
              <w:rPr>
                <w:rFonts w:cs="Arial"/>
                <w:color w:val="auto"/>
                <w:sz w:val="18"/>
                <w:szCs w:val="18"/>
              </w:rPr>
              <w:t>Avance: Se llevó a cabo la topografía y en e</w:t>
            </w:r>
            <w:r w:rsidR="0012175B">
              <w:rPr>
                <w:rFonts w:cs="Arial"/>
                <w:color w:val="auto"/>
                <w:sz w:val="18"/>
                <w:szCs w:val="18"/>
              </w:rPr>
              <w:t xml:space="preserve">jecución de estudio de suelos. </w:t>
            </w:r>
          </w:p>
        </w:tc>
      </w:tr>
    </w:tbl>
    <w:p w:rsidR="007B6477" w:rsidRPr="00E2319F" w:rsidRDefault="007B6477" w:rsidP="007B6477">
      <w:pPr>
        <w:jc w:val="both"/>
        <w:rPr>
          <w:rFonts w:cs="Arial"/>
          <w:b/>
        </w:rPr>
      </w:pPr>
    </w:p>
    <w:p w:rsidR="007B6477" w:rsidRPr="00E2319F" w:rsidRDefault="007B6477" w:rsidP="007B6477">
      <w:pPr>
        <w:jc w:val="both"/>
        <w:rPr>
          <w:rFonts w:cs="Arial"/>
        </w:rPr>
      </w:pPr>
      <w:r w:rsidRPr="00E2319F">
        <w:rPr>
          <w:rFonts w:cs="Arial"/>
        </w:rPr>
        <w:t>En el marco del plan de acción de la coordinación del Grupo de Infraestructura Inmobiliaria, se desarrollaron en 2017 actividades adicionales, tales como:</w:t>
      </w:r>
    </w:p>
    <w:p w:rsidR="007B6477" w:rsidRPr="00E2319F" w:rsidRDefault="00AB6408" w:rsidP="007B6477">
      <w:pPr>
        <w:jc w:val="both"/>
        <w:rPr>
          <w:rFonts w:cs="Arial"/>
        </w:rPr>
      </w:pPr>
      <w:r>
        <w:rPr>
          <w:rFonts w:cs="Arial"/>
          <w:b/>
        </w:rPr>
        <w:lastRenderedPageBreak/>
        <w:t>Revisión de la Guía de I</w:t>
      </w:r>
      <w:r w:rsidR="007B6477" w:rsidRPr="00E2319F">
        <w:rPr>
          <w:rFonts w:cs="Arial"/>
          <w:b/>
        </w:rPr>
        <w:t xml:space="preserve">mplementación de proyectos de infraestructura de </w:t>
      </w:r>
      <w:r>
        <w:rPr>
          <w:rFonts w:cs="Arial"/>
          <w:b/>
        </w:rPr>
        <w:t>atención a primera i</w:t>
      </w:r>
      <w:r w:rsidR="007B6477" w:rsidRPr="00E2319F">
        <w:rPr>
          <w:rFonts w:cs="Arial"/>
          <w:b/>
        </w:rPr>
        <w:t>nfancia y Norma NTC 6199:</w:t>
      </w:r>
      <w:r w:rsidR="007B6477" w:rsidRPr="00E2319F">
        <w:rPr>
          <w:rFonts w:cs="Arial"/>
        </w:rPr>
        <w:t xml:space="preserve"> Se adelantó la verificación de los ajustes realizados a la Guía de Implementación de proyectos de Infraestructura de Atención a Primera Infancia versión 2016 con relación a la NTC 6199 con la Sub-Dirección Técnica de la Dirección de Primera Infancia, con el fin de realizar una mesa técnica con la Dirección de Primera Infancia para publicar un documento oficial con dichos ajustes.</w:t>
      </w:r>
    </w:p>
    <w:p w:rsidR="007B6477" w:rsidRPr="00E2319F" w:rsidRDefault="007B6477" w:rsidP="007B6477">
      <w:pPr>
        <w:jc w:val="both"/>
        <w:rPr>
          <w:rFonts w:cs="Arial"/>
        </w:rPr>
      </w:pPr>
      <w:r w:rsidRPr="00E2319F">
        <w:rPr>
          <w:rFonts w:cs="Arial"/>
          <w:b/>
        </w:rPr>
        <w:t>Apoyo a la supervisión de proyectos de infraestructura de atención a la primera infancia</w:t>
      </w:r>
      <w:r w:rsidRPr="00E2319F">
        <w:rPr>
          <w:rFonts w:cs="Arial"/>
        </w:rPr>
        <w:t>: apoyo a la supervisión de los contratos de obra 1539 y 1541 de 2015, y acompañamiento técnico a unidades de servicio del ICBF, entidades territoriales y terceros de acuerdo con las solicitudes realizadas; entre éstas se encuentra el Proyecto CDI Soacha y los 21 Proyectos CDI en el marco del convenio 330 MINVIVIENDA – FINDETER.</w:t>
      </w:r>
    </w:p>
    <w:p w:rsidR="007B6477" w:rsidRPr="00E2319F" w:rsidRDefault="007B6477" w:rsidP="007B6477">
      <w:pPr>
        <w:jc w:val="both"/>
        <w:rPr>
          <w:rFonts w:cs="Arial"/>
        </w:rPr>
      </w:pPr>
      <w:r w:rsidRPr="00E2319F">
        <w:rPr>
          <w:rFonts w:cs="Arial"/>
          <w:b/>
        </w:rPr>
        <w:t>Apoyo a la supervisión de proyectos de infraestructura de Atención de Primera Infancia en etapa de Liquidación</w:t>
      </w:r>
      <w:r w:rsidRPr="00E2319F">
        <w:rPr>
          <w:rFonts w:cs="Arial"/>
        </w:rPr>
        <w:t>: Se realizó apoyo al proceso de liquidación de los convenios con vigencias 2011, 2012 2013 Y 2014 que se veían adelantando el Grupo de Infraestructura correspondientes a Primera Infancia los cuales se relacionan a continuación.</w:t>
      </w:r>
    </w:p>
    <w:p w:rsidR="007B6477" w:rsidRPr="00E2319F" w:rsidRDefault="007B6477" w:rsidP="00A44A2B">
      <w:pPr>
        <w:pStyle w:val="Prrafodelista"/>
        <w:numPr>
          <w:ilvl w:val="0"/>
          <w:numId w:val="156"/>
        </w:numPr>
        <w:jc w:val="both"/>
        <w:rPr>
          <w:rFonts w:cs="Arial"/>
        </w:rPr>
      </w:pPr>
      <w:r w:rsidRPr="00E2319F">
        <w:rPr>
          <w:rFonts w:cs="Arial"/>
        </w:rPr>
        <w:t>Convenio No. 025 de 2009 Celebrado entre el ICBF, COMBARRANQUILLA y el DISTRITO DE BARRANQUILLA.</w:t>
      </w:r>
    </w:p>
    <w:p w:rsidR="007B6477" w:rsidRPr="00E2319F" w:rsidRDefault="007B6477" w:rsidP="00A44A2B">
      <w:pPr>
        <w:pStyle w:val="Prrafodelista"/>
        <w:numPr>
          <w:ilvl w:val="0"/>
          <w:numId w:val="156"/>
        </w:numPr>
        <w:jc w:val="both"/>
        <w:rPr>
          <w:rFonts w:cs="Arial"/>
        </w:rPr>
      </w:pPr>
      <w:r w:rsidRPr="00E2319F">
        <w:rPr>
          <w:rFonts w:cs="Arial"/>
        </w:rPr>
        <w:t>Convenio No. 468 de 2011 Celebrado entre el DAPRE e ICBF</w:t>
      </w:r>
    </w:p>
    <w:p w:rsidR="007B6477" w:rsidRPr="00E2319F" w:rsidRDefault="007B6477" w:rsidP="00A44A2B">
      <w:pPr>
        <w:pStyle w:val="Prrafodelista"/>
        <w:numPr>
          <w:ilvl w:val="0"/>
          <w:numId w:val="156"/>
        </w:numPr>
        <w:jc w:val="both"/>
        <w:rPr>
          <w:rFonts w:cs="Arial"/>
        </w:rPr>
      </w:pPr>
      <w:r w:rsidRPr="00E2319F">
        <w:rPr>
          <w:rFonts w:cs="Arial"/>
        </w:rPr>
        <w:t>Convenio No. 506 de 2011 Celebrado entre el ICBF, DAPRE, FUNDACIÓN PLAN y el MUNICIPIO DE VILLARICA</w:t>
      </w:r>
    </w:p>
    <w:p w:rsidR="007B6477" w:rsidRPr="00E2319F" w:rsidRDefault="007B6477" w:rsidP="00A44A2B">
      <w:pPr>
        <w:pStyle w:val="Prrafodelista"/>
        <w:numPr>
          <w:ilvl w:val="0"/>
          <w:numId w:val="156"/>
        </w:numPr>
        <w:jc w:val="both"/>
        <w:rPr>
          <w:rFonts w:cs="Arial"/>
        </w:rPr>
      </w:pPr>
      <w:r w:rsidRPr="00E2319F">
        <w:rPr>
          <w:rFonts w:cs="Arial"/>
        </w:rPr>
        <w:t>Convenio No. 3184 de 2012 Celebrado ICBF – DAPRE y LA FUNDACIÓN PLAN</w:t>
      </w:r>
    </w:p>
    <w:p w:rsidR="007B6477" w:rsidRPr="00E2319F" w:rsidRDefault="007B6477" w:rsidP="00A44A2B">
      <w:pPr>
        <w:pStyle w:val="Prrafodelista"/>
        <w:numPr>
          <w:ilvl w:val="0"/>
          <w:numId w:val="156"/>
        </w:numPr>
        <w:jc w:val="both"/>
        <w:rPr>
          <w:rFonts w:cs="Arial"/>
        </w:rPr>
      </w:pPr>
      <w:r w:rsidRPr="00E2319F">
        <w:rPr>
          <w:rFonts w:cs="Arial"/>
        </w:rPr>
        <w:t>Convenio No. 155-13 Celebrado entre el DAPRE y ICBF</w:t>
      </w:r>
    </w:p>
    <w:p w:rsidR="007B6477" w:rsidRPr="00E2319F" w:rsidRDefault="007B6477" w:rsidP="00A44A2B">
      <w:pPr>
        <w:pStyle w:val="Prrafodelista"/>
        <w:numPr>
          <w:ilvl w:val="0"/>
          <w:numId w:val="156"/>
        </w:numPr>
        <w:jc w:val="both"/>
        <w:rPr>
          <w:rFonts w:cs="Arial"/>
        </w:rPr>
      </w:pPr>
      <w:r w:rsidRPr="00E2319F">
        <w:rPr>
          <w:rFonts w:cs="Arial"/>
        </w:rPr>
        <w:t>Los Convenios Liquidados por el Grupo de Primera Infancia son:</w:t>
      </w:r>
    </w:p>
    <w:p w:rsidR="007B6477" w:rsidRPr="00E2319F" w:rsidRDefault="007B6477" w:rsidP="00A44A2B">
      <w:pPr>
        <w:pStyle w:val="Prrafodelista"/>
        <w:numPr>
          <w:ilvl w:val="0"/>
          <w:numId w:val="156"/>
        </w:numPr>
        <w:jc w:val="both"/>
        <w:rPr>
          <w:rFonts w:cs="Arial"/>
        </w:rPr>
      </w:pPr>
      <w:r w:rsidRPr="00E2319F">
        <w:rPr>
          <w:rFonts w:cs="Arial"/>
        </w:rPr>
        <w:t>Convenio No. 501 de 2011 Celebrado entre el ICBF y LA FUNDACIÓN PLAN.</w:t>
      </w:r>
    </w:p>
    <w:p w:rsidR="007B6477" w:rsidRPr="00E2319F" w:rsidRDefault="007B6477" w:rsidP="00A44A2B">
      <w:pPr>
        <w:pStyle w:val="Prrafodelista"/>
        <w:numPr>
          <w:ilvl w:val="0"/>
          <w:numId w:val="156"/>
        </w:numPr>
        <w:jc w:val="both"/>
        <w:rPr>
          <w:rFonts w:cs="Arial"/>
        </w:rPr>
      </w:pPr>
      <w:r w:rsidRPr="00E2319F">
        <w:rPr>
          <w:rFonts w:cs="Arial"/>
        </w:rPr>
        <w:t>Convenio No. 517 de 2011 Celebrado entre el ICBF y LA FUNDACIÓN PLAN.</w:t>
      </w:r>
    </w:p>
    <w:p w:rsidR="007B6477" w:rsidRPr="00E2319F" w:rsidRDefault="007B6477" w:rsidP="00A44A2B">
      <w:pPr>
        <w:pStyle w:val="Prrafodelista"/>
        <w:numPr>
          <w:ilvl w:val="0"/>
          <w:numId w:val="156"/>
        </w:numPr>
        <w:jc w:val="both"/>
        <w:rPr>
          <w:rFonts w:cs="Arial"/>
        </w:rPr>
      </w:pPr>
      <w:r w:rsidRPr="00E2319F">
        <w:rPr>
          <w:rFonts w:cs="Arial"/>
        </w:rPr>
        <w:t>Convenio Interadministrativo No. 3184-12 Celebrado entre el ICBF, DAPRE y FUNDACIÓN PLAN.</w:t>
      </w:r>
    </w:p>
    <w:p w:rsidR="007B6477" w:rsidRPr="00E2319F" w:rsidRDefault="007B6477" w:rsidP="00A44A2B">
      <w:pPr>
        <w:pStyle w:val="Prrafodelista"/>
        <w:numPr>
          <w:ilvl w:val="0"/>
          <w:numId w:val="156"/>
        </w:numPr>
        <w:jc w:val="both"/>
        <w:rPr>
          <w:rFonts w:cs="Arial"/>
        </w:rPr>
      </w:pPr>
      <w:r w:rsidRPr="00E2319F">
        <w:rPr>
          <w:rFonts w:cs="Arial"/>
        </w:rPr>
        <w:t>Convenio No. 1637-13 Celebrado entre el ICBF y LA FUNDACIÓN PLAN.</w:t>
      </w:r>
    </w:p>
    <w:p w:rsidR="007B6477" w:rsidRPr="00E2319F" w:rsidRDefault="007B6477" w:rsidP="00A44A2B">
      <w:pPr>
        <w:pStyle w:val="Prrafodelista"/>
        <w:numPr>
          <w:ilvl w:val="0"/>
          <w:numId w:val="156"/>
        </w:numPr>
        <w:jc w:val="both"/>
        <w:rPr>
          <w:rFonts w:cs="Arial"/>
        </w:rPr>
      </w:pPr>
      <w:r w:rsidRPr="00E2319F">
        <w:rPr>
          <w:rFonts w:cs="Arial"/>
        </w:rPr>
        <w:t>Convenio No. 1638-13 Celebrado entre el ICBF, DISTRITO DE BUENAVENTURA y LAFUNDACIÓN CARVAJAL)</w:t>
      </w:r>
    </w:p>
    <w:p w:rsidR="007B6477" w:rsidRPr="00E2319F" w:rsidRDefault="007B6477" w:rsidP="00A44A2B">
      <w:pPr>
        <w:pStyle w:val="Prrafodelista"/>
        <w:numPr>
          <w:ilvl w:val="0"/>
          <w:numId w:val="156"/>
        </w:numPr>
        <w:jc w:val="both"/>
        <w:rPr>
          <w:rFonts w:cs="Arial"/>
        </w:rPr>
      </w:pPr>
      <w:r w:rsidRPr="00E2319F">
        <w:rPr>
          <w:rFonts w:cs="Arial"/>
        </w:rPr>
        <w:lastRenderedPageBreak/>
        <w:t>Convenio No. 1640-13 Celebrado entre el ICBF, MUNICIPIO DE IBAGUE y COMFENALCO TOLIMA</w:t>
      </w:r>
    </w:p>
    <w:p w:rsidR="007B6477" w:rsidRPr="00E2319F" w:rsidRDefault="007B6477" w:rsidP="00A44A2B">
      <w:pPr>
        <w:pStyle w:val="Prrafodelista"/>
        <w:numPr>
          <w:ilvl w:val="0"/>
          <w:numId w:val="156"/>
        </w:numPr>
        <w:jc w:val="both"/>
        <w:rPr>
          <w:rFonts w:cs="Arial"/>
        </w:rPr>
      </w:pPr>
      <w:r w:rsidRPr="00E2319F">
        <w:rPr>
          <w:rFonts w:cs="Arial"/>
        </w:rPr>
        <w:t>Convenio No. 1296 de 2014 Celebrado entre el ICBF y el DISTRITO DE BARRANQUILLA.</w:t>
      </w:r>
    </w:p>
    <w:p w:rsidR="007B6477" w:rsidRPr="00E2319F" w:rsidRDefault="007B6477" w:rsidP="007B6477">
      <w:pPr>
        <w:jc w:val="both"/>
        <w:rPr>
          <w:rFonts w:cs="Arial"/>
          <w:b/>
        </w:rPr>
      </w:pPr>
      <w:bookmarkStart w:id="165" w:name="_Toc503465550"/>
      <w:r w:rsidRPr="00E2319F">
        <w:rPr>
          <w:rFonts w:cs="Arial"/>
          <w:b/>
        </w:rPr>
        <w:t>GESTION DE INFRAESTRUCTURA EN LAS SEDES DE ATENCION AL SISTEMA DE RESPONSABILIDAD PENAL PARA ADOLESCENTES</w:t>
      </w:r>
      <w:bookmarkEnd w:id="165"/>
      <w:r w:rsidRPr="00E2319F">
        <w:rPr>
          <w:rFonts w:cs="Arial"/>
          <w:b/>
        </w:rPr>
        <w:t xml:space="preserve"> </w:t>
      </w:r>
    </w:p>
    <w:p w:rsidR="007B6477" w:rsidRPr="00E2319F" w:rsidRDefault="007B6477" w:rsidP="007B6477">
      <w:pPr>
        <w:jc w:val="both"/>
        <w:rPr>
          <w:rFonts w:cs="Arial"/>
        </w:rPr>
      </w:pPr>
      <w:r w:rsidRPr="00E2319F">
        <w:rPr>
          <w:rFonts w:cs="Arial"/>
        </w:rPr>
        <w:t xml:space="preserve">Durante el periodo de reporte el ICBF invirtió recursos en estudios y diseños, construcción, mantenimientos y adecuaciones a la Infraestructura para el funcionamiento del SRPA, para responder al enfoque del marco de justicia restaurativa, pedagógica y de protección del Código de Infancia y Adolescencia, mediante intervenciones en centros existentes para cualificar la oferta instalada o mediante el desarrollo de nuevos proyectos que reconozcan la finalidad “pedagógica, especifica y diferenciada respecto al sistema de adultos, conforme a la protección integral” (Art. 140, Ley 1098 del 2006). </w:t>
      </w:r>
    </w:p>
    <w:p w:rsidR="007B6477" w:rsidRPr="00E2319F" w:rsidRDefault="007B6477" w:rsidP="007B6477">
      <w:pPr>
        <w:jc w:val="both"/>
        <w:rPr>
          <w:rFonts w:cs="Arial"/>
        </w:rPr>
      </w:pPr>
      <w:r w:rsidRPr="00E2319F">
        <w:rPr>
          <w:rFonts w:cs="Arial"/>
          <w:b/>
        </w:rPr>
        <w:t>Estructuración de procesos:</w:t>
      </w:r>
      <w:r w:rsidRPr="00E2319F">
        <w:rPr>
          <w:rFonts w:cs="Arial"/>
        </w:rPr>
        <w:t xml:space="preserve"> El Grupo de Infraestructura Inmobiliaria ha venido trabajando en el mejoramiento y construcción de Centros de Atención Especializada, realizando a la fecha estudios y obras para la ampliación y el mantenimiento de los Centros denominados El Redentor, Carlos Lleras Restrepo, Asomenores, CROMI de Valledupar, Santo Ángel, CAE Chocó, Granja Manare, Valle de Lili, Luis A. Rengifo, estos tres últimos en comodato mientras que los demás son de propiedad del ICBF, estudios para la nueva construcción del Centro Integral del Huila.</w:t>
      </w:r>
    </w:p>
    <w:p w:rsidR="007B6477" w:rsidRPr="00E2319F" w:rsidRDefault="007B6477" w:rsidP="007B6477">
      <w:pPr>
        <w:jc w:val="both"/>
        <w:rPr>
          <w:rFonts w:cs="Arial"/>
        </w:rPr>
      </w:pPr>
      <w:r w:rsidRPr="00E2319F">
        <w:rPr>
          <w:rFonts w:cs="Arial"/>
        </w:rPr>
        <w:t>El 07 de noviembre de 2017, se suscribió el contrato interadministrativo No. 1743 de 2017 entre el ICBF y Findeter, cuyo objeto es “prestar el servicio de asistencia técnica para el desarrollo integral de los proyectos y/o programas en materia de infraestructura que requiera el ICBF”.</w:t>
      </w:r>
    </w:p>
    <w:p w:rsidR="007B6477" w:rsidRPr="00E2319F" w:rsidRDefault="007B6477" w:rsidP="007B6477">
      <w:pPr>
        <w:jc w:val="both"/>
        <w:rPr>
          <w:rFonts w:cs="Arial"/>
        </w:rPr>
      </w:pPr>
      <w:r w:rsidRPr="00E2319F">
        <w:rPr>
          <w:rFonts w:cs="Arial"/>
        </w:rPr>
        <w:t>Findeter: Se avanza en la ejecución y seguimiento del contrato suscrito con FINDETER   el 20 de septiembre de 2016, No. 1564 de 2016, cuyo objeto es: “Prestar el servicio de asistencia técnica para el desarrollo de proyectos en el marco de la aplicación primaria del Plan de Intervención de la Infraestructura del ICBF”</w:t>
      </w:r>
    </w:p>
    <w:p w:rsidR="007B6477" w:rsidRPr="00E2319F" w:rsidRDefault="007B6477" w:rsidP="007B6477">
      <w:pPr>
        <w:jc w:val="both"/>
        <w:rPr>
          <w:rFonts w:cs="Arial"/>
        </w:rPr>
      </w:pPr>
      <w:r w:rsidRPr="00E2319F">
        <w:rPr>
          <w:rFonts w:cs="Arial"/>
        </w:rPr>
        <w:t>Sancionatorios: Se avanzó en el proceso administrativo sancionatorio por presunto incumplimiento contra los Contratos No. 2428 de 2012, 1517 y 1553 de 2016 y el convenio No. 1641 de 2013, este último se firmó prorroga el 3 de noviembre de 2017.</w:t>
      </w:r>
    </w:p>
    <w:p w:rsidR="007B6477" w:rsidRPr="00E2319F" w:rsidRDefault="007B6477" w:rsidP="007B6477">
      <w:pPr>
        <w:jc w:val="both"/>
        <w:rPr>
          <w:rFonts w:cs="Arial"/>
        </w:rPr>
      </w:pPr>
      <w:r w:rsidRPr="00E2319F">
        <w:rPr>
          <w:rFonts w:cs="Arial"/>
        </w:rPr>
        <w:t>Asesorías y acompañamientos: Se realizaron asesorías y apoyos a la Subdirección de Responsabilidad Penal con respecto a la revisión arquitectónica de proyectos de las entidades territoriales como el caso de Ciénaga, Santa Martha, Arauca y Mocoa.</w:t>
      </w:r>
    </w:p>
    <w:p w:rsidR="007B6477" w:rsidRPr="00E2319F" w:rsidRDefault="007B6477" w:rsidP="007B6477">
      <w:pPr>
        <w:jc w:val="both"/>
        <w:rPr>
          <w:rFonts w:cs="Arial"/>
        </w:rPr>
      </w:pPr>
      <w:r w:rsidRPr="00E2319F">
        <w:rPr>
          <w:rFonts w:cs="Arial"/>
        </w:rPr>
        <w:t xml:space="preserve">Gestión documental: Se recopiló y se realizó la revisión de la información y documentación del proyecto Granja Manare, Valle de Lili y el Redentor del convenio 525 de 2011 – FONADE. Se </w:t>
      </w:r>
      <w:r w:rsidRPr="00E2319F">
        <w:rPr>
          <w:rFonts w:cs="Arial"/>
        </w:rPr>
        <w:lastRenderedPageBreak/>
        <w:t>realizaron los requerimientos para que sean subsanadas a través del equipo de convenios y los mismos fueron subsanados por la entidad.</w:t>
      </w:r>
    </w:p>
    <w:p w:rsidR="007B6477" w:rsidRPr="00E2319F" w:rsidRDefault="007B6477" w:rsidP="007B6477">
      <w:pPr>
        <w:jc w:val="both"/>
        <w:rPr>
          <w:rFonts w:cs="Arial"/>
        </w:rPr>
      </w:pPr>
      <w:r w:rsidRPr="00E2319F">
        <w:rPr>
          <w:rFonts w:cs="Arial"/>
        </w:rPr>
        <w:t>Transferencia de recursos a Direcciones Regionales: Se trasladaron recursos a 11 regionales por valor de $3.186.505.253.86 de los cuales se contrataron $838.667.153.oo a través de 7 contratos.</w:t>
      </w:r>
    </w:p>
    <w:p w:rsidR="007B6477" w:rsidRDefault="007D364A" w:rsidP="007D364A">
      <w:pPr>
        <w:spacing w:after="0"/>
        <w:jc w:val="center"/>
        <w:rPr>
          <w:rFonts w:cs="Arial"/>
          <w:b/>
        </w:rPr>
      </w:pPr>
      <w:r>
        <w:rPr>
          <w:rFonts w:cs="Arial"/>
          <w:b/>
        </w:rPr>
        <w:t>Distribución de R</w:t>
      </w:r>
      <w:r w:rsidR="007B6477" w:rsidRPr="00E2319F">
        <w:rPr>
          <w:rFonts w:cs="Arial"/>
          <w:b/>
        </w:rPr>
        <w:t>ecurs</w:t>
      </w:r>
      <w:r>
        <w:rPr>
          <w:rFonts w:cs="Arial"/>
          <w:b/>
        </w:rPr>
        <w:t>os R</w:t>
      </w:r>
      <w:r w:rsidR="007B6477" w:rsidRPr="00E2319F">
        <w:rPr>
          <w:rFonts w:cs="Arial"/>
          <w:b/>
        </w:rPr>
        <w:t xml:space="preserve">egionales </w:t>
      </w:r>
      <w:r>
        <w:rPr>
          <w:rFonts w:cs="Arial"/>
          <w:b/>
        </w:rPr>
        <w:t>–</w:t>
      </w:r>
      <w:r w:rsidR="007B6477" w:rsidRPr="00E2319F">
        <w:rPr>
          <w:rFonts w:cs="Arial"/>
          <w:b/>
        </w:rPr>
        <w:t xml:space="preserve"> SRPA</w:t>
      </w:r>
    </w:p>
    <w:p w:rsidR="007D364A" w:rsidRPr="00E2319F" w:rsidRDefault="007D364A" w:rsidP="007D364A">
      <w:pPr>
        <w:spacing w:after="0"/>
        <w:jc w:val="center"/>
        <w:rPr>
          <w:rFonts w:cs="Arial"/>
          <w:b/>
        </w:rPr>
      </w:pPr>
    </w:p>
    <w:tbl>
      <w:tblPr>
        <w:tblpPr w:leftFromText="141" w:rightFromText="141" w:vertAnchor="text" w:horzAnchor="margin" w:tblpXSpec="center" w:tblpY="509"/>
        <w:tblW w:w="9134"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049"/>
        <w:gridCol w:w="2913"/>
        <w:gridCol w:w="1807"/>
        <w:gridCol w:w="1678"/>
        <w:gridCol w:w="1687"/>
      </w:tblGrid>
      <w:tr w:rsidR="007B6477" w:rsidRPr="00AB6408" w:rsidTr="00AB6408">
        <w:trPr>
          <w:trHeight w:val="50"/>
          <w:tblHeader/>
        </w:trPr>
        <w:tc>
          <w:tcPr>
            <w:tcW w:w="1049" w:type="dxa"/>
            <w:shd w:val="clear" w:color="auto" w:fill="76922E"/>
            <w:noWrap/>
            <w:vAlign w:val="center"/>
            <w:hideMark/>
          </w:tcPr>
          <w:p w:rsidR="007B6477" w:rsidRPr="00537665" w:rsidRDefault="00AB6408" w:rsidP="00537665">
            <w:pPr>
              <w:spacing w:before="100" w:beforeAutospacing="1" w:after="100" w:afterAutospacing="1" w:line="240" w:lineRule="auto"/>
              <w:jc w:val="center"/>
              <w:rPr>
                <w:rFonts w:eastAsia="Times New Roman" w:cs="Arial"/>
                <w:b/>
                <w:bCs/>
                <w:color w:val="FFFFFF" w:themeColor="background1"/>
                <w:sz w:val="18"/>
                <w:szCs w:val="18"/>
                <w:lang w:eastAsia="es-ES"/>
              </w:rPr>
            </w:pPr>
            <w:r w:rsidRPr="00537665">
              <w:rPr>
                <w:rFonts w:eastAsia="Times New Roman" w:cs="Arial"/>
                <w:b/>
                <w:bCs/>
                <w:color w:val="FFFFFF" w:themeColor="background1"/>
                <w:sz w:val="18"/>
                <w:szCs w:val="18"/>
                <w:lang w:eastAsia="es-ES"/>
              </w:rPr>
              <w:t>Regional</w:t>
            </w:r>
          </w:p>
        </w:tc>
        <w:tc>
          <w:tcPr>
            <w:tcW w:w="2913" w:type="dxa"/>
            <w:shd w:val="clear" w:color="auto" w:fill="76922E"/>
            <w:noWrap/>
            <w:vAlign w:val="center"/>
            <w:hideMark/>
          </w:tcPr>
          <w:p w:rsidR="007B6477" w:rsidRPr="00537665" w:rsidRDefault="00AB6408" w:rsidP="00537665">
            <w:pPr>
              <w:spacing w:before="100" w:beforeAutospacing="1" w:after="100" w:afterAutospacing="1" w:line="240" w:lineRule="auto"/>
              <w:jc w:val="center"/>
              <w:rPr>
                <w:rFonts w:eastAsia="Times New Roman" w:cs="Arial"/>
                <w:b/>
                <w:bCs/>
                <w:color w:val="FFFFFF" w:themeColor="background1"/>
                <w:sz w:val="18"/>
                <w:szCs w:val="18"/>
                <w:lang w:eastAsia="es-ES"/>
              </w:rPr>
            </w:pPr>
            <w:r w:rsidRPr="00537665">
              <w:rPr>
                <w:rFonts w:eastAsia="Times New Roman" w:cs="Arial"/>
                <w:b/>
                <w:bCs/>
                <w:color w:val="FFFFFF" w:themeColor="background1"/>
                <w:sz w:val="18"/>
                <w:szCs w:val="18"/>
                <w:lang w:eastAsia="es-ES"/>
              </w:rPr>
              <w:t>Objeto de la Contratación</w:t>
            </w:r>
          </w:p>
        </w:tc>
        <w:tc>
          <w:tcPr>
            <w:tcW w:w="1807" w:type="dxa"/>
            <w:shd w:val="clear" w:color="auto" w:fill="76922E"/>
            <w:noWrap/>
            <w:vAlign w:val="center"/>
            <w:hideMark/>
          </w:tcPr>
          <w:p w:rsidR="007B6477" w:rsidRPr="00537665" w:rsidRDefault="00AB6408" w:rsidP="00537665">
            <w:pPr>
              <w:spacing w:before="100" w:beforeAutospacing="1" w:after="100" w:afterAutospacing="1" w:line="240" w:lineRule="auto"/>
              <w:jc w:val="center"/>
              <w:rPr>
                <w:rFonts w:eastAsia="Times New Roman" w:cs="Arial"/>
                <w:b/>
                <w:bCs/>
                <w:color w:val="FFFFFF" w:themeColor="background1"/>
                <w:sz w:val="18"/>
                <w:szCs w:val="18"/>
                <w:lang w:eastAsia="es-ES"/>
              </w:rPr>
            </w:pPr>
            <w:r w:rsidRPr="00537665">
              <w:rPr>
                <w:rFonts w:eastAsia="Times New Roman" w:cs="Arial"/>
                <w:b/>
                <w:bCs/>
                <w:color w:val="FFFFFF" w:themeColor="background1"/>
                <w:sz w:val="18"/>
                <w:szCs w:val="18"/>
                <w:lang w:eastAsia="es-ES"/>
              </w:rPr>
              <w:t>Valor Trasladado</w:t>
            </w:r>
          </w:p>
        </w:tc>
        <w:tc>
          <w:tcPr>
            <w:tcW w:w="1678" w:type="dxa"/>
            <w:shd w:val="clear" w:color="auto" w:fill="76922E"/>
            <w:noWrap/>
            <w:vAlign w:val="center"/>
            <w:hideMark/>
          </w:tcPr>
          <w:p w:rsidR="007B6477" w:rsidRPr="00537665" w:rsidRDefault="00AB6408" w:rsidP="00537665">
            <w:pPr>
              <w:spacing w:before="100" w:beforeAutospacing="1" w:after="100" w:afterAutospacing="1" w:line="240" w:lineRule="auto"/>
              <w:jc w:val="center"/>
              <w:rPr>
                <w:rFonts w:eastAsia="Times New Roman" w:cs="Arial"/>
                <w:b/>
                <w:bCs/>
                <w:color w:val="FFFFFF" w:themeColor="background1"/>
                <w:sz w:val="18"/>
                <w:szCs w:val="18"/>
                <w:lang w:eastAsia="es-ES"/>
              </w:rPr>
            </w:pPr>
            <w:r w:rsidRPr="00537665">
              <w:rPr>
                <w:rFonts w:eastAsia="Times New Roman" w:cs="Arial"/>
                <w:b/>
                <w:bCs/>
                <w:color w:val="FFFFFF" w:themeColor="background1"/>
                <w:sz w:val="18"/>
                <w:szCs w:val="18"/>
                <w:lang w:eastAsia="es-ES"/>
              </w:rPr>
              <w:t>Total Contratado</w:t>
            </w:r>
          </w:p>
        </w:tc>
        <w:tc>
          <w:tcPr>
            <w:tcW w:w="1687" w:type="dxa"/>
            <w:shd w:val="clear" w:color="auto" w:fill="76922E"/>
            <w:noWrap/>
            <w:vAlign w:val="center"/>
            <w:hideMark/>
          </w:tcPr>
          <w:p w:rsidR="007B6477" w:rsidRPr="00537665" w:rsidRDefault="00AB6408" w:rsidP="00537665">
            <w:pPr>
              <w:spacing w:before="100" w:beforeAutospacing="1" w:after="100" w:afterAutospacing="1" w:line="240" w:lineRule="auto"/>
              <w:jc w:val="center"/>
              <w:rPr>
                <w:rFonts w:eastAsia="Times New Roman" w:cs="Arial"/>
                <w:b/>
                <w:bCs/>
                <w:color w:val="FFFFFF" w:themeColor="background1"/>
                <w:sz w:val="18"/>
                <w:szCs w:val="18"/>
                <w:lang w:eastAsia="es-ES"/>
              </w:rPr>
            </w:pPr>
            <w:r w:rsidRPr="00537665">
              <w:rPr>
                <w:rFonts w:eastAsia="Times New Roman" w:cs="Arial"/>
                <w:b/>
                <w:bCs/>
                <w:color w:val="FFFFFF" w:themeColor="background1"/>
                <w:sz w:val="18"/>
                <w:szCs w:val="18"/>
                <w:lang w:eastAsia="es-ES"/>
              </w:rPr>
              <w:t>Valor a Devolver</w:t>
            </w:r>
          </w:p>
        </w:tc>
      </w:tr>
      <w:tr w:rsidR="007B6477" w:rsidRPr="00AB6408" w:rsidTr="00AB6408">
        <w:trPr>
          <w:trHeight w:val="151"/>
        </w:trPr>
        <w:tc>
          <w:tcPr>
            <w:tcW w:w="1049"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Tolima</w:t>
            </w:r>
          </w:p>
        </w:tc>
        <w:tc>
          <w:tcPr>
            <w:tcW w:w="2913" w:type="dxa"/>
            <w:shd w:val="clear" w:color="auto" w:fill="auto"/>
            <w:noWrap/>
            <w:vAlign w:val="center"/>
            <w:hideMark/>
          </w:tcPr>
          <w:p w:rsidR="007B6477" w:rsidRPr="00AB6408" w:rsidRDefault="009E56CA" w:rsidP="009E56CA">
            <w:pPr>
              <w:spacing w:before="100" w:beforeAutospacing="1" w:after="100" w:afterAutospacing="1" w:line="240" w:lineRule="auto"/>
              <w:rPr>
                <w:rFonts w:eastAsia="Times New Roman" w:cs="Arial"/>
                <w:sz w:val="18"/>
                <w:szCs w:val="18"/>
                <w:lang w:val="es-CO" w:eastAsia="es-CO"/>
              </w:rPr>
            </w:pPr>
            <w:r>
              <w:rPr>
                <w:rFonts w:eastAsia="Times New Roman" w:cs="Arial"/>
                <w:sz w:val="18"/>
                <w:szCs w:val="18"/>
                <w:lang w:val="es-CO" w:eastAsia="es-CO"/>
              </w:rPr>
              <w:t>Adecuaciones y reparaciones l</w:t>
            </w:r>
            <w:r w:rsidR="00AB6408">
              <w:rPr>
                <w:rFonts w:eastAsia="Times New Roman" w:cs="Arial"/>
                <w:sz w:val="18"/>
                <w:szCs w:val="18"/>
                <w:lang w:val="es-CO" w:eastAsia="es-CO"/>
              </w:rPr>
              <w:t>ocativas d</w:t>
            </w:r>
            <w:r w:rsidR="00AB6408" w:rsidRPr="00AB6408">
              <w:rPr>
                <w:rFonts w:eastAsia="Times New Roman" w:cs="Arial"/>
                <w:sz w:val="18"/>
                <w:szCs w:val="18"/>
                <w:lang w:val="es-CO" w:eastAsia="es-CO"/>
              </w:rPr>
              <w:t>el Centro Femenino Kiwanis</w:t>
            </w:r>
          </w:p>
        </w:tc>
        <w:tc>
          <w:tcPr>
            <w:tcW w:w="1807"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131.340.996,00 </w:t>
            </w:r>
          </w:p>
        </w:tc>
        <w:tc>
          <w:tcPr>
            <w:tcW w:w="1678"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$ 119.400.905,00 </w:t>
            </w:r>
          </w:p>
        </w:tc>
        <w:tc>
          <w:tcPr>
            <w:tcW w:w="1687"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11.940.091,00 </w:t>
            </w:r>
          </w:p>
        </w:tc>
      </w:tr>
      <w:tr w:rsidR="007B6477" w:rsidRPr="00AB6408" w:rsidTr="00AB6408">
        <w:trPr>
          <w:trHeight w:val="151"/>
        </w:trPr>
        <w:tc>
          <w:tcPr>
            <w:tcW w:w="1049" w:type="dxa"/>
            <w:shd w:val="clear" w:color="000000" w:fill="FFFFFF"/>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Nariño</w:t>
            </w:r>
          </w:p>
        </w:tc>
        <w:tc>
          <w:tcPr>
            <w:tcW w:w="2913" w:type="dxa"/>
            <w:shd w:val="clear" w:color="auto" w:fill="auto"/>
            <w:noWrap/>
            <w:vAlign w:val="center"/>
            <w:hideMark/>
          </w:tcPr>
          <w:p w:rsidR="007B6477" w:rsidRPr="00AB6408" w:rsidRDefault="00AB6408" w:rsidP="009E56CA">
            <w:pPr>
              <w:spacing w:before="100" w:beforeAutospacing="1" w:after="100" w:afterAutospacing="1" w:line="240" w:lineRule="auto"/>
              <w:rPr>
                <w:rFonts w:eastAsia="Times New Roman" w:cs="Arial"/>
                <w:sz w:val="18"/>
                <w:szCs w:val="18"/>
                <w:lang w:val="es-CO" w:eastAsia="es-CO"/>
              </w:rPr>
            </w:pPr>
            <w:r w:rsidRPr="00AB6408">
              <w:rPr>
                <w:rFonts w:eastAsia="Times New Roman" w:cs="Arial"/>
                <w:sz w:val="18"/>
                <w:szCs w:val="18"/>
                <w:lang w:val="es-CO" w:eastAsia="es-CO"/>
              </w:rPr>
              <w:t>Repa</w:t>
            </w:r>
            <w:r w:rsidR="009E56CA">
              <w:rPr>
                <w:rFonts w:eastAsia="Times New Roman" w:cs="Arial"/>
                <w:sz w:val="18"/>
                <w:szCs w:val="18"/>
                <w:lang w:val="es-CO" w:eastAsia="es-CO"/>
              </w:rPr>
              <w:t>raciones locativas c</w:t>
            </w:r>
            <w:r>
              <w:rPr>
                <w:rFonts w:eastAsia="Times New Roman" w:cs="Arial"/>
                <w:sz w:val="18"/>
                <w:szCs w:val="18"/>
                <w:lang w:val="es-CO" w:eastAsia="es-CO"/>
              </w:rPr>
              <w:t>erramiento y</w:t>
            </w:r>
            <w:r w:rsidR="009E56CA">
              <w:rPr>
                <w:rFonts w:eastAsia="Times New Roman" w:cs="Arial"/>
                <w:sz w:val="18"/>
                <w:szCs w:val="18"/>
                <w:lang w:val="es-CO" w:eastAsia="es-CO"/>
              </w:rPr>
              <w:t xml:space="preserve"> c</w:t>
            </w:r>
            <w:r w:rsidRPr="00AB6408">
              <w:rPr>
                <w:rFonts w:eastAsia="Times New Roman" w:cs="Arial"/>
                <w:sz w:val="18"/>
                <w:szCs w:val="18"/>
                <w:lang w:val="es-CO" w:eastAsia="es-CO"/>
              </w:rPr>
              <w:t>ubiertas Centro Santo Ángel</w:t>
            </w:r>
          </w:p>
        </w:tc>
        <w:tc>
          <w:tcPr>
            <w:tcW w:w="1807"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140.280.183,00 </w:t>
            </w:r>
          </w:p>
        </w:tc>
        <w:tc>
          <w:tcPr>
            <w:tcW w:w="1678"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$ 140.280.183,00 </w:t>
            </w:r>
          </w:p>
        </w:tc>
        <w:tc>
          <w:tcPr>
            <w:tcW w:w="1687"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   </w:t>
            </w:r>
          </w:p>
        </w:tc>
      </w:tr>
      <w:tr w:rsidR="007B6477" w:rsidRPr="00AB6408" w:rsidTr="00AB6408">
        <w:trPr>
          <w:trHeight w:val="302"/>
        </w:trPr>
        <w:tc>
          <w:tcPr>
            <w:tcW w:w="1049"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Valle</w:t>
            </w:r>
          </w:p>
        </w:tc>
        <w:tc>
          <w:tcPr>
            <w:tcW w:w="2913" w:type="dxa"/>
            <w:shd w:val="clear" w:color="auto" w:fill="auto"/>
            <w:vAlign w:val="center"/>
            <w:hideMark/>
          </w:tcPr>
          <w:p w:rsidR="007B6477" w:rsidRPr="00AB6408" w:rsidRDefault="00AB6408" w:rsidP="009E56CA">
            <w:pPr>
              <w:spacing w:before="100" w:beforeAutospacing="1" w:after="100" w:afterAutospacing="1" w:line="240" w:lineRule="auto"/>
              <w:rPr>
                <w:rFonts w:eastAsia="Times New Roman" w:cs="Arial"/>
                <w:sz w:val="18"/>
                <w:szCs w:val="18"/>
                <w:lang w:val="es-CO" w:eastAsia="es-CO"/>
              </w:rPr>
            </w:pPr>
            <w:r w:rsidRPr="00AB6408">
              <w:rPr>
                <w:rFonts w:eastAsia="Times New Roman" w:cs="Arial"/>
                <w:sz w:val="18"/>
                <w:szCs w:val="18"/>
                <w:lang w:val="es-CO" w:eastAsia="es-CO"/>
              </w:rPr>
              <w:t xml:space="preserve">Adecuaciones </w:t>
            </w:r>
            <w:r w:rsidR="009E56CA">
              <w:rPr>
                <w:rFonts w:eastAsia="Times New Roman" w:cs="Arial"/>
                <w:sz w:val="18"/>
                <w:szCs w:val="18"/>
                <w:lang w:val="es-CO" w:eastAsia="es-CO"/>
              </w:rPr>
              <w:t>y reparaciones Locativas de los Bloques Centro Cerrado y Talleres en e</w:t>
            </w:r>
            <w:r w:rsidRPr="00AB6408">
              <w:rPr>
                <w:rFonts w:eastAsia="Times New Roman" w:cs="Arial"/>
                <w:sz w:val="18"/>
                <w:szCs w:val="18"/>
                <w:lang w:val="es-CO" w:eastAsia="es-CO"/>
              </w:rPr>
              <w:t>l Centro Valle</w:t>
            </w:r>
            <w:r w:rsidR="009E56CA">
              <w:rPr>
                <w:rFonts w:eastAsia="Times New Roman" w:cs="Arial"/>
                <w:sz w:val="18"/>
                <w:szCs w:val="18"/>
                <w:lang w:val="es-CO" w:eastAsia="es-CO"/>
              </w:rPr>
              <w:t xml:space="preserve"> d</w:t>
            </w:r>
            <w:r w:rsidRPr="00AB6408">
              <w:rPr>
                <w:rFonts w:eastAsia="Times New Roman" w:cs="Arial"/>
                <w:sz w:val="18"/>
                <w:szCs w:val="18"/>
                <w:lang w:val="es-CO" w:eastAsia="es-CO"/>
              </w:rPr>
              <w:t>el Lili</w:t>
            </w:r>
          </w:p>
        </w:tc>
        <w:tc>
          <w:tcPr>
            <w:tcW w:w="1807"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394.493.574,00 </w:t>
            </w:r>
          </w:p>
        </w:tc>
        <w:tc>
          <w:tcPr>
            <w:tcW w:w="1678"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$ 350.684.802,00 </w:t>
            </w:r>
          </w:p>
        </w:tc>
        <w:tc>
          <w:tcPr>
            <w:tcW w:w="1687"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43.808.772,00 </w:t>
            </w:r>
          </w:p>
        </w:tc>
      </w:tr>
      <w:tr w:rsidR="007B6477" w:rsidRPr="00AB6408" w:rsidTr="00AB6408">
        <w:trPr>
          <w:trHeight w:val="453"/>
        </w:trPr>
        <w:tc>
          <w:tcPr>
            <w:tcW w:w="1049"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Chocó</w:t>
            </w:r>
          </w:p>
        </w:tc>
        <w:tc>
          <w:tcPr>
            <w:tcW w:w="2913" w:type="dxa"/>
            <w:shd w:val="clear" w:color="auto" w:fill="auto"/>
            <w:vAlign w:val="center"/>
            <w:hideMark/>
          </w:tcPr>
          <w:p w:rsidR="007B6477" w:rsidRPr="00AB6408" w:rsidRDefault="009E56CA" w:rsidP="009E56CA">
            <w:pPr>
              <w:spacing w:before="100" w:beforeAutospacing="1" w:after="100" w:afterAutospacing="1" w:line="240" w:lineRule="auto"/>
              <w:rPr>
                <w:rFonts w:eastAsia="Times New Roman" w:cs="Arial"/>
                <w:sz w:val="18"/>
                <w:szCs w:val="18"/>
                <w:lang w:val="es-CO" w:eastAsia="es-CO"/>
              </w:rPr>
            </w:pPr>
            <w:r>
              <w:rPr>
                <w:rFonts w:eastAsia="Times New Roman" w:cs="Arial"/>
                <w:sz w:val="18"/>
                <w:szCs w:val="18"/>
                <w:lang w:val="es-CO" w:eastAsia="es-CO"/>
              </w:rPr>
              <w:t>Rocería</w:t>
            </w:r>
            <w:r w:rsidR="00537665">
              <w:rPr>
                <w:rFonts w:eastAsia="Times New Roman" w:cs="Arial"/>
                <w:sz w:val="18"/>
                <w:szCs w:val="18"/>
                <w:lang w:val="es-CO" w:eastAsia="es-CO"/>
              </w:rPr>
              <w:t xml:space="preserve"> del área e</w:t>
            </w:r>
            <w:r w:rsidR="00AB6408">
              <w:rPr>
                <w:rFonts w:eastAsia="Times New Roman" w:cs="Arial"/>
                <w:sz w:val="18"/>
                <w:szCs w:val="18"/>
                <w:lang w:val="es-CO" w:eastAsia="es-CO"/>
              </w:rPr>
              <w:t>xterior y</w:t>
            </w:r>
            <w:r w:rsidR="00537665">
              <w:rPr>
                <w:rFonts w:eastAsia="Times New Roman" w:cs="Arial"/>
                <w:sz w:val="18"/>
                <w:szCs w:val="18"/>
                <w:lang w:val="es-CO" w:eastAsia="es-CO"/>
              </w:rPr>
              <w:t xml:space="preserve"> s</w:t>
            </w:r>
            <w:r w:rsidR="00AB6408" w:rsidRPr="00AB6408">
              <w:rPr>
                <w:rFonts w:eastAsia="Times New Roman" w:cs="Arial"/>
                <w:sz w:val="18"/>
                <w:szCs w:val="18"/>
                <w:lang w:val="es-CO" w:eastAsia="es-CO"/>
              </w:rPr>
              <w:t>umin</w:t>
            </w:r>
            <w:r w:rsidR="00537665">
              <w:rPr>
                <w:rFonts w:eastAsia="Times New Roman" w:cs="Arial"/>
                <w:sz w:val="18"/>
                <w:szCs w:val="18"/>
                <w:lang w:val="es-CO" w:eastAsia="es-CO"/>
              </w:rPr>
              <w:t>istro e Instalación de e</w:t>
            </w:r>
            <w:r w:rsidR="00AB6408">
              <w:rPr>
                <w:rFonts w:eastAsia="Times New Roman" w:cs="Arial"/>
                <w:sz w:val="18"/>
                <w:szCs w:val="18"/>
                <w:lang w:val="es-CO" w:eastAsia="es-CO"/>
              </w:rPr>
              <w:t>quipos d</w:t>
            </w:r>
            <w:r w:rsidR="00537665">
              <w:rPr>
                <w:rFonts w:eastAsia="Times New Roman" w:cs="Arial"/>
                <w:sz w:val="18"/>
                <w:szCs w:val="18"/>
                <w:lang w:val="es-CO" w:eastAsia="es-CO"/>
              </w:rPr>
              <w:t>e u</w:t>
            </w:r>
            <w:r w:rsidR="00AB6408" w:rsidRPr="00AB6408">
              <w:rPr>
                <w:rFonts w:eastAsia="Times New Roman" w:cs="Arial"/>
                <w:sz w:val="18"/>
                <w:szCs w:val="18"/>
                <w:lang w:val="es-CO" w:eastAsia="es-CO"/>
              </w:rPr>
              <w:t xml:space="preserve">ltrasonido </w:t>
            </w:r>
            <w:r w:rsidR="00537665">
              <w:rPr>
                <w:rFonts w:eastAsia="Times New Roman" w:cs="Arial"/>
                <w:sz w:val="18"/>
                <w:szCs w:val="18"/>
                <w:lang w:val="es-CO" w:eastAsia="es-CO"/>
              </w:rPr>
              <w:t>anti-m</w:t>
            </w:r>
            <w:r w:rsidR="00AB6408" w:rsidRPr="00AB6408">
              <w:rPr>
                <w:rFonts w:eastAsia="Times New Roman" w:cs="Arial"/>
                <w:sz w:val="18"/>
                <w:szCs w:val="18"/>
                <w:lang w:val="es-CO" w:eastAsia="es-CO"/>
              </w:rPr>
              <w:t>urciél</w:t>
            </w:r>
            <w:r w:rsidR="00537665">
              <w:rPr>
                <w:rFonts w:eastAsia="Times New Roman" w:cs="Arial"/>
                <w:sz w:val="18"/>
                <w:szCs w:val="18"/>
                <w:lang w:val="es-CO" w:eastAsia="es-CO"/>
              </w:rPr>
              <w:t>agos - e</w:t>
            </w:r>
            <w:r>
              <w:rPr>
                <w:rFonts w:eastAsia="Times New Roman" w:cs="Arial"/>
                <w:sz w:val="18"/>
                <w:szCs w:val="18"/>
                <w:lang w:val="es-CO" w:eastAsia="es-CO"/>
              </w:rPr>
              <w:t>studios y</w:t>
            </w:r>
            <w:r w:rsidR="00537665">
              <w:rPr>
                <w:rFonts w:eastAsia="Times New Roman" w:cs="Arial"/>
                <w:sz w:val="18"/>
                <w:szCs w:val="18"/>
                <w:lang w:val="es-CO" w:eastAsia="es-CO"/>
              </w:rPr>
              <w:t xml:space="preserve"> diseños m</w:t>
            </w:r>
            <w:r w:rsidR="00AB6408">
              <w:rPr>
                <w:rFonts w:eastAsia="Times New Roman" w:cs="Arial"/>
                <w:sz w:val="18"/>
                <w:szCs w:val="18"/>
                <w:lang w:val="es-CO" w:eastAsia="es-CO"/>
              </w:rPr>
              <w:t>uro d</w:t>
            </w:r>
            <w:r w:rsidR="00537665">
              <w:rPr>
                <w:rFonts w:eastAsia="Times New Roman" w:cs="Arial"/>
                <w:sz w:val="18"/>
                <w:szCs w:val="18"/>
                <w:lang w:val="es-CO" w:eastAsia="es-CO"/>
              </w:rPr>
              <w:t>e c</w:t>
            </w:r>
            <w:r w:rsidR="00AB6408" w:rsidRPr="00AB6408">
              <w:rPr>
                <w:rFonts w:eastAsia="Times New Roman" w:cs="Arial"/>
                <w:sz w:val="18"/>
                <w:szCs w:val="18"/>
                <w:lang w:val="es-CO" w:eastAsia="es-CO"/>
              </w:rPr>
              <w:t>erramiento C</w:t>
            </w:r>
            <w:r w:rsidR="00537665" w:rsidRPr="00AB6408">
              <w:rPr>
                <w:rFonts w:eastAsia="Times New Roman" w:cs="Arial"/>
                <w:sz w:val="18"/>
                <w:szCs w:val="18"/>
                <w:lang w:val="es-CO" w:eastAsia="es-CO"/>
              </w:rPr>
              <w:t>AE</w:t>
            </w:r>
            <w:r w:rsidR="00AB6408" w:rsidRPr="00AB6408">
              <w:rPr>
                <w:rFonts w:eastAsia="Times New Roman" w:cs="Arial"/>
                <w:sz w:val="18"/>
                <w:szCs w:val="18"/>
                <w:lang w:val="es-CO" w:eastAsia="es-CO"/>
              </w:rPr>
              <w:t xml:space="preserve"> Quibdó</w:t>
            </w:r>
          </w:p>
        </w:tc>
        <w:tc>
          <w:tcPr>
            <w:tcW w:w="1807"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44.435.750,00 </w:t>
            </w:r>
          </w:p>
        </w:tc>
        <w:tc>
          <w:tcPr>
            <w:tcW w:w="1678"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$ 29.696.471,00 </w:t>
            </w:r>
          </w:p>
        </w:tc>
        <w:tc>
          <w:tcPr>
            <w:tcW w:w="1687"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14.739.279,00 </w:t>
            </w:r>
          </w:p>
        </w:tc>
      </w:tr>
      <w:tr w:rsidR="007B6477" w:rsidRPr="00AB6408" w:rsidTr="00AB6408">
        <w:trPr>
          <w:trHeight w:val="151"/>
        </w:trPr>
        <w:tc>
          <w:tcPr>
            <w:tcW w:w="1049"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Magdalena</w:t>
            </w:r>
          </w:p>
        </w:tc>
        <w:tc>
          <w:tcPr>
            <w:tcW w:w="2913" w:type="dxa"/>
            <w:shd w:val="clear" w:color="auto" w:fill="auto"/>
            <w:noWrap/>
            <w:vAlign w:val="center"/>
            <w:hideMark/>
          </w:tcPr>
          <w:p w:rsidR="007B6477" w:rsidRPr="00AB6408" w:rsidRDefault="009E56CA" w:rsidP="009E56CA">
            <w:pPr>
              <w:spacing w:before="100" w:beforeAutospacing="1" w:after="100" w:afterAutospacing="1" w:line="240" w:lineRule="auto"/>
              <w:rPr>
                <w:rFonts w:eastAsia="Times New Roman" w:cs="Arial"/>
                <w:sz w:val="18"/>
                <w:szCs w:val="18"/>
                <w:lang w:val="es-CO" w:eastAsia="es-CO"/>
              </w:rPr>
            </w:pPr>
            <w:r>
              <w:rPr>
                <w:rFonts w:eastAsia="Times New Roman" w:cs="Arial"/>
                <w:sz w:val="18"/>
                <w:szCs w:val="18"/>
                <w:lang w:val="es-CO" w:eastAsia="es-CO"/>
              </w:rPr>
              <w:t>Compra de dotación Misional p</w:t>
            </w:r>
            <w:r w:rsidR="00AB6408" w:rsidRPr="00AB6408">
              <w:rPr>
                <w:rFonts w:eastAsia="Times New Roman" w:cs="Arial"/>
                <w:sz w:val="18"/>
                <w:szCs w:val="18"/>
                <w:lang w:val="es-CO" w:eastAsia="es-CO"/>
              </w:rPr>
              <w:t>ara El Cetra</w:t>
            </w:r>
          </w:p>
        </w:tc>
        <w:tc>
          <w:tcPr>
            <w:tcW w:w="1807"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65.154.751,00 </w:t>
            </w:r>
          </w:p>
        </w:tc>
        <w:tc>
          <w:tcPr>
            <w:tcW w:w="1678"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$ 53.518.500,00 </w:t>
            </w:r>
          </w:p>
        </w:tc>
        <w:tc>
          <w:tcPr>
            <w:tcW w:w="1687"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11.636.251,00 </w:t>
            </w:r>
          </w:p>
        </w:tc>
      </w:tr>
      <w:tr w:rsidR="007B6477" w:rsidRPr="00AB6408" w:rsidTr="00AB6408">
        <w:trPr>
          <w:trHeight w:val="453"/>
        </w:trPr>
        <w:tc>
          <w:tcPr>
            <w:tcW w:w="1049"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Bolívar</w:t>
            </w:r>
          </w:p>
        </w:tc>
        <w:tc>
          <w:tcPr>
            <w:tcW w:w="2913" w:type="dxa"/>
            <w:shd w:val="clear" w:color="auto" w:fill="auto"/>
            <w:vAlign w:val="center"/>
            <w:hideMark/>
          </w:tcPr>
          <w:p w:rsidR="007B6477" w:rsidRPr="00AB6408" w:rsidRDefault="009E56CA" w:rsidP="009E56CA">
            <w:pPr>
              <w:spacing w:before="100" w:beforeAutospacing="1" w:after="100" w:afterAutospacing="1" w:line="240" w:lineRule="auto"/>
              <w:rPr>
                <w:rFonts w:eastAsia="Times New Roman" w:cs="Arial"/>
                <w:sz w:val="18"/>
                <w:szCs w:val="18"/>
                <w:lang w:val="es-CO" w:eastAsia="es-CO"/>
              </w:rPr>
            </w:pPr>
            <w:r>
              <w:rPr>
                <w:rFonts w:eastAsia="Times New Roman" w:cs="Arial"/>
                <w:sz w:val="18"/>
                <w:szCs w:val="18"/>
                <w:lang w:val="es-CO" w:eastAsia="es-CO"/>
              </w:rPr>
              <w:t>Adecuación y m</w:t>
            </w:r>
            <w:r w:rsidR="00AB6408" w:rsidRPr="00AB6408">
              <w:rPr>
                <w:rFonts w:eastAsia="Times New Roman" w:cs="Arial"/>
                <w:sz w:val="18"/>
                <w:szCs w:val="18"/>
                <w:lang w:val="es-CO" w:eastAsia="es-CO"/>
              </w:rPr>
              <w:t xml:space="preserve">antenimiento </w:t>
            </w:r>
            <w:r>
              <w:rPr>
                <w:rFonts w:eastAsia="Times New Roman" w:cs="Arial"/>
                <w:sz w:val="18"/>
                <w:szCs w:val="18"/>
                <w:lang w:val="es-CO" w:eastAsia="es-CO"/>
              </w:rPr>
              <w:t>al Sistema d</w:t>
            </w:r>
            <w:r w:rsidR="00537665">
              <w:rPr>
                <w:rFonts w:eastAsia="Times New Roman" w:cs="Arial"/>
                <w:sz w:val="18"/>
                <w:szCs w:val="18"/>
                <w:lang w:val="es-CO" w:eastAsia="es-CO"/>
              </w:rPr>
              <w:t>e p</w:t>
            </w:r>
            <w:r>
              <w:rPr>
                <w:rFonts w:eastAsia="Times New Roman" w:cs="Arial"/>
                <w:sz w:val="18"/>
                <w:szCs w:val="18"/>
                <w:lang w:val="es-CO" w:eastAsia="es-CO"/>
              </w:rPr>
              <w:t>otabilización d</w:t>
            </w:r>
            <w:r w:rsidR="00537665">
              <w:rPr>
                <w:rFonts w:eastAsia="Times New Roman" w:cs="Arial"/>
                <w:sz w:val="18"/>
                <w:szCs w:val="18"/>
                <w:lang w:val="es-CO" w:eastAsia="es-CO"/>
              </w:rPr>
              <w:t>e Agua y</w:t>
            </w:r>
            <w:r>
              <w:rPr>
                <w:rFonts w:eastAsia="Times New Roman" w:cs="Arial"/>
                <w:sz w:val="18"/>
                <w:szCs w:val="18"/>
                <w:lang w:val="es-CO" w:eastAsia="es-CO"/>
              </w:rPr>
              <w:t xml:space="preserve"> Ptar, Campo de Infiltración y o</w:t>
            </w:r>
            <w:r w:rsidR="00AB6408" w:rsidRPr="00AB6408">
              <w:rPr>
                <w:rFonts w:eastAsia="Times New Roman" w:cs="Arial"/>
                <w:sz w:val="18"/>
                <w:szCs w:val="18"/>
                <w:lang w:val="es-CO" w:eastAsia="es-CO"/>
              </w:rPr>
              <w:t xml:space="preserve">tras Adecuaciones </w:t>
            </w:r>
            <w:r>
              <w:rPr>
                <w:rFonts w:eastAsia="Times New Roman" w:cs="Arial"/>
                <w:sz w:val="18"/>
                <w:szCs w:val="18"/>
                <w:lang w:val="es-CO" w:eastAsia="es-CO"/>
              </w:rPr>
              <w:t>generales en el i</w:t>
            </w:r>
            <w:r w:rsidR="00AB6408" w:rsidRPr="00AB6408">
              <w:rPr>
                <w:rFonts w:eastAsia="Times New Roman" w:cs="Arial"/>
                <w:sz w:val="18"/>
                <w:szCs w:val="18"/>
                <w:lang w:val="es-CO" w:eastAsia="es-CO"/>
              </w:rPr>
              <w:t>nmueble</w:t>
            </w:r>
          </w:p>
        </w:tc>
        <w:tc>
          <w:tcPr>
            <w:tcW w:w="1807"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457.927.138,00 </w:t>
            </w:r>
          </w:p>
        </w:tc>
        <w:tc>
          <w:tcPr>
            <w:tcW w:w="1678"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w:t>
            </w:r>
          </w:p>
        </w:tc>
        <w:tc>
          <w:tcPr>
            <w:tcW w:w="1687"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457.927.138,00 </w:t>
            </w:r>
          </w:p>
        </w:tc>
      </w:tr>
      <w:tr w:rsidR="007B6477" w:rsidRPr="00AB6408" w:rsidTr="00AB6408">
        <w:trPr>
          <w:trHeight w:val="151"/>
        </w:trPr>
        <w:tc>
          <w:tcPr>
            <w:tcW w:w="1049"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Cesar</w:t>
            </w:r>
          </w:p>
        </w:tc>
        <w:tc>
          <w:tcPr>
            <w:tcW w:w="2913" w:type="dxa"/>
            <w:shd w:val="clear" w:color="auto" w:fill="auto"/>
            <w:noWrap/>
            <w:vAlign w:val="center"/>
            <w:hideMark/>
          </w:tcPr>
          <w:p w:rsidR="007B6477" w:rsidRPr="00AB6408" w:rsidRDefault="00AB6408" w:rsidP="009E56CA">
            <w:pPr>
              <w:spacing w:before="100" w:beforeAutospacing="1" w:after="100" w:afterAutospacing="1" w:line="240" w:lineRule="auto"/>
              <w:rPr>
                <w:rFonts w:eastAsia="Times New Roman" w:cs="Arial"/>
                <w:sz w:val="18"/>
                <w:szCs w:val="18"/>
                <w:lang w:val="es-CO" w:eastAsia="es-CO"/>
              </w:rPr>
            </w:pPr>
            <w:r w:rsidRPr="00AB6408">
              <w:rPr>
                <w:rFonts w:eastAsia="Times New Roman" w:cs="Arial"/>
                <w:sz w:val="18"/>
                <w:szCs w:val="18"/>
                <w:lang w:val="es-CO" w:eastAsia="es-CO"/>
              </w:rPr>
              <w:t>Ad</w:t>
            </w:r>
            <w:r w:rsidR="009E56CA">
              <w:rPr>
                <w:rFonts w:eastAsia="Times New Roman" w:cs="Arial"/>
                <w:sz w:val="18"/>
                <w:szCs w:val="18"/>
                <w:lang w:val="es-CO" w:eastAsia="es-CO"/>
              </w:rPr>
              <w:t>ecuaciones en l</w:t>
            </w:r>
            <w:r w:rsidR="00537665">
              <w:rPr>
                <w:rFonts w:eastAsia="Times New Roman" w:cs="Arial"/>
                <w:sz w:val="18"/>
                <w:szCs w:val="18"/>
                <w:lang w:val="es-CO" w:eastAsia="es-CO"/>
              </w:rPr>
              <w:t>a red e</w:t>
            </w:r>
            <w:r>
              <w:rPr>
                <w:rFonts w:eastAsia="Times New Roman" w:cs="Arial"/>
                <w:sz w:val="18"/>
                <w:szCs w:val="18"/>
                <w:lang w:val="es-CO" w:eastAsia="es-CO"/>
              </w:rPr>
              <w:t>léctrica d</w:t>
            </w:r>
            <w:r w:rsidRPr="00AB6408">
              <w:rPr>
                <w:rFonts w:eastAsia="Times New Roman" w:cs="Arial"/>
                <w:sz w:val="18"/>
                <w:szCs w:val="18"/>
                <w:lang w:val="es-CO" w:eastAsia="es-CO"/>
              </w:rPr>
              <w:t xml:space="preserve">el </w:t>
            </w:r>
            <w:r w:rsidR="009E56CA" w:rsidRPr="00AB6408">
              <w:rPr>
                <w:rFonts w:eastAsia="Times New Roman" w:cs="Arial"/>
                <w:sz w:val="18"/>
                <w:szCs w:val="18"/>
                <w:lang w:val="es-CO" w:eastAsia="es-CO"/>
              </w:rPr>
              <w:t>CAE</w:t>
            </w:r>
            <w:r w:rsidRPr="00AB6408">
              <w:rPr>
                <w:rFonts w:eastAsia="Times New Roman" w:cs="Arial"/>
                <w:sz w:val="18"/>
                <w:szCs w:val="18"/>
                <w:lang w:val="es-CO" w:eastAsia="es-CO"/>
              </w:rPr>
              <w:t xml:space="preserve"> Cromi</w:t>
            </w:r>
          </w:p>
        </w:tc>
        <w:tc>
          <w:tcPr>
            <w:tcW w:w="1807"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522.026.700,00 </w:t>
            </w:r>
          </w:p>
        </w:tc>
        <w:tc>
          <w:tcPr>
            <w:tcW w:w="1678"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   </w:t>
            </w:r>
          </w:p>
        </w:tc>
        <w:tc>
          <w:tcPr>
            <w:tcW w:w="1687"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522.026.700,00 </w:t>
            </w:r>
          </w:p>
        </w:tc>
      </w:tr>
      <w:tr w:rsidR="007B6477" w:rsidRPr="00AB6408" w:rsidTr="00AB6408">
        <w:trPr>
          <w:trHeight w:val="302"/>
        </w:trPr>
        <w:tc>
          <w:tcPr>
            <w:tcW w:w="1049"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Bogotá</w:t>
            </w:r>
          </w:p>
        </w:tc>
        <w:tc>
          <w:tcPr>
            <w:tcW w:w="2913" w:type="dxa"/>
            <w:shd w:val="clear" w:color="auto" w:fill="auto"/>
            <w:vAlign w:val="center"/>
            <w:hideMark/>
          </w:tcPr>
          <w:p w:rsidR="007B6477" w:rsidRPr="00AB6408" w:rsidRDefault="00AB6408" w:rsidP="009E56CA">
            <w:pPr>
              <w:spacing w:before="100" w:beforeAutospacing="1" w:after="100" w:afterAutospacing="1" w:line="240" w:lineRule="auto"/>
              <w:rPr>
                <w:rFonts w:eastAsia="Times New Roman" w:cs="Arial"/>
                <w:sz w:val="18"/>
                <w:szCs w:val="18"/>
                <w:lang w:val="es-CO" w:eastAsia="es-CO"/>
              </w:rPr>
            </w:pPr>
            <w:r w:rsidRPr="00AB6408">
              <w:rPr>
                <w:rFonts w:eastAsia="Times New Roman" w:cs="Arial"/>
                <w:sz w:val="18"/>
                <w:szCs w:val="18"/>
                <w:lang w:val="es-CO" w:eastAsia="es-CO"/>
              </w:rPr>
              <w:t>Adecuac</w:t>
            </w:r>
            <w:r w:rsidR="00537665">
              <w:rPr>
                <w:rFonts w:eastAsia="Times New Roman" w:cs="Arial"/>
                <w:sz w:val="18"/>
                <w:szCs w:val="18"/>
                <w:lang w:val="es-CO" w:eastAsia="es-CO"/>
              </w:rPr>
              <w:t>iones y r</w:t>
            </w:r>
            <w:r>
              <w:rPr>
                <w:rFonts w:eastAsia="Times New Roman" w:cs="Arial"/>
                <w:sz w:val="18"/>
                <w:szCs w:val="18"/>
                <w:lang w:val="es-CO" w:eastAsia="es-CO"/>
              </w:rPr>
              <w:t>eparaciones Locativas e</w:t>
            </w:r>
            <w:r w:rsidR="00537665">
              <w:rPr>
                <w:rFonts w:eastAsia="Times New Roman" w:cs="Arial"/>
                <w:sz w:val="18"/>
                <w:szCs w:val="18"/>
                <w:lang w:val="es-CO" w:eastAsia="es-CO"/>
              </w:rPr>
              <w:t>n CESPA d</w:t>
            </w:r>
            <w:r w:rsidRPr="00AB6408">
              <w:rPr>
                <w:rFonts w:eastAsia="Times New Roman" w:cs="Arial"/>
                <w:sz w:val="18"/>
                <w:szCs w:val="18"/>
                <w:lang w:val="es-CO" w:eastAsia="es-CO"/>
              </w:rPr>
              <w:t>e Pu</w:t>
            </w:r>
            <w:r w:rsidR="00537665">
              <w:rPr>
                <w:rFonts w:eastAsia="Times New Roman" w:cs="Arial"/>
                <w:sz w:val="18"/>
                <w:szCs w:val="18"/>
                <w:lang w:val="es-CO" w:eastAsia="es-CO"/>
              </w:rPr>
              <w:t>ente Aranda, Hogares Masculino y Femenino d</w:t>
            </w:r>
            <w:r w:rsidRPr="00AB6408">
              <w:rPr>
                <w:rFonts w:eastAsia="Times New Roman" w:cs="Arial"/>
                <w:sz w:val="18"/>
                <w:szCs w:val="18"/>
                <w:lang w:val="es-CO" w:eastAsia="es-CO"/>
              </w:rPr>
              <w:t>el Centro El Redentor</w:t>
            </w:r>
          </w:p>
        </w:tc>
        <w:tc>
          <w:tcPr>
            <w:tcW w:w="1807"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869.480.676,86 </w:t>
            </w:r>
          </w:p>
        </w:tc>
        <w:tc>
          <w:tcPr>
            <w:tcW w:w="1678"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w:t>
            </w:r>
          </w:p>
        </w:tc>
        <w:tc>
          <w:tcPr>
            <w:tcW w:w="1687"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749.480.676,86 </w:t>
            </w:r>
          </w:p>
        </w:tc>
      </w:tr>
      <w:tr w:rsidR="007B6477" w:rsidRPr="00AB6408" w:rsidTr="00AB6408">
        <w:trPr>
          <w:trHeight w:val="302"/>
        </w:trPr>
        <w:tc>
          <w:tcPr>
            <w:tcW w:w="1049" w:type="dxa"/>
            <w:shd w:val="clear" w:color="000000" w:fill="FFFFFF"/>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Casanare</w:t>
            </w:r>
          </w:p>
        </w:tc>
        <w:tc>
          <w:tcPr>
            <w:tcW w:w="2913" w:type="dxa"/>
            <w:shd w:val="clear" w:color="auto" w:fill="auto"/>
            <w:vAlign w:val="center"/>
            <w:hideMark/>
          </w:tcPr>
          <w:p w:rsidR="007B6477" w:rsidRPr="00AB6408" w:rsidRDefault="00AB6408" w:rsidP="009E56CA">
            <w:pPr>
              <w:spacing w:before="100" w:beforeAutospacing="1" w:after="100" w:afterAutospacing="1" w:line="240" w:lineRule="auto"/>
              <w:rPr>
                <w:rFonts w:eastAsia="Times New Roman" w:cs="Arial"/>
                <w:sz w:val="18"/>
                <w:szCs w:val="18"/>
                <w:lang w:val="es-CO" w:eastAsia="es-CO"/>
              </w:rPr>
            </w:pPr>
            <w:r w:rsidRPr="00AB6408">
              <w:rPr>
                <w:rFonts w:eastAsia="Times New Roman" w:cs="Arial"/>
                <w:sz w:val="18"/>
                <w:szCs w:val="18"/>
                <w:lang w:val="es-CO" w:eastAsia="es-CO"/>
              </w:rPr>
              <w:t xml:space="preserve">Adecuaciones </w:t>
            </w:r>
            <w:r w:rsidR="00537665">
              <w:rPr>
                <w:rFonts w:eastAsia="Times New Roman" w:cs="Arial"/>
                <w:sz w:val="18"/>
                <w:szCs w:val="18"/>
                <w:lang w:val="es-CO" w:eastAsia="es-CO"/>
              </w:rPr>
              <w:t>y reparaciones locativas varios e</w:t>
            </w:r>
            <w:r w:rsidRPr="00AB6408">
              <w:rPr>
                <w:rFonts w:eastAsia="Times New Roman" w:cs="Arial"/>
                <w:sz w:val="18"/>
                <w:szCs w:val="18"/>
                <w:lang w:val="es-CO" w:eastAsia="es-CO"/>
              </w:rPr>
              <w:t>spacios Centro Granja Manare</w:t>
            </w:r>
          </w:p>
        </w:tc>
        <w:tc>
          <w:tcPr>
            <w:tcW w:w="1807"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61.090.622,00 </w:t>
            </w:r>
          </w:p>
        </w:tc>
        <w:tc>
          <w:tcPr>
            <w:tcW w:w="1678"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$ 61.086.292,00 </w:t>
            </w:r>
          </w:p>
        </w:tc>
        <w:tc>
          <w:tcPr>
            <w:tcW w:w="1687"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4.330,00 </w:t>
            </w:r>
          </w:p>
        </w:tc>
      </w:tr>
      <w:tr w:rsidR="007B6477" w:rsidRPr="00AB6408" w:rsidTr="00AB6408">
        <w:trPr>
          <w:trHeight w:val="302"/>
        </w:trPr>
        <w:tc>
          <w:tcPr>
            <w:tcW w:w="1049"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Antioquia</w:t>
            </w:r>
          </w:p>
        </w:tc>
        <w:tc>
          <w:tcPr>
            <w:tcW w:w="2913" w:type="dxa"/>
            <w:shd w:val="clear" w:color="auto" w:fill="auto"/>
            <w:vAlign w:val="center"/>
            <w:hideMark/>
          </w:tcPr>
          <w:p w:rsidR="007B6477" w:rsidRPr="00AB6408" w:rsidRDefault="00AB6408" w:rsidP="009E56CA">
            <w:pPr>
              <w:spacing w:before="100" w:beforeAutospacing="1" w:after="100" w:afterAutospacing="1" w:line="240" w:lineRule="auto"/>
              <w:rPr>
                <w:rFonts w:eastAsia="Times New Roman" w:cs="Arial"/>
                <w:sz w:val="18"/>
                <w:szCs w:val="18"/>
                <w:lang w:val="es-CO" w:eastAsia="es-CO"/>
              </w:rPr>
            </w:pPr>
            <w:r w:rsidRPr="00AB6408">
              <w:rPr>
                <w:rFonts w:eastAsia="Times New Roman" w:cs="Arial"/>
                <w:sz w:val="18"/>
                <w:szCs w:val="18"/>
                <w:lang w:val="es-CO" w:eastAsia="es-CO"/>
              </w:rPr>
              <w:t>Mantenimi</w:t>
            </w:r>
            <w:r w:rsidR="00537665">
              <w:rPr>
                <w:rFonts w:eastAsia="Times New Roman" w:cs="Arial"/>
                <w:sz w:val="18"/>
                <w:szCs w:val="18"/>
                <w:lang w:val="es-CO" w:eastAsia="es-CO"/>
              </w:rPr>
              <w:t>entos y reparaciones l</w:t>
            </w:r>
            <w:r w:rsidR="009E56CA">
              <w:rPr>
                <w:rFonts w:eastAsia="Times New Roman" w:cs="Arial"/>
                <w:sz w:val="18"/>
                <w:szCs w:val="18"/>
                <w:lang w:val="es-CO" w:eastAsia="es-CO"/>
              </w:rPr>
              <w:t>ocativas de la Sede Santa Rita en e</w:t>
            </w:r>
            <w:r w:rsidRPr="00AB6408">
              <w:rPr>
                <w:rFonts w:eastAsia="Times New Roman" w:cs="Arial"/>
                <w:sz w:val="18"/>
                <w:szCs w:val="18"/>
                <w:lang w:val="es-CO" w:eastAsia="es-CO"/>
              </w:rPr>
              <w:t>l Centro Carlos Lleras Restrepo</w:t>
            </w:r>
          </w:p>
        </w:tc>
        <w:tc>
          <w:tcPr>
            <w:tcW w:w="1807"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416.274.863,00 </w:t>
            </w:r>
          </w:p>
        </w:tc>
        <w:tc>
          <w:tcPr>
            <w:tcW w:w="1678"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   </w:t>
            </w:r>
          </w:p>
        </w:tc>
        <w:tc>
          <w:tcPr>
            <w:tcW w:w="1687"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416.274.863,00 </w:t>
            </w:r>
          </w:p>
        </w:tc>
      </w:tr>
      <w:tr w:rsidR="007B6477" w:rsidRPr="00AB6408" w:rsidTr="00AB6408">
        <w:trPr>
          <w:trHeight w:val="453"/>
        </w:trPr>
        <w:tc>
          <w:tcPr>
            <w:tcW w:w="1049"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Amazonas</w:t>
            </w:r>
          </w:p>
        </w:tc>
        <w:tc>
          <w:tcPr>
            <w:tcW w:w="2913" w:type="dxa"/>
            <w:shd w:val="clear" w:color="auto" w:fill="auto"/>
            <w:vAlign w:val="center"/>
            <w:hideMark/>
          </w:tcPr>
          <w:p w:rsidR="007B6477" w:rsidRPr="00AB6408" w:rsidRDefault="009E56CA" w:rsidP="009E56CA">
            <w:pPr>
              <w:spacing w:before="100" w:beforeAutospacing="1" w:after="100" w:afterAutospacing="1" w:line="240" w:lineRule="auto"/>
              <w:rPr>
                <w:rFonts w:eastAsia="Times New Roman" w:cs="Arial"/>
                <w:sz w:val="18"/>
                <w:szCs w:val="18"/>
                <w:lang w:val="es-CO" w:eastAsia="es-CO"/>
              </w:rPr>
            </w:pPr>
            <w:r>
              <w:rPr>
                <w:rFonts w:eastAsia="Times New Roman" w:cs="Arial"/>
                <w:sz w:val="18"/>
                <w:szCs w:val="18"/>
                <w:lang w:val="es-CO" w:eastAsia="es-CO"/>
              </w:rPr>
              <w:t>Adhesión al Convenio entre e</w:t>
            </w:r>
            <w:r w:rsidR="00537665">
              <w:rPr>
                <w:rFonts w:eastAsia="Times New Roman" w:cs="Arial"/>
                <w:sz w:val="18"/>
                <w:szCs w:val="18"/>
                <w:lang w:val="es-CO" w:eastAsia="es-CO"/>
              </w:rPr>
              <w:t>l m</w:t>
            </w:r>
            <w:r>
              <w:rPr>
                <w:rFonts w:eastAsia="Times New Roman" w:cs="Arial"/>
                <w:sz w:val="18"/>
                <w:szCs w:val="18"/>
                <w:lang w:val="es-CO" w:eastAsia="es-CO"/>
              </w:rPr>
              <w:t>unicipio d</w:t>
            </w:r>
            <w:r w:rsidR="00AB6408" w:rsidRPr="00AB6408">
              <w:rPr>
                <w:rFonts w:eastAsia="Times New Roman" w:cs="Arial"/>
                <w:sz w:val="18"/>
                <w:szCs w:val="18"/>
                <w:lang w:val="es-CO" w:eastAsia="es-CO"/>
              </w:rPr>
              <w:t>e Leti</w:t>
            </w:r>
            <w:r>
              <w:rPr>
                <w:rFonts w:eastAsia="Times New Roman" w:cs="Arial"/>
                <w:sz w:val="18"/>
                <w:szCs w:val="18"/>
                <w:lang w:val="es-CO" w:eastAsia="es-CO"/>
              </w:rPr>
              <w:t>cia y e</w:t>
            </w:r>
            <w:r w:rsidR="00537665">
              <w:rPr>
                <w:rFonts w:eastAsia="Times New Roman" w:cs="Arial"/>
                <w:sz w:val="18"/>
                <w:szCs w:val="18"/>
                <w:lang w:val="es-CO" w:eastAsia="es-CO"/>
              </w:rPr>
              <w:t>l d</w:t>
            </w:r>
            <w:r>
              <w:rPr>
                <w:rFonts w:eastAsia="Times New Roman" w:cs="Arial"/>
                <w:sz w:val="18"/>
                <w:szCs w:val="18"/>
                <w:lang w:val="es-CO" w:eastAsia="es-CO"/>
              </w:rPr>
              <w:t>epartamento del Amazonas p</w:t>
            </w:r>
            <w:r w:rsidR="00537665">
              <w:rPr>
                <w:rFonts w:eastAsia="Times New Roman" w:cs="Arial"/>
                <w:sz w:val="18"/>
                <w:szCs w:val="18"/>
                <w:lang w:val="es-CO" w:eastAsia="es-CO"/>
              </w:rPr>
              <w:t>ara reparaciones l</w:t>
            </w:r>
            <w:r>
              <w:rPr>
                <w:rFonts w:eastAsia="Times New Roman" w:cs="Arial"/>
                <w:sz w:val="18"/>
                <w:szCs w:val="18"/>
                <w:lang w:val="es-CO" w:eastAsia="es-CO"/>
              </w:rPr>
              <w:t>ocativas e</w:t>
            </w:r>
            <w:r w:rsidR="00537665">
              <w:rPr>
                <w:rFonts w:eastAsia="Times New Roman" w:cs="Arial"/>
                <w:sz w:val="18"/>
                <w:szCs w:val="18"/>
                <w:lang w:val="es-CO" w:eastAsia="es-CO"/>
              </w:rPr>
              <w:t>n redes h</w:t>
            </w:r>
            <w:r>
              <w:rPr>
                <w:rFonts w:eastAsia="Times New Roman" w:cs="Arial"/>
                <w:sz w:val="18"/>
                <w:szCs w:val="18"/>
                <w:lang w:val="es-CO" w:eastAsia="es-CO"/>
              </w:rPr>
              <w:t>idrosanitarias y</w:t>
            </w:r>
            <w:r w:rsidR="00537665">
              <w:rPr>
                <w:rFonts w:eastAsia="Times New Roman" w:cs="Arial"/>
                <w:sz w:val="18"/>
                <w:szCs w:val="18"/>
                <w:lang w:val="es-CO" w:eastAsia="es-CO"/>
              </w:rPr>
              <w:t xml:space="preserve"> e</w:t>
            </w:r>
            <w:r>
              <w:rPr>
                <w:rFonts w:eastAsia="Times New Roman" w:cs="Arial"/>
                <w:sz w:val="18"/>
                <w:szCs w:val="18"/>
                <w:lang w:val="es-CO" w:eastAsia="es-CO"/>
              </w:rPr>
              <w:t>léctricas d</w:t>
            </w:r>
            <w:r w:rsidR="00AB6408" w:rsidRPr="00AB6408">
              <w:rPr>
                <w:rFonts w:eastAsia="Times New Roman" w:cs="Arial"/>
                <w:sz w:val="18"/>
                <w:szCs w:val="18"/>
                <w:lang w:val="es-CO" w:eastAsia="es-CO"/>
              </w:rPr>
              <w:t xml:space="preserve">el </w:t>
            </w:r>
            <w:r w:rsidRPr="00AB6408">
              <w:rPr>
                <w:rFonts w:eastAsia="Times New Roman" w:cs="Arial"/>
                <w:sz w:val="18"/>
                <w:szCs w:val="18"/>
                <w:lang w:val="es-CO" w:eastAsia="es-CO"/>
              </w:rPr>
              <w:t>CAE</w:t>
            </w:r>
            <w:r w:rsidR="00AB6408" w:rsidRPr="00AB6408">
              <w:rPr>
                <w:rFonts w:eastAsia="Times New Roman" w:cs="Arial"/>
                <w:sz w:val="18"/>
                <w:szCs w:val="18"/>
                <w:lang w:val="es-CO" w:eastAsia="es-CO"/>
              </w:rPr>
              <w:t xml:space="preserve"> Amazonas</w:t>
            </w:r>
          </w:p>
        </w:tc>
        <w:tc>
          <w:tcPr>
            <w:tcW w:w="1807"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84.000.000,00 </w:t>
            </w:r>
          </w:p>
        </w:tc>
        <w:tc>
          <w:tcPr>
            <w:tcW w:w="1678"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$ 84.000.000,00 </w:t>
            </w:r>
          </w:p>
        </w:tc>
        <w:tc>
          <w:tcPr>
            <w:tcW w:w="1687"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   </w:t>
            </w:r>
          </w:p>
        </w:tc>
      </w:tr>
      <w:tr w:rsidR="007B6477" w:rsidRPr="00AB6408" w:rsidTr="00AB6408">
        <w:trPr>
          <w:trHeight w:val="269"/>
        </w:trPr>
        <w:tc>
          <w:tcPr>
            <w:tcW w:w="1049" w:type="dxa"/>
            <w:shd w:val="clear" w:color="auto" w:fill="auto"/>
            <w:noWrap/>
            <w:vAlign w:val="center"/>
            <w:hideMark/>
          </w:tcPr>
          <w:p w:rsidR="007B6477" w:rsidRPr="00AB6408" w:rsidRDefault="007B6477" w:rsidP="00AB6408">
            <w:pPr>
              <w:spacing w:before="100" w:beforeAutospacing="1" w:after="100" w:afterAutospacing="1" w:line="240" w:lineRule="auto"/>
              <w:jc w:val="both"/>
              <w:rPr>
                <w:rFonts w:eastAsia="Times New Roman" w:cs="Arial"/>
                <w:sz w:val="18"/>
                <w:szCs w:val="18"/>
                <w:lang w:val="es-CO" w:eastAsia="es-CO"/>
              </w:rPr>
            </w:pPr>
          </w:p>
        </w:tc>
        <w:tc>
          <w:tcPr>
            <w:tcW w:w="2913"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w:t>
            </w:r>
          </w:p>
        </w:tc>
        <w:tc>
          <w:tcPr>
            <w:tcW w:w="1807"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3.186.505.253,86 </w:t>
            </w:r>
          </w:p>
        </w:tc>
        <w:tc>
          <w:tcPr>
            <w:tcW w:w="1678"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$ 838.667.153,00 </w:t>
            </w:r>
          </w:p>
        </w:tc>
        <w:tc>
          <w:tcPr>
            <w:tcW w:w="1687" w:type="dxa"/>
            <w:shd w:val="clear" w:color="auto" w:fill="auto"/>
            <w:noWrap/>
            <w:vAlign w:val="center"/>
            <w:hideMark/>
          </w:tcPr>
          <w:p w:rsidR="007B6477" w:rsidRPr="00AB6408" w:rsidRDefault="00AB6408" w:rsidP="00AB6408">
            <w:pPr>
              <w:spacing w:before="100" w:beforeAutospacing="1" w:after="100" w:afterAutospacing="1" w:line="240" w:lineRule="auto"/>
              <w:jc w:val="both"/>
              <w:rPr>
                <w:rFonts w:eastAsia="Times New Roman" w:cs="Arial"/>
                <w:sz w:val="18"/>
                <w:szCs w:val="18"/>
                <w:lang w:val="es-CO" w:eastAsia="es-CO"/>
              </w:rPr>
            </w:pPr>
            <w:r w:rsidRPr="00AB6408">
              <w:rPr>
                <w:rFonts w:eastAsia="Times New Roman" w:cs="Arial"/>
                <w:sz w:val="18"/>
                <w:szCs w:val="18"/>
                <w:lang w:val="es-CO" w:eastAsia="es-CO"/>
              </w:rPr>
              <w:t xml:space="preserve">   $2.227.838.100,86 </w:t>
            </w:r>
          </w:p>
        </w:tc>
      </w:tr>
    </w:tbl>
    <w:p w:rsidR="007B6477" w:rsidRPr="00E2319F" w:rsidRDefault="007B6477" w:rsidP="007B6477">
      <w:pPr>
        <w:jc w:val="both"/>
        <w:rPr>
          <w:rFonts w:cs="Arial"/>
        </w:rPr>
      </w:pPr>
      <w:r w:rsidRPr="00E2319F">
        <w:rPr>
          <w:rFonts w:cs="Arial"/>
        </w:rPr>
        <w:lastRenderedPageBreak/>
        <w:t>Atendiendo los lineamientos de la nueva Dirección General, para los casos de Antioquia, Bolívar y Cesar los recursos devueltos serán adicionados al contrato 1564 de 2016 suscrito con FINDETER para que sean ejecutados en los proyectos que actualmente se adelantan en estos mismos departamentos.</w:t>
      </w:r>
    </w:p>
    <w:p w:rsidR="007B6477" w:rsidRPr="00E2319F" w:rsidRDefault="007B6477" w:rsidP="007B6477">
      <w:pPr>
        <w:jc w:val="both"/>
        <w:rPr>
          <w:rFonts w:cs="Arial"/>
          <w:lang w:val="es-CO"/>
        </w:rPr>
      </w:pPr>
      <w:r w:rsidRPr="00E2319F">
        <w:rPr>
          <w:rFonts w:cs="Arial"/>
          <w:lang w:val="es-CO"/>
        </w:rPr>
        <w:t>Se realizó la gestión para el traslado de recursos nación por solicitud de la Regional Amazonas, luego de apoyar en la revisión de las fichas de condiciones técnicas y estudios previos. El trámite fue legalizado mediante Resolución 10205 del 19 de octubre de 2017.</w:t>
      </w:r>
    </w:p>
    <w:p w:rsidR="007B6477" w:rsidRPr="00E2319F" w:rsidRDefault="007D364A" w:rsidP="00537665">
      <w:pPr>
        <w:jc w:val="center"/>
        <w:rPr>
          <w:rFonts w:cs="Arial"/>
          <w:b/>
        </w:rPr>
      </w:pPr>
      <w:r>
        <w:rPr>
          <w:rFonts w:cs="Arial"/>
          <w:b/>
        </w:rPr>
        <w:t>Distribución de Recursos R</w:t>
      </w:r>
      <w:r w:rsidR="007B6477" w:rsidRPr="00E2319F">
        <w:rPr>
          <w:rFonts w:cs="Arial"/>
          <w:b/>
        </w:rPr>
        <w:t>egional Amazonas - SRPA</w:t>
      </w:r>
    </w:p>
    <w:tbl>
      <w:tblPr>
        <w:tblW w:w="8369"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196"/>
        <w:gridCol w:w="5179"/>
        <w:gridCol w:w="1994"/>
      </w:tblGrid>
      <w:tr w:rsidR="007B6477" w:rsidRPr="00537665" w:rsidTr="00537665">
        <w:trPr>
          <w:trHeight w:val="266"/>
          <w:jc w:val="center"/>
        </w:trPr>
        <w:tc>
          <w:tcPr>
            <w:tcW w:w="1196" w:type="dxa"/>
            <w:shd w:val="clear" w:color="auto" w:fill="76922E"/>
            <w:noWrap/>
            <w:vAlign w:val="bottom"/>
            <w:hideMark/>
          </w:tcPr>
          <w:p w:rsidR="007B6477" w:rsidRPr="00537665" w:rsidRDefault="007B6477" w:rsidP="00537665">
            <w:pPr>
              <w:spacing w:before="100" w:beforeAutospacing="1" w:after="100" w:afterAutospacing="1" w:line="240" w:lineRule="auto"/>
              <w:jc w:val="center"/>
              <w:rPr>
                <w:rFonts w:eastAsia="Times New Roman" w:cs="Arial"/>
                <w:b/>
                <w:bCs/>
                <w:color w:val="FFFFFF" w:themeColor="background1"/>
                <w:sz w:val="18"/>
                <w:szCs w:val="18"/>
                <w:lang w:eastAsia="es-ES"/>
              </w:rPr>
            </w:pPr>
            <w:r w:rsidRPr="00537665">
              <w:rPr>
                <w:rFonts w:eastAsia="Times New Roman" w:cs="Arial"/>
                <w:b/>
                <w:bCs/>
                <w:color w:val="FFFFFF" w:themeColor="background1"/>
                <w:sz w:val="18"/>
                <w:szCs w:val="18"/>
                <w:lang w:eastAsia="es-ES"/>
              </w:rPr>
              <w:t>Regional</w:t>
            </w:r>
          </w:p>
        </w:tc>
        <w:tc>
          <w:tcPr>
            <w:tcW w:w="5179" w:type="dxa"/>
            <w:shd w:val="clear" w:color="auto" w:fill="76922E"/>
            <w:noWrap/>
            <w:vAlign w:val="bottom"/>
            <w:hideMark/>
          </w:tcPr>
          <w:p w:rsidR="007B6477" w:rsidRPr="00537665" w:rsidRDefault="007B6477" w:rsidP="00537665">
            <w:pPr>
              <w:spacing w:before="100" w:beforeAutospacing="1" w:after="100" w:afterAutospacing="1" w:line="240" w:lineRule="auto"/>
              <w:jc w:val="center"/>
              <w:rPr>
                <w:rFonts w:eastAsia="Times New Roman" w:cs="Arial"/>
                <w:b/>
                <w:bCs/>
                <w:color w:val="FFFFFF" w:themeColor="background1"/>
                <w:sz w:val="18"/>
                <w:szCs w:val="18"/>
                <w:lang w:eastAsia="es-ES"/>
              </w:rPr>
            </w:pPr>
            <w:r w:rsidRPr="00537665">
              <w:rPr>
                <w:rFonts w:eastAsia="Times New Roman" w:cs="Arial"/>
                <w:b/>
                <w:bCs/>
                <w:color w:val="FFFFFF" w:themeColor="background1"/>
                <w:sz w:val="18"/>
                <w:szCs w:val="18"/>
                <w:lang w:eastAsia="es-ES"/>
              </w:rPr>
              <w:t>Objeto de la Contratación</w:t>
            </w:r>
          </w:p>
        </w:tc>
        <w:tc>
          <w:tcPr>
            <w:tcW w:w="1994" w:type="dxa"/>
            <w:shd w:val="clear" w:color="auto" w:fill="76922E"/>
            <w:noWrap/>
            <w:vAlign w:val="bottom"/>
            <w:hideMark/>
          </w:tcPr>
          <w:p w:rsidR="007B6477" w:rsidRPr="00537665" w:rsidRDefault="007B6477" w:rsidP="00537665">
            <w:pPr>
              <w:spacing w:before="100" w:beforeAutospacing="1" w:after="100" w:afterAutospacing="1" w:line="240" w:lineRule="auto"/>
              <w:jc w:val="center"/>
              <w:rPr>
                <w:rFonts w:eastAsia="Times New Roman" w:cs="Arial"/>
                <w:b/>
                <w:bCs/>
                <w:color w:val="FFFFFF" w:themeColor="background1"/>
                <w:sz w:val="18"/>
                <w:szCs w:val="18"/>
                <w:lang w:eastAsia="es-ES"/>
              </w:rPr>
            </w:pPr>
            <w:r w:rsidRPr="00537665">
              <w:rPr>
                <w:rFonts w:eastAsia="Times New Roman" w:cs="Arial"/>
                <w:b/>
                <w:bCs/>
                <w:color w:val="FFFFFF" w:themeColor="background1"/>
                <w:sz w:val="18"/>
                <w:szCs w:val="18"/>
                <w:lang w:eastAsia="es-ES"/>
              </w:rPr>
              <w:t>Valor Trasladado</w:t>
            </w:r>
          </w:p>
        </w:tc>
      </w:tr>
      <w:tr w:rsidR="007B6477" w:rsidRPr="00537665" w:rsidTr="00537665">
        <w:trPr>
          <w:trHeight w:val="617"/>
          <w:jc w:val="center"/>
        </w:trPr>
        <w:tc>
          <w:tcPr>
            <w:tcW w:w="1196" w:type="dxa"/>
            <w:shd w:val="clear" w:color="auto" w:fill="auto"/>
            <w:noWrap/>
            <w:vAlign w:val="center"/>
            <w:hideMark/>
          </w:tcPr>
          <w:p w:rsidR="007B6477" w:rsidRPr="00537665" w:rsidRDefault="007B6477" w:rsidP="00751035">
            <w:pPr>
              <w:rPr>
                <w:rFonts w:cs="Arial"/>
                <w:sz w:val="18"/>
                <w:szCs w:val="18"/>
                <w:lang w:eastAsia="es-CO"/>
              </w:rPr>
            </w:pPr>
            <w:r w:rsidRPr="00537665">
              <w:rPr>
                <w:rFonts w:cs="Arial"/>
                <w:sz w:val="18"/>
                <w:szCs w:val="18"/>
                <w:lang w:eastAsia="es-CO"/>
              </w:rPr>
              <w:t>Amazonas</w:t>
            </w:r>
          </w:p>
        </w:tc>
        <w:tc>
          <w:tcPr>
            <w:tcW w:w="5179" w:type="dxa"/>
            <w:shd w:val="clear" w:color="auto" w:fill="auto"/>
            <w:vAlign w:val="center"/>
            <w:hideMark/>
          </w:tcPr>
          <w:p w:rsidR="007B6477" w:rsidRPr="00537665" w:rsidRDefault="007B6477" w:rsidP="00751035">
            <w:pPr>
              <w:rPr>
                <w:rFonts w:cs="Arial"/>
                <w:sz w:val="18"/>
                <w:szCs w:val="18"/>
                <w:lang w:eastAsia="es-CO"/>
              </w:rPr>
            </w:pPr>
            <w:r w:rsidRPr="00537665">
              <w:rPr>
                <w:rFonts w:cs="Arial"/>
                <w:sz w:val="18"/>
                <w:szCs w:val="18"/>
                <w:lang w:eastAsia="es-CO"/>
              </w:rPr>
              <w:t>Adhesión al convenio entre el municipio de Leticia y el departamento del Amazonas para reparaciones locativas en redes hidrosanitarias y eléctricas del CAE Amazonas</w:t>
            </w:r>
          </w:p>
        </w:tc>
        <w:tc>
          <w:tcPr>
            <w:tcW w:w="1994" w:type="dxa"/>
            <w:shd w:val="clear" w:color="auto" w:fill="auto"/>
            <w:noWrap/>
            <w:vAlign w:val="center"/>
            <w:hideMark/>
          </w:tcPr>
          <w:p w:rsidR="007B6477" w:rsidRPr="00537665" w:rsidRDefault="007B6477" w:rsidP="00751035">
            <w:pPr>
              <w:rPr>
                <w:rFonts w:cs="Arial"/>
                <w:sz w:val="18"/>
                <w:szCs w:val="18"/>
                <w:lang w:eastAsia="es-CO"/>
              </w:rPr>
            </w:pPr>
            <w:r w:rsidRPr="00537665">
              <w:rPr>
                <w:rFonts w:cs="Arial"/>
                <w:sz w:val="18"/>
                <w:szCs w:val="18"/>
                <w:lang w:eastAsia="es-CO"/>
              </w:rPr>
              <w:t xml:space="preserve">                $84.000.000,00 </w:t>
            </w:r>
          </w:p>
        </w:tc>
      </w:tr>
    </w:tbl>
    <w:p w:rsidR="007B6477" w:rsidRPr="00E2319F" w:rsidRDefault="007B6477" w:rsidP="007B6477">
      <w:pPr>
        <w:rPr>
          <w:rFonts w:cs="Arial"/>
        </w:rPr>
      </w:pPr>
    </w:p>
    <w:p w:rsidR="007B6477" w:rsidRPr="00E2319F" w:rsidRDefault="007B6477" w:rsidP="007B6477">
      <w:pPr>
        <w:jc w:val="both"/>
        <w:rPr>
          <w:rFonts w:cs="Arial"/>
          <w:b/>
        </w:rPr>
      </w:pPr>
      <w:r w:rsidRPr="00E2319F">
        <w:rPr>
          <w:rFonts w:cs="Arial"/>
          <w:b/>
        </w:rPr>
        <w:t>CONTRATO INTERADMINISTRATIVO NO. 1564 DE 2016 ASISTENCIA TÉCNICA FINDETER</w:t>
      </w:r>
    </w:p>
    <w:p w:rsidR="007B6477" w:rsidRPr="00E2319F" w:rsidRDefault="007B6477" w:rsidP="007B6477">
      <w:pPr>
        <w:jc w:val="both"/>
        <w:rPr>
          <w:rFonts w:cs="Arial"/>
        </w:rPr>
      </w:pPr>
      <w:r w:rsidRPr="00E2319F">
        <w:rPr>
          <w:rFonts w:cs="Arial"/>
        </w:rPr>
        <w:t xml:space="preserve">(En ejecución). Este contrato de Findeter se suscribió por $19.295.097.005 incluido el valor de la asistencia técnica. Se avanza en la ejecución de las primeras y segundas fases de los proyectos de Carlos Lleras Restrepo, Valle de Lili, Asomenores, Valledupar y los estudios, diseños y construcción del parque zonal el Redentor, y se continua la ejecución del proyecto de estudios y diseños del Centro Integral en Huila, los centros de atención Luis A. Rengifo, Granja Manare, Santo Ángel y adecuaciones en el CAE Chocó ya terminaron su ejecución. Toda vez que algunas de las regionales no comprometieron los recursos trasladados para garantizar su ejecución durante la presente vigencia, se solicitó la devolución de dichos recursos y </w:t>
      </w:r>
      <w:bookmarkStart w:id="166" w:name="_Hlk495322504"/>
      <w:r w:rsidRPr="00E2319F">
        <w:rPr>
          <w:rFonts w:cs="Arial"/>
        </w:rPr>
        <w:t>para los casos de Antioquia, Bolívar y Cesar los recursos devueltos se adicionaron al contrato suscrito con FINDETER para que sean ejecutados en los proyectos que actualmente se adelantan en estos mismos departamentos</w:t>
      </w:r>
      <w:bookmarkEnd w:id="166"/>
      <w:r w:rsidRPr="00E2319F">
        <w:rPr>
          <w:rFonts w:cs="Arial"/>
        </w:rPr>
        <w:t xml:space="preserve">. </w:t>
      </w:r>
    </w:p>
    <w:p w:rsidR="007B6477" w:rsidRPr="00E2319F" w:rsidRDefault="007B6477" w:rsidP="007B6477">
      <w:pPr>
        <w:jc w:val="both"/>
        <w:rPr>
          <w:rFonts w:cs="Arial"/>
        </w:rPr>
      </w:pPr>
      <w:r w:rsidRPr="00E2319F">
        <w:rPr>
          <w:rFonts w:cs="Arial"/>
        </w:rPr>
        <w:t>En consideración a las necesidades evidenciadas por el Grupo de Infraestructura Inmobiliaria y a las solicitudes realizadas desde las regionales del ICBF, en la presente vigencia se evidenció la necesidad adicionar este contrato para la ejecución de los siguientes proyectos:</w:t>
      </w:r>
    </w:p>
    <w:p w:rsidR="007B6477" w:rsidRPr="00E2319F" w:rsidRDefault="007B6477" w:rsidP="007B6477">
      <w:pPr>
        <w:jc w:val="both"/>
        <w:rPr>
          <w:rFonts w:cs="Arial"/>
          <w:b/>
        </w:rPr>
      </w:pPr>
      <w:r w:rsidRPr="00E2319F">
        <w:rPr>
          <w:rFonts w:cs="Arial"/>
          <w:b/>
        </w:rPr>
        <w:t xml:space="preserve">Tabla. Distribución de recursos por adición a contrato interadministrativo no. 1564 de 2016 Asistencia Técnica Findeter - SRPA </w:t>
      </w: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2969"/>
        <w:gridCol w:w="6426"/>
      </w:tblGrid>
      <w:tr w:rsidR="007B6477" w:rsidRPr="00537665" w:rsidTr="007D364A">
        <w:trPr>
          <w:trHeight w:val="20"/>
          <w:tblHeader/>
          <w:jc w:val="center"/>
        </w:trPr>
        <w:tc>
          <w:tcPr>
            <w:tcW w:w="0" w:type="auto"/>
            <w:shd w:val="clear" w:color="auto" w:fill="76922E"/>
            <w:vAlign w:val="center"/>
          </w:tcPr>
          <w:p w:rsidR="007B6477" w:rsidRPr="00537665" w:rsidRDefault="007B6477" w:rsidP="00537665">
            <w:pPr>
              <w:spacing w:before="100" w:beforeAutospacing="1" w:after="100" w:afterAutospacing="1" w:line="240" w:lineRule="auto"/>
              <w:jc w:val="center"/>
              <w:rPr>
                <w:rFonts w:eastAsia="Times New Roman" w:cs="Arial"/>
                <w:b/>
                <w:bCs/>
                <w:color w:val="FFFFFF" w:themeColor="background1"/>
                <w:sz w:val="18"/>
                <w:szCs w:val="18"/>
                <w:lang w:eastAsia="es-ES"/>
              </w:rPr>
            </w:pPr>
            <w:r w:rsidRPr="00537665">
              <w:rPr>
                <w:rFonts w:eastAsia="Times New Roman" w:cs="Arial"/>
                <w:b/>
                <w:bCs/>
                <w:color w:val="FFFFFF" w:themeColor="background1"/>
                <w:sz w:val="18"/>
                <w:szCs w:val="18"/>
                <w:lang w:eastAsia="es-ES"/>
              </w:rPr>
              <w:t>Proyecto</w:t>
            </w:r>
          </w:p>
        </w:tc>
        <w:tc>
          <w:tcPr>
            <w:tcW w:w="0" w:type="auto"/>
            <w:shd w:val="clear" w:color="auto" w:fill="76922E"/>
            <w:vAlign w:val="center"/>
          </w:tcPr>
          <w:p w:rsidR="007B6477" w:rsidRPr="00537665" w:rsidRDefault="007B6477" w:rsidP="00537665">
            <w:pPr>
              <w:spacing w:before="100" w:beforeAutospacing="1" w:after="100" w:afterAutospacing="1" w:line="240" w:lineRule="auto"/>
              <w:jc w:val="center"/>
              <w:rPr>
                <w:rFonts w:eastAsia="Times New Roman" w:cs="Arial"/>
                <w:b/>
                <w:bCs/>
                <w:color w:val="FFFFFF" w:themeColor="background1"/>
                <w:sz w:val="18"/>
                <w:szCs w:val="18"/>
                <w:lang w:eastAsia="es-ES"/>
              </w:rPr>
            </w:pPr>
            <w:r w:rsidRPr="00537665">
              <w:rPr>
                <w:rFonts w:eastAsia="Times New Roman" w:cs="Arial"/>
                <w:b/>
                <w:bCs/>
                <w:color w:val="FFFFFF" w:themeColor="background1"/>
                <w:sz w:val="18"/>
                <w:szCs w:val="18"/>
                <w:lang w:eastAsia="es-ES"/>
              </w:rPr>
              <w:t>Descripción</w:t>
            </w:r>
          </w:p>
        </w:tc>
      </w:tr>
      <w:tr w:rsidR="007B6477" w:rsidRPr="00537665" w:rsidTr="007D364A">
        <w:trPr>
          <w:trHeight w:val="20"/>
          <w:jc w:val="center"/>
        </w:trPr>
        <w:tc>
          <w:tcPr>
            <w:tcW w:w="0" w:type="auto"/>
            <w:shd w:val="clear" w:color="auto" w:fill="auto"/>
            <w:vAlign w:val="center"/>
          </w:tcPr>
          <w:p w:rsidR="007B6477" w:rsidRPr="00537665" w:rsidRDefault="007B6477" w:rsidP="00751035">
            <w:pPr>
              <w:jc w:val="both"/>
              <w:rPr>
                <w:rFonts w:cs="Arial"/>
                <w:sz w:val="18"/>
                <w:szCs w:val="18"/>
                <w:lang w:eastAsia="es-CO"/>
              </w:rPr>
            </w:pPr>
            <w:r w:rsidRPr="00537665">
              <w:rPr>
                <w:rFonts w:cs="Arial"/>
                <w:sz w:val="18"/>
                <w:szCs w:val="18"/>
                <w:lang w:eastAsia="es-CO"/>
              </w:rPr>
              <w:t>CAE Valle del Lilí en Cali</w:t>
            </w:r>
          </w:p>
        </w:tc>
        <w:tc>
          <w:tcPr>
            <w:tcW w:w="0" w:type="auto"/>
            <w:shd w:val="clear" w:color="auto" w:fill="auto"/>
            <w:vAlign w:val="center"/>
            <w:hideMark/>
          </w:tcPr>
          <w:p w:rsidR="007B6477" w:rsidRPr="00537665" w:rsidRDefault="007B6477" w:rsidP="00751035">
            <w:pPr>
              <w:jc w:val="both"/>
              <w:rPr>
                <w:rFonts w:cs="Arial"/>
                <w:sz w:val="18"/>
                <w:szCs w:val="18"/>
                <w:lang w:eastAsia="es-CO"/>
              </w:rPr>
            </w:pPr>
            <w:r w:rsidRPr="00537665">
              <w:rPr>
                <w:rFonts w:cs="Arial"/>
                <w:sz w:val="18"/>
                <w:szCs w:val="18"/>
                <w:lang w:eastAsia="es-CO"/>
              </w:rPr>
              <w:t>Obras de adecuación del CAE Valle de Lili - Cali (Valle) / Adición contratos derivados en ejecución.</w:t>
            </w:r>
          </w:p>
        </w:tc>
      </w:tr>
      <w:tr w:rsidR="007B6477" w:rsidRPr="00537665" w:rsidTr="007D364A">
        <w:trPr>
          <w:trHeight w:val="20"/>
          <w:jc w:val="center"/>
        </w:trPr>
        <w:tc>
          <w:tcPr>
            <w:tcW w:w="0" w:type="auto"/>
            <w:shd w:val="clear" w:color="auto" w:fill="auto"/>
            <w:vAlign w:val="center"/>
          </w:tcPr>
          <w:p w:rsidR="007B6477" w:rsidRPr="00537665" w:rsidRDefault="007B6477" w:rsidP="00751035">
            <w:pPr>
              <w:jc w:val="both"/>
              <w:rPr>
                <w:rFonts w:cs="Arial"/>
                <w:sz w:val="18"/>
                <w:szCs w:val="18"/>
                <w:lang w:eastAsia="es-CO"/>
              </w:rPr>
            </w:pPr>
            <w:r w:rsidRPr="00537665">
              <w:rPr>
                <w:rFonts w:cs="Arial"/>
                <w:sz w:val="18"/>
                <w:szCs w:val="18"/>
                <w:lang w:eastAsia="es-CO"/>
              </w:rPr>
              <w:lastRenderedPageBreak/>
              <w:t>CAE Asomenores – Turbaco (Bolívar)</w:t>
            </w:r>
          </w:p>
        </w:tc>
        <w:tc>
          <w:tcPr>
            <w:tcW w:w="0" w:type="auto"/>
            <w:shd w:val="clear" w:color="auto" w:fill="auto"/>
            <w:vAlign w:val="center"/>
            <w:hideMark/>
          </w:tcPr>
          <w:p w:rsidR="007B6477" w:rsidRPr="00537665" w:rsidRDefault="007B6477" w:rsidP="00751035">
            <w:pPr>
              <w:jc w:val="both"/>
              <w:rPr>
                <w:rFonts w:cs="Arial"/>
                <w:sz w:val="18"/>
                <w:szCs w:val="18"/>
                <w:lang w:eastAsia="es-CO"/>
              </w:rPr>
            </w:pPr>
            <w:r w:rsidRPr="00537665">
              <w:rPr>
                <w:rFonts w:cs="Arial"/>
                <w:sz w:val="18"/>
                <w:szCs w:val="18"/>
                <w:lang w:eastAsia="es-CO"/>
              </w:rPr>
              <w:t>Obras de adecuación CAE Asomenores - Turbaco (Bolívar) / Adición contratos derivados en ejecución.</w:t>
            </w:r>
          </w:p>
        </w:tc>
      </w:tr>
      <w:tr w:rsidR="007B6477" w:rsidRPr="00537665" w:rsidTr="007D364A">
        <w:trPr>
          <w:trHeight w:val="20"/>
          <w:jc w:val="center"/>
        </w:trPr>
        <w:tc>
          <w:tcPr>
            <w:tcW w:w="0" w:type="auto"/>
            <w:shd w:val="clear" w:color="auto" w:fill="auto"/>
            <w:vAlign w:val="center"/>
          </w:tcPr>
          <w:p w:rsidR="007B6477" w:rsidRPr="00537665" w:rsidRDefault="007B6477" w:rsidP="00751035">
            <w:pPr>
              <w:jc w:val="both"/>
              <w:rPr>
                <w:rFonts w:cs="Arial"/>
                <w:sz w:val="18"/>
                <w:szCs w:val="18"/>
                <w:lang w:eastAsia="es-CO"/>
              </w:rPr>
            </w:pPr>
            <w:r w:rsidRPr="00537665">
              <w:rPr>
                <w:rFonts w:cs="Arial"/>
                <w:sz w:val="18"/>
                <w:szCs w:val="18"/>
                <w:lang w:eastAsia="es-CO"/>
              </w:rPr>
              <w:t>Parque Zonal El Redentor - Bogotá</w:t>
            </w:r>
          </w:p>
        </w:tc>
        <w:tc>
          <w:tcPr>
            <w:tcW w:w="0" w:type="auto"/>
            <w:shd w:val="clear" w:color="auto" w:fill="auto"/>
            <w:vAlign w:val="center"/>
            <w:hideMark/>
          </w:tcPr>
          <w:p w:rsidR="007B6477" w:rsidRPr="00537665" w:rsidRDefault="007B6477" w:rsidP="00751035">
            <w:pPr>
              <w:jc w:val="both"/>
              <w:rPr>
                <w:rFonts w:cs="Arial"/>
                <w:sz w:val="18"/>
                <w:szCs w:val="18"/>
                <w:lang w:eastAsia="es-CO"/>
              </w:rPr>
            </w:pPr>
            <w:r w:rsidRPr="00537665">
              <w:rPr>
                <w:rFonts w:cs="Arial"/>
                <w:sz w:val="18"/>
                <w:szCs w:val="18"/>
                <w:lang w:eastAsia="es-CO"/>
              </w:rPr>
              <w:t>Diseño y construcción del Parque Zonal El Redentor - Bogotá / Adición contratos derivados en ejecución.</w:t>
            </w:r>
          </w:p>
        </w:tc>
      </w:tr>
      <w:tr w:rsidR="007B6477" w:rsidRPr="00537665" w:rsidTr="007D364A">
        <w:trPr>
          <w:trHeight w:val="20"/>
          <w:jc w:val="center"/>
        </w:trPr>
        <w:tc>
          <w:tcPr>
            <w:tcW w:w="0" w:type="auto"/>
            <w:shd w:val="clear" w:color="auto" w:fill="auto"/>
            <w:vAlign w:val="center"/>
          </w:tcPr>
          <w:p w:rsidR="007B6477" w:rsidRPr="00537665" w:rsidRDefault="007B6477" w:rsidP="00751035">
            <w:pPr>
              <w:jc w:val="both"/>
              <w:rPr>
                <w:rFonts w:cs="Arial"/>
                <w:sz w:val="18"/>
                <w:szCs w:val="18"/>
              </w:rPr>
            </w:pPr>
            <w:r w:rsidRPr="00537665">
              <w:rPr>
                <w:rFonts w:cs="Arial"/>
                <w:sz w:val="18"/>
                <w:szCs w:val="18"/>
              </w:rPr>
              <w:t>CESPA Cra 30 # 11-85 Bogotá D.C.</w:t>
            </w:r>
          </w:p>
        </w:tc>
        <w:tc>
          <w:tcPr>
            <w:tcW w:w="0" w:type="auto"/>
            <w:shd w:val="clear" w:color="auto" w:fill="auto"/>
            <w:vAlign w:val="center"/>
          </w:tcPr>
          <w:p w:rsidR="007B6477" w:rsidRPr="00537665" w:rsidRDefault="007B6477" w:rsidP="00751035">
            <w:pPr>
              <w:jc w:val="both"/>
              <w:rPr>
                <w:rFonts w:cs="Arial"/>
                <w:sz w:val="18"/>
                <w:szCs w:val="18"/>
              </w:rPr>
            </w:pPr>
            <w:r w:rsidRPr="00537665">
              <w:rPr>
                <w:rFonts w:cs="Arial"/>
                <w:sz w:val="18"/>
                <w:szCs w:val="18"/>
              </w:rPr>
              <w:t xml:space="preserve">Realizar los estudios y diseños de la red hidrosanitaria existente, diagnóstico general de la infraestructura y ejecución de las obras necesarias para garantizar las condiciones de higiene y uso de la infraestructura del CESPA ubicado en la </w:t>
            </w:r>
            <w:r w:rsidR="007D364A">
              <w:rPr>
                <w:rFonts w:cs="Arial"/>
                <w:sz w:val="18"/>
                <w:szCs w:val="18"/>
              </w:rPr>
              <w:t>Cra 30 # 11 – 85 de Bogotá D.C.</w:t>
            </w:r>
          </w:p>
        </w:tc>
      </w:tr>
      <w:tr w:rsidR="007B6477" w:rsidRPr="00537665" w:rsidTr="007D364A">
        <w:trPr>
          <w:trHeight w:val="20"/>
          <w:jc w:val="center"/>
        </w:trPr>
        <w:tc>
          <w:tcPr>
            <w:tcW w:w="0" w:type="auto"/>
            <w:gridSpan w:val="2"/>
            <w:shd w:val="clear" w:color="auto" w:fill="76922E"/>
            <w:vAlign w:val="center"/>
            <w:hideMark/>
          </w:tcPr>
          <w:p w:rsidR="007B6477" w:rsidRPr="00537665" w:rsidRDefault="007B6477" w:rsidP="00537665">
            <w:pPr>
              <w:spacing w:before="100" w:beforeAutospacing="1" w:after="100" w:afterAutospacing="1" w:line="240" w:lineRule="auto"/>
              <w:jc w:val="center"/>
              <w:rPr>
                <w:rFonts w:eastAsia="Times New Roman" w:cs="Arial"/>
                <w:b/>
                <w:bCs/>
                <w:color w:val="FFFFFF" w:themeColor="background1"/>
                <w:sz w:val="18"/>
                <w:szCs w:val="18"/>
                <w:lang w:eastAsia="es-ES"/>
              </w:rPr>
            </w:pPr>
            <w:r w:rsidRPr="00537665">
              <w:rPr>
                <w:rFonts w:eastAsia="Times New Roman" w:cs="Arial"/>
                <w:b/>
                <w:bCs/>
                <w:color w:val="FFFFFF" w:themeColor="background1"/>
                <w:sz w:val="18"/>
                <w:szCs w:val="18"/>
                <w:lang w:eastAsia="es-ES"/>
              </w:rPr>
              <w:t xml:space="preserve">Total </w:t>
            </w:r>
            <w:r w:rsidR="00537665" w:rsidRPr="00537665">
              <w:rPr>
                <w:rFonts w:eastAsia="Times New Roman" w:cs="Arial"/>
                <w:b/>
                <w:bCs/>
                <w:color w:val="FFFFFF" w:themeColor="background1"/>
                <w:sz w:val="18"/>
                <w:szCs w:val="18"/>
                <w:lang w:eastAsia="es-ES"/>
              </w:rPr>
              <w:t xml:space="preserve">Adición Proyectos En Ejecución – </w:t>
            </w:r>
            <w:r w:rsidRPr="00537665">
              <w:rPr>
                <w:rFonts w:eastAsia="Times New Roman" w:cs="Arial"/>
                <w:b/>
                <w:bCs/>
                <w:color w:val="FFFFFF" w:themeColor="background1"/>
                <w:sz w:val="18"/>
                <w:szCs w:val="18"/>
                <w:lang w:eastAsia="es-ES"/>
              </w:rPr>
              <w:t>R</w:t>
            </w:r>
            <w:r w:rsidR="00537665" w:rsidRPr="00537665">
              <w:rPr>
                <w:rFonts w:eastAsia="Times New Roman" w:cs="Arial"/>
                <w:b/>
                <w:bCs/>
                <w:color w:val="FFFFFF" w:themeColor="background1"/>
                <w:sz w:val="18"/>
                <w:szCs w:val="18"/>
                <w:lang w:eastAsia="es-ES"/>
              </w:rPr>
              <w:t xml:space="preserve">. </w:t>
            </w:r>
            <w:r w:rsidRPr="00537665">
              <w:rPr>
                <w:rFonts w:eastAsia="Times New Roman" w:cs="Arial"/>
                <w:b/>
                <w:bCs/>
                <w:color w:val="FFFFFF" w:themeColor="background1"/>
                <w:sz w:val="18"/>
                <w:szCs w:val="18"/>
                <w:lang w:eastAsia="es-ES"/>
              </w:rPr>
              <w:t>Nación</w:t>
            </w:r>
          </w:p>
        </w:tc>
      </w:tr>
      <w:tr w:rsidR="007B6477" w:rsidRPr="00537665" w:rsidTr="007D364A">
        <w:trPr>
          <w:trHeight w:val="20"/>
          <w:jc w:val="center"/>
        </w:trPr>
        <w:tc>
          <w:tcPr>
            <w:tcW w:w="0" w:type="auto"/>
            <w:shd w:val="clear" w:color="auto" w:fill="auto"/>
            <w:vAlign w:val="center"/>
            <w:hideMark/>
          </w:tcPr>
          <w:p w:rsidR="007B6477" w:rsidRPr="00537665" w:rsidRDefault="007B6477" w:rsidP="00537665">
            <w:pPr>
              <w:spacing w:before="100" w:beforeAutospacing="1" w:after="100" w:afterAutospacing="1" w:line="240" w:lineRule="auto"/>
              <w:jc w:val="both"/>
              <w:rPr>
                <w:rFonts w:eastAsia="Times New Roman" w:cs="Arial"/>
                <w:sz w:val="18"/>
                <w:szCs w:val="18"/>
                <w:lang w:val="es-CO" w:eastAsia="es-CO"/>
              </w:rPr>
            </w:pPr>
            <w:r w:rsidRPr="00537665">
              <w:rPr>
                <w:rFonts w:eastAsia="Times New Roman" w:cs="Arial"/>
                <w:sz w:val="18"/>
                <w:szCs w:val="18"/>
                <w:lang w:val="es-CO" w:eastAsia="es-CO"/>
              </w:rPr>
              <w:t>Hogar Infantil Copetín en el municipio de Ibagué, Tolima</w:t>
            </w:r>
          </w:p>
        </w:tc>
        <w:tc>
          <w:tcPr>
            <w:tcW w:w="0" w:type="auto"/>
            <w:shd w:val="clear" w:color="auto" w:fill="auto"/>
            <w:vAlign w:val="center"/>
            <w:hideMark/>
          </w:tcPr>
          <w:p w:rsidR="007B6477" w:rsidRPr="00537665" w:rsidRDefault="007B6477" w:rsidP="00537665">
            <w:pPr>
              <w:spacing w:before="100" w:beforeAutospacing="1" w:after="100" w:afterAutospacing="1" w:line="240" w:lineRule="auto"/>
              <w:jc w:val="both"/>
              <w:rPr>
                <w:rFonts w:eastAsia="Times New Roman" w:cs="Arial"/>
                <w:sz w:val="18"/>
                <w:szCs w:val="18"/>
                <w:lang w:val="es-CO" w:eastAsia="es-CO"/>
              </w:rPr>
            </w:pPr>
            <w:r w:rsidRPr="00537665">
              <w:rPr>
                <w:rFonts w:eastAsia="Times New Roman" w:cs="Arial"/>
                <w:sz w:val="18"/>
                <w:szCs w:val="18"/>
                <w:lang w:val="es-CO" w:eastAsia="es-CO"/>
              </w:rPr>
              <w:t>Realizar las obras de adecuación del hogar infantil denominado Copetín en el municipio de Ibagué, departamento de Tolima; propiedad del Instituto Colombiano de Bienestar Familiar (ICBF), para la atención y prestación de servicio a la Primera Infancia del ICBF.</w:t>
            </w:r>
          </w:p>
        </w:tc>
      </w:tr>
      <w:tr w:rsidR="007B6477" w:rsidRPr="00537665" w:rsidTr="007D364A">
        <w:trPr>
          <w:trHeight w:val="20"/>
          <w:jc w:val="center"/>
        </w:trPr>
        <w:tc>
          <w:tcPr>
            <w:tcW w:w="0" w:type="auto"/>
            <w:shd w:val="clear" w:color="auto" w:fill="auto"/>
            <w:vAlign w:val="center"/>
            <w:hideMark/>
          </w:tcPr>
          <w:p w:rsidR="007B6477" w:rsidRPr="00537665" w:rsidRDefault="007B6477" w:rsidP="00537665">
            <w:pPr>
              <w:spacing w:before="100" w:beforeAutospacing="1" w:after="100" w:afterAutospacing="1" w:line="240" w:lineRule="auto"/>
              <w:jc w:val="both"/>
              <w:rPr>
                <w:rFonts w:eastAsia="Times New Roman" w:cs="Arial"/>
                <w:sz w:val="18"/>
                <w:szCs w:val="18"/>
                <w:lang w:val="es-CO" w:eastAsia="es-CO"/>
              </w:rPr>
            </w:pPr>
            <w:r w:rsidRPr="00537665">
              <w:rPr>
                <w:rFonts w:eastAsia="Times New Roman" w:cs="Arial"/>
                <w:sz w:val="18"/>
                <w:szCs w:val="18"/>
                <w:lang w:val="es-CO" w:eastAsia="es-CO"/>
              </w:rPr>
              <w:t>Hogar Infantil Cafeteritos en el Municipio de Toledo, Norte de Santander</w:t>
            </w:r>
          </w:p>
        </w:tc>
        <w:tc>
          <w:tcPr>
            <w:tcW w:w="0" w:type="auto"/>
            <w:shd w:val="clear" w:color="auto" w:fill="auto"/>
            <w:vAlign w:val="center"/>
            <w:hideMark/>
          </w:tcPr>
          <w:p w:rsidR="007B6477" w:rsidRPr="00537665" w:rsidRDefault="007B6477" w:rsidP="00537665">
            <w:pPr>
              <w:spacing w:before="100" w:beforeAutospacing="1" w:after="100" w:afterAutospacing="1" w:line="240" w:lineRule="auto"/>
              <w:jc w:val="both"/>
              <w:rPr>
                <w:rFonts w:eastAsia="Times New Roman" w:cs="Arial"/>
                <w:sz w:val="18"/>
                <w:szCs w:val="18"/>
                <w:lang w:val="es-CO" w:eastAsia="es-CO"/>
              </w:rPr>
            </w:pPr>
            <w:r w:rsidRPr="00537665">
              <w:rPr>
                <w:rFonts w:eastAsia="Times New Roman" w:cs="Arial"/>
                <w:sz w:val="18"/>
                <w:szCs w:val="18"/>
                <w:lang w:val="es-CO" w:eastAsia="es-CO"/>
              </w:rPr>
              <w:t>Revisión - ajuste de los estudios y diseños entregados para el bloque de fachada y construcción de las obras correspondientes, Hogar Infantil Cafeteritos ubicado en el municipio de Toledo (Norte de Santander); donde se presta atención y servicio a la primera infancia del Instituto Colombiano de Bienestar Familiar ICBF.</w:t>
            </w:r>
          </w:p>
        </w:tc>
      </w:tr>
      <w:tr w:rsidR="007B6477" w:rsidRPr="00537665" w:rsidTr="007D364A">
        <w:trPr>
          <w:trHeight w:val="20"/>
          <w:jc w:val="center"/>
        </w:trPr>
        <w:tc>
          <w:tcPr>
            <w:tcW w:w="0" w:type="auto"/>
            <w:shd w:val="clear" w:color="auto" w:fill="auto"/>
            <w:vAlign w:val="center"/>
            <w:hideMark/>
          </w:tcPr>
          <w:p w:rsidR="007B6477" w:rsidRPr="00537665" w:rsidRDefault="007B6477" w:rsidP="00537665">
            <w:pPr>
              <w:spacing w:before="100" w:beforeAutospacing="1" w:after="100" w:afterAutospacing="1" w:line="240" w:lineRule="auto"/>
              <w:jc w:val="both"/>
              <w:rPr>
                <w:rFonts w:eastAsia="Times New Roman" w:cs="Arial"/>
                <w:sz w:val="18"/>
                <w:szCs w:val="18"/>
                <w:lang w:val="es-CO" w:eastAsia="es-CO"/>
              </w:rPr>
            </w:pPr>
            <w:r w:rsidRPr="00537665">
              <w:rPr>
                <w:rFonts w:eastAsia="Times New Roman" w:cs="Arial"/>
                <w:sz w:val="18"/>
                <w:szCs w:val="18"/>
                <w:lang w:val="es-CO" w:eastAsia="es-CO"/>
              </w:rPr>
              <w:t>Hogar Infantil La Magdalena en el Municipio de Sogamoso, Boyacá</w:t>
            </w:r>
          </w:p>
        </w:tc>
        <w:tc>
          <w:tcPr>
            <w:tcW w:w="0" w:type="auto"/>
            <w:shd w:val="clear" w:color="auto" w:fill="auto"/>
            <w:vAlign w:val="center"/>
            <w:hideMark/>
          </w:tcPr>
          <w:p w:rsidR="007B6477" w:rsidRPr="00537665" w:rsidRDefault="007B6477" w:rsidP="00537665">
            <w:pPr>
              <w:spacing w:before="100" w:beforeAutospacing="1" w:after="100" w:afterAutospacing="1" w:line="240" w:lineRule="auto"/>
              <w:jc w:val="both"/>
              <w:rPr>
                <w:rFonts w:eastAsia="Times New Roman" w:cs="Arial"/>
                <w:sz w:val="18"/>
                <w:szCs w:val="18"/>
                <w:lang w:val="es-CO" w:eastAsia="es-CO"/>
              </w:rPr>
            </w:pPr>
            <w:r w:rsidRPr="00537665">
              <w:rPr>
                <w:rFonts w:eastAsia="Times New Roman" w:cs="Arial"/>
                <w:sz w:val="18"/>
                <w:szCs w:val="18"/>
                <w:lang w:val="es-CO" w:eastAsia="es-CO"/>
              </w:rPr>
              <w:t>Realizar la consultoría de estudios y diseños para el reforzamiento estructural del inmueble denominado Hogar Infantil La Magdalena, ubicado en la Calle 4 No. 25-14 del municipio de Sogamoso - Boyacá de propiedad del Instituto Colombiano de Bienestar Familiar, incluyendo los estudios de patología, reforzamiento estructural de la edificación existente de acuerdo con el Reglamento Colombiano de Construcción Sismo Resistente NSR-10.</w:t>
            </w:r>
          </w:p>
        </w:tc>
      </w:tr>
      <w:tr w:rsidR="007B6477" w:rsidRPr="00537665" w:rsidTr="007D364A">
        <w:trPr>
          <w:trHeight w:val="20"/>
          <w:jc w:val="center"/>
        </w:trPr>
        <w:tc>
          <w:tcPr>
            <w:tcW w:w="0" w:type="auto"/>
            <w:shd w:val="clear" w:color="auto" w:fill="auto"/>
            <w:vAlign w:val="center"/>
            <w:hideMark/>
          </w:tcPr>
          <w:p w:rsidR="007B6477" w:rsidRPr="00537665" w:rsidRDefault="007B6477" w:rsidP="00537665">
            <w:pPr>
              <w:spacing w:before="100" w:beforeAutospacing="1" w:after="100" w:afterAutospacing="1" w:line="240" w:lineRule="auto"/>
              <w:jc w:val="both"/>
              <w:rPr>
                <w:rFonts w:eastAsia="Times New Roman" w:cs="Arial"/>
                <w:sz w:val="18"/>
                <w:szCs w:val="18"/>
                <w:lang w:val="es-CO" w:eastAsia="es-CO"/>
              </w:rPr>
            </w:pPr>
            <w:r w:rsidRPr="00537665">
              <w:rPr>
                <w:rFonts w:eastAsia="Times New Roman" w:cs="Arial"/>
                <w:sz w:val="18"/>
                <w:szCs w:val="18"/>
                <w:lang w:val="es-CO" w:eastAsia="es-CO"/>
              </w:rPr>
              <w:t>Antiguo Edificio de Archivo de la Sede de la Dirección General del ICBF, Ave Cra</w:t>
            </w:r>
            <w:r w:rsidR="00537665">
              <w:rPr>
                <w:rFonts w:eastAsia="Times New Roman" w:cs="Arial"/>
                <w:sz w:val="18"/>
                <w:szCs w:val="18"/>
                <w:lang w:val="es-CO" w:eastAsia="es-CO"/>
              </w:rPr>
              <w:t>.</w:t>
            </w:r>
            <w:r w:rsidRPr="00537665">
              <w:rPr>
                <w:rFonts w:eastAsia="Times New Roman" w:cs="Arial"/>
                <w:sz w:val="18"/>
                <w:szCs w:val="18"/>
                <w:lang w:val="es-CO" w:eastAsia="es-CO"/>
              </w:rPr>
              <w:t xml:space="preserve"> 68 # 64C – 75, Bogotá D.C.</w:t>
            </w:r>
          </w:p>
        </w:tc>
        <w:tc>
          <w:tcPr>
            <w:tcW w:w="0" w:type="auto"/>
            <w:shd w:val="clear" w:color="auto" w:fill="auto"/>
            <w:vAlign w:val="center"/>
            <w:hideMark/>
          </w:tcPr>
          <w:p w:rsidR="007B6477" w:rsidRPr="00537665" w:rsidRDefault="007B6477" w:rsidP="00537665">
            <w:pPr>
              <w:spacing w:before="100" w:beforeAutospacing="1" w:after="100" w:afterAutospacing="1" w:line="240" w:lineRule="auto"/>
              <w:jc w:val="both"/>
              <w:rPr>
                <w:rFonts w:eastAsia="Times New Roman" w:cs="Arial"/>
                <w:sz w:val="18"/>
                <w:szCs w:val="18"/>
                <w:lang w:val="es-CO" w:eastAsia="es-CO"/>
              </w:rPr>
            </w:pPr>
            <w:r w:rsidRPr="00537665">
              <w:rPr>
                <w:rFonts w:eastAsia="Times New Roman" w:cs="Arial"/>
                <w:sz w:val="18"/>
                <w:szCs w:val="18"/>
                <w:lang w:val="es-CO" w:eastAsia="es-CO"/>
              </w:rPr>
              <w:t>Realizar las reparaciones locativas del antiguo edificio de archivo de la Sede Nacional del ICBF en Bogotá D.C.</w:t>
            </w:r>
          </w:p>
        </w:tc>
      </w:tr>
      <w:tr w:rsidR="007B6477" w:rsidRPr="00537665" w:rsidTr="007D364A">
        <w:trPr>
          <w:trHeight w:val="20"/>
          <w:jc w:val="center"/>
        </w:trPr>
        <w:tc>
          <w:tcPr>
            <w:tcW w:w="0" w:type="auto"/>
            <w:shd w:val="clear" w:color="auto" w:fill="auto"/>
            <w:vAlign w:val="center"/>
            <w:hideMark/>
          </w:tcPr>
          <w:p w:rsidR="007B6477" w:rsidRPr="00537665" w:rsidRDefault="007B6477" w:rsidP="00537665">
            <w:pPr>
              <w:spacing w:before="100" w:beforeAutospacing="1" w:after="100" w:afterAutospacing="1" w:line="240" w:lineRule="auto"/>
              <w:jc w:val="both"/>
              <w:rPr>
                <w:rFonts w:eastAsia="Times New Roman" w:cs="Arial"/>
                <w:sz w:val="18"/>
                <w:szCs w:val="18"/>
                <w:lang w:val="es-CO" w:eastAsia="es-CO"/>
              </w:rPr>
            </w:pPr>
            <w:r w:rsidRPr="00537665">
              <w:rPr>
                <w:rFonts w:eastAsia="Times New Roman" w:cs="Arial"/>
                <w:sz w:val="18"/>
                <w:szCs w:val="18"/>
                <w:lang w:val="es-CO" w:eastAsia="es-CO"/>
              </w:rPr>
              <w:t>Vulnerabilidad Sísmica, reforzamiento y/o modificaciones arquitectónicas de la Sede Nacional del ICBF, Ave Cra 68 # 64C – 75, Bogotá D.C.</w:t>
            </w:r>
          </w:p>
        </w:tc>
        <w:tc>
          <w:tcPr>
            <w:tcW w:w="0" w:type="auto"/>
            <w:shd w:val="clear" w:color="auto" w:fill="auto"/>
            <w:vAlign w:val="center"/>
            <w:hideMark/>
          </w:tcPr>
          <w:p w:rsidR="007B6477" w:rsidRPr="00537665" w:rsidRDefault="007B6477" w:rsidP="00537665">
            <w:pPr>
              <w:spacing w:before="100" w:beforeAutospacing="1" w:after="100" w:afterAutospacing="1" w:line="240" w:lineRule="auto"/>
              <w:jc w:val="both"/>
              <w:rPr>
                <w:rFonts w:eastAsia="Times New Roman" w:cs="Arial"/>
                <w:sz w:val="18"/>
                <w:szCs w:val="18"/>
                <w:lang w:val="es-CO" w:eastAsia="es-CO"/>
              </w:rPr>
            </w:pPr>
            <w:r w:rsidRPr="00537665">
              <w:rPr>
                <w:rFonts w:eastAsia="Times New Roman" w:cs="Arial"/>
                <w:sz w:val="18"/>
                <w:szCs w:val="18"/>
                <w:lang w:val="es-CO" w:eastAsia="es-CO"/>
              </w:rPr>
              <w:t>Realizar revisión y ajuste de los productos obtenidos de la consultoría de estudios y diseños para la vulnerabilidad sísmica, reforzamiento estructural y modificaciones arquitectónicas de las instalaciones de la Sede Nacional del ICBF, ubicadas en la Carrera 68 No. 64C – 75 de la ciudad de Bogotá D.C., de acuerdo con el Reglamento Colombiano de Construcción Sismo Resistente NSR-10 - Contrato 091 de 2010</w:t>
            </w:r>
          </w:p>
        </w:tc>
      </w:tr>
      <w:tr w:rsidR="007B6477" w:rsidRPr="00537665" w:rsidTr="007D364A">
        <w:trPr>
          <w:trHeight w:val="20"/>
          <w:jc w:val="center"/>
        </w:trPr>
        <w:tc>
          <w:tcPr>
            <w:tcW w:w="0" w:type="auto"/>
            <w:shd w:val="clear" w:color="auto" w:fill="auto"/>
            <w:vAlign w:val="center"/>
            <w:hideMark/>
          </w:tcPr>
          <w:p w:rsidR="007B6477" w:rsidRPr="00537665" w:rsidRDefault="007B6477" w:rsidP="00537665">
            <w:pPr>
              <w:spacing w:before="100" w:beforeAutospacing="1" w:after="100" w:afterAutospacing="1" w:line="240" w:lineRule="auto"/>
              <w:jc w:val="both"/>
              <w:rPr>
                <w:rFonts w:eastAsia="Times New Roman" w:cs="Arial"/>
                <w:sz w:val="18"/>
                <w:szCs w:val="18"/>
                <w:lang w:val="es-CO" w:eastAsia="es-CO"/>
              </w:rPr>
            </w:pPr>
            <w:r w:rsidRPr="00537665">
              <w:rPr>
                <w:rFonts w:eastAsia="Times New Roman" w:cs="Arial"/>
                <w:sz w:val="18"/>
                <w:szCs w:val="18"/>
                <w:lang w:val="es-CO" w:eastAsia="es-CO"/>
              </w:rPr>
              <w:t>Vulnerabilidad Sísmica y reforzamiento estructural y adecuación funcional inmueble Cra 15 # 38 – 14 en Bogotá D.C., propiedad del ICBF</w:t>
            </w:r>
          </w:p>
        </w:tc>
        <w:tc>
          <w:tcPr>
            <w:tcW w:w="0" w:type="auto"/>
            <w:shd w:val="clear" w:color="auto" w:fill="auto"/>
            <w:vAlign w:val="center"/>
            <w:hideMark/>
          </w:tcPr>
          <w:p w:rsidR="007B6477" w:rsidRPr="00537665" w:rsidRDefault="007B6477" w:rsidP="00537665">
            <w:pPr>
              <w:spacing w:before="100" w:beforeAutospacing="1" w:after="100" w:afterAutospacing="1" w:line="240" w:lineRule="auto"/>
              <w:jc w:val="both"/>
              <w:rPr>
                <w:rFonts w:eastAsia="Times New Roman" w:cs="Arial"/>
                <w:sz w:val="18"/>
                <w:szCs w:val="18"/>
                <w:lang w:val="es-CO" w:eastAsia="es-CO"/>
              </w:rPr>
            </w:pPr>
            <w:r w:rsidRPr="00537665">
              <w:rPr>
                <w:rFonts w:eastAsia="Times New Roman" w:cs="Arial"/>
                <w:sz w:val="18"/>
                <w:szCs w:val="18"/>
                <w:lang w:val="es-CO" w:eastAsia="es-CO"/>
              </w:rPr>
              <w:t>Realizar los estudios y diseños para el reforzamiento estructural y la adecuación funcional del inmueble localizado en la Cra 15 # 38 – 14 de la Ciudad de Bogotá y de propiedad del ICBF, declarado como Bien de Interés Cultural mediante Decreto 606 de 2001</w:t>
            </w:r>
          </w:p>
        </w:tc>
      </w:tr>
      <w:tr w:rsidR="007B6477" w:rsidRPr="00537665" w:rsidTr="007D364A">
        <w:trPr>
          <w:trHeight w:val="20"/>
          <w:jc w:val="center"/>
        </w:trPr>
        <w:tc>
          <w:tcPr>
            <w:tcW w:w="0" w:type="auto"/>
            <w:shd w:val="clear" w:color="auto" w:fill="auto"/>
            <w:vAlign w:val="center"/>
          </w:tcPr>
          <w:p w:rsidR="007B6477" w:rsidRPr="00537665" w:rsidRDefault="007B6477" w:rsidP="00537665">
            <w:pPr>
              <w:spacing w:before="100" w:beforeAutospacing="1" w:after="100" w:afterAutospacing="1" w:line="240" w:lineRule="auto"/>
              <w:jc w:val="both"/>
              <w:rPr>
                <w:rFonts w:eastAsia="Times New Roman" w:cs="Arial"/>
                <w:sz w:val="18"/>
                <w:szCs w:val="18"/>
                <w:lang w:val="es-CO" w:eastAsia="es-CO"/>
              </w:rPr>
            </w:pPr>
            <w:r w:rsidRPr="00537665">
              <w:rPr>
                <w:rFonts w:eastAsia="Times New Roman" w:cs="Arial"/>
                <w:sz w:val="18"/>
                <w:szCs w:val="18"/>
                <w:lang w:val="es-CO" w:eastAsia="es-CO"/>
              </w:rPr>
              <w:t>CESPA Cra 30 # 11 -85 Bogotá D.C.</w:t>
            </w:r>
          </w:p>
        </w:tc>
        <w:tc>
          <w:tcPr>
            <w:tcW w:w="0" w:type="auto"/>
            <w:shd w:val="clear" w:color="auto" w:fill="auto"/>
            <w:vAlign w:val="center"/>
            <w:hideMark/>
          </w:tcPr>
          <w:p w:rsidR="007B6477" w:rsidRPr="00537665" w:rsidRDefault="007B6477" w:rsidP="00537665">
            <w:pPr>
              <w:spacing w:before="100" w:beforeAutospacing="1" w:after="100" w:afterAutospacing="1" w:line="240" w:lineRule="auto"/>
              <w:jc w:val="both"/>
              <w:rPr>
                <w:rFonts w:eastAsia="Times New Roman" w:cs="Arial"/>
                <w:sz w:val="18"/>
                <w:szCs w:val="18"/>
                <w:lang w:val="es-CO" w:eastAsia="es-CO"/>
              </w:rPr>
            </w:pPr>
            <w:r w:rsidRPr="00537665">
              <w:rPr>
                <w:rFonts w:eastAsia="Times New Roman" w:cs="Arial"/>
                <w:sz w:val="18"/>
                <w:szCs w:val="18"/>
                <w:lang w:val="es-CO" w:eastAsia="es-CO"/>
              </w:rPr>
              <w:t>Realizar los estudios y diseños de la red hidrosanitaria existente, diagnóstico general de la infraestructura y ejecución de las obras necesarias para garantizar las condiciones de higiene y buen uso de la infraestructura del CESPA ubicado en la Cra 30 # 11 – 85 de Bogotá D.C.</w:t>
            </w:r>
          </w:p>
        </w:tc>
      </w:tr>
      <w:tr w:rsidR="007B6477" w:rsidRPr="007D364A" w:rsidTr="007D364A">
        <w:trPr>
          <w:trHeight w:val="373"/>
          <w:jc w:val="center"/>
        </w:trPr>
        <w:tc>
          <w:tcPr>
            <w:tcW w:w="0" w:type="auto"/>
            <w:gridSpan w:val="2"/>
            <w:shd w:val="clear" w:color="auto" w:fill="E2EFDA"/>
            <w:vAlign w:val="center"/>
          </w:tcPr>
          <w:p w:rsidR="007B6477" w:rsidRPr="007D364A" w:rsidRDefault="007B6477" w:rsidP="007D364A">
            <w:pPr>
              <w:spacing w:before="100" w:beforeAutospacing="1" w:after="100" w:afterAutospacing="1" w:line="240" w:lineRule="auto"/>
              <w:jc w:val="center"/>
              <w:rPr>
                <w:rFonts w:eastAsia="Times New Roman" w:cs="Arial"/>
                <w:b/>
                <w:bCs/>
                <w:sz w:val="18"/>
                <w:szCs w:val="18"/>
                <w:lang w:eastAsia="es-ES"/>
              </w:rPr>
            </w:pPr>
            <w:r w:rsidRPr="007D364A">
              <w:rPr>
                <w:rFonts w:eastAsia="Times New Roman" w:cs="Arial"/>
                <w:b/>
                <w:bCs/>
                <w:sz w:val="18"/>
                <w:szCs w:val="18"/>
                <w:lang w:eastAsia="es-ES"/>
              </w:rPr>
              <w:t>Total, Adición Proyectos                                                                                                   7.293.315.100</w:t>
            </w:r>
          </w:p>
        </w:tc>
      </w:tr>
    </w:tbl>
    <w:p w:rsidR="007B6477" w:rsidRPr="007D364A" w:rsidRDefault="007B6477" w:rsidP="007D364A">
      <w:pPr>
        <w:spacing w:before="100" w:beforeAutospacing="1" w:after="100" w:afterAutospacing="1" w:line="240" w:lineRule="auto"/>
        <w:jc w:val="center"/>
        <w:rPr>
          <w:rFonts w:eastAsia="Times New Roman" w:cs="Arial"/>
          <w:b/>
          <w:bCs/>
          <w:color w:val="FFFFFF" w:themeColor="background1"/>
          <w:sz w:val="18"/>
          <w:szCs w:val="18"/>
          <w:lang w:eastAsia="es-ES"/>
        </w:rPr>
      </w:pPr>
    </w:p>
    <w:p w:rsidR="007B6477" w:rsidRPr="00E2319F" w:rsidRDefault="007B6477" w:rsidP="007B6477">
      <w:pPr>
        <w:jc w:val="both"/>
        <w:rPr>
          <w:rFonts w:cs="Arial"/>
        </w:rPr>
      </w:pPr>
      <w:r w:rsidRPr="00E2319F">
        <w:rPr>
          <w:rFonts w:cs="Arial"/>
        </w:rPr>
        <w:t xml:space="preserve">De acuerdo a lo anterior, el valor a adicionar al Contrato Interadministrativo No. 1564-2016, incluido el valor de 11 proyectos estimados, la asistencia técnica y la administración de recursos, </w:t>
      </w:r>
      <w:r w:rsidRPr="00E2319F">
        <w:rPr>
          <w:rFonts w:cs="Arial"/>
        </w:rPr>
        <w:lastRenderedPageBreak/>
        <w:t>asciende a un total de SIETE MIL SETENTA Y CINCO MILLONES NOVECIENTOS CINCUENTA Y OCHO MIL CUATROCIENTOS CINCUENTA Y SIETE PESOS ($7.075.958.457) incluido IVA.</w:t>
      </w:r>
    </w:p>
    <w:p w:rsidR="007B6477" w:rsidRPr="00E2319F" w:rsidRDefault="007B6477" w:rsidP="007B6477">
      <w:pPr>
        <w:jc w:val="both"/>
        <w:rPr>
          <w:rFonts w:cs="Arial"/>
        </w:rPr>
      </w:pPr>
      <w:r w:rsidRPr="00E2319F">
        <w:rPr>
          <w:rFonts w:cs="Arial"/>
        </w:rPr>
        <w:t xml:space="preserve">Este contrato </w:t>
      </w:r>
      <w:r w:rsidR="00537665" w:rsidRPr="00E2319F">
        <w:rPr>
          <w:rFonts w:cs="Arial"/>
        </w:rPr>
        <w:t>incluye proyectos</w:t>
      </w:r>
      <w:r w:rsidRPr="00E2319F">
        <w:rPr>
          <w:rFonts w:cs="Arial"/>
        </w:rPr>
        <w:t xml:space="preserve"> de primera infancia y centros zonales.</w:t>
      </w:r>
    </w:p>
    <w:p w:rsidR="007B6477" w:rsidRPr="00E2319F" w:rsidRDefault="007B6477" w:rsidP="007B6477">
      <w:pPr>
        <w:jc w:val="both"/>
        <w:rPr>
          <w:rFonts w:cs="Arial"/>
        </w:rPr>
      </w:pPr>
      <w:r w:rsidRPr="00E2319F">
        <w:rPr>
          <w:rFonts w:cs="Arial"/>
        </w:rPr>
        <w:t>CONTRATO INTERADMINISTRATIVO NO. 1743 DE 2017 ASISTENCIA TÉCNICA FINDETER (en ejecución</w:t>
      </w:r>
      <w:r w:rsidR="00537665" w:rsidRPr="00E2319F">
        <w:rPr>
          <w:rFonts w:cs="Arial"/>
        </w:rPr>
        <w:t>), para</w:t>
      </w:r>
      <w:r w:rsidRPr="00E2319F">
        <w:rPr>
          <w:rFonts w:cs="Arial"/>
        </w:rPr>
        <w:t xml:space="preserve"> la ejecución de los siguientes proyectos: </w:t>
      </w:r>
    </w:p>
    <w:p w:rsidR="007B6477" w:rsidRPr="00E2319F" w:rsidRDefault="007B6477" w:rsidP="007B6477">
      <w:pPr>
        <w:jc w:val="both"/>
        <w:rPr>
          <w:rFonts w:cs="Arial"/>
          <w:b/>
        </w:rPr>
      </w:pPr>
      <w:r w:rsidRPr="00E2319F">
        <w:rPr>
          <w:rFonts w:cs="Arial"/>
          <w:b/>
        </w:rPr>
        <w:t xml:space="preserve">Tabla. Distribución de recursos -Contrato Interadministrativo No. 1743 de 2017 asistencia técnica FINDETER - SRPA </w:t>
      </w:r>
    </w:p>
    <w:tbl>
      <w:tblPr>
        <w:tblW w:w="7933"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7933"/>
      </w:tblGrid>
      <w:tr w:rsidR="007B6477" w:rsidRPr="00010F88" w:rsidTr="00010F88">
        <w:trPr>
          <w:trHeight w:val="213"/>
          <w:jc w:val="center"/>
        </w:trPr>
        <w:tc>
          <w:tcPr>
            <w:tcW w:w="7933" w:type="dxa"/>
            <w:shd w:val="clear" w:color="auto" w:fill="76922E"/>
            <w:vAlign w:val="center"/>
            <w:hideMark/>
          </w:tcPr>
          <w:p w:rsidR="007B6477" w:rsidRPr="00010F88" w:rsidRDefault="007B6477" w:rsidP="00010F88">
            <w:pPr>
              <w:spacing w:before="100" w:beforeAutospacing="1" w:after="100" w:afterAutospacing="1" w:line="240" w:lineRule="auto"/>
              <w:jc w:val="center"/>
              <w:rPr>
                <w:rFonts w:eastAsia="Times New Roman" w:cs="Arial"/>
                <w:b/>
                <w:bCs/>
                <w:color w:val="FFFFFF" w:themeColor="background1"/>
                <w:sz w:val="18"/>
                <w:szCs w:val="18"/>
                <w:lang w:eastAsia="es-ES"/>
              </w:rPr>
            </w:pPr>
            <w:r w:rsidRPr="00010F88">
              <w:rPr>
                <w:rFonts w:eastAsia="Times New Roman" w:cs="Arial"/>
                <w:b/>
                <w:bCs/>
                <w:color w:val="FFFFFF" w:themeColor="background1"/>
                <w:sz w:val="18"/>
                <w:szCs w:val="18"/>
                <w:lang w:eastAsia="es-ES"/>
              </w:rPr>
              <w:t>Proyectos</w:t>
            </w:r>
          </w:p>
        </w:tc>
      </w:tr>
      <w:tr w:rsidR="007B6477" w:rsidRPr="00010F88" w:rsidTr="00010F88">
        <w:trPr>
          <w:trHeight w:val="137"/>
          <w:jc w:val="center"/>
        </w:trPr>
        <w:tc>
          <w:tcPr>
            <w:tcW w:w="7933" w:type="dxa"/>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1.</w:t>
            </w:r>
            <w:r w:rsidRPr="00010F88">
              <w:rPr>
                <w:rFonts w:eastAsia="Times New Roman" w:cs="Arial"/>
                <w:color w:val="76922E"/>
                <w:sz w:val="18"/>
                <w:szCs w:val="18"/>
                <w:lang w:val="es-CO" w:eastAsia="es-CO"/>
              </w:rPr>
              <w:t xml:space="preserve"> </w:t>
            </w:r>
            <w:r w:rsidRPr="00010F88">
              <w:rPr>
                <w:rFonts w:eastAsia="Times New Roman" w:cs="Arial"/>
                <w:sz w:val="18"/>
                <w:szCs w:val="18"/>
                <w:lang w:val="es-CO" w:eastAsia="es-CO"/>
              </w:rPr>
              <w:t>Construcción de la primera fase de la unidad aplicativa El Redentor (Bogotá)</w:t>
            </w:r>
          </w:p>
        </w:tc>
      </w:tr>
      <w:tr w:rsidR="007B6477" w:rsidRPr="00010F88" w:rsidTr="00010F88">
        <w:trPr>
          <w:trHeight w:val="234"/>
          <w:jc w:val="center"/>
        </w:trPr>
        <w:tc>
          <w:tcPr>
            <w:tcW w:w="7933" w:type="dxa"/>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2.</w:t>
            </w:r>
            <w:r w:rsidRPr="00010F88">
              <w:rPr>
                <w:rFonts w:eastAsia="Times New Roman" w:cs="Arial"/>
                <w:color w:val="76922E"/>
                <w:sz w:val="18"/>
                <w:szCs w:val="18"/>
                <w:lang w:val="es-CO" w:eastAsia="es-CO"/>
              </w:rPr>
              <w:t xml:space="preserve"> </w:t>
            </w:r>
            <w:r w:rsidRPr="00010F88">
              <w:rPr>
                <w:rFonts w:eastAsia="Times New Roman" w:cs="Arial"/>
                <w:sz w:val="18"/>
                <w:szCs w:val="18"/>
                <w:lang w:val="es-CO" w:eastAsia="es-CO"/>
              </w:rPr>
              <w:t>Construcción de las obras de terminación de la ampliación de CAE Turbaco 60 cupos (Bolívar)</w:t>
            </w:r>
          </w:p>
        </w:tc>
      </w:tr>
      <w:tr w:rsidR="007B6477" w:rsidRPr="00010F88" w:rsidTr="00010F88">
        <w:trPr>
          <w:trHeight w:val="234"/>
          <w:jc w:val="center"/>
        </w:trPr>
        <w:tc>
          <w:tcPr>
            <w:tcW w:w="7933" w:type="dxa"/>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3.</w:t>
            </w:r>
            <w:r w:rsidRPr="00010F88">
              <w:rPr>
                <w:rFonts w:eastAsia="Times New Roman" w:cs="Arial"/>
                <w:color w:val="76922E"/>
                <w:sz w:val="18"/>
                <w:szCs w:val="18"/>
                <w:lang w:val="es-CO" w:eastAsia="es-CO"/>
              </w:rPr>
              <w:t xml:space="preserve"> </w:t>
            </w:r>
            <w:r w:rsidRPr="00010F88">
              <w:rPr>
                <w:rFonts w:eastAsia="Times New Roman" w:cs="Arial"/>
                <w:sz w:val="18"/>
                <w:szCs w:val="18"/>
                <w:lang w:val="es-CO" w:eastAsia="es-CO"/>
              </w:rPr>
              <w:t>Construcción de la segunda etapa del Centro Integral de Responsabilidad Penal en el CAE Chocó.</w:t>
            </w:r>
          </w:p>
        </w:tc>
      </w:tr>
      <w:tr w:rsidR="007B6477" w:rsidRPr="00010F88" w:rsidTr="00010F88">
        <w:trPr>
          <w:trHeight w:val="234"/>
          <w:jc w:val="center"/>
        </w:trPr>
        <w:tc>
          <w:tcPr>
            <w:tcW w:w="7933" w:type="dxa"/>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4.</w:t>
            </w:r>
            <w:r w:rsidRPr="00010F88">
              <w:rPr>
                <w:rFonts w:eastAsia="Times New Roman" w:cs="Arial"/>
                <w:color w:val="76922E"/>
                <w:sz w:val="18"/>
                <w:szCs w:val="18"/>
                <w:lang w:val="es-CO" w:eastAsia="es-CO"/>
              </w:rPr>
              <w:t xml:space="preserve"> </w:t>
            </w:r>
            <w:r w:rsidRPr="00010F88">
              <w:rPr>
                <w:rFonts w:eastAsia="Times New Roman" w:cs="Arial"/>
                <w:sz w:val="18"/>
                <w:szCs w:val="18"/>
                <w:lang w:val="es-CO" w:eastAsia="es-CO"/>
              </w:rPr>
              <w:t xml:space="preserve">Revisión y Ajustes a diseños para la construcción de la segunda etapa del CAE Chocó </w:t>
            </w:r>
          </w:p>
        </w:tc>
      </w:tr>
      <w:tr w:rsidR="007B6477" w:rsidRPr="00010F88" w:rsidTr="00010F88">
        <w:trPr>
          <w:trHeight w:val="234"/>
          <w:jc w:val="center"/>
        </w:trPr>
        <w:tc>
          <w:tcPr>
            <w:tcW w:w="7933" w:type="dxa"/>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5.</w:t>
            </w:r>
            <w:r w:rsidRPr="00010F88">
              <w:rPr>
                <w:rFonts w:eastAsia="Times New Roman" w:cs="Arial"/>
                <w:color w:val="76922E"/>
                <w:sz w:val="18"/>
                <w:szCs w:val="18"/>
                <w:lang w:val="es-CO" w:eastAsia="es-CO"/>
              </w:rPr>
              <w:t xml:space="preserve">  </w:t>
            </w:r>
            <w:r w:rsidRPr="00010F88">
              <w:rPr>
                <w:rFonts w:eastAsia="Times New Roman" w:cs="Arial"/>
                <w:sz w:val="18"/>
                <w:szCs w:val="18"/>
                <w:lang w:val="es-CO" w:eastAsia="es-CO"/>
              </w:rPr>
              <w:t>Consultoría de estudios y diseños para la rehabilitación del inmueble denominado CAE La Lucila (Antioquia).</w:t>
            </w:r>
          </w:p>
        </w:tc>
      </w:tr>
      <w:tr w:rsidR="007B6477" w:rsidRPr="00010F88" w:rsidTr="00010F88">
        <w:trPr>
          <w:trHeight w:val="124"/>
          <w:jc w:val="center"/>
        </w:trPr>
        <w:tc>
          <w:tcPr>
            <w:tcW w:w="7933" w:type="dxa"/>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6.</w:t>
            </w:r>
            <w:r w:rsidRPr="00010F88">
              <w:rPr>
                <w:rFonts w:eastAsia="Times New Roman" w:cs="Arial"/>
                <w:color w:val="76922E"/>
                <w:sz w:val="18"/>
                <w:szCs w:val="18"/>
                <w:lang w:val="es-CO" w:eastAsia="es-CO"/>
              </w:rPr>
              <w:t xml:space="preserve"> </w:t>
            </w:r>
            <w:r w:rsidRPr="00010F88">
              <w:rPr>
                <w:rFonts w:eastAsia="Times New Roman" w:cs="Arial"/>
                <w:sz w:val="18"/>
                <w:szCs w:val="18"/>
                <w:lang w:val="es-CO" w:eastAsia="es-CO"/>
              </w:rPr>
              <w:t>Terminación de las obras de construcción de la primera fase del CAE en el predio La Lucila</w:t>
            </w:r>
          </w:p>
        </w:tc>
      </w:tr>
      <w:tr w:rsidR="007B6477" w:rsidRPr="00010F88" w:rsidTr="00010F88">
        <w:trPr>
          <w:trHeight w:val="191"/>
          <w:jc w:val="center"/>
        </w:trPr>
        <w:tc>
          <w:tcPr>
            <w:tcW w:w="7933" w:type="dxa"/>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7.</w:t>
            </w:r>
            <w:r w:rsidRPr="00010F88">
              <w:rPr>
                <w:rFonts w:eastAsia="Times New Roman" w:cs="Arial"/>
                <w:sz w:val="18"/>
                <w:szCs w:val="18"/>
                <w:lang w:val="es-CO" w:eastAsia="es-CO"/>
              </w:rPr>
              <w:t xml:space="preserve">    Construcción del muro perimetral de cerramiento en la parte alta del predio y el muro interno divisorio en las áreas denominadas Pola II y Pola III (Antioquia) </w:t>
            </w:r>
          </w:p>
        </w:tc>
      </w:tr>
      <w:tr w:rsidR="007B6477" w:rsidRPr="00010F88" w:rsidTr="00010F88">
        <w:trPr>
          <w:trHeight w:val="247"/>
          <w:jc w:val="center"/>
        </w:trPr>
        <w:tc>
          <w:tcPr>
            <w:tcW w:w="7933" w:type="dxa"/>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8.</w:t>
            </w:r>
            <w:r w:rsidRPr="00010F88">
              <w:rPr>
                <w:rFonts w:eastAsia="Times New Roman" w:cs="Arial"/>
                <w:sz w:val="18"/>
                <w:szCs w:val="18"/>
                <w:lang w:val="es-CO" w:eastAsia="es-CO"/>
              </w:rPr>
              <w:t xml:space="preserve"> Estudios, diseños, especificaciones técnicas, obtención de permisos y licencias, para la construcción de las obras del Plan de Regularización y Manejo del Redentor (Bogotá).</w:t>
            </w:r>
          </w:p>
        </w:tc>
      </w:tr>
      <w:tr w:rsidR="007B6477" w:rsidRPr="00010F88" w:rsidTr="00010F88">
        <w:trPr>
          <w:trHeight w:val="234"/>
          <w:jc w:val="center"/>
        </w:trPr>
        <w:tc>
          <w:tcPr>
            <w:tcW w:w="7933" w:type="dxa"/>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9.</w:t>
            </w:r>
            <w:r w:rsidRPr="00010F88">
              <w:rPr>
                <w:rFonts w:eastAsia="Times New Roman" w:cs="Arial"/>
                <w:sz w:val="18"/>
                <w:szCs w:val="18"/>
                <w:lang w:val="es-CO" w:eastAsia="es-CO"/>
              </w:rPr>
              <w:t xml:space="preserve"> Terminación de las obras adelantadas por la gobernación del Magdalena para la construcción del CAE</w:t>
            </w:r>
          </w:p>
        </w:tc>
      </w:tr>
      <w:tr w:rsidR="007B6477" w:rsidRPr="00010F88" w:rsidTr="00010F88">
        <w:trPr>
          <w:trHeight w:val="142"/>
          <w:jc w:val="center"/>
        </w:trPr>
        <w:tc>
          <w:tcPr>
            <w:tcW w:w="7933" w:type="dxa"/>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10.</w:t>
            </w:r>
            <w:r w:rsidRPr="00010F88">
              <w:rPr>
                <w:rFonts w:eastAsia="Times New Roman" w:cs="Arial"/>
                <w:sz w:val="18"/>
                <w:szCs w:val="18"/>
                <w:lang w:val="es-CO" w:eastAsia="es-CO"/>
              </w:rPr>
              <w:t xml:space="preserve">  Construcción de la primera etapa del Centro Integral de Responsabilidad Penal de Sucre</w:t>
            </w:r>
          </w:p>
        </w:tc>
      </w:tr>
      <w:tr w:rsidR="007B6477" w:rsidRPr="00010F88" w:rsidTr="00010F88">
        <w:trPr>
          <w:trHeight w:val="256"/>
          <w:jc w:val="center"/>
        </w:trPr>
        <w:tc>
          <w:tcPr>
            <w:tcW w:w="7933" w:type="dxa"/>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11.</w:t>
            </w:r>
            <w:r w:rsidRPr="00010F88">
              <w:rPr>
                <w:rFonts w:eastAsia="Times New Roman" w:cs="Arial"/>
                <w:sz w:val="18"/>
                <w:szCs w:val="18"/>
                <w:lang w:val="es-CO" w:eastAsia="es-CO"/>
              </w:rPr>
              <w:t xml:space="preserve">  Estudios y diseños y construcción de la Planta de Tratamiento de Aguas Residuales para el Centro de Orientación Juvenil Luis Amigó en el municipio de Cajicá – Cundinamarca.</w:t>
            </w:r>
          </w:p>
        </w:tc>
      </w:tr>
      <w:tr w:rsidR="007B6477" w:rsidRPr="00010F88" w:rsidTr="00010F88">
        <w:trPr>
          <w:trHeight w:val="259"/>
          <w:jc w:val="center"/>
        </w:trPr>
        <w:tc>
          <w:tcPr>
            <w:tcW w:w="7933" w:type="dxa"/>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12.</w:t>
            </w:r>
            <w:r w:rsidRPr="00010F88">
              <w:rPr>
                <w:rFonts w:eastAsia="Times New Roman" w:cs="Arial"/>
                <w:sz w:val="18"/>
                <w:szCs w:val="18"/>
                <w:lang w:val="es-CO" w:eastAsia="es-CO"/>
              </w:rPr>
              <w:t xml:space="preserve"> Reparaciones locativas generales e intervenciones de la cubierta del coliseo en el Centro de Orientación Juvenil Luis Amigó ubicado en el Kilómetro 2 vía Tabio – Cajicá</w:t>
            </w:r>
          </w:p>
        </w:tc>
      </w:tr>
      <w:tr w:rsidR="007B6477" w:rsidRPr="00010F88" w:rsidTr="00010F88">
        <w:trPr>
          <w:trHeight w:val="234"/>
          <w:jc w:val="center"/>
        </w:trPr>
        <w:tc>
          <w:tcPr>
            <w:tcW w:w="7933" w:type="dxa"/>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13.</w:t>
            </w:r>
            <w:r w:rsidRPr="00010F88">
              <w:rPr>
                <w:rFonts w:eastAsia="Times New Roman" w:cs="Arial"/>
                <w:sz w:val="18"/>
                <w:szCs w:val="18"/>
                <w:lang w:val="es-CO" w:eastAsia="es-CO"/>
              </w:rPr>
              <w:t xml:space="preserve"> Realizar las reparaciones locativas diferentes a las adecuaciones en las instalaciones hidrosanitarias y eléctricos en el CAE Amazonas</w:t>
            </w:r>
          </w:p>
        </w:tc>
      </w:tr>
      <w:tr w:rsidR="007B6477" w:rsidRPr="00010F88" w:rsidTr="00010F88">
        <w:trPr>
          <w:trHeight w:val="273"/>
          <w:jc w:val="center"/>
        </w:trPr>
        <w:tc>
          <w:tcPr>
            <w:tcW w:w="7933" w:type="dxa"/>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14.</w:t>
            </w:r>
            <w:r w:rsidRPr="00010F88">
              <w:rPr>
                <w:rFonts w:eastAsia="Times New Roman" w:cs="Arial"/>
                <w:sz w:val="18"/>
                <w:szCs w:val="18"/>
                <w:lang w:val="es-CO" w:eastAsia="es-CO"/>
              </w:rPr>
              <w:t xml:space="preserve"> Adecuaciones locativas requeridas por el Centro de Atención Especializada (CAE) Ciudadela Los Zagales Escuela de Trabajo la Linda de la ciudad de Manizales. (Caldas).</w:t>
            </w:r>
          </w:p>
        </w:tc>
      </w:tr>
      <w:tr w:rsidR="007B6477" w:rsidRPr="00010F88" w:rsidTr="00010F88">
        <w:trPr>
          <w:trHeight w:val="351"/>
          <w:jc w:val="center"/>
        </w:trPr>
        <w:tc>
          <w:tcPr>
            <w:tcW w:w="7933" w:type="dxa"/>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15.</w:t>
            </w:r>
            <w:r w:rsidRPr="00010F88">
              <w:rPr>
                <w:rFonts w:eastAsia="Times New Roman" w:cs="Arial"/>
                <w:sz w:val="18"/>
                <w:szCs w:val="18"/>
                <w:lang w:val="es-CO" w:eastAsia="es-CO"/>
              </w:rPr>
              <w:t xml:space="preserve"> Adecuaciones generales y reparaciones locativas para el CAE en la isla de San Andrés, en la construcción de cancha múltiple, senderos peatonales en áreas exteriores dotación e instalación de cocina.</w:t>
            </w:r>
          </w:p>
        </w:tc>
      </w:tr>
      <w:tr w:rsidR="007B6477" w:rsidRPr="00010F88" w:rsidTr="00010F88">
        <w:trPr>
          <w:trHeight w:val="351"/>
          <w:jc w:val="center"/>
        </w:trPr>
        <w:tc>
          <w:tcPr>
            <w:tcW w:w="7933" w:type="dxa"/>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16.</w:t>
            </w:r>
            <w:r w:rsidRPr="00010F88">
              <w:rPr>
                <w:rFonts w:eastAsia="Times New Roman" w:cs="Arial"/>
                <w:sz w:val="18"/>
                <w:szCs w:val="18"/>
                <w:lang w:val="es-CO" w:eastAsia="es-CO"/>
              </w:rPr>
              <w:t xml:space="preserve"> Ajustes a estudios y diseños y construcción de las obras de estabilización, muro de cerramiento, en el Centro de Reeducación de Menores CAE CREEME – Marceliano Ossa de la ciudad de Pereira</w:t>
            </w:r>
          </w:p>
        </w:tc>
      </w:tr>
      <w:tr w:rsidR="007B6477" w:rsidRPr="00010F88" w:rsidTr="00010F88">
        <w:trPr>
          <w:trHeight w:val="234"/>
          <w:jc w:val="center"/>
        </w:trPr>
        <w:tc>
          <w:tcPr>
            <w:tcW w:w="7933" w:type="dxa"/>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17.</w:t>
            </w:r>
            <w:r w:rsidRPr="00010F88">
              <w:rPr>
                <w:rFonts w:eastAsia="Times New Roman" w:cs="Arial"/>
                <w:sz w:val="18"/>
                <w:szCs w:val="18"/>
                <w:lang w:val="es-CO" w:eastAsia="es-CO"/>
              </w:rPr>
              <w:t xml:space="preserve"> Adecuaciones y reparaciones locativas en el Centro de Formación Los Samanes, ubicado en la ciudad de Neiva (Huila).</w:t>
            </w:r>
          </w:p>
        </w:tc>
      </w:tr>
      <w:tr w:rsidR="007B6477" w:rsidRPr="00010F88" w:rsidTr="00010F88">
        <w:trPr>
          <w:trHeight w:val="234"/>
          <w:jc w:val="center"/>
        </w:trPr>
        <w:tc>
          <w:tcPr>
            <w:tcW w:w="7933" w:type="dxa"/>
            <w:vAlign w:val="center"/>
          </w:tcPr>
          <w:p w:rsidR="00010F88" w:rsidRDefault="007B6477" w:rsidP="00010F88">
            <w:pPr>
              <w:spacing w:after="0" w:line="240" w:lineRule="auto"/>
              <w:jc w:val="both"/>
              <w:rPr>
                <w:rFonts w:eastAsia="Times New Roman" w:cs="Arial"/>
                <w:sz w:val="18"/>
                <w:szCs w:val="18"/>
                <w:lang w:val="es-CO" w:eastAsia="es-CO"/>
              </w:rPr>
            </w:pPr>
            <w:r w:rsidRPr="00010F88">
              <w:rPr>
                <w:rFonts w:eastAsia="Times New Roman" w:cs="Arial"/>
                <w:b/>
                <w:color w:val="76922E"/>
                <w:sz w:val="18"/>
                <w:szCs w:val="18"/>
                <w:lang w:val="es-CO" w:eastAsia="es-CO"/>
              </w:rPr>
              <w:t>18.</w:t>
            </w:r>
            <w:r w:rsidRPr="00010F88">
              <w:rPr>
                <w:rFonts w:eastAsia="Times New Roman" w:cs="Arial"/>
                <w:sz w:val="18"/>
                <w:szCs w:val="18"/>
                <w:lang w:val="es-CO" w:eastAsia="es-CO"/>
              </w:rPr>
              <w:t xml:space="preserve"> Etapa 1 para la elaboración del Plan Maestro de la Infraestructura del ICBF a nivel nacional. Corresponde a: </w:t>
            </w:r>
          </w:p>
          <w:p w:rsidR="007B6477" w:rsidRPr="00010F88" w:rsidRDefault="00010F88" w:rsidP="00010F88">
            <w:pPr>
              <w:spacing w:after="0" w:line="240" w:lineRule="auto"/>
              <w:jc w:val="both"/>
              <w:rPr>
                <w:rFonts w:eastAsia="Times New Roman" w:cs="Arial"/>
                <w:sz w:val="18"/>
                <w:szCs w:val="18"/>
                <w:lang w:val="es-CO" w:eastAsia="es-CO"/>
              </w:rPr>
            </w:pPr>
            <w:r>
              <w:rPr>
                <w:rFonts w:eastAsia="Times New Roman" w:cs="Arial"/>
                <w:sz w:val="18"/>
                <w:szCs w:val="18"/>
                <w:lang w:val="es-CO" w:eastAsia="es-CO"/>
              </w:rPr>
              <w:t xml:space="preserve">- </w:t>
            </w:r>
            <w:r w:rsidR="007B6477" w:rsidRPr="00010F88">
              <w:rPr>
                <w:rFonts w:eastAsia="Times New Roman" w:cs="Arial"/>
                <w:sz w:val="18"/>
                <w:szCs w:val="18"/>
                <w:lang w:val="es-CO" w:eastAsia="es-CO"/>
              </w:rPr>
              <w:t>Elaboración del Sistema de Información Geográfica, el cual incluye la adquisición de software y equipo</w:t>
            </w:r>
            <w:r>
              <w:rPr>
                <w:rFonts w:eastAsia="Times New Roman" w:cs="Arial"/>
                <w:sz w:val="18"/>
                <w:szCs w:val="18"/>
                <w:lang w:val="es-CO" w:eastAsia="es-CO"/>
              </w:rPr>
              <w:t>s requeridos para su desarrollo.</w:t>
            </w:r>
          </w:p>
          <w:p w:rsidR="007B6477" w:rsidRPr="00010F88" w:rsidRDefault="00010F88" w:rsidP="00010F88">
            <w:pPr>
              <w:spacing w:after="0" w:line="240" w:lineRule="auto"/>
              <w:jc w:val="both"/>
              <w:rPr>
                <w:rFonts w:eastAsia="Times New Roman" w:cs="Arial"/>
                <w:sz w:val="18"/>
                <w:szCs w:val="18"/>
                <w:lang w:val="es-CO" w:eastAsia="es-CO"/>
              </w:rPr>
            </w:pPr>
            <w:r>
              <w:rPr>
                <w:rFonts w:eastAsia="Times New Roman" w:cs="Arial"/>
                <w:sz w:val="18"/>
                <w:szCs w:val="18"/>
                <w:lang w:val="es-CO" w:eastAsia="es-CO"/>
              </w:rPr>
              <w:t xml:space="preserve">- </w:t>
            </w:r>
            <w:r w:rsidR="007B6477" w:rsidRPr="00010F88">
              <w:rPr>
                <w:rFonts w:eastAsia="Times New Roman" w:cs="Arial"/>
                <w:sz w:val="18"/>
                <w:szCs w:val="18"/>
                <w:lang w:val="es-CO" w:eastAsia="es-CO"/>
              </w:rPr>
              <w:t xml:space="preserve">Elaboración de los estudios de mercado requeridos para el costeo y ejecución de las actividades requeridas en la segunda etapa para 1185 </w:t>
            </w:r>
            <w:r>
              <w:rPr>
                <w:rFonts w:eastAsia="Times New Roman" w:cs="Arial"/>
                <w:sz w:val="18"/>
                <w:szCs w:val="18"/>
                <w:lang w:val="es-CO" w:eastAsia="es-CO"/>
              </w:rPr>
              <w:t>inmuebles propios y en comodato.</w:t>
            </w:r>
          </w:p>
        </w:tc>
      </w:tr>
      <w:tr w:rsidR="007B6477" w:rsidRPr="00010F88" w:rsidTr="00010F88">
        <w:trPr>
          <w:trHeight w:val="137"/>
          <w:jc w:val="center"/>
        </w:trPr>
        <w:tc>
          <w:tcPr>
            <w:tcW w:w="7933" w:type="dxa"/>
            <w:shd w:val="clear" w:color="auto" w:fill="E2EFDA"/>
            <w:vAlign w:val="center"/>
          </w:tcPr>
          <w:p w:rsidR="007B6477" w:rsidRPr="00010F88" w:rsidRDefault="00010F88" w:rsidP="00010F88">
            <w:pPr>
              <w:spacing w:before="100" w:beforeAutospacing="1" w:after="100" w:afterAutospacing="1" w:line="240" w:lineRule="auto"/>
              <w:jc w:val="center"/>
              <w:rPr>
                <w:rFonts w:eastAsia="Times New Roman" w:cs="Arial"/>
                <w:sz w:val="18"/>
                <w:szCs w:val="18"/>
                <w:lang w:val="es-CO" w:eastAsia="es-CO"/>
              </w:rPr>
            </w:pPr>
            <w:r>
              <w:rPr>
                <w:rFonts w:eastAsia="Times New Roman" w:cs="Arial"/>
                <w:b/>
                <w:sz w:val="18"/>
                <w:szCs w:val="18"/>
                <w:lang w:val="es-CO" w:eastAsia="es-CO"/>
              </w:rPr>
              <w:t>Valor Total de</w:t>
            </w:r>
            <w:r w:rsidRPr="00010F88">
              <w:rPr>
                <w:rFonts w:eastAsia="Times New Roman" w:cs="Arial"/>
                <w:b/>
                <w:sz w:val="18"/>
                <w:szCs w:val="18"/>
                <w:lang w:val="es-CO" w:eastAsia="es-CO"/>
              </w:rPr>
              <w:t xml:space="preserve">l </w:t>
            </w:r>
            <w:r w:rsidRPr="00010F88">
              <w:rPr>
                <w:rFonts w:eastAsia="Times New Roman" w:cs="Arial"/>
                <w:b/>
                <w:sz w:val="18"/>
                <w:szCs w:val="18"/>
                <w:shd w:val="clear" w:color="auto" w:fill="E2EFDA"/>
                <w:lang w:val="es-CO" w:eastAsia="es-CO"/>
              </w:rPr>
              <w:t>Contrato Interadministrativo</w:t>
            </w:r>
            <w:r w:rsidRPr="00010F88">
              <w:rPr>
                <w:rFonts w:eastAsia="Times New Roman" w:cs="Arial"/>
                <w:sz w:val="18"/>
                <w:szCs w:val="18"/>
                <w:shd w:val="clear" w:color="auto" w:fill="E2EFDA"/>
                <w:lang w:val="es-CO" w:eastAsia="es-CO"/>
              </w:rPr>
              <w:t xml:space="preserve">   </w:t>
            </w:r>
            <w:r>
              <w:rPr>
                <w:rFonts w:eastAsia="Times New Roman" w:cs="Arial"/>
                <w:sz w:val="18"/>
                <w:szCs w:val="18"/>
                <w:shd w:val="clear" w:color="auto" w:fill="E2EFDA"/>
                <w:lang w:val="es-CO" w:eastAsia="es-CO"/>
              </w:rPr>
              <w:t xml:space="preserve">$ </w:t>
            </w:r>
            <w:r w:rsidR="007B6477" w:rsidRPr="00010F88">
              <w:rPr>
                <w:rFonts w:eastAsia="Times New Roman" w:cs="Arial"/>
                <w:sz w:val="18"/>
                <w:szCs w:val="18"/>
                <w:shd w:val="clear" w:color="auto" w:fill="E2EFDA"/>
                <w:lang w:val="es-CO" w:eastAsia="es-CO"/>
              </w:rPr>
              <w:t>47.159</w:t>
            </w:r>
            <w:r w:rsidR="007B6477" w:rsidRPr="00010F88">
              <w:rPr>
                <w:rFonts w:eastAsia="Times New Roman" w:cs="Arial"/>
                <w:sz w:val="18"/>
                <w:szCs w:val="18"/>
                <w:lang w:val="es-CO" w:eastAsia="es-CO"/>
              </w:rPr>
              <w:t>.807.230,00</w:t>
            </w:r>
          </w:p>
        </w:tc>
      </w:tr>
    </w:tbl>
    <w:p w:rsidR="007B6477" w:rsidRPr="00E2319F" w:rsidRDefault="007B6477" w:rsidP="00010F88">
      <w:pPr>
        <w:jc w:val="center"/>
        <w:rPr>
          <w:rFonts w:cs="Arial"/>
        </w:rPr>
      </w:pPr>
    </w:p>
    <w:p w:rsidR="007B6477" w:rsidRPr="00E2319F" w:rsidRDefault="007B6477" w:rsidP="007B6477">
      <w:pPr>
        <w:jc w:val="both"/>
        <w:rPr>
          <w:rFonts w:cs="Arial"/>
        </w:rPr>
      </w:pPr>
      <w:r w:rsidRPr="00E2319F">
        <w:rPr>
          <w:rFonts w:cs="Arial"/>
        </w:rPr>
        <w:lastRenderedPageBreak/>
        <w:t xml:space="preserve">El contrato 1743 de 2017, tiene un plazo de ejecución de 14 meses y cuenta con recursos de las vigencias 2017 y 2018 así: </w:t>
      </w: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881"/>
        <w:gridCol w:w="1892"/>
        <w:gridCol w:w="2442"/>
        <w:gridCol w:w="2292"/>
      </w:tblGrid>
      <w:tr w:rsidR="007B6477" w:rsidRPr="00010F88" w:rsidTr="00010F88">
        <w:trPr>
          <w:trHeight w:val="243"/>
          <w:jc w:val="center"/>
        </w:trPr>
        <w:tc>
          <w:tcPr>
            <w:tcW w:w="0" w:type="auto"/>
            <w:shd w:val="clear" w:color="auto" w:fill="76922E"/>
            <w:noWrap/>
            <w:vAlign w:val="center"/>
            <w:hideMark/>
          </w:tcPr>
          <w:p w:rsidR="007B6477" w:rsidRPr="00010F88" w:rsidRDefault="007B6477" w:rsidP="00010F88">
            <w:pPr>
              <w:spacing w:after="0" w:line="240" w:lineRule="auto"/>
              <w:jc w:val="center"/>
              <w:rPr>
                <w:rFonts w:eastAsia="Times New Roman" w:cs="Arial"/>
                <w:b/>
                <w:bCs/>
                <w:color w:val="FFFFFF" w:themeColor="background1"/>
                <w:sz w:val="18"/>
                <w:szCs w:val="18"/>
                <w:lang w:eastAsia="es-ES"/>
              </w:rPr>
            </w:pPr>
            <w:r w:rsidRPr="00010F88">
              <w:rPr>
                <w:rFonts w:eastAsia="Times New Roman" w:cs="Arial"/>
                <w:b/>
                <w:bCs/>
                <w:color w:val="FFFFFF" w:themeColor="background1"/>
                <w:sz w:val="18"/>
                <w:szCs w:val="18"/>
                <w:lang w:eastAsia="es-ES"/>
              </w:rPr>
              <w:t>Vigencia</w:t>
            </w:r>
          </w:p>
        </w:tc>
        <w:tc>
          <w:tcPr>
            <w:tcW w:w="0" w:type="auto"/>
            <w:shd w:val="clear" w:color="auto" w:fill="76922E"/>
            <w:noWrap/>
            <w:vAlign w:val="center"/>
            <w:hideMark/>
          </w:tcPr>
          <w:p w:rsidR="007B6477" w:rsidRPr="00010F88" w:rsidRDefault="007B6477" w:rsidP="00010F88">
            <w:pPr>
              <w:spacing w:after="0" w:line="240" w:lineRule="auto"/>
              <w:jc w:val="center"/>
              <w:rPr>
                <w:rFonts w:eastAsia="Times New Roman" w:cs="Arial"/>
                <w:b/>
                <w:bCs/>
                <w:color w:val="FFFFFF" w:themeColor="background1"/>
                <w:sz w:val="18"/>
                <w:szCs w:val="18"/>
                <w:lang w:eastAsia="es-ES"/>
              </w:rPr>
            </w:pPr>
            <w:r w:rsidRPr="00010F88">
              <w:rPr>
                <w:rFonts w:eastAsia="Times New Roman" w:cs="Arial"/>
                <w:b/>
                <w:bCs/>
                <w:color w:val="FFFFFF" w:themeColor="background1"/>
                <w:sz w:val="18"/>
                <w:szCs w:val="18"/>
                <w:lang w:eastAsia="es-ES"/>
              </w:rPr>
              <w:t>Valor Total</w:t>
            </w:r>
          </w:p>
        </w:tc>
        <w:tc>
          <w:tcPr>
            <w:tcW w:w="0" w:type="auto"/>
            <w:shd w:val="clear" w:color="auto" w:fill="76922E"/>
            <w:noWrap/>
            <w:vAlign w:val="center"/>
            <w:hideMark/>
          </w:tcPr>
          <w:p w:rsidR="007B6477" w:rsidRPr="00010F88" w:rsidRDefault="007B6477" w:rsidP="00010F88">
            <w:pPr>
              <w:spacing w:after="0" w:line="240" w:lineRule="auto"/>
              <w:jc w:val="center"/>
              <w:rPr>
                <w:rFonts w:eastAsia="Times New Roman" w:cs="Arial"/>
                <w:b/>
                <w:bCs/>
                <w:color w:val="FFFFFF" w:themeColor="background1"/>
                <w:sz w:val="18"/>
                <w:szCs w:val="18"/>
                <w:lang w:eastAsia="es-ES"/>
              </w:rPr>
            </w:pPr>
            <w:r w:rsidRPr="00010F88">
              <w:rPr>
                <w:rFonts w:eastAsia="Times New Roman" w:cs="Arial"/>
                <w:b/>
                <w:bCs/>
                <w:color w:val="FFFFFF" w:themeColor="background1"/>
                <w:sz w:val="18"/>
                <w:szCs w:val="18"/>
                <w:lang w:eastAsia="es-ES"/>
              </w:rPr>
              <w:t>Recursos Nación</w:t>
            </w:r>
          </w:p>
          <w:p w:rsidR="007B6477" w:rsidRPr="00010F88" w:rsidRDefault="00010F88" w:rsidP="00010F88">
            <w:pPr>
              <w:spacing w:after="0" w:line="240" w:lineRule="auto"/>
              <w:jc w:val="center"/>
              <w:rPr>
                <w:rFonts w:eastAsia="Times New Roman" w:cs="Arial"/>
                <w:b/>
                <w:bCs/>
                <w:color w:val="FFFFFF" w:themeColor="background1"/>
                <w:sz w:val="18"/>
                <w:szCs w:val="18"/>
                <w:lang w:eastAsia="es-ES"/>
              </w:rPr>
            </w:pPr>
            <w:r>
              <w:rPr>
                <w:rFonts w:eastAsia="Times New Roman" w:cs="Arial"/>
                <w:b/>
                <w:bCs/>
                <w:color w:val="FFFFFF" w:themeColor="background1"/>
                <w:sz w:val="18"/>
                <w:szCs w:val="18"/>
                <w:lang w:eastAsia="es-ES"/>
              </w:rPr>
              <w:t>(P</w:t>
            </w:r>
            <w:r w:rsidR="007B6477" w:rsidRPr="00010F88">
              <w:rPr>
                <w:rFonts w:eastAsia="Times New Roman" w:cs="Arial"/>
                <w:b/>
                <w:bCs/>
                <w:color w:val="FFFFFF" w:themeColor="background1"/>
                <w:sz w:val="18"/>
                <w:szCs w:val="18"/>
                <w:lang w:eastAsia="es-ES"/>
              </w:rPr>
              <w:t>royectos SRPA)</w:t>
            </w:r>
          </w:p>
        </w:tc>
        <w:tc>
          <w:tcPr>
            <w:tcW w:w="0" w:type="auto"/>
            <w:shd w:val="clear" w:color="auto" w:fill="76922E"/>
            <w:noWrap/>
            <w:vAlign w:val="center"/>
            <w:hideMark/>
          </w:tcPr>
          <w:p w:rsidR="007B6477" w:rsidRPr="00010F88" w:rsidRDefault="007B6477" w:rsidP="00010F88">
            <w:pPr>
              <w:spacing w:after="0" w:line="240" w:lineRule="auto"/>
              <w:jc w:val="center"/>
              <w:rPr>
                <w:rFonts w:eastAsia="Times New Roman" w:cs="Arial"/>
                <w:b/>
                <w:bCs/>
                <w:color w:val="FFFFFF" w:themeColor="background1"/>
                <w:sz w:val="18"/>
                <w:szCs w:val="18"/>
                <w:lang w:eastAsia="es-ES"/>
              </w:rPr>
            </w:pPr>
            <w:r w:rsidRPr="00010F88">
              <w:rPr>
                <w:rFonts w:eastAsia="Times New Roman" w:cs="Arial"/>
                <w:b/>
                <w:bCs/>
                <w:color w:val="FFFFFF" w:themeColor="background1"/>
                <w:sz w:val="18"/>
                <w:szCs w:val="18"/>
                <w:lang w:eastAsia="es-ES"/>
              </w:rPr>
              <w:t>Recursos Propios</w:t>
            </w:r>
          </w:p>
          <w:p w:rsidR="007B6477" w:rsidRPr="00010F88" w:rsidRDefault="007B6477" w:rsidP="00010F88">
            <w:pPr>
              <w:spacing w:after="0" w:line="240" w:lineRule="auto"/>
              <w:jc w:val="center"/>
              <w:rPr>
                <w:rFonts w:eastAsia="Times New Roman" w:cs="Arial"/>
                <w:b/>
                <w:bCs/>
                <w:color w:val="FFFFFF" w:themeColor="background1"/>
                <w:sz w:val="18"/>
                <w:szCs w:val="18"/>
                <w:lang w:eastAsia="es-ES"/>
              </w:rPr>
            </w:pPr>
            <w:r w:rsidRPr="00010F88">
              <w:rPr>
                <w:rFonts w:eastAsia="Times New Roman" w:cs="Arial"/>
                <w:b/>
                <w:bCs/>
                <w:color w:val="FFFFFF" w:themeColor="background1"/>
                <w:sz w:val="18"/>
                <w:szCs w:val="18"/>
                <w:lang w:eastAsia="es-ES"/>
              </w:rPr>
              <w:t>(Plan Maestro)</w:t>
            </w:r>
          </w:p>
        </w:tc>
      </w:tr>
      <w:tr w:rsidR="007B6477" w:rsidRPr="00010F88" w:rsidTr="00010F88">
        <w:trPr>
          <w:trHeight w:val="243"/>
          <w:jc w:val="center"/>
        </w:trPr>
        <w:tc>
          <w:tcPr>
            <w:tcW w:w="0" w:type="auto"/>
            <w:shd w:val="clear" w:color="auto" w:fill="auto"/>
            <w:noWrap/>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2017</w:t>
            </w:r>
          </w:p>
        </w:tc>
        <w:tc>
          <w:tcPr>
            <w:tcW w:w="0" w:type="auto"/>
            <w:shd w:val="clear" w:color="auto" w:fill="auto"/>
            <w:noWrap/>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 xml:space="preserve"> $  16.333.807.230,00 </w:t>
            </w:r>
          </w:p>
        </w:tc>
        <w:tc>
          <w:tcPr>
            <w:tcW w:w="0" w:type="auto"/>
            <w:shd w:val="clear" w:color="auto" w:fill="auto"/>
            <w:noWrap/>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 xml:space="preserve"> $             16.033.807.230,00 </w:t>
            </w:r>
          </w:p>
        </w:tc>
        <w:tc>
          <w:tcPr>
            <w:tcW w:w="0" w:type="auto"/>
            <w:shd w:val="clear" w:color="auto" w:fill="auto"/>
            <w:noWrap/>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 xml:space="preserve"> $               300.000.000,00</w:t>
            </w:r>
          </w:p>
        </w:tc>
      </w:tr>
      <w:tr w:rsidR="007B6477" w:rsidRPr="00010F88" w:rsidTr="00010F88">
        <w:trPr>
          <w:trHeight w:val="243"/>
          <w:jc w:val="center"/>
        </w:trPr>
        <w:tc>
          <w:tcPr>
            <w:tcW w:w="0" w:type="auto"/>
            <w:shd w:val="clear" w:color="auto" w:fill="auto"/>
            <w:noWrap/>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2018</w:t>
            </w:r>
          </w:p>
        </w:tc>
        <w:tc>
          <w:tcPr>
            <w:tcW w:w="0" w:type="auto"/>
            <w:shd w:val="clear" w:color="auto" w:fill="auto"/>
            <w:noWrap/>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 xml:space="preserve"> $  30.826.000.000,00 </w:t>
            </w:r>
          </w:p>
        </w:tc>
        <w:tc>
          <w:tcPr>
            <w:tcW w:w="0" w:type="auto"/>
            <w:shd w:val="clear" w:color="auto" w:fill="auto"/>
            <w:noWrap/>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 xml:space="preserve"> $             29.526.000.000,00 </w:t>
            </w:r>
          </w:p>
        </w:tc>
        <w:tc>
          <w:tcPr>
            <w:tcW w:w="0" w:type="auto"/>
            <w:shd w:val="clear" w:color="auto" w:fill="auto"/>
            <w:noWrap/>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 xml:space="preserve"> $            1.300.000.000,00 </w:t>
            </w:r>
          </w:p>
        </w:tc>
      </w:tr>
      <w:tr w:rsidR="007B6477" w:rsidRPr="00010F88" w:rsidTr="00010F88">
        <w:trPr>
          <w:trHeight w:val="243"/>
          <w:jc w:val="center"/>
        </w:trPr>
        <w:tc>
          <w:tcPr>
            <w:tcW w:w="0" w:type="auto"/>
            <w:shd w:val="clear" w:color="auto" w:fill="auto"/>
            <w:noWrap/>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p>
        </w:tc>
        <w:tc>
          <w:tcPr>
            <w:tcW w:w="0" w:type="auto"/>
            <w:shd w:val="clear" w:color="auto" w:fill="auto"/>
            <w:noWrap/>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 xml:space="preserve"> $ 47.159.807.230,00 </w:t>
            </w:r>
          </w:p>
        </w:tc>
        <w:tc>
          <w:tcPr>
            <w:tcW w:w="0" w:type="auto"/>
            <w:shd w:val="clear" w:color="auto" w:fill="auto"/>
            <w:noWrap/>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 xml:space="preserve"> $            45.559.807.230,00 </w:t>
            </w:r>
          </w:p>
        </w:tc>
        <w:tc>
          <w:tcPr>
            <w:tcW w:w="0" w:type="auto"/>
            <w:shd w:val="clear" w:color="auto" w:fill="auto"/>
            <w:noWrap/>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 xml:space="preserve"> $            1.600.000.000,00 </w:t>
            </w:r>
          </w:p>
        </w:tc>
      </w:tr>
    </w:tbl>
    <w:p w:rsidR="007B6477" w:rsidRPr="00E2319F" w:rsidRDefault="007B6477" w:rsidP="007B6477">
      <w:pPr>
        <w:jc w:val="both"/>
        <w:rPr>
          <w:rFonts w:cs="Arial"/>
        </w:rPr>
      </w:pPr>
    </w:p>
    <w:p w:rsidR="007B6477" w:rsidRPr="00E2319F" w:rsidRDefault="007B6477" w:rsidP="007B6477">
      <w:pPr>
        <w:jc w:val="both"/>
        <w:rPr>
          <w:rFonts w:cs="Arial"/>
        </w:rPr>
      </w:pPr>
      <w:r w:rsidRPr="00E2319F">
        <w:rPr>
          <w:rFonts w:cs="Arial"/>
        </w:rPr>
        <w:t>Para la ejecución de este contrato fue necesario que Findeter suscribiera convenios derivados con las entidades territoriales de Magdalena, Sucre, Huila, Leticia, Manizales y Pereira y que el ICBF suscribiera contratos de comodato con Cundinamarca y San Andrés, gestión que se adelantó satisfactoriamente.</w:t>
      </w:r>
    </w:p>
    <w:p w:rsidR="007B6477" w:rsidRPr="00E2319F" w:rsidRDefault="007B6477" w:rsidP="007B6477">
      <w:pPr>
        <w:jc w:val="both"/>
        <w:rPr>
          <w:rFonts w:cs="Arial"/>
          <w:b/>
        </w:rPr>
      </w:pPr>
      <w:bookmarkStart w:id="167" w:name="_Toc503465551"/>
      <w:r w:rsidRPr="00E2319F">
        <w:rPr>
          <w:rFonts w:cs="Arial"/>
          <w:b/>
        </w:rPr>
        <w:t>GESTION DE INFRAESTRUCTURA EN LAS SEDES ADMINISTRATIVAS</w:t>
      </w:r>
      <w:bookmarkEnd w:id="167"/>
    </w:p>
    <w:p w:rsidR="007B6477" w:rsidRPr="00E2319F" w:rsidRDefault="007B6477" w:rsidP="007B6477">
      <w:pPr>
        <w:jc w:val="both"/>
        <w:rPr>
          <w:rFonts w:cs="Arial"/>
        </w:rPr>
      </w:pPr>
      <w:r w:rsidRPr="00E2319F">
        <w:rPr>
          <w:rFonts w:cs="Arial"/>
        </w:rPr>
        <w:t>Enmarcado en el Artículo 202 de la Ley 1098 de 2006, uno de los objetivos de la políticas públicas del SNBF es “Orientar la acción y los recursos del Estado hacia el logro de condiciones sociales, económicas, políticas, culturales y ambientales, que hagan posible el desarrollo de las capacidades y oportunidades de los niños, las niñas y los adolescentes, como sujetos en ejercicio responsables de sus derechos”, partiendo de lo anterior, el ICBF debe propender por contar con sedes administrativas de calidad que permitan brindar una adecuada atención de manera integral de los servicios para los niños y niñas y adolescentes y en general de los usuarios del ICBF, mediante un ambiente respetuoso de la dignidad de sus derechos.</w:t>
      </w:r>
    </w:p>
    <w:p w:rsidR="007B6477" w:rsidRPr="00E2319F" w:rsidRDefault="007B6477" w:rsidP="007B6477">
      <w:pPr>
        <w:jc w:val="both"/>
        <w:rPr>
          <w:rFonts w:cs="Arial"/>
        </w:rPr>
      </w:pPr>
      <w:r w:rsidRPr="00E2319F">
        <w:rPr>
          <w:rFonts w:cs="Arial"/>
        </w:rPr>
        <w:t xml:space="preserve">En virtud a lo anterior, el Equipo de Infraestructura para Centros Zonales y Sedes Regionales tiene a cargo atender las necesidades que en materia de infraestructura requieren los inmuebles en donde se realizan las actividades del ICBF, en 337 infraestructuras representadas en 1 Sede de la Dirección General, 33 Regionales, 209 Centros Zonales y 94 inmuebles más, entre los que se cuentan: Unidades Locales, CAIVAS, CESPAS, CSJ y URI, espacios en donde se albergan funcionarios a nivel nacional, que benefician a más de 12.000 colaboradores y más de 11 millones de usuarios, que atienden y utilizan las instalaciones del ICBF, respecto de las cuales durante el periodo de reporte se adelantó lo siguiente: </w:t>
      </w:r>
    </w:p>
    <w:tbl>
      <w:tblPr>
        <w:tblW w:w="5146" w:type="pct"/>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shd w:val="clear" w:color="auto" w:fill="FFFFFF" w:themeFill="background1"/>
        <w:tblLayout w:type="fixed"/>
        <w:tblCellMar>
          <w:left w:w="70" w:type="dxa"/>
          <w:right w:w="70" w:type="dxa"/>
        </w:tblCellMar>
        <w:tblLook w:val="04A0" w:firstRow="1" w:lastRow="0" w:firstColumn="1" w:lastColumn="0" w:noHBand="0" w:noVBand="1"/>
      </w:tblPr>
      <w:tblGrid>
        <w:gridCol w:w="1600"/>
        <w:gridCol w:w="4206"/>
        <w:gridCol w:w="1559"/>
        <w:gridCol w:w="1561"/>
        <w:gridCol w:w="743"/>
      </w:tblGrid>
      <w:tr w:rsidR="007B6477" w:rsidRPr="00E2319F" w:rsidTr="00010F88">
        <w:trPr>
          <w:trHeight w:val="213"/>
          <w:jc w:val="center"/>
        </w:trPr>
        <w:tc>
          <w:tcPr>
            <w:tcW w:w="828" w:type="pct"/>
            <w:shd w:val="clear" w:color="auto" w:fill="76922E"/>
            <w:noWrap/>
            <w:vAlign w:val="bottom"/>
            <w:hideMark/>
          </w:tcPr>
          <w:p w:rsidR="007B6477" w:rsidRPr="00010F88" w:rsidRDefault="00010F88" w:rsidP="00010F88">
            <w:pPr>
              <w:spacing w:after="0" w:line="240" w:lineRule="auto"/>
              <w:jc w:val="center"/>
              <w:rPr>
                <w:rFonts w:eastAsia="Times New Roman" w:cs="Arial"/>
                <w:b/>
                <w:bCs/>
                <w:color w:val="FFFFFF" w:themeColor="background1"/>
                <w:sz w:val="18"/>
                <w:szCs w:val="18"/>
                <w:lang w:eastAsia="es-ES"/>
              </w:rPr>
            </w:pPr>
            <w:r w:rsidRPr="00010F88">
              <w:rPr>
                <w:rFonts w:eastAsia="Times New Roman" w:cs="Arial"/>
                <w:b/>
                <w:bCs/>
                <w:color w:val="FFFFFF" w:themeColor="background1"/>
                <w:sz w:val="18"/>
                <w:szCs w:val="18"/>
                <w:lang w:eastAsia="es-ES"/>
              </w:rPr>
              <w:t>Gestión Realizada</w:t>
            </w:r>
          </w:p>
        </w:tc>
        <w:tc>
          <w:tcPr>
            <w:tcW w:w="2175" w:type="pct"/>
            <w:shd w:val="clear" w:color="auto" w:fill="76922E"/>
            <w:noWrap/>
            <w:vAlign w:val="center"/>
            <w:hideMark/>
          </w:tcPr>
          <w:p w:rsidR="007B6477" w:rsidRPr="00010F88" w:rsidRDefault="00010F88" w:rsidP="00010F88">
            <w:pPr>
              <w:spacing w:after="0" w:line="240" w:lineRule="auto"/>
              <w:jc w:val="center"/>
              <w:rPr>
                <w:rFonts w:eastAsia="Times New Roman" w:cs="Arial"/>
                <w:b/>
                <w:bCs/>
                <w:color w:val="FFFFFF" w:themeColor="background1"/>
                <w:sz w:val="18"/>
                <w:szCs w:val="18"/>
                <w:lang w:eastAsia="es-ES"/>
              </w:rPr>
            </w:pPr>
            <w:r w:rsidRPr="00010F88">
              <w:rPr>
                <w:rFonts w:eastAsia="Times New Roman" w:cs="Arial"/>
                <w:b/>
                <w:bCs/>
                <w:color w:val="FFFFFF" w:themeColor="background1"/>
                <w:sz w:val="18"/>
                <w:szCs w:val="18"/>
                <w:lang w:eastAsia="es-ES"/>
              </w:rPr>
              <w:t>Sede</w:t>
            </w:r>
          </w:p>
        </w:tc>
        <w:tc>
          <w:tcPr>
            <w:tcW w:w="806" w:type="pct"/>
            <w:shd w:val="clear" w:color="auto" w:fill="76922E"/>
            <w:noWrap/>
            <w:vAlign w:val="center"/>
            <w:hideMark/>
          </w:tcPr>
          <w:p w:rsidR="007B6477" w:rsidRPr="00010F88" w:rsidRDefault="00010F88" w:rsidP="00010F88">
            <w:pPr>
              <w:spacing w:after="0" w:line="240" w:lineRule="auto"/>
              <w:jc w:val="center"/>
              <w:rPr>
                <w:rFonts w:eastAsia="Times New Roman" w:cs="Arial"/>
                <w:b/>
                <w:bCs/>
                <w:color w:val="FFFFFF" w:themeColor="background1"/>
                <w:sz w:val="18"/>
                <w:szCs w:val="18"/>
                <w:lang w:eastAsia="es-ES"/>
              </w:rPr>
            </w:pPr>
            <w:r w:rsidRPr="00010F88">
              <w:rPr>
                <w:rFonts w:eastAsia="Times New Roman" w:cs="Arial"/>
                <w:b/>
                <w:bCs/>
                <w:color w:val="FFFFFF" w:themeColor="background1"/>
                <w:sz w:val="18"/>
                <w:szCs w:val="18"/>
                <w:lang w:eastAsia="es-ES"/>
              </w:rPr>
              <w:t>Regional</w:t>
            </w:r>
          </w:p>
        </w:tc>
        <w:tc>
          <w:tcPr>
            <w:tcW w:w="807" w:type="pct"/>
            <w:shd w:val="clear" w:color="auto" w:fill="76922E"/>
            <w:noWrap/>
            <w:vAlign w:val="center"/>
            <w:hideMark/>
          </w:tcPr>
          <w:p w:rsidR="007B6477" w:rsidRPr="00010F88" w:rsidRDefault="00010F88" w:rsidP="00010F88">
            <w:pPr>
              <w:spacing w:after="0" w:line="240" w:lineRule="auto"/>
              <w:jc w:val="center"/>
              <w:rPr>
                <w:rFonts w:eastAsia="Times New Roman" w:cs="Arial"/>
                <w:b/>
                <w:bCs/>
                <w:color w:val="FFFFFF" w:themeColor="background1"/>
                <w:sz w:val="18"/>
                <w:szCs w:val="18"/>
                <w:lang w:eastAsia="es-ES"/>
              </w:rPr>
            </w:pPr>
            <w:r w:rsidRPr="00010F88">
              <w:rPr>
                <w:rFonts w:eastAsia="Times New Roman" w:cs="Arial"/>
                <w:b/>
                <w:bCs/>
                <w:color w:val="FFFFFF" w:themeColor="background1"/>
                <w:sz w:val="18"/>
                <w:szCs w:val="18"/>
                <w:lang w:eastAsia="es-ES"/>
              </w:rPr>
              <w:t>Vigencia</w:t>
            </w:r>
          </w:p>
        </w:tc>
        <w:tc>
          <w:tcPr>
            <w:tcW w:w="384" w:type="pct"/>
            <w:shd w:val="clear" w:color="auto" w:fill="76922E"/>
            <w:noWrap/>
            <w:vAlign w:val="center"/>
            <w:hideMark/>
          </w:tcPr>
          <w:p w:rsidR="007B6477" w:rsidRPr="00010F88" w:rsidRDefault="00010F88" w:rsidP="00010F88">
            <w:pPr>
              <w:spacing w:after="0" w:line="240" w:lineRule="auto"/>
              <w:jc w:val="center"/>
              <w:rPr>
                <w:rFonts w:eastAsia="Times New Roman" w:cs="Arial"/>
                <w:b/>
                <w:bCs/>
                <w:color w:val="FFFFFF" w:themeColor="background1"/>
                <w:sz w:val="18"/>
                <w:szCs w:val="18"/>
                <w:lang w:eastAsia="es-ES"/>
              </w:rPr>
            </w:pPr>
            <w:r w:rsidRPr="00010F88">
              <w:rPr>
                <w:rFonts w:eastAsia="Times New Roman" w:cs="Arial"/>
                <w:b/>
                <w:bCs/>
                <w:color w:val="FFFFFF" w:themeColor="background1"/>
                <w:sz w:val="18"/>
                <w:szCs w:val="18"/>
                <w:lang w:eastAsia="es-ES"/>
              </w:rPr>
              <w:t>Total</w:t>
            </w:r>
          </w:p>
        </w:tc>
      </w:tr>
      <w:tr w:rsidR="007B6477" w:rsidRPr="00E2319F" w:rsidTr="00010F88">
        <w:trPr>
          <w:trHeight w:val="200"/>
          <w:jc w:val="center"/>
        </w:trPr>
        <w:tc>
          <w:tcPr>
            <w:tcW w:w="828" w:type="pct"/>
            <w:vMerge w:val="restart"/>
            <w:shd w:val="clear" w:color="auto" w:fill="FFFFFF" w:themeFill="background1"/>
            <w:noWrap/>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Nuevas infraestructuras</w:t>
            </w:r>
          </w:p>
        </w:tc>
        <w:tc>
          <w:tcPr>
            <w:tcW w:w="2175" w:type="pct"/>
            <w:shd w:val="clear" w:color="auto" w:fill="FFFFFF" w:themeFill="background1"/>
            <w:noWrap/>
            <w:vAlign w:val="center"/>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 xml:space="preserve">Centro Zonal Manizales (adjudicado) </w:t>
            </w:r>
          </w:p>
        </w:tc>
        <w:tc>
          <w:tcPr>
            <w:tcW w:w="806" w:type="pct"/>
            <w:shd w:val="clear" w:color="auto" w:fill="FFFFFF" w:themeFill="background1"/>
            <w:noWrap/>
            <w:vAlign w:val="center"/>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Caldas</w:t>
            </w:r>
          </w:p>
        </w:tc>
        <w:tc>
          <w:tcPr>
            <w:tcW w:w="807" w:type="pct"/>
            <w:shd w:val="clear" w:color="auto" w:fill="FFFFFF" w:themeFill="background1"/>
            <w:noWrap/>
            <w:vAlign w:val="center"/>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En ejecución</w:t>
            </w:r>
          </w:p>
        </w:tc>
        <w:tc>
          <w:tcPr>
            <w:tcW w:w="384" w:type="pct"/>
            <w:vMerge w:val="restart"/>
            <w:shd w:val="clear" w:color="auto" w:fill="FFFFFF" w:themeFill="background1"/>
            <w:noWrap/>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2</w:t>
            </w:r>
          </w:p>
        </w:tc>
      </w:tr>
      <w:tr w:rsidR="007B6477" w:rsidRPr="00E2319F" w:rsidTr="00010F88">
        <w:trPr>
          <w:trHeight w:val="213"/>
          <w:jc w:val="center"/>
        </w:trPr>
        <w:tc>
          <w:tcPr>
            <w:tcW w:w="828" w:type="pct"/>
            <w:vMerge/>
            <w:shd w:val="clear" w:color="auto" w:fill="FFFFFF" w:themeFill="background1"/>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p>
        </w:tc>
        <w:tc>
          <w:tcPr>
            <w:tcW w:w="2175" w:type="pct"/>
            <w:shd w:val="clear" w:color="auto" w:fill="FFFFFF" w:themeFill="background1"/>
            <w:noWrap/>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Centro Zonal Rafael Uribe (en construcción)</w:t>
            </w:r>
          </w:p>
        </w:tc>
        <w:tc>
          <w:tcPr>
            <w:tcW w:w="806" w:type="pct"/>
            <w:shd w:val="clear" w:color="auto" w:fill="FFFFFF" w:themeFill="background1"/>
            <w:noWrap/>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Bogotá</w:t>
            </w:r>
          </w:p>
        </w:tc>
        <w:tc>
          <w:tcPr>
            <w:tcW w:w="807" w:type="pct"/>
            <w:shd w:val="clear" w:color="auto" w:fill="FFFFFF" w:themeFill="background1"/>
            <w:noWrap/>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En ejecución</w:t>
            </w:r>
          </w:p>
        </w:tc>
        <w:tc>
          <w:tcPr>
            <w:tcW w:w="384" w:type="pct"/>
            <w:vMerge/>
            <w:shd w:val="clear" w:color="auto" w:fill="FFFFFF" w:themeFill="background1"/>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p>
        </w:tc>
      </w:tr>
      <w:tr w:rsidR="007B6477" w:rsidRPr="00E2319F" w:rsidTr="00010F88">
        <w:trPr>
          <w:trHeight w:val="628"/>
          <w:jc w:val="center"/>
        </w:trPr>
        <w:tc>
          <w:tcPr>
            <w:tcW w:w="828" w:type="pct"/>
            <w:vMerge w:val="restart"/>
            <w:shd w:val="clear" w:color="auto" w:fill="FFFFFF" w:themeFill="background1"/>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Adecuaciones y mantenimiento</w:t>
            </w:r>
          </w:p>
        </w:tc>
        <w:tc>
          <w:tcPr>
            <w:tcW w:w="2175" w:type="pct"/>
            <w:shd w:val="clear" w:color="auto" w:fill="FFFFFF" w:themeFill="background1"/>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Obras de adecuación y reparaciones locativas ejecutadas a través de contratos suscritos por las Regionales con el apoyo técnico del GII</w:t>
            </w:r>
          </w:p>
        </w:tc>
        <w:tc>
          <w:tcPr>
            <w:tcW w:w="806" w:type="pct"/>
            <w:shd w:val="clear" w:color="auto" w:fill="FFFFFF" w:themeFill="background1"/>
            <w:noWrap/>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Nivel nacional</w:t>
            </w:r>
          </w:p>
        </w:tc>
        <w:tc>
          <w:tcPr>
            <w:tcW w:w="807" w:type="pct"/>
            <w:shd w:val="clear" w:color="auto" w:fill="FFFFFF" w:themeFill="background1"/>
            <w:noWrap/>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2017</w:t>
            </w:r>
          </w:p>
        </w:tc>
        <w:tc>
          <w:tcPr>
            <w:tcW w:w="384" w:type="pct"/>
            <w:shd w:val="clear" w:color="auto" w:fill="FFFFFF" w:themeFill="background1"/>
            <w:noWrap/>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32</w:t>
            </w:r>
          </w:p>
        </w:tc>
      </w:tr>
      <w:tr w:rsidR="007B6477" w:rsidRPr="00E2319F" w:rsidTr="00010F88">
        <w:trPr>
          <w:trHeight w:val="301"/>
          <w:jc w:val="center"/>
        </w:trPr>
        <w:tc>
          <w:tcPr>
            <w:tcW w:w="828" w:type="pct"/>
            <w:vMerge/>
            <w:shd w:val="clear" w:color="auto" w:fill="FFFFFF" w:themeFill="background1"/>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p>
        </w:tc>
        <w:tc>
          <w:tcPr>
            <w:tcW w:w="2175" w:type="pct"/>
            <w:shd w:val="clear" w:color="auto" w:fill="FFFFFF" w:themeFill="background1"/>
            <w:vAlign w:val="center"/>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 xml:space="preserve">Obras de adecuaciones hidrosanitarias Bloque sur </w:t>
            </w:r>
          </w:p>
        </w:tc>
        <w:tc>
          <w:tcPr>
            <w:tcW w:w="806" w:type="pct"/>
            <w:shd w:val="clear" w:color="auto" w:fill="FFFFFF" w:themeFill="background1"/>
            <w:noWrap/>
            <w:vAlign w:val="center"/>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Sede Nacional</w:t>
            </w:r>
          </w:p>
        </w:tc>
        <w:tc>
          <w:tcPr>
            <w:tcW w:w="807" w:type="pct"/>
            <w:shd w:val="clear" w:color="auto" w:fill="FFFFFF" w:themeFill="background1"/>
            <w:noWrap/>
            <w:vAlign w:val="center"/>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En ejecución</w:t>
            </w:r>
          </w:p>
        </w:tc>
        <w:tc>
          <w:tcPr>
            <w:tcW w:w="384" w:type="pct"/>
            <w:shd w:val="clear" w:color="auto" w:fill="FFFFFF" w:themeFill="background1"/>
            <w:noWrap/>
            <w:vAlign w:val="center"/>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1</w:t>
            </w:r>
          </w:p>
        </w:tc>
      </w:tr>
      <w:tr w:rsidR="007B6477" w:rsidRPr="00E2319F" w:rsidTr="00010F88">
        <w:trPr>
          <w:trHeight w:val="360"/>
          <w:jc w:val="center"/>
        </w:trPr>
        <w:tc>
          <w:tcPr>
            <w:tcW w:w="828" w:type="pct"/>
            <w:vMerge/>
            <w:shd w:val="clear" w:color="auto" w:fill="FFFFFF" w:themeFill="background1"/>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p>
        </w:tc>
        <w:tc>
          <w:tcPr>
            <w:tcW w:w="2175" w:type="pct"/>
            <w:shd w:val="clear" w:color="auto" w:fill="FFFFFF" w:themeFill="background1"/>
            <w:vAlign w:val="center"/>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Instalación aviso sede nacional</w:t>
            </w:r>
          </w:p>
        </w:tc>
        <w:tc>
          <w:tcPr>
            <w:tcW w:w="806" w:type="pct"/>
            <w:shd w:val="clear" w:color="auto" w:fill="FFFFFF" w:themeFill="background1"/>
            <w:noWrap/>
            <w:vAlign w:val="center"/>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Sede Nacional</w:t>
            </w:r>
          </w:p>
        </w:tc>
        <w:tc>
          <w:tcPr>
            <w:tcW w:w="807" w:type="pct"/>
            <w:shd w:val="clear" w:color="auto" w:fill="FFFFFF" w:themeFill="background1"/>
            <w:noWrap/>
            <w:vAlign w:val="center"/>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En ejecución</w:t>
            </w:r>
          </w:p>
        </w:tc>
        <w:tc>
          <w:tcPr>
            <w:tcW w:w="384" w:type="pct"/>
            <w:shd w:val="clear" w:color="auto" w:fill="FFFFFF" w:themeFill="background1"/>
            <w:noWrap/>
            <w:vAlign w:val="center"/>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1</w:t>
            </w:r>
          </w:p>
        </w:tc>
      </w:tr>
      <w:tr w:rsidR="007B6477" w:rsidRPr="00E2319F" w:rsidTr="00010F88">
        <w:trPr>
          <w:trHeight w:val="263"/>
          <w:jc w:val="center"/>
        </w:trPr>
        <w:tc>
          <w:tcPr>
            <w:tcW w:w="828" w:type="pct"/>
            <w:vMerge/>
            <w:shd w:val="clear" w:color="auto" w:fill="FFFFFF" w:themeFill="background1"/>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p>
        </w:tc>
        <w:tc>
          <w:tcPr>
            <w:tcW w:w="2175" w:type="pct"/>
            <w:shd w:val="clear" w:color="auto" w:fill="FFFFFF" w:themeFill="background1"/>
            <w:noWrap/>
            <w:vAlign w:val="center"/>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Obras de adecuación en los Centro Zonales Turbaco (Bolívar) y Ciénaga (Magdalena)</w:t>
            </w:r>
          </w:p>
        </w:tc>
        <w:tc>
          <w:tcPr>
            <w:tcW w:w="806" w:type="pct"/>
            <w:shd w:val="clear" w:color="auto" w:fill="FFFFFF" w:themeFill="background1"/>
            <w:noWrap/>
            <w:vAlign w:val="center"/>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Bolívar - Magdalena</w:t>
            </w:r>
          </w:p>
        </w:tc>
        <w:tc>
          <w:tcPr>
            <w:tcW w:w="807" w:type="pct"/>
            <w:shd w:val="clear" w:color="auto" w:fill="FFFFFF" w:themeFill="background1"/>
            <w:noWrap/>
            <w:vAlign w:val="center"/>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2017</w:t>
            </w:r>
          </w:p>
        </w:tc>
        <w:tc>
          <w:tcPr>
            <w:tcW w:w="384" w:type="pct"/>
            <w:shd w:val="clear" w:color="auto" w:fill="FFFFFF" w:themeFill="background1"/>
            <w:noWrap/>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2</w:t>
            </w:r>
          </w:p>
        </w:tc>
      </w:tr>
      <w:tr w:rsidR="007B6477" w:rsidRPr="00E2319F" w:rsidTr="00010F88">
        <w:trPr>
          <w:trHeight w:val="263"/>
          <w:jc w:val="center"/>
        </w:trPr>
        <w:tc>
          <w:tcPr>
            <w:tcW w:w="828" w:type="pct"/>
            <w:vMerge/>
            <w:shd w:val="clear" w:color="auto" w:fill="FFFFFF" w:themeFill="background1"/>
            <w:vAlign w:val="center"/>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p>
        </w:tc>
        <w:tc>
          <w:tcPr>
            <w:tcW w:w="2175" w:type="pct"/>
            <w:shd w:val="clear" w:color="auto" w:fill="FFFFFF" w:themeFill="background1"/>
            <w:noWrap/>
            <w:vAlign w:val="center"/>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Obras de adecuación cubierta Funza</w:t>
            </w:r>
          </w:p>
        </w:tc>
        <w:tc>
          <w:tcPr>
            <w:tcW w:w="806" w:type="pct"/>
            <w:shd w:val="clear" w:color="auto" w:fill="FFFFFF" w:themeFill="background1"/>
            <w:noWrap/>
            <w:vAlign w:val="center"/>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Cundinamarca</w:t>
            </w:r>
          </w:p>
        </w:tc>
        <w:tc>
          <w:tcPr>
            <w:tcW w:w="807" w:type="pct"/>
            <w:shd w:val="clear" w:color="auto" w:fill="FFFFFF" w:themeFill="background1"/>
            <w:noWrap/>
            <w:vAlign w:val="center"/>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2017</w:t>
            </w:r>
          </w:p>
        </w:tc>
        <w:tc>
          <w:tcPr>
            <w:tcW w:w="384" w:type="pct"/>
            <w:shd w:val="clear" w:color="auto" w:fill="FFFFFF" w:themeFill="background1"/>
            <w:noWrap/>
            <w:vAlign w:val="center"/>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1</w:t>
            </w:r>
          </w:p>
        </w:tc>
      </w:tr>
      <w:tr w:rsidR="007B6477" w:rsidRPr="00E2319F" w:rsidTr="00010F88">
        <w:trPr>
          <w:trHeight w:val="452"/>
          <w:jc w:val="center"/>
        </w:trPr>
        <w:tc>
          <w:tcPr>
            <w:tcW w:w="828" w:type="pct"/>
            <w:vMerge w:val="restart"/>
            <w:shd w:val="clear" w:color="auto" w:fill="FFFFFF" w:themeFill="background1"/>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Dotaciones y equipos especiales</w:t>
            </w:r>
          </w:p>
        </w:tc>
        <w:tc>
          <w:tcPr>
            <w:tcW w:w="2175" w:type="pct"/>
            <w:shd w:val="clear" w:color="auto" w:fill="FFFFFF" w:themeFill="background1"/>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Suministro e instalación de mobiliario a nivel nacional en 69 sedes administrativas</w:t>
            </w:r>
          </w:p>
        </w:tc>
        <w:tc>
          <w:tcPr>
            <w:tcW w:w="806" w:type="pct"/>
            <w:shd w:val="clear" w:color="auto" w:fill="FFFFFF" w:themeFill="background1"/>
            <w:noWrap/>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Nivel nacional</w:t>
            </w:r>
          </w:p>
        </w:tc>
        <w:tc>
          <w:tcPr>
            <w:tcW w:w="807" w:type="pct"/>
            <w:shd w:val="clear" w:color="auto" w:fill="FFFFFF" w:themeFill="background1"/>
            <w:noWrap/>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2017</w:t>
            </w:r>
          </w:p>
        </w:tc>
        <w:tc>
          <w:tcPr>
            <w:tcW w:w="384" w:type="pct"/>
            <w:shd w:val="clear" w:color="auto" w:fill="FFFFFF" w:themeFill="background1"/>
            <w:noWrap/>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69</w:t>
            </w:r>
          </w:p>
        </w:tc>
      </w:tr>
      <w:tr w:rsidR="007B6477" w:rsidRPr="00E2319F" w:rsidTr="00010F88">
        <w:trPr>
          <w:trHeight w:val="464"/>
          <w:jc w:val="center"/>
        </w:trPr>
        <w:tc>
          <w:tcPr>
            <w:tcW w:w="828" w:type="pct"/>
            <w:vMerge/>
            <w:shd w:val="clear" w:color="auto" w:fill="FFFFFF" w:themeFill="background1"/>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p>
        </w:tc>
        <w:tc>
          <w:tcPr>
            <w:tcW w:w="2175" w:type="pct"/>
            <w:shd w:val="clear" w:color="auto" w:fill="FFFFFF" w:themeFill="background1"/>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Suministro e instalación de 295 equipos de aire acondicionado en 39 sedes administrativas a nivel nacional</w:t>
            </w:r>
          </w:p>
        </w:tc>
        <w:tc>
          <w:tcPr>
            <w:tcW w:w="806" w:type="pct"/>
            <w:shd w:val="clear" w:color="auto" w:fill="FFFFFF" w:themeFill="background1"/>
            <w:noWrap/>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Nivel nacional</w:t>
            </w:r>
          </w:p>
        </w:tc>
        <w:tc>
          <w:tcPr>
            <w:tcW w:w="807" w:type="pct"/>
            <w:shd w:val="clear" w:color="auto" w:fill="FFFFFF" w:themeFill="background1"/>
            <w:noWrap/>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2017</w:t>
            </w:r>
          </w:p>
        </w:tc>
        <w:tc>
          <w:tcPr>
            <w:tcW w:w="384" w:type="pct"/>
            <w:shd w:val="clear" w:color="auto" w:fill="FFFFFF" w:themeFill="background1"/>
            <w:noWrap/>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39</w:t>
            </w:r>
          </w:p>
        </w:tc>
      </w:tr>
      <w:tr w:rsidR="007B6477" w:rsidRPr="00E2319F" w:rsidTr="00010F88">
        <w:trPr>
          <w:trHeight w:val="170"/>
          <w:jc w:val="center"/>
        </w:trPr>
        <w:tc>
          <w:tcPr>
            <w:tcW w:w="828" w:type="pct"/>
            <w:vMerge/>
            <w:shd w:val="clear" w:color="auto" w:fill="FFFFFF" w:themeFill="background1"/>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p>
        </w:tc>
        <w:tc>
          <w:tcPr>
            <w:tcW w:w="2175" w:type="pct"/>
            <w:shd w:val="clear" w:color="auto" w:fill="FFFFFF" w:themeFill="background1"/>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Suministro e instalación de 30 plantas eléctricas en sedes administrativas a nivel nacional</w:t>
            </w:r>
          </w:p>
        </w:tc>
        <w:tc>
          <w:tcPr>
            <w:tcW w:w="806" w:type="pct"/>
            <w:shd w:val="clear" w:color="auto" w:fill="FFFFFF" w:themeFill="background1"/>
            <w:noWrap/>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Nivel nacional</w:t>
            </w:r>
          </w:p>
        </w:tc>
        <w:tc>
          <w:tcPr>
            <w:tcW w:w="807" w:type="pct"/>
            <w:shd w:val="clear" w:color="auto" w:fill="FFFFFF" w:themeFill="background1"/>
            <w:noWrap/>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2017</w:t>
            </w:r>
          </w:p>
        </w:tc>
        <w:tc>
          <w:tcPr>
            <w:tcW w:w="384" w:type="pct"/>
            <w:shd w:val="clear" w:color="auto" w:fill="FFFFFF" w:themeFill="background1"/>
            <w:noWrap/>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30</w:t>
            </w:r>
          </w:p>
        </w:tc>
      </w:tr>
      <w:tr w:rsidR="007B6477" w:rsidRPr="00E2319F" w:rsidTr="00010F88">
        <w:trPr>
          <w:trHeight w:val="50"/>
          <w:jc w:val="center"/>
        </w:trPr>
        <w:tc>
          <w:tcPr>
            <w:tcW w:w="828" w:type="pct"/>
            <w:shd w:val="clear" w:color="auto" w:fill="FFFFFF" w:themeFill="background1"/>
            <w:vAlign w:val="center"/>
            <w:hideMark/>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Consultoría de estudios y diseños</w:t>
            </w:r>
          </w:p>
        </w:tc>
        <w:tc>
          <w:tcPr>
            <w:tcW w:w="2175" w:type="pct"/>
            <w:shd w:val="clear" w:color="auto" w:fill="FFFFFF" w:themeFill="background1"/>
            <w:vAlign w:val="center"/>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Estudios y diseños para construcción de cubierta Centro Zonal Antonia Santos</w:t>
            </w:r>
          </w:p>
        </w:tc>
        <w:tc>
          <w:tcPr>
            <w:tcW w:w="806" w:type="pct"/>
            <w:shd w:val="clear" w:color="auto" w:fill="FFFFFF" w:themeFill="background1"/>
            <w:noWrap/>
            <w:vAlign w:val="center"/>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Santander</w:t>
            </w:r>
          </w:p>
        </w:tc>
        <w:tc>
          <w:tcPr>
            <w:tcW w:w="807" w:type="pct"/>
            <w:shd w:val="clear" w:color="auto" w:fill="FFFFFF" w:themeFill="background1"/>
            <w:noWrap/>
            <w:vAlign w:val="center"/>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En ejecución</w:t>
            </w:r>
          </w:p>
        </w:tc>
        <w:tc>
          <w:tcPr>
            <w:tcW w:w="384" w:type="pct"/>
            <w:shd w:val="clear" w:color="auto" w:fill="FFFFFF" w:themeFill="background1"/>
            <w:noWrap/>
            <w:vAlign w:val="center"/>
          </w:tcPr>
          <w:p w:rsidR="007B6477" w:rsidRPr="00010F88" w:rsidRDefault="007B6477" w:rsidP="00010F88">
            <w:pPr>
              <w:spacing w:before="100" w:beforeAutospacing="1" w:after="100" w:afterAutospacing="1" w:line="240" w:lineRule="auto"/>
              <w:jc w:val="both"/>
              <w:rPr>
                <w:rFonts w:eastAsia="Times New Roman" w:cs="Arial"/>
                <w:sz w:val="18"/>
                <w:szCs w:val="18"/>
                <w:lang w:val="es-CO" w:eastAsia="es-CO"/>
              </w:rPr>
            </w:pPr>
            <w:r w:rsidRPr="00010F88">
              <w:rPr>
                <w:rFonts w:eastAsia="Times New Roman" w:cs="Arial"/>
                <w:sz w:val="18"/>
                <w:szCs w:val="18"/>
                <w:lang w:val="es-CO" w:eastAsia="es-CO"/>
              </w:rPr>
              <w:t>1</w:t>
            </w:r>
          </w:p>
        </w:tc>
      </w:tr>
    </w:tbl>
    <w:p w:rsidR="004E37DF" w:rsidRPr="00010F88" w:rsidRDefault="007B6477" w:rsidP="00010F88">
      <w:pPr>
        <w:jc w:val="center"/>
        <w:rPr>
          <w:rFonts w:cs="Arial"/>
          <w:sz w:val="16"/>
          <w:szCs w:val="16"/>
        </w:rPr>
      </w:pPr>
      <w:r w:rsidRPr="00010F88">
        <w:rPr>
          <w:rFonts w:cs="Arial"/>
          <w:sz w:val="16"/>
          <w:szCs w:val="16"/>
        </w:rPr>
        <w:t xml:space="preserve">Fuente: Grupo Infraestructura Inmobiliaria ICBF. Corte a </w:t>
      </w:r>
      <w:r w:rsidR="00010F88" w:rsidRPr="00010F88">
        <w:rPr>
          <w:rFonts w:cs="Arial"/>
          <w:sz w:val="16"/>
          <w:szCs w:val="16"/>
        </w:rPr>
        <w:t>diciembre de</w:t>
      </w:r>
      <w:r w:rsidRPr="00010F88">
        <w:rPr>
          <w:rFonts w:cs="Arial"/>
          <w:sz w:val="16"/>
          <w:szCs w:val="16"/>
        </w:rPr>
        <w:t xml:space="preserve"> 2017.</w:t>
      </w:r>
    </w:p>
    <w:p w:rsidR="00E50049" w:rsidRPr="00E2319F" w:rsidRDefault="00D8710A" w:rsidP="00A44A2B">
      <w:pPr>
        <w:pStyle w:val="Ttulo2"/>
        <w:numPr>
          <w:ilvl w:val="1"/>
          <w:numId w:val="139"/>
        </w:numPr>
        <w:rPr>
          <w:rFonts w:cs="Arial"/>
          <w:b/>
        </w:rPr>
      </w:pPr>
      <w:bookmarkStart w:id="168" w:name="_Toc505183100"/>
      <w:r w:rsidRPr="00E2319F">
        <w:rPr>
          <w:rFonts w:cs="Arial"/>
          <w:b/>
        </w:rPr>
        <w:t>E</w:t>
      </w:r>
      <w:r w:rsidR="00E50049" w:rsidRPr="00E2319F">
        <w:rPr>
          <w:rFonts w:cs="Arial"/>
          <w:b/>
        </w:rPr>
        <w:t>ficiencia administrativa</w:t>
      </w:r>
      <w:bookmarkEnd w:id="168"/>
    </w:p>
    <w:p w:rsidR="004E37DF" w:rsidRPr="00E2319F" w:rsidRDefault="004E37DF" w:rsidP="004E37DF">
      <w:pPr>
        <w:spacing w:before="100" w:beforeAutospacing="1" w:after="100" w:afterAutospacing="1" w:line="240" w:lineRule="auto"/>
        <w:jc w:val="both"/>
        <w:rPr>
          <w:rFonts w:cs="Arial"/>
        </w:rPr>
      </w:pPr>
      <w:r w:rsidRPr="00E2319F">
        <w:rPr>
          <w:rFonts w:cs="Arial"/>
        </w:rPr>
        <w:t xml:space="preserve">La Dirección Administrativa como líder del Sistema de Gestión Ambiental, según lo establecido en la Resolución 7070, título IV, Art. 25, del 16 de agosto de 2017, cuenta con un equipo de Profesionales Ambientales, los cuales brindan soporte a la Dirección Administrativa y a las demás dependencias de la Entidad, para la prevención y control de los aspectos e impactos ambientales; así como, para el cumplimiento de los requisitos legales que le aplican.  </w:t>
      </w:r>
    </w:p>
    <w:p w:rsidR="00BC3D7E" w:rsidRPr="00E2319F" w:rsidRDefault="00BC3D7E" w:rsidP="00A44A2B">
      <w:pPr>
        <w:pStyle w:val="Ttulo3"/>
        <w:numPr>
          <w:ilvl w:val="2"/>
          <w:numId w:val="139"/>
        </w:numPr>
        <w:rPr>
          <w:rFonts w:cs="Arial"/>
        </w:rPr>
      </w:pPr>
      <w:bookmarkStart w:id="169" w:name="_Toc505183101"/>
      <w:r w:rsidRPr="00E2319F">
        <w:rPr>
          <w:rFonts w:cs="Arial"/>
        </w:rPr>
        <w:t>Estrategia Cero Papel</w:t>
      </w:r>
      <w:bookmarkEnd w:id="169"/>
    </w:p>
    <w:p w:rsidR="004E37DF" w:rsidRPr="00E2319F" w:rsidRDefault="004E37DF" w:rsidP="004E37DF">
      <w:pPr>
        <w:spacing w:before="100" w:beforeAutospacing="1" w:after="100" w:afterAutospacing="1" w:line="240" w:lineRule="auto"/>
        <w:jc w:val="both"/>
        <w:rPr>
          <w:rFonts w:cs="Arial"/>
          <w:lang w:val="es-CO"/>
        </w:rPr>
      </w:pPr>
      <w:r w:rsidRPr="00E2319F">
        <w:rPr>
          <w:rFonts w:cs="Arial"/>
          <w:lang w:val="es-CO"/>
        </w:rPr>
        <w:t>Con el fin de dar cumplimiento a la Directiva Presidencial 04 de 2012, mediante la cual se establecen los lineamientos para lograr la eficiencia administrativa y la política de cero papel, esta Entidad ha formulado la Estrategia Cero Papel, la cual define e implementa actividades tendientes a la optimización de este recurso, la implementación de buenas prácticas para reducir el consumo y la utilización de medios electrónicos.</w:t>
      </w:r>
    </w:p>
    <w:p w:rsidR="004E37DF" w:rsidRPr="00E2319F" w:rsidRDefault="004E37DF" w:rsidP="004E37DF">
      <w:pPr>
        <w:spacing w:before="100" w:beforeAutospacing="1" w:after="100" w:afterAutospacing="1" w:line="240" w:lineRule="auto"/>
        <w:jc w:val="both"/>
        <w:rPr>
          <w:rFonts w:cs="Arial"/>
          <w:lang w:val="es-CO"/>
        </w:rPr>
      </w:pPr>
      <w:r w:rsidRPr="00E2319F">
        <w:rPr>
          <w:rFonts w:cs="Arial"/>
          <w:lang w:val="es-CO"/>
        </w:rPr>
        <w:t>Para la implementación de la Estrategia mencionada anteriormente, para la vigencia 2017 se ha establecido un cronograma con alcance a la Sede Nacional, el cual comprende principalmente las siguientes actividades:</w:t>
      </w:r>
    </w:p>
    <w:p w:rsidR="004E37DF" w:rsidRPr="00E2319F" w:rsidRDefault="00010F88" w:rsidP="00A44A2B">
      <w:pPr>
        <w:numPr>
          <w:ilvl w:val="0"/>
          <w:numId w:val="102"/>
        </w:numPr>
        <w:spacing w:before="100" w:beforeAutospacing="1" w:after="100" w:afterAutospacing="1" w:line="240" w:lineRule="auto"/>
        <w:jc w:val="both"/>
        <w:rPr>
          <w:rFonts w:cs="Arial"/>
          <w:lang w:val="es-CO"/>
        </w:rPr>
      </w:pPr>
      <w:r w:rsidRPr="00E2319F">
        <w:rPr>
          <w:rFonts w:cs="Arial"/>
          <w:lang w:val="es-CO"/>
        </w:rPr>
        <w:t>Seguimiento al consumo del papel</w:t>
      </w:r>
    </w:p>
    <w:p w:rsidR="004E37DF" w:rsidRPr="00E2319F" w:rsidRDefault="00010F88" w:rsidP="00A44A2B">
      <w:pPr>
        <w:numPr>
          <w:ilvl w:val="0"/>
          <w:numId w:val="102"/>
        </w:numPr>
        <w:spacing w:before="100" w:beforeAutospacing="1" w:after="100" w:afterAutospacing="1" w:line="240" w:lineRule="auto"/>
        <w:jc w:val="both"/>
        <w:rPr>
          <w:rFonts w:cs="Arial"/>
          <w:lang w:val="es-CO"/>
        </w:rPr>
      </w:pPr>
      <w:r w:rsidRPr="00E2319F">
        <w:rPr>
          <w:rFonts w:cs="Arial"/>
          <w:lang w:val="es-CO"/>
        </w:rPr>
        <w:t>Sensibilización sobre el uso adecuado del papel</w:t>
      </w:r>
    </w:p>
    <w:p w:rsidR="004E37DF" w:rsidRPr="00E2319F" w:rsidRDefault="00010F88" w:rsidP="00A44A2B">
      <w:pPr>
        <w:numPr>
          <w:ilvl w:val="0"/>
          <w:numId w:val="102"/>
        </w:numPr>
        <w:spacing w:before="100" w:beforeAutospacing="1" w:after="100" w:afterAutospacing="1" w:line="240" w:lineRule="auto"/>
        <w:jc w:val="both"/>
        <w:rPr>
          <w:rFonts w:cs="Arial"/>
          <w:lang w:val="es-CO"/>
        </w:rPr>
      </w:pPr>
      <w:r w:rsidRPr="00E2319F">
        <w:rPr>
          <w:rFonts w:cs="Arial"/>
          <w:lang w:val="es-CO"/>
        </w:rPr>
        <w:t>Actualización tablas de retención documental</w:t>
      </w:r>
    </w:p>
    <w:p w:rsidR="004E37DF" w:rsidRPr="00E2319F" w:rsidRDefault="00010F88" w:rsidP="00A44A2B">
      <w:pPr>
        <w:numPr>
          <w:ilvl w:val="0"/>
          <w:numId w:val="102"/>
        </w:numPr>
        <w:spacing w:before="100" w:beforeAutospacing="1" w:after="100" w:afterAutospacing="1" w:line="240" w:lineRule="auto"/>
        <w:jc w:val="both"/>
        <w:rPr>
          <w:rFonts w:cs="Arial"/>
          <w:lang w:val="es-CO"/>
        </w:rPr>
      </w:pPr>
      <w:r w:rsidRPr="00E2319F">
        <w:rPr>
          <w:rFonts w:cs="Arial"/>
          <w:lang w:val="es-CO"/>
        </w:rPr>
        <w:t>Implementación del gestor documental – ORFEO</w:t>
      </w:r>
    </w:p>
    <w:p w:rsidR="004E37DF" w:rsidRPr="00E2319F" w:rsidRDefault="004E37DF" w:rsidP="004E37DF">
      <w:pPr>
        <w:spacing w:before="100" w:beforeAutospacing="1" w:after="100" w:afterAutospacing="1" w:line="240" w:lineRule="auto"/>
        <w:jc w:val="both"/>
        <w:rPr>
          <w:rFonts w:cs="Arial"/>
          <w:lang w:val="es-CO"/>
        </w:rPr>
      </w:pPr>
      <w:r w:rsidRPr="00E2319F">
        <w:rPr>
          <w:rFonts w:cs="Arial"/>
          <w:lang w:val="es-CO"/>
        </w:rPr>
        <w:t xml:space="preserve">Así mimo, para el seguimiento a la implementación de esta estrategia, se la formulado el indicador </w:t>
      </w:r>
      <w:r w:rsidRPr="00E2319F">
        <w:rPr>
          <w:rFonts w:cs="Arial"/>
          <w:i/>
          <w:lang w:val="es-CO"/>
        </w:rPr>
        <w:t>Porcentaje de implementación de la estrategia Cero Papel</w:t>
      </w:r>
      <w:r w:rsidRPr="00E2319F">
        <w:rPr>
          <w:rFonts w:cs="Arial"/>
          <w:lang w:val="es-CO"/>
        </w:rPr>
        <w:t xml:space="preserve">, el cual tiene una periodicidad de reporte cuatrimestral. </w:t>
      </w:r>
    </w:p>
    <w:p w:rsidR="004E37DF" w:rsidRPr="00E2319F" w:rsidRDefault="004E37DF" w:rsidP="004E37DF">
      <w:pPr>
        <w:spacing w:before="100" w:beforeAutospacing="1" w:after="100" w:afterAutospacing="1" w:line="240" w:lineRule="auto"/>
        <w:jc w:val="both"/>
        <w:rPr>
          <w:rFonts w:cs="Arial"/>
          <w:lang w:val="es-CO"/>
        </w:rPr>
      </w:pPr>
      <w:r w:rsidRPr="00E2319F">
        <w:rPr>
          <w:rFonts w:cs="Arial"/>
          <w:lang w:val="es-CO"/>
        </w:rPr>
        <w:t>De acuerdo a lo anterior, el indicador presentó el siguiente comportamiento durante la vigencia:</w:t>
      </w:r>
    </w:p>
    <w:p w:rsidR="004E37DF" w:rsidRPr="005900DC" w:rsidRDefault="004E37DF" w:rsidP="00A44A2B">
      <w:pPr>
        <w:numPr>
          <w:ilvl w:val="0"/>
          <w:numId w:val="79"/>
        </w:numPr>
        <w:spacing w:before="100" w:beforeAutospacing="1" w:after="100" w:afterAutospacing="1" w:line="240" w:lineRule="auto"/>
        <w:contextualSpacing/>
        <w:jc w:val="both"/>
        <w:rPr>
          <w:rFonts w:cs="Arial"/>
        </w:rPr>
      </w:pPr>
      <w:r w:rsidRPr="005900DC">
        <w:rPr>
          <w:rFonts w:cs="Arial"/>
        </w:rPr>
        <w:lastRenderedPageBreak/>
        <w:t>Para el primer cuatrimestre del 2017 se obtuvo como resultado del indicador un 20% de avance de cumplimiento de la estrategia Cero Papel, avanzando en las actividades de seguimiento a los consumos de papel y sensibilización el uso eficiente del papel.</w:t>
      </w:r>
    </w:p>
    <w:p w:rsidR="004E37DF" w:rsidRPr="00E2319F" w:rsidRDefault="004E37DF" w:rsidP="004E37DF">
      <w:pPr>
        <w:pStyle w:val="Prrafodelista"/>
        <w:spacing w:after="0" w:line="240" w:lineRule="auto"/>
        <w:ind w:left="360"/>
        <w:jc w:val="both"/>
        <w:rPr>
          <w:rFonts w:cs="Arial"/>
          <w:lang w:val="es-CO"/>
        </w:rPr>
      </w:pPr>
    </w:p>
    <w:p w:rsidR="004E37DF" w:rsidRPr="005900DC" w:rsidRDefault="004E37DF" w:rsidP="00A44A2B">
      <w:pPr>
        <w:numPr>
          <w:ilvl w:val="0"/>
          <w:numId w:val="79"/>
        </w:numPr>
        <w:spacing w:before="100" w:beforeAutospacing="1" w:after="100" w:afterAutospacing="1" w:line="240" w:lineRule="auto"/>
        <w:contextualSpacing/>
        <w:jc w:val="both"/>
        <w:rPr>
          <w:rFonts w:cs="Arial"/>
        </w:rPr>
      </w:pPr>
      <w:r w:rsidRPr="005900DC">
        <w:rPr>
          <w:rFonts w:cs="Arial"/>
        </w:rPr>
        <w:t>Para el segundo cuatrimestre se obtuvo un porcentaje de avance del 72%, para este periodo a parte de las anteriores actividades, igualmente se avanzó en las actividades que le competen a la Dirección Administrativa, relacionadas con seguimiento a los consumos de papel, actualización de tablas de retención documental, sensibilización ambiental y desarrollo del proyecto ORFEO.</w:t>
      </w:r>
    </w:p>
    <w:p w:rsidR="005900DC" w:rsidRPr="005900DC" w:rsidRDefault="005900DC" w:rsidP="005900DC">
      <w:pPr>
        <w:spacing w:before="100" w:beforeAutospacing="1" w:after="100" w:afterAutospacing="1" w:line="240" w:lineRule="auto"/>
        <w:ind w:left="360"/>
        <w:contextualSpacing/>
        <w:jc w:val="both"/>
        <w:rPr>
          <w:rFonts w:cs="Arial"/>
        </w:rPr>
      </w:pPr>
    </w:p>
    <w:p w:rsidR="004E37DF" w:rsidRDefault="004E37DF" w:rsidP="00A44A2B">
      <w:pPr>
        <w:numPr>
          <w:ilvl w:val="0"/>
          <w:numId w:val="79"/>
        </w:numPr>
        <w:spacing w:before="100" w:beforeAutospacing="1" w:after="100" w:afterAutospacing="1" w:line="240" w:lineRule="auto"/>
        <w:contextualSpacing/>
        <w:jc w:val="both"/>
        <w:rPr>
          <w:rFonts w:cs="Arial"/>
        </w:rPr>
      </w:pPr>
      <w:r w:rsidRPr="005900DC">
        <w:rPr>
          <w:rFonts w:cs="Arial"/>
        </w:rPr>
        <w:t>Se finalizó la vigencia con un avance del 92% de cumplimiento del cronograma; avanzando principalmente en las actividades de seguimiento a los consumos de papel, sensibilización y desarrollo del software del gestor documental en el módulo de pruebas y actualización de las tablas de retención documental y sensibilización en la optimización del Office (Word, Excel y PowerPoint) enfocado a la adecuada impresión y como compartir documentos en línea.</w:t>
      </w:r>
    </w:p>
    <w:p w:rsidR="005900DC" w:rsidRPr="005900DC" w:rsidRDefault="005900DC" w:rsidP="005900DC">
      <w:pPr>
        <w:spacing w:before="100" w:beforeAutospacing="1" w:after="100" w:afterAutospacing="1" w:line="240" w:lineRule="auto"/>
        <w:contextualSpacing/>
        <w:jc w:val="both"/>
        <w:rPr>
          <w:rFonts w:cs="Arial"/>
        </w:rPr>
      </w:pPr>
    </w:p>
    <w:p w:rsidR="004E37DF" w:rsidRPr="00E2319F" w:rsidRDefault="004E37DF" w:rsidP="004E37DF">
      <w:pPr>
        <w:spacing w:before="100" w:beforeAutospacing="1" w:after="100" w:afterAutospacing="1" w:line="240" w:lineRule="auto"/>
        <w:jc w:val="both"/>
        <w:rPr>
          <w:rFonts w:cs="Arial"/>
          <w:lang w:val="es-CO"/>
        </w:rPr>
      </w:pPr>
      <w:r w:rsidRPr="00E2319F">
        <w:rPr>
          <w:rFonts w:cs="Arial"/>
          <w:lang w:val="es-CO"/>
        </w:rPr>
        <w:t>Para el reporte del último cuatrimestre se trabajó articuladamente con la Dirección de Planeación y Control de Gestión, así como con la Dirección de Información y Tecnología, para avanzar en el cumplimiento de las siguientes actividades respectivamente:</w:t>
      </w:r>
    </w:p>
    <w:p w:rsidR="004E37DF" w:rsidRPr="00E2319F" w:rsidRDefault="004E37DF" w:rsidP="00A44A2B">
      <w:pPr>
        <w:pStyle w:val="Prrafodelista"/>
        <w:numPr>
          <w:ilvl w:val="0"/>
          <w:numId w:val="155"/>
        </w:numPr>
        <w:spacing w:before="100" w:beforeAutospacing="1" w:after="100" w:afterAutospacing="1" w:line="240" w:lineRule="auto"/>
        <w:jc w:val="both"/>
        <w:rPr>
          <w:rFonts w:eastAsiaTheme="minorHAnsi" w:cs="Arial"/>
        </w:rPr>
      </w:pPr>
      <w:r w:rsidRPr="00E2319F">
        <w:rPr>
          <w:rFonts w:cs="Arial"/>
          <w:lang w:val="es-CO"/>
        </w:rPr>
        <w:t>Revisión de los procedimientos y formatos de las áreas que reportaron un mayor consumo, con el fin de racionalizar los documentos y fortalecer el uso adecuado del papel.</w:t>
      </w:r>
      <w:r w:rsidRPr="00E2319F">
        <w:rPr>
          <w:rFonts w:eastAsiaTheme="minorHAnsi" w:cs="Arial"/>
        </w:rPr>
        <w:t xml:space="preserve"> </w:t>
      </w:r>
    </w:p>
    <w:p w:rsidR="004E37DF" w:rsidRPr="00E2319F" w:rsidRDefault="004E37DF" w:rsidP="004E37DF">
      <w:pPr>
        <w:pStyle w:val="Prrafodelista"/>
        <w:spacing w:before="100" w:beforeAutospacing="1" w:after="100" w:afterAutospacing="1" w:line="240" w:lineRule="auto"/>
        <w:ind w:left="360"/>
        <w:jc w:val="both"/>
        <w:rPr>
          <w:rFonts w:eastAsiaTheme="minorHAnsi" w:cs="Arial"/>
        </w:rPr>
      </w:pPr>
      <w:r w:rsidRPr="00E2319F">
        <w:rPr>
          <w:rFonts w:eastAsiaTheme="minorHAnsi" w:cs="Arial"/>
        </w:rPr>
        <w:t>En cuanto a esta actividad, es importante destacar que se realizó reunión con las dependencias de la Sede Nacional del ICBF que reportaron mayor consumo de papel, tales como la Dirección de Gestión Humana, Dirección de Contratación y Oficina Asesora Jurídica, donde se revisaron las actividades que más inciden en el consumo de papel y se plantearon actividades para su disminución. Esta labor se viene realizando de la mano con la Dirección de Planeación y el Grupo de Gestión Documental.</w:t>
      </w:r>
    </w:p>
    <w:p w:rsidR="004E37DF" w:rsidRPr="00010F88" w:rsidRDefault="004E37DF" w:rsidP="00A44A2B">
      <w:pPr>
        <w:pStyle w:val="Prrafodelista"/>
        <w:numPr>
          <w:ilvl w:val="0"/>
          <w:numId w:val="155"/>
        </w:numPr>
        <w:spacing w:before="100" w:beforeAutospacing="1" w:after="100" w:afterAutospacing="1" w:line="240" w:lineRule="auto"/>
        <w:jc w:val="both"/>
        <w:rPr>
          <w:rFonts w:cs="Arial"/>
          <w:lang w:val="es-CO"/>
        </w:rPr>
      </w:pPr>
      <w:r w:rsidRPr="00E2319F">
        <w:rPr>
          <w:rFonts w:cs="Arial"/>
          <w:lang w:val="es-CO"/>
        </w:rPr>
        <w:t>Formulación e implementación de cronograma de sensibilización a las áreas que reportaron un mayor consumo de papel, sobre la optimización del Office (Word, Excel y PowerPoint) enfocado a la adecuada impresión y como compartir documentos en línea.</w:t>
      </w:r>
    </w:p>
    <w:p w:rsidR="004E37DF" w:rsidRPr="00E2319F" w:rsidRDefault="004E37DF" w:rsidP="004E37DF">
      <w:pPr>
        <w:pStyle w:val="Prrafodelista"/>
        <w:autoSpaceDE w:val="0"/>
        <w:autoSpaceDN w:val="0"/>
        <w:spacing w:before="40" w:after="240"/>
        <w:ind w:left="360"/>
        <w:jc w:val="both"/>
        <w:rPr>
          <w:rFonts w:cs="Arial"/>
          <w:lang w:val="es-CO"/>
        </w:rPr>
      </w:pPr>
      <w:r w:rsidRPr="00E2319F">
        <w:rPr>
          <w:rFonts w:cs="Arial"/>
          <w:lang w:val="es-CO"/>
        </w:rPr>
        <w:t>Respecto a esta actividad la Dirección de Tecnología adelantó las sensibilizaciones junto con las charlas del Eje de Seguridad de Información para algunas dependencias de la Sede Nacional. Así mismo, esta Dirección realizó una encuesta a nivel nacional, para consultar a los colaboradores el interés en realizar un curso de ofimática a través de la escuela virtual, de las cuales respondieron 780 usuarios y todas las respuestas fueron positivas, por ello este plan de creación del curso y toda la demás gestión iniciarán a finales de enero de la vigencia 2018.</w:t>
      </w:r>
    </w:p>
    <w:p w:rsidR="004E37DF" w:rsidRPr="00E2319F" w:rsidRDefault="004E37DF" w:rsidP="00A44A2B">
      <w:pPr>
        <w:pStyle w:val="Prrafodelista"/>
        <w:numPr>
          <w:ilvl w:val="0"/>
          <w:numId w:val="155"/>
        </w:numPr>
        <w:spacing w:before="100" w:beforeAutospacing="1" w:after="100" w:afterAutospacing="1" w:line="240" w:lineRule="auto"/>
        <w:jc w:val="both"/>
        <w:rPr>
          <w:rFonts w:cs="Arial"/>
          <w:lang w:val="es-CO"/>
        </w:rPr>
      </w:pPr>
      <w:r w:rsidRPr="00E2319F">
        <w:rPr>
          <w:rFonts w:cs="Arial"/>
          <w:lang w:val="es-CO"/>
        </w:rPr>
        <w:lastRenderedPageBreak/>
        <w:t xml:space="preserve">La Dirección de Tecnología tiene programado para la vigencia 2018 adelantar la Verificación del parque de impresoras de la Sede Nacional respecto a la funcionalidad y compatibilidad con office </w:t>
      </w:r>
      <w:r w:rsidRPr="00E2319F">
        <w:rPr>
          <w:rFonts w:cs="Arial"/>
          <w:lang w:val="es-CO"/>
        </w:rPr>
        <w:tab/>
        <w:t>para control de impresión por clave.</w:t>
      </w:r>
    </w:p>
    <w:p w:rsidR="004E37DF" w:rsidRPr="00E2319F" w:rsidRDefault="00015C71" w:rsidP="00A44A2B">
      <w:pPr>
        <w:pStyle w:val="Ttulo3"/>
        <w:numPr>
          <w:ilvl w:val="2"/>
          <w:numId w:val="139"/>
        </w:numPr>
        <w:rPr>
          <w:rFonts w:cs="Arial"/>
        </w:rPr>
      </w:pPr>
      <w:bookmarkStart w:id="170" w:name="_Toc505183102"/>
      <w:r w:rsidRPr="00E2319F">
        <w:rPr>
          <w:rFonts w:cs="Arial"/>
        </w:rPr>
        <w:t>Gestión Documental</w:t>
      </w:r>
      <w:bookmarkEnd w:id="170"/>
      <w:r w:rsidRPr="00E2319F">
        <w:rPr>
          <w:rFonts w:cs="Arial"/>
        </w:rPr>
        <w:t xml:space="preserve"> </w:t>
      </w:r>
      <w:bookmarkStart w:id="171" w:name="_Hlk499729358"/>
      <w:bookmarkEnd w:id="171"/>
    </w:p>
    <w:sdt>
      <w:sdtPr>
        <w:rPr>
          <w:rFonts w:ascii="Arial" w:hAnsi="Arial" w:cs="Arial"/>
          <w:color w:val="auto"/>
          <w:sz w:val="22"/>
          <w:szCs w:val="22"/>
        </w:rPr>
        <w:id w:val="-1010364756"/>
        <w:docPartObj>
          <w:docPartGallery w:val="Cover Pages"/>
          <w:docPartUnique/>
        </w:docPartObj>
      </w:sdtPr>
      <w:sdtEndPr/>
      <w:sdtContent>
        <w:p w:rsidR="004E37DF" w:rsidRPr="00E2319F" w:rsidRDefault="004E37DF" w:rsidP="004E37DF">
          <w:pPr>
            <w:pStyle w:val="Default"/>
            <w:spacing w:before="100" w:beforeAutospacing="1" w:after="100" w:afterAutospacing="1"/>
            <w:jc w:val="both"/>
            <w:rPr>
              <w:rFonts w:ascii="Arial" w:hAnsi="Arial" w:cs="Arial"/>
              <w:b/>
              <w:color w:val="auto"/>
              <w:sz w:val="22"/>
              <w:u w:val="dotted"/>
            </w:rPr>
          </w:pPr>
          <w:r w:rsidRPr="00E2319F">
            <w:rPr>
              <w:rFonts w:ascii="Arial" w:hAnsi="Arial" w:cs="Arial"/>
              <w:color w:val="auto"/>
              <w:sz w:val="22"/>
            </w:rPr>
            <w:t>El Grupo de Gestión Documental apoya a la Dirección Administrativa en los procesos de Gestión Documental, en cuanto a la administración, control, supervisión, manejo de la correspondencia y archivo de la entidad. Se establece como responsabilidad del área, asegurar la integración con todos los procesos de comunicación interna y con los usuarios, garantizando la administración, conservación y custodia de la memoria histórica y el patrimonio documental del ICBF.</w:t>
          </w:r>
        </w:p>
        <w:p w:rsidR="004E37DF" w:rsidRPr="00E2319F" w:rsidRDefault="004E37DF" w:rsidP="004E37DF">
          <w:pPr>
            <w:pStyle w:val="Default"/>
            <w:spacing w:before="100" w:beforeAutospacing="1" w:after="100" w:afterAutospacing="1"/>
            <w:jc w:val="both"/>
            <w:rPr>
              <w:rFonts w:ascii="Arial" w:hAnsi="Arial" w:cs="Arial"/>
              <w:b/>
              <w:color w:val="auto"/>
              <w:sz w:val="22"/>
              <w:szCs w:val="22"/>
            </w:rPr>
          </w:pPr>
          <w:r w:rsidRPr="00E2319F">
            <w:rPr>
              <w:rFonts w:ascii="Arial" w:hAnsi="Arial" w:cs="Arial"/>
              <w:b/>
              <w:color w:val="auto"/>
              <w:sz w:val="22"/>
              <w:szCs w:val="22"/>
            </w:rPr>
            <w:t>Plan de Capacitación en Gestión Documental</w:t>
          </w:r>
        </w:p>
        <w:sdt>
          <w:sdtPr>
            <w:rPr>
              <w:rFonts w:cs="Arial"/>
            </w:rPr>
            <w:id w:val="-1566258060"/>
            <w:docPartObj>
              <w:docPartGallery w:val="Cover Pages"/>
              <w:docPartUnique/>
            </w:docPartObj>
          </w:sdtPr>
          <w:sdtEndPr/>
          <w:sdtContent>
            <w:p w:rsidR="004E37DF" w:rsidRPr="00E2319F" w:rsidRDefault="004E37DF" w:rsidP="004E37DF">
              <w:pPr>
                <w:spacing w:before="240" w:after="240"/>
                <w:jc w:val="both"/>
                <w:rPr>
                  <w:rFonts w:cs="Arial"/>
                  <w:szCs w:val="24"/>
                  <w:lang w:val="es-CO" w:eastAsia="es-CO"/>
                </w:rPr>
              </w:pPr>
              <w:r w:rsidRPr="00E2319F">
                <w:rPr>
                  <w:rFonts w:cs="Arial"/>
                  <w:szCs w:val="24"/>
                  <w:lang w:val="es-CO" w:eastAsia="es-CO"/>
                </w:rPr>
                <w:t xml:space="preserve">El plan de capacitación del Grupo de Gestión Documental tiene como objetivo fortalecer las habilidades, destrezas y conocimientos en materia de gestión documental con el fin de garantizar la organización técnica de los archivos a nivel nacional en el Instituto Colombiano de Bienestar Familiar, para lo cual se consideró establecer un ciclo de videoconferencias a nivel nacional con las temáticas que a continuación se relacionan: </w:t>
              </w:r>
            </w:p>
            <w:p w:rsidR="004E37DF" w:rsidRPr="00E2319F" w:rsidRDefault="004E37DF" w:rsidP="00A44A2B">
              <w:pPr>
                <w:numPr>
                  <w:ilvl w:val="0"/>
                  <w:numId w:val="103"/>
                </w:numPr>
                <w:spacing w:after="0"/>
                <w:jc w:val="both"/>
                <w:rPr>
                  <w:rFonts w:cs="Arial"/>
                  <w:szCs w:val="24"/>
                  <w:lang w:val="es-CO" w:eastAsia="es-CO"/>
                </w:rPr>
              </w:pPr>
              <w:r w:rsidRPr="00E2319F">
                <w:rPr>
                  <w:rFonts w:cs="Arial"/>
                  <w:szCs w:val="24"/>
                  <w:lang w:val="es-CO" w:eastAsia="es-CO"/>
                </w:rPr>
                <w:t>Correspondencia</w:t>
              </w:r>
            </w:p>
            <w:p w:rsidR="004E37DF" w:rsidRPr="00E2319F" w:rsidRDefault="004E37DF" w:rsidP="00A44A2B">
              <w:pPr>
                <w:numPr>
                  <w:ilvl w:val="0"/>
                  <w:numId w:val="103"/>
                </w:numPr>
                <w:spacing w:after="0"/>
                <w:jc w:val="both"/>
                <w:rPr>
                  <w:rFonts w:cs="Arial"/>
                  <w:szCs w:val="24"/>
                  <w:lang w:val="es-CO" w:eastAsia="es-CO"/>
                </w:rPr>
              </w:pPr>
              <w:r w:rsidRPr="00E2319F">
                <w:rPr>
                  <w:rFonts w:cs="Arial"/>
                  <w:szCs w:val="24"/>
                  <w:lang w:val="es-CO" w:eastAsia="es-CO"/>
                </w:rPr>
                <w:t>Fundamentación Archivística</w:t>
              </w:r>
            </w:p>
            <w:p w:rsidR="004E37DF" w:rsidRPr="00E2319F" w:rsidRDefault="004E37DF" w:rsidP="00A44A2B">
              <w:pPr>
                <w:numPr>
                  <w:ilvl w:val="0"/>
                  <w:numId w:val="103"/>
                </w:numPr>
                <w:spacing w:after="0"/>
                <w:jc w:val="both"/>
                <w:rPr>
                  <w:rFonts w:cs="Arial"/>
                  <w:szCs w:val="24"/>
                  <w:lang w:val="es-CO" w:eastAsia="es-CO"/>
                </w:rPr>
              </w:pPr>
              <w:r w:rsidRPr="00E2319F">
                <w:rPr>
                  <w:rFonts w:cs="Arial"/>
                  <w:szCs w:val="24"/>
                  <w:lang w:val="es-CO" w:eastAsia="es-CO"/>
                </w:rPr>
                <w:t>Organización de archivos</w:t>
              </w:r>
            </w:p>
            <w:p w:rsidR="004E37DF" w:rsidRPr="00E2319F" w:rsidRDefault="004E37DF" w:rsidP="00A44A2B">
              <w:pPr>
                <w:numPr>
                  <w:ilvl w:val="0"/>
                  <w:numId w:val="103"/>
                </w:numPr>
                <w:spacing w:after="0"/>
                <w:jc w:val="both"/>
                <w:rPr>
                  <w:rFonts w:cs="Arial"/>
                  <w:szCs w:val="24"/>
                  <w:lang w:val="es-CO" w:eastAsia="es-CO"/>
                </w:rPr>
              </w:pPr>
              <w:r w:rsidRPr="00E2319F">
                <w:rPr>
                  <w:rFonts w:cs="Arial"/>
                  <w:szCs w:val="24"/>
                  <w:lang w:val="es-CO" w:eastAsia="es-CO"/>
                </w:rPr>
                <w:t>Tabla de Retención Documental – TRD</w:t>
              </w:r>
            </w:p>
            <w:p w:rsidR="004E37DF" w:rsidRPr="00E2319F" w:rsidRDefault="004E37DF" w:rsidP="00A44A2B">
              <w:pPr>
                <w:numPr>
                  <w:ilvl w:val="0"/>
                  <w:numId w:val="103"/>
                </w:numPr>
                <w:spacing w:after="0"/>
                <w:jc w:val="both"/>
                <w:rPr>
                  <w:rFonts w:cs="Arial"/>
                  <w:szCs w:val="24"/>
                  <w:lang w:val="es-CO" w:eastAsia="es-CO"/>
                </w:rPr>
              </w:pPr>
              <w:r w:rsidRPr="00E2319F">
                <w:rPr>
                  <w:rFonts w:cs="Arial"/>
                  <w:szCs w:val="24"/>
                  <w:lang w:val="es-CO" w:eastAsia="es-CO"/>
                </w:rPr>
                <w:t>Transferencias Documentales</w:t>
              </w:r>
            </w:p>
            <w:p w:rsidR="004E37DF" w:rsidRPr="00E2319F" w:rsidRDefault="004E37DF" w:rsidP="00A44A2B">
              <w:pPr>
                <w:numPr>
                  <w:ilvl w:val="0"/>
                  <w:numId w:val="103"/>
                </w:numPr>
                <w:spacing w:after="0"/>
                <w:jc w:val="both"/>
                <w:rPr>
                  <w:rFonts w:cs="Arial"/>
                  <w:szCs w:val="24"/>
                  <w:lang w:val="es-CO" w:eastAsia="es-CO"/>
                </w:rPr>
              </w:pPr>
              <w:r w:rsidRPr="00E2319F">
                <w:rPr>
                  <w:rFonts w:cs="Arial"/>
                  <w:szCs w:val="24"/>
                  <w:lang w:val="es-CO" w:eastAsia="es-CO"/>
                </w:rPr>
                <w:t>Fondos Documentales Acumulados</w:t>
              </w:r>
            </w:p>
            <w:p w:rsidR="004E37DF" w:rsidRPr="00E2319F" w:rsidRDefault="004E37DF" w:rsidP="00A44A2B">
              <w:pPr>
                <w:numPr>
                  <w:ilvl w:val="0"/>
                  <w:numId w:val="103"/>
                </w:numPr>
                <w:spacing w:after="0"/>
                <w:jc w:val="both"/>
                <w:rPr>
                  <w:rFonts w:cs="Arial"/>
                  <w:szCs w:val="24"/>
                  <w:lang w:val="es-CO" w:eastAsia="es-CO"/>
                </w:rPr>
              </w:pPr>
              <w:r w:rsidRPr="00E2319F">
                <w:rPr>
                  <w:rFonts w:cs="Arial"/>
                  <w:szCs w:val="24"/>
                  <w:lang w:val="es-CO" w:eastAsia="es-CO"/>
                </w:rPr>
                <w:t>Programa de Gestión Documental</w:t>
              </w:r>
            </w:p>
            <w:p w:rsidR="004E37DF" w:rsidRPr="00E2319F" w:rsidRDefault="004E37DF" w:rsidP="00A44A2B">
              <w:pPr>
                <w:numPr>
                  <w:ilvl w:val="0"/>
                  <w:numId w:val="103"/>
                </w:numPr>
                <w:spacing w:after="0"/>
                <w:jc w:val="both"/>
                <w:rPr>
                  <w:rFonts w:cs="Arial"/>
                  <w:szCs w:val="24"/>
                  <w:lang w:val="es-CO" w:eastAsia="es-CO"/>
                </w:rPr>
              </w:pPr>
              <w:r w:rsidRPr="00E2319F">
                <w:rPr>
                  <w:rFonts w:cs="Arial"/>
                  <w:szCs w:val="24"/>
                  <w:lang w:val="es-CO" w:eastAsia="es-CO"/>
                </w:rPr>
                <w:t>PINAR</w:t>
              </w:r>
            </w:p>
            <w:p w:rsidR="004E37DF" w:rsidRPr="00E2319F" w:rsidRDefault="004E37DF" w:rsidP="00A44A2B">
              <w:pPr>
                <w:numPr>
                  <w:ilvl w:val="0"/>
                  <w:numId w:val="103"/>
                </w:numPr>
                <w:spacing w:after="0"/>
                <w:jc w:val="both"/>
                <w:rPr>
                  <w:rFonts w:cs="Arial"/>
                  <w:szCs w:val="24"/>
                  <w:lang w:val="es-CO" w:eastAsia="es-CO"/>
                </w:rPr>
              </w:pPr>
              <w:r w:rsidRPr="00E2319F">
                <w:rPr>
                  <w:rFonts w:cs="Arial"/>
                  <w:szCs w:val="24"/>
                  <w:lang w:val="es-CO" w:eastAsia="es-CO"/>
                </w:rPr>
                <w:t>SIPOST</w:t>
              </w:r>
            </w:p>
            <w:p w:rsidR="004E37DF" w:rsidRPr="00E2319F" w:rsidRDefault="004E37DF" w:rsidP="00A44A2B">
              <w:pPr>
                <w:numPr>
                  <w:ilvl w:val="0"/>
                  <w:numId w:val="103"/>
                </w:numPr>
                <w:spacing w:after="0"/>
                <w:jc w:val="both"/>
                <w:rPr>
                  <w:rFonts w:cs="Arial"/>
                  <w:szCs w:val="24"/>
                  <w:lang w:val="es-CO" w:eastAsia="es-CO"/>
                </w:rPr>
              </w:pPr>
              <w:r w:rsidRPr="00E2319F">
                <w:rPr>
                  <w:rFonts w:cs="Arial"/>
                  <w:szCs w:val="24"/>
                  <w:lang w:val="es-CO" w:eastAsia="es-CO"/>
                </w:rPr>
                <w:t>Orfeo</w:t>
              </w:r>
            </w:p>
            <w:p w:rsidR="004E37DF" w:rsidRPr="00E2319F" w:rsidRDefault="004E37DF" w:rsidP="00A44A2B">
              <w:pPr>
                <w:numPr>
                  <w:ilvl w:val="0"/>
                  <w:numId w:val="103"/>
                </w:numPr>
                <w:spacing w:after="0"/>
                <w:jc w:val="both"/>
                <w:rPr>
                  <w:rFonts w:cs="Arial"/>
                  <w:szCs w:val="24"/>
                  <w:lang w:val="es-CO" w:eastAsia="es-CO"/>
                </w:rPr>
              </w:pPr>
              <w:r w:rsidRPr="00E2319F">
                <w:rPr>
                  <w:rFonts w:cs="Arial"/>
                  <w:szCs w:val="24"/>
                  <w:lang w:val="es-CO" w:eastAsia="es-CO"/>
                </w:rPr>
                <w:t>Taller de apropiación de conocimientos</w:t>
              </w:r>
            </w:p>
            <w:p w:rsidR="0051404C" w:rsidRPr="00E2319F" w:rsidRDefault="004E37DF" w:rsidP="004E37DF">
              <w:pPr>
                <w:spacing w:before="240" w:after="240"/>
                <w:jc w:val="both"/>
                <w:rPr>
                  <w:rFonts w:cs="Arial"/>
                  <w:szCs w:val="24"/>
                  <w:lang w:val="es-CO" w:eastAsia="es-CO"/>
                </w:rPr>
              </w:pPr>
              <w:r w:rsidRPr="00E2319F">
                <w:rPr>
                  <w:rFonts w:cs="Arial"/>
                  <w:szCs w:val="24"/>
                  <w:lang w:val="es-CO" w:eastAsia="es-CO"/>
                </w:rPr>
                <w:t xml:space="preserve">Dentro del cronograma de actividades, estaba previsto para desarrollarse entre el </w:t>
              </w:r>
              <w:r w:rsidRPr="00E2319F">
                <w:rPr>
                  <w:rFonts w:cs="Arial"/>
                </w:rPr>
                <w:t>22 de septiembre y el 30 de noviembre de 2017,</w:t>
              </w:r>
              <w:r w:rsidRPr="00E2319F">
                <w:rPr>
                  <w:rFonts w:cs="Arial"/>
                  <w:szCs w:val="24"/>
                  <w:lang w:val="es-CO" w:eastAsia="es-CO"/>
                </w:rPr>
                <w:t xml:space="preserve"> el cual se ejecutó al 100%; para el efecto se hizo necesario dividir las 33 Regionales en dos grupos, con el propósito de abarcar la Regional y sus Centros Zonales, el cronograma fue puesto en conocimiento mediante oficio, remitido a los Coordinadores de los Grupos Administrativos de las Regionales y en la Sede de la Dirección General a los, Directores, Subdirectores, Jefes de Oficina y Coordinadores de Grupos. De igual forma, dentro del desarrollo de las videoconferencias se informó que los colaboradores que asistieran al 100% de las mismas, obtendrían certificación por parte de la Dirección de Gestión Humana </w:t>
              </w:r>
              <w:r w:rsidR="00F21209" w:rsidRPr="00E2319F">
                <w:rPr>
                  <w:rFonts w:cs="Arial"/>
                  <w:szCs w:val="24"/>
                  <w:lang w:val="es-CO" w:eastAsia="es-CO"/>
                </w:rPr>
                <w:t>y la Dirección Administrativa.</w:t>
              </w:r>
            </w:p>
            <w:p w:rsidR="004E37DF" w:rsidRPr="00E2319F" w:rsidRDefault="004E37DF" w:rsidP="004E37DF">
              <w:pPr>
                <w:spacing w:before="240" w:after="240"/>
                <w:jc w:val="both"/>
                <w:rPr>
                  <w:rFonts w:cs="Arial"/>
                </w:rPr>
              </w:pPr>
              <w:r w:rsidRPr="00E2319F">
                <w:rPr>
                  <w:rFonts w:cs="Arial"/>
                  <w:szCs w:val="24"/>
                  <w:lang w:val="es-CO" w:eastAsia="es-CO"/>
                </w:rPr>
                <w:lastRenderedPageBreak/>
                <w:t xml:space="preserve">Como soporte de esta actividad se cuenta con listas de asistencia, material de apoyo de los temas vistos y grabaciones de las videoconferencias. Actualmente estamos en proceso de remisión a las Regionales del ICBF de las memorias de capacitación, junto con las certificaciones de asistencia. </w:t>
              </w:r>
            </w:p>
            <w:p w:rsidR="004E37DF" w:rsidRPr="00E2319F" w:rsidRDefault="004E37DF" w:rsidP="004E37DF">
              <w:pPr>
                <w:pStyle w:val="Default"/>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De igual forma, el Plan de Capacitaciones de Gestión Documental, se articuló con el Plan Institucional de Capacitaciones del ICBF, que busca brindar herramientas para el crecimiento personal y profesional de los colaboradores del Instituto. El Plan de Capacitación de Gestión Documental se realizó a través de videoconferencias, con la participación de los encargados de los archivos de gestión y central de las Regionales y la Sede de la Dirección General. Como apoyo a la capacitación la Dirección de Gestión Humana, certificará a los colaboradores o Servidores Públicos que asistieran a todo el ciclo de capacitación, con una intensidad de 40 horas.</w:t>
              </w:r>
            </w:p>
            <w:p w:rsidR="004E37DF" w:rsidRPr="00E2319F" w:rsidRDefault="004E37DF" w:rsidP="004E37DF">
              <w:pPr>
                <w:pStyle w:val="Default"/>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Con el fin de dar inicio al ciclo de video conferencias, se remitió invitación y cronograma de temas a desarrollar con memorando No. S-2017-500123-0101 de fecha 15 de septiembre de 2017.</w:t>
              </w:r>
            </w:p>
            <w:p w:rsidR="004E37DF" w:rsidRPr="00E2319F" w:rsidRDefault="004E37DF" w:rsidP="004E37DF">
              <w:pPr>
                <w:pStyle w:val="Default"/>
                <w:spacing w:before="100" w:beforeAutospacing="1" w:after="100" w:afterAutospacing="1"/>
                <w:jc w:val="both"/>
                <w:rPr>
                  <w:rFonts w:ascii="Arial" w:hAnsi="Arial" w:cs="Arial"/>
                  <w:b/>
                  <w:color w:val="auto"/>
                  <w:sz w:val="22"/>
                  <w:szCs w:val="22"/>
                </w:rPr>
              </w:pPr>
              <w:r w:rsidRPr="00E2319F">
                <w:rPr>
                  <w:rFonts w:ascii="Arial" w:hAnsi="Arial" w:cs="Arial"/>
                  <w:b/>
                  <w:color w:val="auto"/>
                  <w:sz w:val="22"/>
                  <w:szCs w:val="22"/>
                </w:rPr>
                <w:t>Liquidación de contratos GGD</w:t>
              </w:r>
            </w:p>
            <w:p w:rsidR="004E37DF" w:rsidRPr="00E2319F" w:rsidRDefault="004E37DF" w:rsidP="004E37DF">
              <w:pPr>
                <w:spacing w:before="100" w:beforeAutospacing="1" w:after="100" w:afterAutospacing="1" w:line="240" w:lineRule="auto"/>
                <w:jc w:val="both"/>
                <w:rPr>
                  <w:rFonts w:cs="Arial"/>
                </w:rPr>
              </w:pPr>
              <w:r w:rsidRPr="00E2319F">
                <w:rPr>
                  <w:rFonts w:cs="Arial"/>
                </w:rPr>
                <w:t>En el Grupo Gestión Documental se identificaron al inicio de la vigencia 2017 los siguientes contratos por liquidar:</w:t>
              </w:r>
            </w:p>
            <w:p w:rsidR="004E37DF" w:rsidRDefault="004E37DF" w:rsidP="00A44A2B">
              <w:pPr>
                <w:pStyle w:val="Prrafodelista"/>
                <w:numPr>
                  <w:ilvl w:val="0"/>
                  <w:numId w:val="157"/>
                </w:numPr>
                <w:spacing w:before="100" w:beforeAutospacing="1" w:after="100" w:afterAutospacing="1" w:line="240" w:lineRule="auto"/>
                <w:contextualSpacing/>
                <w:jc w:val="both"/>
                <w:rPr>
                  <w:rFonts w:cs="Arial"/>
                </w:rPr>
              </w:pPr>
              <w:r w:rsidRPr="00E2319F">
                <w:rPr>
                  <w:rFonts w:cs="Arial"/>
                </w:rPr>
                <w:t>5 contratos de servicios Nos. 197063 de 2007, 130 de 2010, 1611 de 2013, 1255 de 2014, 1317 de 2014, a la fecha se encuentran liquidados, a excepción del No. 197063 de 2007 que se</w:t>
              </w:r>
              <w:r w:rsidR="005900DC">
                <w:rPr>
                  <w:rFonts w:cs="Arial"/>
                </w:rPr>
                <w:t xml:space="preserve"> encuentra en proceso Jurídico.</w:t>
              </w:r>
            </w:p>
            <w:p w:rsidR="005900DC" w:rsidRPr="00E2319F" w:rsidRDefault="005900DC" w:rsidP="005900DC">
              <w:pPr>
                <w:pStyle w:val="Prrafodelista"/>
                <w:spacing w:before="100" w:beforeAutospacing="1" w:after="100" w:afterAutospacing="1" w:line="240" w:lineRule="auto"/>
                <w:ind w:left="426"/>
                <w:contextualSpacing/>
                <w:jc w:val="both"/>
                <w:rPr>
                  <w:rFonts w:cs="Arial"/>
                </w:rPr>
              </w:pPr>
            </w:p>
            <w:p w:rsidR="00F21209" w:rsidRPr="00E2319F" w:rsidRDefault="004E37DF" w:rsidP="00A44A2B">
              <w:pPr>
                <w:pStyle w:val="Prrafodelista"/>
                <w:numPr>
                  <w:ilvl w:val="0"/>
                  <w:numId w:val="157"/>
                </w:numPr>
                <w:spacing w:before="100" w:beforeAutospacing="1" w:after="100" w:afterAutospacing="1" w:line="240" w:lineRule="auto"/>
                <w:contextualSpacing/>
                <w:jc w:val="both"/>
                <w:rPr>
                  <w:rFonts w:cs="Arial"/>
                </w:rPr>
              </w:pPr>
              <w:r w:rsidRPr="00E2319F">
                <w:rPr>
                  <w:rFonts w:cs="Arial"/>
                </w:rPr>
                <w:t>16 contratos de prestación de servicios Nos. 1741, 1744, 1747, 1748, 1754, 1756, 1757, 1758, 1761, 1762, 1766, 1771, 1804, 1394, 1656, 1681 de 2016, a la fecha se encuentran liquidados.</w:t>
              </w:r>
              <w:r w:rsidR="00F21209" w:rsidRPr="00E2319F">
                <w:rPr>
                  <w:rFonts w:cs="Arial"/>
                  <w:noProof/>
                  <w:lang w:val="es-CO" w:eastAsia="es-CO"/>
                </w:rPr>
                <w:drawing>
                  <wp:anchor distT="0" distB="0" distL="114300" distR="114300" simplePos="0" relativeHeight="251825664" behindDoc="0" locked="0" layoutInCell="1" allowOverlap="1" wp14:anchorId="5EC07B2A" wp14:editId="1941EA81">
                    <wp:simplePos x="0" y="0"/>
                    <wp:positionH relativeFrom="margin">
                      <wp:posOffset>0</wp:posOffset>
                    </wp:positionH>
                    <wp:positionV relativeFrom="margin">
                      <wp:posOffset>5919470</wp:posOffset>
                    </wp:positionV>
                    <wp:extent cx="2321560" cy="1104900"/>
                    <wp:effectExtent l="38100" t="38100" r="97790" b="95250"/>
                    <wp:wrapSquare wrapText="bothSides"/>
                    <wp:docPr id="6" name="Imagen 6" descr="cid:image006.png@01D368F9.80C33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 descr="cid:image006.png@01D368F9.80C33AE0"/>
                            <pic:cNvPicPr>
                              <a:picLocks noChangeAspect="1" noChangeArrowheads="1"/>
                            </pic:cNvPicPr>
                          </pic:nvPicPr>
                          <pic:blipFill rotWithShape="1">
                            <a:blip r:embed="rId70" r:link="rId71">
                              <a:extLst>
                                <a:ext uri="{28A0092B-C50C-407E-A947-70E740481C1C}">
                                  <a14:useLocalDpi xmlns:a14="http://schemas.microsoft.com/office/drawing/2010/main" val="0"/>
                                </a:ext>
                              </a:extLst>
                            </a:blip>
                            <a:srcRect b="19372"/>
                            <a:stretch/>
                          </pic:blipFill>
                          <pic:spPr bwMode="auto">
                            <a:xfrm>
                              <a:off x="0" y="0"/>
                              <a:ext cx="2321560" cy="1104900"/>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37DF" w:rsidRPr="00E2319F" w:rsidRDefault="004E37DF" w:rsidP="004E37DF">
              <w:pPr>
                <w:pStyle w:val="Default"/>
                <w:spacing w:before="100" w:beforeAutospacing="1" w:after="100" w:afterAutospacing="1"/>
                <w:jc w:val="both"/>
                <w:rPr>
                  <w:rFonts w:ascii="Arial" w:hAnsi="Arial" w:cs="Arial"/>
                  <w:b/>
                  <w:color w:val="auto"/>
                  <w:sz w:val="22"/>
                  <w:szCs w:val="22"/>
                </w:rPr>
              </w:pPr>
              <w:r w:rsidRPr="00E2319F">
                <w:rPr>
                  <w:rFonts w:ascii="Arial" w:hAnsi="Arial" w:cs="Arial"/>
                  <w:b/>
                  <w:color w:val="auto"/>
                  <w:sz w:val="22"/>
                  <w:szCs w:val="22"/>
                </w:rPr>
                <w:t>Actualización Tablas de Retención Documental</w:t>
              </w:r>
            </w:p>
            <w:p w:rsidR="004E37DF" w:rsidRPr="00E2319F" w:rsidRDefault="004E37DF" w:rsidP="004E37DF">
              <w:pPr>
                <w:pStyle w:val="Default"/>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Como parte de las actividades programadas por el Grupo de Gestión Documental, se realizó el proceso de actualización de las TRD versión 2017, para lo cual se contrató un equipo interdisciplinario conformado por profesionales de las áreas archivística, administración pública, derecho, historiador e ingeniería industrial, obedeciendo a lo impartido por el Archivo General de la Nación en el Acuerdo 04 de 2013.</w:t>
              </w:r>
            </w:p>
            <w:p w:rsidR="004E37DF" w:rsidRPr="00E2319F" w:rsidRDefault="004E37DF" w:rsidP="004E37DF">
              <w:pPr>
                <w:pStyle w:val="Default"/>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Dentro de los resultados obtenidos en desarrollo de este proceso, se identificó:</w:t>
              </w:r>
            </w:p>
            <w:p w:rsidR="004E37DF" w:rsidRPr="00E2319F" w:rsidRDefault="004E37DF" w:rsidP="00A44A2B">
              <w:pPr>
                <w:pStyle w:val="Default"/>
                <w:numPr>
                  <w:ilvl w:val="0"/>
                  <w:numId w:val="55"/>
                </w:numPr>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110 Series nuevas</w:t>
              </w:r>
            </w:p>
            <w:p w:rsidR="004E37DF" w:rsidRPr="00E2319F" w:rsidRDefault="004E37DF" w:rsidP="00A44A2B">
              <w:pPr>
                <w:pStyle w:val="Default"/>
                <w:numPr>
                  <w:ilvl w:val="0"/>
                  <w:numId w:val="55"/>
                </w:numPr>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 xml:space="preserve">46 </w:t>
              </w:r>
              <w:r w:rsidRPr="00E2319F">
                <w:rPr>
                  <w:rFonts w:ascii="Arial" w:hAnsi="Arial" w:cs="Arial"/>
                  <w:color w:val="auto"/>
                  <w:sz w:val="22"/>
                  <w:szCs w:val="22"/>
                </w:rPr>
                <w:tab/>
                <w:t>series modificadas</w:t>
              </w:r>
            </w:p>
            <w:p w:rsidR="004E37DF" w:rsidRPr="00E2319F" w:rsidRDefault="004E37DF" w:rsidP="00A44A2B">
              <w:pPr>
                <w:pStyle w:val="Default"/>
                <w:numPr>
                  <w:ilvl w:val="0"/>
                  <w:numId w:val="55"/>
                </w:numPr>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 xml:space="preserve">81 </w:t>
              </w:r>
              <w:r w:rsidRPr="00E2319F">
                <w:rPr>
                  <w:rFonts w:ascii="Arial" w:hAnsi="Arial" w:cs="Arial"/>
                  <w:color w:val="auto"/>
                  <w:sz w:val="22"/>
                  <w:szCs w:val="22"/>
                </w:rPr>
                <w:tab/>
                <w:t>series que no fueron modificadas</w:t>
              </w:r>
            </w:p>
            <w:p w:rsidR="004E37DF" w:rsidRPr="00E2319F" w:rsidRDefault="004E37DF" w:rsidP="004E37DF">
              <w:pPr>
                <w:pStyle w:val="Default"/>
                <w:spacing w:before="100" w:beforeAutospacing="1" w:after="100" w:afterAutospacing="1"/>
                <w:jc w:val="both"/>
                <w:rPr>
                  <w:rFonts w:ascii="Arial" w:hAnsi="Arial" w:cs="Arial"/>
                  <w:i/>
                  <w:color w:val="auto"/>
                  <w:sz w:val="22"/>
                  <w:szCs w:val="22"/>
                </w:rPr>
              </w:pPr>
              <w:r w:rsidRPr="00E2319F">
                <w:rPr>
                  <w:rFonts w:ascii="Arial" w:hAnsi="Arial" w:cs="Arial"/>
                  <w:i/>
                  <w:color w:val="auto"/>
                  <w:sz w:val="22"/>
                  <w:szCs w:val="22"/>
                </w:rPr>
                <w:lastRenderedPageBreak/>
                <w:t xml:space="preserve">Disposición final de los documentos de acuerdo con el análisis realizado por el equipo y que se evidencia en la actualización de la TRD: </w:t>
              </w:r>
            </w:p>
            <w:p w:rsidR="007B6477" w:rsidRDefault="007B6477" w:rsidP="004E37DF">
              <w:pPr>
                <w:pStyle w:val="Default"/>
                <w:spacing w:before="100" w:beforeAutospacing="1" w:after="100" w:afterAutospacing="1"/>
                <w:jc w:val="both"/>
                <w:rPr>
                  <w:rFonts w:ascii="Arial" w:hAnsi="Arial" w:cs="Arial"/>
                  <w:i/>
                  <w:color w:val="auto"/>
                  <w:sz w:val="22"/>
                  <w:szCs w:val="22"/>
                </w:rPr>
              </w:pPr>
            </w:p>
            <w:p w:rsidR="004E37DF" w:rsidRPr="00E2319F" w:rsidRDefault="004E37DF" w:rsidP="00A44A2B">
              <w:pPr>
                <w:pStyle w:val="Default"/>
                <w:numPr>
                  <w:ilvl w:val="0"/>
                  <w:numId w:val="33"/>
                </w:numPr>
                <w:spacing w:before="100" w:beforeAutospacing="1" w:after="100" w:afterAutospacing="1"/>
                <w:ind w:left="426" w:hanging="426"/>
                <w:jc w:val="both"/>
                <w:rPr>
                  <w:rFonts w:ascii="Arial" w:hAnsi="Arial" w:cs="Arial"/>
                  <w:color w:val="auto"/>
                  <w:sz w:val="22"/>
                  <w:szCs w:val="22"/>
                </w:rPr>
              </w:pPr>
              <w:r w:rsidRPr="00E2319F">
                <w:rPr>
                  <w:rFonts w:ascii="Arial" w:hAnsi="Arial" w:cs="Arial"/>
                  <w:color w:val="auto"/>
                  <w:sz w:val="22"/>
                  <w:szCs w:val="22"/>
                </w:rPr>
                <w:t>237 Series y subseries únicas</w:t>
              </w:r>
            </w:p>
            <w:p w:rsidR="004E37DF" w:rsidRPr="00E2319F" w:rsidRDefault="004E37DF" w:rsidP="00A44A2B">
              <w:pPr>
                <w:pStyle w:val="Default"/>
                <w:numPr>
                  <w:ilvl w:val="0"/>
                  <w:numId w:val="33"/>
                </w:numPr>
                <w:spacing w:before="100" w:beforeAutospacing="1" w:after="100" w:afterAutospacing="1"/>
                <w:ind w:left="426" w:hanging="426"/>
                <w:jc w:val="both"/>
                <w:rPr>
                  <w:rFonts w:ascii="Arial" w:hAnsi="Arial" w:cs="Arial"/>
                  <w:color w:val="auto"/>
                  <w:sz w:val="22"/>
                  <w:szCs w:val="22"/>
                </w:rPr>
              </w:pPr>
              <w:r w:rsidRPr="00E2319F">
                <w:rPr>
                  <w:rFonts w:ascii="Arial" w:hAnsi="Arial" w:cs="Arial"/>
                  <w:color w:val="auto"/>
                  <w:sz w:val="22"/>
                  <w:szCs w:val="22"/>
                </w:rPr>
                <w:t xml:space="preserve">46 </w:t>
              </w:r>
              <w:r w:rsidRPr="00E2319F">
                <w:rPr>
                  <w:rFonts w:ascii="Arial" w:hAnsi="Arial" w:cs="Arial"/>
                  <w:color w:val="auto"/>
                  <w:sz w:val="22"/>
                  <w:szCs w:val="22"/>
                </w:rPr>
                <w:tab/>
                <w:t xml:space="preserve">Series de conservación  </w:t>
              </w:r>
            </w:p>
            <w:p w:rsidR="004E37DF" w:rsidRPr="00E2319F" w:rsidRDefault="004E37DF" w:rsidP="00A44A2B">
              <w:pPr>
                <w:pStyle w:val="Default"/>
                <w:numPr>
                  <w:ilvl w:val="0"/>
                  <w:numId w:val="33"/>
                </w:numPr>
                <w:spacing w:before="100" w:beforeAutospacing="1" w:after="100" w:afterAutospacing="1"/>
                <w:ind w:left="426" w:hanging="426"/>
                <w:jc w:val="both"/>
                <w:rPr>
                  <w:rFonts w:ascii="Arial" w:hAnsi="Arial" w:cs="Arial"/>
                  <w:color w:val="auto"/>
                  <w:sz w:val="22"/>
                  <w:szCs w:val="22"/>
                </w:rPr>
              </w:pPr>
              <w:r w:rsidRPr="00E2319F">
                <w:rPr>
                  <w:rFonts w:ascii="Arial" w:hAnsi="Arial" w:cs="Arial"/>
                  <w:color w:val="auto"/>
                  <w:sz w:val="22"/>
                  <w:szCs w:val="22"/>
                </w:rPr>
                <w:t xml:space="preserve">84 </w:t>
              </w:r>
              <w:r w:rsidRPr="00E2319F">
                <w:rPr>
                  <w:rFonts w:ascii="Arial" w:hAnsi="Arial" w:cs="Arial"/>
                  <w:color w:val="auto"/>
                  <w:sz w:val="22"/>
                  <w:szCs w:val="22"/>
                </w:rPr>
                <w:tab/>
                <w:t>Series de selección</w:t>
              </w:r>
            </w:p>
            <w:p w:rsidR="004E37DF" w:rsidRPr="00E2319F" w:rsidRDefault="004E37DF" w:rsidP="00A44A2B">
              <w:pPr>
                <w:pStyle w:val="Default"/>
                <w:numPr>
                  <w:ilvl w:val="0"/>
                  <w:numId w:val="33"/>
                </w:numPr>
                <w:spacing w:before="100" w:beforeAutospacing="1" w:after="100" w:afterAutospacing="1"/>
                <w:ind w:left="426" w:hanging="426"/>
                <w:jc w:val="both"/>
                <w:rPr>
                  <w:rFonts w:ascii="Arial" w:hAnsi="Arial" w:cs="Arial"/>
                  <w:color w:val="auto"/>
                  <w:sz w:val="22"/>
                  <w:szCs w:val="22"/>
                </w:rPr>
              </w:pPr>
              <w:r w:rsidRPr="00E2319F">
                <w:rPr>
                  <w:rFonts w:ascii="Arial" w:hAnsi="Arial" w:cs="Arial"/>
                  <w:color w:val="auto"/>
                  <w:sz w:val="22"/>
                  <w:szCs w:val="22"/>
                </w:rPr>
                <w:t>107 Series de eliminación</w:t>
              </w:r>
            </w:p>
            <w:p w:rsidR="004E37DF" w:rsidRPr="00E2319F" w:rsidRDefault="004E37DF" w:rsidP="004E37DF">
              <w:pPr>
                <w:pStyle w:val="Default"/>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Es importante mencionar que se actualizó y oficializó el formato de Tabla de Retención Documental existente en el Instituto, en igual forma se elaboraron anexos como: Cuadro de Clasificación Documental, Normograma, introducción y metodología, los cuales, junto con la actualización de las TRD, fueron remitidos al Archivo General de la Nación para su convalidación y aprobación.</w:t>
              </w:r>
            </w:p>
            <w:p w:rsidR="004E37DF" w:rsidRPr="00E2319F" w:rsidRDefault="004E37DF" w:rsidP="004E37DF">
              <w:pPr>
                <w:pStyle w:val="Default"/>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Finalmente, es importante resaltar que las actividades antes descritas estaban previstas para concluir en diciembre 31 de 2017, pero con la participación activa del equipo de trabajo del Grupo Gestión Documental, fue posible culminar el proceso de actualización de Tablas de Retención Documental, antes de la fecha prevista, aspecto que facilitó la presentación de las mismas ante el Comité de Desarrollo Administrativo del ICBF el pasado 5 de octubre de 2017, con el propósito de obtener de ellos la validación. Considerando que en la citada sesión se obtuvo la validación y aprobación, junto con los cuadros de clasificación documental, permitió a la entidad preparar y presentar mediante oficio No. S-2017-593724-0101 del 30 de octubre de 2017, al Archivo General de la Nación la Versión de TRD elaborada por el ICBF, para obtener de ellos la convalidación y aprobación, según lo indica la norma.</w:t>
              </w:r>
            </w:p>
            <w:p w:rsidR="004E37DF" w:rsidRPr="00E2319F" w:rsidRDefault="004E37DF" w:rsidP="004E37DF">
              <w:pPr>
                <w:pStyle w:val="Default"/>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 xml:space="preserve">Una vez las Tablas de Retención Documental, sean aprobadas por parte del Archivo General de la Nación, estas podrán ser socializadas y aplicadas por el ICBF, mediante acto administrativo. </w:t>
              </w:r>
            </w:p>
            <w:p w:rsidR="004E37DF" w:rsidRPr="00E2319F" w:rsidRDefault="004E37DF" w:rsidP="004E37DF">
              <w:pPr>
                <w:pStyle w:val="Default"/>
                <w:spacing w:before="100" w:beforeAutospacing="1" w:after="100" w:afterAutospacing="1"/>
                <w:jc w:val="both"/>
                <w:rPr>
                  <w:rFonts w:ascii="Arial" w:hAnsi="Arial" w:cs="Arial"/>
                  <w:b/>
                  <w:color w:val="auto"/>
                  <w:sz w:val="22"/>
                  <w:szCs w:val="22"/>
                </w:rPr>
              </w:pPr>
              <w:r w:rsidRPr="00E2319F">
                <w:rPr>
                  <w:rFonts w:ascii="Arial" w:hAnsi="Arial" w:cs="Arial"/>
                  <w:b/>
                  <w:color w:val="auto"/>
                  <w:sz w:val="22"/>
                  <w:szCs w:val="22"/>
                </w:rPr>
                <w:t>Transferencias documentales</w:t>
              </w:r>
            </w:p>
            <w:p w:rsidR="004E37DF" w:rsidRPr="00E2319F" w:rsidRDefault="004E37DF" w:rsidP="004E37DF">
              <w:pPr>
                <w:pStyle w:val="Default"/>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Es importante mencionar, que producto de los procesos de organización de los archivos durante la vigencia 2017 y en especial durante el segundo semestre, fue posible</w:t>
              </w:r>
              <w:r w:rsidRPr="00E2319F">
                <w:rPr>
                  <w:rFonts w:ascii="Arial" w:hAnsi="Arial" w:cs="Arial"/>
                  <w:strike/>
                  <w:color w:val="auto"/>
                  <w:sz w:val="22"/>
                  <w:szCs w:val="22"/>
                </w:rPr>
                <w:t>,</w:t>
              </w:r>
              <w:r w:rsidRPr="00E2319F">
                <w:rPr>
                  <w:rFonts w:ascii="Arial" w:hAnsi="Arial" w:cs="Arial"/>
                  <w:color w:val="auto"/>
                  <w:sz w:val="22"/>
                  <w:szCs w:val="22"/>
                </w:rPr>
                <w:t xml:space="preserve"> apoyar técnicamente a las Regionales del ICBF en el sentido de depurar, seleccionar documentos sujetos de ser eliminados y transferir al Archivo Central Unificado (Funza) los archivos que por su disposición final indica son de conservación total, por su carácter misional, contribuyendo así a la optimización de los espacios y recursos. </w:t>
              </w:r>
            </w:p>
            <w:p w:rsidR="004E37DF" w:rsidRPr="00E2319F" w:rsidRDefault="004E37DF" w:rsidP="004E37DF">
              <w:pPr>
                <w:pStyle w:val="Default"/>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 xml:space="preserve">En la siguiente gráfica se refleja la proyección de metros lineales a transferir versus lo ejecutado durante la vigencia 2017, en relación con las transferencias secundarias (Traslado de archivos de las Sedes Regionales al Archivo Central Unificado del ICBF (Bodega Funza), lo que representa un cumplimiento del 101.3%; proceso en el cual participaron 24 Regionales del ICBF, considerando que seis (6) de ellas quedaron en crítico y tres (3) con resultado no aplica, por temas de insumos y dificultades en el traslado de los archivos. No obstante, es de resaltar que a nivel global el indicador superó la meta proyectada. </w:t>
              </w:r>
            </w:p>
            <w:p w:rsidR="004E37DF" w:rsidRPr="00E2319F" w:rsidRDefault="004E37DF" w:rsidP="004E37DF">
              <w:pPr>
                <w:pStyle w:val="Default"/>
                <w:spacing w:before="100" w:beforeAutospacing="1" w:after="100" w:afterAutospacing="1"/>
                <w:jc w:val="center"/>
                <w:rPr>
                  <w:rFonts w:ascii="Arial" w:hAnsi="Arial" w:cs="Arial"/>
                  <w:color w:val="auto"/>
                  <w:sz w:val="22"/>
                  <w:szCs w:val="22"/>
                </w:rPr>
              </w:pPr>
              <w:r w:rsidRPr="00E2319F">
                <w:rPr>
                  <w:rFonts w:ascii="Arial" w:hAnsi="Arial" w:cs="Arial"/>
                  <w:noProof/>
                  <w:color w:val="auto"/>
                </w:rPr>
                <w:lastRenderedPageBreak/>
                <w:t xml:space="preserve"> </w:t>
              </w:r>
              <w:r w:rsidRPr="00E2319F">
                <w:rPr>
                  <w:rFonts w:ascii="Arial" w:hAnsi="Arial" w:cs="Arial"/>
                  <w:noProof/>
                  <w:color w:val="auto"/>
                </w:rPr>
                <w:drawing>
                  <wp:inline distT="0" distB="0" distL="0" distR="0" wp14:anchorId="10CE0E17" wp14:editId="4BFF36D0">
                    <wp:extent cx="3212276" cy="2297430"/>
                    <wp:effectExtent l="0" t="0" r="7620" b="762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4E37DF" w:rsidRPr="005900DC" w:rsidRDefault="004E37DF" w:rsidP="005900DC">
              <w:pPr>
                <w:pStyle w:val="Default"/>
                <w:spacing w:after="100" w:afterAutospacing="1"/>
                <w:ind w:left="426"/>
                <w:jc w:val="center"/>
                <w:rPr>
                  <w:rFonts w:ascii="Arial" w:hAnsi="Arial" w:cs="Arial"/>
                  <w:color w:val="auto"/>
                  <w:sz w:val="16"/>
                  <w:szCs w:val="16"/>
                </w:rPr>
              </w:pPr>
              <w:r w:rsidRPr="005900DC">
                <w:rPr>
                  <w:rFonts w:ascii="Arial" w:hAnsi="Arial" w:cs="Arial"/>
                  <w:b/>
                  <w:color w:val="auto"/>
                  <w:sz w:val="16"/>
                  <w:szCs w:val="16"/>
                </w:rPr>
                <w:t>Fuente:</w:t>
              </w:r>
              <w:r w:rsidRPr="005900DC">
                <w:rPr>
                  <w:rFonts w:ascii="Arial" w:hAnsi="Arial" w:cs="Arial"/>
                  <w:color w:val="auto"/>
                  <w:sz w:val="16"/>
                  <w:szCs w:val="16"/>
                </w:rPr>
                <w:t xml:space="preserve"> Grupo Gestión Documental </w:t>
              </w:r>
              <w:r w:rsidR="005900DC" w:rsidRPr="005900DC">
                <w:rPr>
                  <w:rFonts w:ascii="Arial" w:hAnsi="Arial" w:cs="Arial"/>
                  <w:color w:val="auto"/>
                  <w:sz w:val="16"/>
                  <w:szCs w:val="16"/>
                </w:rPr>
                <w:t>diciembre</w:t>
              </w:r>
              <w:r w:rsidRPr="005900DC">
                <w:rPr>
                  <w:rFonts w:ascii="Arial" w:hAnsi="Arial" w:cs="Arial"/>
                  <w:color w:val="auto"/>
                  <w:sz w:val="16"/>
                  <w:szCs w:val="16"/>
                </w:rPr>
                <w:t xml:space="preserve"> 29 de 2017.</w:t>
              </w:r>
            </w:p>
            <w:p w:rsidR="004E37DF" w:rsidRPr="00E2319F" w:rsidRDefault="004E37DF" w:rsidP="004E37DF">
              <w:pPr>
                <w:spacing w:before="100" w:beforeAutospacing="1" w:after="100" w:afterAutospacing="1" w:line="240" w:lineRule="auto"/>
                <w:jc w:val="both"/>
                <w:rPr>
                  <w:rFonts w:cs="Arial"/>
                  <w:noProof/>
                  <w:lang w:val="es-CO" w:eastAsia="es-CO"/>
                </w:rPr>
              </w:pPr>
              <w:r w:rsidRPr="00E2319F">
                <w:rPr>
                  <w:rFonts w:cs="Arial"/>
                </w:rPr>
                <w:t>En igual forma, se logró intensificar durante el último cuatrimestre a través de estrategias y seguimientos tendientes a involucrar en estos procesos a todos los colaboradores de la Entidad, donde se evidencia que han participado activamente en la organización de los archivos de gestión en los Centros Zonales y dependencias del ICBF, los resultados obtenidos se muestran reflejados en la siguiente gráfica:</w:t>
              </w:r>
            </w:p>
            <w:p w:rsidR="004E37DF" w:rsidRPr="00E2319F" w:rsidRDefault="004E37DF" w:rsidP="004E37DF">
              <w:pPr>
                <w:spacing w:before="100" w:beforeAutospacing="1" w:after="100" w:afterAutospacing="1" w:line="240" w:lineRule="auto"/>
                <w:jc w:val="both"/>
                <w:rPr>
                  <w:rFonts w:cs="Arial"/>
                  <w:noProof/>
                  <w:lang w:val="es-CO" w:eastAsia="es-CO"/>
                </w:rPr>
              </w:pPr>
              <w:r w:rsidRPr="00E2319F">
                <w:rPr>
                  <w:rFonts w:cs="Arial"/>
                  <w:noProof/>
                  <w:lang w:val="es-CO" w:eastAsia="es-CO"/>
                </w:rPr>
                <w:drawing>
                  <wp:anchor distT="0" distB="0" distL="114300" distR="114300" simplePos="0" relativeHeight="251819520" behindDoc="0" locked="0" layoutInCell="1" allowOverlap="1" wp14:anchorId="18E694B8" wp14:editId="60E41170">
                    <wp:simplePos x="0" y="0"/>
                    <wp:positionH relativeFrom="page">
                      <wp:posOffset>2152650</wp:posOffset>
                    </wp:positionH>
                    <wp:positionV relativeFrom="paragraph">
                      <wp:posOffset>14605</wp:posOffset>
                    </wp:positionV>
                    <wp:extent cx="3561996" cy="2125345"/>
                    <wp:effectExtent l="0" t="0" r="635" b="8255"/>
                    <wp:wrapSquare wrapText="bothSides"/>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rsidR="004E37DF" w:rsidRPr="005900DC" w:rsidRDefault="004E37DF" w:rsidP="004E37DF">
              <w:pPr>
                <w:spacing w:before="100" w:beforeAutospacing="1" w:after="100" w:afterAutospacing="1" w:line="240" w:lineRule="auto"/>
                <w:jc w:val="center"/>
                <w:rPr>
                  <w:rFonts w:cs="Arial"/>
                  <w:b/>
                  <w:sz w:val="16"/>
                  <w:szCs w:val="16"/>
                </w:rPr>
              </w:pPr>
              <w:r w:rsidRPr="00E2319F">
                <w:rPr>
                  <w:rFonts w:cs="Arial"/>
                </w:rPr>
                <w:br w:type="textWrapping" w:clear="all"/>
              </w:r>
              <w:r w:rsidRPr="005900DC">
                <w:rPr>
                  <w:rFonts w:cs="Arial"/>
                  <w:b/>
                  <w:sz w:val="16"/>
                  <w:szCs w:val="16"/>
                </w:rPr>
                <w:t>Fuente:</w:t>
              </w:r>
              <w:r w:rsidRPr="005900DC">
                <w:rPr>
                  <w:rFonts w:cs="Arial"/>
                  <w:sz w:val="16"/>
                  <w:szCs w:val="16"/>
                </w:rPr>
                <w:t xml:space="preserve"> Grupo Gestión </w:t>
              </w:r>
              <w:r w:rsidR="005900DC">
                <w:rPr>
                  <w:rFonts w:cs="Arial"/>
                  <w:sz w:val="16"/>
                  <w:szCs w:val="16"/>
                </w:rPr>
                <w:t>Documental a d</w:t>
              </w:r>
              <w:r w:rsidRPr="005900DC">
                <w:rPr>
                  <w:rFonts w:cs="Arial"/>
                  <w:sz w:val="16"/>
                  <w:szCs w:val="16"/>
                </w:rPr>
                <w:t>iciembre 29 de 2017.</w:t>
              </w:r>
            </w:p>
            <w:p w:rsidR="004E37DF" w:rsidRPr="00E2319F" w:rsidRDefault="004E37DF" w:rsidP="004E37DF">
              <w:pPr>
                <w:spacing w:before="100" w:beforeAutospacing="1" w:after="100" w:afterAutospacing="1" w:line="240" w:lineRule="auto"/>
                <w:jc w:val="both"/>
                <w:rPr>
                  <w:rFonts w:cs="Arial"/>
                  <w:b/>
                </w:rPr>
              </w:pPr>
              <w:r w:rsidRPr="00E2319F">
                <w:rPr>
                  <w:rFonts w:cs="Arial"/>
                </w:rPr>
                <w:t xml:space="preserve">El Grupo de Gestión Documental ha realizado la medición y seguimiento al reporte del indicador de transferencias primarias (traslado de archivo de las dependencias al archivo central de la regional), obteniendo un resultado global de cumplimiento del 102,4 %, contribuyendo en igual forma a la optimización de los espacios. </w:t>
              </w:r>
            </w:p>
          </w:sdtContent>
        </w:sdt>
        <w:p w:rsidR="004E37DF" w:rsidRPr="00E2319F" w:rsidRDefault="004E37DF" w:rsidP="004E37DF">
          <w:pPr>
            <w:pStyle w:val="Default"/>
            <w:spacing w:before="100" w:beforeAutospacing="1" w:after="100" w:afterAutospacing="1"/>
            <w:jc w:val="both"/>
            <w:rPr>
              <w:rFonts w:ascii="Arial" w:hAnsi="Arial" w:cs="Arial"/>
              <w:color w:val="auto"/>
              <w:sz w:val="22"/>
              <w:szCs w:val="22"/>
            </w:rPr>
          </w:pPr>
          <w:r w:rsidRPr="00E2319F">
            <w:rPr>
              <w:rFonts w:ascii="Arial" w:hAnsi="Arial" w:cs="Arial"/>
              <w:b/>
              <w:color w:val="auto"/>
              <w:sz w:val="22"/>
              <w:szCs w:val="22"/>
            </w:rPr>
            <w:t>Eliminaciones de archivos por aplicación de TRD</w:t>
          </w:r>
        </w:p>
        <w:p w:rsidR="004E37DF" w:rsidRPr="00E2319F" w:rsidRDefault="004E37DF" w:rsidP="004E37DF">
          <w:pPr>
            <w:pStyle w:val="Default"/>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lastRenderedPageBreak/>
            <w:t>Consecuente con las actividades antes realizadas, fue posible realizar la identificación de archivos que han perdido sus valores primarios y secundarios y que por lo mismo, no son de conservación total para la Entidad, de conformidad con las disposiciones finales que se registran en las diferentes versiones de Tablas de Retención Documental.</w:t>
          </w:r>
        </w:p>
        <w:p w:rsidR="004E37DF" w:rsidRPr="00E2319F" w:rsidRDefault="004E37DF" w:rsidP="004E37DF">
          <w:pPr>
            <w:pStyle w:val="Default"/>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 xml:space="preserve">Los archivos anteriormente indicados, fueron puestos a consideración del Comité de Desarrollo Administrativo del pasado 5 de octubre de 2017, previo a la revisión y consideración de los Comités de Archivos Regionales y del Grupo de Gestión Documental, para las siguientes Regionales: </w:t>
          </w:r>
        </w:p>
        <w:p w:rsidR="004E37DF" w:rsidRPr="00E2319F" w:rsidRDefault="004E37DF" w:rsidP="004E37DF">
          <w:pPr>
            <w:pStyle w:val="Default"/>
            <w:spacing w:before="100" w:beforeAutospacing="1" w:after="100" w:afterAutospacing="1"/>
            <w:jc w:val="both"/>
            <w:rPr>
              <w:rFonts w:ascii="Arial" w:hAnsi="Arial" w:cs="Arial"/>
              <w:color w:val="auto"/>
              <w:sz w:val="22"/>
              <w:szCs w:val="22"/>
            </w:rPr>
          </w:pPr>
          <w:r w:rsidRPr="00E2319F">
            <w:rPr>
              <w:rFonts w:ascii="Arial" w:hAnsi="Arial" w:cs="Arial"/>
              <w:noProof/>
              <w:color w:val="auto"/>
              <w:sz w:val="22"/>
              <w:szCs w:val="22"/>
            </w:rPr>
            <w:drawing>
              <wp:inline distT="0" distB="0" distL="0" distR="0" wp14:anchorId="287DD12D" wp14:editId="7DCE7CDE">
                <wp:extent cx="6010275" cy="50863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10772" cy="5086771"/>
                        </a:xfrm>
                        <a:prstGeom prst="rect">
                          <a:avLst/>
                        </a:prstGeom>
                        <a:noFill/>
                        <a:ln>
                          <a:noFill/>
                        </a:ln>
                      </pic:spPr>
                    </pic:pic>
                  </a:graphicData>
                </a:graphic>
              </wp:inline>
            </w:drawing>
          </w:r>
        </w:p>
        <w:p w:rsidR="004E37DF" w:rsidRPr="00E2319F" w:rsidRDefault="004E37DF" w:rsidP="004E37DF">
          <w:pPr>
            <w:pStyle w:val="Default"/>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 xml:space="preserve">En igual forma es pertinente resaltar que la norma exige que una vez aprobados los procesos de eliminación de los archivos por parte del Comité de Desarrollo Administrativo, la entidad debe fijar </w:t>
          </w:r>
          <w:r w:rsidRPr="00E2319F">
            <w:rPr>
              <w:rFonts w:ascii="Arial" w:hAnsi="Arial" w:cs="Arial"/>
              <w:color w:val="auto"/>
              <w:sz w:val="22"/>
              <w:szCs w:val="22"/>
            </w:rPr>
            <w:lastRenderedPageBreak/>
            <w:t xml:space="preserve">en la página WEB los citados inventarios documentales, antes de hacer efectiva la eliminación de los </w:t>
          </w:r>
          <w:r w:rsidR="005900DC" w:rsidRPr="00E2319F">
            <w:rPr>
              <w:rFonts w:ascii="Arial" w:hAnsi="Arial" w:cs="Arial"/>
              <w:color w:val="auto"/>
              <w:sz w:val="22"/>
              <w:szCs w:val="22"/>
            </w:rPr>
            <w:t>archivos, actividad</w:t>
          </w:r>
          <w:r w:rsidRPr="00E2319F">
            <w:rPr>
              <w:rFonts w:ascii="Arial" w:hAnsi="Arial" w:cs="Arial"/>
              <w:color w:val="auto"/>
              <w:sz w:val="22"/>
              <w:szCs w:val="22"/>
            </w:rPr>
            <w:t xml:space="preserve"> que se venció el pasado 24 de diciembre de 2017.  </w:t>
          </w:r>
        </w:p>
      </w:sdtContent>
    </w:sdt>
    <w:p w:rsidR="00995CA7" w:rsidRPr="00E2319F" w:rsidRDefault="00F90C0C" w:rsidP="00A44A2B">
      <w:pPr>
        <w:pStyle w:val="Ttulo2"/>
        <w:numPr>
          <w:ilvl w:val="1"/>
          <w:numId w:val="139"/>
        </w:numPr>
        <w:rPr>
          <w:rFonts w:cs="Arial"/>
          <w:b/>
        </w:rPr>
      </w:pPr>
      <w:bookmarkStart w:id="172" w:name="_Toc505183103"/>
      <w:r w:rsidRPr="00E2319F">
        <w:rPr>
          <w:rFonts w:cs="Arial"/>
          <w:b/>
        </w:rPr>
        <w:t>Gestión de la Calidad</w:t>
      </w:r>
      <w:bookmarkEnd w:id="172"/>
      <w:r w:rsidRPr="00E2319F">
        <w:rPr>
          <w:rFonts w:cs="Arial"/>
          <w:b/>
        </w:rPr>
        <w:t xml:space="preserve"> </w:t>
      </w:r>
    </w:p>
    <w:p w:rsidR="00E05204" w:rsidRPr="00E2319F" w:rsidRDefault="00E05204" w:rsidP="004E37DF">
      <w:pPr>
        <w:spacing w:after="160" w:line="259" w:lineRule="auto"/>
        <w:contextualSpacing/>
        <w:jc w:val="both"/>
        <w:rPr>
          <w:rFonts w:cs="Arial"/>
        </w:rPr>
      </w:pPr>
    </w:p>
    <w:p w:rsidR="004E37DF" w:rsidRPr="00E2319F" w:rsidRDefault="004E37DF" w:rsidP="004E37DF">
      <w:pPr>
        <w:spacing w:before="100" w:beforeAutospacing="1" w:after="100" w:afterAutospacing="1" w:line="240" w:lineRule="auto"/>
        <w:jc w:val="both"/>
        <w:rPr>
          <w:rFonts w:cs="Arial"/>
        </w:rPr>
      </w:pPr>
      <w:r w:rsidRPr="00E2319F">
        <w:rPr>
          <w:rFonts w:cs="Arial"/>
        </w:rPr>
        <w:t xml:space="preserve">Dentro de los resultados alcanzados en esta vigencia desde el Sistema de Gestión de Calidad, se encuentran los siguientes: </w:t>
      </w:r>
    </w:p>
    <w:p w:rsidR="004E37DF" w:rsidRPr="00E2319F" w:rsidRDefault="004E37DF" w:rsidP="00A44A2B">
      <w:pPr>
        <w:numPr>
          <w:ilvl w:val="0"/>
          <w:numId w:val="79"/>
        </w:numPr>
        <w:spacing w:before="100" w:beforeAutospacing="1" w:after="100" w:afterAutospacing="1" w:line="240" w:lineRule="auto"/>
        <w:contextualSpacing/>
        <w:jc w:val="both"/>
        <w:rPr>
          <w:rFonts w:cs="Arial"/>
        </w:rPr>
      </w:pPr>
      <w:r w:rsidRPr="00E2319F">
        <w:rPr>
          <w:rFonts w:cs="Arial"/>
        </w:rPr>
        <w:t>Se realizó auditoria externa de seguimiento por el ente certificador ICONTEC. Ante esto, se incluyó una ampliación para el Sistema de Gestión de Seguridad y Salud Ocupacional para las Regionales Meta, Cauca y Atlántico, procesos de la Sede de la Dirección General y se realizaron visitas a las Regionales San Andrés, Cauca, Atlántico. Al finalizar, ICONTEC recomienda mantener los certificados en las Normas ISO 9001:2008, ISO 14001:2004, ISO 27001: 2013 y OHSAS 18001:2007.</w:t>
      </w:r>
    </w:p>
    <w:p w:rsidR="004E37DF" w:rsidRPr="00E2319F" w:rsidRDefault="004E37DF" w:rsidP="005900DC">
      <w:pPr>
        <w:spacing w:before="100" w:beforeAutospacing="1" w:after="100" w:afterAutospacing="1" w:line="240" w:lineRule="auto"/>
        <w:ind w:left="360"/>
        <w:contextualSpacing/>
        <w:jc w:val="both"/>
        <w:rPr>
          <w:rFonts w:cs="Arial"/>
        </w:rPr>
      </w:pPr>
    </w:p>
    <w:p w:rsidR="005900DC" w:rsidRDefault="004E37DF" w:rsidP="00A44A2B">
      <w:pPr>
        <w:numPr>
          <w:ilvl w:val="0"/>
          <w:numId w:val="79"/>
        </w:numPr>
        <w:spacing w:before="100" w:beforeAutospacing="1" w:after="100" w:afterAutospacing="1" w:line="240" w:lineRule="auto"/>
        <w:contextualSpacing/>
        <w:jc w:val="both"/>
        <w:rPr>
          <w:rFonts w:cs="Arial"/>
        </w:rPr>
      </w:pPr>
      <w:r w:rsidRPr="00E2319F">
        <w:rPr>
          <w:rFonts w:cs="Arial"/>
        </w:rPr>
        <w:t>La Subdirección de Mejoramiento Organizacional remitió a las Direcciones Regionales y Procesos de la Sede de la Dirección General, el instrumento DOFA y partes interesadas para recolección de insumos del contexto interno y externo, los cuales fueron compartidos con los 4 ejes para recibir retroalimentación. Luego de todo este proceso, desde la SMO se realizó la revisión, consolidación y actualización de todos los insumos reportados, definiendo el documento final de Contexto Interno y externo de la Entidad, como requisito de la norma</w:t>
      </w:r>
      <w:r w:rsidR="005900DC">
        <w:rPr>
          <w:rFonts w:cs="Arial"/>
        </w:rPr>
        <w:t>tividad vigente en este asunto.</w:t>
      </w:r>
    </w:p>
    <w:p w:rsidR="004E37DF" w:rsidRPr="005900DC" w:rsidRDefault="004E37DF" w:rsidP="005900DC">
      <w:pPr>
        <w:spacing w:before="100" w:beforeAutospacing="1" w:after="100" w:afterAutospacing="1" w:line="240" w:lineRule="auto"/>
        <w:contextualSpacing/>
        <w:jc w:val="both"/>
        <w:rPr>
          <w:rFonts w:cs="Arial"/>
        </w:rPr>
      </w:pPr>
      <w:r w:rsidRPr="00E2319F">
        <w:rPr>
          <w:rFonts w:cs="Arial"/>
        </w:rPr>
        <w:t xml:space="preserve"> </w:t>
      </w:r>
    </w:p>
    <w:p w:rsidR="004E37DF" w:rsidRDefault="004E37DF" w:rsidP="00A44A2B">
      <w:pPr>
        <w:numPr>
          <w:ilvl w:val="0"/>
          <w:numId w:val="79"/>
        </w:numPr>
        <w:spacing w:before="100" w:beforeAutospacing="1" w:after="100" w:afterAutospacing="1" w:line="240" w:lineRule="auto"/>
        <w:contextualSpacing/>
        <w:jc w:val="both"/>
        <w:rPr>
          <w:rFonts w:cs="Arial"/>
        </w:rPr>
      </w:pPr>
      <w:r w:rsidRPr="00E2319F">
        <w:rPr>
          <w:rFonts w:cs="Arial"/>
        </w:rPr>
        <w:t xml:space="preserve">A partir del Sistema Integrado de Gestión, se realizó el 18 de Septiembre de 2017 la Revisión por la Dirección en el marco del Comité de Coordinación del Sistema Integrado de Gestión y en cumplimento del requisito 5.6 de las Normas NTC ISO 9001:2008, NTGP 1000:2009, ISO 14001:2004, OHSAS 18001:2007, ISO 27001:2013 y de acuerdo al procedimiento establecido por la entidad. Como resultado de este ejercicio y luego del análisis de los datos reportados en cada una de las entradas, la alta dirección tomó decisiones para lograr el fortalecimiento del Sistema las cuales son reflejadas en los compromisos que se definen para cada dependencia. La información relacionada con estos compromisos y con el desarrollo de las diferentes reuniones de Revisión por Dirección, se encuentran en el siguiente enlace: </w:t>
      </w:r>
      <w:hyperlink r:id="rId75" w:history="1">
        <w:r w:rsidRPr="005900DC">
          <w:t>http://www.icbf.gov.co/portal/page/portal/IntranetICBF/epico/sistema_integrado_de_gestion/eje_gestion_calidad</w:t>
        </w:r>
      </w:hyperlink>
      <w:r w:rsidRPr="00E2319F">
        <w:rPr>
          <w:rFonts w:cs="Arial"/>
        </w:rPr>
        <w:t>.</w:t>
      </w:r>
    </w:p>
    <w:p w:rsidR="005900DC" w:rsidRPr="00E2319F" w:rsidRDefault="005900DC" w:rsidP="005900DC">
      <w:pPr>
        <w:spacing w:before="100" w:beforeAutospacing="1" w:after="100" w:afterAutospacing="1" w:line="240" w:lineRule="auto"/>
        <w:contextualSpacing/>
        <w:jc w:val="both"/>
        <w:rPr>
          <w:rFonts w:cs="Arial"/>
        </w:rPr>
      </w:pPr>
    </w:p>
    <w:p w:rsidR="004E37DF" w:rsidRDefault="004E37DF" w:rsidP="00A44A2B">
      <w:pPr>
        <w:numPr>
          <w:ilvl w:val="0"/>
          <w:numId w:val="79"/>
        </w:numPr>
        <w:spacing w:before="100" w:beforeAutospacing="1" w:after="100" w:afterAutospacing="1" w:line="240" w:lineRule="auto"/>
        <w:contextualSpacing/>
        <w:jc w:val="both"/>
        <w:rPr>
          <w:rFonts w:cs="Arial"/>
        </w:rPr>
      </w:pPr>
      <w:r w:rsidRPr="005900DC">
        <w:rPr>
          <w:rFonts w:cs="Arial"/>
        </w:rPr>
        <w:t>Se reporta avance del 75% del plan de transición ISO 9001:2015 2017 – 2018, con corte a 31 de diciembre según actividades ejecu</w:t>
      </w:r>
      <w:r w:rsidR="005900DC">
        <w:rPr>
          <w:rFonts w:cs="Arial"/>
        </w:rPr>
        <w:t>tadas frente a las programadas.</w:t>
      </w:r>
    </w:p>
    <w:p w:rsidR="005900DC" w:rsidRPr="005900DC" w:rsidRDefault="005900DC" w:rsidP="005900DC">
      <w:pPr>
        <w:spacing w:before="100" w:beforeAutospacing="1" w:after="100" w:afterAutospacing="1" w:line="240" w:lineRule="auto"/>
        <w:contextualSpacing/>
        <w:jc w:val="both"/>
        <w:rPr>
          <w:rFonts w:cs="Arial"/>
        </w:rPr>
      </w:pPr>
    </w:p>
    <w:p w:rsidR="005900DC" w:rsidRPr="005900DC" w:rsidRDefault="004E37DF" w:rsidP="00A44A2B">
      <w:pPr>
        <w:numPr>
          <w:ilvl w:val="0"/>
          <w:numId w:val="79"/>
        </w:numPr>
        <w:spacing w:before="100" w:beforeAutospacing="1" w:after="100" w:afterAutospacing="1" w:line="240" w:lineRule="auto"/>
        <w:contextualSpacing/>
        <w:jc w:val="both"/>
        <w:rPr>
          <w:rFonts w:cs="Arial"/>
        </w:rPr>
      </w:pPr>
      <w:r w:rsidRPr="005900DC">
        <w:rPr>
          <w:rFonts w:cs="Arial"/>
        </w:rPr>
        <w:t>Se aprobó la Guía de adquisición de bienes y servicios el 29 de septiembre del 2017, en la cual se establecen las obligaciones del Sistema Integrado de Gestión para fortalecer la implementación de los ejes</w:t>
      </w:r>
      <w:r w:rsidR="005900DC" w:rsidRPr="005900DC">
        <w:rPr>
          <w:rFonts w:cs="Arial"/>
        </w:rPr>
        <w:t xml:space="preserve"> en la prestación del servicio.</w:t>
      </w:r>
    </w:p>
    <w:p w:rsidR="004E37DF" w:rsidRPr="005900DC" w:rsidRDefault="004E37DF" w:rsidP="005900DC">
      <w:pPr>
        <w:spacing w:before="100" w:beforeAutospacing="1" w:after="100" w:afterAutospacing="1" w:line="240" w:lineRule="auto"/>
        <w:contextualSpacing/>
        <w:jc w:val="both"/>
        <w:rPr>
          <w:rFonts w:cs="Arial"/>
        </w:rPr>
      </w:pPr>
      <w:r w:rsidRPr="005900DC">
        <w:rPr>
          <w:rFonts w:cs="Arial"/>
        </w:rPr>
        <w:t xml:space="preserve">  </w:t>
      </w:r>
    </w:p>
    <w:p w:rsidR="005900DC" w:rsidRDefault="004E37DF" w:rsidP="00A44A2B">
      <w:pPr>
        <w:numPr>
          <w:ilvl w:val="0"/>
          <w:numId w:val="79"/>
        </w:numPr>
        <w:spacing w:before="100" w:beforeAutospacing="1" w:after="100" w:afterAutospacing="1" w:line="240" w:lineRule="auto"/>
        <w:contextualSpacing/>
        <w:jc w:val="both"/>
        <w:rPr>
          <w:rFonts w:cs="Arial"/>
        </w:rPr>
      </w:pPr>
      <w:r w:rsidRPr="005900DC">
        <w:rPr>
          <w:rFonts w:cs="Arial"/>
        </w:rPr>
        <w:t>Se reporta avance de implementación y sostenibilidad del Sistema Integrado de Gestión del 94% en ra</w:t>
      </w:r>
      <w:r w:rsidR="005900DC">
        <w:rPr>
          <w:rFonts w:cs="Arial"/>
        </w:rPr>
        <w:t>ngo adecuado con corte a 31 de d</w:t>
      </w:r>
      <w:r w:rsidRPr="005900DC">
        <w:rPr>
          <w:rFonts w:cs="Arial"/>
        </w:rPr>
        <w:t>iciembre de 2017.</w:t>
      </w:r>
    </w:p>
    <w:p w:rsidR="004E37DF" w:rsidRPr="005900DC" w:rsidRDefault="004E37DF" w:rsidP="005900DC">
      <w:pPr>
        <w:spacing w:before="100" w:beforeAutospacing="1" w:after="100" w:afterAutospacing="1" w:line="240" w:lineRule="auto"/>
        <w:ind w:left="360"/>
        <w:contextualSpacing/>
        <w:jc w:val="both"/>
        <w:rPr>
          <w:rFonts w:cs="Arial"/>
        </w:rPr>
      </w:pPr>
      <w:r w:rsidRPr="005900DC">
        <w:rPr>
          <w:rFonts w:cs="Arial"/>
        </w:rPr>
        <w:t xml:space="preserve"> </w:t>
      </w:r>
    </w:p>
    <w:p w:rsidR="004E37DF" w:rsidRPr="00E2319F" w:rsidRDefault="004E37DF" w:rsidP="00A44A2B">
      <w:pPr>
        <w:numPr>
          <w:ilvl w:val="0"/>
          <w:numId w:val="79"/>
        </w:numPr>
        <w:spacing w:before="100" w:beforeAutospacing="1" w:after="100" w:afterAutospacing="1" w:line="240" w:lineRule="auto"/>
        <w:contextualSpacing/>
        <w:jc w:val="both"/>
        <w:rPr>
          <w:rFonts w:cs="Arial"/>
        </w:rPr>
      </w:pPr>
      <w:r w:rsidRPr="00E2319F">
        <w:rPr>
          <w:rFonts w:cs="Arial"/>
        </w:rPr>
        <w:lastRenderedPageBreak/>
        <w:t>Socialización del</w:t>
      </w:r>
      <w:r w:rsidRPr="005900DC">
        <w:rPr>
          <w:rFonts w:cs="Arial"/>
        </w:rPr>
        <w:t xml:space="preserve"> Modelo de Gestión de Conocimiento e Innovación</w:t>
      </w:r>
      <w:r w:rsidRPr="00E2319F">
        <w:rPr>
          <w:rFonts w:cs="Arial"/>
        </w:rPr>
        <w:t xml:space="preserve"> en conjunto con la Subdirección de Monitoreo y Evaluación y se está estructurando una propuesta de implementación del Modelo de Innovación y Gestión de Conocimiento, cuyo objetivo es desarrollar soluciones novedosas en sus procesos y servicios, de manera que aporte al mejoramiento continuo en el quehacer de la Entidad y la calidad de la atención que contempla la construcción del espacio virtual “</w:t>
      </w:r>
      <w:r w:rsidRPr="005900DC">
        <w:rPr>
          <w:rFonts w:cs="Arial"/>
        </w:rPr>
        <w:t>Tu Conocimiento Innspira</w:t>
      </w:r>
      <w:r w:rsidRPr="00E2319F">
        <w:rPr>
          <w:rFonts w:cs="Arial"/>
        </w:rPr>
        <w:t xml:space="preserve">” y la invitación a presentar proyectos de innovación a nivel nacional, regional y zonal, los cuales han contado con acompañamiento permanente para su implementación. </w:t>
      </w:r>
      <w:r w:rsidRPr="005900DC">
        <w:rPr>
          <w:rFonts w:cs="Arial"/>
        </w:rPr>
        <w:t xml:space="preserve">Tu Conocimiento Innspira </w:t>
      </w:r>
      <w:r w:rsidRPr="00E2319F">
        <w:rPr>
          <w:rFonts w:cs="Arial"/>
        </w:rPr>
        <w:t xml:space="preserve">es un espacio virtual que permitirá consolidar las estrategias de gestión del conocimiento e innovación y brindará acceso público e interno, garantizando la preservación de la memoria institucional en el tiempo. El espacio cuenta con las siguientes herramientas: </w:t>
      </w:r>
    </w:p>
    <w:p w:rsidR="004E37DF" w:rsidRPr="00E2319F" w:rsidRDefault="004E37DF" w:rsidP="005900DC">
      <w:pPr>
        <w:pStyle w:val="Textoindependiente"/>
        <w:spacing w:before="100" w:beforeAutospacing="1" w:after="100" w:afterAutospacing="1"/>
        <w:ind w:left="284"/>
        <w:jc w:val="center"/>
        <w:rPr>
          <w:rFonts w:ascii="Arial" w:hAnsi="Arial" w:cs="Arial"/>
          <w:sz w:val="22"/>
          <w:szCs w:val="22"/>
        </w:rPr>
      </w:pPr>
      <w:r w:rsidRPr="00E2319F">
        <w:rPr>
          <w:rFonts w:ascii="Arial" w:hAnsi="Arial" w:cs="Arial"/>
          <w:noProof/>
          <w:sz w:val="22"/>
          <w:szCs w:val="22"/>
          <w:lang w:val="es-CO" w:eastAsia="es-CO"/>
        </w:rPr>
        <w:drawing>
          <wp:inline distT="0" distB="0" distL="0" distR="0" wp14:anchorId="75994276" wp14:editId="1397A5C7">
            <wp:extent cx="3427730" cy="2466329"/>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62214" cy="2491141"/>
                    </a:xfrm>
                    <a:prstGeom prst="rect">
                      <a:avLst/>
                    </a:prstGeom>
                    <a:noFill/>
                    <a:ln>
                      <a:noFill/>
                    </a:ln>
                  </pic:spPr>
                </pic:pic>
              </a:graphicData>
            </a:graphic>
          </wp:inline>
        </w:drawing>
      </w:r>
    </w:p>
    <w:p w:rsidR="004E37DF" w:rsidRDefault="004E37DF" w:rsidP="00A44A2B">
      <w:pPr>
        <w:numPr>
          <w:ilvl w:val="0"/>
          <w:numId w:val="79"/>
        </w:numPr>
        <w:spacing w:before="100" w:beforeAutospacing="1" w:after="100" w:afterAutospacing="1" w:line="240" w:lineRule="auto"/>
        <w:contextualSpacing/>
        <w:jc w:val="both"/>
        <w:rPr>
          <w:rFonts w:cs="Arial"/>
        </w:rPr>
      </w:pPr>
      <w:r w:rsidRPr="00E2319F">
        <w:rPr>
          <w:rFonts w:cs="Arial"/>
        </w:rPr>
        <w:t xml:space="preserve">Igualmente, se realizó el Encuentro Nacional de Innovación los días 18 y 19 de </w:t>
      </w:r>
      <w:r w:rsidR="007D364A">
        <w:rPr>
          <w:rFonts w:cs="Arial"/>
        </w:rPr>
        <w:t>s</w:t>
      </w:r>
      <w:r w:rsidRPr="00E2319F">
        <w:rPr>
          <w:rFonts w:cs="Arial"/>
        </w:rPr>
        <w:t>eptiembre, con la participación de 32 colaboradores, en el cual se buscó fortalecer el conocimiento sobre metodologías y herramientas del Modelo de Innovación y Gestión del Conocimiento del ICBF, mediante la realización de talleres teórico prácticos enfocados en técnic</w:t>
      </w:r>
      <w:r w:rsidR="005900DC">
        <w:rPr>
          <w:rFonts w:cs="Arial"/>
        </w:rPr>
        <w:t>as de creatividad e innovación.</w:t>
      </w:r>
    </w:p>
    <w:p w:rsidR="005900DC" w:rsidRPr="00E2319F" w:rsidRDefault="005900DC" w:rsidP="005900DC">
      <w:pPr>
        <w:spacing w:before="100" w:beforeAutospacing="1" w:after="100" w:afterAutospacing="1" w:line="240" w:lineRule="auto"/>
        <w:ind w:left="360"/>
        <w:contextualSpacing/>
        <w:jc w:val="both"/>
        <w:rPr>
          <w:rFonts w:cs="Arial"/>
        </w:rPr>
      </w:pPr>
    </w:p>
    <w:p w:rsidR="004E37DF" w:rsidRDefault="004E37DF" w:rsidP="00A44A2B">
      <w:pPr>
        <w:numPr>
          <w:ilvl w:val="0"/>
          <w:numId w:val="79"/>
        </w:numPr>
        <w:spacing w:before="100" w:beforeAutospacing="1" w:after="100" w:afterAutospacing="1" w:line="240" w:lineRule="auto"/>
        <w:contextualSpacing/>
        <w:jc w:val="both"/>
        <w:rPr>
          <w:rFonts w:cs="Arial"/>
        </w:rPr>
      </w:pPr>
      <w:r w:rsidRPr="00E2319F">
        <w:rPr>
          <w:rFonts w:cs="Arial"/>
        </w:rPr>
        <w:t>También, se realizó Encuentro SIGE con la participación de los Referentes Regionales de Calidad y Gestión Ambiental y la Subdirección de Mejoramiento Organizacional, contando con la participación de 120 colaboradores, en el que se buscaba fortalecer los conocimientos sobre el Sistema Integrado de Gestión de la Entidad, con el fin de avanzar en la implementación del plan de transición hacia las versiones actualizadas de las normas ambiental ISO 14001 y calidad ISO 9001.</w:t>
      </w:r>
    </w:p>
    <w:p w:rsidR="005900DC" w:rsidRPr="00E2319F" w:rsidRDefault="005900DC" w:rsidP="005900DC">
      <w:pPr>
        <w:spacing w:before="100" w:beforeAutospacing="1" w:after="100" w:afterAutospacing="1" w:line="240" w:lineRule="auto"/>
        <w:contextualSpacing/>
        <w:jc w:val="both"/>
        <w:rPr>
          <w:rFonts w:cs="Arial"/>
        </w:rPr>
      </w:pPr>
    </w:p>
    <w:p w:rsidR="004E37DF" w:rsidRDefault="004E37DF" w:rsidP="00A44A2B">
      <w:pPr>
        <w:numPr>
          <w:ilvl w:val="0"/>
          <w:numId w:val="79"/>
        </w:numPr>
        <w:spacing w:before="100" w:beforeAutospacing="1" w:after="100" w:afterAutospacing="1" w:line="240" w:lineRule="auto"/>
        <w:contextualSpacing/>
        <w:jc w:val="both"/>
        <w:rPr>
          <w:rFonts w:cs="Arial"/>
        </w:rPr>
      </w:pPr>
      <w:r w:rsidRPr="00E2319F">
        <w:rPr>
          <w:rFonts w:cs="Arial"/>
        </w:rPr>
        <w:t xml:space="preserve">La semana SIGE se efectuó en la Sede de la Dirección General en la semana comprendida entre el 23 y el 27 de </w:t>
      </w:r>
      <w:r w:rsidR="005900DC" w:rsidRPr="00E2319F">
        <w:rPr>
          <w:rFonts w:cs="Arial"/>
        </w:rPr>
        <w:t>octubre</w:t>
      </w:r>
      <w:r w:rsidRPr="00E2319F">
        <w:rPr>
          <w:rFonts w:cs="Arial"/>
        </w:rPr>
        <w:t>. Las actividades se realizaro</w:t>
      </w:r>
      <w:r w:rsidR="005900DC">
        <w:rPr>
          <w:rFonts w:cs="Arial"/>
        </w:rPr>
        <w:t>n de la siguiente manera:</w:t>
      </w:r>
    </w:p>
    <w:p w:rsidR="005900DC" w:rsidRDefault="005900DC" w:rsidP="005900DC">
      <w:pPr>
        <w:pStyle w:val="Prrafodelista"/>
        <w:rPr>
          <w:rFonts w:cs="Arial"/>
        </w:rPr>
      </w:pPr>
    </w:p>
    <w:p w:rsidR="005900DC" w:rsidRPr="00E2319F" w:rsidRDefault="005900DC" w:rsidP="005900DC">
      <w:pPr>
        <w:spacing w:before="100" w:beforeAutospacing="1" w:after="100" w:afterAutospacing="1" w:line="240" w:lineRule="auto"/>
        <w:ind w:left="360"/>
        <w:contextualSpacing/>
        <w:jc w:val="both"/>
        <w:rPr>
          <w:rFonts w:cs="Arial"/>
        </w:rPr>
      </w:pPr>
    </w:p>
    <w:p w:rsidR="004E37DF" w:rsidRPr="005900DC" w:rsidRDefault="004E37DF" w:rsidP="00A44A2B">
      <w:pPr>
        <w:pStyle w:val="Prrafodelista"/>
        <w:numPr>
          <w:ilvl w:val="0"/>
          <w:numId w:val="158"/>
        </w:numPr>
        <w:spacing w:before="100" w:beforeAutospacing="1" w:after="100" w:afterAutospacing="1" w:line="240" w:lineRule="auto"/>
        <w:jc w:val="both"/>
        <w:rPr>
          <w:rFonts w:cs="Arial"/>
          <w:lang w:eastAsia="es-CO"/>
        </w:rPr>
      </w:pPr>
      <w:r w:rsidRPr="005900DC">
        <w:rPr>
          <w:rFonts w:cs="Arial"/>
          <w:lang w:eastAsia="es-CO"/>
        </w:rPr>
        <w:t>Lunes de Calidad: Asaltos teatrales, cineforo temático, stands de juegos temáti</w:t>
      </w:r>
      <w:r w:rsidR="005900DC" w:rsidRPr="005900DC">
        <w:rPr>
          <w:rFonts w:cs="Arial"/>
          <w:lang w:eastAsia="es-CO"/>
        </w:rPr>
        <w:t>cos y Tu conocimiento Innspira.</w:t>
      </w:r>
    </w:p>
    <w:p w:rsidR="004E37DF" w:rsidRPr="005900DC" w:rsidRDefault="004E37DF" w:rsidP="00A44A2B">
      <w:pPr>
        <w:pStyle w:val="Prrafodelista"/>
        <w:numPr>
          <w:ilvl w:val="0"/>
          <w:numId w:val="158"/>
        </w:numPr>
        <w:spacing w:before="100" w:beforeAutospacing="1" w:after="100" w:afterAutospacing="1" w:line="240" w:lineRule="auto"/>
        <w:jc w:val="both"/>
        <w:rPr>
          <w:rFonts w:cs="Arial"/>
          <w:lang w:eastAsia="es-CO"/>
        </w:rPr>
      </w:pPr>
      <w:r w:rsidRPr="005900DC">
        <w:rPr>
          <w:rFonts w:cs="Arial"/>
          <w:lang w:eastAsia="es-CO"/>
        </w:rPr>
        <w:t xml:space="preserve">Martes de Seguridad de la Información: Asaltos teatrales, presentación de experiencias regionales y cineforo temático. </w:t>
      </w:r>
    </w:p>
    <w:p w:rsidR="004E37DF" w:rsidRPr="005900DC" w:rsidRDefault="004E37DF" w:rsidP="00A44A2B">
      <w:pPr>
        <w:pStyle w:val="Prrafodelista"/>
        <w:numPr>
          <w:ilvl w:val="0"/>
          <w:numId w:val="158"/>
        </w:numPr>
        <w:spacing w:before="100" w:beforeAutospacing="1" w:after="100" w:afterAutospacing="1" w:line="240" w:lineRule="auto"/>
        <w:jc w:val="both"/>
        <w:rPr>
          <w:rFonts w:cs="Arial"/>
          <w:lang w:eastAsia="es-CO"/>
        </w:rPr>
      </w:pPr>
      <w:r w:rsidRPr="005900DC">
        <w:rPr>
          <w:rFonts w:cs="Arial"/>
          <w:lang w:eastAsia="es-CO"/>
        </w:rPr>
        <w:t xml:space="preserve">Miércoles de Simulacro y salida ecológica al Parque Mirador Los Nevados.  </w:t>
      </w:r>
    </w:p>
    <w:p w:rsidR="004E37DF" w:rsidRPr="005900DC" w:rsidRDefault="004E37DF" w:rsidP="00A44A2B">
      <w:pPr>
        <w:pStyle w:val="Prrafodelista"/>
        <w:numPr>
          <w:ilvl w:val="0"/>
          <w:numId w:val="158"/>
        </w:numPr>
        <w:spacing w:before="100" w:beforeAutospacing="1" w:after="100" w:afterAutospacing="1" w:line="240" w:lineRule="auto"/>
        <w:jc w:val="both"/>
        <w:rPr>
          <w:rFonts w:cs="Arial"/>
          <w:lang w:eastAsia="es-CO"/>
        </w:rPr>
      </w:pPr>
      <w:r w:rsidRPr="005900DC">
        <w:rPr>
          <w:rFonts w:cs="Arial"/>
          <w:lang w:eastAsia="es-CO"/>
        </w:rPr>
        <w:t xml:space="preserve">Jueves de Seguridad y Salud en el Trabajo: Asaltos teatrales, cineforo temático, stands de juegos temáticos. </w:t>
      </w:r>
    </w:p>
    <w:p w:rsidR="004E37DF" w:rsidRPr="005900DC" w:rsidRDefault="004E37DF" w:rsidP="00A44A2B">
      <w:pPr>
        <w:pStyle w:val="Prrafodelista"/>
        <w:numPr>
          <w:ilvl w:val="0"/>
          <w:numId w:val="158"/>
        </w:numPr>
        <w:spacing w:before="100" w:beforeAutospacing="1" w:after="100" w:afterAutospacing="1" w:line="240" w:lineRule="auto"/>
        <w:jc w:val="both"/>
        <w:rPr>
          <w:rFonts w:cs="Arial"/>
          <w:lang w:eastAsia="es-CO"/>
        </w:rPr>
      </w:pPr>
      <w:r w:rsidRPr="005900DC">
        <w:rPr>
          <w:rFonts w:cs="Arial"/>
          <w:lang w:eastAsia="es-CO"/>
        </w:rPr>
        <w:t>Viernes de Ambiental: Asaltos teatrales, cineforo temático, stands de juegos temáticos y Reciclatón</w:t>
      </w:r>
      <w:r w:rsidR="007D364A">
        <w:rPr>
          <w:rFonts w:cs="Arial"/>
          <w:lang w:eastAsia="es-CO"/>
        </w:rPr>
        <w:t xml:space="preserve"> </w:t>
      </w:r>
      <w:r w:rsidRPr="005900DC">
        <w:rPr>
          <w:rFonts w:cs="Arial"/>
          <w:lang w:eastAsia="es-CO"/>
        </w:rPr>
        <w:t xml:space="preserve">-RAE (esta última actividad realizada durante toda la semana). </w:t>
      </w:r>
    </w:p>
    <w:p w:rsidR="004E37DF" w:rsidRDefault="003436B8" w:rsidP="00A44A2B">
      <w:pPr>
        <w:pStyle w:val="Ttulo2"/>
        <w:numPr>
          <w:ilvl w:val="1"/>
          <w:numId w:val="139"/>
        </w:numPr>
        <w:jc w:val="both"/>
        <w:rPr>
          <w:rFonts w:cs="Arial"/>
          <w:b/>
        </w:rPr>
      </w:pPr>
      <w:bookmarkStart w:id="173" w:name="_Toc505183104"/>
      <w:r w:rsidRPr="005900DC">
        <w:rPr>
          <w:rFonts w:cs="Arial"/>
          <w:b/>
          <w:lang w:eastAsia="es-CO"/>
        </w:rPr>
        <w:t xml:space="preserve">LOGROS </w:t>
      </w:r>
      <w:r w:rsidR="004E37DF" w:rsidRPr="005900DC">
        <w:rPr>
          <w:rFonts w:cs="Arial"/>
          <w:b/>
          <w:lang w:eastAsia="es-CO"/>
        </w:rPr>
        <w:t>2017</w:t>
      </w:r>
      <w:bookmarkStart w:id="174" w:name="_Toc503465552"/>
      <w:bookmarkEnd w:id="173"/>
      <w:r w:rsidR="004E37DF" w:rsidRPr="005900DC">
        <w:rPr>
          <w:rFonts w:cs="Arial"/>
          <w:b/>
        </w:rPr>
        <w:t xml:space="preserve"> </w:t>
      </w:r>
      <w:bookmarkEnd w:id="174"/>
    </w:p>
    <w:p w:rsidR="005900DC" w:rsidRPr="003436B8" w:rsidRDefault="005900DC" w:rsidP="003436B8">
      <w:pPr>
        <w:spacing w:after="0"/>
        <w:jc w:val="both"/>
        <w:rPr>
          <w:rFonts w:cs="Arial"/>
          <w:b/>
        </w:rPr>
      </w:pPr>
    </w:p>
    <w:p w:rsidR="003436B8" w:rsidRDefault="003436B8" w:rsidP="003436B8">
      <w:pPr>
        <w:spacing w:after="0"/>
        <w:jc w:val="both"/>
        <w:rPr>
          <w:rFonts w:cs="Arial"/>
          <w:b/>
        </w:rPr>
      </w:pPr>
      <w:r w:rsidRPr="005900DC">
        <w:rPr>
          <w:rFonts w:cs="Arial"/>
          <w:b/>
        </w:rPr>
        <w:t>Grupo de Infraestructura Inmobiliaria 2017</w:t>
      </w:r>
    </w:p>
    <w:p w:rsidR="003436B8" w:rsidRPr="003436B8" w:rsidRDefault="003436B8" w:rsidP="003436B8">
      <w:pPr>
        <w:spacing w:after="0"/>
        <w:jc w:val="both"/>
        <w:rPr>
          <w:rFonts w:cs="Arial"/>
          <w:b/>
        </w:rPr>
      </w:pPr>
    </w:p>
    <w:p w:rsidR="007B6477" w:rsidRPr="00E2319F" w:rsidRDefault="007B6477" w:rsidP="00A44A2B">
      <w:pPr>
        <w:pStyle w:val="Prrafodelista"/>
        <w:numPr>
          <w:ilvl w:val="0"/>
          <w:numId w:val="52"/>
        </w:numPr>
        <w:jc w:val="both"/>
        <w:rPr>
          <w:rFonts w:cs="Arial"/>
        </w:rPr>
      </w:pPr>
      <w:r w:rsidRPr="00E2319F">
        <w:rPr>
          <w:rFonts w:cs="Arial"/>
        </w:rPr>
        <w:t>Priorización de la intervención con recursos propios de 4 Centros de Desarrollo Infantil nuevos para la prestación del servicio a la Primera Infancia.</w:t>
      </w:r>
    </w:p>
    <w:p w:rsidR="007B6477" w:rsidRPr="00E2319F" w:rsidRDefault="007B6477" w:rsidP="00A44A2B">
      <w:pPr>
        <w:pStyle w:val="Prrafodelista"/>
        <w:numPr>
          <w:ilvl w:val="0"/>
          <w:numId w:val="52"/>
        </w:numPr>
        <w:jc w:val="both"/>
        <w:rPr>
          <w:rFonts w:cs="Arial"/>
        </w:rPr>
      </w:pPr>
      <w:r w:rsidRPr="00E2319F">
        <w:rPr>
          <w:rFonts w:cs="Arial"/>
        </w:rPr>
        <w:t>Intervención con recursos propios 23 infraestructuras existentes para mejorar la prestación del servicio a la Primera Infancia.</w:t>
      </w:r>
    </w:p>
    <w:p w:rsidR="007B6477" w:rsidRPr="00E2319F" w:rsidRDefault="007B6477" w:rsidP="00A44A2B">
      <w:pPr>
        <w:pStyle w:val="Prrafodelista"/>
        <w:numPr>
          <w:ilvl w:val="0"/>
          <w:numId w:val="52"/>
        </w:numPr>
        <w:jc w:val="both"/>
        <w:rPr>
          <w:rFonts w:cs="Arial"/>
        </w:rPr>
      </w:pPr>
      <w:r w:rsidRPr="00E2319F">
        <w:rPr>
          <w:rFonts w:cs="Arial"/>
        </w:rPr>
        <w:t>Revisión y ajuste de la Guía de Implementación de proyectos de infraestructura de Atención a Primera Infancia y Norma NTC 6199</w:t>
      </w:r>
    </w:p>
    <w:p w:rsidR="007B6477" w:rsidRPr="00E2319F" w:rsidRDefault="007B6477" w:rsidP="00A44A2B">
      <w:pPr>
        <w:pStyle w:val="Prrafodelista"/>
        <w:numPr>
          <w:ilvl w:val="0"/>
          <w:numId w:val="52"/>
        </w:numPr>
        <w:jc w:val="both"/>
        <w:rPr>
          <w:rFonts w:cs="Arial"/>
        </w:rPr>
      </w:pPr>
      <w:r w:rsidRPr="00E2319F">
        <w:rPr>
          <w:rFonts w:cs="Arial"/>
        </w:rPr>
        <w:t>Los proyectos ejecutados aportan significativamente al cumplimiento de las metas de mejorar la prestación del servicio de la Dirección de Protección.</w:t>
      </w:r>
    </w:p>
    <w:p w:rsidR="007B6477" w:rsidRPr="00E2319F" w:rsidRDefault="007B6477" w:rsidP="00A44A2B">
      <w:pPr>
        <w:pStyle w:val="Prrafodelista"/>
        <w:numPr>
          <w:ilvl w:val="0"/>
          <w:numId w:val="52"/>
        </w:numPr>
        <w:jc w:val="both"/>
        <w:rPr>
          <w:rFonts w:cs="Arial"/>
        </w:rPr>
      </w:pPr>
      <w:r w:rsidRPr="00E2319F">
        <w:rPr>
          <w:rFonts w:cs="Arial"/>
        </w:rPr>
        <w:t xml:space="preserve">Con la implementación de los proyectos ejecutados y los estructurados para ejecutar en las vigencias 2017-2018 se atienden un gran porcentaje de los requerimientos en materia de infraestructura derivados de acciones judiciales.   </w:t>
      </w:r>
    </w:p>
    <w:p w:rsidR="005900DC" w:rsidRPr="005900DC" w:rsidRDefault="005900DC" w:rsidP="00A44A2B">
      <w:pPr>
        <w:pStyle w:val="Prrafodelista"/>
        <w:numPr>
          <w:ilvl w:val="0"/>
          <w:numId w:val="52"/>
        </w:numPr>
        <w:jc w:val="both"/>
        <w:rPr>
          <w:rFonts w:cs="Arial"/>
        </w:rPr>
      </w:pPr>
      <w:r w:rsidRPr="005900DC">
        <w:rPr>
          <w:rFonts w:cs="Arial"/>
        </w:rPr>
        <w:t xml:space="preserve">El Grupo de </w:t>
      </w:r>
      <w:r w:rsidR="003436B8" w:rsidRPr="005900DC">
        <w:rPr>
          <w:rFonts w:cs="Arial"/>
        </w:rPr>
        <w:t>Infraestructura Inmobiliaria</w:t>
      </w:r>
      <w:r w:rsidR="007B6477" w:rsidRPr="005900DC">
        <w:rPr>
          <w:rFonts w:cs="Arial"/>
        </w:rPr>
        <w:t xml:space="preserve">  hace  entrega de todos los  insumos técnicos  y  criterios para la  ejecución de  los  proyectos  a desarrollar con  los contratos de  Findeter  1 y 2, en el marco de la aplicación primaria del Plan de Intervención de la Infraestructura del ICBF.</w:t>
      </w:r>
    </w:p>
    <w:p w:rsidR="007B6477" w:rsidRPr="00E2319F" w:rsidRDefault="007B6477" w:rsidP="00A44A2B">
      <w:pPr>
        <w:pStyle w:val="Prrafodelista"/>
        <w:numPr>
          <w:ilvl w:val="0"/>
          <w:numId w:val="52"/>
        </w:numPr>
        <w:jc w:val="both"/>
        <w:rPr>
          <w:rFonts w:cs="Arial"/>
        </w:rPr>
      </w:pPr>
      <w:r w:rsidRPr="00E2319F">
        <w:rPr>
          <w:rFonts w:cs="Arial"/>
        </w:rPr>
        <w:t>Se avanza satisfactoriamente en el proceso administrativo sancionatorio por presunto incumplimiento contra el Contrato Interadministrativo No. 2428 de 2012 con el fin de legalizar las inversiones realizadas en el 2012.</w:t>
      </w:r>
    </w:p>
    <w:p w:rsidR="007B6477" w:rsidRPr="00E2319F" w:rsidRDefault="007B6477" w:rsidP="00A44A2B">
      <w:pPr>
        <w:pStyle w:val="Prrafodelista"/>
        <w:numPr>
          <w:ilvl w:val="0"/>
          <w:numId w:val="52"/>
        </w:numPr>
        <w:jc w:val="both"/>
        <w:rPr>
          <w:rFonts w:cs="Arial"/>
        </w:rPr>
      </w:pPr>
      <w:r w:rsidRPr="00E2319F">
        <w:rPr>
          <w:rFonts w:cs="Arial"/>
        </w:rPr>
        <w:t>Se realizaron asesorías y apoyos a la Subdirección de Responsabilidad Penal con respecto a la revisión arquitectónica de proyectos de las entidades territoriales como el caso de Ciénaga, Santa Martha, Arauca y Mocoa.</w:t>
      </w:r>
    </w:p>
    <w:p w:rsidR="007B6477" w:rsidRPr="00E2319F" w:rsidRDefault="007B6477" w:rsidP="00A44A2B">
      <w:pPr>
        <w:pStyle w:val="Prrafodelista"/>
        <w:numPr>
          <w:ilvl w:val="0"/>
          <w:numId w:val="52"/>
        </w:numPr>
        <w:jc w:val="both"/>
        <w:rPr>
          <w:rFonts w:cs="Arial"/>
        </w:rPr>
      </w:pPr>
      <w:r w:rsidRPr="00E2319F">
        <w:rPr>
          <w:rFonts w:cs="Arial"/>
        </w:rPr>
        <w:lastRenderedPageBreak/>
        <w:t>Se recopiló y se realizó la revisión de la información y documentación del proyecto Granja Manare, Valle de Lili y el Redentor del convenio 525 de 2011 – FONADE, se realizaron los requerimientos para que sean subsanadas a través del equipo de convenios con el fin de adelantar las gestiones para la liquidación del convenio y su respectiva legalización.</w:t>
      </w:r>
    </w:p>
    <w:p w:rsidR="007B6477" w:rsidRPr="00E2319F" w:rsidRDefault="007B6477" w:rsidP="00A44A2B">
      <w:pPr>
        <w:pStyle w:val="Prrafodelista"/>
        <w:numPr>
          <w:ilvl w:val="0"/>
          <w:numId w:val="52"/>
        </w:numPr>
        <w:jc w:val="both"/>
        <w:rPr>
          <w:rFonts w:cs="Arial"/>
        </w:rPr>
      </w:pPr>
      <w:r w:rsidRPr="00E2319F">
        <w:rPr>
          <w:rFonts w:cs="Arial"/>
        </w:rPr>
        <w:t xml:space="preserve">Se distribuyeron los recursos de la vigencia 2017, teniendo en cuenta regionales que nunca se habían priorizado. </w:t>
      </w:r>
    </w:p>
    <w:p w:rsidR="007B6477" w:rsidRPr="00E2319F" w:rsidRDefault="007B6477" w:rsidP="00A44A2B">
      <w:pPr>
        <w:pStyle w:val="Prrafodelista"/>
        <w:numPr>
          <w:ilvl w:val="0"/>
          <w:numId w:val="52"/>
        </w:numPr>
        <w:jc w:val="both"/>
        <w:rPr>
          <w:rFonts w:cs="Arial"/>
        </w:rPr>
      </w:pPr>
      <w:r w:rsidRPr="00E2319F">
        <w:rPr>
          <w:rFonts w:cs="Arial"/>
        </w:rPr>
        <w:t>Un nuevo Centro Zonal en proceso de estudios y diseños y otro en proceso de construcción.</w:t>
      </w:r>
    </w:p>
    <w:p w:rsidR="007B6477" w:rsidRPr="00E2319F" w:rsidRDefault="007B6477" w:rsidP="00A44A2B">
      <w:pPr>
        <w:pStyle w:val="Prrafodelista"/>
        <w:numPr>
          <w:ilvl w:val="0"/>
          <w:numId w:val="52"/>
        </w:numPr>
        <w:jc w:val="both"/>
        <w:rPr>
          <w:rFonts w:cs="Arial"/>
        </w:rPr>
      </w:pPr>
      <w:r w:rsidRPr="00E2319F">
        <w:rPr>
          <w:rFonts w:cs="Arial"/>
        </w:rPr>
        <w:t>37 intervenciones de mantenimiento en sedes entre Direcciones Regionales y Centros Zonales.</w:t>
      </w:r>
    </w:p>
    <w:p w:rsidR="007B6477" w:rsidRPr="00E2319F" w:rsidRDefault="007B6477" w:rsidP="00A44A2B">
      <w:pPr>
        <w:pStyle w:val="Prrafodelista"/>
        <w:numPr>
          <w:ilvl w:val="0"/>
          <w:numId w:val="52"/>
        </w:numPr>
        <w:jc w:val="both"/>
        <w:rPr>
          <w:rFonts w:cs="Arial"/>
        </w:rPr>
      </w:pPr>
      <w:r w:rsidRPr="00E2319F">
        <w:rPr>
          <w:rFonts w:cs="Arial"/>
        </w:rPr>
        <w:t>25 contratos de obra pública y 25 contratos de interventoría gestionados desde las Regionales para la “ADECUACIONES Y REPARACIONES LOCATIVAS DE INFRAESTRUCTURA ADMINISTRATIVA DEL ICBF”. En las que se brindó asistencia técnica (Etapa de pre pliegos, Pliegos definitivos, respuestas a observaciones técnicas y evaluación de los procesos de obra e interventoría).</w:t>
      </w:r>
    </w:p>
    <w:p w:rsidR="005900DC" w:rsidRDefault="005900DC" w:rsidP="005900DC">
      <w:pPr>
        <w:spacing w:after="0"/>
        <w:jc w:val="both"/>
        <w:rPr>
          <w:rFonts w:cs="Arial"/>
          <w:b/>
        </w:rPr>
      </w:pPr>
    </w:p>
    <w:p w:rsidR="00E87612" w:rsidRPr="00E2319F" w:rsidRDefault="00E87612" w:rsidP="00E87612">
      <w:pPr>
        <w:jc w:val="both"/>
        <w:rPr>
          <w:rFonts w:cs="Arial"/>
          <w:b/>
        </w:rPr>
      </w:pPr>
      <w:r w:rsidRPr="00E2319F">
        <w:rPr>
          <w:rFonts w:cs="Arial"/>
          <w:b/>
        </w:rPr>
        <w:t>Logros Estrategia Cero Papel 2017</w:t>
      </w:r>
    </w:p>
    <w:p w:rsidR="00E87612" w:rsidRDefault="00E87612" w:rsidP="00A44A2B">
      <w:pPr>
        <w:pStyle w:val="Prrafodelista"/>
        <w:numPr>
          <w:ilvl w:val="0"/>
          <w:numId w:val="53"/>
        </w:numPr>
        <w:autoSpaceDE w:val="0"/>
        <w:autoSpaceDN w:val="0"/>
        <w:spacing w:before="40" w:after="0"/>
        <w:jc w:val="both"/>
        <w:rPr>
          <w:rFonts w:cs="Arial"/>
          <w:lang w:val="es-CO"/>
        </w:rPr>
      </w:pPr>
      <w:r w:rsidRPr="00E2319F">
        <w:rPr>
          <w:rFonts w:cs="Arial"/>
          <w:lang w:val="es-CO"/>
        </w:rPr>
        <w:t>Fortalecer el conocimiento de los colaboradores sobre la aplicación de las tablas de retención documental y el manejo de la documentación de apoyo; así como, sobre la optimización de las herramientas Office.</w:t>
      </w:r>
    </w:p>
    <w:p w:rsidR="003436B8" w:rsidRPr="00E2319F" w:rsidRDefault="003436B8" w:rsidP="003436B8">
      <w:pPr>
        <w:pStyle w:val="Prrafodelista"/>
        <w:autoSpaceDE w:val="0"/>
        <w:autoSpaceDN w:val="0"/>
        <w:spacing w:before="40" w:after="0"/>
        <w:ind w:left="360"/>
        <w:jc w:val="both"/>
        <w:rPr>
          <w:rFonts w:cs="Arial"/>
          <w:lang w:val="es-CO"/>
        </w:rPr>
      </w:pPr>
    </w:p>
    <w:p w:rsidR="00E87612" w:rsidRPr="00E2319F" w:rsidRDefault="00E87612" w:rsidP="00A44A2B">
      <w:pPr>
        <w:pStyle w:val="Prrafodelista"/>
        <w:numPr>
          <w:ilvl w:val="0"/>
          <w:numId w:val="53"/>
        </w:numPr>
        <w:autoSpaceDE w:val="0"/>
        <w:autoSpaceDN w:val="0"/>
        <w:spacing w:before="40" w:after="0"/>
        <w:jc w:val="both"/>
        <w:rPr>
          <w:rFonts w:cs="Arial"/>
          <w:lang w:val="es-CO"/>
        </w:rPr>
      </w:pPr>
      <w:r w:rsidRPr="00E2319F">
        <w:rPr>
          <w:rFonts w:cs="Arial"/>
          <w:lang w:val="es-CO"/>
        </w:rPr>
        <w:t>Reconocimiento de las áreas que han reportado un consumo racional de resmas de papel, a través de pieza comunicativa por correo masivo.</w:t>
      </w:r>
    </w:p>
    <w:p w:rsidR="007B6477" w:rsidRPr="00E2319F" w:rsidRDefault="007B6477" w:rsidP="007B6477">
      <w:pPr>
        <w:pStyle w:val="Prrafodelista"/>
        <w:autoSpaceDE w:val="0"/>
        <w:autoSpaceDN w:val="0"/>
        <w:spacing w:before="40" w:after="0"/>
        <w:ind w:left="360"/>
        <w:jc w:val="both"/>
        <w:rPr>
          <w:rFonts w:cs="Arial"/>
          <w:lang w:val="es-CO"/>
        </w:rPr>
      </w:pPr>
    </w:p>
    <w:p w:rsidR="00E87612" w:rsidRPr="00E2319F" w:rsidRDefault="00E87612" w:rsidP="00E87612">
      <w:pPr>
        <w:jc w:val="both"/>
        <w:rPr>
          <w:rFonts w:cs="Arial"/>
          <w:b/>
          <w:lang w:val="es-CO"/>
        </w:rPr>
      </w:pPr>
      <w:r w:rsidRPr="00E2319F">
        <w:rPr>
          <w:rFonts w:cs="Arial"/>
          <w:b/>
          <w:lang w:val="es-CO"/>
        </w:rPr>
        <w:t>Logros Gestión de Calidad 2017</w:t>
      </w:r>
    </w:p>
    <w:p w:rsidR="00E87612" w:rsidRPr="00E2319F" w:rsidRDefault="00E87612" w:rsidP="00A44A2B">
      <w:pPr>
        <w:pStyle w:val="Textoindependiente"/>
        <w:numPr>
          <w:ilvl w:val="0"/>
          <w:numId w:val="56"/>
        </w:numPr>
        <w:ind w:left="284" w:hanging="284"/>
        <w:rPr>
          <w:rFonts w:ascii="Arial" w:hAnsi="Arial" w:cs="Arial"/>
          <w:sz w:val="22"/>
          <w:szCs w:val="22"/>
        </w:rPr>
      </w:pPr>
      <w:r w:rsidRPr="00E2319F">
        <w:rPr>
          <w:rFonts w:ascii="Arial" w:hAnsi="Arial" w:cs="Arial"/>
          <w:sz w:val="22"/>
          <w:szCs w:val="22"/>
        </w:rPr>
        <w:t xml:space="preserve">De igual manera, en la tercera semana del mes de mayo, se realizó preauditoría por parte de ICONTEC, en la nueva versión de las normas NTC ISO 9001:20015 Sistema de Gestión de Calidad e ISO 14001:2015 Sistema de Gestión de Ambiental. Ante este diagnóstico, se formuló el plan de transición de la entidad para las Normas NTC ISO 9001:2015 e ISO 14001:2015, el cual se socializó y aprobó en el Comité SIGE del 16 de junio de 2017 y fue actualizado el programa de auditorías SIGE versión de 2015. </w:t>
      </w:r>
    </w:p>
    <w:p w:rsidR="00E87612" w:rsidRPr="00E2319F" w:rsidRDefault="00E87612" w:rsidP="00A44A2B">
      <w:pPr>
        <w:pStyle w:val="Textoindependiente"/>
        <w:numPr>
          <w:ilvl w:val="0"/>
          <w:numId w:val="56"/>
        </w:numPr>
        <w:ind w:left="284" w:hanging="284"/>
        <w:rPr>
          <w:rFonts w:ascii="Arial" w:eastAsiaTheme="minorHAnsi" w:hAnsi="Arial" w:cs="Arial"/>
        </w:rPr>
      </w:pPr>
      <w:r w:rsidRPr="00E2319F">
        <w:rPr>
          <w:rFonts w:ascii="Arial" w:hAnsi="Arial" w:cs="Arial"/>
        </w:rPr>
        <w:t>Aprobación de la Resolución 7070 del 16 de agosto de 2017 “por la cual se reorganiza el Sistema Integrado de Gestión”, en donde se establecen los roles y responsabilidades de los diferentes líderes y responsables que inciden directamente en el Sistema Integrado de Gestión.</w:t>
      </w:r>
    </w:p>
    <w:p w:rsidR="00E87612" w:rsidRPr="00E2319F" w:rsidRDefault="00E87612" w:rsidP="00E87612">
      <w:pPr>
        <w:pStyle w:val="Textoindependiente"/>
        <w:ind w:left="284"/>
        <w:rPr>
          <w:rFonts w:ascii="Arial" w:hAnsi="Arial" w:cs="Arial"/>
          <w:sz w:val="22"/>
          <w:szCs w:val="22"/>
        </w:rPr>
      </w:pPr>
    </w:p>
    <w:p w:rsidR="00E87612" w:rsidRDefault="00E87612" w:rsidP="00A44A2B">
      <w:pPr>
        <w:pStyle w:val="Ttulo2"/>
        <w:numPr>
          <w:ilvl w:val="1"/>
          <w:numId w:val="139"/>
        </w:numPr>
        <w:rPr>
          <w:rFonts w:cs="Arial"/>
          <w:b/>
        </w:rPr>
      </w:pPr>
      <w:bookmarkStart w:id="175" w:name="_Toc503465553"/>
      <w:r w:rsidRPr="00E2319F">
        <w:rPr>
          <w:rFonts w:cs="Arial"/>
          <w:b/>
        </w:rPr>
        <w:lastRenderedPageBreak/>
        <w:t xml:space="preserve"> </w:t>
      </w:r>
      <w:bookmarkStart w:id="176" w:name="_Toc505183105"/>
      <w:r w:rsidRPr="00E2319F">
        <w:rPr>
          <w:rFonts w:cs="Arial"/>
          <w:b/>
        </w:rPr>
        <w:t>RETOS 2018</w:t>
      </w:r>
      <w:bookmarkEnd w:id="176"/>
    </w:p>
    <w:p w:rsidR="003436B8" w:rsidRPr="003436B8" w:rsidRDefault="003436B8" w:rsidP="003436B8"/>
    <w:p w:rsidR="004E37DF" w:rsidRPr="00E2319F" w:rsidRDefault="007B5666" w:rsidP="004E37DF">
      <w:pPr>
        <w:jc w:val="both"/>
        <w:rPr>
          <w:rFonts w:cs="Arial"/>
          <w:b/>
        </w:rPr>
      </w:pPr>
      <w:r w:rsidRPr="00E2319F">
        <w:rPr>
          <w:rFonts w:cs="Arial"/>
          <w:b/>
        </w:rPr>
        <w:t>Retos Grupo</w:t>
      </w:r>
      <w:r w:rsidR="004E37DF" w:rsidRPr="00E2319F">
        <w:rPr>
          <w:rFonts w:cs="Arial"/>
          <w:b/>
        </w:rPr>
        <w:t xml:space="preserve"> de Infraestructura Inmobiliaria 2018</w:t>
      </w:r>
      <w:bookmarkEnd w:id="175"/>
    </w:p>
    <w:p w:rsidR="004E37DF" w:rsidRDefault="004E37DF" w:rsidP="00A44A2B">
      <w:pPr>
        <w:pStyle w:val="Prrafodelista"/>
        <w:numPr>
          <w:ilvl w:val="0"/>
          <w:numId w:val="53"/>
        </w:numPr>
        <w:autoSpaceDE w:val="0"/>
        <w:autoSpaceDN w:val="0"/>
        <w:spacing w:before="40" w:after="0"/>
        <w:jc w:val="both"/>
        <w:rPr>
          <w:rFonts w:cs="Arial"/>
          <w:lang w:val="es-CO"/>
        </w:rPr>
      </w:pPr>
      <w:r w:rsidRPr="007B5666">
        <w:rPr>
          <w:rFonts w:cs="Arial"/>
          <w:lang w:val="es-CO"/>
        </w:rPr>
        <w:t>Identificar las necesidades de las infraestructuras propiedades del ICBF, con el fin de intervenirlas y prestar un mejor servicio para la atención a Primera Infancia.</w:t>
      </w:r>
    </w:p>
    <w:p w:rsidR="007B5666" w:rsidRPr="007B5666" w:rsidRDefault="007B5666" w:rsidP="007B5666">
      <w:pPr>
        <w:pStyle w:val="Prrafodelista"/>
        <w:autoSpaceDE w:val="0"/>
        <w:autoSpaceDN w:val="0"/>
        <w:spacing w:before="40" w:after="0"/>
        <w:ind w:left="360"/>
        <w:jc w:val="both"/>
        <w:rPr>
          <w:rFonts w:cs="Arial"/>
          <w:lang w:val="es-CO"/>
        </w:rPr>
      </w:pPr>
    </w:p>
    <w:p w:rsidR="004E37DF" w:rsidRDefault="004E37DF" w:rsidP="00A44A2B">
      <w:pPr>
        <w:pStyle w:val="Prrafodelista"/>
        <w:numPr>
          <w:ilvl w:val="0"/>
          <w:numId w:val="53"/>
        </w:numPr>
        <w:autoSpaceDE w:val="0"/>
        <w:autoSpaceDN w:val="0"/>
        <w:spacing w:before="40" w:after="0"/>
        <w:jc w:val="both"/>
        <w:rPr>
          <w:rFonts w:cs="Arial"/>
          <w:lang w:val="es-CO"/>
        </w:rPr>
      </w:pPr>
      <w:r w:rsidRPr="007B5666">
        <w:rPr>
          <w:rFonts w:cs="Arial"/>
          <w:lang w:val="es-CO"/>
        </w:rPr>
        <w:t>Consecución de recursos para la intervención de Hogares Infantiles (Propiedad del ICBF) a nivel Nacional correspondientes a Diagnósticos, estudios diseños y construcción</w:t>
      </w:r>
      <w:r w:rsidR="007B5666">
        <w:rPr>
          <w:rFonts w:cs="Arial"/>
          <w:lang w:val="es-CO"/>
        </w:rPr>
        <w:t>.</w:t>
      </w:r>
    </w:p>
    <w:p w:rsidR="007B5666" w:rsidRPr="007B5666" w:rsidRDefault="007B5666" w:rsidP="007B5666">
      <w:pPr>
        <w:autoSpaceDE w:val="0"/>
        <w:autoSpaceDN w:val="0"/>
        <w:spacing w:before="40" w:after="0"/>
        <w:jc w:val="both"/>
        <w:rPr>
          <w:rFonts w:cs="Arial"/>
          <w:lang w:val="es-CO"/>
        </w:rPr>
      </w:pPr>
    </w:p>
    <w:p w:rsidR="004E37DF" w:rsidRDefault="004E37DF" w:rsidP="00A44A2B">
      <w:pPr>
        <w:pStyle w:val="Prrafodelista"/>
        <w:numPr>
          <w:ilvl w:val="0"/>
          <w:numId w:val="53"/>
        </w:numPr>
        <w:autoSpaceDE w:val="0"/>
        <w:autoSpaceDN w:val="0"/>
        <w:spacing w:before="40" w:after="0"/>
        <w:jc w:val="both"/>
        <w:rPr>
          <w:rFonts w:cs="Arial"/>
          <w:lang w:val="es-CO"/>
        </w:rPr>
      </w:pPr>
      <w:r w:rsidRPr="007B5666">
        <w:rPr>
          <w:rFonts w:cs="Arial"/>
          <w:lang w:val="es-CO"/>
        </w:rPr>
        <w:t>Lograr relaciones sólidas con los demás miembros del Sistema de Responsabilidad Penal a través de la Dirección de Protección para coordinar las acciones que en materia de infraestructura se requieran en el marco de la corresponsabilidad.</w:t>
      </w:r>
    </w:p>
    <w:p w:rsidR="007B5666" w:rsidRPr="007B5666" w:rsidRDefault="007B5666" w:rsidP="007B5666">
      <w:pPr>
        <w:autoSpaceDE w:val="0"/>
        <w:autoSpaceDN w:val="0"/>
        <w:spacing w:before="40" w:after="0"/>
        <w:jc w:val="both"/>
        <w:rPr>
          <w:rFonts w:cs="Arial"/>
          <w:lang w:val="es-CO"/>
        </w:rPr>
      </w:pPr>
    </w:p>
    <w:p w:rsidR="004E37DF" w:rsidRDefault="004E37DF" w:rsidP="00A44A2B">
      <w:pPr>
        <w:pStyle w:val="Prrafodelista"/>
        <w:numPr>
          <w:ilvl w:val="0"/>
          <w:numId w:val="53"/>
        </w:numPr>
        <w:autoSpaceDE w:val="0"/>
        <w:autoSpaceDN w:val="0"/>
        <w:spacing w:before="40" w:after="0"/>
        <w:jc w:val="both"/>
        <w:rPr>
          <w:rFonts w:cs="Arial"/>
          <w:lang w:val="es-CO"/>
        </w:rPr>
      </w:pPr>
      <w:r w:rsidRPr="007B5666">
        <w:rPr>
          <w:rFonts w:cs="Arial"/>
          <w:lang w:val="es-CO"/>
        </w:rPr>
        <w:t>Realizar aportes a la guía de infraestructura del SRP teniendo en cuenta sus falencias, por ejemplo, en lo relacionado con la inclusión de conceptos o estándares para la dotación de cocina, y seguridad, especificaciones para la construcción o adecuación de espacios para educación y preparación para el trabajo.</w:t>
      </w:r>
    </w:p>
    <w:p w:rsidR="007B5666" w:rsidRPr="007B5666" w:rsidRDefault="007B5666" w:rsidP="007B5666">
      <w:pPr>
        <w:autoSpaceDE w:val="0"/>
        <w:autoSpaceDN w:val="0"/>
        <w:spacing w:before="40" w:after="0"/>
        <w:jc w:val="both"/>
        <w:rPr>
          <w:rFonts w:cs="Arial"/>
          <w:lang w:val="es-CO"/>
        </w:rPr>
      </w:pPr>
    </w:p>
    <w:p w:rsidR="004E37DF" w:rsidRDefault="004E37DF" w:rsidP="00A44A2B">
      <w:pPr>
        <w:pStyle w:val="Prrafodelista"/>
        <w:numPr>
          <w:ilvl w:val="0"/>
          <w:numId w:val="53"/>
        </w:numPr>
        <w:autoSpaceDE w:val="0"/>
        <w:autoSpaceDN w:val="0"/>
        <w:spacing w:before="40" w:after="0"/>
        <w:jc w:val="both"/>
        <w:rPr>
          <w:rFonts w:cs="Arial"/>
          <w:lang w:val="es-CO"/>
        </w:rPr>
      </w:pPr>
      <w:r w:rsidRPr="007B5666">
        <w:rPr>
          <w:rFonts w:cs="Arial"/>
          <w:lang w:val="es-CO"/>
        </w:rPr>
        <w:t>Ejecutar los proyectos en los plazos establecidos.</w:t>
      </w:r>
    </w:p>
    <w:p w:rsidR="007B5666" w:rsidRPr="007B5666" w:rsidRDefault="007B5666" w:rsidP="007B5666">
      <w:pPr>
        <w:autoSpaceDE w:val="0"/>
        <w:autoSpaceDN w:val="0"/>
        <w:spacing w:before="40" w:after="0"/>
        <w:jc w:val="both"/>
        <w:rPr>
          <w:rFonts w:cs="Arial"/>
          <w:lang w:val="es-CO"/>
        </w:rPr>
      </w:pPr>
    </w:p>
    <w:p w:rsidR="004E37DF" w:rsidRDefault="004E37DF" w:rsidP="00A44A2B">
      <w:pPr>
        <w:pStyle w:val="Prrafodelista"/>
        <w:numPr>
          <w:ilvl w:val="0"/>
          <w:numId w:val="53"/>
        </w:numPr>
        <w:autoSpaceDE w:val="0"/>
        <w:autoSpaceDN w:val="0"/>
        <w:spacing w:before="40" w:after="0"/>
        <w:jc w:val="both"/>
        <w:rPr>
          <w:rFonts w:cs="Arial"/>
          <w:lang w:val="es-CO"/>
        </w:rPr>
      </w:pPr>
      <w:r w:rsidRPr="007B5666">
        <w:rPr>
          <w:rFonts w:cs="Arial"/>
          <w:lang w:val="es-CO"/>
        </w:rPr>
        <w:t>Liquidar y legalizar los contratos 2428 de 201</w:t>
      </w:r>
      <w:r w:rsidR="007B5666">
        <w:rPr>
          <w:rFonts w:cs="Arial"/>
          <w:lang w:val="es-CO"/>
        </w:rPr>
        <w:t>2, 1517 de 2016 y 1553 de 2016.</w:t>
      </w:r>
    </w:p>
    <w:p w:rsidR="007B5666" w:rsidRPr="007B5666" w:rsidRDefault="007B5666" w:rsidP="007B5666">
      <w:pPr>
        <w:autoSpaceDE w:val="0"/>
        <w:autoSpaceDN w:val="0"/>
        <w:spacing w:before="40" w:after="0"/>
        <w:jc w:val="both"/>
        <w:rPr>
          <w:rFonts w:cs="Arial"/>
          <w:lang w:val="es-CO"/>
        </w:rPr>
      </w:pPr>
    </w:p>
    <w:p w:rsidR="004E37DF" w:rsidRDefault="004E37DF" w:rsidP="00A44A2B">
      <w:pPr>
        <w:pStyle w:val="Prrafodelista"/>
        <w:numPr>
          <w:ilvl w:val="0"/>
          <w:numId w:val="53"/>
        </w:numPr>
        <w:autoSpaceDE w:val="0"/>
        <w:autoSpaceDN w:val="0"/>
        <w:spacing w:before="40" w:after="0"/>
        <w:jc w:val="both"/>
        <w:rPr>
          <w:rFonts w:cs="Arial"/>
          <w:lang w:val="es-CO"/>
        </w:rPr>
      </w:pPr>
      <w:r w:rsidRPr="007B5666">
        <w:rPr>
          <w:rFonts w:cs="Arial"/>
          <w:lang w:val="es-CO"/>
        </w:rPr>
        <w:t>Finalizar con éxito la ejecución de la totalidad de los proyectos en curso en la presente vigencia.</w:t>
      </w:r>
    </w:p>
    <w:p w:rsidR="007B5666" w:rsidRPr="007B5666" w:rsidRDefault="007B5666" w:rsidP="007B5666">
      <w:pPr>
        <w:autoSpaceDE w:val="0"/>
        <w:autoSpaceDN w:val="0"/>
        <w:spacing w:before="40" w:after="0"/>
        <w:jc w:val="both"/>
        <w:rPr>
          <w:rFonts w:cs="Arial"/>
          <w:lang w:val="es-CO"/>
        </w:rPr>
      </w:pPr>
    </w:p>
    <w:p w:rsidR="00E87612" w:rsidRPr="007B5666" w:rsidRDefault="004E37DF" w:rsidP="00A44A2B">
      <w:pPr>
        <w:pStyle w:val="Prrafodelista"/>
        <w:numPr>
          <w:ilvl w:val="0"/>
          <w:numId w:val="53"/>
        </w:numPr>
        <w:autoSpaceDE w:val="0"/>
        <w:autoSpaceDN w:val="0"/>
        <w:spacing w:before="40" w:after="0"/>
        <w:jc w:val="both"/>
        <w:rPr>
          <w:rFonts w:cs="Arial"/>
          <w:lang w:val="es-CO"/>
        </w:rPr>
      </w:pPr>
      <w:r w:rsidRPr="007B5666">
        <w:rPr>
          <w:rFonts w:cs="Arial"/>
          <w:lang w:val="es-CO"/>
        </w:rPr>
        <w:t>Lograr la liquidación total de los contratos finalizados.</w:t>
      </w:r>
    </w:p>
    <w:p w:rsidR="007B6477" w:rsidRPr="00E2319F" w:rsidRDefault="007B6477" w:rsidP="007B6477">
      <w:pPr>
        <w:pStyle w:val="Prrafodelista"/>
        <w:spacing w:after="0"/>
        <w:ind w:left="720"/>
        <w:jc w:val="both"/>
        <w:rPr>
          <w:rFonts w:cs="Arial"/>
        </w:rPr>
      </w:pPr>
    </w:p>
    <w:p w:rsidR="00E87612" w:rsidRPr="00E2319F" w:rsidRDefault="00E87612" w:rsidP="00E87612">
      <w:pPr>
        <w:jc w:val="both"/>
        <w:rPr>
          <w:rFonts w:cs="Arial"/>
          <w:b/>
        </w:rPr>
      </w:pPr>
      <w:r w:rsidRPr="00E2319F">
        <w:rPr>
          <w:rFonts w:cs="Arial"/>
          <w:b/>
        </w:rPr>
        <w:t>Retos Estrategia Cero Papel 2018</w:t>
      </w:r>
    </w:p>
    <w:p w:rsidR="00E87612" w:rsidRDefault="00E87612" w:rsidP="00A44A2B">
      <w:pPr>
        <w:pStyle w:val="Prrafodelista"/>
        <w:numPr>
          <w:ilvl w:val="0"/>
          <w:numId w:val="54"/>
        </w:numPr>
        <w:autoSpaceDE w:val="0"/>
        <w:autoSpaceDN w:val="0"/>
        <w:spacing w:before="40" w:after="0"/>
        <w:jc w:val="both"/>
        <w:rPr>
          <w:rFonts w:cs="Arial"/>
          <w:lang w:val="es-CO"/>
        </w:rPr>
      </w:pPr>
      <w:r w:rsidRPr="00E2319F">
        <w:rPr>
          <w:rFonts w:cs="Arial"/>
          <w:lang w:val="es-CO"/>
        </w:rPr>
        <w:t>Avanzar en la implementación del gestor documental para la sede nacional – ORFEO, se informó por parte de los desarrolladores del aplicativo que la fecha prevista para dar inicio con su implementación es el primero mayo de 2018.</w:t>
      </w:r>
    </w:p>
    <w:p w:rsidR="005900DC" w:rsidRPr="00E2319F" w:rsidRDefault="005900DC" w:rsidP="005900DC">
      <w:pPr>
        <w:pStyle w:val="Prrafodelista"/>
        <w:autoSpaceDE w:val="0"/>
        <w:autoSpaceDN w:val="0"/>
        <w:spacing w:before="40" w:after="0"/>
        <w:ind w:left="360"/>
        <w:jc w:val="both"/>
        <w:rPr>
          <w:rFonts w:cs="Arial"/>
          <w:lang w:val="es-CO"/>
        </w:rPr>
      </w:pPr>
    </w:p>
    <w:p w:rsidR="00E87612" w:rsidRPr="00E2319F" w:rsidRDefault="00E87612" w:rsidP="00A44A2B">
      <w:pPr>
        <w:pStyle w:val="Prrafodelista"/>
        <w:numPr>
          <w:ilvl w:val="0"/>
          <w:numId w:val="54"/>
        </w:numPr>
        <w:autoSpaceDE w:val="0"/>
        <w:autoSpaceDN w:val="0"/>
        <w:spacing w:before="40" w:after="0"/>
        <w:jc w:val="both"/>
        <w:rPr>
          <w:rFonts w:cs="Arial"/>
          <w:lang w:val="es-CO"/>
        </w:rPr>
      </w:pPr>
      <w:r w:rsidRPr="00E2319F">
        <w:rPr>
          <w:rFonts w:cs="Arial"/>
          <w:lang w:val="es-CO"/>
        </w:rPr>
        <w:t>Dar cumplimiento a la actividad de verificación del parque de impresoras de la Sede Nacional respecto a la funcionalidad y compatibilidad con office para control de impresión por clave, por parte de la Dirección de Tecnología.</w:t>
      </w:r>
    </w:p>
    <w:p w:rsidR="004E37DF" w:rsidRPr="00E2319F" w:rsidRDefault="004E37DF" w:rsidP="004E37DF">
      <w:pPr>
        <w:spacing w:before="100" w:beforeAutospacing="1" w:after="100" w:afterAutospacing="1" w:line="240" w:lineRule="auto"/>
        <w:jc w:val="both"/>
        <w:rPr>
          <w:rFonts w:cs="Arial"/>
          <w:b/>
          <w:lang w:eastAsia="es-CO"/>
        </w:rPr>
      </w:pPr>
      <w:r w:rsidRPr="00E2319F">
        <w:rPr>
          <w:rFonts w:cs="Arial"/>
          <w:b/>
          <w:lang w:eastAsia="es-CO"/>
        </w:rPr>
        <w:lastRenderedPageBreak/>
        <w:t>R</w:t>
      </w:r>
      <w:r w:rsidR="00E87612" w:rsidRPr="00E2319F">
        <w:rPr>
          <w:rFonts w:cs="Arial"/>
          <w:b/>
          <w:lang w:eastAsia="es-CO"/>
        </w:rPr>
        <w:t xml:space="preserve">etos Gestión De calidad </w:t>
      </w:r>
      <w:r w:rsidRPr="00E2319F">
        <w:rPr>
          <w:rFonts w:cs="Arial"/>
          <w:b/>
          <w:lang w:eastAsia="es-CO"/>
        </w:rPr>
        <w:t>2018</w:t>
      </w:r>
    </w:p>
    <w:p w:rsidR="004E37DF" w:rsidRDefault="004E37DF" w:rsidP="00A44A2B">
      <w:pPr>
        <w:numPr>
          <w:ilvl w:val="0"/>
          <w:numId w:val="79"/>
        </w:numPr>
        <w:spacing w:before="100" w:beforeAutospacing="1" w:after="100" w:afterAutospacing="1" w:line="240" w:lineRule="auto"/>
        <w:contextualSpacing/>
        <w:jc w:val="both"/>
        <w:rPr>
          <w:rFonts w:cs="Arial"/>
        </w:rPr>
      </w:pPr>
      <w:r w:rsidRPr="00E2319F">
        <w:rPr>
          <w:rFonts w:cs="Arial"/>
        </w:rPr>
        <w:t>Actualización de la Certificación Icontec del ICBF en las versiones 2015 de las siguientes normas: ISO 9001:2015 Calidad, para la Sede, las 33 Regionales, los Centros Zonales y prestadores de servicio, y la ISO 14001:2015 Ambiental, para la Sede, la regional Quindío y un servicio de Primera Infancia en el CDI La Colina Fi</w:t>
      </w:r>
      <w:r w:rsidR="00323E4C" w:rsidRPr="00E2319F">
        <w:rPr>
          <w:rFonts w:cs="Arial"/>
        </w:rPr>
        <w:t>n</w:t>
      </w:r>
      <w:r w:rsidRPr="00E2319F">
        <w:rPr>
          <w:rFonts w:cs="Arial"/>
        </w:rPr>
        <w:t>landia. Así como certificación en  27001:</w:t>
      </w:r>
      <w:r w:rsidR="007B5666">
        <w:rPr>
          <w:rFonts w:cs="Arial"/>
        </w:rPr>
        <w:t xml:space="preserve"> </w:t>
      </w:r>
      <w:r w:rsidRPr="00E2319F">
        <w:rPr>
          <w:rFonts w:cs="Arial"/>
        </w:rPr>
        <w:t>2013 Seguridad de la Información y 18001:2007 Seguridad y Salud en el Trabajo las cuales aplicaran para para la Sede y 16 Regionales.</w:t>
      </w:r>
    </w:p>
    <w:p w:rsidR="005900DC" w:rsidRPr="00E2319F" w:rsidRDefault="005900DC" w:rsidP="005900DC">
      <w:pPr>
        <w:spacing w:before="100" w:beforeAutospacing="1" w:after="100" w:afterAutospacing="1" w:line="240" w:lineRule="auto"/>
        <w:ind w:left="360"/>
        <w:contextualSpacing/>
        <w:jc w:val="both"/>
        <w:rPr>
          <w:rFonts w:cs="Arial"/>
        </w:rPr>
      </w:pPr>
    </w:p>
    <w:p w:rsidR="004E37DF" w:rsidRDefault="004E37DF" w:rsidP="00A44A2B">
      <w:pPr>
        <w:numPr>
          <w:ilvl w:val="0"/>
          <w:numId w:val="79"/>
        </w:numPr>
        <w:spacing w:before="100" w:beforeAutospacing="1" w:after="100" w:afterAutospacing="1" w:line="240" w:lineRule="auto"/>
        <w:contextualSpacing/>
        <w:jc w:val="both"/>
        <w:rPr>
          <w:rFonts w:cs="Arial"/>
        </w:rPr>
      </w:pPr>
      <w:r w:rsidRPr="00E2319F">
        <w:rPr>
          <w:rFonts w:cs="Arial"/>
        </w:rPr>
        <w:t>Implementación progresiva del Modelo Integrado de Planeación y Gestión bajo los lineamientos planteados por el Departamento Administrativo de la Función Pública.</w:t>
      </w:r>
    </w:p>
    <w:p w:rsidR="005900DC" w:rsidRPr="00E2319F" w:rsidRDefault="005900DC" w:rsidP="005900DC">
      <w:pPr>
        <w:spacing w:before="100" w:beforeAutospacing="1" w:after="100" w:afterAutospacing="1" w:line="240" w:lineRule="auto"/>
        <w:contextualSpacing/>
        <w:jc w:val="both"/>
        <w:rPr>
          <w:rFonts w:cs="Arial"/>
        </w:rPr>
      </w:pPr>
    </w:p>
    <w:p w:rsidR="004E37DF" w:rsidRPr="005900DC" w:rsidRDefault="004E37DF" w:rsidP="00A44A2B">
      <w:pPr>
        <w:numPr>
          <w:ilvl w:val="0"/>
          <w:numId w:val="79"/>
        </w:numPr>
        <w:spacing w:before="100" w:beforeAutospacing="1" w:after="100" w:afterAutospacing="1" w:line="240" w:lineRule="auto"/>
        <w:contextualSpacing/>
        <w:jc w:val="both"/>
        <w:rPr>
          <w:rFonts w:cs="Arial"/>
        </w:rPr>
      </w:pPr>
      <w:r w:rsidRPr="00E2319F">
        <w:rPr>
          <w:rFonts w:cs="Arial"/>
        </w:rPr>
        <w:t>Realizar convocatoria para Modelo de Innovación 2018.</w:t>
      </w:r>
    </w:p>
    <w:p w:rsidR="004E37DF" w:rsidRPr="00E2319F" w:rsidRDefault="004E37DF" w:rsidP="004E37DF">
      <w:pPr>
        <w:pStyle w:val="Prrafodelista"/>
        <w:spacing w:after="160" w:line="259" w:lineRule="auto"/>
        <w:ind w:left="720"/>
        <w:contextualSpacing/>
        <w:jc w:val="both"/>
        <w:rPr>
          <w:rFonts w:cs="Arial"/>
        </w:rPr>
      </w:pPr>
    </w:p>
    <w:p w:rsidR="007B5666" w:rsidRDefault="007B5666">
      <w:pPr>
        <w:spacing w:after="0" w:line="240" w:lineRule="auto"/>
        <w:rPr>
          <w:rFonts w:cs="Arial"/>
        </w:rPr>
      </w:pPr>
      <w:r>
        <w:rPr>
          <w:rFonts w:cs="Arial"/>
        </w:rPr>
        <w:br w:type="page"/>
      </w:r>
    </w:p>
    <w:p w:rsidR="00592832" w:rsidRPr="00E2319F" w:rsidRDefault="00592832" w:rsidP="00A44A2B">
      <w:pPr>
        <w:pStyle w:val="Ttulo1"/>
        <w:numPr>
          <w:ilvl w:val="0"/>
          <w:numId w:val="139"/>
        </w:numPr>
        <w:rPr>
          <w:rFonts w:cs="Arial"/>
        </w:rPr>
      </w:pPr>
      <w:bookmarkStart w:id="177" w:name="_Toc505183106"/>
      <w:r w:rsidRPr="00E2319F">
        <w:rPr>
          <w:rFonts w:cs="Arial"/>
        </w:rPr>
        <w:lastRenderedPageBreak/>
        <w:t>M</w:t>
      </w:r>
      <w:r w:rsidR="00323E4C" w:rsidRPr="00E2319F">
        <w:rPr>
          <w:rFonts w:cs="Arial"/>
        </w:rPr>
        <w:t>ODELO ESTANDAR DE CONTROL INTERNO</w:t>
      </w:r>
      <w:r w:rsidRPr="00E2319F">
        <w:rPr>
          <w:rFonts w:cs="Arial"/>
        </w:rPr>
        <w:t xml:space="preserve"> – MECI OFICINA DE CONTROL INTERNO</w:t>
      </w:r>
      <w:bookmarkEnd w:id="177"/>
    </w:p>
    <w:p w:rsidR="00E05204" w:rsidRPr="00E2319F" w:rsidRDefault="00E05204" w:rsidP="00E05204">
      <w:pPr>
        <w:autoSpaceDE w:val="0"/>
        <w:autoSpaceDN w:val="0"/>
        <w:adjustRightInd w:val="0"/>
        <w:spacing w:before="100" w:beforeAutospacing="1" w:after="100" w:afterAutospacing="1" w:line="240" w:lineRule="auto"/>
        <w:jc w:val="both"/>
        <w:rPr>
          <w:rFonts w:cs="Arial"/>
        </w:rPr>
      </w:pPr>
      <w:r w:rsidRPr="00E2319F">
        <w:rPr>
          <w:rFonts w:cs="Arial"/>
        </w:rPr>
        <w:t>El Modelo Estándar de Control Interno brinda a las organizaciones una estructura de control cuyo fin es garantizar el cumplimiento de los objetivos institucionales y la contribución de estos a los fines esenciales del Estado. Además, es una herramienta de apoyo a la Alta Dirección en el seguimiento a la gestión facilitando la implementación y fortalecimiento continuo del Sistema de Control Interno.</w:t>
      </w:r>
    </w:p>
    <w:p w:rsidR="00E05204" w:rsidRPr="00E2319F" w:rsidRDefault="00E05204" w:rsidP="00E05204">
      <w:pPr>
        <w:autoSpaceDE w:val="0"/>
        <w:autoSpaceDN w:val="0"/>
        <w:adjustRightInd w:val="0"/>
        <w:spacing w:before="100" w:beforeAutospacing="1" w:after="100" w:afterAutospacing="1" w:line="240" w:lineRule="auto"/>
        <w:jc w:val="both"/>
        <w:rPr>
          <w:rFonts w:cs="Arial"/>
        </w:rPr>
      </w:pPr>
      <w:r w:rsidRPr="00E2319F">
        <w:rPr>
          <w:rFonts w:cs="Arial"/>
        </w:rPr>
        <w:t xml:space="preserve">El SCI se evalúa anualmente por medio del Indicador de madurez del MECI, de conformidad con la metodología establecida por el Departamento Administrativo de la Función Pública DAFP, identificándose el grado de desarrollo de sus componentes, orientando a las entidades hacia aquellos aspectos que requieren mayor atención o acciones para su mejora. </w:t>
      </w:r>
    </w:p>
    <w:p w:rsidR="00E05204" w:rsidRPr="00E2319F" w:rsidRDefault="00E05204" w:rsidP="00E05204">
      <w:pPr>
        <w:autoSpaceDE w:val="0"/>
        <w:autoSpaceDN w:val="0"/>
        <w:adjustRightInd w:val="0"/>
        <w:spacing w:before="100" w:beforeAutospacing="1" w:after="100" w:afterAutospacing="1" w:line="240" w:lineRule="auto"/>
        <w:jc w:val="both"/>
        <w:rPr>
          <w:rFonts w:cs="Arial"/>
        </w:rPr>
      </w:pPr>
      <w:r w:rsidRPr="00E2319F">
        <w:rPr>
          <w:rFonts w:cs="Arial"/>
        </w:rPr>
        <w:t xml:space="preserve">En mayo de 2017 se entregaron los resultados correspondientes a la vigencia 2016 obteniéndose para el ICBF una calificación del 81.39%, lo que ubica al SCI en un rango satisfactorio de cumplimiento y denota el mejoramiento continuo en su implementación y fortalecimiento desde </w:t>
      </w:r>
      <w:r w:rsidR="007B5666" w:rsidRPr="00E2319F">
        <w:rPr>
          <w:rFonts w:cs="Arial"/>
        </w:rPr>
        <w:t>el año</w:t>
      </w:r>
      <w:r w:rsidRPr="00E2319F">
        <w:rPr>
          <w:rFonts w:cs="Arial"/>
        </w:rPr>
        <w:t xml:space="preserve"> 2014.</w:t>
      </w:r>
    </w:p>
    <w:p w:rsidR="00E05204" w:rsidRPr="00E2319F" w:rsidRDefault="00E05204" w:rsidP="007B5666">
      <w:pPr>
        <w:jc w:val="center"/>
        <w:rPr>
          <w:rFonts w:cs="Arial"/>
          <w:b/>
        </w:rPr>
      </w:pPr>
      <w:r w:rsidRPr="00E2319F">
        <w:rPr>
          <w:rFonts w:cs="Arial"/>
          <w:b/>
        </w:rPr>
        <w:t>Comportamiento Indicador de Madurez ICBF</w:t>
      </w:r>
    </w:p>
    <w:p w:rsidR="00E05204" w:rsidRPr="00E2319F" w:rsidRDefault="00E05204" w:rsidP="00E05204">
      <w:pPr>
        <w:rPr>
          <w:rFonts w:cs="Arial"/>
        </w:rPr>
      </w:pPr>
    </w:p>
    <w:p w:rsidR="00E05204" w:rsidRPr="00E2319F" w:rsidRDefault="00E05204" w:rsidP="00E05204">
      <w:pPr>
        <w:rPr>
          <w:rFonts w:cs="Arial"/>
        </w:rPr>
      </w:pPr>
      <w:r w:rsidRPr="00E2319F">
        <w:rPr>
          <w:rFonts w:cs="Arial"/>
          <w:noProof/>
          <w:lang w:val="es-CO" w:eastAsia="es-CO"/>
        </w:rPr>
        <w:drawing>
          <wp:anchor distT="0" distB="0" distL="114300" distR="114300" simplePos="0" relativeHeight="251810304" behindDoc="1" locked="0" layoutInCell="1" allowOverlap="1" wp14:anchorId="3BBF6EFA" wp14:editId="3A1142B0">
            <wp:simplePos x="0" y="0"/>
            <wp:positionH relativeFrom="margin">
              <wp:posOffset>-635</wp:posOffset>
            </wp:positionH>
            <wp:positionV relativeFrom="paragraph">
              <wp:posOffset>0</wp:posOffset>
            </wp:positionV>
            <wp:extent cx="4146550" cy="3009900"/>
            <wp:effectExtent l="0" t="0" r="6350" b="0"/>
            <wp:wrapTight wrapText="bothSides">
              <wp:wrapPolygon edited="0">
                <wp:start x="0" y="0"/>
                <wp:lineTo x="0" y="21463"/>
                <wp:lineTo x="21534" y="21463"/>
                <wp:lineTo x="21534" y="0"/>
                <wp:lineTo x="0" y="0"/>
              </wp:wrapPolygon>
            </wp:wrapTight>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p>
    <w:p w:rsidR="00E05204" w:rsidRPr="00E2319F" w:rsidRDefault="00E05204" w:rsidP="00E05204">
      <w:pPr>
        <w:rPr>
          <w:rFonts w:cs="Arial"/>
        </w:rPr>
      </w:pPr>
    </w:p>
    <w:p w:rsidR="00E05204" w:rsidRPr="00E2319F" w:rsidRDefault="00E05204" w:rsidP="00E05204">
      <w:pPr>
        <w:rPr>
          <w:rFonts w:cs="Arial"/>
        </w:rPr>
      </w:pPr>
    </w:p>
    <w:p w:rsidR="00E05204" w:rsidRPr="00E2319F" w:rsidRDefault="00E05204" w:rsidP="00E05204">
      <w:pPr>
        <w:rPr>
          <w:rFonts w:cs="Arial"/>
        </w:rPr>
      </w:pPr>
    </w:p>
    <w:p w:rsidR="00E05204" w:rsidRPr="00E2319F" w:rsidRDefault="00E05204" w:rsidP="00E05204">
      <w:pPr>
        <w:rPr>
          <w:rFonts w:cs="Arial"/>
        </w:rPr>
      </w:pPr>
      <w:r w:rsidRPr="00E2319F">
        <w:rPr>
          <w:rFonts w:cs="Arial"/>
          <w:noProof/>
          <w:lang w:val="es-CO" w:eastAsia="es-CO"/>
        </w:rPr>
        <w:drawing>
          <wp:anchor distT="0" distB="0" distL="114300" distR="114300" simplePos="0" relativeHeight="251811328" behindDoc="1" locked="0" layoutInCell="1" allowOverlap="1" wp14:anchorId="433839EC" wp14:editId="5F12E05C">
            <wp:simplePos x="0" y="0"/>
            <wp:positionH relativeFrom="column">
              <wp:posOffset>4247515</wp:posOffset>
            </wp:positionH>
            <wp:positionV relativeFrom="paragraph">
              <wp:posOffset>0</wp:posOffset>
            </wp:positionV>
            <wp:extent cx="1997710" cy="1388745"/>
            <wp:effectExtent l="0" t="0" r="2540" b="190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extLst>
                        <a:ext uri="{28A0092B-C50C-407E-A947-70E740481C1C}">
                          <a14:useLocalDpi xmlns:a14="http://schemas.microsoft.com/office/drawing/2010/main" val="0"/>
                        </a:ext>
                      </a:extLst>
                    </a:blip>
                    <a:srcRect l="67210" t="58339" r="14228" b="18729"/>
                    <a:stretch/>
                  </pic:blipFill>
                  <pic:spPr bwMode="auto">
                    <a:xfrm>
                      <a:off x="0" y="0"/>
                      <a:ext cx="1997710" cy="1388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5204" w:rsidRPr="00E2319F" w:rsidRDefault="00E05204" w:rsidP="00E05204">
      <w:pPr>
        <w:rPr>
          <w:rFonts w:cs="Arial"/>
        </w:rPr>
      </w:pPr>
    </w:p>
    <w:p w:rsidR="00E05204" w:rsidRPr="00E2319F" w:rsidRDefault="00E05204" w:rsidP="00E05204">
      <w:pPr>
        <w:rPr>
          <w:rFonts w:cs="Arial"/>
        </w:rPr>
      </w:pPr>
    </w:p>
    <w:p w:rsidR="00E05204" w:rsidRPr="00E2319F" w:rsidRDefault="00E05204" w:rsidP="00E05204">
      <w:pPr>
        <w:rPr>
          <w:rFonts w:cs="Arial"/>
        </w:rPr>
      </w:pPr>
    </w:p>
    <w:p w:rsidR="00E05204" w:rsidRPr="00E2319F" w:rsidRDefault="00E05204" w:rsidP="00E05204">
      <w:pPr>
        <w:rPr>
          <w:rFonts w:cs="Arial"/>
        </w:rPr>
      </w:pPr>
    </w:p>
    <w:p w:rsidR="00323E4C" w:rsidRPr="00E2319F" w:rsidRDefault="00323E4C" w:rsidP="00E05204">
      <w:pPr>
        <w:rPr>
          <w:rFonts w:cs="Arial"/>
        </w:rPr>
      </w:pPr>
    </w:p>
    <w:p w:rsidR="00E05204" w:rsidRPr="007B5666" w:rsidRDefault="00E05204" w:rsidP="00E05204">
      <w:pPr>
        <w:rPr>
          <w:rFonts w:cs="Arial"/>
          <w:sz w:val="16"/>
          <w:szCs w:val="16"/>
        </w:rPr>
      </w:pPr>
      <w:r w:rsidRPr="007B5666">
        <w:rPr>
          <w:rFonts w:cs="Arial"/>
          <w:sz w:val="16"/>
          <w:szCs w:val="16"/>
        </w:rPr>
        <w:t>Fuente: Aplicativo DAFP</w:t>
      </w:r>
    </w:p>
    <w:p w:rsidR="00E05204" w:rsidRPr="00E2319F" w:rsidRDefault="00E05204" w:rsidP="00E05204">
      <w:pPr>
        <w:rPr>
          <w:rFonts w:cs="Arial"/>
        </w:rPr>
      </w:pPr>
      <w:r w:rsidRPr="00E2319F">
        <w:rPr>
          <w:rFonts w:cs="Arial"/>
        </w:rPr>
        <w:t xml:space="preserve">La Entidad ha adelantado acciones dirigidas a mantener y mejorar la implementación del modelo, las cuales se describen a continuación: </w:t>
      </w:r>
    </w:p>
    <w:p w:rsidR="00E05204" w:rsidRPr="00E2319F" w:rsidRDefault="00E05204" w:rsidP="00E05204">
      <w:pPr>
        <w:spacing w:before="100" w:beforeAutospacing="1" w:after="100" w:afterAutospacing="1" w:line="240" w:lineRule="auto"/>
        <w:jc w:val="both"/>
        <w:rPr>
          <w:rFonts w:cs="Arial"/>
          <w:b/>
        </w:rPr>
      </w:pPr>
      <w:r w:rsidRPr="00E2319F">
        <w:rPr>
          <w:rFonts w:cs="Arial"/>
          <w:b/>
        </w:rPr>
        <w:lastRenderedPageBreak/>
        <w:t>MÓDULO DE CONTROL DE PLANEACIÓN Y GESTIÓN</w:t>
      </w:r>
    </w:p>
    <w:p w:rsidR="00E05204" w:rsidRPr="00E2319F" w:rsidRDefault="00E05204" w:rsidP="00E05204">
      <w:pPr>
        <w:spacing w:before="100" w:beforeAutospacing="1" w:after="100" w:afterAutospacing="1" w:line="240" w:lineRule="auto"/>
        <w:jc w:val="both"/>
        <w:rPr>
          <w:rFonts w:cs="Arial"/>
          <w:b/>
        </w:rPr>
      </w:pPr>
      <w:r w:rsidRPr="00E2319F">
        <w:rPr>
          <w:rFonts w:cs="Arial"/>
          <w:b/>
        </w:rPr>
        <w:t>Componente Talento Humano</w:t>
      </w:r>
    </w:p>
    <w:p w:rsidR="00E05204" w:rsidRPr="00E2319F" w:rsidRDefault="00E05204" w:rsidP="00E05204">
      <w:pPr>
        <w:spacing w:before="100" w:beforeAutospacing="1" w:after="100" w:afterAutospacing="1" w:line="240" w:lineRule="auto"/>
        <w:jc w:val="both"/>
        <w:rPr>
          <w:rFonts w:cs="Arial"/>
        </w:rPr>
      </w:pPr>
      <w:r w:rsidRPr="00E2319F">
        <w:rPr>
          <w:rFonts w:cs="Arial"/>
        </w:rPr>
        <w:t xml:space="preserve">Mediante Acuerdo No 005 de 17 de agosto de 2016 se adoptó el Código de Ética y Buen Gobierno del ICBF; su socialización se realizó en las jornadas de inducción y reinducción, y por medio de correo masivo con el fin de comunicar y fortalecer en los funcionarios y contratistas los principios y/o valores adoptados institucionalmente. En el año 2017 se gestionó una actualización al mismo y se expidió el Acuerdo No. 003 de 2017. </w:t>
      </w:r>
    </w:p>
    <w:p w:rsidR="00E05204" w:rsidRPr="00E2319F" w:rsidRDefault="00E05204" w:rsidP="00E05204">
      <w:pPr>
        <w:spacing w:before="100" w:beforeAutospacing="1" w:after="100" w:afterAutospacing="1" w:line="240" w:lineRule="auto"/>
        <w:jc w:val="both"/>
        <w:rPr>
          <w:rFonts w:cs="Arial"/>
        </w:rPr>
      </w:pPr>
      <w:r w:rsidRPr="00E2319F">
        <w:rPr>
          <w:rFonts w:cs="Arial"/>
        </w:rPr>
        <w:t>Por otra parte, el Plan Institucional de Capacitación (PIC) del ICBF fue adoptado mediante Resolución 2800 del 2017, en este se contemplan diferentes actividades en las modalidades presencial, virtual y semi presencial, dando así respuesta a los diferentes compromisos adquiridos y al fortalecimiento de la gestión del conocimiento. El plan de capacitación se despliega teniendo como base los siguientes ejes: Acciones para cambiar al mundo, Crecimiento personal y profesional, Desarrollo territorial y Nacional, y Gestión institucional. Así mismo, mediante las Resoluciones No. 1719 y No. 4600 del 2017 se adoptaron el Programa de Bienestar Social del ICBF y el Plan de Incentivos ICBF respectivamente.</w:t>
      </w:r>
    </w:p>
    <w:p w:rsidR="00E05204" w:rsidRPr="00E2319F" w:rsidRDefault="00E05204" w:rsidP="00E05204">
      <w:pPr>
        <w:spacing w:before="100" w:beforeAutospacing="1" w:after="100" w:afterAutospacing="1" w:line="240" w:lineRule="auto"/>
        <w:jc w:val="both"/>
        <w:rPr>
          <w:rFonts w:cs="Arial"/>
        </w:rPr>
      </w:pPr>
      <w:r w:rsidRPr="00E2319F">
        <w:rPr>
          <w:rFonts w:cs="Arial"/>
        </w:rPr>
        <w:t xml:space="preserve">El Sistema Tipo de Evaluación del Desempeño Laboral diseñado por la Comisión Nacional del Servicio Civil CNSC (Acuerdo 137 de 2010) fue adoptado en el ICBF bajo la Resolución 3425 de agosto de 2011; y con la Resolución No 2752 de 01 de abril de 2016 se adoptaron los factores para acceder al nivel de sobresaliente contemplados en el Sistema Tipo de Evaluación del Desempeño Laboral para servidores de carrera administrativa y quienes culminen periodo de prueba durante el período de evaluación 2016-2017. </w:t>
      </w:r>
    </w:p>
    <w:p w:rsidR="00E05204" w:rsidRPr="00E2319F" w:rsidRDefault="00E05204" w:rsidP="00E05204">
      <w:pPr>
        <w:spacing w:before="100" w:beforeAutospacing="1" w:after="100" w:afterAutospacing="1" w:line="240" w:lineRule="auto"/>
        <w:jc w:val="both"/>
        <w:rPr>
          <w:rFonts w:cs="Arial"/>
        </w:rPr>
      </w:pPr>
      <w:r w:rsidRPr="00E2319F">
        <w:rPr>
          <w:rFonts w:cs="Arial"/>
        </w:rPr>
        <w:t xml:space="preserve">La Dirección de Gestión Humana entregó en junio de 2017 el Informe Anual de Desempeño Laboral de los Servidores Públicos de Carrera Administrativa y de Libre Nombramiento y Remoción (Diferentes a los Gerentes Públicos) correspondiente al periodo febrero 2016 – enero 2017. Allí se señala un total de Servidores Públicos de carrera administrativa y libre nombramiento y remoción a evaluar de 2.435, de estos 2.424 fueron evaluados de los cuales 22 se identificaron en la categoría de “No requiere evaluación para el presente periodo”, y 11 restantes quedaron pendientes por evaluar. </w:t>
      </w:r>
    </w:p>
    <w:p w:rsidR="00E05204" w:rsidRPr="00E2319F" w:rsidRDefault="00E05204" w:rsidP="00E05204">
      <w:pPr>
        <w:spacing w:before="100" w:beforeAutospacing="1" w:after="100" w:afterAutospacing="1" w:line="240" w:lineRule="auto"/>
        <w:jc w:val="both"/>
        <w:rPr>
          <w:rFonts w:cs="Arial"/>
        </w:rPr>
      </w:pPr>
      <w:r w:rsidRPr="00E2319F">
        <w:rPr>
          <w:rFonts w:cs="Arial"/>
        </w:rPr>
        <w:t>Finalmente, mediante Resolución No 0404 de 31 de enero de 2017 se adoptó el Sistema Tipo de Evaluación del Desempeño Laboral para los servidores públicos de carrera y los nombrados del período de prueba del Instituto Colombiano de Bienestar Familiar en aplicación al Acuerdo 565 de 2016 emitido por la Comisión Nacional del Servicio Civil que rige a partir del período que inició el 1º de febrero de 2017, fecha a partir de la cual quedó derogado el Acuerdo No. 137 de 2010.</w:t>
      </w:r>
    </w:p>
    <w:p w:rsidR="00E05204" w:rsidRPr="00E2319F" w:rsidRDefault="00E05204" w:rsidP="00E05204">
      <w:pPr>
        <w:spacing w:before="100" w:beforeAutospacing="1" w:after="100" w:afterAutospacing="1" w:line="240" w:lineRule="auto"/>
        <w:jc w:val="both"/>
        <w:rPr>
          <w:rFonts w:cs="Arial"/>
          <w:b/>
        </w:rPr>
      </w:pPr>
      <w:r w:rsidRPr="00E2319F">
        <w:rPr>
          <w:rFonts w:cs="Arial"/>
          <w:b/>
        </w:rPr>
        <w:t>Componente Direccionamiento Estratégico</w:t>
      </w:r>
    </w:p>
    <w:p w:rsidR="00E05204" w:rsidRPr="00E2319F" w:rsidRDefault="00E05204" w:rsidP="00E05204">
      <w:pPr>
        <w:spacing w:before="100" w:beforeAutospacing="1" w:after="100" w:afterAutospacing="1" w:line="240" w:lineRule="auto"/>
        <w:jc w:val="both"/>
        <w:rPr>
          <w:rFonts w:cs="Arial"/>
        </w:rPr>
      </w:pPr>
      <w:r w:rsidRPr="00E2319F">
        <w:rPr>
          <w:rFonts w:cs="Arial"/>
        </w:rPr>
        <w:t xml:space="preserve">La Entidad cuenta con el Plan Indicativo Institucional 2015-2018 armonizado con el Plan Nacional de Desarrollo “Todos por un nuevo país” (Ley 1753 de 2015), el cual fue aprobado por el Consejo Directivo del ICBF el 21 de julio de 2015; y desde la vigencia 2013 el ICBF trabaja bajo el modelo de Plan de Acción Integral el cual contiene metas y compromisos del Plan Nacional de Desarrollo, </w:t>
      </w:r>
      <w:r w:rsidRPr="00E2319F">
        <w:rPr>
          <w:rFonts w:cs="Arial"/>
        </w:rPr>
        <w:lastRenderedPageBreak/>
        <w:t xml:space="preserve">el Plan de Víctimas, los documentos CONPES, los acuerdos para la prosperidad, recomendaciones de organismos internacionales, entre otras disposiciones. El monitoreo y seguimiento a los indicadores es realizado por la Dirección de Planeación y Control de Gestión mediante la herramienta de información denominada Sistema Integral de Monitoreo y Evaluación Institucional -SIMEI-, y los resultados mensuales pueden ser consultados por todos los grupos de interés del ICBF en el sitio web de la Entidad (www.icbf.gov.co). </w:t>
      </w:r>
    </w:p>
    <w:p w:rsidR="00E05204" w:rsidRPr="00E2319F" w:rsidRDefault="00E05204" w:rsidP="00E05204">
      <w:pPr>
        <w:spacing w:before="100" w:beforeAutospacing="1" w:after="100" w:afterAutospacing="1" w:line="240" w:lineRule="auto"/>
        <w:jc w:val="both"/>
        <w:rPr>
          <w:rFonts w:cs="Arial"/>
        </w:rPr>
      </w:pPr>
      <w:r w:rsidRPr="00E2319F">
        <w:rPr>
          <w:rFonts w:cs="Arial"/>
        </w:rPr>
        <w:t>Mediante la Resolución 8080 del 11 agosto de 2016 se actualizó el modelo de operación de procesos del ICBF y el Manual del Sistema Integrado de Gestión, y desde esa fecha se han adelantado actividades orientadas al Fortalecimiento del SIGE como: Promover acciones de mejora (seguimiento mensual y verificación de que los SNC cuenten con Plan de Tratamiento y evidencias para su cierre; seguimiento mensual y verificación del cierre eficaz de las Acciones Correctivas, Acciones Preventivas), fortalecer y revisar la documentación de los procesos, implementar Plan de Transición de las normas ISO 9001:2015 e ISO 14001:2015, implementar modelo de Gestión del conocimiento, aplicar la metodología de Administración de Riesgos, actualizar la Matriz de Requisitos Legales, desarrollar actividades de socialización y sensibilización para fortalecer el conocimiento y apropiación del Sistema Integrado de Gestión, y realizar el ejercicio de Revisión por la Dirección de forma semestral. Así mismo, el 16 de agosto de 2017 se expidió la Resolución 7070, por medio de la cual se Reorganiza el Sistema Integrado de Gestión en temas relacionados con los roles y responsabilidades en virtud del cumplimiento de las normas ISO 9001 (Calidad) y 14001 (Ambiental) en sus versiones 2015.</w:t>
      </w:r>
    </w:p>
    <w:p w:rsidR="00E05204" w:rsidRPr="00E2319F" w:rsidRDefault="00E05204" w:rsidP="00E05204">
      <w:pPr>
        <w:spacing w:before="100" w:beforeAutospacing="1" w:after="100" w:afterAutospacing="1" w:line="240" w:lineRule="auto"/>
        <w:jc w:val="both"/>
        <w:rPr>
          <w:rFonts w:cs="Arial"/>
        </w:rPr>
      </w:pPr>
      <w:r w:rsidRPr="00E2319F">
        <w:rPr>
          <w:rFonts w:cs="Arial"/>
        </w:rPr>
        <w:t>De acuerdo con lo establecido en el Decreto 1083 de 2015 se suscriben los Acuerdos de Gestión entre los gerentes públicos y el superior jerárquico en el ICBF con el fin de plasmar los compromisos de gestión del nivel directivo para el cumplimiento de Plan Nacional de Desarrollo, el Plan Estratégico Sectorial, el Plan Estratégico Institucional, y el Plan de Acción Anual.</w:t>
      </w:r>
    </w:p>
    <w:p w:rsidR="00E05204" w:rsidRPr="00E2319F" w:rsidRDefault="00E05204" w:rsidP="00E05204">
      <w:pPr>
        <w:spacing w:before="100" w:beforeAutospacing="1" w:after="100" w:afterAutospacing="1" w:line="240" w:lineRule="auto"/>
        <w:jc w:val="both"/>
        <w:rPr>
          <w:rFonts w:cs="Arial"/>
          <w:b/>
        </w:rPr>
      </w:pPr>
      <w:r w:rsidRPr="00E2319F">
        <w:rPr>
          <w:rFonts w:cs="Arial"/>
          <w:b/>
        </w:rPr>
        <w:t>Componente Administración del Riesgo</w:t>
      </w:r>
    </w:p>
    <w:p w:rsidR="00E05204" w:rsidRPr="00E2319F" w:rsidRDefault="00E05204" w:rsidP="00E05204">
      <w:pPr>
        <w:spacing w:before="100" w:beforeAutospacing="1" w:after="100" w:afterAutospacing="1" w:line="240" w:lineRule="auto"/>
        <w:jc w:val="both"/>
        <w:rPr>
          <w:rFonts w:cs="Arial"/>
        </w:rPr>
      </w:pPr>
      <w:r w:rsidRPr="00E2319F">
        <w:rPr>
          <w:rFonts w:cs="Arial"/>
        </w:rPr>
        <w:t xml:space="preserve">Se realizó actualización a la Guía Gestión de Riesgos (Código G3.MI Versión 3 del 30/10/2017), específicamente en su numeral 9 Gestión de riesgos de la información, en el cual se incluye lo referente al Plan de Continuidad del Negocio, y nuevos objetivos, entre otros temas. El seguimiento a la Gestión de Riesgos se realiza a través de dos (2) indicadores con los siguientes resultados a 31 de diciembre de 2017: </w:t>
      </w:r>
    </w:p>
    <w:p w:rsidR="00E05204" w:rsidRPr="00E2319F" w:rsidRDefault="00E05204" w:rsidP="00E05204">
      <w:pPr>
        <w:pStyle w:val="Descripcin"/>
        <w:keepNext/>
        <w:spacing w:before="100" w:beforeAutospacing="1" w:after="100" w:afterAutospacing="1"/>
        <w:jc w:val="both"/>
        <w:rPr>
          <w:rFonts w:cs="Arial"/>
          <w:sz w:val="22"/>
          <w:szCs w:val="22"/>
        </w:rPr>
      </w:pPr>
      <w:r w:rsidRPr="00E2319F">
        <w:rPr>
          <w:rFonts w:cs="Arial"/>
          <w:bCs w:val="0"/>
          <w:color w:val="auto"/>
          <w:sz w:val="22"/>
          <w:szCs w:val="22"/>
        </w:rPr>
        <w:t>Tabla No 1: Resultados Indicadores de Riesgos</w:t>
      </w:r>
    </w:p>
    <w:tbl>
      <w:tblPr>
        <w:tblW w:w="9390"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0" w:type="dxa"/>
          <w:right w:w="0" w:type="dxa"/>
        </w:tblCellMar>
        <w:tblLook w:val="04A0" w:firstRow="1" w:lastRow="0" w:firstColumn="1" w:lastColumn="0" w:noHBand="0" w:noVBand="1"/>
      </w:tblPr>
      <w:tblGrid>
        <w:gridCol w:w="1230"/>
        <w:gridCol w:w="1317"/>
        <w:gridCol w:w="1506"/>
        <w:gridCol w:w="1122"/>
        <w:gridCol w:w="721"/>
        <w:gridCol w:w="709"/>
        <w:gridCol w:w="708"/>
        <w:gridCol w:w="1280"/>
        <w:gridCol w:w="797"/>
      </w:tblGrid>
      <w:tr w:rsidR="0087719E" w:rsidRPr="00E2319F" w:rsidTr="007B5666">
        <w:trPr>
          <w:trHeight w:val="247"/>
        </w:trPr>
        <w:tc>
          <w:tcPr>
            <w:tcW w:w="1230" w:type="dxa"/>
            <w:shd w:val="clear" w:color="auto" w:fill="76922E"/>
            <w:noWrap/>
            <w:tcMar>
              <w:top w:w="0" w:type="dxa"/>
              <w:left w:w="108" w:type="dxa"/>
              <w:bottom w:w="0" w:type="dxa"/>
              <w:right w:w="108" w:type="dxa"/>
            </w:tcMar>
            <w:vAlign w:val="center"/>
            <w:hideMark/>
          </w:tcPr>
          <w:p w:rsidR="0087719E" w:rsidRPr="007B5666" w:rsidRDefault="0087719E" w:rsidP="007B5666">
            <w:pPr>
              <w:spacing w:before="100" w:beforeAutospacing="1" w:after="100" w:afterAutospacing="1" w:line="240" w:lineRule="auto"/>
              <w:jc w:val="center"/>
              <w:rPr>
                <w:rFonts w:cs="Arial"/>
                <w:b/>
                <w:bCs/>
                <w:color w:val="FFFFFF" w:themeColor="background1"/>
                <w:sz w:val="18"/>
                <w:szCs w:val="20"/>
                <w:lang w:val="es-CO" w:eastAsia="es-CO"/>
              </w:rPr>
            </w:pPr>
            <w:r w:rsidRPr="007B5666">
              <w:rPr>
                <w:rFonts w:cs="Arial"/>
                <w:b/>
                <w:bCs/>
                <w:color w:val="FFFFFF" w:themeColor="background1"/>
                <w:sz w:val="18"/>
                <w:szCs w:val="20"/>
                <w:lang w:eastAsia="es-CO"/>
              </w:rPr>
              <w:t>Cód.</w:t>
            </w:r>
          </w:p>
        </w:tc>
        <w:tc>
          <w:tcPr>
            <w:tcW w:w="1317" w:type="dxa"/>
            <w:shd w:val="clear" w:color="auto" w:fill="76922E"/>
            <w:noWrap/>
            <w:tcMar>
              <w:top w:w="0" w:type="dxa"/>
              <w:left w:w="108" w:type="dxa"/>
              <w:bottom w:w="0" w:type="dxa"/>
              <w:right w:w="108" w:type="dxa"/>
            </w:tcMar>
            <w:vAlign w:val="center"/>
            <w:hideMark/>
          </w:tcPr>
          <w:p w:rsidR="0087719E" w:rsidRPr="007B5666" w:rsidRDefault="0087719E" w:rsidP="007B5666">
            <w:pPr>
              <w:spacing w:before="100" w:beforeAutospacing="1" w:after="100" w:afterAutospacing="1" w:line="240" w:lineRule="auto"/>
              <w:jc w:val="center"/>
              <w:rPr>
                <w:rFonts w:cs="Arial"/>
                <w:b/>
                <w:bCs/>
                <w:color w:val="FFFFFF" w:themeColor="background1"/>
                <w:sz w:val="18"/>
                <w:szCs w:val="20"/>
                <w:lang w:eastAsia="es-CO"/>
              </w:rPr>
            </w:pPr>
            <w:r w:rsidRPr="007B5666">
              <w:rPr>
                <w:rFonts w:cs="Arial"/>
                <w:b/>
                <w:bCs/>
                <w:color w:val="FFFFFF" w:themeColor="background1"/>
                <w:sz w:val="18"/>
                <w:szCs w:val="20"/>
                <w:lang w:eastAsia="es-CO"/>
              </w:rPr>
              <w:t>Nombre</w:t>
            </w:r>
          </w:p>
        </w:tc>
        <w:tc>
          <w:tcPr>
            <w:tcW w:w="1554" w:type="dxa"/>
            <w:shd w:val="clear" w:color="auto" w:fill="76922E"/>
            <w:tcMar>
              <w:top w:w="0" w:type="dxa"/>
              <w:left w:w="108" w:type="dxa"/>
              <w:bottom w:w="0" w:type="dxa"/>
              <w:right w:w="108" w:type="dxa"/>
            </w:tcMar>
            <w:vAlign w:val="center"/>
            <w:hideMark/>
          </w:tcPr>
          <w:p w:rsidR="0087719E" w:rsidRPr="007B5666" w:rsidRDefault="0087719E" w:rsidP="007B5666">
            <w:pPr>
              <w:spacing w:before="100" w:beforeAutospacing="1" w:after="100" w:afterAutospacing="1" w:line="240" w:lineRule="auto"/>
              <w:jc w:val="center"/>
              <w:rPr>
                <w:rFonts w:cs="Arial"/>
                <w:b/>
                <w:bCs/>
                <w:color w:val="FFFFFF" w:themeColor="background1"/>
                <w:sz w:val="18"/>
                <w:szCs w:val="20"/>
                <w:lang w:eastAsia="es-CO"/>
              </w:rPr>
            </w:pPr>
            <w:r w:rsidRPr="007B5666">
              <w:rPr>
                <w:rFonts w:cs="Arial"/>
                <w:b/>
                <w:bCs/>
                <w:color w:val="FFFFFF" w:themeColor="background1"/>
                <w:sz w:val="18"/>
                <w:szCs w:val="20"/>
                <w:lang w:eastAsia="es-CO"/>
              </w:rPr>
              <w:t>Periodicidad</w:t>
            </w:r>
          </w:p>
        </w:tc>
        <w:tc>
          <w:tcPr>
            <w:tcW w:w="1122" w:type="dxa"/>
            <w:shd w:val="clear" w:color="auto" w:fill="76922E"/>
            <w:noWrap/>
            <w:tcMar>
              <w:top w:w="0" w:type="dxa"/>
              <w:left w:w="108" w:type="dxa"/>
              <w:bottom w:w="0" w:type="dxa"/>
              <w:right w:w="108" w:type="dxa"/>
            </w:tcMar>
            <w:vAlign w:val="center"/>
            <w:hideMark/>
          </w:tcPr>
          <w:p w:rsidR="0087719E" w:rsidRPr="007B5666" w:rsidRDefault="0087719E" w:rsidP="007B5666">
            <w:pPr>
              <w:spacing w:before="100" w:beforeAutospacing="1" w:after="100" w:afterAutospacing="1" w:line="240" w:lineRule="auto"/>
              <w:jc w:val="center"/>
              <w:rPr>
                <w:rFonts w:cs="Arial"/>
                <w:b/>
                <w:bCs/>
                <w:color w:val="FFFFFF" w:themeColor="background1"/>
                <w:sz w:val="18"/>
                <w:szCs w:val="20"/>
                <w:lang w:eastAsia="es-CO"/>
              </w:rPr>
            </w:pPr>
            <w:r w:rsidRPr="007B5666">
              <w:rPr>
                <w:rFonts w:cs="Arial"/>
                <w:b/>
                <w:bCs/>
                <w:color w:val="FFFFFF" w:themeColor="background1"/>
                <w:sz w:val="18"/>
                <w:szCs w:val="20"/>
                <w:lang w:eastAsia="es-CO"/>
              </w:rPr>
              <w:t>Ámbito</w:t>
            </w:r>
          </w:p>
        </w:tc>
        <w:tc>
          <w:tcPr>
            <w:tcW w:w="721" w:type="dxa"/>
            <w:shd w:val="clear" w:color="auto" w:fill="76922E"/>
            <w:noWrap/>
            <w:tcMar>
              <w:top w:w="0" w:type="dxa"/>
              <w:left w:w="108" w:type="dxa"/>
              <w:bottom w:w="0" w:type="dxa"/>
              <w:right w:w="108" w:type="dxa"/>
            </w:tcMar>
            <w:vAlign w:val="center"/>
            <w:hideMark/>
          </w:tcPr>
          <w:p w:rsidR="0087719E" w:rsidRPr="007B5666" w:rsidRDefault="0087719E" w:rsidP="007B5666">
            <w:pPr>
              <w:spacing w:before="100" w:beforeAutospacing="1" w:after="100" w:afterAutospacing="1" w:line="240" w:lineRule="auto"/>
              <w:jc w:val="center"/>
              <w:rPr>
                <w:rFonts w:cs="Arial"/>
                <w:b/>
                <w:bCs/>
                <w:color w:val="FFFFFF" w:themeColor="background1"/>
                <w:sz w:val="18"/>
                <w:szCs w:val="20"/>
                <w:lang w:eastAsia="es-CO"/>
              </w:rPr>
            </w:pPr>
            <w:r w:rsidRPr="007B5666">
              <w:rPr>
                <w:rFonts w:cs="Arial"/>
                <w:b/>
                <w:bCs/>
                <w:color w:val="FFFFFF" w:themeColor="background1"/>
                <w:sz w:val="18"/>
                <w:szCs w:val="20"/>
                <w:lang w:eastAsia="es-CO"/>
              </w:rPr>
              <w:t>Meta 2017</w:t>
            </w:r>
          </w:p>
        </w:tc>
        <w:tc>
          <w:tcPr>
            <w:tcW w:w="709" w:type="dxa"/>
            <w:shd w:val="clear" w:color="auto" w:fill="76922E"/>
            <w:noWrap/>
            <w:tcMar>
              <w:top w:w="0" w:type="dxa"/>
              <w:left w:w="108" w:type="dxa"/>
              <w:bottom w:w="0" w:type="dxa"/>
              <w:right w:w="108" w:type="dxa"/>
            </w:tcMar>
            <w:vAlign w:val="center"/>
            <w:hideMark/>
          </w:tcPr>
          <w:p w:rsidR="0087719E" w:rsidRPr="007B5666" w:rsidRDefault="0087719E" w:rsidP="007B5666">
            <w:pPr>
              <w:spacing w:before="100" w:beforeAutospacing="1" w:after="100" w:afterAutospacing="1" w:line="240" w:lineRule="auto"/>
              <w:jc w:val="center"/>
              <w:rPr>
                <w:rFonts w:cs="Arial"/>
                <w:b/>
                <w:bCs/>
                <w:color w:val="FFFFFF" w:themeColor="background1"/>
                <w:sz w:val="18"/>
                <w:szCs w:val="20"/>
                <w:lang w:eastAsia="es-CO"/>
              </w:rPr>
            </w:pPr>
            <w:r w:rsidRPr="007B5666">
              <w:rPr>
                <w:rFonts w:cs="Arial"/>
                <w:b/>
                <w:bCs/>
                <w:color w:val="FFFFFF" w:themeColor="background1"/>
                <w:sz w:val="18"/>
                <w:szCs w:val="20"/>
                <w:lang w:eastAsia="es-CO"/>
              </w:rPr>
              <w:t>Núm.</w:t>
            </w:r>
          </w:p>
        </w:tc>
        <w:tc>
          <w:tcPr>
            <w:tcW w:w="708" w:type="dxa"/>
            <w:shd w:val="clear" w:color="auto" w:fill="76922E"/>
            <w:noWrap/>
            <w:tcMar>
              <w:top w:w="0" w:type="dxa"/>
              <w:left w:w="108" w:type="dxa"/>
              <w:bottom w:w="0" w:type="dxa"/>
              <w:right w:w="108" w:type="dxa"/>
            </w:tcMar>
            <w:vAlign w:val="center"/>
            <w:hideMark/>
          </w:tcPr>
          <w:p w:rsidR="0087719E" w:rsidRPr="007B5666" w:rsidRDefault="0087719E" w:rsidP="007B5666">
            <w:pPr>
              <w:spacing w:before="100" w:beforeAutospacing="1" w:after="100" w:afterAutospacing="1" w:line="240" w:lineRule="auto"/>
              <w:jc w:val="center"/>
              <w:rPr>
                <w:rFonts w:cs="Arial"/>
                <w:b/>
                <w:bCs/>
                <w:color w:val="FFFFFF" w:themeColor="background1"/>
                <w:sz w:val="18"/>
                <w:szCs w:val="20"/>
                <w:lang w:eastAsia="es-CO"/>
              </w:rPr>
            </w:pPr>
            <w:r w:rsidRPr="007B5666">
              <w:rPr>
                <w:rFonts w:cs="Arial"/>
                <w:b/>
                <w:bCs/>
                <w:color w:val="FFFFFF" w:themeColor="background1"/>
                <w:sz w:val="18"/>
                <w:szCs w:val="20"/>
                <w:lang w:eastAsia="es-CO"/>
              </w:rPr>
              <w:t>Den.</w:t>
            </w:r>
          </w:p>
        </w:tc>
        <w:tc>
          <w:tcPr>
            <w:tcW w:w="1280" w:type="dxa"/>
            <w:shd w:val="clear" w:color="auto" w:fill="76922E"/>
            <w:noWrap/>
            <w:tcMar>
              <w:top w:w="0" w:type="dxa"/>
              <w:left w:w="108" w:type="dxa"/>
              <w:bottom w:w="0" w:type="dxa"/>
              <w:right w:w="108" w:type="dxa"/>
            </w:tcMar>
            <w:vAlign w:val="center"/>
            <w:hideMark/>
          </w:tcPr>
          <w:p w:rsidR="0087719E" w:rsidRPr="007B5666" w:rsidRDefault="0087719E" w:rsidP="007B5666">
            <w:pPr>
              <w:spacing w:before="100" w:beforeAutospacing="1" w:after="100" w:afterAutospacing="1" w:line="240" w:lineRule="auto"/>
              <w:jc w:val="center"/>
              <w:rPr>
                <w:rFonts w:cs="Arial"/>
                <w:b/>
                <w:bCs/>
                <w:color w:val="FFFFFF" w:themeColor="background1"/>
                <w:sz w:val="18"/>
                <w:szCs w:val="20"/>
                <w:lang w:eastAsia="es-CO"/>
              </w:rPr>
            </w:pPr>
            <w:r w:rsidRPr="007B5666">
              <w:rPr>
                <w:rFonts w:cs="Arial"/>
                <w:b/>
                <w:bCs/>
                <w:color w:val="FFFFFF" w:themeColor="background1"/>
                <w:sz w:val="18"/>
                <w:szCs w:val="20"/>
                <w:lang w:eastAsia="es-CO"/>
              </w:rPr>
              <w:t>Resultado a diciembre 2017</w:t>
            </w:r>
          </w:p>
        </w:tc>
        <w:tc>
          <w:tcPr>
            <w:tcW w:w="749" w:type="dxa"/>
            <w:shd w:val="clear" w:color="auto" w:fill="76922E"/>
            <w:noWrap/>
            <w:tcMar>
              <w:top w:w="0" w:type="dxa"/>
              <w:left w:w="108" w:type="dxa"/>
              <w:bottom w:w="0" w:type="dxa"/>
              <w:right w:w="108" w:type="dxa"/>
            </w:tcMar>
            <w:vAlign w:val="center"/>
            <w:hideMark/>
          </w:tcPr>
          <w:p w:rsidR="0087719E" w:rsidRPr="007B5666" w:rsidRDefault="0087719E" w:rsidP="007B5666">
            <w:pPr>
              <w:spacing w:before="100" w:beforeAutospacing="1" w:after="100" w:afterAutospacing="1" w:line="240" w:lineRule="auto"/>
              <w:jc w:val="center"/>
              <w:rPr>
                <w:rFonts w:cs="Arial"/>
                <w:b/>
                <w:bCs/>
                <w:color w:val="FFFFFF" w:themeColor="background1"/>
                <w:sz w:val="18"/>
                <w:szCs w:val="20"/>
                <w:lang w:eastAsia="es-CO"/>
              </w:rPr>
            </w:pPr>
            <w:r w:rsidRPr="007B5666">
              <w:rPr>
                <w:rFonts w:cs="Arial"/>
                <w:b/>
                <w:bCs/>
                <w:color w:val="FFFFFF" w:themeColor="background1"/>
                <w:sz w:val="18"/>
                <w:szCs w:val="20"/>
                <w:lang w:eastAsia="es-CO"/>
              </w:rPr>
              <w:t>Rango</w:t>
            </w:r>
          </w:p>
        </w:tc>
      </w:tr>
      <w:tr w:rsidR="0087719E" w:rsidRPr="00E2319F" w:rsidTr="007B5666">
        <w:trPr>
          <w:trHeight w:val="427"/>
        </w:trPr>
        <w:tc>
          <w:tcPr>
            <w:tcW w:w="1230" w:type="dxa"/>
            <w:noWrap/>
            <w:tcMar>
              <w:top w:w="0" w:type="dxa"/>
              <w:left w:w="108" w:type="dxa"/>
              <w:bottom w:w="0" w:type="dxa"/>
              <w:right w:w="108" w:type="dxa"/>
            </w:tcMar>
            <w:vAlign w:val="center"/>
            <w:hideMark/>
          </w:tcPr>
          <w:p w:rsidR="0087719E" w:rsidRPr="00E2319F" w:rsidRDefault="0087719E">
            <w:pPr>
              <w:spacing w:before="100" w:beforeAutospacing="1" w:after="100" w:afterAutospacing="1" w:line="240" w:lineRule="auto"/>
              <w:jc w:val="both"/>
              <w:rPr>
                <w:rFonts w:cs="Arial"/>
                <w:b/>
                <w:bCs/>
                <w:color w:val="000000"/>
                <w:sz w:val="18"/>
                <w:szCs w:val="20"/>
                <w:lang w:eastAsia="es-CO"/>
              </w:rPr>
            </w:pPr>
            <w:r w:rsidRPr="00E2319F">
              <w:rPr>
                <w:rFonts w:cs="Arial"/>
                <w:b/>
                <w:bCs/>
                <w:color w:val="000000"/>
                <w:sz w:val="18"/>
                <w:szCs w:val="20"/>
                <w:lang w:eastAsia="es-CO"/>
              </w:rPr>
              <w:t>A13-PT2-03</w:t>
            </w:r>
          </w:p>
        </w:tc>
        <w:tc>
          <w:tcPr>
            <w:tcW w:w="1317" w:type="dxa"/>
            <w:tcMar>
              <w:top w:w="0" w:type="dxa"/>
              <w:left w:w="108" w:type="dxa"/>
              <w:bottom w:w="0" w:type="dxa"/>
              <w:right w:w="108" w:type="dxa"/>
            </w:tcMar>
            <w:vAlign w:val="center"/>
            <w:hideMark/>
          </w:tcPr>
          <w:p w:rsidR="0087719E" w:rsidRPr="00E2319F" w:rsidRDefault="0087719E">
            <w:pPr>
              <w:spacing w:before="100" w:beforeAutospacing="1" w:after="100" w:afterAutospacing="1" w:line="240" w:lineRule="auto"/>
              <w:jc w:val="both"/>
              <w:rPr>
                <w:rFonts w:cs="Arial"/>
                <w:color w:val="000000"/>
                <w:sz w:val="18"/>
                <w:szCs w:val="20"/>
                <w:lang w:eastAsia="es-CO"/>
              </w:rPr>
            </w:pPr>
            <w:r w:rsidRPr="00E2319F">
              <w:rPr>
                <w:rFonts w:cs="Arial"/>
                <w:color w:val="000000"/>
                <w:sz w:val="18"/>
                <w:szCs w:val="20"/>
                <w:lang w:eastAsia="es-CO"/>
              </w:rPr>
              <w:t>Riesgos Mitigados</w:t>
            </w:r>
          </w:p>
        </w:tc>
        <w:tc>
          <w:tcPr>
            <w:tcW w:w="1554" w:type="dxa"/>
            <w:tcMar>
              <w:top w:w="0" w:type="dxa"/>
              <w:left w:w="108" w:type="dxa"/>
              <w:bottom w:w="0" w:type="dxa"/>
              <w:right w:w="108" w:type="dxa"/>
            </w:tcMar>
            <w:vAlign w:val="center"/>
            <w:hideMark/>
          </w:tcPr>
          <w:p w:rsidR="0087719E" w:rsidRPr="00E2319F" w:rsidRDefault="0087719E">
            <w:pPr>
              <w:spacing w:before="100" w:beforeAutospacing="1" w:after="100" w:afterAutospacing="1" w:line="240" w:lineRule="auto"/>
              <w:jc w:val="both"/>
              <w:rPr>
                <w:rFonts w:cs="Arial"/>
                <w:color w:val="000000"/>
                <w:sz w:val="18"/>
                <w:szCs w:val="20"/>
                <w:lang w:eastAsia="es-CO"/>
              </w:rPr>
            </w:pPr>
            <w:r w:rsidRPr="00E2319F">
              <w:rPr>
                <w:rFonts w:cs="Arial"/>
                <w:color w:val="000000"/>
                <w:sz w:val="18"/>
                <w:szCs w:val="20"/>
                <w:lang w:eastAsia="es-CO"/>
              </w:rPr>
              <w:t>Anual</w:t>
            </w:r>
          </w:p>
        </w:tc>
        <w:tc>
          <w:tcPr>
            <w:tcW w:w="1122" w:type="dxa"/>
            <w:tcMar>
              <w:top w:w="0" w:type="dxa"/>
              <w:left w:w="108" w:type="dxa"/>
              <w:bottom w:w="0" w:type="dxa"/>
              <w:right w:w="108" w:type="dxa"/>
            </w:tcMar>
            <w:vAlign w:val="center"/>
            <w:hideMark/>
          </w:tcPr>
          <w:p w:rsidR="0087719E" w:rsidRPr="00E2319F" w:rsidRDefault="0087719E">
            <w:pPr>
              <w:spacing w:before="100" w:beforeAutospacing="1" w:after="100" w:afterAutospacing="1" w:line="240" w:lineRule="auto"/>
              <w:jc w:val="both"/>
              <w:rPr>
                <w:rFonts w:cs="Arial"/>
                <w:color w:val="000000"/>
                <w:sz w:val="18"/>
                <w:szCs w:val="20"/>
                <w:lang w:eastAsia="es-CO"/>
              </w:rPr>
            </w:pPr>
            <w:r w:rsidRPr="00E2319F">
              <w:rPr>
                <w:rFonts w:cs="Arial"/>
                <w:color w:val="000000"/>
                <w:sz w:val="18"/>
                <w:szCs w:val="20"/>
                <w:lang w:eastAsia="es-CO"/>
              </w:rPr>
              <w:t>Resultado</w:t>
            </w:r>
          </w:p>
        </w:tc>
        <w:tc>
          <w:tcPr>
            <w:tcW w:w="721" w:type="dxa"/>
            <w:tcMar>
              <w:top w:w="0" w:type="dxa"/>
              <w:left w:w="108" w:type="dxa"/>
              <w:bottom w:w="0" w:type="dxa"/>
              <w:right w:w="108" w:type="dxa"/>
            </w:tcMar>
            <w:vAlign w:val="center"/>
            <w:hideMark/>
          </w:tcPr>
          <w:p w:rsidR="0087719E" w:rsidRPr="00E2319F" w:rsidRDefault="0087719E">
            <w:pPr>
              <w:spacing w:before="100" w:beforeAutospacing="1" w:after="100" w:afterAutospacing="1" w:line="240" w:lineRule="auto"/>
              <w:jc w:val="both"/>
              <w:rPr>
                <w:rFonts w:cs="Arial"/>
                <w:color w:val="000000"/>
                <w:sz w:val="18"/>
                <w:szCs w:val="20"/>
                <w:lang w:eastAsia="es-CO"/>
              </w:rPr>
            </w:pPr>
            <w:r w:rsidRPr="00E2319F">
              <w:rPr>
                <w:rFonts w:cs="Arial"/>
                <w:color w:val="000000"/>
                <w:sz w:val="18"/>
                <w:szCs w:val="20"/>
                <w:lang w:eastAsia="es-CO"/>
              </w:rPr>
              <w:t>90%</w:t>
            </w:r>
          </w:p>
        </w:tc>
        <w:tc>
          <w:tcPr>
            <w:tcW w:w="3446" w:type="dxa"/>
            <w:gridSpan w:val="4"/>
            <w:noWrap/>
            <w:tcMar>
              <w:top w:w="0" w:type="dxa"/>
              <w:left w:w="108" w:type="dxa"/>
              <w:bottom w:w="0" w:type="dxa"/>
              <w:right w:w="108" w:type="dxa"/>
            </w:tcMar>
            <w:vAlign w:val="center"/>
            <w:hideMark/>
          </w:tcPr>
          <w:p w:rsidR="0087719E" w:rsidRPr="00E2319F" w:rsidRDefault="0087719E" w:rsidP="007B5666">
            <w:pPr>
              <w:spacing w:before="100" w:beforeAutospacing="1" w:after="100" w:afterAutospacing="1" w:line="240" w:lineRule="auto"/>
              <w:jc w:val="center"/>
              <w:rPr>
                <w:rFonts w:cs="Arial"/>
                <w:b/>
                <w:bCs/>
                <w:color w:val="000000"/>
                <w:sz w:val="18"/>
                <w:szCs w:val="20"/>
                <w:lang w:eastAsia="es-CO"/>
              </w:rPr>
            </w:pPr>
            <w:r w:rsidRPr="00E2319F">
              <w:rPr>
                <w:rFonts w:cs="Arial"/>
                <w:b/>
                <w:bCs/>
                <w:color w:val="000000"/>
                <w:sz w:val="18"/>
                <w:szCs w:val="20"/>
                <w:lang w:eastAsia="es-CO"/>
              </w:rPr>
              <w:t>Resultado No aplica</w:t>
            </w:r>
          </w:p>
        </w:tc>
      </w:tr>
      <w:tr w:rsidR="0087719E" w:rsidRPr="00E2319F" w:rsidTr="007B5666">
        <w:trPr>
          <w:trHeight w:val="427"/>
        </w:trPr>
        <w:tc>
          <w:tcPr>
            <w:tcW w:w="1230" w:type="dxa"/>
            <w:noWrap/>
            <w:tcMar>
              <w:top w:w="0" w:type="dxa"/>
              <w:left w:w="108" w:type="dxa"/>
              <w:bottom w:w="0" w:type="dxa"/>
              <w:right w:w="108" w:type="dxa"/>
            </w:tcMar>
            <w:vAlign w:val="center"/>
            <w:hideMark/>
          </w:tcPr>
          <w:p w:rsidR="0087719E" w:rsidRPr="00E2319F" w:rsidRDefault="0087719E">
            <w:pPr>
              <w:spacing w:before="100" w:beforeAutospacing="1" w:after="100" w:afterAutospacing="1" w:line="240" w:lineRule="auto"/>
              <w:jc w:val="both"/>
              <w:rPr>
                <w:rFonts w:cs="Arial"/>
                <w:b/>
                <w:bCs/>
                <w:color w:val="000000"/>
                <w:sz w:val="18"/>
                <w:szCs w:val="20"/>
                <w:lang w:eastAsia="es-CO"/>
              </w:rPr>
            </w:pPr>
            <w:r w:rsidRPr="00E2319F">
              <w:rPr>
                <w:rFonts w:cs="Arial"/>
                <w:b/>
                <w:bCs/>
                <w:color w:val="000000"/>
                <w:sz w:val="18"/>
                <w:szCs w:val="20"/>
                <w:lang w:eastAsia="es-CO"/>
              </w:rPr>
              <w:t>A13-PT2-04</w:t>
            </w:r>
          </w:p>
        </w:tc>
        <w:tc>
          <w:tcPr>
            <w:tcW w:w="1317" w:type="dxa"/>
            <w:tcMar>
              <w:top w:w="0" w:type="dxa"/>
              <w:left w:w="108" w:type="dxa"/>
              <w:bottom w:w="0" w:type="dxa"/>
              <w:right w:w="108" w:type="dxa"/>
            </w:tcMar>
            <w:vAlign w:val="center"/>
            <w:hideMark/>
          </w:tcPr>
          <w:p w:rsidR="0087719E" w:rsidRPr="00E2319F" w:rsidRDefault="0087719E">
            <w:pPr>
              <w:spacing w:before="100" w:beforeAutospacing="1" w:after="100" w:afterAutospacing="1" w:line="240" w:lineRule="auto"/>
              <w:jc w:val="both"/>
              <w:rPr>
                <w:rFonts w:cs="Arial"/>
                <w:color w:val="000000"/>
                <w:sz w:val="18"/>
                <w:szCs w:val="20"/>
                <w:lang w:eastAsia="es-CO"/>
              </w:rPr>
            </w:pPr>
            <w:r w:rsidRPr="00E2319F">
              <w:rPr>
                <w:rFonts w:cs="Arial"/>
                <w:color w:val="000000"/>
                <w:sz w:val="18"/>
                <w:szCs w:val="20"/>
                <w:lang w:eastAsia="es-CO"/>
              </w:rPr>
              <w:t>Riesgos de Corrupción Mitigados</w:t>
            </w:r>
          </w:p>
        </w:tc>
        <w:tc>
          <w:tcPr>
            <w:tcW w:w="1554" w:type="dxa"/>
            <w:tcMar>
              <w:top w:w="0" w:type="dxa"/>
              <w:left w:w="108" w:type="dxa"/>
              <w:bottom w:w="0" w:type="dxa"/>
              <w:right w:w="108" w:type="dxa"/>
            </w:tcMar>
            <w:vAlign w:val="center"/>
            <w:hideMark/>
          </w:tcPr>
          <w:p w:rsidR="0087719E" w:rsidRPr="00E2319F" w:rsidRDefault="0087719E">
            <w:pPr>
              <w:spacing w:before="100" w:beforeAutospacing="1" w:after="100" w:afterAutospacing="1" w:line="240" w:lineRule="auto"/>
              <w:jc w:val="both"/>
              <w:rPr>
                <w:rFonts w:cs="Arial"/>
                <w:color w:val="000000"/>
                <w:sz w:val="18"/>
                <w:szCs w:val="20"/>
                <w:lang w:val="es-CO" w:eastAsia="es-CO"/>
              </w:rPr>
            </w:pPr>
            <w:r w:rsidRPr="00E2319F">
              <w:rPr>
                <w:rFonts w:cs="Arial"/>
                <w:color w:val="000000"/>
                <w:sz w:val="18"/>
                <w:szCs w:val="20"/>
                <w:lang w:eastAsia="es-CO"/>
              </w:rPr>
              <w:t>Anual</w:t>
            </w:r>
          </w:p>
        </w:tc>
        <w:tc>
          <w:tcPr>
            <w:tcW w:w="1122" w:type="dxa"/>
            <w:tcMar>
              <w:top w:w="0" w:type="dxa"/>
              <w:left w:w="108" w:type="dxa"/>
              <w:bottom w:w="0" w:type="dxa"/>
              <w:right w:w="108" w:type="dxa"/>
            </w:tcMar>
            <w:vAlign w:val="center"/>
            <w:hideMark/>
          </w:tcPr>
          <w:p w:rsidR="0087719E" w:rsidRPr="00E2319F" w:rsidRDefault="0087719E">
            <w:pPr>
              <w:spacing w:before="100" w:beforeAutospacing="1" w:after="100" w:afterAutospacing="1" w:line="240" w:lineRule="auto"/>
              <w:jc w:val="both"/>
              <w:rPr>
                <w:rFonts w:cs="Arial"/>
                <w:color w:val="000000"/>
                <w:sz w:val="18"/>
                <w:szCs w:val="20"/>
                <w:lang w:eastAsia="es-CO"/>
              </w:rPr>
            </w:pPr>
            <w:r w:rsidRPr="00E2319F">
              <w:rPr>
                <w:rFonts w:cs="Arial"/>
                <w:color w:val="000000"/>
                <w:sz w:val="18"/>
                <w:szCs w:val="20"/>
                <w:lang w:eastAsia="es-CO"/>
              </w:rPr>
              <w:t>Resultado</w:t>
            </w:r>
          </w:p>
        </w:tc>
        <w:tc>
          <w:tcPr>
            <w:tcW w:w="721" w:type="dxa"/>
            <w:tcMar>
              <w:top w:w="0" w:type="dxa"/>
              <w:left w:w="108" w:type="dxa"/>
              <w:bottom w:w="0" w:type="dxa"/>
              <w:right w:w="108" w:type="dxa"/>
            </w:tcMar>
            <w:vAlign w:val="center"/>
            <w:hideMark/>
          </w:tcPr>
          <w:p w:rsidR="0087719E" w:rsidRPr="00E2319F" w:rsidRDefault="0087719E">
            <w:pPr>
              <w:spacing w:before="100" w:beforeAutospacing="1" w:after="100" w:afterAutospacing="1" w:line="240" w:lineRule="auto"/>
              <w:jc w:val="both"/>
              <w:rPr>
                <w:rFonts w:cs="Arial"/>
                <w:color w:val="000000"/>
                <w:sz w:val="18"/>
                <w:szCs w:val="20"/>
                <w:lang w:eastAsia="es-CO"/>
              </w:rPr>
            </w:pPr>
            <w:r w:rsidRPr="00E2319F">
              <w:rPr>
                <w:rFonts w:cs="Arial"/>
                <w:color w:val="000000"/>
                <w:sz w:val="18"/>
                <w:szCs w:val="20"/>
                <w:lang w:eastAsia="es-CO"/>
              </w:rPr>
              <w:t>90%</w:t>
            </w:r>
          </w:p>
        </w:tc>
        <w:tc>
          <w:tcPr>
            <w:tcW w:w="3446" w:type="dxa"/>
            <w:gridSpan w:val="4"/>
            <w:noWrap/>
            <w:tcMar>
              <w:top w:w="0" w:type="dxa"/>
              <w:left w:w="108" w:type="dxa"/>
              <w:bottom w:w="0" w:type="dxa"/>
              <w:right w:w="108" w:type="dxa"/>
            </w:tcMar>
            <w:vAlign w:val="center"/>
            <w:hideMark/>
          </w:tcPr>
          <w:p w:rsidR="0087719E" w:rsidRPr="00E2319F" w:rsidRDefault="0087719E" w:rsidP="007B5666">
            <w:pPr>
              <w:spacing w:before="100" w:beforeAutospacing="1" w:after="100" w:afterAutospacing="1" w:line="240" w:lineRule="auto"/>
              <w:jc w:val="center"/>
              <w:rPr>
                <w:rFonts w:cs="Arial"/>
                <w:b/>
                <w:bCs/>
                <w:color w:val="000000"/>
                <w:sz w:val="18"/>
                <w:szCs w:val="20"/>
                <w:lang w:eastAsia="es-CO"/>
              </w:rPr>
            </w:pPr>
            <w:r w:rsidRPr="00E2319F">
              <w:rPr>
                <w:rFonts w:cs="Arial"/>
                <w:b/>
                <w:bCs/>
                <w:color w:val="000000"/>
                <w:sz w:val="18"/>
                <w:szCs w:val="20"/>
                <w:lang w:eastAsia="es-CO"/>
              </w:rPr>
              <w:t>Resultado No aplica</w:t>
            </w:r>
          </w:p>
        </w:tc>
      </w:tr>
      <w:tr w:rsidR="0087719E" w:rsidRPr="00E2319F" w:rsidTr="007B5666">
        <w:trPr>
          <w:trHeight w:val="427"/>
        </w:trPr>
        <w:tc>
          <w:tcPr>
            <w:tcW w:w="1230" w:type="dxa"/>
            <w:noWrap/>
            <w:tcMar>
              <w:top w:w="0" w:type="dxa"/>
              <w:left w:w="108" w:type="dxa"/>
              <w:bottom w:w="0" w:type="dxa"/>
              <w:right w:w="108" w:type="dxa"/>
            </w:tcMar>
            <w:vAlign w:val="center"/>
            <w:hideMark/>
          </w:tcPr>
          <w:p w:rsidR="0087719E" w:rsidRPr="00E2319F" w:rsidRDefault="0087719E">
            <w:pPr>
              <w:spacing w:before="100" w:beforeAutospacing="1" w:after="100" w:afterAutospacing="1" w:line="240" w:lineRule="auto"/>
              <w:jc w:val="both"/>
              <w:rPr>
                <w:rFonts w:cs="Arial"/>
                <w:b/>
                <w:bCs/>
                <w:sz w:val="18"/>
                <w:szCs w:val="20"/>
                <w:lang w:eastAsia="es-CO"/>
              </w:rPr>
            </w:pPr>
            <w:r w:rsidRPr="00E2319F">
              <w:rPr>
                <w:rFonts w:cs="Arial"/>
                <w:b/>
                <w:bCs/>
                <w:sz w:val="18"/>
                <w:szCs w:val="20"/>
                <w:lang w:eastAsia="es-CO"/>
              </w:rPr>
              <w:t>A13-PT2-05</w:t>
            </w:r>
          </w:p>
        </w:tc>
        <w:tc>
          <w:tcPr>
            <w:tcW w:w="1317" w:type="dxa"/>
            <w:tcMar>
              <w:top w:w="0" w:type="dxa"/>
              <w:left w:w="108" w:type="dxa"/>
              <w:bottom w:w="0" w:type="dxa"/>
              <w:right w:w="108" w:type="dxa"/>
            </w:tcMar>
            <w:vAlign w:val="center"/>
            <w:hideMark/>
          </w:tcPr>
          <w:p w:rsidR="0087719E" w:rsidRPr="00E2319F" w:rsidRDefault="0087719E">
            <w:pPr>
              <w:spacing w:before="100" w:beforeAutospacing="1" w:after="100" w:afterAutospacing="1" w:line="240" w:lineRule="auto"/>
              <w:jc w:val="both"/>
              <w:rPr>
                <w:rFonts w:cs="Arial"/>
                <w:sz w:val="18"/>
                <w:szCs w:val="20"/>
                <w:lang w:eastAsia="es-CO"/>
              </w:rPr>
            </w:pPr>
            <w:r w:rsidRPr="00E2319F">
              <w:rPr>
                <w:rFonts w:cs="Arial"/>
                <w:sz w:val="18"/>
                <w:szCs w:val="20"/>
                <w:shd w:val="clear" w:color="auto" w:fill="FFFFFF"/>
              </w:rPr>
              <w:t>Riesgos de Corrupción Gestionados</w:t>
            </w:r>
          </w:p>
        </w:tc>
        <w:tc>
          <w:tcPr>
            <w:tcW w:w="1554" w:type="dxa"/>
            <w:tcMar>
              <w:top w:w="0" w:type="dxa"/>
              <w:left w:w="108" w:type="dxa"/>
              <w:bottom w:w="0" w:type="dxa"/>
              <w:right w:w="108" w:type="dxa"/>
            </w:tcMar>
            <w:vAlign w:val="center"/>
            <w:hideMark/>
          </w:tcPr>
          <w:p w:rsidR="0087719E" w:rsidRPr="00E2319F" w:rsidRDefault="0087719E">
            <w:pPr>
              <w:spacing w:before="100" w:beforeAutospacing="1" w:after="100" w:afterAutospacing="1" w:line="240" w:lineRule="auto"/>
              <w:jc w:val="both"/>
              <w:rPr>
                <w:rFonts w:cs="Arial"/>
                <w:sz w:val="18"/>
                <w:szCs w:val="20"/>
                <w:shd w:val="clear" w:color="auto" w:fill="FFFFFF"/>
              </w:rPr>
            </w:pPr>
            <w:r w:rsidRPr="00E2319F">
              <w:rPr>
                <w:rFonts w:cs="Arial"/>
                <w:sz w:val="18"/>
                <w:szCs w:val="20"/>
                <w:shd w:val="clear" w:color="auto" w:fill="FFFFFF"/>
              </w:rPr>
              <w:t>Cuatrimestral</w:t>
            </w:r>
          </w:p>
        </w:tc>
        <w:tc>
          <w:tcPr>
            <w:tcW w:w="1122" w:type="dxa"/>
            <w:tcMar>
              <w:top w:w="0" w:type="dxa"/>
              <w:left w:w="108" w:type="dxa"/>
              <w:bottom w:w="0" w:type="dxa"/>
              <w:right w:w="108" w:type="dxa"/>
            </w:tcMar>
            <w:vAlign w:val="center"/>
            <w:hideMark/>
          </w:tcPr>
          <w:p w:rsidR="0087719E" w:rsidRPr="00E2319F" w:rsidRDefault="0087719E">
            <w:pPr>
              <w:spacing w:before="100" w:beforeAutospacing="1" w:after="100" w:afterAutospacing="1" w:line="240" w:lineRule="auto"/>
              <w:jc w:val="both"/>
              <w:rPr>
                <w:rFonts w:cs="Arial"/>
                <w:sz w:val="18"/>
                <w:szCs w:val="20"/>
                <w:lang w:eastAsia="es-CO"/>
              </w:rPr>
            </w:pPr>
            <w:r w:rsidRPr="00E2319F">
              <w:rPr>
                <w:rFonts w:cs="Arial"/>
                <w:sz w:val="18"/>
                <w:szCs w:val="20"/>
                <w:shd w:val="clear" w:color="auto" w:fill="FFFFFF"/>
              </w:rPr>
              <w:t>Resultado</w:t>
            </w:r>
          </w:p>
        </w:tc>
        <w:tc>
          <w:tcPr>
            <w:tcW w:w="721" w:type="dxa"/>
            <w:tcMar>
              <w:top w:w="0" w:type="dxa"/>
              <w:left w:w="108" w:type="dxa"/>
              <w:bottom w:w="0" w:type="dxa"/>
              <w:right w:w="108" w:type="dxa"/>
            </w:tcMar>
            <w:vAlign w:val="center"/>
            <w:hideMark/>
          </w:tcPr>
          <w:p w:rsidR="0087719E" w:rsidRPr="00E2319F" w:rsidRDefault="0087719E">
            <w:pPr>
              <w:spacing w:before="100" w:beforeAutospacing="1" w:after="100" w:afterAutospacing="1" w:line="240" w:lineRule="auto"/>
              <w:jc w:val="both"/>
              <w:rPr>
                <w:rFonts w:cs="Arial"/>
                <w:sz w:val="18"/>
                <w:szCs w:val="20"/>
                <w:lang w:eastAsia="es-CO"/>
              </w:rPr>
            </w:pPr>
            <w:r w:rsidRPr="00E2319F">
              <w:rPr>
                <w:rFonts w:cs="Arial"/>
                <w:sz w:val="18"/>
                <w:szCs w:val="20"/>
                <w:shd w:val="clear" w:color="auto" w:fill="FFFFFF"/>
              </w:rPr>
              <w:t>95%</w:t>
            </w:r>
          </w:p>
        </w:tc>
        <w:tc>
          <w:tcPr>
            <w:tcW w:w="709" w:type="dxa"/>
            <w:noWrap/>
            <w:tcMar>
              <w:top w:w="0" w:type="dxa"/>
              <w:left w:w="108" w:type="dxa"/>
              <w:bottom w:w="0" w:type="dxa"/>
              <w:right w:w="108" w:type="dxa"/>
            </w:tcMar>
            <w:vAlign w:val="center"/>
            <w:hideMark/>
          </w:tcPr>
          <w:p w:rsidR="0087719E" w:rsidRPr="00E2319F" w:rsidRDefault="0087719E">
            <w:pPr>
              <w:spacing w:before="100" w:beforeAutospacing="1" w:after="100" w:afterAutospacing="1" w:line="240" w:lineRule="auto"/>
              <w:jc w:val="both"/>
              <w:rPr>
                <w:rFonts w:cs="Arial"/>
                <w:sz w:val="18"/>
                <w:szCs w:val="20"/>
                <w:lang w:eastAsia="es-CO"/>
              </w:rPr>
            </w:pPr>
            <w:r w:rsidRPr="00E2319F">
              <w:rPr>
                <w:rFonts w:cs="Arial"/>
                <w:sz w:val="18"/>
                <w:szCs w:val="20"/>
              </w:rPr>
              <w:t>518</w:t>
            </w:r>
          </w:p>
        </w:tc>
        <w:tc>
          <w:tcPr>
            <w:tcW w:w="708" w:type="dxa"/>
            <w:noWrap/>
            <w:tcMar>
              <w:top w:w="0" w:type="dxa"/>
              <w:left w:w="108" w:type="dxa"/>
              <w:bottom w:w="0" w:type="dxa"/>
              <w:right w:w="108" w:type="dxa"/>
            </w:tcMar>
            <w:vAlign w:val="center"/>
            <w:hideMark/>
          </w:tcPr>
          <w:p w:rsidR="0087719E" w:rsidRPr="00E2319F" w:rsidRDefault="0087719E">
            <w:pPr>
              <w:spacing w:before="100" w:beforeAutospacing="1" w:after="100" w:afterAutospacing="1" w:line="240" w:lineRule="auto"/>
              <w:jc w:val="center"/>
              <w:rPr>
                <w:rFonts w:cs="Arial"/>
                <w:sz w:val="18"/>
                <w:szCs w:val="20"/>
                <w:lang w:eastAsia="es-CO"/>
              </w:rPr>
            </w:pPr>
            <w:r w:rsidRPr="00E2319F">
              <w:rPr>
                <w:rFonts w:cs="Arial"/>
                <w:sz w:val="18"/>
                <w:szCs w:val="20"/>
              </w:rPr>
              <w:t>527</w:t>
            </w:r>
          </w:p>
        </w:tc>
        <w:tc>
          <w:tcPr>
            <w:tcW w:w="1280" w:type="dxa"/>
            <w:noWrap/>
            <w:tcMar>
              <w:top w:w="0" w:type="dxa"/>
              <w:left w:w="108" w:type="dxa"/>
              <w:bottom w:w="0" w:type="dxa"/>
              <w:right w:w="108" w:type="dxa"/>
            </w:tcMar>
            <w:vAlign w:val="center"/>
            <w:hideMark/>
          </w:tcPr>
          <w:p w:rsidR="0087719E" w:rsidRPr="00E2319F" w:rsidRDefault="0087719E">
            <w:pPr>
              <w:spacing w:before="100" w:beforeAutospacing="1" w:after="100" w:afterAutospacing="1" w:line="240" w:lineRule="auto"/>
              <w:jc w:val="center"/>
              <w:rPr>
                <w:rFonts w:cs="Arial"/>
                <w:sz w:val="18"/>
                <w:szCs w:val="20"/>
                <w:lang w:eastAsia="es-CO"/>
              </w:rPr>
            </w:pPr>
            <w:r w:rsidRPr="00E2319F">
              <w:rPr>
                <w:rFonts w:cs="Arial"/>
                <w:sz w:val="18"/>
                <w:szCs w:val="20"/>
              </w:rPr>
              <w:t>98.3%</w:t>
            </w:r>
          </w:p>
        </w:tc>
        <w:tc>
          <w:tcPr>
            <w:tcW w:w="749" w:type="dxa"/>
            <w:noWrap/>
            <w:tcMar>
              <w:top w:w="0" w:type="dxa"/>
              <w:left w:w="108" w:type="dxa"/>
              <w:bottom w:w="0" w:type="dxa"/>
              <w:right w:w="108" w:type="dxa"/>
            </w:tcMar>
            <w:vAlign w:val="center"/>
            <w:hideMark/>
          </w:tcPr>
          <w:p w:rsidR="0087719E" w:rsidRPr="00E2319F" w:rsidRDefault="0087719E">
            <w:pPr>
              <w:spacing w:before="100" w:beforeAutospacing="1" w:after="100" w:afterAutospacing="1" w:line="240" w:lineRule="auto"/>
              <w:jc w:val="both"/>
              <w:rPr>
                <w:rFonts w:cs="Arial"/>
                <w:sz w:val="18"/>
                <w:szCs w:val="20"/>
                <w:lang w:eastAsia="es-CO"/>
              </w:rPr>
            </w:pPr>
            <w:r w:rsidRPr="00E2319F">
              <w:rPr>
                <w:rFonts w:cs="Arial"/>
                <w:sz w:val="18"/>
                <w:szCs w:val="20"/>
                <w:lang w:eastAsia="es-CO"/>
              </w:rPr>
              <w:t>Óptimo</w:t>
            </w:r>
          </w:p>
        </w:tc>
      </w:tr>
      <w:tr w:rsidR="0087719E" w:rsidRPr="00E2319F" w:rsidTr="007B5666">
        <w:trPr>
          <w:trHeight w:val="427"/>
        </w:trPr>
        <w:tc>
          <w:tcPr>
            <w:tcW w:w="1230" w:type="dxa"/>
            <w:noWrap/>
            <w:tcMar>
              <w:top w:w="0" w:type="dxa"/>
              <w:left w:w="108" w:type="dxa"/>
              <w:bottom w:w="0" w:type="dxa"/>
              <w:right w:w="108" w:type="dxa"/>
            </w:tcMar>
            <w:vAlign w:val="center"/>
            <w:hideMark/>
          </w:tcPr>
          <w:p w:rsidR="0087719E" w:rsidRPr="00E2319F" w:rsidRDefault="0087719E">
            <w:pPr>
              <w:spacing w:before="100" w:beforeAutospacing="1" w:after="100" w:afterAutospacing="1" w:line="240" w:lineRule="auto"/>
              <w:jc w:val="both"/>
              <w:rPr>
                <w:rFonts w:cs="Arial"/>
                <w:b/>
                <w:bCs/>
                <w:sz w:val="18"/>
                <w:szCs w:val="20"/>
                <w:lang w:eastAsia="es-CO"/>
              </w:rPr>
            </w:pPr>
            <w:r w:rsidRPr="00E2319F">
              <w:rPr>
                <w:rFonts w:cs="Arial"/>
                <w:b/>
                <w:bCs/>
                <w:sz w:val="18"/>
                <w:szCs w:val="20"/>
                <w:lang w:eastAsia="es-CO"/>
              </w:rPr>
              <w:lastRenderedPageBreak/>
              <w:t>A13-PT2-07</w:t>
            </w:r>
          </w:p>
        </w:tc>
        <w:tc>
          <w:tcPr>
            <w:tcW w:w="1317" w:type="dxa"/>
            <w:tcMar>
              <w:top w:w="0" w:type="dxa"/>
              <w:left w:w="108" w:type="dxa"/>
              <w:bottom w:w="0" w:type="dxa"/>
              <w:right w:w="108" w:type="dxa"/>
            </w:tcMar>
            <w:vAlign w:val="center"/>
            <w:hideMark/>
          </w:tcPr>
          <w:p w:rsidR="0087719E" w:rsidRPr="00E2319F" w:rsidRDefault="0087719E">
            <w:pPr>
              <w:spacing w:before="100" w:beforeAutospacing="1" w:after="100" w:afterAutospacing="1" w:line="240" w:lineRule="auto"/>
              <w:jc w:val="both"/>
              <w:rPr>
                <w:rFonts w:cs="Arial"/>
                <w:sz w:val="18"/>
                <w:szCs w:val="20"/>
                <w:shd w:val="clear" w:color="auto" w:fill="FFFFFF"/>
              </w:rPr>
            </w:pPr>
            <w:r w:rsidRPr="00E2319F">
              <w:rPr>
                <w:rFonts w:cs="Arial"/>
                <w:sz w:val="18"/>
                <w:szCs w:val="20"/>
                <w:shd w:val="clear" w:color="auto" w:fill="FFFFFF"/>
              </w:rPr>
              <w:t>Riesgos Gestionados</w:t>
            </w:r>
          </w:p>
        </w:tc>
        <w:tc>
          <w:tcPr>
            <w:tcW w:w="1554" w:type="dxa"/>
            <w:tcMar>
              <w:top w:w="0" w:type="dxa"/>
              <w:left w:w="108" w:type="dxa"/>
              <w:bottom w:w="0" w:type="dxa"/>
              <w:right w:w="108" w:type="dxa"/>
            </w:tcMar>
            <w:vAlign w:val="center"/>
            <w:hideMark/>
          </w:tcPr>
          <w:p w:rsidR="0087719E" w:rsidRPr="00E2319F" w:rsidRDefault="0087719E">
            <w:pPr>
              <w:spacing w:before="100" w:beforeAutospacing="1" w:after="100" w:afterAutospacing="1" w:line="240" w:lineRule="auto"/>
              <w:jc w:val="both"/>
              <w:rPr>
                <w:rFonts w:cs="Arial"/>
                <w:sz w:val="18"/>
                <w:szCs w:val="20"/>
                <w:shd w:val="clear" w:color="auto" w:fill="FFFFFF"/>
              </w:rPr>
            </w:pPr>
            <w:r w:rsidRPr="00E2319F">
              <w:rPr>
                <w:rFonts w:cs="Arial"/>
                <w:sz w:val="18"/>
                <w:szCs w:val="20"/>
                <w:shd w:val="clear" w:color="auto" w:fill="FFFFFF"/>
              </w:rPr>
              <w:t>Cuatrimestral</w:t>
            </w:r>
          </w:p>
        </w:tc>
        <w:tc>
          <w:tcPr>
            <w:tcW w:w="1122" w:type="dxa"/>
            <w:tcMar>
              <w:top w:w="0" w:type="dxa"/>
              <w:left w:w="108" w:type="dxa"/>
              <w:bottom w:w="0" w:type="dxa"/>
              <w:right w:w="108" w:type="dxa"/>
            </w:tcMar>
            <w:vAlign w:val="center"/>
            <w:hideMark/>
          </w:tcPr>
          <w:p w:rsidR="0087719E" w:rsidRPr="00E2319F" w:rsidRDefault="0087719E">
            <w:pPr>
              <w:spacing w:before="100" w:beforeAutospacing="1" w:after="100" w:afterAutospacing="1" w:line="240" w:lineRule="auto"/>
              <w:jc w:val="both"/>
              <w:rPr>
                <w:rFonts w:cs="Arial"/>
                <w:sz w:val="18"/>
                <w:szCs w:val="20"/>
                <w:shd w:val="clear" w:color="auto" w:fill="FFFFFF"/>
              </w:rPr>
            </w:pPr>
            <w:r w:rsidRPr="00E2319F">
              <w:rPr>
                <w:rFonts w:cs="Arial"/>
                <w:sz w:val="18"/>
                <w:szCs w:val="20"/>
                <w:shd w:val="clear" w:color="auto" w:fill="FFFFFF"/>
              </w:rPr>
              <w:t>Resultado</w:t>
            </w:r>
          </w:p>
        </w:tc>
        <w:tc>
          <w:tcPr>
            <w:tcW w:w="721" w:type="dxa"/>
            <w:tcMar>
              <w:top w:w="0" w:type="dxa"/>
              <w:left w:w="108" w:type="dxa"/>
              <w:bottom w:w="0" w:type="dxa"/>
              <w:right w:w="108" w:type="dxa"/>
            </w:tcMar>
            <w:vAlign w:val="center"/>
            <w:hideMark/>
          </w:tcPr>
          <w:p w:rsidR="0087719E" w:rsidRPr="00E2319F" w:rsidRDefault="0087719E">
            <w:pPr>
              <w:spacing w:before="100" w:beforeAutospacing="1" w:after="100" w:afterAutospacing="1" w:line="240" w:lineRule="auto"/>
              <w:jc w:val="both"/>
              <w:rPr>
                <w:rFonts w:cs="Arial"/>
                <w:sz w:val="18"/>
                <w:szCs w:val="20"/>
                <w:shd w:val="clear" w:color="auto" w:fill="FFFFFF"/>
              </w:rPr>
            </w:pPr>
            <w:r w:rsidRPr="00E2319F">
              <w:rPr>
                <w:rFonts w:cs="Arial"/>
                <w:sz w:val="18"/>
                <w:szCs w:val="20"/>
                <w:shd w:val="clear" w:color="auto" w:fill="FFFFFF"/>
              </w:rPr>
              <w:t>95%</w:t>
            </w:r>
          </w:p>
        </w:tc>
        <w:tc>
          <w:tcPr>
            <w:tcW w:w="709" w:type="dxa"/>
            <w:noWrap/>
            <w:tcMar>
              <w:top w:w="0" w:type="dxa"/>
              <w:left w:w="108" w:type="dxa"/>
              <w:bottom w:w="0" w:type="dxa"/>
              <w:right w:w="108" w:type="dxa"/>
            </w:tcMar>
            <w:vAlign w:val="center"/>
            <w:hideMark/>
          </w:tcPr>
          <w:p w:rsidR="0087719E" w:rsidRPr="00E2319F" w:rsidRDefault="0087719E">
            <w:pPr>
              <w:spacing w:before="100" w:beforeAutospacing="1" w:after="100" w:afterAutospacing="1" w:line="240" w:lineRule="auto"/>
              <w:jc w:val="both"/>
              <w:rPr>
                <w:rFonts w:cs="Arial"/>
                <w:sz w:val="18"/>
                <w:szCs w:val="20"/>
              </w:rPr>
            </w:pPr>
            <w:r w:rsidRPr="00E2319F">
              <w:rPr>
                <w:rFonts w:cs="Arial"/>
                <w:sz w:val="18"/>
                <w:szCs w:val="20"/>
              </w:rPr>
              <w:t>2054</w:t>
            </w:r>
          </w:p>
        </w:tc>
        <w:tc>
          <w:tcPr>
            <w:tcW w:w="708" w:type="dxa"/>
            <w:noWrap/>
            <w:tcMar>
              <w:top w:w="0" w:type="dxa"/>
              <w:left w:w="108" w:type="dxa"/>
              <w:bottom w:w="0" w:type="dxa"/>
              <w:right w:w="108" w:type="dxa"/>
            </w:tcMar>
            <w:vAlign w:val="center"/>
            <w:hideMark/>
          </w:tcPr>
          <w:p w:rsidR="0087719E" w:rsidRPr="00E2319F" w:rsidRDefault="0087719E">
            <w:pPr>
              <w:spacing w:before="100" w:beforeAutospacing="1" w:after="100" w:afterAutospacing="1" w:line="240" w:lineRule="auto"/>
              <w:jc w:val="center"/>
              <w:rPr>
                <w:rFonts w:cs="Arial"/>
                <w:sz w:val="18"/>
                <w:szCs w:val="20"/>
              </w:rPr>
            </w:pPr>
            <w:r w:rsidRPr="00E2319F">
              <w:rPr>
                <w:rFonts w:cs="Arial"/>
                <w:sz w:val="18"/>
                <w:szCs w:val="20"/>
              </w:rPr>
              <w:t>2117</w:t>
            </w:r>
          </w:p>
        </w:tc>
        <w:tc>
          <w:tcPr>
            <w:tcW w:w="1280" w:type="dxa"/>
            <w:noWrap/>
            <w:tcMar>
              <w:top w:w="0" w:type="dxa"/>
              <w:left w:w="108" w:type="dxa"/>
              <w:bottom w:w="0" w:type="dxa"/>
              <w:right w:w="108" w:type="dxa"/>
            </w:tcMar>
            <w:vAlign w:val="center"/>
            <w:hideMark/>
          </w:tcPr>
          <w:p w:rsidR="0087719E" w:rsidRPr="00E2319F" w:rsidRDefault="0087719E">
            <w:pPr>
              <w:spacing w:before="100" w:beforeAutospacing="1" w:after="100" w:afterAutospacing="1" w:line="240" w:lineRule="auto"/>
              <w:jc w:val="center"/>
              <w:rPr>
                <w:rFonts w:cs="Arial"/>
                <w:sz w:val="18"/>
                <w:szCs w:val="20"/>
              </w:rPr>
            </w:pPr>
            <w:r w:rsidRPr="00E2319F">
              <w:rPr>
                <w:rFonts w:cs="Arial"/>
                <w:sz w:val="18"/>
                <w:szCs w:val="20"/>
              </w:rPr>
              <w:t>97%</w:t>
            </w:r>
          </w:p>
        </w:tc>
        <w:tc>
          <w:tcPr>
            <w:tcW w:w="749" w:type="dxa"/>
            <w:noWrap/>
            <w:tcMar>
              <w:top w:w="0" w:type="dxa"/>
              <w:left w:w="108" w:type="dxa"/>
              <w:bottom w:w="0" w:type="dxa"/>
              <w:right w:w="108" w:type="dxa"/>
            </w:tcMar>
            <w:vAlign w:val="center"/>
            <w:hideMark/>
          </w:tcPr>
          <w:p w:rsidR="0087719E" w:rsidRPr="00E2319F" w:rsidRDefault="0087719E">
            <w:pPr>
              <w:spacing w:before="100" w:beforeAutospacing="1" w:after="100" w:afterAutospacing="1" w:line="240" w:lineRule="auto"/>
              <w:jc w:val="both"/>
              <w:rPr>
                <w:rFonts w:cs="Arial"/>
                <w:sz w:val="18"/>
                <w:szCs w:val="20"/>
                <w:lang w:eastAsia="es-CO"/>
              </w:rPr>
            </w:pPr>
            <w:r w:rsidRPr="00E2319F">
              <w:rPr>
                <w:rFonts w:cs="Arial"/>
                <w:sz w:val="18"/>
                <w:szCs w:val="20"/>
                <w:lang w:eastAsia="es-CO"/>
              </w:rPr>
              <w:t>Óptimo</w:t>
            </w:r>
          </w:p>
        </w:tc>
      </w:tr>
    </w:tbl>
    <w:p w:rsidR="00E05204" w:rsidRPr="007B5666" w:rsidRDefault="00E05204" w:rsidP="00E05204">
      <w:pPr>
        <w:spacing w:after="100" w:afterAutospacing="1" w:line="240" w:lineRule="auto"/>
        <w:jc w:val="both"/>
        <w:rPr>
          <w:rFonts w:cs="Arial"/>
          <w:sz w:val="16"/>
          <w:szCs w:val="16"/>
        </w:rPr>
      </w:pPr>
      <w:r w:rsidRPr="007B5666">
        <w:rPr>
          <w:rFonts w:cs="Arial"/>
          <w:sz w:val="16"/>
          <w:szCs w:val="16"/>
        </w:rPr>
        <w:t>Fuente: Aplicativo SIMEI</w:t>
      </w:r>
    </w:p>
    <w:p w:rsidR="00E05204" w:rsidRPr="00E2319F" w:rsidRDefault="00E05204" w:rsidP="00E05204">
      <w:pPr>
        <w:spacing w:before="100" w:beforeAutospacing="1" w:after="100" w:afterAutospacing="1" w:line="240" w:lineRule="auto"/>
        <w:jc w:val="both"/>
        <w:rPr>
          <w:rFonts w:cs="Arial"/>
          <w:b/>
        </w:rPr>
      </w:pPr>
      <w:r w:rsidRPr="00E2319F">
        <w:rPr>
          <w:rFonts w:cs="Arial"/>
          <w:b/>
        </w:rPr>
        <w:t>MÓDULO DE CONTROL DE EVALUACIÓN Y SEGUIMIENTO</w:t>
      </w:r>
    </w:p>
    <w:p w:rsidR="00E05204" w:rsidRPr="00E2319F" w:rsidRDefault="00E05204" w:rsidP="00E05204">
      <w:pPr>
        <w:spacing w:before="100" w:beforeAutospacing="1" w:after="100" w:afterAutospacing="1" w:line="240" w:lineRule="auto"/>
        <w:jc w:val="both"/>
        <w:rPr>
          <w:rFonts w:cs="Arial"/>
          <w:b/>
        </w:rPr>
      </w:pPr>
      <w:r w:rsidRPr="00E2319F">
        <w:rPr>
          <w:rFonts w:cs="Arial"/>
          <w:b/>
        </w:rPr>
        <w:t>Componente Autoevaluación Institucional</w:t>
      </w:r>
    </w:p>
    <w:p w:rsidR="00E05204" w:rsidRPr="00E2319F" w:rsidRDefault="00E05204" w:rsidP="00E05204">
      <w:pPr>
        <w:spacing w:before="100" w:beforeAutospacing="1" w:after="100" w:afterAutospacing="1" w:line="240" w:lineRule="auto"/>
        <w:jc w:val="both"/>
        <w:rPr>
          <w:rFonts w:cs="Arial"/>
        </w:rPr>
      </w:pPr>
      <w:r w:rsidRPr="00E2319F">
        <w:rPr>
          <w:rFonts w:cs="Arial"/>
        </w:rPr>
        <w:t xml:space="preserve">De acuerdo con la legislación vigente y las directrices internas las oficinas de control interno se deben presentar (ante diversas instancias o autoridades) y/o publicar diferentes informes de evaluación a la gestión institucional. A </w:t>
      </w:r>
      <w:r w:rsidR="007B5666" w:rsidRPr="00E2319F">
        <w:rPr>
          <w:rFonts w:cs="Arial"/>
        </w:rPr>
        <w:t>continuación,</w:t>
      </w:r>
      <w:r w:rsidR="007B5666">
        <w:rPr>
          <w:rFonts w:cs="Arial"/>
        </w:rPr>
        <w:t xml:space="preserve"> se presentan </w:t>
      </w:r>
      <w:r w:rsidRPr="00E2319F">
        <w:rPr>
          <w:rFonts w:cs="Arial"/>
        </w:rPr>
        <w:t xml:space="preserve">los informes generados con corte a 31 de diciembre de 2017:  </w:t>
      </w:r>
    </w:p>
    <w:p w:rsidR="00E05204" w:rsidRPr="00E2319F" w:rsidRDefault="00E05204" w:rsidP="007B5666">
      <w:pPr>
        <w:pStyle w:val="Descripcin"/>
        <w:keepNext/>
        <w:spacing w:before="100" w:beforeAutospacing="1" w:after="100" w:afterAutospacing="1"/>
        <w:jc w:val="center"/>
        <w:rPr>
          <w:rFonts w:cs="Arial"/>
          <w:sz w:val="22"/>
          <w:szCs w:val="22"/>
        </w:rPr>
      </w:pPr>
      <w:r w:rsidRPr="00E2319F">
        <w:rPr>
          <w:rFonts w:cs="Arial"/>
          <w:bCs w:val="0"/>
          <w:color w:val="auto"/>
          <w:sz w:val="22"/>
          <w:szCs w:val="22"/>
        </w:rPr>
        <w:t>Informes Oficina de Control Intern</w:t>
      </w:r>
      <w:r w:rsidR="007A313B">
        <w:rPr>
          <w:rFonts w:cs="Arial"/>
          <w:bCs w:val="0"/>
          <w:color w:val="auto"/>
          <w:sz w:val="22"/>
          <w:szCs w:val="22"/>
        </w:rPr>
        <w:t>o Corte 31 de diciembre de 2017</w:t>
      </w: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506"/>
        <w:gridCol w:w="8073"/>
        <w:gridCol w:w="816"/>
      </w:tblGrid>
      <w:tr w:rsidR="00E05204" w:rsidRPr="007B5666" w:rsidTr="007B5666">
        <w:trPr>
          <w:trHeight w:val="293"/>
          <w:jc w:val="center"/>
        </w:trPr>
        <w:tc>
          <w:tcPr>
            <w:tcW w:w="0" w:type="auto"/>
            <w:shd w:val="clear" w:color="auto" w:fill="76923C"/>
            <w:hideMark/>
          </w:tcPr>
          <w:p w:rsidR="00E05204" w:rsidRPr="007B5666" w:rsidRDefault="00E05204" w:rsidP="007B5666">
            <w:pPr>
              <w:spacing w:after="0" w:line="240" w:lineRule="auto"/>
              <w:jc w:val="center"/>
              <w:rPr>
                <w:rFonts w:eastAsia="Times New Roman" w:cs="Arial"/>
                <w:b/>
                <w:bCs/>
                <w:color w:val="FFFFFF" w:themeColor="background1"/>
                <w:sz w:val="18"/>
                <w:szCs w:val="18"/>
                <w:lang w:eastAsia="es-ES"/>
              </w:rPr>
            </w:pPr>
            <w:r w:rsidRPr="007B5666">
              <w:rPr>
                <w:rFonts w:eastAsia="Times New Roman" w:cs="Arial"/>
                <w:b/>
                <w:bCs/>
                <w:color w:val="FFFFFF" w:themeColor="background1"/>
                <w:sz w:val="18"/>
                <w:szCs w:val="18"/>
                <w:lang w:eastAsia="es-ES"/>
              </w:rPr>
              <w:t>No</w:t>
            </w:r>
            <w:r w:rsidR="007B5666" w:rsidRPr="007B5666">
              <w:rPr>
                <w:rFonts w:eastAsia="Times New Roman" w:cs="Arial"/>
                <w:b/>
                <w:bCs/>
                <w:color w:val="FFFFFF" w:themeColor="background1"/>
                <w:sz w:val="18"/>
                <w:szCs w:val="18"/>
                <w:lang w:eastAsia="es-ES"/>
              </w:rPr>
              <w:t>.</w:t>
            </w:r>
          </w:p>
        </w:tc>
        <w:tc>
          <w:tcPr>
            <w:tcW w:w="0" w:type="auto"/>
            <w:shd w:val="clear" w:color="auto" w:fill="76923C"/>
            <w:hideMark/>
          </w:tcPr>
          <w:p w:rsidR="00E05204" w:rsidRPr="007B5666" w:rsidRDefault="007B5666" w:rsidP="007B5666">
            <w:pPr>
              <w:spacing w:after="0" w:line="240" w:lineRule="auto"/>
              <w:jc w:val="center"/>
              <w:rPr>
                <w:rFonts w:eastAsia="Times New Roman" w:cs="Arial"/>
                <w:b/>
                <w:bCs/>
                <w:color w:val="FFFFFF" w:themeColor="background1"/>
                <w:sz w:val="18"/>
                <w:szCs w:val="18"/>
                <w:lang w:eastAsia="es-ES"/>
              </w:rPr>
            </w:pPr>
            <w:r w:rsidRPr="007B5666">
              <w:rPr>
                <w:rFonts w:eastAsia="Times New Roman" w:cs="Arial"/>
                <w:b/>
                <w:bCs/>
                <w:color w:val="FFFFFF" w:themeColor="background1"/>
                <w:sz w:val="18"/>
                <w:szCs w:val="18"/>
                <w:lang w:eastAsia="es-ES"/>
              </w:rPr>
              <w:t>Clase de Informe o</w:t>
            </w:r>
            <w:r w:rsidR="00E05204" w:rsidRPr="007B5666">
              <w:rPr>
                <w:rFonts w:eastAsia="Times New Roman" w:cs="Arial"/>
                <w:b/>
                <w:bCs/>
                <w:color w:val="FFFFFF" w:themeColor="background1"/>
                <w:sz w:val="18"/>
                <w:szCs w:val="18"/>
                <w:lang w:eastAsia="es-ES"/>
              </w:rPr>
              <w:t xml:space="preserve"> D</w:t>
            </w:r>
            <w:r w:rsidRPr="007B5666">
              <w:rPr>
                <w:rFonts w:eastAsia="Times New Roman" w:cs="Arial"/>
                <w:b/>
                <w:bCs/>
                <w:color w:val="FFFFFF" w:themeColor="background1"/>
                <w:sz w:val="18"/>
                <w:szCs w:val="18"/>
                <w:lang w:eastAsia="es-ES"/>
              </w:rPr>
              <w:t>ocumento</w:t>
            </w:r>
            <w:r w:rsidR="00E05204" w:rsidRPr="007B5666">
              <w:rPr>
                <w:rFonts w:eastAsia="Times New Roman" w:cs="Arial"/>
                <w:b/>
                <w:bCs/>
                <w:color w:val="FFFFFF" w:themeColor="background1"/>
                <w:sz w:val="18"/>
                <w:szCs w:val="18"/>
                <w:lang w:eastAsia="es-ES"/>
              </w:rPr>
              <w:t xml:space="preserve"> </w:t>
            </w:r>
            <w:r w:rsidRPr="007B5666">
              <w:rPr>
                <w:rFonts w:eastAsia="Times New Roman" w:cs="Arial"/>
                <w:b/>
                <w:bCs/>
                <w:color w:val="FFFFFF" w:themeColor="background1"/>
                <w:sz w:val="18"/>
                <w:szCs w:val="18"/>
                <w:lang w:eastAsia="es-ES"/>
              </w:rPr>
              <w:t>(Físico - Publicación)</w:t>
            </w:r>
          </w:p>
        </w:tc>
        <w:tc>
          <w:tcPr>
            <w:tcW w:w="0" w:type="auto"/>
            <w:shd w:val="clear" w:color="auto" w:fill="76923C"/>
          </w:tcPr>
          <w:p w:rsidR="00E05204" w:rsidRPr="007B5666" w:rsidRDefault="00E05204" w:rsidP="007B5666">
            <w:pPr>
              <w:spacing w:after="0" w:line="240" w:lineRule="auto"/>
              <w:jc w:val="center"/>
              <w:rPr>
                <w:rFonts w:eastAsia="Times New Roman" w:cs="Arial"/>
                <w:b/>
                <w:bCs/>
                <w:color w:val="FFFFFF" w:themeColor="background1"/>
                <w:sz w:val="18"/>
                <w:szCs w:val="18"/>
                <w:lang w:eastAsia="es-ES"/>
              </w:rPr>
            </w:pPr>
            <w:r w:rsidRPr="007B5666">
              <w:rPr>
                <w:rFonts w:eastAsia="Times New Roman" w:cs="Arial"/>
                <w:b/>
                <w:bCs/>
                <w:color w:val="FFFFFF" w:themeColor="background1"/>
                <w:sz w:val="18"/>
                <w:szCs w:val="18"/>
                <w:lang w:eastAsia="es-ES"/>
              </w:rPr>
              <w:t>TOTAL</w:t>
            </w:r>
          </w:p>
        </w:tc>
      </w:tr>
      <w:tr w:rsidR="00E05204" w:rsidRPr="007B5666" w:rsidTr="007B5666">
        <w:trPr>
          <w:trHeight w:val="20"/>
          <w:jc w:val="center"/>
        </w:trPr>
        <w:tc>
          <w:tcPr>
            <w:tcW w:w="0" w:type="auto"/>
            <w:shd w:val="clear" w:color="auto" w:fill="auto"/>
            <w:hideMark/>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1</w:t>
            </w:r>
          </w:p>
        </w:tc>
        <w:tc>
          <w:tcPr>
            <w:tcW w:w="0" w:type="auto"/>
            <w:shd w:val="clear" w:color="auto" w:fill="auto"/>
            <w:hideMark/>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Delegaciones - Dirección General (enero a septiembre de 2017)</w:t>
            </w:r>
          </w:p>
        </w:tc>
        <w:tc>
          <w:tcPr>
            <w:tcW w:w="0" w:type="auto"/>
            <w:shd w:val="clear" w:color="auto" w:fill="auto"/>
          </w:tcPr>
          <w:p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9</w:t>
            </w:r>
          </w:p>
        </w:tc>
      </w:tr>
      <w:tr w:rsidR="00E05204" w:rsidRPr="007B5666" w:rsidTr="007B5666">
        <w:trPr>
          <w:trHeight w:val="20"/>
          <w:jc w:val="center"/>
        </w:trPr>
        <w:tc>
          <w:tcPr>
            <w:tcW w:w="0" w:type="auto"/>
            <w:shd w:val="clear" w:color="auto" w:fill="auto"/>
            <w:hideMark/>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2</w:t>
            </w:r>
          </w:p>
        </w:tc>
        <w:tc>
          <w:tcPr>
            <w:tcW w:w="0" w:type="auto"/>
            <w:shd w:val="clear" w:color="auto" w:fill="auto"/>
            <w:hideMark/>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Reportes de hallazgos a la Secretaría de Transparencia de la Presidencia de la República</w:t>
            </w:r>
          </w:p>
        </w:tc>
        <w:tc>
          <w:tcPr>
            <w:tcW w:w="0" w:type="auto"/>
            <w:shd w:val="clear" w:color="auto" w:fill="auto"/>
          </w:tcPr>
          <w:p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1</w:t>
            </w:r>
          </w:p>
        </w:tc>
      </w:tr>
      <w:tr w:rsidR="00E05204" w:rsidRPr="007B5666" w:rsidTr="007B5666">
        <w:trPr>
          <w:trHeight w:val="20"/>
          <w:jc w:val="center"/>
        </w:trPr>
        <w:tc>
          <w:tcPr>
            <w:tcW w:w="0" w:type="auto"/>
            <w:shd w:val="clear" w:color="auto" w:fill="auto"/>
            <w:hideMark/>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3</w:t>
            </w:r>
          </w:p>
        </w:tc>
        <w:tc>
          <w:tcPr>
            <w:tcW w:w="0" w:type="auto"/>
            <w:shd w:val="clear" w:color="auto" w:fill="auto"/>
            <w:hideMark/>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 xml:space="preserve">Reporte Semestral Plan de Mejoramiento CGR (Reporte SIRECI: 2do. Semestre 2016 y 1er Semestre 2017) </w:t>
            </w:r>
          </w:p>
        </w:tc>
        <w:tc>
          <w:tcPr>
            <w:tcW w:w="0" w:type="auto"/>
            <w:shd w:val="clear" w:color="auto" w:fill="auto"/>
          </w:tcPr>
          <w:p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2</w:t>
            </w:r>
          </w:p>
        </w:tc>
      </w:tr>
      <w:tr w:rsidR="00E05204" w:rsidRPr="007B5666" w:rsidTr="007B5666">
        <w:trPr>
          <w:trHeight w:val="20"/>
          <w:jc w:val="center"/>
        </w:trPr>
        <w:tc>
          <w:tcPr>
            <w:tcW w:w="0" w:type="auto"/>
            <w:shd w:val="clear" w:color="auto" w:fill="auto"/>
            <w:hideMark/>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4</w:t>
            </w:r>
          </w:p>
        </w:tc>
        <w:tc>
          <w:tcPr>
            <w:tcW w:w="0" w:type="auto"/>
            <w:shd w:val="clear" w:color="auto" w:fill="auto"/>
            <w:hideMark/>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Ejecutivo Anual del Sistema de Control Interno 2016</w:t>
            </w:r>
          </w:p>
        </w:tc>
        <w:tc>
          <w:tcPr>
            <w:tcW w:w="0" w:type="auto"/>
            <w:shd w:val="clear" w:color="auto" w:fill="auto"/>
          </w:tcPr>
          <w:p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1</w:t>
            </w:r>
          </w:p>
        </w:tc>
      </w:tr>
      <w:tr w:rsidR="00E05204" w:rsidRPr="007B5666" w:rsidTr="007B5666">
        <w:trPr>
          <w:trHeight w:val="20"/>
          <w:jc w:val="center"/>
        </w:trPr>
        <w:tc>
          <w:tcPr>
            <w:tcW w:w="0" w:type="auto"/>
            <w:shd w:val="clear" w:color="auto" w:fill="auto"/>
            <w:hideMark/>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5</w:t>
            </w:r>
          </w:p>
        </w:tc>
        <w:tc>
          <w:tcPr>
            <w:tcW w:w="0" w:type="auto"/>
            <w:shd w:val="clear" w:color="auto" w:fill="auto"/>
            <w:hideMark/>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Evaluación Anual del Control Interno Contable 2016</w:t>
            </w:r>
          </w:p>
        </w:tc>
        <w:tc>
          <w:tcPr>
            <w:tcW w:w="0" w:type="auto"/>
            <w:shd w:val="clear" w:color="auto" w:fill="auto"/>
          </w:tcPr>
          <w:p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1</w:t>
            </w:r>
          </w:p>
        </w:tc>
      </w:tr>
      <w:tr w:rsidR="00E05204" w:rsidRPr="007B5666" w:rsidTr="007B5666">
        <w:trPr>
          <w:trHeight w:val="20"/>
          <w:jc w:val="center"/>
        </w:trPr>
        <w:tc>
          <w:tcPr>
            <w:tcW w:w="0" w:type="auto"/>
            <w:shd w:val="clear" w:color="auto" w:fill="auto"/>
            <w:hideMark/>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6</w:t>
            </w:r>
          </w:p>
        </w:tc>
        <w:tc>
          <w:tcPr>
            <w:tcW w:w="0" w:type="auto"/>
            <w:shd w:val="clear" w:color="auto" w:fill="auto"/>
            <w:hideMark/>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 xml:space="preserve">Rendición de cuentas ICBF - Cuenta Anual Consolidada (SIRECI- CGR) </w:t>
            </w:r>
          </w:p>
        </w:tc>
        <w:tc>
          <w:tcPr>
            <w:tcW w:w="0" w:type="auto"/>
            <w:shd w:val="clear" w:color="auto" w:fill="auto"/>
          </w:tcPr>
          <w:p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1</w:t>
            </w:r>
          </w:p>
        </w:tc>
      </w:tr>
      <w:tr w:rsidR="00E05204" w:rsidRPr="007B5666" w:rsidTr="007B5666">
        <w:trPr>
          <w:trHeight w:val="20"/>
          <w:jc w:val="center"/>
        </w:trPr>
        <w:tc>
          <w:tcPr>
            <w:tcW w:w="0" w:type="auto"/>
            <w:shd w:val="clear" w:color="auto" w:fill="auto"/>
            <w:hideMark/>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7</w:t>
            </w:r>
          </w:p>
        </w:tc>
        <w:tc>
          <w:tcPr>
            <w:tcW w:w="0" w:type="auto"/>
            <w:shd w:val="clear" w:color="auto" w:fill="auto"/>
            <w:hideMark/>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 xml:space="preserve">Verificación Obligaciones Ekogui (Informe y Certificación: 2do semestre 2016 y 1er semestre 2017) </w:t>
            </w:r>
          </w:p>
        </w:tc>
        <w:tc>
          <w:tcPr>
            <w:tcW w:w="0" w:type="auto"/>
            <w:shd w:val="clear" w:color="auto" w:fill="auto"/>
          </w:tcPr>
          <w:p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2</w:t>
            </w:r>
          </w:p>
        </w:tc>
      </w:tr>
      <w:tr w:rsidR="00E05204" w:rsidRPr="007B5666" w:rsidTr="007B5666">
        <w:trPr>
          <w:trHeight w:val="300"/>
          <w:jc w:val="center"/>
        </w:trPr>
        <w:tc>
          <w:tcPr>
            <w:tcW w:w="0" w:type="auto"/>
            <w:shd w:val="clear" w:color="auto" w:fill="auto"/>
            <w:hideMark/>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8</w:t>
            </w:r>
          </w:p>
        </w:tc>
        <w:tc>
          <w:tcPr>
            <w:tcW w:w="0" w:type="auto"/>
            <w:shd w:val="clear" w:color="auto" w:fill="auto"/>
            <w:hideMark/>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Pormenorizado del Estado del Control Interno 2016-2017 (1er cuatrimestre de 2017, 2to cuatrimestre de 2017 y 3er cuatrimestre de 2017)</w:t>
            </w:r>
          </w:p>
        </w:tc>
        <w:tc>
          <w:tcPr>
            <w:tcW w:w="0" w:type="auto"/>
            <w:shd w:val="clear" w:color="auto" w:fill="auto"/>
          </w:tcPr>
          <w:p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3</w:t>
            </w:r>
          </w:p>
        </w:tc>
      </w:tr>
      <w:tr w:rsidR="00E05204" w:rsidRPr="007B5666" w:rsidTr="007B5666">
        <w:trPr>
          <w:trHeight w:val="300"/>
          <w:jc w:val="center"/>
        </w:trPr>
        <w:tc>
          <w:tcPr>
            <w:tcW w:w="0" w:type="auto"/>
            <w:shd w:val="clear" w:color="auto" w:fill="auto"/>
            <w:hideMark/>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9</w:t>
            </w:r>
          </w:p>
        </w:tc>
        <w:tc>
          <w:tcPr>
            <w:tcW w:w="0" w:type="auto"/>
            <w:shd w:val="clear" w:color="auto" w:fill="auto"/>
            <w:hideMark/>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 xml:space="preserve">Anual del Uso de Software </w:t>
            </w:r>
          </w:p>
        </w:tc>
        <w:tc>
          <w:tcPr>
            <w:tcW w:w="0" w:type="auto"/>
            <w:shd w:val="clear" w:color="auto" w:fill="auto"/>
          </w:tcPr>
          <w:p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1</w:t>
            </w:r>
          </w:p>
        </w:tc>
      </w:tr>
      <w:tr w:rsidR="00E05204" w:rsidRPr="007B5666" w:rsidTr="007B5666">
        <w:trPr>
          <w:trHeight w:val="245"/>
          <w:jc w:val="center"/>
        </w:trPr>
        <w:tc>
          <w:tcPr>
            <w:tcW w:w="0" w:type="auto"/>
            <w:shd w:val="clear" w:color="auto" w:fill="auto"/>
            <w:hideMark/>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10</w:t>
            </w:r>
          </w:p>
        </w:tc>
        <w:tc>
          <w:tcPr>
            <w:tcW w:w="0" w:type="auto"/>
            <w:shd w:val="clear" w:color="auto" w:fill="auto"/>
            <w:hideMark/>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Seguimiento Proceso Servicios y Atención (Peticiones, Quejas, Sugerencias y Reclamos-2do. semestre 2016 y 1er semestre 2017)</w:t>
            </w:r>
          </w:p>
        </w:tc>
        <w:tc>
          <w:tcPr>
            <w:tcW w:w="0" w:type="auto"/>
            <w:shd w:val="clear" w:color="auto" w:fill="auto"/>
          </w:tcPr>
          <w:p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2</w:t>
            </w:r>
          </w:p>
        </w:tc>
      </w:tr>
      <w:tr w:rsidR="00E05204" w:rsidRPr="007B5666" w:rsidTr="007B5666">
        <w:trPr>
          <w:trHeight w:val="245"/>
          <w:jc w:val="center"/>
        </w:trPr>
        <w:tc>
          <w:tcPr>
            <w:tcW w:w="0" w:type="auto"/>
            <w:shd w:val="clear" w:color="auto" w:fill="auto"/>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11</w:t>
            </w:r>
          </w:p>
        </w:tc>
        <w:tc>
          <w:tcPr>
            <w:tcW w:w="0" w:type="auto"/>
            <w:shd w:val="clear" w:color="auto" w:fill="auto"/>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Austeridad en el Gasto Público (Vigencia 2016, I Trim 2017 y II Trim 2017)</w:t>
            </w:r>
          </w:p>
        </w:tc>
        <w:tc>
          <w:tcPr>
            <w:tcW w:w="0" w:type="auto"/>
            <w:shd w:val="clear" w:color="auto" w:fill="auto"/>
          </w:tcPr>
          <w:p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3</w:t>
            </w:r>
          </w:p>
        </w:tc>
      </w:tr>
      <w:tr w:rsidR="00E05204" w:rsidRPr="007B5666" w:rsidTr="007B5666">
        <w:trPr>
          <w:trHeight w:val="300"/>
          <w:jc w:val="center"/>
        </w:trPr>
        <w:tc>
          <w:tcPr>
            <w:tcW w:w="0" w:type="auto"/>
            <w:shd w:val="clear" w:color="auto" w:fill="auto"/>
            <w:hideMark/>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12</w:t>
            </w:r>
          </w:p>
        </w:tc>
        <w:tc>
          <w:tcPr>
            <w:tcW w:w="0" w:type="auto"/>
            <w:shd w:val="clear" w:color="auto" w:fill="auto"/>
            <w:hideMark/>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Reporte Trimestral Plan de Mejoramiento Archivístico - AGN (I Trim 2017, II Trim 2017 y III Trim 2017)</w:t>
            </w:r>
          </w:p>
        </w:tc>
        <w:tc>
          <w:tcPr>
            <w:tcW w:w="0" w:type="auto"/>
            <w:shd w:val="clear" w:color="auto" w:fill="auto"/>
          </w:tcPr>
          <w:p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3</w:t>
            </w:r>
          </w:p>
        </w:tc>
      </w:tr>
      <w:tr w:rsidR="00E05204" w:rsidRPr="007B5666" w:rsidTr="007B5666">
        <w:trPr>
          <w:trHeight w:val="300"/>
          <w:jc w:val="center"/>
        </w:trPr>
        <w:tc>
          <w:tcPr>
            <w:tcW w:w="0" w:type="auto"/>
            <w:shd w:val="clear" w:color="auto" w:fill="auto"/>
            <w:hideMark/>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13</w:t>
            </w:r>
          </w:p>
        </w:tc>
        <w:tc>
          <w:tcPr>
            <w:tcW w:w="0" w:type="auto"/>
            <w:shd w:val="clear" w:color="auto" w:fill="auto"/>
            <w:hideMark/>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Ejecución Cajas Menores 2016 I Trim 2017</w:t>
            </w:r>
          </w:p>
        </w:tc>
        <w:tc>
          <w:tcPr>
            <w:tcW w:w="0" w:type="auto"/>
            <w:shd w:val="clear" w:color="auto" w:fill="auto"/>
          </w:tcPr>
          <w:p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1</w:t>
            </w:r>
          </w:p>
        </w:tc>
      </w:tr>
      <w:tr w:rsidR="00E05204" w:rsidRPr="007B5666" w:rsidTr="007B5666">
        <w:trPr>
          <w:trHeight w:val="300"/>
          <w:jc w:val="center"/>
        </w:trPr>
        <w:tc>
          <w:tcPr>
            <w:tcW w:w="0" w:type="auto"/>
            <w:shd w:val="clear" w:color="auto" w:fill="auto"/>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14</w:t>
            </w:r>
          </w:p>
        </w:tc>
        <w:tc>
          <w:tcPr>
            <w:tcW w:w="0" w:type="auto"/>
            <w:shd w:val="clear" w:color="auto" w:fill="auto"/>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Reporte Anual de Personal y Costos 2016</w:t>
            </w:r>
          </w:p>
        </w:tc>
        <w:tc>
          <w:tcPr>
            <w:tcW w:w="0" w:type="auto"/>
            <w:shd w:val="clear" w:color="auto" w:fill="auto"/>
          </w:tcPr>
          <w:p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1</w:t>
            </w:r>
          </w:p>
        </w:tc>
      </w:tr>
      <w:tr w:rsidR="00E05204" w:rsidRPr="007B5666" w:rsidTr="007B5666">
        <w:trPr>
          <w:trHeight w:val="300"/>
          <w:jc w:val="center"/>
        </w:trPr>
        <w:tc>
          <w:tcPr>
            <w:tcW w:w="0" w:type="auto"/>
            <w:shd w:val="clear" w:color="auto" w:fill="auto"/>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15</w:t>
            </w:r>
          </w:p>
        </w:tc>
        <w:tc>
          <w:tcPr>
            <w:tcW w:w="0" w:type="auto"/>
            <w:shd w:val="clear" w:color="auto" w:fill="auto"/>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Acciones de Repetición (2do Semestre 2016 y 1er Semestre 2017)</w:t>
            </w:r>
          </w:p>
        </w:tc>
        <w:tc>
          <w:tcPr>
            <w:tcW w:w="0" w:type="auto"/>
            <w:shd w:val="clear" w:color="auto" w:fill="auto"/>
          </w:tcPr>
          <w:p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2</w:t>
            </w:r>
          </w:p>
        </w:tc>
      </w:tr>
      <w:tr w:rsidR="00E05204" w:rsidRPr="007B5666" w:rsidTr="007B5666">
        <w:trPr>
          <w:trHeight w:val="300"/>
          <w:jc w:val="center"/>
        </w:trPr>
        <w:tc>
          <w:tcPr>
            <w:tcW w:w="0" w:type="auto"/>
            <w:shd w:val="clear" w:color="auto" w:fill="auto"/>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16</w:t>
            </w:r>
          </w:p>
        </w:tc>
        <w:tc>
          <w:tcPr>
            <w:tcW w:w="0" w:type="auto"/>
            <w:shd w:val="clear" w:color="auto" w:fill="auto"/>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Revisión por la Dirección (Auditorías Internas 2016 - 2017)</w:t>
            </w:r>
          </w:p>
        </w:tc>
        <w:tc>
          <w:tcPr>
            <w:tcW w:w="0" w:type="auto"/>
            <w:shd w:val="clear" w:color="auto" w:fill="auto"/>
          </w:tcPr>
          <w:p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2</w:t>
            </w:r>
          </w:p>
        </w:tc>
      </w:tr>
      <w:tr w:rsidR="00E05204" w:rsidRPr="007B5666" w:rsidTr="007B5666">
        <w:trPr>
          <w:trHeight w:val="300"/>
          <w:jc w:val="center"/>
        </w:trPr>
        <w:tc>
          <w:tcPr>
            <w:tcW w:w="0" w:type="auto"/>
            <w:shd w:val="clear" w:color="auto" w:fill="auto"/>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17</w:t>
            </w:r>
          </w:p>
        </w:tc>
        <w:tc>
          <w:tcPr>
            <w:tcW w:w="0" w:type="auto"/>
            <w:shd w:val="clear" w:color="auto" w:fill="auto"/>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SIGEP - Sistema de Información y Gestión del Empleo Público I Sem 2017</w:t>
            </w:r>
          </w:p>
        </w:tc>
        <w:tc>
          <w:tcPr>
            <w:tcW w:w="0" w:type="auto"/>
            <w:shd w:val="clear" w:color="auto" w:fill="auto"/>
          </w:tcPr>
          <w:p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1</w:t>
            </w:r>
          </w:p>
        </w:tc>
      </w:tr>
      <w:tr w:rsidR="00E05204" w:rsidRPr="007B5666" w:rsidTr="007B5666">
        <w:trPr>
          <w:trHeight w:val="300"/>
          <w:jc w:val="center"/>
        </w:trPr>
        <w:tc>
          <w:tcPr>
            <w:tcW w:w="0" w:type="auto"/>
            <w:shd w:val="clear" w:color="auto" w:fill="auto"/>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18</w:t>
            </w:r>
          </w:p>
        </w:tc>
        <w:tc>
          <w:tcPr>
            <w:tcW w:w="0" w:type="auto"/>
            <w:shd w:val="clear" w:color="auto" w:fill="auto"/>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Seguimiento Plan Anticorrupción y de Atención al Ciudadano (IV Cuatrimestre 2016, I Cuatrimestre 2017 y II Cuatrimestre 2017)</w:t>
            </w:r>
          </w:p>
        </w:tc>
        <w:tc>
          <w:tcPr>
            <w:tcW w:w="0" w:type="auto"/>
            <w:shd w:val="clear" w:color="auto" w:fill="auto"/>
          </w:tcPr>
          <w:p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3</w:t>
            </w:r>
          </w:p>
        </w:tc>
      </w:tr>
      <w:tr w:rsidR="00E05204" w:rsidRPr="007B5666" w:rsidTr="007B5666">
        <w:trPr>
          <w:trHeight w:val="300"/>
          <w:jc w:val="center"/>
        </w:trPr>
        <w:tc>
          <w:tcPr>
            <w:tcW w:w="0" w:type="auto"/>
            <w:shd w:val="clear" w:color="auto" w:fill="auto"/>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19</w:t>
            </w:r>
          </w:p>
        </w:tc>
        <w:tc>
          <w:tcPr>
            <w:tcW w:w="0" w:type="auto"/>
            <w:shd w:val="clear" w:color="auto" w:fill="auto"/>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Implementación Ley de Transparencia</w:t>
            </w:r>
          </w:p>
        </w:tc>
        <w:tc>
          <w:tcPr>
            <w:tcW w:w="0" w:type="auto"/>
            <w:shd w:val="clear" w:color="auto" w:fill="auto"/>
          </w:tcPr>
          <w:p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1</w:t>
            </w:r>
          </w:p>
        </w:tc>
      </w:tr>
      <w:tr w:rsidR="00E05204" w:rsidRPr="007B5666" w:rsidTr="007B5666">
        <w:trPr>
          <w:trHeight w:val="300"/>
          <w:jc w:val="center"/>
        </w:trPr>
        <w:tc>
          <w:tcPr>
            <w:tcW w:w="0" w:type="auto"/>
            <w:shd w:val="clear" w:color="auto" w:fill="auto"/>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20</w:t>
            </w:r>
          </w:p>
        </w:tc>
        <w:tc>
          <w:tcPr>
            <w:tcW w:w="0" w:type="auto"/>
            <w:shd w:val="clear" w:color="auto" w:fill="auto"/>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Evaluación Anual de Gestión por Dependencias - I Semestre 2017 (Piloto)</w:t>
            </w:r>
          </w:p>
        </w:tc>
        <w:tc>
          <w:tcPr>
            <w:tcW w:w="0" w:type="auto"/>
            <w:shd w:val="clear" w:color="auto" w:fill="auto"/>
          </w:tcPr>
          <w:p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1</w:t>
            </w:r>
          </w:p>
        </w:tc>
      </w:tr>
      <w:tr w:rsidR="00E05204" w:rsidRPr="007B5666" w:rsidTr="007B5666">
        <w:trPr>
          <w:trHeight w:val="300"/>
          <w:jc w:val="center"/>
        </w:trPr>
        <w:tc>
          <w:tcPr>
            <w:tcW w:w="0" w:type="auto"/>
            <w:shd w:val="clear" w:color="auto" w:fill="auto"/>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21</w:t>
            </w:r>
          </w:p>
        </w:tc>
        <w:tc>
          <w:tcPr>
            <w:tcW w:w="0" w:type="auto"/>
            <w:shd w:val="clear" w:color="auto" w:fill="auto"/>
          </w:tcPr>
          <w:p w:rsidR="00E05204" w:rsidRPr="007B5666" w:rsidRDefault="00E05204" w:rsidP="007B5666">
            <w:pPr>
              <w:spacing w:after="0" w:line="240" w:lineRule="auto"/>
              <w:rPr>
                <w:rFonts w:eastAsia="Times New Roman" w:cs="Arial"/>
                <w:color w:val="000000"/>
                <w:sz w:val="18"/>
                <w:szCs w:val="18"/>
                <w:lang w:val="es-CO" w:eastAsia="es-CO"/>
              </w:rPr>
            </w:pPr>
            <w:r w:rsidRPr="007B5666">
              <w:rPr>
                <w:rFonts w:eastAsia="Times New Roman" w:cs="Arial"/>
                <w:color w:val="000000"/>
                <w:sz w:val="18"/>
                <w:szCs w:val="18"/>
                <w:lang w:val="es-CO" w:eastAsia="es-CO"/>
              </w:rPr>
              <w:t xml:space="preserve">Programa de Gestión Documental ICBF </w:t>
            </w:r>
          </w:p>
        </w:tc>
        <w:tc>
          <w:tcPr>
            <w:tcW w:w="0" w:type="auto"/>
            <w:shd w:val="clear" w:color="auto" w:fill="auto"/>
          </w:tcPr>
          <w:p w:rsidR="00E05204" w:rsidRPr="007B5666" w:rsidRDefault="00E05204" w:rsidP="007B5666">
            <w:pPr>
              <w:spacing w:after="0" w:line="240" w:lineRule="auto"/>
              <w:jc w:val="center"/>
              <w:rPr>
                <w:rFonts w:eastAsia="Times New Roman" w:cs="Arial"/>
                <w:color w:val="000000"/>
                <w:sz w:val="18"/>
                <w:szCs w:val="18"/>
                <w:lang w:val="es-CO" w:eastAsia="es-CO"/>
              </w:rPr>
            </w:pPr>
            <w:r w:rsidRPr="007B5666">
              <w:rPr>
                <w:rFonts w:eastAsia="Times New Roman" w:cs="Arial"/>
                <w:color w:val="000000"/>
                <w:sz w:val="18"/>
                <w:szCs w:val="18"/>
                <w:lang w:val="es-CO" w:eastAsia="es-CO"/>
              </w:rPr>
              <w:t>1</w:t>
            </w:r>
          </w:p>
        </w:tc>
      </w:tr>
      <w:tr w:rsidR="00E05204" w:rsidRPr="007B5666" w:rsidTr="007B5666">
        <w:trPr>
          <w:trHeight w:val="300"/>
          <w:jc w:val="center"/>
        </w:trPr>
        <w:tc>
          <w:tcPr>
            <w:tcW w:w="0" w:type="auto"/>
            <w:gridSpan w:val="2"/>
            <w:shd w:val="clear" w:color="auto" w:fill="E2EFDA"/>
          </w:tcPr>
          <w:p w:rsidR="00E05204" w:rsidRPr="007B5666" w:rsidRDefault="007B5666" w:rsidP="007B5666">
            <w:pPr>
              <w:spacing w:after="0" w:line="240" w:lineRule="auto"/>
              <w:rPr>
                <w:rFonts w:eastAsia="Times New Roman" w:cs="Arial"/>
                <w:b/>
                <w:color w:val="000000"/>
                <w:sz w:val="18"/>
                <w:szCs w:val="18"/>
                <w:lang w:val="es-CO" w:eastAsia="es-CO"/>
              </w:rPr>
            </w:pPr>
            <w:r w:rsidRPr="007B5666">
              <w:rPr>
                <w:rFonts w:eastAsia="Times New Roman" w:cs="Arial"/>
                <w:b/>
                <w:color w:val="000000"/>
                <w:sz w:val="18"/>
                <w:szCs w:val="18"/>
                <w:lang w:val="es-CO" w:eastAsia="es-CO"/>
              </w:rPr>
              <w:t>Total Informes Generados</w:t>
            </w:r>
          </w:p>
        </w:tc>
        <w:tc>
          <w:tcPr>
            <w:tcW w:w="0" w:type="auto"/>
            <w:shd w:val="clear" w:color="auto" w:fill="E2EFDA"/>
          </w:tcPr>
          <w:p w:rsidR="00E05204" w:rsidRPr="007B5666" w:rsidRDefault="00E05204" w:rsidP="007B5666">
            <w:pPr>
              <w:spacing w:after="0" w:line="240" w:lineRule="auto"/>
              <w:jc w:val="center"/>
              <w:rPr>
                <w:rFonts w:eastAsia="Times New Roman" w:cs="Arial"/>
                <w:b/>
                <w:color w:val="000000"/>
                <w:sz w:val="18"/>
                <w:szCs w:val="18"/>
                <w:lang w:val="es-CO" w:eastAsia="es-CO"/>
              </w:rPr>
            </w:pPr>
            <w:r w:rsidRPr="007B5666">
              <w:rPr>
                <w:rFonts w:eastAsia="Times New Roman" w:cs="Arial"/>
                <w:b/>
                <w:color w:val="000000"/>
                <w:sz w:val="18"/>
                <w:szCs w:val="18"/>
                <w:lang w:val="es-CO" w:eastAsia="es-CO"/>
              </w:rPr>
              <w:t>42</w:t>
            </w:r>
          </w:p>
        </w:tc>
      </w:tr>
    </w:tbl>
    <w:p w:rsidR="00E05204" w:rsidRPr="00E2319F" w:rsidRDefault="00E05204" w:rsidP="00E05204">
      <w:pPr>
        <w:spacing w:after="100" w:afterAutospacing="1" w:line="240" w:lineRule="auto"/>
        <w:jc w:val="both"/>
        <w:rPr>
          <w:rFonts w:cs="Arial"/>
          <w:bCs/>
          <w:sz w:val="18"/>
        </w:rPr>
      </w:pPr>
      <w:r w:rsidRPr="00E2319F">
        <w:rPr>
          <w:rFonts w:cs="Arial"/>
          <w:sz w:val="18"/>
        </w:rPr>
        <w:t xml:space="preserve"> </w:t>
      </w:r>
      <w:r w:rsidRPr="00E2319F">
        <w:rPr>
          <w:rFonts w:cs="Arial"/>
          <w:bCs/>
          <w:sz w:val="18"/>
        </w:rPr>
        <w:t>Fuente: Instituto Colombiano de Bienestar Familiar –ICBF-, Oficina de Control Interno.</w:t>
      </w:r>
    </w:p>
    <w:p w:rsidR="00E05204" w:rsidRPr="00E2319F" w:rsidRDefault="00E05204" w:rsidP="00E05204">
      <w:pPr>
        <w:spacing w:before="100" w:beforeAutospacing="1" w:after="100" w:afterAutospacing="1" w:line="240" w:lineRule="auto"/>
        <w:jc w:val="both"/>
        <w:rPr>
          <w:rFonts w:cs="Arial"/>
          <w:b/>
        </w:rPr>
      </w:pPr>
      <w:r w:rsidRPr="00E2319F">
        <w:rPr>
          <w:rFonts w:cs="Arial"/>
          <w:b/>
        </w:rPr>
        <w:t>Componente Auditoría Interna</w:t>
      </w:r>
    </w:p>
    <w:p w:rsidR="00E05204" w:rsidRPr="00E2319F" w:rsidRDefault="00E05204" w:rsidP="00E05204">
      <w:pPr>
        <w:spacing w:before="100" w:beforeAutospacing="1" w:after="100" w:afterAutospacing="1" w:line="240" w:lineRule="auto"/>
        <w:jc w:val="both"/>
        <w:rPr>
          <w:rFonts w:cs="Arial"/>
        </w:rPr>
      </w:pPr>
      <w:r w:rsidRPr="00E2319F">
        <w:rPr>
          <w:rFonts w:cs="Arial"/>
        </w:rPr>
        <w:lastRenderedPageBreak/>
        <w:t>El Programa Anual de Auditorías fue aprobado por el Comité Coordinador del Sistema Integrado de Gestión re</w:t>
      </w:r>
      <w:r w:rsidR="00697D36" w:rsidRPr="00E2319F">
        <w:rPr>
          <w:rFonts w:cs="Arial"/>
        </w:rPr>
        <w:t>alizado los dí</w:t>
      </w:r>
      <w:r w:rsidRPr="00E2319F">
        <w:rPr>
          <w:rFonts w:cs="Arial"/>
        </w:rPr>
        <w:t>as 29 y 30 de marzo de 2017, en el cual se incluyeron: auditorías internas a Sistemas de G</w:t>
      </w:r>
      <w:r w:rsidR="007B5666">
        <w:rPr>
          <w:rFonts w:cs="Arial"/>
        </w:rPr>
        <w:t>estión, auditorías a procesos (evaluación de casos e</w:t>
      </w:r>
      <w:r w:rsidRPr="00E2319F">
        <w:rPr>
          <w:rFonts w:cs="Arial"/>
        </w:rPr>
        <w:t>specíficos), actividades de asesoría y acompañamiento, informes determinados por la Ley o internos, atención a entes de control, seguimiento a planes de mejoramiento, y capacitación para los funcionarios de la oficina.</w:t>
      </w:r>
    </w:p>
    <w:p w:rsidR="00E05204" w:rsidRPr="00E2319F" w:rsidRDefault="00E05204" w:rsidP="00E05204">
      <w:pPr>
        <w:spacing w:before="100" w:beforeAutospacing="1" w:after="100" w:afterAutospacing="1" w:line="240" w:lineRule="auto"/>
        <w:jc w:val="both"/>
        <w:rPr>
          <w:rFonts w:cs="Arial"/>
        </w:rPr>
      </w:pPr>
      <w:r w:rsidRPr="00E2319F">
        <w:rPr>
          <w:rFonts w:cs="Arial"/>
        </w:rPr>
        <w:t xml:space="preserve">Este programa fue modificado en sesión del comité realizada el día 16 de junio de 2017 ampliando el alcance de las auditorías a los sistemas de gestión considerando el Plan de Transición a las normas ISO 9001:2015 e ISO 14001:2015. </w:t>
      </w:r>
    </w:p>
    <w:p w:rsidR="00E05204" w:rsidRPr="00E2319F" w:rsidRDefault="00E05204" w:rsidP="00E05204">
      <w:pPr>
        <w:pStyle w:val="Descripcin"/>
        <w:keepNext/>
        <w:spacing w:before="100" w:beforeAutospacing="1" w:after="100" w:afterAutospacing="1"/>
        <w:rPr>
          <w:rFonts w:cs="Arial"/>
          <w:sz w:val="22"/>
          <w:szCs w:val="22"/>
        </w:rPr>
      </w:pPr>
      <w:r w:rsidRPr="00E2319F">
        <w:rPr>
          <w:rFonts w:cs="Arial"/>
          <w:bCs w:val="0"/>
          <w:color w:val="auto"/>
          <w:sz w:val="22"/>
          <w:szCs w:val="22"/>
        </w:rPr>
        <w:t>Auditorías Internas realizadas al Sistema Integrado de Gestión a 31 de diciembre de 2017</w:t>
      </w:r>
    </w:p>
    <w:tbl>
      <w:tblPr>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598"/>
        <w:gridCol w:w="506"/>
        <w:gridCol w:w="1077"/>
        <w:gridCol w:w="1077"/>
        <w:gridCol w:w="2128"/>
      </w:tblGrid>
      <w:tr w:rsidR="00E05204" w:rsidRPr="007A313B" w:rsidTr="007A313B">
        <w:trPr>
          <w:trHeight w:val="301"/>
          <w:tblHeader/>
          <w:jc w:val="center"/>
        </w:trPr>
        <w:tc>
          <w:tcPr>
            <w:tcW w:w="0" w:type="auto"/>
            <w:vMerge w:val="restart"/>
            <w:shd w:val="clear" w:color="auto" w:fill="76923C"/>
            <w:vAlign w:val="center"/>
          </w:tcPr>
          <w:p w:rsidR="00E05204" w:rsidRPr="007A313B" w:rsidRDefault="00E05204" w:rsidP="007A313B">
            <w:pPr>
              <w:spacing w:after="0" w:line="240" w:lineRule="auto"/>
              <w:jc w:val="center"/>
              <w:rPr>
                <w:rFonts w:eastAsia="Times New Roman" w:cs="Arial"/>
                <w:b/>
                <w:bCs/>
                <w:color w:val="FFFFFF" w:themeColor="background1"/>
                <w:sz w:val="18"/>
                <w:szCs w:val="18"/>
                <w:lang w:val="es-CO" w:eastAsia="es-CO"/>
              </w:rPr>
            </w:pPr>
            <w:r w:rsidRPr="007A313B">
              <w:rPr>
                <w:rFonts w:eastAsia="Times New Roman" w:cs="Arial"/>
                <w:b/>
                <w:bCs/>
                <w:color w:val="FFFFFF" w:themeColor="background1"/>
                <w:sz w:val="18"/>
                <w:szCs w:val="18"/>
                <w:lang w:val="es-CO" w:eastAsia="es-CO"/>
              </w:rPr>
              <w:t>Eje</w:t>
            </w:r>
          </w:p>
        </w:tc>
        <w:tc>
          <w:tcPr>
            <w:tcW w:w="0" w:type="auto"/>
            <w:vMerge w:val="restart"/>
            <w:shd w:val="clear" w:color="auto" w:fill="76923C"/>
            <w:vAlign w:val="center"/>
          </w:tcPr>
          <w:p w:rsidR="00E05204" w:rsidRPr="007A313B" w:rsidRDefault="00E05204" w:rsidP="007A313B">
            <w:pPr>
              <w:spacing w:after="0" w:line="240" w:lineRule="auto"/>
              <w:rPr>
                <w:rFonts w:eastAsia="Times New Roman" w:cs="Arial"/>
                <w:b/>
                <w:bCs/>
                <w:color w:val="FFFFFF" w:themeColor="background1"/>
                <w:sz w:val="18"/>
                <w:szCs w:val="18"/>
                <w:lang w:val="es-CO" w:eastAsia="es-CO"/>
              </w:rPr>
            </w:pPr>
            <w:r w:rsidRPr="007A313B">
              <w:rPr>
                <w:rFonts w:eastAsia="Times New Roman" w:cs="Arial"/>
                <w:b/>
                <w:bCs/>
                <w:color w:val="FFFFFF" w:themeColor="background1"/>
                <w:sz w:val="18"/>
                <w:szCs w:val="18"/>
                <w:lang w:val="es-CO" w:eastAsia="es-CO"/>
              </w:rPr>
              <w:t>No.</w:t>
            </w:r>
          </w:p>
        </w:tc>
        <w:tc>
          <w:tcPr>
            <w:tcW w:w="0" w:type="auto"/>
            <w:gridSpan w:val="2"/>
            <w:shd w:val="clear" w:color="auto" w:fill="76923C"/>
            <w:vAlign w:val="center"/>
            <w:hideMark/>
          </w:tcPr>
          <w:p w:rsidR="00E05204" w:rsidRPr="007A313B" w:rsidRDefault="00E05204" w:rsidP="007A313B">
            <w:pPr>
              <w:spacing w:after="0" w:line="240" w:lineRule="auto"/>
              <w:jc w:val="center"/>
              <w:rPr>
                <w:rFonts w:eastAsia="Times New Roman" w:cs="Arial"/>
                <w:b/>
                <w:bCs/>
                <w:color w:val="FFFFFF" w:themeColor="background1"/>
                <w:sz w:val="18"/>
                <w:szCs w:val="18"/>
                <w:lang w:val="es-CO" w:eastAsia="es-CO"/>
              </w:rPr>
            </w:pPr>
            <w:r w:rsidRPr="007A313B">
              <w:rPr>
                <w:rFonts w:eastAsia="Times New Roman" w:cs="Arial"/>
                <w:b/>
                <w:bCs/>
                <w:color w:val="FFFFFF" w:themeColor="background1"/>
                <w:sz w:val="18"/>
                <w:szCs w:val="18"/>
                <w:lang w:val="es-CO" w:eastAsia="es-CO"/>
              </w:rPr>
              <w:t>Fecha Ejecución</w:t>
            </w:r>
          </w:p>
        </w:tc>
        <w:tc>
          <w:tcPr>
            <w:tcW w:w="0" w:type="auto"/>
            <w:vMerge w:val="restart"/>
            <w:shd w:val="clear" w:color="auto" w:fill="76923C"/>
            <w:vAlign w:val="center"/>
            <w:hideMark/>
          </w:tcPr>
          <w:p w:rsidR="00E05204" w:rsidRPr="007A313B" w:rsidRDefault="00E05204" w:rsidP="007A313B">
            <w:pPr>
              <w:spacing w:after="0" w:line="240" w:lineRule="auto"/>
              <w:jc w:val="center"/>
              <w:rPr>
                <w:rFonts w:eastAsia="Times New Roman" w:cs="Arial"/>
                <w:b/>
                <w:bCs/>
                <w:color w:val="FFFFFF" w:themeColor="background1"/>
                <w:sz w:val="18"/>
                <w:szCs w:val="18"/>
                <w:lang w:val="es-CO" w:eastAsia="es-CO"/>
              </w:rPr>
            </w:pPr>
            <w:r w:rsidRPr="007A313B">
              <w:rPr>
                <w:rFonts w:eastAsia="Times New Roman" w:cs="Arial"/>
                <w:b/>
                <w:bCs/>
                <w:color w:val="FFFFFF" w:themeColor="background1"/>
                <w:sz w:val="18"/>
                <w:szCs w:val="18"/>
                <w:lang w:val="es-CO" w:eastAsia="es-CO"/>
              </w:rPr>
              <w:t>Regional o Sede</w:t>
            </w:r>
          </w:p>
        </w:tc>
      </w:tr>
      <w:tr w:rsidR="00E05204" w:rsidRPr="007A313B" w:rsidTr="007A313B">
        <w:trPr>
          <w:trHeight w:val="55"/>
          <w:jc w:val="center"/>
        </w:trPr>
        <w:tc>
          <w:tcPr>
            <w:tcW w:w="0" w:type="auto"/>
            <w:vMerge/>
            <w:vAlign w:val="center"/>
          </w:tcPr>
          <w:p w:rsidR="00E05204" w:rsidRPr="007A313B" w:rsidRDefault="00E05204" w:rsidP="007A313B">
            <w:pPr>
              <w:spacing w:after="0" w:line="240" w:lineRule="auto"/>
              <w:jc w:val="center"/>
              <w:rPr>
                <w:rFonts w:eastAsia="Times New Roman" w:cs="Arial"/>
                <w:b/>
                <w:bCs/>
                <w:color w:val="FFFFFF" w:themeColor="background1"/>
                <w:sz w:val="18"/>
                <w:szCs w:val="18"/>
                <w:lang w:val="es-CO" w:eastAsia="es-CO"/>
              </w:rPr>
            </w:pPr>
          </w:p>
        </w:tc>
        <w:tc>
          <w:tcPr>
            <w:tcW w:w="0" w:type="auto"/>
            <w:vMerge/>
            <w:vAlign w:val="center"/>
          </w:tcPr>
          <w:p w:rsidR="00E05204" w:rsidRPr="007A313B" w:rsidRDefault="00E05204" w:rsidP="007A313B">
            <w:pPr>
              <w:spacing w:after="0" w:line="240" w:lineRule="auto"/>
              <w:jc w:val="center"/>
              <w:rPr>
                <w:rFonts w:eastAsia="Times New Roman" w:cs="Arial"/>
                <w:b/>
                <w:bCs/>
                <w:color w:val="FFFFFF" w:themeColor="background1"/>
                <w:sz w:val="18"/>
                <w:szCs w:val="18"/>
                <w:lang w:val="es-CO" w:eastAsia="es-CO"/>
              </w:rPr>
            </w:pPr>
          </w:p>
        </w:tc>
        <w:tc>
          <w:tcPr>
            <w:tcW w:w="0" w:type="auto"/>
            <w:shd w:val="clear" w:color="auto" w:fill="76923C"/>
            <w:vAlign w:val="center"/>
            <w:hideMark/>
          </w:tcPr>
          <w:p w:rsidR="00E05204" w:rsidRPr="007A313B" w:rsidRDefault="00E05204" w:rsidP="007A313B">
            <w:pPr>
              <w:spacing w:after="0" w:line="240" w:lineRule="auto"/>
              <w:jc w:val="center"/>
              <w:rPr>
                <w:rFonts w:eastAsia="Times New Roman" w:cs="Arial"/>
                <w:b/>
                <w:bCs/>
                <w:color w:val="FFFFFF" w:themeColor="background1"/>
                <w:sz w:val="18"/>
                <w:szCs w:val="18"/>
                <w:lang w:val="es-CO" w:eastAsia="es-CO"/>
              </w:rPr>
            </w:pPr>
            <w:r w:rsidRPr="007A313B">
              <w:rPr>
                <w:rFonts w:eastAsia="Times New Roman" w:cs="Arial"/>
                <w:b/>
                <w:bCs/>
                <w:color w:val="FFFFFF" w:themeColor="background1"/>
                <w:sz w:val="18"/>
                <w:szCs w:val="18"/>
                <w:lang w:val="es-CO" w:eastAsia="es-CO"/>
              </w:rPr>
              <w:t>Del</w:t>
            </w:r>
          </w:p>
        </w:tc>
        <w:tc>
          <w:tcPr>
            <w:tcW w:w="0" w:type="auto"/>
            <w:shd w:val="clear" w:color="auto" w:fill="76923C"/>
            <w:vAlign w:val="center"/>
            <w:hideMark/>
          </w:tcPr>
          <w:p w:rsidR="00E05204" w:rsidRPr="007A313B" w:rsidRDefault="00E05204" w:rsidP="007A313B">
            <w:pPr>
              <w:spacing w:after="0" w:line="240" w:lineRule="auto"/>
              <w:jc w:val="center"/>
              <w:rPr>
                <w:rFonts w:eastAsia="Times New Roman" w:cs="Arial"/>
                <w:b/>
                <w:bCs/>
                <w:color w:val="FFFFFF" w:themeColor="background1"/>
                <w:sz w:val="18"/>
                <w:szCs w:val="18"/>
                <w:lang w:val="es-CO" w:eastAsia="es-CO"/>
              </w:rPr>
            </w:pPr>
            <w:r w:rsidRPr="007A313B">
              <w:rPr>
                <w:rFonts w:eastAsia="Times New Roman" w:cs="Arial"/>
                <w:b/>
                <w:bCs/>
                <w:color w:val="FFFFFF" w:themeColor="background1"/>
                <w:sz w:val="18"/>
                <w:szCs w:val="18"/>
                <w:lang w:val="es-CO" w:eastAsia="es-CO"/>
              </w:rPr>
              <w:t>Al</w:t>
            </w:r>
          </w:p>
        </w:tc>
        <w:tc>
          <w:tcPr>
            <w:tcW w:w="0" w:type="auto"/>
            <w:vMerge/>
            <w:vAlign w:val="center"/>
            <w:hideMark/>
          </w:tcPr>
          <w:p w:rsidR="00E05204" w:rsidRPr="007A313B" w:rsidRDefault="00E05204" w:rsidP="007A313B">
            <w:pPr>
              <w:spacing w:after="0" w:line="240" w:lineRule="auto"/>
              <w:jc w:val="center"/>
              <w:rPr>
                <w:rFonts w:eastAsia="Times New Roman" w:cs="Arial"/>
                <w:b/>
                <w:bCs/>
                <w:color w:val="FFFFFF" w:themeColor="background1"/>
                <w:sz w:val="18"/>
                <w:szCs w:val="18"/>
                <w:lang w:eastAsia="es-ES"/>
              </w:rPr>
            </w:pPr>
          </w:p>
        </w:tc>
      </w:tr>
      <w:tr w:rsidR="00E05204" w:rsidRPr="007A313B" w:rsidTr="007A313B">
        <w:trPr>
          <w:trHeight w:val="321"/>
          <w:jc w:val="center"/>
        </w:trPr>
        <w:tc>
          <w:tcPr>
            <w:tcW w:w="0" w:type="auto"/>
            <w:vMerge w:val="restart"/>
            <w:vAlign w:val="center"/>
          </w:tcPr>
          <w:p w:rsidR="00E05204" w:rsidRPr="007A313B" w:rsidRDefault="00E05204" w:rsidP="00F26175">
            <w:pPr>
              <w:rPr>
                <w:rFonts w:cs="Arial"/>
                <w:sz w:val="18"/>
                <w:szCs w:val="18"/>
              </w:rPr>
            </w:pPr>
            <w:r w:rsidRPr="007A313B">
              <w:rPr>
                <w:rFonts w:cs="Arial"/>
                <w:sz w:val="18"/>
                <w:szCs w:val="18"/>
              </w:rPr>
              <w:t>CALIDAD ISO 9001:2015</w:t>
            </w:r>
          </w:p>
        </w:tc>
        <w:tc>
          <w:tcPr>
            <w:tcW w:w="0" w:type="auto"/>
            <w:vAlign w:val="center"/>
          </w:tcPr>
          <w:p w:rsidR="00E05204" w:rsidRPr="007A313B" w:rsidRDefault="00E05204" w:rsidP="00F26175">
            <w:pPr>
              <w:rPr>
                <w:rFonts w:cs="Arial"/>
                <w:sz w:val="18"/>
                <w:szCs w:val="18"/>
              </w:rPr>
            </w:pPr>
            <w:r w:rsidRPr="007A313B">
              <w:rPr>
                <w:rFonts w:cs="Arial"/>
                <w:sz w:val="18"/>
                <w:szCs w:val="18"/>
              </w:rPr>
              <w:t>1</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17-oct-17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27-oct-17</w:t>
            </w:r>
          </w:p>
        </w:tc>
        <w:tc>
          <w:tcPr>
            <w:tcW w:w="0" w:type="auto"/>
            <w:vAlign w:val="center"/>
          </w:tcPr>
          <w:p w:rsidR="00E05204" w:rsidRPr="007A313B" w:rsidRDefault="007A313B" w:rsidP="00F26175">
            <w:pPr>
              <w:rPr>
                <w:rFonts w:cs="Arial"/>
                <w:sz w:val="18"/>
                <w:szCs w:val="18"/>
              </w:rPr>
            </w:pPr>
            <w:r w:rsidRPr="007A313B">
              <w:rPr>
                <w:rFonts w:cs="Arial"/>
                <w:sz w:val="18"/>
                <w:szCs w:val="18"/>
              </w:rPr>
              <w:t>Sede Nacional</w:t>
            </w:r>
          </w:p>
        </w:tc>
      </w:tr>
      <w:tr w:rsidR="00E05204" w:rsidRPr="007A313B" w:rsidTr="007A313B">
        <w:trPr>
          <w:trHeight w:val="321"/>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2</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 xml:space="preserve">30-oct-17 </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09-nov-17</w:t>
            </w:r>
          </w:p>
        </w:tc>
        <w:tc>
          <w:tcPr>
            <w:tcW w:w="0" w:type="auto"/>
            <w:vAlign w:val="center"/>
          </w:tcPr>
          <w:p w:rsidR="00E05204" w:rsidRPr="007A313B" w:rsidRDefault="007A313B" w:rsidP="00F26175">
            <w:pPr>
              <w:rPr>
                <w:rFonts w:cs="Arial"/>
                <w:sz w:val="18"/>
                <w:szCs w:val="18"/>
              </w:rPr>
            </w:pPr>
            <w:r w:rsidRPr="007A313B">
              <w:rPr>
                <w:rFonts w:cs="Arial"/>
                <w:sz w:val="18"/>
                <w:szCs w:val="18"/>
              </w:rPr>
              <w:t>Nariño</w:t>
            </w:r>
          </w:p>
        </w:tc>
      </w:tr>
      <w:tr w:rsidR="00E05204" w:rsidRPr="007A313B" w:rsidTr="007A313B">
        <w:trPr>
          <w:trHeight w:val="321"/>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3</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 xml:space="preserve">30-oct-17 </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03-nov-17</w:t>
            </w:r>
          </w:p>
        </w:tc>
        <w:tc>
          <w:tcPr>
            <w:tcW w:w="0" w:type="auto"/>
            <w:vAlign w:val="center"/>
          </w:tcPr>
          <w:p w:rsidR="00E05204" w:rsidRPr="007A313B" w:rsidRDefault="007A313B" w:rsidP="00F26175">
            <w:pPr>
              <w:rPr>
                <w:rFonts w:cs="Arial"/>
                <w:sz w:val="18"/>
                <w:szCs w:val="18"/>
              </w:rPr>
            </w:pPr>
            <w:r w:rsidRPr="007A313B">
              <w:rPr>
                <w:rFonts w:cs="Arial"/>
                <w:sz w:val="18"/>
                <w:szCs w:val="18"/>
              </w:rPr>
              <w:t>Santander</w:t>
            </w:r>
          </w:p>
        </w:tc>
      </w:tr>
      <w:tr w:rsidR="00E05204" w:rsidRPr="007A313B" w:rsidTr="007A313B">
        <w:trPr>
          <w:trHeight w:val="321"/>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4</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20-nov-17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 xml:space="preserve">24-nov-17  </w:t>
            </w:r>
          </w:p>
        </w:tc>
        <w:tc>
          <w:tcPr>
            <w:tcW w:w="0" w:type="auto"/>
            <w:vAlign w:val="center"/>
          </w:tcPr>
          <w:p w:rsidR="00E05204" w:rsidRPr="007A313B" w:rsidRDefault="007A313B" w:rsidP="00F26175">
            <w:pPr>
              <w:rPr>
                <w:rFonts w:cs="Arial"/>
                <w:sz w:val="18"/>
                <w:szCs w:val="18"/>
              </w:rPr>
            </w:pPr>
            <w:r w:rsidRPr="007A313B">
              <w:rPr>
                <w:rFonts w:cs="Arial"/>
                <w:sz w:val="18"/>
                <w:szCs w:val="18"/>
              </w:rPr>
              <w:t>Valle</w:t>
            </w:r>
          </w:p>
        </w:tc>
      </w:tr>
      <w:tr w:rsidR="00E05204" w:rsidRPr="007A313B" w:rsidTr="007A313B">
        <w:trPr>
          <w:trHeight w:val="321"/>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5</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20-nov-17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 xml:space="preserve">24-nov-17  </w:t>
            </w:r>
          </w:p>
        </w:tc>
        <w:tc>
          <w:tcPr>
            <w:tcW w:w="0" w:type="auto"/>
            <w:vAlign w:val="center"/>
          </w:tcPr>
          <w:p w:rsidR="00E05204" w:rsidRPr="007A313B" w:rsidRDefault="007A313B" w:rsidP="00F26175">
            <w:pPr>
              <w:rPr>
                <w:rFonts w:cs="Arial"/>
                <w:sz w:val="18"/>
                <w:szCs w:val="18"/>
              </w:rPr>
            </w:pPr>
            <w:r w:rsidRPr="007A313B">
              <w:rPr>
                <w:rFonts w:cs="Arial"/>
                <w:sz w:val="18"/>
                <w:szCs w:val="18"/>
              </w:rPr>
              <w:t>Bolivar</w:t>
            </w:r>
          </w:p>
        </w:tc>
      </w:tr>
      <w:tr w:rsidR="00E05204" w:rsidRPr="007A313B" w:rsidTr="007A313B">
        <w:trPr>
          <w:trHeight w:val="321"/>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6</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27-nov-17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01-dic-17</w:t>
            </w:r>
          </w:p>
        </w:tc>
        <w:tc>
          <w:tcPr>
            <w:tcW w:w="0" w:type="auto"/>
            <w:vAlign w:val="center"/>
          </w:tcPr>
          <w:p w:rsidR="00E05204" w:rsidRPr="007A313B" w:rsidRDefault="007A313B" w:rsidP="00F26175">
            <w:pPr>
              <w:rPr>
                <w:rFonts w:cs="Arial"/>
                <w:sz w:val="18"/>
                <w:szCs w:val="18"/>
              </w:rPr>
            </w:pPr>
            <w:r w:rsidRPr="007A313B">
              <w:rPr>
                <w:rFonts w:cs="Arial"/>
                <w:sz w:val="18"/>
                <w:szCs w:val="18"/>
              </w:rPr>
              <w:t>Antioquia</w:t>
            </w:r>
          </w:p>
        </w:tc>
      </w:tr>
      <w:tr w:rsidR="00E05204" w:rsidRPr="007A313B" w:rsidTr="007A313B">
        <w:trPr>
          <w:trHeight w:val="321"/>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27-nov-17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01-dic-17</w:t>
            </w:r>
          </w:p>
        </w:tc>
        <w:tc>
          <w:tcPr>
            <w:tcW w:w="0" w:type="auto"/>
            <w:vAlign w:val="center"/>
          </w:tcPr>
          <w:p w:rsidR="00E05204" w:rsidRPr="007A313B" w:rsidRDefault="007A313B" w:rsidP="00F26175">
            <w:pPr>
              <w:rPr>
                <w:rFonts w:cs="Arial"/>
                <w:sz w:val="18"/>
                <w:szCs w:val="18"/>
              </w:rPr>
            </w:pPr>
            <w:r w:rsidRPr="007A313B">
              <w:rPr>
                <w:rFonts w:cs="Arial"/>
                <w:sz w:val="18"/>
                <w:szCs w:val="18"/>
              </w:rPr>
              <w:t>Atlántico</w:t>
            </w:r>
          </w:p>
        </w:tc>
      </w:tr>
      <w:tr w:rsidR="00E05204" w:rsidRPr="007A313B" w:rsidTr="007A313B">
        <w:trPr>
          <w:trHeight w:val="321"/>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8</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11-dic-17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15-dic-17</w:t>
            </w:r>
          </w:p>
        </w:tc>
        <w:tc>
          <w:tcPr>
            <w:tcW w:w="0" w:type="auto"/>
            <w:vAlign w:val="center"/>
          </w:tcPr>
          <w:p w:rsidR="00E05204" w:rsidRPr="007A313B" w:rsidRDefault="007A313B" w:rsidP="00F26175">
            <w:pPr>
              <w:rPr>
                <w:rFonts w:cs="Arial"/>
                <w:sz w:val="18"/>
                <w:szCs w:val="18"/>
              </w:rPr>
            </w:pPr>
            <w:r w:rsidRPr="007A313B">
              <w:rPr>
                <w:rFonts w:cs="Arial"/>
                <w:sz w:val="18"/>
                <w:szCs w:val="18"/>
              </w:rPr>
              <w:t>Bogotá</w:t>
            </w:r>
          </w:p>
        </w:tc>
      </w:tr>
      <w:tr w:rsidR="00E05204" w:rsidRPr="007A313B" w:rsidTr="007A313B">
        <w:trPr>
          <w:trHeight w:val="321"/>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9</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11-dic-17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15-dic-17</w:t>
            </w:r>
          </w:p>
        </w:tc>
        <w:tc>
          <w:tcPr>
            <w:tcW w:w="0" w:type="auto"/>
            <w:vAlign w:val="center"/>
          </w:tcPr>
          <w:p w:rsidR="00E05204" w:rsidRPr="007A313B" w:rsidRDefault="007A313B" w:rsidP="00F26175">
            <w:pPr>
              <w:rPr>
                <w:rFonts w:cs="Arial"/>
                <w:sz w:val="18"/>
                <w:szCs w:val="18"/>
              </w:rPr>
            </w:pPr>
            <w:r w:rsidRPr="007A313B">
              <w:rPr>
                <w:rFonts w:cs="Arial"/>
                <w:sz w:val="18"/>
                <w:szCs w:val="18"/>
              </w:rPr>
              <w:t>Cundinamarca</w:t>
            </w:r>
          </w:p>
        </w:tc>
      </w:tr>
      <w:tr w:rsidR="00E05204" w:rsidRPr="007A313B" w:rsidTr="007A313B">
        <w:trPr>
          <w:trHeight w:val="321"/>
          <w:jc w:val="center"/>
        </w:trPr>
        <w:tc>
          <w:tcPr>
            <w:tcW w:w="0" w:type="auto"/>
            <w:vAlign w:val="center"/>
          </w:tcPr>
          <w:p w:rsidR="00E05204" w:rsidRPr="007A313B" w:rsidRDefault="00E05204" w:rsidP="00F26175">
            <w:pPr>
              <w:rPr>
                <w:rFonts w:cs="Arial"/>
                <w:sz w:val="18"/>
                <w:szCs w:val="18"/>
              </w:rPr>
            </w:pPr>
            <w:r w:rsidRPr="007A313B">
              <w:rPr>
                <w:rFonts w:cs="Arial"/>
                <w:sz w:val="18"/>
                <w:szCs w:val="18"/>
              </w:rPr>
              <w:t>AMBIENTAL ISO 14001:2004</w:t>
            </w:r>
          </w:p>
        </w:tc>
        <w:tc>
          <w:tcPr>
            <w:tcW w:w="0" w:type="auto"/>
            <w:vAlign w:val="center"/>
          </w:tcPr>
          <w:p w:rsidR="00E05204" w:rsidRPr="007A313B" w:rsidRDefault="00E05204" w:rsidP="00F26175">
            <w:pPr>
              <w:rPr>
                <w:rFonts w:cs="Arial"/>
                <w:sz w:val="18"/>
                <w:szCs w:val="18"/>
              </w:rPr>
            </w:pPr>
            <w:r w:rsidRPr="007A313B">
              <w:rPr>
                <w:rFonts w:cs="Arial"/>
                <w:sz w:val="18"/>
                <w:szCs w:val="18"/>
              </w:rPr>
              <w:t>10</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18-abr-17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21-abr-17</w:t>
            </w:r>
          </w:p>
        </w:tc>
        <w:tc>
          <w:tcPr>
            <w:tcW w:w="0" w:type="auto"/>
            <w:vAlign w:val="center"/>
          </w:tcPr>
          <w:p w:rsidR="00E05204" w:rsidRPr="007A313B" w:rsidRDefault="007A313B" w:rsidP="00F26175">
            <w:pPr>
              <w:rPr>
                <w:rFonts w:cs="Arial"/>
                <w:sz w:val="18"/>
                <w:szCs w:val="18"/>
              </w:rPr>
            </w:pPr>
            <w:r w:rsidRPr="007A313B">
              <w:rPr>
                <w:rFonts w:cs="Arial"/>
                <w:sz w:val="18"/>
                <w:szCs w:val="18"/>
              </w:rPr>
              <w:t>Santander</w:t>
            </w:r>
          </w:p>
        </w:tc>
      </w:tr>
      <w:tr w:rsidR="00E05204" w:rsidRPr="007A313B" w:rsidTr="007A313B">
        <w:trPr>
          <w:trHeight w:val="321"/>
          <w:jc w:val="center"/>
        </w:trPr>
        <w:tc>
          <w:tcPr>
            <w:tcW w:w="0" w:type="auto"/>
            <w:vMerge w:val="restart"/>
            <w:vAlign w:val="center"/>
          </w:tcPr>
          <w:p w:rsidR="00E05204" w:rsidRPr="007A313B" w:rsidRDefault="00E05204" w:rsidP="00F26175">
            <w:pPr>
              <w:rPr>
                <w:rFonts w:cs="Arial"/>
                <w:sz w:val="18"/>
                <w:szCs w:val="18"/>
              </w:rPr>
            </w:pPr>
            <w:r w:rsidRPr="007A313B">
              <w:rPr>
                <w:rFonts w:cs="Arial"/>
                <w:sz w:val="18"/>
                <w:szCs w:val="18"/>
              </w:rPr>
              <w:t>AMBIENTAL ISO 14001:2015</w:t>
            </w:r>
          </w:p>
        </w:tc>
        <w:tc>
          <w:tcPr>
            <w:tcW w:w="0" w:type="auto"/>
            <w:vAlign w:val="center"/>
          </w:tcPr>
          <w:p w:rsidR="00E05204" w:rsidRPr="007A313B" w:rsidRDefault="00E05204" w:rsidP="00F26175">
            <w:pPr>
              <w:rPr>
                <w:rFonts w:cs="Arial"/>
                <w:sz w:val="18"/>
                <w:szCs w:val="18"/>
              </w:rPr>
            </w:pPr>
            <w:r w:rsidRPr="007A313B">
              <w:rPr>
                <w:rFonts w:cs="Arial"/>
                <w:sz w:val="18"/>
                <w:szCs w:val="18"/>
              </w:rPr>
              <w:t>11</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 xml:space="preserve">30-oct-17 </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09-nov-17</w:t>
            </w:r>
          </w:p>
        </w:tc>
        <w:tc>
          <w:tcPr>
            <w:tcW w:w="0" w:type="auto"/>
            <w:vAlign w:val="center"/>
          </w:tcPr>
          <w:p w:rsidR="00E05204" w:rsidRPr="007A313B" w:rsidRDefault="007A313B" w:rsidP="00F26175">
            <w:pPr>
              <w:rPr>
                <w:rFonts w:cs="Arial"/>
                <w:sz w:val="18"/>
                <w:szCs w:val="18"/>
              </w:rPr>
            </w:pPr>
            <w:r w:rsidRPr="007A313B">
              <w:rPr>
                <w:rFonts w:cs="Arial"/>
                <w:sz w:val="18"/>
                <w:szCs w:val="18"/>
              </w:rPr>
              <w:t>Nariño</w:t>
            </w:r>
          </w:p>
        </w:tc>
      </w:tr>
      <w:tr w:rsidR="00E05204" w:rsidRPr="007A313B" w:rsidTr="007A313B">
        <w:trPr>
          <w:trHeight w:val="321"/>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12</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20-nov-17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 xml:space="preserve">24-nov-17  </w:t>
            </w:r>
          </w:p>
        </w:tc>
        <w:tc>
          <w:tcPr>
            <w:tcW w:w="0" w:type="auto"/>
            <w:vAlign w:val="center"/>
          </w:tcPr>
          <w:p w:rsidR="00E05204" w:rsidRPr="007A313B" w:rsidRDefault="007A313B" w:rsidP="00F26175">
            <w:pPr>
              <w:rPr>
                <w:rFonts w:cs="Arial"/>
                <w:sz w:val="18"/>
                <w:szCs w:val="18"/>
              </w:rPr>
            </w:pPr>
            <w:r w:rsidRPr="007A313B">
              <w:rPr>
                <w:rFonts w:cs="Arial"/>
                <w:sz w:val="18"/>
                <w:szCs w:val="18"/>
              </w:rPr>
              <w:t>Valle</w:t>
            </w:r>
          </w:p>
        </w:tc>
      </w:tr>
      <w:tr w:rsidR="00E05204" w:rsidRPr="007A313B" w:rsidTr="007A313B">
        <w:trPr>
          <w:trHeight w:val="321"/>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13</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20-nov-17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 xml:space="preserve">24-nov-17  </w:t>
            </w:r>
          </w:p>
        </w:tc>
        <w:tc>
          <w:tcPr>
            <w:tcW w:w="0" w:type="auto"/>
            <w:vAlign w:val="center"/>
          </w:tcPr>
          <w:p w:rsidR="00E05204" w:rsidRPr="007A313B" w:rsidRDefault="007A313B" w:rsidP="00F26175">
            <w:pPr>
              <w:rPr>
                <w:rFonts w:cs="Arial"/>
                <w:sz w:val="18"/>
                <w:szCs w:val="18"/>
              </w:rPr>
            </w:pPr>
            <w:r w:rsidRPr="007A313B">
              <w:rPr>
                <w:rFonts w:cs="Arial"/>
                <w:sz w:val="18"/>
                <w:szCs w:val="18"/>
              </w:rPr>
              <w:t>Bolivar</w:t>
            </w:r>
          </w:p>
        </w:tc>
      </w:tr>
      <w:tr w:rsidR="00E05204" w:rsidRPr="007A313B" w:rsidTr="007A313B">
        <w:trPr>
          <w:trHeight w:val="321"/>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14</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27-nov-17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01-dic-17</w:t>
            </w:r>
          </w:p>
        </w:tc>
        <w:tc>
          <w:tcPr>
            <w:tcW w:w="0" w:type="auto"/>
            <w:vAlign w:val="center"/>
          </w:tcPr>
          <w:p w:rsidR="00E05204" w:rsidRPr="007A313B" w:rsidRDefault="007A313B" w:rsidP="00F26175">
            <w:pPr>
              <w:rPr>
                <w:rFonts w:cs="Arial"/>
                <w:sz w:val="18"/>
                <w:szCs w:val="18"/>
              </w:rPr>
            </w:pPr>
            <w:r w:rsidRPr="007A313B">
              <w:rPr>
                <w:rFonts w:cs="Arial"/>
                <w:sz w:val="18"/>
                <w:szCs w:val="18"/>
              </w:rPr>
              <w:t>Antioquia</w:t>
            </w:r>
          </w:p>
        </w:tc>
      </w:tr>
      <w:tr w:rsidR="00E05204" w:rsidRPr="007A313B" w:rsidTr="007A313B">
        <w:trPr>
          <w:trHeight w:val="321"/>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15</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27-nov-17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01-dic-17</w:t>
            </w:r>
          </w:p>
        </w:tc>
        <w:tc>
          <w:tcPr>
            <w:tcW w:w="0" w:type="auto"/>
            <w:vAlign w:val="center"/>
          </w:tcPr>
          <w:p w:rsidR="00E05204" w:rsidRPr="007A313B" w:rsidRDefault="007A313B" w:rsidP="00F26175">
            <w:pPr>
              <w:rPr>
                <w:rFonts w:cs="Arial"/>
                <w:sz w:val="18"/>
                <w:szCs w:val="18"/>
              </w:rPr>
            </w:pPr>
            <w:r w:rsidRPr="007A313B">
              <w:rPr>
                <w:rFonts w:cs="Arial"/>
                <w:sz w:val="18"/>
                <w:szCs w:val="18"/>
              </w:rPr>
              <w:t>Atlántico</w:t>
            </w:r>
          </w:p>
        </w:tc>
      </w:tr>
      <w:tr w:rsidR="00E05204" w:rsidRPr="007A313B" w:rsidTr="007A313B">
        <w:trPr>
          <w:trHeight w:val="321"/>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16</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11-dic-17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15-dic-17</w:t>
            </w:r>
          </w:p>
        </w:tc>
        <w:tc>
          <w:tcPr>
            <w:tcW w:w="0" w:type="auto"/>
            <w:vAlign w:val="center"/>
          </w:tcPr>
          <w:p w:rsidR="00E05204" w:rsidRPr="007A313B" w:rsidRDefault="007A313B" w:rsidP="00F26175">
            <w:pPr>
              <w:rPr>
                <w:rFonts w:cs="Arial"/>
                <w:sz w:val="18"/>
                <w:szCs w:val="18"/>
              </w:rPr>
            </w:pPr>
            <w:r w:rsidRPr="007A313B">
              <w:rPr>
                <w:rFonts w:cs="Arial"/>
                <w:sz w:val="18"/>
                <w:szCs w:val="18"/>
              </w:rPr>
              <w:t>Bogotá</w:t>
            </w:r>
          </w:p>
        </w:tc>
      </w:tr>
      <w:tr w:rsidR="00E05204" w:rsidRPr="007A313B" w:rsidTr="007A313B">
        <w:trPr>
          <w:trHeight w:val="321"/>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11-dic-17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15-dic-17</w:t>
            </w:r>
          </w:p>
        </w:tc>
        <w:tc>
          <w:tcPr>
            <w:tcW w:w="0" w:type="auto"/>
            <w:vAlign w:val="center"/>
          </w:tcPr>
          <w:p w:rsidR="00E05204" w:rsidRPr="007A313B" w:rsidRDefault="007A313B" w:rsidP="00F26175">
            <w:pPr>
              <w:rPr>
                <w:rFonts w:cs="Arial"/>
                <w:sz w:val="18"/>
                <w:szCs w:val="18"/>
              </w:rPr>
            </w:pPr>
            <w:r w:rsidRPr="007A313B">
              <w:rPr>
                <w:rFonts w:cs="Arial"/>
                <w:sz w:val="18"/>
                <w:szCs w:val="18"/>
              </w:rPr>
              <w:t>Cundinamarca</w:t>
            </w:r>
          </w:p>
        </w:tc>
      </w:tr>
      <w:tr w:rsidR="00E05204" w:rsidRPr="007A313B" w:rsidTr="007A313B">
        <w:trPr>
          <w:trHeight w:val="419"/>
          <w:jc w:val="center"/>
        </w:trPr>
        <w:tc>
          <w:tcPr>
            <w:tcW w:w="0" w:type="auto"/>
            <w:vMerge w:val="restart"/>
            <w:vAlign w:val="center"/>
          </w:tcPr>
          <w:p w:rsidR="00E05204" w:rsidRPr="007A313B" w:rsidRDefault="00E05204" w:rsidP="00F26175">
            <w:pPr>
              <w:rPr>
                <w:rFonts w:cs="Arial"/>
                <w:sz w:val="18"/>
                <w:szCs w:val="18"/>
              </w:rPr>
            </w:pPr>
            <w:r w:rsidRPr="007A313B">
              <w:rPr>
                <w:rFonts w:cs="Arial"/>
                <w:sz w:val="18"/>
                <w:szCs w:val="18"/>
              </w:rPr>
              <w:lastRenderedPageBreak/>
              <w:t>SYSO</w:t>
            </w:r>
          </w:p>
        </w:tc>
        <w:tc>
          <w:tcPr>
            <w:tcW w:w="0" w:type="auto"/>
            <w:vAlign w:val="center"/>
          </w:tcPr>
          <w:p w:rsidR="00E05204" w:rsidRPr="007A313B" w:rsidRDefault="00E05204" w:rsidP="00F26175">
            <w:pPr>
              <w:rPr>
                <w:rFonts w:cs="Arial"/>
                <w:sz w:val="18"/>
                <w:szCs w:val="18"/>
              </w:rPr>
            </w:pPr>
            <w:r w:rsidRPr="007A313B">
              <w:rPr>
                <w:rFonts w:cs="Arial"/>
                <w:sz w:val="18"/>
                <w:szCs w:val="18"/>
              </w:rPr>
              <w:t>18</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17-abr-17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24-abr-17</w:t>
            </w:r>
          </w:p>
        </w:tc>
        <w:tc>
          <w:tcPr>
            <w:tcW w:w="0" w:type="auto"/>
            <w:vAlign w:val="center"/>
          </w:tcPr>
          <w:p w:rsidR="00E05204" w:rsidRPr="007A313B" w:rsidRDefault="007A313B" w:rsidP="00F26175">
            <w:pPr>
              <w:rPr>
                <w:rFonts w:cs="Arial"/>
                <w:sz w:val="18"/>
                <w:szCs w:val="18"/>
              </w:rPr>
            </w:pPr>
            <w:r w:rsidRPr="007A313B">
              <w:rPr>
                <w:rFonts w:cs="Arial"/>
                <w:sz w:val="18"/>
                <w:szCs w:val="18"/>
              </w:rPr>
              <w:t>Sede Dirección General</w:t>
            </w:r>
          </w:p>
        </w:tc>
      </w:tr>
      <w:tr w:rsidR="00E05204" w:rsidRPr="007A313B" w:rsidTr="007A313B">
        <w:trPr>
          <w:trHeight w:val="129"/>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19</w:t>
            </w:r>
          </w:p>
        </w:tc>
        <w:tc>
          <w:tcPr>
            <w:tcW w:w="0" w:type="auto"/>
            <w:noWrap/>
            <w:vAlign w:val="center"/>
            <w:hideMark/>
          </w:tcPr>
          <w:p w:rsidR="00E05204" w:rsidRPr="007A313B" w:rsidRDefault="00E05204" w:rsidP="00F26175">
            <w:pPr>
              <w:rPr>
                <w:rFonts w:cs="Arial"/>
                <w:sz w:val="18"/>
                <w:szCs w:val="18"/>
              </w:rPr>
            </w:pPr>
            <w:r w:rsidRPr="007A313B">
              <w:rPr>
                <w:rFonts w:cs="Arial"/>
                <w:sz w:val="18"/>
                <w:szCs w:val="18"/>
              </w:rPr>
              <w:t>18-abr-17</w:t>
            </w:r>
          </w:p>
        </w:tc>
        <w:tc>
          <w:tcPr>
            <w:tcW w:w="0" w:type="auto"/>
            <w:noWrap/>
            <w:vAlign w:val="center"/>
            <w:hideMark/>
          </w:tcPr>
          <w:p w:rsidR="00E05204" w:rsidRPr="007A313B" w:rsidRDefault="00E05204" w:rsidP="00F26175">
            <w:pPr>
              <w:rPr>
                <w:rFonts w:cs="Arial"/>
                <w:sz w:val="18"/>
                <w:szCs w:val="18"/>
              </w:rPr>
            </w:pPr>
            <w:r w:rsidRPr="007A313B">
              <w:rPr>
                <w:rFonts w:cs="Arial"/>
                <w:sz w:val="18"/>
                <w:szCs w:val="18"/>
              </w:rPr>
              <w:t>21-abr-17</w:t>
            </w:r>
          </w:p>
        </w:tc>
        <w:tc>
          <w:tcPr>
            <w:tcW w:w="0" w:type="auto"/>
            <w:noWrap/>
            <w:vAlign w:val="center"/>
            <w:hideMark/>
          </w:tcPr>
          <w:p w:rsidR="00E05204" w:rsidRPr="007A313B" w:rsidRDefault="007A313B" w:rsidP="00F26175">
            <w:pPr>
              <w:rPr>
                <w:rFonts w:cs="Arial"/>
                <w:sz w:val="18"/>
                <w:szCs w:val="18"/>
              </w:rPr>
            </w:pPr>
            <w:r w:rsidRPr="007A313B">
              <w:rPr>
                <w:rFonts w:cs="Arial"/>
                <w:sz w:val="18"/>
                <w:szCs w:val="18"/>
              </w:rPr>
              <w:t>Santander</w:t>
            </w:r>
          </w:p>
        </w:tc>
      </w:tr>
      <w:tr w:rsidR="00E05204" w:rsidRPr="007A313B" w:rsidTr="007A313B">
        <w:trPr>
          <w:trHeight w:val="266"/>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20</w:t>
            </w:r>
          </w:p>
        </w:tc>
        <w:tc>
          <w:tcPr>
            <w:tcW w:w="0" w:type="auto"/>
            <w:noWrap/>
            <w:vAlign w:val="center"/>
            <w:hideMark/>
          </w:tcPr>
          <w:p w:rsidR="00E05204" w:rsidRPr="007A313B" w:rsidRDefault="00E05204" w:rsidP="00F26175">
            <w:pPr>
              <w:rPr>
                <w:rFonts w:cs="Arial"/>
                <w:sz w:val="18"/>
                <w:szCs w:val="18"/>
              </w:rPr>
            </w:pPr>
            <w:r w:rsidRPr="007A313B">
              <w:rPr>
                <w:rFonts w:cs="Arial"/>
                <w:sz w:val="18"/>
                <w:szCs w:val="18"/>
              </w:rPr>
              <w:t>19-abr-17</w:t>
            </w:r>
          </w:p>
        </w:tc>
        <w:tc>
          <w:tcPr>
            <w:tcW w:w="0" w:type="auto"/>
            <w:noWrap/>
            <w:vAlign w:val="center"/>
            <w:hideMark/>
          </w:tcPr>
          <w:p w:rsidR="00E05204" w:rsidRPr="007A313B" w:rsidRDefault="00E05204" w:rsidP="00F26175">
            <w:pPr>
              <w:rPr>
                <w:rFonts w:cs="Arial"/>
                <w:sz w:val="18"/>
                <w:szCs w:val="18"/>
              </w:rPr>
            </w:pPr>
            <w:r w:rsidRPr="007A313B">
              <w:rPr>
                <w:rFonts w:cs="Arial"/>
                <w:sz w:val="18"/>
                <w:szCs w:val="18"/>
              </w:rPr>
              <w:t>21-abr-17</w:t>
            </w:r>
          </w:p>
        </w:tc>
        <w:tc>
          <w:tcPr>
            <w:tcW w:w="0" w:type="auto"/>
            <w:noWrap/>
            <w:vAlign w:val="center"/>
            <w:hideMark/>
          </w:tcPr>
          <w:p w:rsidR="00E05204" w:rsidRPr="007A313B" w:rsidRDefault="007A313B" w:rsidP="00F26175">
            <w:pPr>
              <w:rPr>
                <w:rFonts w:cs="Arial"/>
                <w:sz w:val="18"/>
                <w:szCs w:val="18"/>
              </w:rPr>
            </w:pPr>
            <w:r w:rsidRPr="007A313B">
              <w:rPr>
                <w:rFonts w:cs="Arial"/>
                <w:sz w:val="18"/>
                <w:szCs w:val="18"/>
              </w:rPr>
              <w:t>atlántico</w:t>
            </w:r>
          </w:p>
        </w:tc>
      </w:tr>
      <w:tr w:rsidR="00E05204" w:rsidRPr="007A313B" w:rsidTr="007A313B">
        <w:trPr>
          <w:trHeight w:val="256"/>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21</w:t>
            </w:r>
          </w:p>
        </w:tc>
        <w:tc>
          <w:tcPr>
            <w:tcW w:w="0" w:type="auto"/>
            <w:noWrap/>
            <w:vAlign w:val="center"/>
            <w:hideMark/>
          </w:tcPr>
          <w:p w:rsidR="00E05204" w:rsidRPr="007A313B" w:rsidRDefault="00E05204" w:rsidP="00F26175">
            <w:pPr>
              <w:rPr>
                <w:rFonts w:cs="Arial"/>
                <w:sz w:val="18"/>
                <w:szCs w:val="18"/>
              </w:rPr>
            </w:pPr>
            <w:r w:rsidRPr="007A313B">
              <w:rPr>
                <w:rFonts w:cs="Arial"/>
                <w:sz w:val="18"/>
                <w:szCs w:val="18"/>
              </w:rPr>
              <w:t>19-abr-17</w:t>
            </w:r>
          </w:p>
        </w:tc>
        <w:tc>
          <w:tcPr>
            <w:tcW w:w="0" w:type="auto"/>
            <w:noWrap/>
            <w:vAlign w:val="center"/>
            <w:hideMark/>
          </w:tcPr>
          <w:p w:rsidR="00E05204" w:rsidRPr="007A313B" w:rsidRDefault="00E05204" w:rsidP="00F26175">
            <w:pPr>
              <w:rPr>
                <w:rFonts w:cs="Arial"/>
                <w:sz w:val="18"/>
                <w:szCs w:val="18"/>
              </w:rPr>
            </w:pPr>
            <w:r w:rsidRPr="007A313B">
              <w:rPr>
                <w:rFonts w:cs="Arial"/>
                <w:sz w:val="18"/>
                <w:szCs w:val="18"/>
              </w:rPr>
              <w:t>21-abr-17</w:t>
            </w:r>
          </w:p>
        </w:tc>
        <w:tc>
          <w:tcPr>
            <w:tcW w:w="0" w:type="auto"/>
            <w:noWrap/>
            <w:vAlign w:val="center"/>
            <w:hideMark/>
          </w:tcPr>
          <w:p w:rsidR="00E05204" w:rsidRPr="007A313B" w:rsidRDefault="007A313B" w:rsidP="00F26175">
            <w:pPr>
              <w:rPr>
                <w:rFonts w:cs="Arial"/>
                <w:sz w:val="18"/>
                <w:szCs w:val="18"/>
              </w:rPr>
            </w:pPr>
            <w:r w:rsidRPr="007A313B">
              <w:rPr>
                <w:rFonts w:cs="Arial"/>
                <w:sz w:val="18"/>
                <w:szCs w:val="18"/>
              </w:rPr>
              <w:t>Cauca</w:t>
            </w:r>
          </w:p>
        </w:tc>
      </w:tr>
      <w:tr w:rsidR="00E05204" w:rsidRPr="007A313B" w:rsidTr="007A313B">
        <w:trPr>
          <w:trHeight w:val="33"/>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22</w:t>
            </w:r>
          </w:p>
        </w:tc>
        <w:tc>
          <w:tcPr>
            <w:tcW w:w="0" w:type="auto"/>
            <w:noWrap/>
            <w:vAlign w:val="center"/>
            <w:hideMark/>
          </w:tcPr>
          <w:p w:rsidR="00E05204" w:rsidRPr="007A313B" w:rsidRDefault="00E05204" w:rsidP="00F26175">
            <w:pPr>
              <w:rPr>
                <w:rFonts w:cs="Arial"/>
                <w:sz w:val="18"/>
                <w:szCs w:val="18"/>
              </w:rPr>
            </w:pPr>
            <w:r w:rsidRPr="007A313B">
              <w:rPr>
                <w:rFonts w:cs="Arial"/>
                <w:sz w:val="18"/>
                <w:szCs w:val="18"/>
              </w:rPr>
              <w:t>19-abr-17</w:t>
            </w:r>
          </w:p>
        </w:tc>
        <w:tc>
          <w:tcPr>
            <w:tcW w:w="0" w:type="auto"/>
            <w:noWrap/>
            <w:vAlign w:val="center"/>
            <w:hideMark/>
          </w:tcPr>
          <w:p w:rsidR="00E05204" w:rsidRPr="007A313B" w:rsidRDefault="00E05204" w:rsidP="00F26175">
            <w:pPr>
              <w:rPr>
                <w:rFonts w:cs="Arial"/>
                <w:sz w:val="18"/>
                <w:szCs w:val="18"/>
              </w:rPr>
            </w:pPr>
            <w:r w:rsidRPr="007A313B">
              <w:rPr>
                <w:rFonts w:cs="Arial"/>
                <w:sz w:val="18"/>
                <w:szCs w:val="18"/>
              </w:rPr>
              <w:t>21-abr-17</w:t>
            </w:r>
          </w:p>
        </w:tc>
        <w:tc>
          <w:tcPr>
            <w:tcW w:w="0" w:type="auto"/>
            <w:noWrap/>
            <w:vAlign w:val="center"/>
            <w:hideMark/>
          </w:tcPr>
          <w:p w:rsidR="00E05204" w:rsidRPr="007A313B" w:rsidRDefault="007A313B" w:rsidP="00F26175">
            <w:pPr>
              <w:rPr>
                <w:rFonts w:cs="Arial"/>
                <w:sz w:val="18"/>
                <w:szCs w:val="18"/>
              </w:rPr>
            </w:pPr>
            <w:r w:rsidRPr="007A313B">
              <w:rPr>
                <w:rFonts w:cs="Arial"/>
                <w:sz w:val="18"/>
                <w:szCs w:val="18"/>
              </w:rPr>
              <w:t>Meta</w:t>
            </w:r>
          </w:p>
        </w:tc>
      </w:tr>
      <w:tr w:rsidR="00E05204" w:rsidRPr="007A313B" w:rsidTr="007A313B">
        <w:trPr>
          <w:trHeight w:val="192"/>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23</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12-jun-17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16-jun-17</w:t>
            </w:r>
          </w:p>
        </w:tc>
        <w:tc>
          <w:tcPr>
            <w:tcW w:w="0" w:type="auto"/>
            <w:vAlign w:val="center"/>
          </w:tcPr>
          <w:p w:rsidR="00E05204" w:rsidRPr="007A313B" w:rsidRDefault="007A313B" w:rsidP="00F26175">
            <w:pPr>
              <w:rPr>
                <w:rFonts w:cs="Arial"/>
                <w:sz w:val="18"/>
                <w:szCs w:val="18"/>
              </w:rPr>
            </w:pPr>
            <w:r w:rsidRPr="007A313B">
              <w:rPr>
                <w:rFonts w:cs="Arial"/>
                <w:sz w:val="18"/>
                <w:szCs w:val="18"/>
              </w:rPr>
              <w:t>Bogotá</w:t>
            </w:r>
          </w:p>
        </w:tc>
      </w:tr>
      <w:tr w:rsidR="00E05204" w:rsidRPr="007A313B" w:rsidTr="007A313B">
        <w:trPr>
          <w:trHeight w:val="192"/>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24</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11-jul-17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14-jul-17</w:t>
            </w:r>
          </w:p>
        </w:tc>
        <w:tc>
          <w:tcPr>
            <w:tcW w:w="0" w:type="auto"/>
            <w:vAlign w:val="center"/>
          </w:tcPr>
          <w:p w:rsidR="00E05204" w:rsidRPr="007A313B" w:rsidRDefault="007A313B" w:rsidP="00F26175">
            <w:pPr>
              <w:rPr>
                <w:rFonts w:cs="Arial"/>
                <w:sz w:val="18"/>
                <w:szCs w:val="18"/>
              </w:rPr>
            </w:pPr>
            <w:r w:rsidRPr="007A313B">
              <w:rPr>
                <w:rFonts w:cs="Arial"/>
                <w:sz w:val="18"/>
                <w:szCs w:val="18"/>
              </w:rPr>
              <w:t>Quindío</w:t>
            </w:r>
          </w:p>
        </w:tc>
      </w:tr>
      <w:tr w:rsidR="00E05204" w:rsidRPr="007A313B" w:rsidTr="007A313B">
        <w:trPr>
          <w:trHeight w:val="192"/>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25</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 xml:space="preserve">30-oct-17 </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09-nov-17</w:t>
            </w:r>
          </w:p>
        </w:tc>
        <w:tc>
          <w:tcPr>
            <w:tcW w:w="0" w:type="auto"/>
            <w:vAlign w:val="center"/>
          </w:tcPr>
          <w:p w:rsidR="00E05204" w:rsidRPr="007A313B" w:rsidRDefault="007A313B" w:rsidP="00F26175">
            <w:pPr>
              <w:rPr>
                <w:rFonts w:cs="Arial"/>
                <w:sz w:val="18"/>
                <w:szCs w:val="18"/>
              </w:rPr>
            </w:pPr>
            <w:r w:rsidRPr="007A313B">
              <w:rPr>
                <w:rFonts w:cs="Arial"/>
                <w:sz w:val="18"/>
                <w:szCs w:val="18"/>
              </w:rPr>
              <w:t>Nariño</w:t>
            </w:r>
          </w:p>
        </w:tc>
      </w:tr>
      <w:tr w:rsidR="00E05204" w:rsidRPr="007A313B" w:rsidTr="007A313B">
        <w:trPr>
          <w:trHeight w:val="192"/>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26</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20-nov-17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 xml:space="preserve">24-nov-17  </w:t>
            </w:r>
          </w:p>
        </w:tc>
        <w:tc>
          <w:tcPr>
            <w:tcW w:w="0" w:type="auto"/>
            <w:vAlign w:val="center"/>
          </w:tcPr>
          <w:p w:rsidR="00E05204" w:rsidRPr="007A313B" w:rsidRDefault="007A313B" w:rsidP="00F26175">
            <w:pPr>
              <w:rPr>
                <w:rFonts w:cs="Arial"/>
                <w:sz w:val="18"/>
                <w:szCs w:val="18"/>
              </w:rPr>
            </w:pPr>
            <w:r w:rsidRPr="007A313B">
              <w:rPr>
                <w:rFonts w:cs="Arial"/>
                <w:sz w:val="18"/>
                <w:szCs w:val="18"/>
              </w:rPr>
              <w:t>Valle</w:t>
            </w:r>
          </w:p>
        </w:tc>
      </w:tr>
      <w:tr w:rsidR="00E05204" w:rsidRPr="007A313B" w:rsidTr="007A313B">
        <w:trPr>
          <w:trHeight w:val="192"/>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27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20-nov-17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 xml:space="preserve">24-nov-17  </w:t>
            </w:r>
          </w:p>
        </w:tc>
        <w:tc>
          <w:tcPr>
            <w:tcW w:w="0" w:type="auto"/>
            <w:vAlign w:val="center"/>
          </w:tcPr>
          <w:p w:rsidR="00E05204" w:rsidRPr="007A313B" w:rsidRDefault="007A313B" w:rsidP="00F26175">
            <w:pPr>
              <w:rPr>
                <w:rFonts w:cs="Arial"/>
                <w:sz w:val="18"/>
                <w:szCs w:val="18"/>
              </w:rPr>
            </w:pPr>
            <w:r w:rsidRPr="007A313B">
              <w:rPr>
                <w:rFonts w:cs="Arial"/>
                <w:sz w:val="18"/>
                <w:szCs w:val="18"/>
              </w:rPr>
              <w:t>Bolivar</w:t>
            </w:r>
          </w:p>
        </w:tc>
      </w:tr>
      <w:tr w:rsidR="00E05204" w:rsidRPr="007A313B" w:rsidTr="007A313B">
        <w:trPr>
          <w:trHeight w:val="192"/>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28</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27-nov-17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01-dic-17</w:t>
            </w:r>
          </w:p>
        </w:tc>
        <w:tc>
          <w:tcPr>
            <w:tcW w:w="0" w:type="auto"/>
            <w:vAlign w:val="center"/>
          </w:tcPr>
          <w:p w:rsidR="00E05204" w:rsidRPr="007A313B" w:rsidRDefault="007A313B" w:rsidP="00F26175">
            <w:pPr>
              <w:rPr>
                <w:rFonts w:cs="Arial"/>
                <w:sz w:val="18"/>
                <w:szCs w:val="18"/>
              </w:rPr>
            </w:pPr>
            <w:r w:rsidRPr="007A313B">
              <w:rPr>
                <w:rFonts w:cs="Arial"/>
                <w:sz w:val="18"/>
                <w:szCs w:val="18"/>
              </w:rPr>
              <w:t>Antioquia</w:t>
            </w:r>
          </w:p>
        </w:tc>
      </w:tr>
      <w:tr w:rsidR="00E05204" w:rsidRPr="007A313B" w:rsidTr="007A313B">
        <w:trPr>
          <w:trHeight w:val="192"/>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29</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11-dic-17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15-dic-17</w:t>
            </w:r>
          </w:p>
        </w:tc>
        <w:tc>
          <w:tcPr>
            <w:tcW w:w="0" w:type="auto"/>
            <w:vAlign w:val="center"/>
          </w:tcPr>
          <w:p w:rsidR="00E05204" w:rsidRPr="007A313B" w:rsidRDefault="007A313B" w:rsidP="00F26175">
            <w:pPr>
              <w:rPr>
                <w:rFonts w:cs="Arial"/>
                <w:sz w:val="18"/>
                <w:szCs w:val="18"/>
              </w:rPr>
            </w:pPr>
            <w:r w:rsidRPr="007A313B">
              <w:rPr>
                <w:rFonts w:cs="Arial"/>
                <w:sz w:val="18"/>
                <w:szCs w:val="18"/>
              </w:rPr>
              <w:t>Bogotá</w:t>
            </w:r>
          </w:p>
        </w:tc>
      </w:tr>
      <w:tr w:rsidR="00E05204" w:rsidRPr="007A313B" w:rsidTr="007A313B">
        <w:trPr>
          <w:trHeight w:val="192"/>
          <w:jc w:val="center"/>
        </w:trPr>
        <w:tc>
          <w:tcPr>
            <w:tcW w:w="0" w:type="auto"/>
            <w:vMerge w:val="restart"/>
            <w:vAlign w:val="center"/>
          </w:tcPr>
          <w:p w:rsidR="00E05204" w:rsidRPr="007A313B" w:rsidRDefault="00E05204" w:rsidP="00F26175">
            <w:pPr>
              <w:rPr>
                <w:rFonts w:cs="Arial"/>
                <w:sz w:val="18"/>
                <w:szCs w:val="18"/>
              </w:rPr>
            </w:pPr>
          </w:p>
          <w:p w:rsidR="00E05204" w:rsidRPr="007A313B" w:rsidRDefault="00E05204" w:rsidP="00F26175">
            <w:pPr>
              <w:rPr>
                <w:rFonts w:cs="Arial"/>
                <w:sz w:val="18"/>
                <w:szCs w:val="18"/>
              </w:rPr>
            </w:pPr>
            <w:r w:rsidRPr="007A313B">
              <w:rPr>
                <w:rFonts w:cs="Arial"/>
                <w:sz w:val="18"/>
                <w:szCs w:val="18"/>
              </w:rPr>
              <w:t>SGSI</w:t>
            </w:r>
          </w:p>
        </w:tc>
        <w:tc>
          <w:tcPr>
            <w:tcW w:w="0" w:type="auto"/>
            <w:vAlign w:val="center"/>
          </w:tcPr>
          <w:p w:rsidR="00E05204" w:rsidRPr="007A313B" w:rsidRDefault="00E05204" w:rsidP="00F26175">
            <w:pPr>
              <w:rPr>
                <w:rFonts w:cs="Arial"/>
                <w:sz w:val="18"/>
                <w:szCs w:val="18"/>
              </w:rPr>
            </w:pPr>
            <w:r w:rsidRPr="007A313B">
              <w:rPr>
                <w:rFonts w:cs="Arial"/>
                <w:sz w:val="18"/>
                <w:szCs w:val="18"/>
              </w:rPr>
              <w:t>30</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22-may-17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30-may-17</w:t>
            </w:r>
          </w:p>
        </w:tc>
        <w:tc>
          <w:tcPr>
            <w:tcW w:w="0" w:type="auto"/>
            <w:vAlign w:val="center"/>
          </w:tcPr>
          <w:p w:rsidR="00E05204" w:rsidRPr="007A313B" w:rsidRDefault="007A313B" w:rsidP="00F26175">
            <w:pPr>
              <w:rPr>
                <w:rFonts w:cs="Arial"/>
                <w:sz w:val="18"/>
                <w:szCs w:val="18"/>
              </w:rPr>
            </w:pPr>
            <w:r w:rsidRPr="007A313B">
              <w:rPr>
                <w:rFonts w:cs="Arial"/>
                <w:sz w:val="18"/>
                <w:szCs w:val="18"/>
              </w:rPr>
              <w:t>Sede Dirección General</w:t>
            </w:r>
          </w:p>
        </w:tc>
      </w:tr>
      <w:tr w:rsidR="00E05204" w:rsidRPr="007A313B" w:rsidTr="007A313B">
        <w:trPr>
          <w:trHeight w:val="192"/>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31</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11-sep-17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13-sep-17</w:t>
            </w:r>
          </w:p>
        </w:tc>
        <w:tc>
          <w:tcPr>
            <w:tcW w:w="0" w:type="auto"/>
            <w:vAlign w:val="center"/>
          </w:tcPr>
          <w:p w:rsidR="00E05204" w:rsidRPr="007A313B" w:rsidRDefault="007A313B" w:rsidP="00F26175">
            <w:pPr>
              <w:rPr>
                <w:rFonts w:cs="Arial"/>
                <w:sz w:val="18"/>
                <w:szCs w:val="18"/>
              </w:rPr>
            </w:pPr>
            <w:r w:rsidRPr="007A313B">
              <w:rPr>
                <w:rFonts w:cs="Arial"/>
                <w:sz w:val="18"/>
                <w:szCs w:val="18"/>
              </w:rPr>
              <w:t>Sucre</w:t>
            </w:r>
          </w:p>
        </w:tc>
      </w:tr>
      <w:tr w:rsidR="00E05204" w:rsidRPr="007A313B" w:rsidTr="007A313B">
        <w:trPr>
          <w:trHeight w:val="192"/>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32</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25-sep-17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27-sep-17</w:t>
            </w:r>
          </w:p>
        </w:tc>
        <w:tc>
          <w:tcPr>
            <w:tcW w:w="0" w:type="auto"/>
            <w:vAlign w:val="center"/>
          </w:tcPr>
          <w:p w:rsidR="00E05204" w:rsidRPr="007A313B" w:rsidRDefault="007A313B" w:rsidP="00F26175">
            <w:pPr>
              <w:rPr>
                <w:rFonts w:cs="Arial"/>
                <w:sz w:val="18"/>
                <w:szCs w:val="18"/>
              </w:rPr>
            </w:pPr>
            <w:r w:rsidRPr="007A313B">
              <w:rPr>
                <w:rFonts w:cs="Arial"/>
                <w:sz w:val="18"/>
                <w:szCs w:val="18"/>
              </w:rPr>
              <w:t>Córdoba</w:t>
            </w:r>
          </w:p>
        </w:tc>
      </w:tr>
      <w:tr w:rsidR="00E05204" w:rsidRPr="007A313B" w:rsidTr="007A313B">
        <w:trPr>
          <w:trHeight w:val="192"/>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33</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17-oct-17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19-oct-17</w:t>
            </w:r>
          </w:p>
        </w:tc>
        <w:tc>
          <w:tcPr>
            <w:tcW w:w="0" w:type="auto"/>
            <w:vAlign w:val="center"/>
          </w:tcPr>
          <w:p w:rsidR="00E05204" w:rsidRPr="007A313B" w:rsidRDefault="007A313B" w:rsidP="00F26175">
            <w:pPr>
              <w:rPr>
                <w:rFonts w:cs="Arial"/>
                <w:sz w:val="18"/>
                <w:szCs w:val="18"/>
              </w:rPr>
            </w:pPr>
            <w:r w:rsidRPr="007A313B">
              <w:rPr>
                <w:rFonts w:cs="Arial"/>
                <w:sz w:val="18"/>
                <w:szCs w:val="18"/>
              </w:rPr>
              <w:t>Magdalena</w:t>
            </w:r>
          </w:p>
        </w:tc>
      </w:tr>
      <w:tr w:rsidR="00E05204" w:rsidRPr="007A313B" w:rsidTr="007A313B">
        <w:trPr>
          <w:trHeight w:val="192"/>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34</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 xml:space="preserve">30-oct-17 </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09-nov-17</w:t>
            </w:r>
          </w:p>
        </w:tc>
        <w:tc>
          <w:tcPr>
            <w:tcW w:w="0" w:type="auto"/>
            <w:vAlign w:val="center"/>
          </w:tcPr>
          <w:p w:rsidR="00E05204" w:rsidRPr="007A313B" w:rsidRDefault="007A313B" w:rsidP="00F26175">
            <w:pPr>
              <w:rPr>
                <w:rFonts w:cs="Arial"/>
                <w:sz w:val="18"/>
                <w:szCs w:val="18"/>
              </w:rPr>
            </w:pPr>
            <w:r w:rsidRPr="007A313B">
              <w:rPr>
                <w:rFonts w:cs="Arial"/>
                <w:sz w:val="18"/>
                <w:szCs w:val="18"/>
              </w:rPr>
              <w:t>Nariño</w:t>
            </w:r>
          </w:p>
        </w:tc>
      </w:tr>
      <w:tr w:rsidR="00E05204" w:rsidRPr="007A313B" w:rsidTr="007A313B">
        <w:trPr>
          <w:trHeight w:val="192"/>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35</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 xml:space="preserve">30-oct-17 </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03-nov-17</w:t>
            </w:r>
          </w:p>
        </w:tc>
        <w:tc>
          <w:tcPr>
            <w:tcW w:w="0" w:type="auto"/>
            <w:vAlign w:val="center"/>
          </w:tcPr>
          <w:p w:rsidR="00E05204" w:rsidRPr="007A313B" w:rsidRDefault="007A313B" w:rsidP="00F26175">
            <w:pPr>
              <w:rPr>
                <w:rFonts w:cs="Arial"/>
                <w:sz w:val="18"/>
                <w:szCs w:val="18"/>
              </w:rPr>
            </w:pPr>
            <w:r w:rsidRPr="007A313B">
              <w:rPr>
                <w:rFonts w:cs="Arial"/>
                <w:sz w:val="18"/>
                <w:szCs w:val="18"/>
              </w:rPr>
              <w:t>Santander</w:t>
            </w:r>
          </w:p>
        </w:tc>
      </w:tr>
      <w:tr w:rsidR="00E05204" w:rsidRPr="007A313B" w:rsidTr="007A313B">
        <w:trPr>
          <w:trHeight w:val="192"/>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36</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20-nov-17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 xml:space="preserve">24-nov-17  </w:t>
            </w:r>
          </w:p>
        </w:tc>
        <w:tc>
          <w:tcPr>
            <w:tcW w:w="0" w:type="auto"/>
            <w:vAlign w:val="center"/>
          </w:tcPr>
          <w:p w:rsidR="00E05204" w:rsidRPr="007A313B" w:rsidRDefault="007A313B" w:rsidP="00F26175">
            <w:pPr>
              <w:rPr>
                <w:rFonts w:cs="Arial"/>
                <w:sz w:val="18"/>
                <w:szCs w:val="18"/>
              </w:rPr>
            </w:pPr>
            <w:r w:rsidRPr="007A313B">
              <w:rPr>
                <w:rFonts w:cs="Arial"/>
                <w:sz w:val="18"/>
                <w:szCs w:val="18"/>
              </w:rPr>
              <w:t>Valle</w:t>
            </w:r>
          </w:p>
        </w:tc>
      </w:tr>
      <w:tr w:rsidR="00E05204" w:rsidRPr="007A313B" w:rsidTr="007A313B">
        <w:trPr>
          <w:trHeight w:val="192"/>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37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20-nov-17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 xml:space="preserve">24-nov-17  </w:t>
            </w:r>
          </w:p>
        </w:tc>
        <w:tc>
          <w:tcPr>
            <w:tcW w:w="0" w:type="auto"/>
            <w:vAlign w:val="center"/>
          </w:tcPr>
          <w:p w:rsidR="00E05204" w:rsidRPr="007A313B" w:rsidRDefault="007A313B" w:rsidP="00F26175">
            <w:pPr>
              <w:rPr>
                <w:rFonts w:cs="Arial"/>
                <w:sz w:val="18"/>
                <w:szCs w:val="18"/>
              </w:rPr>
            </w:pPr>
            <w:r w:rsidRPr="007A313B">
              <w:rPr>
                <w:rFonts w:cs="Arial"/>
                <w:sz w:val="18"/>
                <w:szCs w:val="18"/>
              </w:rPr>
              <w:t>Bolivar</w:t>
            </w:r>
          </w:p>
        </w:tc>
      </w:tr>
      <w:tr w:rsidR="00E05204" w:rsidRPr="007A313B" w:rsidTr="007A313B">
        <w:trPr>
          <w:trHeight w:val="192"/>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38</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27-nov-17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01-dic-17</w:t>
            </w:r>
          </w:p>
        </w:tc>
        <w:tc>
          <w:tcPr>
            <w:tcW w:w="0" w:type="auto"/>
            <w:vAlign w:val="center"/>
          </w:tcPr>
          <w:p w:rsidR="00E05204" w:rsidRPr="007A313B" w:rsidRDefault="007A313B" w:rsidP="00F26175">
            <w:pPr>
              <w:rPr>
                <w:rFonts w:cs="Arial"/>
                <w:sz w:val="18"/>
                <w:szCs w:val="18"/>
              </w:rPr>
            </w:pPr>
            <w:r w:rsidRPr="007A313B">
              <w:rPr>
                <w:rFonts w:cs="Arial"/>
                <w:sz w:val="18"/>
                <w:szCs w:val="18"/>
              </w:rPr>
              <w:t>Antioquia</w:t>
            </w:r>
          </w:p>
        </w:tc>
      </w:tr>
      <w:tr w:rsidR="00E05204" w:rsidRPr="007A313B" w:rsidTr="007A313B">
        <w:trPr>
          <w:trHeight w:val="192"/>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39</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27-nov-17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01-dic-17</w:t>
            </w:r>
          </w:p>
        </w:tc>
        <w:tc>
          <w:tcPr>
            <w:tcW w:w="0" w:type="auto"/>
            <w:vAlign w:val="center"/>
          </w:tcPr>
          <w:p w:rsidR="00E05204" w:rsidRPr="007A313B" w:rsidRDefault="007A313B" w:rsidP="00F26175">
            <w:pPr>
              <w:rPr>
                <w:rFonts w:cs="Arial"/>
                <w:sz w:val="18"/>
                <w:szCs w:val="18"/>
              </w:rPr>
            </w:pPr>
            <w:r w:rsidRPr="007A313B">
              <w:rPr>
                <w:rFonts w:cs="Arial"/>
                <w:sz w:val="18"/>
                <w:szCs w:val="18"/>
              </w:rPr>
              <w:t>Atlántico</w:t>
            </w:r>
          </w:p>
        </w:tc>
      </w:tr>
      <w:tr w:rsidR="00E05204" w:rsidRPr="007A313B" w:rsidTr="007A313B">
        <w:trPr>
          <w:trHeight w:val="192"/>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40</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11-dic-17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15-dic-17</w:t>
            </w:r>
          </w:p>
        </w:tc>
        <w:tc>
          <w:tcPr>
            <w:tcW w:w="0" w:type="auto"/>
            <w:vAlign w:val="center"/>
          </w:tcPr>
          <w:p w:rsidR="00E05204" w:rsidRPr="007A313B" w:rsidRDefault="007A313B" w:rsidP="00F26175">
            <w:pPr>
              <w:rPr>
                <w:rFonts w:cs="Arial"/>
                <w:sz w:val="18"/>
                <w:szCs w:val="18"/>
              </w:rPr>
            </w:pPr>
            <w:r w:rsidRPr="007A313B">
              <w:rPr>
                <w:rFonts w:cs="Arial"/>
                <w:sz w:val="18"/>
                <w:szCs w:val="18"/>
              </w:rPr>
              <w:t>Bogotá</w:t>
            </w:r>
          </w:p>
        </w:tc>
      </w:tr>
      <w:tr w:rsidR="00E05204" w:rsidRPr="007A313B" w:rsidTr="007A313B">
        <w:trPr>
          <w:trHeight w:val="192"/>
          <w:jc w:val="center"/>
        </w:trPr>
        <w:tc>
          <w:tcPr>
            <w:tcW w:w="0" w:type="auto"/>
            <w:vMerge/>
            <w:vAlign w:val="center"/>
          </w:tcPr>
          <w:p w:rsidR="00E05204" w:rsidRPr="007A313B" w:rsidRDefault="00E05204" w:rsidP="00F26175">
            <w:pPr>
              <w:rPr>
                <w:rFonts w:cs="Arial"/>
                <w:sz w:val="18"/>
                <w:szCs w:val="18"/>
              </w:rPr>
            </w:pPr>
          </w:p>
        </w:tc>
        <w:tc>
          <w:tcPr>
            <w:tcW w:w="0" w:type="auto"/>
            <w:vAlign w:val="center"/>
          </w:tcPr>
          <w:p w:rsidR="00E05204" w:rsidRPr="007A313B" w:rsidRDefault="00E05204" w:rsidP="00F26175">
            <w:pPr>
              <w:rPr>
                <w:rFonts w:cs="Arial"/>
                <w:sz w:val="18"/>
                <w:szCs w:val="18"/>
              </w:rPr>
            </w:pPr>
            <w:r w:rsidRPr="007A313B">
              <w:rPr>
                <w:rFonts w:cs="Arial"/>
                <w:sz w:val="18"/>
                <w:szCs w:val="18"/>
              </w:rPr>
              <w:t>41</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11-dic-17</w:t>
            </w:r>
          </w:p>
        </w:tc>
        <w:tc>
          <w:tcPr>
            <w:tcW w:w="0" w:type="auto"/>
            <w:noWrap/>
            <w:vAlign w:val="center"/>
          </w:tcPr>
          <w:p w:rsidR="00E05204" w:rsidRPr="007A313B" w:rsidRDefault="00E05204" w:rsidP="00F26175">
            <w:pPr>
              <w:rPr>
                <w:rFonts w:cs="Arial"/>
                <w:sz w:val="18"/>
                <w:szCs w:val="18"/>
              </w:rPr>
            </w:pPr>
            <w:r w:rsidRPr="007A313B">
              <w:rPr>
                <w:rFonts w:cs="Arial"/>
                <w:sz w:val="18"/>
                <w:szCs w:val="18"/>
              </w:rPr>
              <w:t>15-dic-17</w:t>
            </w:r>
          </w:p>
        </w:tc>
        <w:tc>
          <w:tcPr>
            <w:tcW w:w="0" w:type="auto"/>
            <w:vAlign w:val="center"/>
          </w:tcPr>
          <w:p w:rsidR="00E05204" w:rsidRPr="007A313B" w:rsidRDefault="007A313B" w:rsidP="00F26175">
            <w:pPr>
              <w:rPr>
                <w:rFonts w:cs="Arial"/>
                <w:sz w:val="18"/>
                <w:szCs w:val="18"/>
              </w:rPr>
            </w:pPr>
            <w:r w:rsidRPr="007A313B">
              <w:rPr>
                <w:rFonts w:cs="Arial"/>
                <w:sz w:val="18"/>
                <w:szCs w:val="18"/>
              </w:rPr>
              <w:t>Cundinamarca</w:t>
            </w:r>
          </w:p>
        </w:tc>
      </w:tr>
    </w:tbl>
    <w:p w:rsidR="00E05204" w:rsidRPr="007A313B" w:rsidRDefault="00E05204" w:rsidP="007A313B">
      <w:pPr>
        <w:spacing w:after="0" w:line="240" w:lineRule="auto"/>
        <w:jc w:val="center"/>
        <w:rPr>
          <w:rFonts w:cs="Arial"/>
          <w:bCs/>
          <w:sz w:val="16"/>
          <w:szCs w:val="16"/>
        </w:rPr>
      </w:pPr>
      <w:r w:rsidRPr="007A313B">
        <w:rPr>
          <w:rFonts w:cs="Arial"/>
          <w:bCs/>
          <w:sz w:val="16"/>
          <w:szCs w:val="16"/>
        </w:rPr>
        <w:t>Fuente: Instituto Colombiano de Bienestar Familiar –ICBF-, Oficina de Control Interno.</w:t>
      </w:r>
    </w:p>
    <w:p w:rsidR="00E05204" w:rsidRPr="00E2319F" w:rsidRDefault="00E05204" w:rsidP="00E05204">
      <w:pPr>
        <w:spacing w:before="100" w:beforeAutospacing="1" w:after="100" w:afterAutospacing="1" w:line="240" w:lineRule="auto"/>
        <w:jc w:val="both"/>
        <w:rPr>
          <w:rFonts w:cs="Arial"/>
        </w:rPr>
      </w:pPr>
      <w:r w:rsidRPr="00E2319F">
        <w:rPr>
          <w:rFonts w:cs="Arial"/>
        </w:rPr>
        <w:lastRenderedPageBreak/>
        <w:t>Por otra parte, y siguiendo el procedimiento interno y las directrices de la Guía de Auditoria para Entidades Públicas del DAFP a 31 de diciembre de 2017 se realizaron 34 Evaluaciones Independientes a casos específicos en temas relacionados con los procesos Promoción y Prevención, Relación con el Ciudadano, Servicios Administrativos, Adquisición de Bienes y Servicios, y Protección, como se relaciona a continuación:</w:t>
      </w:r>
    </w:p>
    <w:p w:rsidR="00E05204" w:rsidRPr="00E2319F" w:rsidRDefault="00E05204" w:rsidP="007A313B">
      <w:pPr>
        <w:pStyle w:val="Descripcin"/>
        <w:keepNext/>
        <w:spacing w:before="100" w:beforeAutospacing="1" w:after="100" w:afterAutospacing="1"/>
        <w:jc w:val="center"/>
        <w:rPr>
          <w:rFonts w:cs="Arial"/>
          <w:sz w:val="22"/>
          <w:szCs w:val="22"/>
        </w:rPr>
      </w:pPr>
      <w:r w:rsidRPr="00E2319F">
        <w:rPr>
          <w:rFonts w:cs="Arial"/>
          <w:bCs w:val="0"/>
          <w:color w:val="auto"/>
          <w:sz w:val="22"/>
          <w:szCs w:val="22"/>
        </w:rPr>
        <w:t>Evaluacion</w:t>
      </w:r>
      <w:r w:rsidR="007A313B">
        <w:rPr>
          <w:rFonts w:cs="Arial"/>
          <w:bCs w:val="0"/>
          <w:color w:val="auto"/>
          <w:sz w:val="22"/>
          <w:szCs w:val="22"/>
        </w:rPr>
        <w:t>es Independientes Vigencia 2017</w:t>
      </w:r>
    </w:p>
    <w:tbl>
      <w:tblPr>
        <w:tblW w:w="9395"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631"/>
        <w:gridCol w:w="3131"/>
        <w:gridCol w:w="1435"/>
        <w:gridCol w:w="1340"/>
        <w:gridCol w:w="1643"/>
        <w:gridCol w:w="1215"/>
      </w:tblGrid>
      <w:tr w:rsidR="00E05204" w:rsidRPr="00E2319F" w:rsidTr="007A313B">
        <w:trPr>
          <w:trHeight w:val="141"/>
          <w:tblHeader/>
        </w:trPr>
        <w:tc>
          <w:tcPr>
            <w:tcW w:w="631" w:type="dxa"/>
            <w:vMerge w:val="restart"/>
            <w:shd w:val="clear" w:color="auto" w:fill="76923C"/>
            <w:vAlign w:val="center"/>
            <w:hideMark/>
          </w:tcPr>
          <w:p w:rsidR="00E05204" w:rsidRPr="007A313B" w:rsidRDefault="00E05204" w:rsidP="007A313B">
            <w:pPr>
              <w:spacing w:after="0" w:line="240" w:lineRule="auto"/>
              <w:jc w:val="center"/>
              <w:rPr>
                <w:rFonts w:eastAsia="Times New Roman" w:cs="Arial"/>
                <w:b/>
                <w:bCs/>
                <w:color w:val="FFFFFF" w:themeColor="background1"/>
                <w:sz w:val="18"/>
                <w:szCs w:val="18"/>
                <w:lang w:val="es-CO" w:eastAsia="es-CO"/>
              </w:rPr>
            </w:pPr>
            <w:r w:rsidRPr="007A313B">
              <w:rPr>
                <w:rFonts w:eastAsia="Times New Roman" w:cs="Arial"/>
                <w:b/>
                <w:bCs/>
                <w:color w:val="FFFFFF" w:themeColor="background1"/>
                <w:sz w:val="18"/>
                <w:szCs w:val="18"/>
                <w:lang w:val="es-CO" w:eastAsia="es-CO"/>
              </w:rPr>
              <w:t>Ítem</w:t>
            </w:r>
          </w:p>
        </w:tc>
        <w:tc>
          <w:tcPr>
            <w:tcW w:w="3131" w:type="dxa"/>
            <w:vMerge w:val="restart"/>
            <w:shd w:val="clear" w:color="auto" w:fill="76923C"/>
            <w:vAlign w:val="center"/>
            <w:hideMark/>
          </w:tcPr>
          <w:p w:rsidR="00E05204" w:rsidRPr="007A313B" w:rsidRDefault="00E05204" w:rsidP="007A313B">
            <w:pPr>
              <w:spacing w:after="0" w:line="240" w:lineRule="auto"/>
              <w:rPr>
                <w:rFonts w:eastAsia="Times New Roman" w:cs="Arial"/>
                <w:b/>
                <w:bCs/>
                <w:color w:val="FFFFFF" w:themeColor="background1"/>
                <w:sz w:val="18"/>
                <w:szCs w:val="18"/>
                <w:lang w:val="es-CO" w:eastAsia="es-CO"/>
              </w:rPr>
            </w:pPr>
            <w:r w:rsidRPr="007A313B">
              <w:rPr>
                <w:rFonts w:eastAsia="Times New Roman" w:cs="Arial"/>
                <w:b/>
                <w:bCs/>
                <w:color w:val="FFFFFF" w:themeColor="background1"/>
                <w:sz w:val="18"/>
                <w:szCs w:val="18"/>
                <w:lang w:val="es-CO" w:eastAsia="es-CO"/>
              </w:rPr>
              <w:t>Descripción de</w:t>
            </w:r>
            <w:r w:rsidR="004E5E59">
              <w:rPr>
                <w:rFonts w:eastAsia="Times New Roman" w:cs="Arial"/>
                <w:b/>
                <w:bCs/>
                <w:color w:val="FFFFFF" w:themeColor="background1"/>
                <w:sz w:val="18"/>
                <w:szCs w:val="18"/>
                <w:lang w:val="es-CO" w:eastAsia="es-CO"/>
              </w:rPr>
              <w:t xml:space="preserve"> la E</w:t>
            </w:r>
            <w:r w:rsidRPr="007A313B">
              <w:rPr>
                <w:rFonts w:eastAsia="Times New Roman" w:cs="Arial"/>
                <w:b/>
                <w:bCs/>
                <w:color w:val="FFFFFF" w:themeColor="background1"/>
                <w:sz w:val="18"/>
                <w:szCs w:val="18"/>
                <w:lang w:val="es-CO" w:eastAsia="es-CO"/>
              </w:rPr>
              <w:t>valuación</w:t>
            </w:r>
          </w:p>
        </w:tc>
        <w:tc>
          <w:tcPr>
            <w:tcW w:w="2775" w:type="dxa"/>
            <w:gridSpan w:val="2"/>
            <w:tcBorders>
              <w:bottom w:val="single" w:sz="4" w:space="0" w:color="C5E0B2"/>
            </w:tcBorders>
            <w:shd w:val="clear" w:color="auto" w:fill="76923C"/>
            <w:vAlign w:val="center"/>
            <w:hideMark/>
          </w:tcPr>
          <w:p w:rsidR="00E05204" w:rsidRPr="007A313B" w:rsidRDefault="00E05204" w:rsidP="007A313B">
            <w:pPr>
              <w:spacing w:after="0" w:line="240" w:lineRule="auto"/>
              <w:jc w:val="center"/>
              <w:rPr>
                <w:rFonts w:eastAsia="Times New Roman" w:cs="Arial"/>
                <w:b/>
                <w:bCs/>
                <w:color w:val="FFFFFF" w:themeColor="background1"/>
                <w:sz w:val="18"/>
                <w:szCs w:val="18"/>
                <w:lang w:val="es-CO" w:eastAsia="es-CO"/>
              </w:rPr>
            </w:pPr>
            <w:r w:rsidRPr="007A313B">
              <w:rPr>
                <w:rFonts w:eastAsia="Times New Roman" w:cs="Arial"/>
                <w:b/>
                <w:bCs/>
                <w:color w:val="FFFFFF" w:themeColor="background1"/>
                <w:sz w:val="18"/>
                <w:szCs w:val="18"/>
                <w:lang w:val="es-CO" w:eastAsia="es-CO"/>
              </w:rPr>
              <w:t>Fecha Ejecución</w:t>
            </w:r>
          </w:p>
        </w:tc>
        <w:tc>
          <w:tcPr>
            <w:tcW w:w="1643" w:type="dxa"/>
            <w:vMerge w:val="restart"/>
            <w:shd w:val="clear" w:color="auto" w:fill="76923C"/>
            <w:vAlign w:val="center"/>
            <w:hideMark/>
          </w:tcPr>
          <w:p w:rsidR="00E05204" w:rsidRPr="007A313B" w:rsidRDefault="00E05204" w:rsidP="007A313B">
            <w:pPr>
              <w:jc w:val="center"/>
              <w:rPr>
                <w:rFonts w:cs="Arial"/>
                <w:b/>
                <w:color w:val="FFFFFF" w:themeColor="background1"/>
                <w:sz w:val="20"/>
              </w:rPr>
            </w:pPr>
            <w:r w:rsidRPr="007A313B">
              <w:rPr>
                <w:rFonts w:cs="Arial"/>
                <w:b/>
                <w:color w:val="FFFFFF" w:themeColor="background1"/>
                <w:sz w:val="20"/>
              </w:rPr>
              <w:t>Proceso</w:t>
            </w:r>
          </w:p>
        </w:tc>
        <w:tc>
          <w:tcPr>
            <w:tcW w:w="1215" w:type="dxa"/>
            <w:vMerge w:val="restart"/>
            <w:shd w:val="clear" w:color="auto" w:fill="76923C"/>
            <w:vAlign w:val="center"/>
            <w:hideMark/>
          </w:tcPr>
          <w:p w:rsidR="00E05204" w:rsidRPr="007A313B" w:rsidRDefault="00E05204" w:rsidP="007A313B">
            <w:pPr>
              <w:jc w:val="center"/>
              <w:rPr>
                <w:rFonts w:cs="Arial"/>
                <w:b/>
                <w:color w:val="FFFFFF" w:themeColor="background1"/>
                <w:sz w:val="20"/>
              </w:rPr>
            </w:pPr>
            <w:r w:rsidRPr="007A313B">
              <w:rPr>
                <w:rFonts w:cs="Arial"/>
                <w:b/>
                <w:color w:val="FFFFFF" w:themeColor="background1"/>
                <w:sz w:val="20"/>
              </w:rPr>
              <w:t>Sede</w:t>
            </w:r>
          </w:p>
        </w:tc>
      </w:tr>
      <w:tr w:rsidR="00E05204" w:rsidRPr="00E2319F" w:rsidTr="007A313B">
        <w:trPr>
          <w:trHeight w:val="141"/>
        </w:trPr>
        <w:tc>
          <w:tcPr>
            <w:tcW w:w="631" w:type="dxa"/>
            <w:vMerge/>
            <w:vAlign w:val="center"/>
          </w:tcPr>
          <w:p w:rsidR="00E05204" w:rsidRPr="007A313B" w:rsidRDefault="00E05204" w:rsidP="007A313B">
            <w:pPr>
              <w:spacing w:after="0" w:line="240" w:lineRule="auto"/>
              <w:jc w:val="center"/>
              <w:rPr>
                <w:rFonts w:eastAsia="Times New Roman" w:cs="Arial"/>
                <w:b/>
                <w:bCs/>
                <w:color w:val="FFFFFF" w:themeColor="background1"/>
                <w:sz w:val="18"/>
                <w:szCs w:val="18"/>
                <w:lang w:val="es-CO" w:eastAsia="es-CO"/>
              </w:rPr>
            </w:pPr>
          </w:p>
        </w:tc>
        <w:tc>
          <w:tcPr>
            <w:tcW w:w="3131" w:type="dxa"/>
            <w:vMerge/>
            <w:tcBorders>
              <w:right w:val="single" w:sz="4" w:space="0" w:color="C5E0B2"/>
            </w:tcBorders>
            <w:vAlign w:val="center"/>
          </w:tcPr>
          <w:p w:rsidR="00E05204" w:rsidRPr="007A313B" w:rsidRDefault="00E05204" w:rsidP="007A313B">
            <w:pPr>
              <w:spacing w:after="0" w:line="240" w:lineRule="auto"/>
              <w:rPr>
                <w:rFonts w:eastAsia="Times New Roman" w:cs="Arial"/>
                <w:b/>
                <w:bCs/>
                <w:color w:val="FFFFFF" w:themeColor="background1"/>
                <w:sz w:val="18"/>
                <w:szCs w:val="18"/>
                <w:lang w:val="es-CO" w:eastAsia="es-CO"/>
              </w:rPr>
            </w:pPr>
          </w:p>
        </w:tc>
        <w:tc>
          <w:tcPr>
            <w:tcW w:w="1435" w:type="dxa"/>
            <w:tcBorders>
              <w:top w:val="single" w:sz="4" w:space="0" w:color="C5E0B2"/>
              <w:left w:val="single" w:sz="4" w:space="0" w:color="C5E0B2"/>
              <w:bottom w:val="single" w:sz="4" w:space="0" w:color="C5E0B2"/>
              <w:right w:val="single" w:sz="4" w:space="0" w:color="FFFFFF" w:themeColor="background1"/>
            </w:tcBorders>
            <w:shd w:val="clear" w:color="auto" w:fill="76923C"/>
            <w:vAlign w:val="center"/>
          </w:tcPr>
          <w:p w:rsidR="00E05204" w:rsidRPr="007A313B" w:rsidRDefault="00E05204" w:rsidP="007A313B">
            <w:pPr>
              <w:spacing w:after="0" w:line="240" w:lineRule="auto"/>
              <w:jc w:val="center"/>
              <w:rPr>
                <w:rFonts w:eastAsia="Times New Roman" w:cs="Arial"/>
                <w:b/>
                <w:bCs/>
                <w:color w:val="FFFFFF" w:themeColor="background1"/>
                <w:sz w:val="18"/>
                <w:szCs w:val="18"/>
                <w:lang w:val="es-CO" w:eastAsia="es-CO"/>
              </w:rPr>
            </w:pPr>
            <w:r w:rsidRPr="007A313B">
              <w:rPr>
                <w:rFonts w:eastAsia="Times New Roman" w:cs="Arial"/>
                <w:b/>
                <w:bCs/>
                <w:color w:val="FFFFFF" w:themeColor="background1"/>
                <w:sz w:val="18"/>
                <w:szCs w:val="18"/>
                <w:lang w:val="es-CO" w:eastAsia="es-CO"/>
              </w:rPr>
              <w:t>Del</w:t>
            </w:r>
          </w:p>
        </w:tc>
        <w:tc>
          <w:tcPr>
            <w:tcW w:w="1340" w:type="dxa"/>
            <w:tcBorders>
              <w:top w:val="single" w:sz="4" w:space="0" w:color="C5E0B2"/>
              <w:left w:val="single" w:sz="4" w:space="0" w:color="FFFFFF" w:themeColor="background1"/>
              <w:bottom w:val="single" w:sz="4" w:space="0" w:color="C5E0B2"/>
              <w:right w:val="single" w:sz="4" w:space="0" w:color="C5E0B2"/>
            </w:tcBorders>
            <w:shd w:val="clear" w:color="auto" w:fill="76923C"/>
            <w:vAlign w:val="center"/>
          </w:tcPr>
          <w:p w:rsidR="00E05204" w:rsidRPr="007A313B" w:rsidRDefault="00E05204" w:rsidP="007A313B">
            <w:pPr>
              <w:spacing w:after="0" w:line="240" w:lineRule="auto"/>
              <w:jc w:val="center"/>
              <w:rPr>
                <w:rFonts w:eastAsia="Times New Roman" w:cs="Arial"/>
                <w:b/>
                <w:bCs/>
                <w:color w:val="FFFFFF" w:themeColor="background1"/>
                <w:sz w:val="18"/>
                <w:szCs w:val="18"/>
                <w:lang w:val="es-CO" w:eastAsia="es-CO"/>
              </w:rPr>
            </w:pPr>
            <w:r w:rsidRPr="007A313B">
              <w:rPr>
                <w:rFonts w:eastAsia="Times New Roman" w:cs="Arial"/>
                <w:b/>
                <w:bCs/>
                <w:color w:val="FFFFFF" w:themeColor="background1"/>
                <w:sz w:val="18"/>
                <w:szCs w:val="18"/>
                <w:lang w:val="es-CO" w:eastAsia="es-CO"/>
              </w:rPr>
              <w:t>Al</w:t>
            </w:r>
          </w:p>
        </w:tc>
        <w:tc>
          <w:tcPr>
            <w:tcW w:w="1643" w:type="dxa"/>
            <w:vMerge/>
            <w:tcBorders>
              <w:left w:val="single" w:sz="4" w:space="0" w:color="C5E0B2"/>
            </w:tcBorders>
            <w:vAlign w:val="center"/>
          </w:tcPr>
          <w:p w:rsidR="00E05204" w:rsidRPr="00E2319F" w:rsidRDefault="00E05204" w:rsidP="00F26175">
            <w:pPr>
              <w:rPr>
                <w:rFonts w:cs="Arial"/>
                <w:sz w:val="20"/>
              </w:rPr>
            </w:pPr>
          </w:p>
        </w:tc>
        <w:tc>
          <w:tcPr>
            <w:tcW w:w="1215" w:type="dxa"/>
            <w:vMerge/>
            <w:vAlign w:val="center"/>
          </w:tcPr>
          <w:p w:rsidR="00E05204" w:rsidRPr="00E2319F" w:rsidRDefault="00E05204" w:rsidP="00F26175">
            <w:pPr>
              <w:rPr>
                <w:rFonts w:cs="Arial"/>
                <w:sz w:val="20"/>
              </w:rPr>
            </w:pPr>
          </w:p>
        </w:tc>
      </w:tr>
      <w:tr w:rsidR="00E05204" w:rsidRPr="00E2319F" w:rsidTr="007A313B">
        <w:trPr>
          <w:trHeight w:val="141"/>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1</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 xml:space="preserve">Cierre del Hogar Comunitario de Bienestar Grandes Genios Centro Zonal Engativá - Regional Bogotá </w:t>
            </w:r>
          </w:p>
        </w:tc>
        <w:tc>
          <w:tcPr>
            <w:tcW w:w="1435" w:type="dxa"/>
            <w:tcBorders>
              <w:top w:val="single" w:sz="4" w:space="0" w:color="C5E0B2"/>
            </w:tcBorders>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22-jun-16</w:t>
            </w:r>
          </w:p>
        </w:tc>
        <w:tc>
          <w:tcPr>
            <w:tcW w:w="1340" w:type="dxa"/>
            <w:tcBorders>
              <w:top w:val="single" w:sz="4" w:space="0" w:color="C5E0B2"/>
            </w:tcBorders>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30-ene-17</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Promoción y Prevención - Primera Infancia</w:t>
            </w:r>
          </w:p>
        </w:tc>
        <w:tc>
          <w:tcPr>
            <w:tcW w:w="121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Bogotá</w:t>
            </w:r>
          </w:p>
        </w:tc>
      </w:tr>
      <w:tr w:rsidR="00E05204" w:rsidRPr="00E2319F" w:rsidTr="007A313B">
        <w:trPr>
          <w:trHeight w:val="141"/>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2</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Proceso Administrativo de Restablecimiento de Derechos SIM No. 13350538 - Centro Zonal Puerto Lopez - Regional Meta</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16-nov-16</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05-may-17</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tc>
        <w:tc>
          <w:tcPr>
            <w:tcW w:w="121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Meta</w:t>
            </w:r>
          </w:p>
        </w:tc>
      </w:tr>
      <w:tr w:rsidR="00E05204" w:rsidRPr="00E2319F" w:rsidTr="007A313B">
        <w:trPr>
          <w:trHeight w:val="141"/>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3</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Proceso de selección de mínima cuantía MC 020-2016 Suc de la Regional Bogotá</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21-nov-16</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15-dic-17</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Servicios Administrativos</w:t>
            </w:r>
          </w:p>
        </w:tc>
        <w:tc>
          <w:tcPr>
            <w:tcW w:w="121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Bogotá</w:t>
            </w:r>
          </w:p>
        </w:tc>
      </w:tr>
      <w:tr w:rsidR="00E05204" w:rsidRPr="00E2319F" w:rsidTr="007A313B">
        <w:trPr>
          <w:trHeight w:val="141"/>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4</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Contrato 1579 de 2015 ICBF y Outsoursing S.A. Servicios de Centro de Contacto</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24-nov-16</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14-dic-16</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Relación con el Ciudadano</w:t>
            </w:r>
          </w:p>
        </w:tc>
        <w:tc>
          <w:tcPr>
            <w:tcW w:w="121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Sede Dirección General</w:t>
            </w:r>
          </w:p>
        </w:tc>
      </w:tr>
      <w:tr w:rsidR="00E05204" w:rsidRPr="00E2319F" w:rsidTr="007A313B">
        <w:trPr>
          <w:trHeight w:val="141"/>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5</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Contrato 1426 de 2015 Suministro e Instalación del Mobiliario para las Sedes de la Dirección General, Sedes Regionales Centros Zonales y demás Unidades Aplicativas del ICBF a Nivel Nacional</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01-dic-16</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28-dic-16</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Servicios Administrativos</w:t>
            </w:r>
          </w:p>
        </w:tc>
        <w:tc>
          <w:tcPr>
            <w:tcW w:w="121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Sede Dirección General</w:t>
            </w:r>
          </w:p>
        </w:tc>
      </w:tr>
      <w:tr w:rsidR="00E05204" w:rsidRPr="00E2319F" w:rsidTr="007A313B">
        <w:trPr>
          <w:trHeight w:val="141"/>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6</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 xml:space="preserve">Contratación Asociación para el desarrollo alimentario ASORECREO Regionales Bogotá y Cundinamarca - Contratos Nos. 365-391-1655-1875 de 2016 Regional Bogotá </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21-dic-16</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31-may-17</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Promoción y Prevención - Primera Infancia</w:t>
            </w:r>
          </w:p>
        </w:tc>
        <w:tc>
          <w:tcPr>
            <w:tcW w:w="121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Bogotá</w:t>
            </w:r>
          </w:p>
        </w:tc>
      </w:tr>
      <w:tr w:rsidR="00E05204" w:rsidRPr="00E2319F" w:rsidTr="007A313B">
        <w:trPr>
          <w:trHeight w:val="469"/>
        </w:trPr>
        <w:tc>
          <w:tcPr>
            <w:tcW w:w="631" w:type="dxa"/>
            <w:vAlign w:val="center"/>
            <w:hideMark/>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7</w:t>
            </w:r>
          </w:p>
        </w:tc>
        <w:tc>
          <w:tcPr>
            <w:tcW w:w="3131" w:type="dxa"/>
            <w:vAlign w:val="center"/>
            <w:hideMark/>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Contratos de Aporte N°192 y 212 de 2016, suscritos - Fundación Multiactiva Emprendiendo y Regional Magdalena</w:t>
            </w:r>
          </w:p>
        </w:tc>
        <w:tc>
          <w:tcPr>
            <w:tcW w:w="1435" w:type="dxa"/>
            <w:vAlign w:val="center"/>
            <w:hideMark/>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26-dic-16</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16-ene-17</w:t>
            </w:r>
          </w:p>
        </w:tc>
        <w:tc>
          <w:tcPr>
            <w:tcW w:w="1643" w:type="dxa"/>
            <w:vAlign w:val="center"/>
            <w:hideMark/>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Promoción y Prevención - Primera Infancia</w:t>
            </w:r>
          </w:p>
        </w:tc>
        <w:tc>
          <w:tcPr>
            <w:tcW w:w="1215" w:type="dxa"/>
            <w:vAlign w:val="center"/>
            <w:hideMark/>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Magdalena</w:t>
            </w:r>
          </w:p>
        </w:tc>
      </w:tr>
      <w:tr w:rsidR="00E05204" w:rsidRPr="00E2319F" w:rsidTr="007A313B">
        <w:trPr>
          <w:trHeight w:val="405"/>
        </w:trPr>
        <w:tc>
          <w:tcPr>
            <w:tcW w:w="631" w:type="dxa"/>
            <w:vAlign w:val="center"/>
            <w:hideMark/>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8</w:t>
            </w:r>
          </w:p>
        </w:tc>
        <w:tc>
          <w:tcPr>
            <w:tcW w:w="3131" w:type="dxa"/>
            <w:vAlign w:val="center"/>
            <w:hideMark/>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Contrato de Aporte de Servicios No. 9520160100 del 30 de noviembre de 2016 – Regional Guaviare</w:t>
            </w:r>
          </w:p>
        </w:tc>
        <w:tc>
          <w:tcPr>
            <w:tcW w:w="1435" w:type="dxa"/>
            <w:vAlign w:val="center"/>
            <w:hideMark/>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26-dic-16</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11-ene-17</w:t>
            </w:r>
          </w:p>
        </w:tc>
        <w:tc>
          <w:tcPr>
            <w:tcW w:w="1643" w:type="dxa"/>
            <w:vAlign w:val="center"/>
            <w:hideMark/>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Adquisición de Bienes y Servicios</w:t>
            </w:r>
          </w:p>
        </w:tc>
        <w:tc>
          <w:tcPr>
            <w:tcW w:w="1215" w:type="dxa"/>
            <w:vAlign w:val="center"/>
            <w:hideMark/>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Guaviare</w:t>
            </w:r>
          </w:p>
        </w:tc>
      </w:tr>
      <w:tr w:rsidR="00E05204" w:rsidRPr="00E2319F" w:rsidTr="007A313B">
        <w:trPr>
          <w:trHeight w:val="405"/>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9</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Denuncia Secretaría de Transparencia de la Presidencia de la República - Regional Cauca</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24-ene-17</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06-jun-17</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 xml:space="preserve">Protección-PARD </w:t>
            </w:r>
          </w:p>
        </w:tc>
        <w:tc>
          <w:tcPr>
            <w:tcW w:w="121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Cauca</w:t>
            </w:r>
          </w:p>
        </w:tc>
      </w:tr>
      <w:tr w:rsidR="00E05204" w:rsidRPr="00E2319F" w:rsidTr="007A313B">
        <w:trPr>
          <w:trHeight w:val="405"/>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10</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Seguimiento a las Acciones Correctivas - Informe Proceso Administrativo de Restablecimiento de Derechos en la Vigencia 2015 - Centro Zonal Suba - Regional Bogotá</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20-feb-17</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17-ago-17</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tc>
        <w:tc>
          <w:tcPr>
            <w:tcW w:w="121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Bogotá</w:t>
            </w:r>
          </w:p>
        </w:tc>
      </w:tr>
      <w:tr w:rsidR="00E05204" w:rsidRPr="00E2319F" w:rsidTr="007A313B">
        <w:trPr>
          <w:trHeight w:val="405"/>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11</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 xml:space="preserve">Seguimiento a las Acciones Correctivas Informe EI Proceso </w:t>
            </w:r>
            <w:r w:rsidRPr="007A313B">
              <w:rPr>
                <w:rFonts w:eastAsia="Times New Roman" w:cs="Arial"/>
                <w:color w:val="000000"/>
                <w:sz w:val="18"/>
                <w:szCs w:val="18"/>
                <w:lang w:val="es-CO" w:eastAsia="es-CO"/>
              </w:rPr>
              <w:lastRenderedPageBreak/>
              <w:t>Administrativo de Restablecimiento de Derechos en la Vigencia 2015 - Centro Zonal Engativá – Regional Bogotá</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lastRenderedPageBreak/>
              <w:t>21-feb-17</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09-nov-17</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tc>
        <w:tc>
          <w:tcPr>
            <w:tcW w:w="121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Bogotá</w:t>
            </w:r>
          </w:p>
        </w:tc>
      </w:tr>
      <w:tr w:rsidR="00E05204" w:rsidRPr="00E2319F" w:rsidTr="007A313B">
        <w:trPr>
          <w:trHeight w:val="484"/>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12</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Proceso Administrativo de Restablecimiento de Derechos SIM No19820244 y otros - Centro Zonal Quibdó - Regional Choco</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06-mar-17</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28-jun-17</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tc>
        <w:tc>
          <w:tcPr>
            <w:tcW w:w="1215" w:type="dxa"/>
            <w:noWrap/>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Choco</w:t>
            </w:r>
          </w:p>
        </w:tc>
      </w:tr>
      <w:tr w:rsidR="00E05204" w:rsidRPr="00E2319F" w:rsidTr="007A313B">
        <w:trPr>
          <w:trHeight w:val="484"/>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13</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Contrato de Obra Pública No. 1131 de 2014 y Contrato de Interventoría No. 1131 de 2013</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07-mar-17</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11-may-17</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Servicios Administrativos</w:t>
            </w:r>
          </w:p>
        </w:tc>
        <w:tc>
          <w:tcPr>
            <w:tcW w:w="1215" w:type="dxa"/>
            <w:noWrap/>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Bogotá</w:t>
            </w:r>
          </w:p>
        </w:tc>
      </w:tr>
      <w:tr w:rsidR="00E05204" w:rsidRPr="00E2319F" w:rsidTr="007A313B">
        <w:trPr>
          <w:trHeight w:val="484"/>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14</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Contrato 1813-2016 de Suministro y Papelería Útiles de Escritorio</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07-abr-17</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11-jul-17</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Servicios Administrativos</w:t>
            </w:r>
          </w:p>
        </w:tc>
        <w:tc>
          <w:tcPr>
            <w:tcW w:w="1215" w:type="dxa"/>
            <w:noWrap/>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Bogotá</w:t>
            </w:r>
          </w:p>
        </w:tc>
      </w:tr>
      <w:tr w:rsidR="00E05204" w:rsidRPr="00E2319F" w:rsidTr="007A313B">
        <w:trPr>
          <w:trHeight w:val="232"/>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15</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Proceso Administrativo de Restablecimiento de Derechos SIM No. 14691225 - Centro Zonal Suba - Regional Bogotá</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16-may-17</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09-jun-17</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tc>
        <w:tc>
          <w:tcPr>
            <w:tcW w:w="1215" w:type="dxa"/>
            <w:noWrap/>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Bogotá</w:t>
            </w:r>
          </w:p>
        </w:tc>
      </w:tr>
      <w:tr w:rsidR="00E05204" w:rsidRPr="00E2319F" w:rsidTr="007A313B">
        <w:trPr>
          <w:trHeight w:val="232"/>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16</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Proceso Administrativo de Restablecimiento de Derechos SIM No. 31532714 - Centro Zonal Centro - Regional Valle del Cauca</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17-may-17</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28-jun-17</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tc>
        <w:tc>
          <w:tcPr>
            <w:tcW w:w="1215" w:type="dxa"/>
            <w:noWrap/>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Valle del Cauca</w:t>
            </w:r>
          </w:p>
        </w:tc>
      </w:tr>
      <w:tr w:rsidR="00E05204" w:rsidRPr="00E2319F" w:rsidTr="007A313B">
        <w:trPr>
          <w:trHeight w:val="232"/>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17</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al Proceso Administrativo de Restablecimiento de Derechos SIM No. 11037880 y otros - Centro Zonal Suroriental – Regional Antioquia</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22-may-17</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27-jun-17</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tc>
        <w:tc>
          <w:tcPr>
            <w:tcW w:w="1215" w:type="dxa"/>
            <w:noWrap/>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Antioquia</w:t>
            </w:r>
          </w:p>
        </w:tc>
      </w:tr>
      <w:tr w:rsidR="00E05204" w:rsidRPr="00E2319F" w:rsidTr="007A313B">
        <w:trPr>
          <w:trHeight w:val="232"/>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18</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Proceso Administrativo de Restablecimiento de Derechos SIM No. 1758622904 y otros - Centro Zonal Noroccidental – Regional Antioquia</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23-may-17</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12-jul-17</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tc>
        <w:tc>
          <w:tcPr>
            <w:tcW w:w="1215" w:type="dxa"/>
            <w:noWrap/>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Antioquia</w:t>
            </w:r>
          </w:p>
        </w:tc>
      </w:tr>
      <w:tr w:rsidR="00E05204" w:rsidRPr="00E2319F" w:rsidTr="007A313B">
        <w:trPr>
          <w:trHeight w:val="232"/>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19</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Contratación 2016- 2017</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01-jun-17</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30-jun-17</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Adquisición de Bienes y Servicios</w:t>
            </w:r>
          </w:p>
        </w:tc>
        <w:tc>
          <w:tcPr>
            <w:tcW w:w="1215" w:type="dxa"/>
            <w:noWrap/>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Bogotá</w:t>
            </w:r>
          </w:p>
        </w:tc>
      </w:tr>
      <w:tr w:rsidR="00E05204" w:rsidRPr="00E2319F" w:rsidTr="007A313B">
        <w:trPr>
          <w:trHeight w:val="232"/>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20</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Proceso Administrativo de Restablecimiento de Derechos SIM No. 12102624 y otros - Centro Zonal Penderisco - Regional Antioquia</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01-jun-17</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04-jul-17</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tc>
        <w:tc>
          <w:tcPr>
            <w:tcW w:w="1215" w:type="dxa"/>
            <w:noWrap/>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Antioquia</w:t>
            </w:r>
          </w:p>
        </w:tc>
      </w:tr>
      <w:tr w:rsidR="00E05204" w:rsidRPr="00E2319F" w:rsidTr="007A313B">
        <w:trPr>
          <w:trHeight w:val="232"/>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21</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Proceso Administrativo de Restablecimiento de Derechos SIM No. 1758138423 y otros - Centro Zonal Occidente Medio – Regional Antioquia</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01-jun-17</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09-ago-17</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tc>
        <w:tc>
          <w:tcPr>
            <w:tcW w:w="1215" w:type="dxa"/>
            <w:noWrap/>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Antioquia</w:t>
            </w:r>
          </w:p>
        </w:tc>
      </w:tr>
      <w:tr w:rsidR="00E05204" w:rsidRPr="00E2319F" w:rsidTr="007A313B">
        <w:trPr>
          <w:trHeight w:val="232"/>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22</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Contratos ICBF - CAIMEG Regional Magdalena</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06-jun-17</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25-ago-17</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–Responsabilidad Penal</w:t>
            </w:r>
          </w:p>
        </w:tc>
        <w:tc>
          <w:tcPr>
            <w:tcW w:w="1215" w:type="dxa"/>
            <w:noWrap/>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Magdalena</w:t>
            </w:r>
          </w:p>
        </w:tc>
      </w:tr>
      <w:tr w:rsidR="00E05204" w:rsidRPr="00E2319F" w:rsidTr="007A313B">
        <w:trPr>
          <w:trHeight w:val="232"/>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23</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 xml:space="preserve">Evaluación Independiente Proceso Administrativo de Restablecimiento de Derechos SIM No. 13635952 y </w:t>
            </w:r>
            <w:r w:rsidRPr="007A313B">
              <w:rPr>
                <w:rFonts w:eastAsia="Times New Roman" w:cs="Arial"/>
                <w:color w:val="000000"/>
                <w:sz w:val="18"/>
                <w:szCs w:val="18"/>
                <w:lang w:val="es-CO" w:eastAsia="es-CO"/>
              </w:rPr>
              <w:lastRenderedPageBreak/>
              <w:t>otros - Centro Zonal San Cristóbal Sur – Regional Bogotá</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lastRenderedPageBreak/>
              <w:t>12-jun-17</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22-sep-17</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tc>
        <w:tc>
          <w:tcPr>
            <w:tcW w:w="1215" w:type="dxa"/>
            <w:noWrap/>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Bogotá</w:t>
            </w:r>
          </w:p>
        </w:tc>
      </w:tr>
      <w:tr w:rsidR="00E05204" w:rsidRPr="00E2319F" w:rsidTr="007A313B">
        <w:trPr>
          <w:trHeight w:val="1260"/>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24</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Proceso Administrativo de Restablecimiento de Derechos SIM No. 14129222 y otros - Centro Zonal Rafael Uribe – Regional Bogotá</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12-jun-17</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22-sep-17</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tc>
        <w:tc>
          <w:tcPr>
            <w:tcW w:w="1215" w:type="dxa"/>
            <w:noWrap/>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Bogotá</w:t>
            </w:r>
          </w:p>
        </w:tc>
      </w:tr>
      <w:tr w:rsidR="00E05204" w:rsidRPr="00E2319F" w:rsidTr="007A313B">
        <w:trPr>
          <w:trHeight w:val="232"/>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25</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Proceso Administrativo de Restablecimiento de Derechos SIM No. 14215010 y otros - Centro Zonal Santa Fe – Regional Bogotá</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15-jun-17</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22-sep-17</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tc>
        <w:tc>
          <w:tcPr>
            <w:tcW w:w="1215" w:type="dxa"/>
            <w:noWrap/>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Bogotá</w:t>
            </w:r>
          </w:p>
        </w:tc>
      </w:tr>
      <w:tr w:rsidR="00E05204" w:rsidRPr="00E2319F" w:rsidTr="007A313B">
        <w:trPr>
          <w:trHeight w:val="232"/>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26</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Proceso Administrativo de Restablecimiento de Derechos SIM No. 13974714 – Centro Zonal Puente Aranda – Regional Bogotá</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21-jul-17</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28-ago-17</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tc>
        <w:tc>
          <w:tcPr>
            <w:tcW w:w="1215" w:type="dxa"/>
            <w:noWrap/>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Bogotá</w:t>
            </w:r>
          </w:p>
        </w:tc>
      </w:tr>
      <w:tr w:rsidR="00E05204" w:rsidRPr="00E2319F" w:rsidTr="007A313B">
        <w:trPr>
          <w:trHeight w:val="232"/>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27</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Convenios Interadministrativos (Modalidades de Atención a la Primera Infancia) Nos. 1088 de 2017, suscrito entre el Instituto Colombiano de Bienestar Familiar – ICBF y la Gobernación de Antioquia; en los aspectos jurídicos, financieros, técnicos y administrativos</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24-jul-17</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31-oct-17</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Promoción y Prevención - Primera Infancia</w:t>
            </w:r>
          </w:p>
        </w:tc>
        <w:tc>
          <w:tcPr>
            <w:tcW w:w="1215" w:type="dxa"/>
            <w:noWrap/>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Antioquia</w:t>
            </w:r>
          </w:p>
        </w:tc>
      </w:tr>
      <w:tr w:rsidR="00E05204" w:rsidRPr="00E2319F" w:rsidTr="007A313B">
        <w:trPr>
          <w:trHeight w:val="232"/>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28</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Convenio Interadministrativo (Modalidades de Atención a la Primera Infancia) No 1194 de 2017  suscrito entre el Instituto Colombiano de Bienestar Familiar – ICBF y el Municipio de Santiago de Cali; en los aspectos jurídicos, financieros, técnicos y administrativos.</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08-ago-17</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25-oct-17</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Promoción y Prevención - Primera Infancia</w:t>
            </w:r>
          </w:p>
        </w:tc>
        <w:tc>
          <w:tcPr>
            <w:tcW w:w="1215" w:type="dxa"/>
            <w:noWrap/>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Valle del Cauca</w:t>
            </w:r>
          </w:p>
        </w:tc>
      </w:tr>
      <w:tr w:rsidR="00E05204" w:rsidRPr="00E2319F" w:rsidTr="007A313B">
        <w:trPr>
          <w:trHeight w:val="232"/>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29</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ONG FUNDACION GESTION SOCIAL DE COLOMBIA – Regional Cauca y Regional Vaupés</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13-sep-17</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06-oct-17</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Adquisición de Bienes y Servicios</w:t>
            </w:r>
          </w:p>
        </w:tc>
        <w:tc>
          <w:tcPr>
            <w:tcW w:w="1215" w:type="dxa"/>
            <w:noWrap/>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Cauca y Vaupes</w:t>
            </w:r>
          </w:p>
        </w:tc>
      </w:tr>
      <w:tr w:rsidR="00E05204" w:rsidRPr="00E2319F" w:rsidTr="007A313B">
        <w:trPr>
          <w:trHeight w:val="232"/>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30</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Proceso Administrativo de Restablecimiento de Derechos SIM No. 13238484 y otros - Centro Zonal Tunjuelito – Regional Bogotá</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25-sep-17</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28-dic-17</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tc>
        <w:tc>
          <w:tcPr>
            <w:tcW w:w="1215" w:type="dxa"/>
            <w:noWrap/>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Bogotá</w:t>
            </w:r>
          </w:p>
        </w:tc>
      </w:tr>
      <w:tr w:rsidR="00E05204" w:rsidRPr="00E2319F" w:rsidTr="007A313B">
        <w:trPr>
          <w:trHeight w:val="232"/>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31</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Contrato No. 1611 de 2013, suscrito entre el ICBF y la Unión Temporal Soluciones Integrales Archivísticas</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05-oct-17</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31-dic-17</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Servicios Administrativos</w:t>
            </w:r>
          </w:p>
        </w:tc>
        <w:tc>
          <w:tcPr>
            <w:tcW w:w="1215" w:type="dxa"/>
            <w:noWrap/>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Bogotá</w:t>
            </w:r>
          </w:p>
        </w:tc>
      </w:tr>
      <w:tr w:rsidR="00E05204" w:rsidRPr="00E2319F" w:rsidTr="007A313B">
        <w:trPr>
          <w:trHeight w:val="232"/>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32</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aplicación del procedimiento para la atención de presuntos actos de corrupción - Sede Dirección General</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10-oct-17</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18-oct-17</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Relación con el Ciudadano</w:t>
            </w:r>
          </w:p>
        </w:tc>
        <w:tc>
          <w:tcPr>
            <w:tcW w:w="1215" w:type="dxa"/>
            <w:noWrap/>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Sede Nacional</w:t>
            </w:r>
          </w:p>
        </w:tc>
      </w:tr>
      <w:tr w:rsidR="00E05204" w:rsidRPr="00E2319F" w:rsidTr="007A313B">
        <w:trPr>
          <w:trHeight w:val="232"/>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lastRenderedPageBreak/>
              <w:t>33</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Convenios Interadministrativos (Modalidades de Atención a la Primera Infancia) No. 1097 de 2017, suscrito entre el Instituto Colombiano de Bienestar Familiar – ICBF y el Distrito Especial Industrial y Portuario de Barranquilla; en los aspectos jurídicos, financieros, técnicos y administrativos</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18-oct-17</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31-oct-17</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Promoción y Prevención - Primera Infancia</w:t>
            </w:r>
          </w:p>
        </w:tc>
        <w:tc>
          <w:tcPr>
            <w:tcW w:w="1215" w:type="dxa"/>
            <w:noWrap/>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Atlántico</w:t>
            </w:r>
          </w:p>
        </w:tc>
      </w:tr>
      <w:tr w:rsidR="00E05204" w:rsidRPr="00E2319F" w:rsidTr="007A313B">
        <w:trPr>
          <w:trHeight w:val="232"/>
        </w:trPr>
        <w:tc>
          <w:tcPr>
            <w:tcW w:w="631" w:type="dxa"/>
            <w:vAlign w:val="center"/>
          </w:tcPr>
          <w:p w:rsidR="00E05204" w:rsidRPr="007A313B" w:rsidRDefault="00E05204" w:rsidP="007A313B">
            <w:pPr>
              <w:spacing w:after="0" w:line="240" w:lineRule="auto"/>
              <w:jc w:val="center"/>
              <w:rPr>
                <w:rFonts w:eastAsia="Times New Roman" w:cs="Arial"/>
                <w:color w:val="000000"/>
                <w:sz w:val="18"/>
                <w:szCs w:val="18"/>
                <w:lang w:val="es-CO" w:eastAsia="es-CO"/>
              </w:rPr>
            </w:pPr>
            <w:r w:rsidRPr="007A313B">
              <w:rPr>
                <w:rFonts w:eastAsia="Times New Roman" w:cs="Arial"/>
                <w:color w:val="000000"/>
                <w:sz w:val="18"/>
                <w:szCs w:val="18"/>
                <w:lang w:val="es-CO" w:eastAsia="es-CO"/>
              </w:rPr>
              <w:t>34</w:t>
            </w:r>
          </w:p>
        </w:tc>
        <w:tc>
          <w:tcPr>
            <w:tcW w:w="3131"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Evaluación Independiente Supervisión Contratos de Aporte No. 541 de 2016 y 747 de 2016 (Suscrito entre la Regional Tolima del ICBF y la Fundación Peces Vivos) / Procesos Administrativos De Restablecimiento De Derechos</w:t>
            </w:r>
          </w:p>
        </w:tc>
        <w:tc>
          <w:tcPr>
            <w:tcW w:w="1435"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23-oct-17</w:t>
            </w:r>
          </w:p>
        </w:tc>
        <w:tc>
          <w:tcPr>
            <w:tcW w:w="1340"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28-dic-17</w:t>
            </w:r>
          </w:p>
        </w:tc>
        <w:tc>
          <w:tcPr>
            <w:tcW w:w="1643" w:type="dxa"/>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Protección – PARD</w:t>
            </w:r>
          </w:p>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Servicios Administrativos</w:t>
            </w:r>
          </w:p>
          <w:p w:rsidR="00E05204" w:rsidRPr="007A313B" w:rsidRDefault="00E05204" w:rsidP="007A313B">
            <w:pPr>
              <w:spacing w:after="0" w:line="240" w:lineRule="auto"/>
              <w:rPr>
                <w:rFonts w:eastAsia="Times New Roman" w:cs="Arial"/>
                <w:color w:val="000000"/>
                <w:sz w:val="18"/>
                <w:szCs w:val="18"/>
                <w:lang w:val="es-CO" w:eastAsia="es-CO"/>
              </w:rPr>
            </w:pPr>
          </w:p>
        </w:tc>
        <w:tc>
          <w:tcPr>
            <w:tcW w:w="1215" w:type="dxa"/>
            <w:noWrap/>
            <w:vAlign w:val="center"/>
          </w:tcPr>
          <w:p w:rsidR="00E05204" w:rsidRPr="007A313B" w:rsidRDefault="00E05204" w:rsidP="007A313B">
            <w:pPr>
              <w:spacing w:after="0" w:line="240" w:lineRule="auto"/>
              <w:rPr>
                <w:rFonts w:eastAsia="Times New Roman" w:cs="Arial"/>
                <w:color w:val="000000"/>
                <w:sz w:val="18"/>
                <w:szCs w:val="18"/>
                <w:lang w:val="es-CO" w:eastAsia="es-CO"/>
              </w:rPr>
            </w:pPr>
            <w:r w:rsidRPr="007A313B">
              <w:rPr>
                <w:rFonts w:eastAsia="Times New Roman" w:cs="Arial"/>
                <w:color w:val="000000"/>
                <w:sz w:val="18"/>
                <w:szCs w:val="18"/>
                <w:lang w:val="es-CO" w:eastAsia="es-CO"/>
              </w:rPr>
              <w:t>Tolima</w:t>
            </w:r>
          </w:p>
        </w:tc>
      </w:tr>
    </w:tbl>
    <w:p w:rsidR="00E05204" w:rsidRPr="007A313B" w:rsidRDefault="00E05204" w:rsidP="00E05204">
      <w:pPr>
        <w:spacing w:after="100" w:afterAutospacing="1" w:line="240" w:lineRule="auto"/>
        <w:jc w:val="both"/>
        <w:rPr>
          <w:rFonts w:cs="Arial"/>
          <w:bCs/>
          <w:sz w:val="16"/>
          <w:szCs w:val="16"/>
        </w:rPr>
      </w:pPr>
      <w:r w:rsidRPr="007A313B">
        <w:rPr>
          <w:rFonts w:cs="Arial"/>
          <w:bCs/>
          <w:sz w:val="16"/>
          <w:szCs w:val="16"/>
        </w:rPr>
        <w:t>Fuente: Instituto Colombiano de Bienestar Familiar –ICBF-, Oficina de Control Interno</w:t>
      </w:r>
    </w:p>
    <w:p w:rsidR="00E05204" w:rsidRPr="00E2319F" w:rsidRDefault="00E05204" w:rsidP="00E05204">
      <w:pPr>
        <w:spacing w:before="100" w:beforeAutospacing="1" w:after="100" w:afterAutospacing="1" w:line="240" w:lineRule="auto"/>
        <w:jc w:val="both"/>
        <w:rPr>
          <w:rFonts w:cs="Arial"/>
        </w:rPr>
      </w:pPr>
      <w:r w:rsidRPr="00E2319F">
        <w:rPr>
          <w:rFonts w:cs="Arial"/>
          <w:b/>
        </w:rPr>
        <w:t>Componente Planes de Mejoramiento</w:t>
      </w:r>
    </w:p>
    <w:p w:rsidR="00E05204" w:rsidRPr="00E2319F" w:rsidRDefault="00E05204" w:rsidP="00E05204">
      <w:pPr>
        <w:spacing w:before="100" w:beforeAutospacing="1" w:after="100" w:afterAutospacing="1" w:line="240" w:lineRule="auto"/>
        <w:jc w:val="both"/>
        <w:rPr>
          <w:rFonts w:cs="Arial"/>
        </w:rPr>
      </w:pPr>
      <w:r w:rsidRPr="00E2319F">
        <w:rPr>
          <w:rFonts w:cs="Arial"/>
        </w:rPr>
        <w:t>El ICBF cuenta con el Procedimiento Acciones Correctivas P2.MI v2 y con el Procedimiento Acciones Preventivas P5.MI v1, los cuales son aplicados por la Entidad en la ejecución de los planes de mejora, los cuales se administran a través del aplicativo ISOLUCION desde el cual se gestiona y da el cierre de los hallazgos o no conformidades, a los cuales se le hace seguimiento y verificación por parte de la Subdirección de Mejoramiento Organizacional y la Oficina de Control Interno respectivamente.</w:t>
      </w:r>
    </w:p>
    <w:p w:rsidR="004E5E59" w:rsidRDefault="00E05204" w:rsidP="004E5E59">
      <w:pPr>
        <w:spacing w:before="100" w:beforeAutospacing="1" w:after="100" w:afterAutospacing="1" w:line="240" w:lineRule="auto"/>
        <w:jc w:val="both"/>
        <w:rPr>
          <w:rFonts w:cs="Arial"/>
        </w:rPr>
      </w:pPr>
      <w:r w:rsidRPr="00E2319F">
        <w:rPr>
          <w:rFonts w:cs="Arial"/>
        </w:rPr>
        <w:t xml:space="preserve">Por otro lado, en desarrollo del Rol de Evaluación y Seguimiento establecido en el Decreto 1083 de 2015, y en cumplimiento al Procedimiento Formulación y Seguimiento al Plan de Mejoramiento de la Contraloría General de la Republica P5.EI v1, la Oficina de Control Interno realizó seguimiento al Cumplimiento del Plan de Mejoramiento CGR el cual a la fecha está conformado por las actividades generadas frente a la Auditoria Regular Vigencia Fiscal 2015 (formuladas para el período 1º de septiembre de 2016 - 31 de agosto de 2017), la Actuación Especial de Fiscalización Plan de Mejoramiento, Acción Popular, Gestión Contractual en la Regional Guajira del ICBF (formuladas para el período 1º de enero - 31 de diciembre de 2017) y la Auditoría Regular Vigencia Fiscal 2016 (formuladas para el período 1º de septiembre de 2017 - 31 de agosto de 2018), generándose con corte 31 de diciembre de 2017 los siguientes resultados consolidados: </w:t>
      </w:r>
    </w:p>
    <w:p w:rsidR="004E5E59" w:rsidRDefault="004E5E59" w:rsidP="004E5E59">
      <w:pPr>
        <w:spacing w:before="100" w:beforeAutospacing="1" w:after="100" w:afterAutospacing="1" w:line="240" w:lineRule="auto"/>
        <w:jc w:val="both"/>
        <w:rPr>
          <w:rFonts w:cs="Arial"/>
        </w:rPr>
      </w:pPr>
    </w:p>
    <w:p w:rsidR="004E5E59" w:rsidRDefault="004E5E59" w:rsidP="004E5E59">
      <w:pPr>
        <w:spacing w:before="100" w:beforeAutospacing="1" w:after="100" w:afterAutospacing="1" w:line="240" w:lineRule="auto"/>
        <w:jc w:val="both"/>
        <w:rPr>
          <w:rFonts w:cs="Arial"/>
        </w:rPr>
      </w:pPr>
    </w:p>
    <w:p w:rsidR="004E5E59" w:rsidRDefault="004E5E59" w:rsidP="004E5E59">
      <w:pPr>
        <w:spacing w:before="100" w:beforeAutospacing="1" w:after="100" w:afterAutospacing="1" w:line="240" w:lineRule="auto"/>
        <w:jc w:val="both"/>
        <w:rPr>
          <w:rFonts w:cs="Arial"/>
        </w:rPr>
      </w:pPr>
    </w:p>
    <w:p w:rsidR="004E5E59" w:rsidRDefault="004E5E59" w:rsidP="004E5E59">
      <w:pPr>
        <w:spacing w:before="100" w:beforeAutospacing="1" w:after="100" w:afterAutospacing="1" w:line="240" w:lineRule="auto"/>
        <w:jc w:val="both"/>
        <w:rPr>
          <w:rFonts w:cs="Arial"/>
        </w:rPr>
      </w:pPr>
    </w:p>
    <w:p w:rsidR="00E05204" w:rsidRDefault="00E05204" w:rsidP="004E5E59">
      <w:pPr>
        <w:spacing w:before="100" w:beforeAutospacing="1" w:after="0" w:line="240" w:lineRule="auto"/>
        <w:jc w:val="center"/>
        <w:rPr>
          <w:rFonts w:cs="Arial"/>
          <w:b/>
          <w:bCs/>
        </w:rPr>
      </w:pPr>
      <w:r w:rsidRPr="00E2319F">
        <w:rPr>
          <w:rFonts w:cs="Arial"/>
          <w:b/>
          <w:bCs/>
        </w:rPr>
        <w:lastRenderedPageBreak/>
        <w:t>Plan de Mejoramiento Regionale</w:t>
      </w:r>
      <w:r w:rsidR="004E5E59">
        <w:rPr>
          <w:rFonts w:cs="Arial"/>
          <w:b/>
          <w:bCs/>
        </w:rPr>
        <w:t>s corte 31 de diciembre de 2017</w:t>
      </w:r>
    </w:p>
    <w:p w:rsidR="001B1357" w:rsidRDefault="001B1357" w:rsidP="001B1357">
      <w:pPr>
        <w:spacing w:after="0" w:line="240" w:lineRule="auto"/>
        <w:jc w:val="center"/>
        <w:rPr>
          <w:rFonts w:cs="Arial"/>
          <w:b/>
          <w:bCs/>
        </w:rPr>
      </w:pPr>
    </w:p>
    <w:tbl>
      <w:tblPr>
        <w:tblW w:w="5200" w:type="pct"/>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left w:w="0" w:type="dxa"/>
          <w:right w:w="0" w:type="dxa"/>
        </w:tblCellMar>
        <w:tblLook w:val="04A0" w:firstRow="1" w:lastRow="0" w:firstColumn="1" w:lastColumn="0" w:noHBand="0" w:noVBand="1"/>
      </w:tblPr>
      <w:tblGrid>
        <w:gridCol w:w="2400"/>
        <w:gridCol w:w="426"/>
        <w:gridCol w:w="424"/>
        <w:gridCol w:w="1419"/>
        <w:gridCol w:w="1278"/>
        <w:gridCol w:w="1415"/>
        <w:gridCol w:w="1276"/>
        <w:gridCol w:w="1133"/>
      </w:tblGrid>
      <w:tr w:rsidR="001B1357" w:rsidTr="001B1357">
        <w:trPr>
          <w:trHeight w:val="282"/>
        </w:trPr>
        <w:tc>
          <w:tcPr>
            <w:tcW w:w="3043" w:type="pct"/>
            <w:gridSpan w:val="5"/>
            <w:shd w:val="clear" w:color="auto" w:fill="76922E"/>
            <w:tcMar>
              <w:top w:w="12" w:type="dxa"/>
              <w:left w:w="12" w:type="dxa"/>
              <w:bottom w:w="0" w:type="dxa"/>
              <w:right w:w="12" w:type="dxa"/>
            </w:tcMar>
            <w:vAlign w:val="center"/>
            <w:hideMark/>
          </w:tcPr>
          <w:p w:rsidR="001B1357" w:rsidRPr="001B1357" w:rsidRDefault="001B1357" w:rsidP="001B1357">
            <w:pPr>
              <w:spacing w:before="100" w:beforeAutospacing="1" w:after="100" w:afterAutospacing="1" w:line="240" w:lineRule="auto"/>
              <w:jc w:val="center"/>
              <w:rPr>
                <w:b/>
                <w:bCs/>
                <w:color w:val="FFFFFF" w:themeColor="background1"/>
                <w:sz w:val="16"/>
                <w:szCs w:val="16"/>
              </w:rPr>
            </w:pPr>
            <w:r w:rsidRPr="001B1357">
              <w:rPr>
                <w:b/>
                <w:bCs/>
                <w:color w:val="FFFFFF" w:themeColor="background1"/>
                <w:sz w:val="16"/>
                <w:szCs w:val="16"/>
              </w:rPr>
              <w:t>Regionales</w:t>
            </w:r>
          </w:p>
        </w:tc>
        <w:tc>
          <w:tcPr>
            <w:tcW w:w="1957" w:type="pct"/>
            <w:gridSpan w:val="3"/>
            <w:shd w:val="clear" w:color="auto" w:fill="76922E"/>
            <w:tcMar>
              <w:top w:w="12" w:type="dxa"/>
              <w:left w:w="12" w:type="dxa"/>
              <w:bottom w:w="0" w:type="dxa"/>
              <w:right w:w="12" w:type="dxa"/>
            </w:tcMar>
            <w:vAlign w:val="center"/>
            <w:hideMark/>
          </w:tcPr>
          <w:p w:rsidR="001B1357" w:rsidRPr="001B1357" w:rsidRDefault="001B1357" w:rsidP="001B1357">
            <w:pPr>
              <w:spacing w:before="100" w:beforeAutospacing="1" w:after="100" w:afterAutospacing="1" w:line="240" w:lineRule="auto"/>
              <w:jc w:val="center"/>
              <w:rPr>
                <w:b/>
                <w:bCs/>
                <w:color w:val="FFFFFF" w:themeColor="background1"/>
                <w:sz w:val="16"/>
                <w:szCs w:val="16"/>
              </w:rPr>
            </w:pPr>
            <w:r w:rsidRPr="001B1357">
              <w:rPr>
                <w:b/>
                <w:bCs/>
                <w:color w:val="FFFFFF" w:themeColor="background1"/>
                <w:sz w:val="16"/>
                <w:szCs w:val="16"/>
              </w:rPr>
              <w:t>Indicador</w:t>
            </w:r>
          </w:p>
        </w:tc>
      </w:tr>
      <w:tr w:rsidR="001B1357" w:rsidTr="001B1357">
        <w:trPr>
          <w:trHeight w:val="1400"/>
        </w:trPr>
        <w:tc>
          <w:tcPr>
            <w:tcW w:w="1228" w:type="pct"/>
            <w:shd w:val="clear" w:color="auto" w:fill="76922E"/>
            <w:tcMar>
              <w:top w:w="12" w:type="dxa"/>
              <w:left w:w="12" w:type="dxa"/>
              <w:bottom w:w="0" w:type="dxa"/>
              <w:right w:w="12" w:type="dxa"/>
            </w:tcMar>
            <w:vAlign w:val="center"/>
            <w:hideMark/>
          </w:tcPr>
          <w:p w:rsidR="001B1357" w:rsidRPr="001B1357" w:rsidRDefault="001B1357" w:rsidP="001B1357">
            <w:pPr>
              <w:spacing w:before="100" w:beforeAutospacing="1" w:after="100" w:afterAutospacing="1" w:line="240" w:lineRule="auto"/>
              <w:jc w:val="center"/>
              <w:rPr>
                <w:b/>
                <w:bCs/>
                <w:color w:val="FFFFFF" w:themeColor="background1"/>
                <w:sz w:val="16"/>
                <w:szCs w:val="16"/>
              </w:rPr>
            </w:pPr>
            <w:r w:rsidRPr="001B1357">
              <w:rPr>
                <w:b/>
                <w:bCs/>
                <w:color w:val="FFFFFF" w:themeColor="background1"/>
                <w:sz w:val="16"/>
                <w:szCs w:val="16"/>
              </w:rPr>
              <w:t>Responsable / regional</w:t>
            </w:r>
          </w:p>
        </w:tc>
        <w:tc>
          <w:tcPr>
            <w:tcW w:w="218" w:type="pct"/>
            <w:shd w:val="clear" w:color="auto" w:fill="76922E"/>
            <w:tcMar>
              <w:top w:w="12" w:type="dxa"/>
              <w:left w:w="12" w:type="dxa"/>
              <w:bottom w:w="0" w:type="dxa"/>
              <w:right w:w="12" w:type="dxa"/>
            </w:tcMar>
            <w:textDirection w:val="btLr"/>
            <w:vAlign w:val="center"/>
            <w:hideMark/>
          </w:tcPr>
          <w:p w:rsidR="001B1357" w:rsidRPr="001B1357" w:rsidRDefault="001B1357" w:rsidP="001B1357">
            <w:pPr>
              <w:spacing w:before="100" w:beforeAutospacing="1" w:after="100" w:afterAutospacing="1" w:line="240" w:lineRule="auto"/>
              <w:jc w:val="center"/>
              <w:rPr>
                <w:b/>
                <w:bCs/>
                <w:color w:val="FFFFFF" w:themeColor="background1"/>
                <w:sz w:val="16"/>
                <w:szCs w:val="16"/>
              </w:rPr>
            </w:pPr>
            <w:r w:rsidRPr="001B1357">
              <w:rPr>
                <w:b/>
                <w:bCs/>
                <w:color w:val="FFFFFF" w:themeColor="background1"/>
                <w:sz w:val="16"/>
                <w:szCs w:val="16"/>
              </w:rPr>
              <w:t>Hallazgos</w:t>
            </w:r>
          </w:p>
        </w:tc>
        <w:tc>
          <w:tcPr>
            <w:tcW w:w="217" w:type="pct"/>
            <w:shd w:val="clear" w:color="auto" w:fill="76922E"/>
            <w:tcMar>
              <w:top w:w="12" w:type="dxa"/>
              <w:left w:w="12" w:type="dxa"/>
              <w:bottom w:w="0" w:type="dxa"/>
              <w:right w:w="12" w:type="dxa"/>
            </w:tcMar>
            <w:textDirection w:val="btLr"/>
            <w:vAlign w:val="center"/>
            <w:hideMark/>
          </w:tcPr>
          <w:p w:rsidR="001B1357" w:rsidRPr="001B1357" w:rsidRDefault="001B1357" w:rsidP="001B1357">
            <w:pPr>
              <w:spacing w:before="100" w:beforeAutospacing="1" w:after="100" w:afterAutospacing="1" w:line="240" w:lineRule="auto"/>
              <w:jc w:val="center"/>
              <w:rPr>
                <w:b/>
                <w:bCs/>
                <w:color w:val="FFFFFF" w:themeColor="background1"/>
                <w:sz w:val="16"/>
                <w:szCs w:val="16"/>
              </w:rPr>
            </w:pPr>
            <w:r w:rsidRPr="001B1357">
              <w:rPr>
                <w:b/>
                <w:bCs/>
                <w:color w:val="FFFFFF" w:themeColor="background1"/>
                <w:sz w:val="16"/>
                <w:szCs w:val="16"/>
              </w:rPr>
              <w:t>Actividades</w:t>
            </w:r>
          </w:p>
        </w:tc>
        <w:tc>
          <w:tcPr>
            <w:tcW w:w="726" w:type="pct"/>
            <w:shd w:val="clear" w:color="auto" w:fill="76922E"/>
            <w:tcMar>
              <w:top w:w="12" w:type="dxa"/>
              <w:left w:w="12" w:type="dxa"/>
              <w:bottom w:w="0" w:type="dxa"/>
              <w:right w:w="12" w:type="dxa"/>
            </w:tcMar>
            <w:vAlign w:val="center"/>
            <w:hideMark/>
          </w:tcPr>
          <w:p w:rsidR="001B1357" w:rsidRPr="001B1357" w:rsidRDefault="001B1357" w:rsidP="001B1357">
            <w:pPr>
              <w:spacing w:before="100" w:beforeAutospacing="1" w:after="100" w:afterAutospacing="1" w:line="240" w:lineRule="auto"/>
              <w:jc w:val="center"/>
              <w:rPr>
                <w:b/>
                <w:bCs/>
                <w:color w:val="FFFFFF" w:themeColor="background1"/>
                <w:sz w:val="16"/>
                <w:szCs w:val="16"/>
              </w:rPr>
            </w:pPr>
            <w:r w:rsidRPr="001B1357">
              <w:rPr>
                <w:b/>
                <w:bCs/>
                <w:color w:val="FFFFFF" w:themeColor="background1"/>
                <w:sz w:val="16"/>
                <w:szCs w:val="16"/>
              </w:rPr>
              <w:t>Cumplimiento PM CGR</w:t>
            </w:r>
          </w:p>
        </w:tc>
        <w:tc>
          <w:tcPr>
            <w:tcW w:w="654" w:type="pct"/>
            <w:shd w:val="clear" w:color="auto" w:fill="76922E"/>
            <w:tcMar>
              <w:top w:w="12" w:type="dxa"/>
              <w:left w:w="12" w:type="dxa"/>
              <w:bottom w:w="0" w:type="dxa"/>
              <w:right w:w="12" w:type="dxa"/>
            </w:tcMar>
            <w:vAlign w:val="center"/>
            <w:hideMark/>
          </w:tcPr>
          <w:p w:rsidR="001B1357" w:rsidRPr="001B1357" w:rsidRDefault="001B1357" w:rsidP="001B1357">
            <w:pPr>
              <w:spacing w:before="100" w:beforeAutospacing="1" w:after="100" w:afterAutospacing="1" w:line="240" w:lineRule="auto"/>
              <w:jc w:val="center"/>
              <w:rPr>
                <w:b/>
                <w:bCs/>
                <w:color w:val="FFFFFF" w:themeColor="background1"/>
                <w:sz w:val="16"/>
                <w:szCs w:val="16"/>
              </w:rPr>
            </w:pPr>
            <w:r w:rsidRPr="001B1357">
              <w:rPr>
                <w:b/>
                <w:bCs/>
                <w:color w:val="FFFFFF" w:themeColor="background1"/>
                <w:sz w:val="16"/>
                <w:szCs w:val="16"/>
              </w:rPr>
              <w:t>Avance</w:t>
            </w:r>
          </w:p>
          <w:p w:rsidR="001B1357" w:rsidRPr="001B1357" w:rsidRDefault="001B1357" w:rsidP="001B1357">
            <w:pPr>
              <w:spacing w:before="100" w:beforeAutospacing="1" w:after="100" w:afterAutospacing="1" w:line="240" w:lineRule="auto"/>
              <w:jc w:val="center"/>
              <w:rPr>
                <w:b/>
                <w:bCs/>
                <w:color w:val="FFFFFF" w:themeColor="background1"/>
                <w:sz w:val="16"/>
                <w:szCs w:val="16"/>
              </w:rPr>
            </w:pPr>
            <w:r w:rsidRPr="001B1357">
              <w:rPr>
                <w:b/>
                <w:bCs/>
                <w:color w:val="FFFFFF" w:themeColor="background1"/>
                <w:sz w:val="16"/>
                <w:szCs w:val="16"/>
              </w:rPr>
              <w:t>General PM CGR</w:t>
            </w:r>
          </w:p>
        </w:tc>
        <w:tc>
          <w:tcPr>
            <w:tcW w:w="724" w:type="pct"/>
            <w:shd w:val="clear" w:color="auto" w:fill="76922E"/>
            <w:tcMar>
              <w:top w:w="12" w:type="dxa"/>
              <w:left w:w="12" w:type="dxa"/>
              <w:bottom w:w="0" w:type="dxa"/>
              <w:right w:w="12" w:type="dxa"/>
            </w:tcMar>
            <w:vAlign w:val="center"/>
            <w:hideMark/>
          </w:tcPr>
          <w:p w:rsidR="001B1357" w:rsidRPr="001B1357" w:rsidRDefault="001B1357" w:rsidP="001B1357">
            <w:pPr>
              <w:spacing w:before="100" w:beforeAutospacing="1" w:after="100" w:afterAutospacing="1" w:line="240" w:lineRule="auto"/>
              <w:jc w:val="center"/>
              <w:rPr>
                <w:b/>
                <w:bCs/>
                <w:color w:val="FFFFFF" w:themeColor="background1"/>
                <w:sz w:val="16"/>
                <w:szCs w:val="16"/>
              </w:rPr>
            </w:pPr>
            <w:r w:rsidRPr="001B1357">
              <w:rPr>
                <w:b/>
                <w:bCs/>
                <w:color w:val="FFFFFF" w:themeColor="background1"/>
                <w:sz w:val="16"/>
                <w:szCs w:val="16"/>
              </w:rPr>
              <w:t>Actividades programadas</w:t>
            </w:r>
          </w:p>
        </w:tc>
        <w:tc>
          <w:tcPr>
            <w:tcW w:w="653" w:type="pct"/>
            <w:shd w:val="clear" w:color="auto" w:fill="76922E"/>
            <w:tcMar>
              <w:top w:w="12" w:type="dxa"/>
              <w:left w:w="12" w:type="dxa"/>
              <w:bottom w:w="0" w:type="dxa"/>
              <w:right w:w="12" w:type="dxa"/>
            </w:tcMar>
            <w:vAlign w:val="center"/>
            <w:hideMark/>
          </w:tcPr>
          <w:p w:rsidR="001B1357" w:rsidRPr="001B1357" w:rsidRDefault="001B1357" w:rsidP="001B1357">
            <w:pPr>
              <w:spacing w:before="100" w:beforeAutospacing="1" w:after="100" w:afterAutospacing="1" w:line="240" w:lineRule="auto"/>
              <w:jc w:val="center"/>
              <w:rPr>
                <w:b/>
                <w:bCs/>
                <w:color w:val="FFFFFF" w:themeColor="background1"/>
                <w:sz w:val="16"/>
                <w:szCs w:val="16"/>
              </w:rPr>
            </w:pPr>
            <w:r w:rsidRPr="001B1357">
              <w:rPr>
                <w:b/>
                <w:bCs/>
                <w:color w:val="FFFFFF" w:themeColor="background1"/>
                <w:sz w:val="16"/>
                <w:szCs w:val="16"/>
              </w:rPr>
              <w:t>Actividades Cumplidas</w:t>
            </w:r>
          </w:p>
        </w:tc>
        <w:tc>
          <w:tcPr>
            <w:tcW w:w="580" w:type="pct"/>
            <w:shd w:val="clear" w:color="auto" w:fill="76922E"/>
            <w:tcMar>
              <w:top w:w="12" w:type="dxa"/>
              <w:left w:w="12" w:type="dxa"/>
              <w:bottom w:w="0" w:type="dxa"/>
              <w:right w:w="12" w:type="dxa"/>
            </w:tcMar>
            <w:vAlign w:val="center"/>
            <w:hideMark/>
          </w:tcPr>
          <w:p w:rsidR="001B1357" w:rsidRPr="001B1357" w:rsidRDefault="001B1357" w:rsidP="001B1357">
            <w:pPr>
              <w:spacing w:before="100" w:beforeAutospacing="1" w:after="100" w:afterAutospacing="1" w:line="240" w:lineRule="auto"/>
              <w:jc w:val="center"/>
              <w:rPr>
                <w:b/>
                <w:bCs/>
                <w:color w:val="FFFFFF" w:themeColor="background1"/>
                <w:sz w:val="16"/>
                <w:szCs w:val="16"/>
              </w:rPr>
            </w:pPr>
            <w:r w:rsidRPr="001B1357">
              <w:rPr>
                <w:b/>
                <w:bCs/>
                <w:color w:val="FFFFFF" w:themeColor="background1"/>
                <w:sz w:val="16"/>
                <w:szCs w:val="16"/>
              </w:rPr>
              <w:t>Resultado indicador Diciembre</w:t>
            </w:r>
          </w:p>
        </w:tc>
      </w:tr>
      <w:tr w:rsidR="001B1357" w:rsidTr="001B1357">
        <w:trPr>
          <w:trHeight w:val="20"/>
        </w:trPr>
        <w:tc>
          <w:tcPr>
            <w:tcW w:w="122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Amazonas</w:t>
            </w:r>
          </w:p>
        </w:tc>
        <w:tc>
          <w:tcPr>
            <w:tcW w:w="21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w:t>
            </w:r>
          </w:p>
        </w:tc>
        <w:tc>
          <w:tcPr>
            <w:tcW w:w="217"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w:t>
            </w:r>
          </w:p>
        </w:tc>
        <w:tc>
          <w:tcPr>
            <w:tcW w:w="726"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65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72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w:t>
            </w:r>
          </w:p>
        </w:tc>
        <w:tc>
          <w:tcPr>
            <w:tcW w:w="653"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w:t>
            </w:r>
          </w:p>
        </w:tc>
        <w:tc>
          <w:tcPr>
            <w:tcW w:w="580" w:type="pct"/>
            <w:shd w:val="clear" w:color="auto" w:fill="00B0F0"/>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100,00%</w:t>
            </w:r>
          </w:p>
        </w:tc>
      </w:tr>
      <w:tr w:rsidR="001B1357" w:rsidTr="001B1357">
        <w:trPr>
          <w:trHeight w:val="20"/>
        </w:trPr>
        <w:tc>
          <w:tcPr>
            <w:tcW w:w="122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Antioquia</w:t>
            </w:r>
          </w:p>
        </w:tc>
        <w:tc>
          <w:tcPr>
            <w:tcW w:w="21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33</w:t>
            </w:r>
          </w:p>
        </w:tc>
        <w:tc>
          <w:tcPr>
            <w:tcW w:w="217"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44</w:t>
            </w:r>
          </w:p>
        </w:tc>
        <w:tc>
          <w:tcPr>
            <w:tcW w:w="726"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65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40,0%</w:t>
            </w:r>
          </w:p>
        </w:tc>
        <w:tc>
          <w:tcPr>
            <w:tcW w:w="72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3,0</w:t>
            </w:r>
          </w:p>
        </w:tc>
        <w:tc>
          <w:tcPr>
            <w:tcW w:w="653"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3,0</w:t>
            </w:r>
          </w:p>
        </w:tc>
        <w:tc>
          <w:tcPr>
            <w:tcW w:w="580" w:type="pct"/>
            <w:shd w:val="clear" w:color="auto" w:fill="00B0F0"/>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100,00%</w:t>
            </w:r>
          </w:p>
        </w:tc>
      </w:tr>
      <w:tr w:rsidR="001B1357" w:rsidTr="001B1357">
        <w:trPr>
          <w:trHeight w:val="20"/>
        </w:trPr>
        <w:tc>
          <w:tcPr>
            <w:tcW w:w="122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Atlántico</w:t>
            </w:r>
          </w:p>
        </w:tc>
        <w:tc>
          <w:tcPr>
            <w:tcW w:w="21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11</w:t>
            </w:r>
          </w:p>
        </w:tc>
        <w:tc>
          <w:tcPr>
            <w:tcW w:w="217"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18</w:t>
            </w:r>
          </w:p>
        </w:tc>
        <w:tc>
          <w:tcPr>
            <w:tcW w:w="726"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65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92,7%</w:t>
            </w:r>
          </w:p>
        </w:tc>
        <w:tc>
          <w:tcPr>
            <w:tcW w:w="72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14,0</w:t>
            </w:r>
          </w:p>
        </w:tc>
        <w:tc>
          <w:tcPr>
            <w:tcW w:w="653"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14,0</w:t>
            </w:r>
          </w:p>
        </w:tc>
        <w:tc>
          <w:tcPr>
            <w:tcW w:w="580" w:type="pct"/>
            <w:shd w:val="clear" w:color="auto" w:fill="00B0F0"/>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100,00%</w:t>
            </w:r>
          </w:p>
        </w:tc>
      </w:tr>
      <w:tr w:rsidR="001B1357" w:rsidTr="001B1357">
        <w:trPr>
          <w:trHeight w:val="20"/>
        </w:trPr>
        <w:tc>
          <w:tcPr>
            <w:tcW w:w="1228"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Arauca</w:t>
            </w:r>
          </w:p>
        </w:tc>
        <w:tc>
          <w:tcPr>
            <w:tcW w:w="218"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w:t>
            </w:r>
          </w:p>
        </w:tc>
        <w:tc>
          <w:tcPr>
            <w:tcW w:w="217"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w:t>
            </w:r>
          </w:p>
        </w:tc>
        <w:tc>
          <w:tcPr>
            <w:tcW w:w="726"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N/A</w:t>
            </w:r>
          </w:p>
        </w:tc>
        <w:tc>
          <w:tcPr>
            <w:tcW w:w="654"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0,0%</w:t>
            </w:r>
          </w:p>
        </w:tc>
        <w:tc>
          <w:tcPr>
            <w:tcW w:w="724"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NA</w:t>
            </w:r>
          </w:p>
        </w:tc>
        <w:tc>
          <w:tcPr>
            <w:tcW w:w="653"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NA</w:t>
            </w:r>
          </w:p>
        </w:tc>
        <w:tc>
          <w:tcPr>
            <w:tcW w:w="580"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NA</w:t>
            </w:r>
          </w:p>
        </w:tc>
      </w:tr>
      <w:tr w:rsidR="001B1357" w:rsidTr="001B1357">
        <w:trPr>
          <w:trHeight w:val="20"/>
        </w:trPr>
        <w:tc>
          <w:tcPr>
            <w:tcW w:w="122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Bogotá</w:t>
            </w:r>
          </w:p>
        </w:tc>
        <w:tc>
          <w:tcPr>
            <w:tcW w:w="21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7</w:t>
            </w:r>
          </w:p>
        </w:tc>
        <w:tc>
          <w:tcPr>
            <w:tcW w:w="217"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11</w:t>
            </w:r>
          </w:p>
        </w:tc>
        <w:tc>
          <w:tcPr>
            <w:tcW w:w="726"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88,4%</w:t>
            </w:r>
          </w:p>
        </w:tc>
        <w:tc>
          <w:tcPr>
            <w:tcW w:w="65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88,4%</w:t>
            </w:r>
          </w:p>
        </w:tc>
        <w:tc>
          <w:tcPr>
            <w:tcW w:w="72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11,0</w:t>
            </w:r>
          </w:p>
        </w:tc>
        <w:tc>
          <w:tcPr>
            <w:tcW w:w="653"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9,0</w:t>
            </w:r>
          </w:p>
        </w:tc>
        <w:tc>
          <w:tcPr>
            <w:tcW w:w="580" w:type="pct"/>
            <w:shd w:val="clear" w:color="auto" w:fill="E3C800"/>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81,82%</w:t>
            </w:r>
          </w:p>
        </w:tc>
      </w:tr>
      <w:tr w:rsidR="001B1357" w:rsidTr="001B1357">
        <w:trPr>
          <w:trHeight w:val="20"/>
        </w:trPr>
        <w:tc>
          <w:tcPr>
            <w:tcW w:w="122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Bolívar</w:t>
            </w:r>
          </w:p>
        </w:tc>
        <w:tc>
          <w:tcPr>
            <w:tcW w:w="21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5</w:t>
            </w:r>
          </w:p>
        </w:tc>
        <w:tc>
          <w:tcPr>
            <w:tcW w:w="217"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6</w:t>
            </w:r>
          </w:p>
        </w:tc>
        <w:tc>
          <w:tcPr>
            <w:tcW w:w="726"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58,3%</w:t>
            </w:r>
          </w:p>
        </w:tc>
        <w:tc>
          <w:tcPr>
            <w:tcW w:w="65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58,3%</w:t>
            </w:r>
          </w:p>
        </w:tc>
        <w:tc>
          <w:tcPr>
            <w:tcW w:w="72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6,0</w:t>
            </w:r>
          </w:p>
        </w:tc>
        <w:tc>
          <w:tcPr>
            <w:tcW w:w="653"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3,0</w:t>
            </w:r>
          </w:p>
        </w:tc>
        <w:tc>
          <w:tcPr>
            <w:tcW w:w="580" w:type="pct"/>
            <w:shd w:val="clear" w:color="auto" w:fill="FF0000"/>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50,00%</w:t>
            </w:r>
          </w:p>
        </w:tc>
      </w:tr>
      <w:tr w:rsidR="001B1357" w:rsidTr="001B1357">
        <w:trPr>
          <w:trHeight w:val="20"/>
        </w:trPr>
        <w:tc>
          <w:tcPr>
            <w:tcW w:w="122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Boyacá</w:t>
            </w:r>
          </w:p>
        </w:tc>
        <w:tc>
          <w:tcPr>
            <w:tcW w:w="21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28</w:t>
            </w:r>
          </w:p>
        </w:tc>
        <w:tc>
          <w:tcPr>
            <w:tcW w:w="217"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48</w:t>
            </w:r>
          </w:p>
        </w:tc>
        <w:tc>
          <w:tcPr>
            <w:tcW w:w="726"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71,0%</w:t>
            </w:r>
          </w:p>
        </w:tc>
        <w:tc>
          <w:tcPr>
            <w:tcW w:w="65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36,9%</w:t>
            </w:r>
          </w:p>
        </w:tc>
        <w:tc>
          <w:tcPr>
            <w:tcW w:w="72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27,0</w:t>
            </w:r>
          </w:p>
        </w:tc>
        <w:tc>
          <w:tcPr>
            <w:tcW w:w="653"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17,0</w:t>
            </w:r>
          </w:p>
        </w:tc>
        <w:tc>
          <w:tcPr>
            <w:tcW w:w="580" w:type="pct"/>
            <w:shd w:val="clear" w:color="auto" w:fill="FF0000"/>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62,96%</w:t>
            </w:r>
          </w:p>
        </w:tc>
      </w:tr>
      <w:tr w:rsidR="001B1357" w:rsidTr="001B1357">
        <w:trPr>
          <w:trHeight w:val="20"/>
        </w:trPr>
        <w:tc>
          <w:tcPr>
            <w:tcW w:w="122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Caldas</w:t>
            </w:r>
          </w:p>
        </w:tc>
        <w:tc>
          <w:tcPr>
            <w:tcW w:w="21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11</w:t>
            </w:r>
          </w:p>
        </w:tc>
        <w:tc>
          <w:tcPr>
            <w:tcW w:w="217"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34</w:t>
            </w:r>
          </w:p>
        </w:tc>
        <w:tc>
          <w:tcPr>
            <w:tcW w:w="726"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65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56,4%</w:t>
            </w:r>
          </w:p>
        </w:tc>
        <w:tc>
          <w:tcPr>
            <w:tcW w:w="72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w:t>
            </w:r>
          </w:p>
        </w:tc>
        <w:tc>
          <w:tcPr>
            <w:tcW w:w="653"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w:t>
            </w:r>
          </w:p>
        </w:tc>
        <w:tc>
          <w:tcPr>
            <w:tcW w:w="580" w:type="pct"/>
            <w:shd w:val="clear" w:color="auto" w:fill="00B0F0"/>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100,00%</w:t>
            </w:r>
          </w:p>
        </w:tc>
      </w:tr>
      <w:tr w:rsidR="001B1357" w:rsidTr="001B1357">
        <w:trPr>
          <w:trHeight w:val="20"/>
        </w:trPr>
        <w:tc>
          <w:tcPr>
            <w:tcW w:w="1228"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Caquetá</w:t>
            </w:r>
          </w:p>
        </w:tc>
        <w:tc>
          <w:tcPr>
            <w:tcW w:w="218"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w:t>
            </w:r>
          </w:p>
        </w:tc>
        <w:tc>
          <w:tcPr>
            <w:tcW w:w="217"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w:t>
            </w:r>
          </w:p>
        </w:tc>
        <w:tc>
          <w:tcPr>
            <w:tcW w:w="726"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N/A</w:t>
            </w:r>
          </w:p>
        </w:tc>
        <w:tc>
          <w:tcPr>
            <w:tcW w:w="654"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0,0%</w:t>
            </w:r>
          </w:p>
        </w:tc>
        <w:tc>
          <w:tcPr>
            <w:tcW w:w="724"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NA</w:t>
            </w:r>
          </w:p>
        </w:tc>
        <w:tc>
          <w:tcPr>
            <w:tcW w:w="653"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NA</w:t>
            </w:r>
          </w:p>
        </w:tc>
        <w:tc>
          <w:tcPr>
            <w:tcW w:w="580"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NA</w:t>
            </w:r>
          </w:p>
        </w:tc>
      </w:tr>
      <w:tr w:rsidR="001B1357" w:rsidTr="001B1357">
        <w:trPr>
          <w:trHeight w:val="20"/>
        </w:trPr>
        <w:tc>
          <w:tcPr>
            <w:tcW w:w="122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Casanare</w:t>
            </w:r>
          </w:p>
        </w:tc>
        <w:tc>
          <w:tcPr>
            <w:tcW w:w="21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w:t>
            </w:r>
          </w:p>
        </w:tc>
        <w:tc>
          <w:tcPr>
            <w:tcW w:w="217"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w:t>
            </w:r>
          </w:p>
        </w:tc>
        <w:tc>
          <w:tcPr>
            <w:tcW w:w="726"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65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72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w:t>
            </w:r>
          </w:p>
        </w:tc>
        <w:tc>
          <w:tcPr>
            <w:tcW w:w="653"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w:t>
            </w:r>
          </w:p>
        </w:tc>
        <w:tc>
          <w:tcPr>
            <w:tcW w:w="580" w:type="pct"/>
            <w:shd w:val="clear" w:color="auto" w:fill="00B0F0"/>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100,00%</w:t>
            </w:r>
          </w:p>
        </w:tc>
      </w:tr>
      <w:tr w:rsidR="001B1357" w:rsidTr="001B1357">
        <w:trPr>
          <w:trHeight w:val="20"/>
        </w:trPr>
        <w:tc>
          <w:tcPr>
            <w:tcW w:w="122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Cauca</w:t>
            </w:r>
          </w:p>
        </w:tc>
        <w:tc>
          <w:tcPr>
            <w:tcW w:w="21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4</w:t>
            </w:r>
          </w:p>
        </w:tc>
        <w:tc>
          <w:tcPr>
            <w:tcW w:w="217"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4</w:t>
            </w:r>
          </w:p>
        </w:tc>
        <w:tc>
          <w:tcPr>
            <w:tcW w:w="726"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65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72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4,0</w:t>
            </w:r>
          </w:p>
        </w:tc>
        <w:tc>
          <w:tcPr>
            <w:tcW w:w="653"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4,0</w:t>
            </w:r>
          </w:p>
        </w:tc>
        <w:tc>
          <w:tcPr>
            <w:tcW w:w="580" w:type="pct"/>
            <w:shd w:val="clear" w:color="auto" w:fill="00B0F0"/>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100,00%</w:t>
            </w:r>
          </w:p>
        </w:tc>
      </w:tr>
      <w:tr w:rsidR="001B1357" w:rsidTr="001B1357">
        <w:trPr>
          <w:trHeight w:val="20"/>
        </w:trPr>
        <w:tc>
          <w:tcPr>
            <w:tcW w:w="1228"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Cesar</w:t>
            </w:r>
          </w:p>
        </w:tc>
        <w:tc>
          <w:tcPr>
            <w:tcW w:w="218"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w:t>
            </w:r>
          </w:p>
        </w:tc>
        <w:tc>
          <w:tcPr>
            <w:tcW w:w="217"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w:t>
            </w:r>
          </w:p>
        </w:tc>
        <w:tc>
          <w:tcPr>
            <w:tcW w:w="726"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N/A</w:t>
            </w:r>
          </w:p>
        </w:tc>
        <w:tc>
          <w:tcPr>
            <w:tcW w:w="654"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0,0%</w:t>
            </w:r>
          </w:p>
        </w:tc>
        <w:tc>
          <w:tcPr>
            <w:tcW w:w="724"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NA</w:t>
            </w:r>
          </w:p>
        </w:tc>
        <w:tc>
          <w:tcPr>
            <w:tcW w:w="653"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NA</w:t>
            </w:r>
          </w:p>
        </w:tc>
        <w:tc>
          <w:tcPr>
            <w:tcW w:w="580"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NA</w:t>
            </w:r>
          </w:p>
        </w:tc>
      </w:tr>
      <w:tr w:rsidR="001B1357" w:rsidTr="001B1357">
        <w:trPr>
          <w:trHeight w:val="20"/>
        </w:trPr>
        <w:tc>
          <w:tcPr>
            <w:tcW w:w="122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Córdoba</w:t>
            </w:r>
          </w:p>
        </w:tc>
        <w:tc>
          <w:tcPr>
            <w:tcW w:w="21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2</w:t>
            </w:r>
          </w:p>
        </w:tc>
        <w:tc>
          <w:tcPr>
            <w:tcW w:w="217"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2</w:t>
            </w:r>
          </w:p>
        </w:tc>
        <w:tc>
          <w:tcPr>
            <w:tcW w:w="726"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65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72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2,0</w:t>
            </w:r>
          </w:p>
        </w:tc>
        <w:tc>
          <w:tcPr>
            <w:tcW w:w="653"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2,0</w:t>
            </w:r>
          </w:p>
        </w:tc>
        <w:tc>
          <w:tcPr>
            <w:tcW w:w="580" w:type="pct"/>
            <w:shd w:val="clear" w:color="auto" w:fill="00B0F0"/>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100,00%</w:t>
            </w:r>
          </w:p>
        </w:tc>
      </w:tr>
      <w:tr w:rsidR="001B1357" w:rsidTr="001B1357">
        <w:trPr>
          <w:trHeight w:val="20"/>
        </w:trPr>
        <w:tc>
          <w:tcPr>
            <w:tcW w:w="122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Cundinamarca</w:t>
            </w:r>
          </w:p>
        </w:tc>
        <w:tc>
          <w:tcPr>
            <w:tcW w:w="21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2</w:t>
            </w:r>
          </w:p>
        </w:tc>
        <w:tc>
          <w:tcPr>
            <w:tcW w:w="217"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2</w:t>
            </w:r>
          </w:p>
        </w:tc>
        <w:tc>
          <w:tcPr>
            <w:tcW w:w="726"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65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72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2,0</w:t>
            </w:r>
          </w:p>
        </w:tc>
        <w:tc>
          <w:tcPr>
            <w:tcW w:w="653"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2,0</w:t>
            </w:r>
          </w:p>
        </w:tc>
        <w:tc>
          <w:tcPr>
            <w:tcW w:w="580" w:type="pct"/>
            <w:shd w:val="clear" w:color="auto" w:fill="00B0F0"/>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100,00%</w:t>
            </w:r>
          </w:p>
        </w:tc>
      </w:tr>
      <w:tr w:rsidR="001B1357" w:rsidTr="001B1357">
        <w:trPr>
          <w:trHeight w:val="20"/>
        </w:trPr>
        <w:tc>
          <w:tcPr>
            <w:tcW w:w="122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Chocó</w:t>
            </w:r>
          </w:p>
        </w:tc>
        <w:tc>
          <w:tcPr>
            <w:tcW w:w="21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5</w:t>
            </w:r>
          </w:p>
        </w:tc>
        <w:tc>
          <w:tcPr>
            <w:tcW w:w="217"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7</w:t>
            </w:r>
          </w:p>
        </w:tc>
        <w:tc>
          <w:tcPr>
            <w:tcW w:w="726"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85,5%</w:t>
            </w:r>
          </w:p>
        </w:tc>
        <w:tc>
          <w:tcPr>
            <w:tcW w:w="65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85,5%</w:t>
            </w:r>
          </w:p>
        </w:tc>
        <w:tc>
          <w:tcPr>
            <w:tcW w:w="72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7,0</w:t>
            </w:r>
          </w:p>
        </w:tc>
        <w:tc>
          <w:tcPr>
            <w:tcW w:w="653"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5,0</w:t>
            </w:r>
          </w:p>
        </w:tc>
        <w:tc>
          <w:tcPr>
            <w:tcW w:w="580" w:type="pct"/>
            <w:shd w:val="clear" w:color="auto" w:fill="E3C800"/>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71,43%</w:t>
            </w:r>
          </w:p>
        </w:tc>
      </w:tr>
      <w:tr w:rsidR="001B1357" w:rsidTr="001B1357">
        <w:trPr>
          <w:trHeight w:val="20"/>
        </w:trPr>
        <w:tc>
          <w:tcPr>
            <w:tcW w:w="122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Guainía</w:t>
            </w:r>
          </w:p>
        </w:tc>
        <w:tc>
          <w:tcPr>
            <w:tcW w:w="21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2</w:t>
            </w:r>
          </w:p>
        </w:tc>
        <w:tc>
          <w:tcPr>
            <w:tcW w:w="217"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3</w:t>
            </w:r>
          </w:p>
        </w:tc>
        <w:tc>
          <w:tcPr>
            <w:tcW w:w="726"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65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61,4%</w:t>
            </w:r>
          </w:p>
        </w:tc>
        <w:tc>
          <w:tcPr>
            <w:tcW w:w="72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2,0</w:t>
            </w:r>
          </w:p>
        </w:tc>
        <w:tc>
          <w:tcPr>
            <w:tcW w:w="653"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2,0</w:t>
            </w:r>
          </w:p>
        </w:tc>
        <w:tc>
          <w:tcPr>
            <w:tcW w:w="580" w:type="pct"/>
            <w:shd w:val="clear" w:color="auto" w:fill="00B0F0"/>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100,00%</w:t>
            </w:r>
          </w:p>
        </w:tc>
      </w:tr>
      <w:tr w:rsidR="001B1357" w:rsidTr="001B1357">
        <w:trPr>
          <w:trHeight w:val="20"/>
        </w:trPr>
        <w:tc>
          <w:tcPr>
            <w:tcW w:w="122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Guajira</w:t>
            </w:r>
          </w:p>
        </w:tc>
        <w:tc>
          <w:tcPr>
            <w:tcW w:w="21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45</w:t>
            </w:r>
          </w:p>
        </w:tc>
        <w:tc>
          <w:tcPr>
            <w:tcW w:w="217"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69</w:t>
            </w:r>
          </w:p>
        </w:tc>
        <w:tc>
          <w:tcPr>
            <w:tcW w:w="726"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59,4%</w:t>
            </w:r>
          </w:p>
        </w:tc>
        <w:tc>
          <w:tcPr>
            <w:tcW w:w="65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55,5%</w:t>
            </w:r>
          </w:p>
        </w:tc>
        <w:tc>
          <w:tcPr>
            <w:tcW w:w="72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65,0</w:t>
            </w:r>
          </w:p>
        </w:tc>
        <w:tc>
          <w:tcPr>
            <w:tcW w:w="653"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30,0</w:t>
            </w:r>
          </w:p>
        </w:tc>
        <w:tc>
          <w:tcPr>
            <w:tcW w:w="580" w:type="pct"/>
            <w:shd w:val="clear" w:color="auto" w:fill="FF0000"/>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46,15%</w:t>
            </w:r>
          </w:p>
        </w:tc>
      </w:tr>
      <w:tr w:rsidR="001B1357" w:rsidTr="001B1357">
        <w:trPr>
          <w:trHeight w:val="20"/>
        </w:trPr>
        <w:tc>
          <w:tcPr>
            <w:tcW w:w="122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Guaviare</w:t>
            </w:r>
          </w:p>
        </w:tc>
        <w:tc>
          <w:tcPr>
            <w:tcW w:w="21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5</w:t>
            </w:r>
          </w:p>
        </w:tc>
        <w:tc>
          <w:tcPr>
            <w:tcW w:w="217"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7</w:t>
            </w:r>
          </w:p>
        </w:tc>
        <w:tc>
          <w:tcPr>
            <w:tcW w:w="726"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65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73,5%</w:t>
            </w:r>
          </w:p>
        </w:tc>
        <w:tc>
          <w:tcPr>
            <w:tcW w:w="72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7,0</w:t>
            </w:r>
          </w:p>
        </w:tc>
        <w:tc>
          <w:tcPr>
            <w:tcW w:w="653"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4,0</w:t>
            </w:r>
          </w:p>
        </w:tc>
        <w:tc>
          <w:tcPr>
            <w:tcW w:w="580" w:type="pct"/>
            <w:shd w:val="clear" w:color="auto" w:fill="FF0000"/>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57,14%</w:t>
            </w:r>
          </w:p>
        </w:tc>
      </w:tr>
      <w:tr w:rsidR="001B1357" w:rsidTr="001B1357">
        <w:trPr>
          <w:trHeight w:val="20"/>
        </w:trPr>
        <w:tc>
          <w:tcPr>
            <w:tcW w:w="122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Huila</w:t>
            </w:r>
          </w:p>
        </w:tc>
        <w:tc>
          <w:tcPr>
            <w:tcW w:w="21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24</w:t>
            </w:r>
          </w:p>
        </w:tc>
        <w:tc>
          <w:tcPr>
            <w:tcW w:w="217"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31</w:t>
            </w:r>
          </w:p>
        </w:tc>
        <w:tc>
          <w:tcPr>
            <w:tcW w:w="726"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70,1%</w:t>
            </w:r>
          </w:p>
        </w:tc>
        <w:tc>
          <w:tcPr>
            <w:tcW w:w="65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35,9%</w:t>
            </w:r>
          </w:p>
        </w:tc>
        <w:tc>
          <w:tcPr>
            <w:tcW w:w="72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w:t>
            </w:r>
          </w:p>
        </w:tc>
        <w:tc>
          <w:tcPr>
            <w:tcW w:w="653"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8,0</w:t>
            </w:r>
          </w:p>
        </w:tc>
        <w:tc>
          <w:tcPr>
            <w:tcW w:w="580" w:type="pct"/>
            <w:shd w:val="clear" w:color="auto" w:fill="E3C800"/>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80,00%</w:t>
            </w:r>
          </w:p>
        </w:tc>
      </w:tr>
      <w:tr w:rsidR="001B1357" w:rsidTr="001B1357">
        <w:trPr>
          <w:trHeight w:val="20"/>
        </w:trPr>
        <w:tc>
          <w:tcPr>
            <w:tcW w:w="122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Magdalena</w:t>
            </w:r>
          </w:p>
        </w:tc>
        <w:tc>
          <w:tcPr>
            <w:tcW w:w="21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w:t>
            </w:r>
          </w:p>
        </w:tc>
        <w:tc>
          <w:tcPr>
            <w:tcW w:w="217"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2</w:t>
            </w:r>
          </w:p>
        </w:tc>
        <w:tc>
          <w:tcPr>
            <w:tcW w:w="726"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96,5%</w:t>
            </w:r>
          </w:p>
        </w:tc>
        <w:tc>
          <w:tcPr>
            <w:tcW w:w="65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96,5%</w:t>
            </w:r>
          </w:p>
        </w:tc>
        <w:tc>
          <w:tcPr>
            <w:tcW w:w="72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2,0</w:t>
            </w:r>
          </w:p>
        </w:tc>
        <w:tc>
          <w:tcPr>
            <w:tcW w:w="653"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w:t>
            </w:r>
          </w:p>
        </w:tc>
        <w:tc>
          <w:tcPr>
            <w:tcW w:w="580" w:type="pct"/>
            <w:shd w:val="clear" w:color="auto" w:fill="FF0000"/>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50,00%</w:t>
            </w:r>
          </w:p>
        </w:tc>
      </w:tr>
      <w:tr w:rsidR="001B1357" w:rsidTr="001B1357">
        <w:trPr>
          <w:trHeight w:val="20"/>
        </w:trPr>
        <w:tc>
          <w:tcPr>
            <w:tcW w:w="122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Meta</w:t>
            </w:r>
          </w:p>
        </w:tc>
        <w:tc>
          <w:tcPr>
            <w:tcW w:w="21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11</w:t>
            </w:r>
          </w:p>
        </w:tc>
        <w:tc>
          <w:tcPr>
            <w:tcW w:w="217"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18</w:t>
            </w:r>
          </w:p>
        </w:tc>
        <w:tc>
          <w:tcPr>
            <w:tcW w:w="726"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65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25,4%</w:t>
            </w:r>
          </w:p>
        </w:tc>
        <w:tc>
          <w:tcPr>
            <w:tcW w:w="72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w:t>
            </w:r>
          </w:p>
        </w:tc>
        <w:tc>
          <w:tcPr>
            <w:tcW w:w="653"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w:t>
            </w:r>
          </w:p>
        </w:tc>
        <w:tc>
          <w:tcPr>
            <w:tcW w:w="580" w:type="pct"/>
            <w:shd w:val="clear" w:color="auto" w:fill="00B0F0"/>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100,00%</w:t>
            </w:r>
          </w:p>
        </w:tc>
      </w:tr>
      <w:tr w:rsidR="001B1357" w:rsidTr="001B1357">
        <w:trPr>
          <w:trHeight w:val="20"/>
        </w:trPr>
        <w:tc>
          <w:tcPr>
            <w:tcW w:w="122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Nariño</w:t>
            </w:r>
          </w:p>
        </w:tc>
        <w:tc>
          <w:tcPr>
            <w:tcW w:w="21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25</w:t>
            </w:r>
          </w:p>
        </w:tc>
        <w:tc>
          <w:tcPr>
            <w:tcW w:w="217"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49</w:t>
            </w:r>
          </w:p>
        </w:tc>
        <w:tc>
          <w:tcPr>
            <w:tcW w:w="726"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65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72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49,0</w:t>
            </w:r>
          </w:p>
        </w:tc>
        <w:tc>
          <w:tcPr>
            <w:tcW w:w="653"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49,0</w:t>
            </w:r>
          </w:p>
        </w:tc>
        <w:tc>
          <w:tcPr>
            <w:tcW w:w="580" w:type="pct"/>
            <w:shd w:val="clear" w:color="auto" w:fill="00B0F0"/>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100,00%</w:t>
            </w:r>
          </w:p>
        </w:tc>
      </w:tr>
      <w:tr w:rsidR="001B1357" w:rsidTr="001B1357">
        <w:trPr>
          <w:trHeight w:val="20"/>
        </w:trPr>
        <w:tc>
          <w:tcPr>
            <w:tcW w:w="1228"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Norte De Santander</w:t>
            </w:r>
          </w:p>
        </w:tc>
        <w:tc>
          <w:tcPr>
            <w:tcW w:w="218"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w:t>
            </w:r>
          </w:p>
        </w:tc>
        <w:tc>
          <w:tcPr>
            <w:tcW w:w="217"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w:t>
            </w:r>
          </w:p>
        </w:tc>
        <w:tc>
          <w:tcPr>
            <w:tcW w:w="726"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N/A</w:t>
            </w:r>
          </w:p>
        </w:tc>
        <w:tc>
          <w:tcPr>
            <w:tcW w:w="654"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0,0%</w:t>
            </w:r>
          </w:p>
        </w:tc>
        <w:tc>
          <w:tcPr>
            <w:tcW w:w="724"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NA</w:t>
            </w:r>
          </w:p>
        </w:tc>
        <w:tc>
          <w:tcPr>
            <w:tcW w:w="653"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NA</w:t>
            </w:r>
          </w:p>
        </w:tc>
        <w:tc>
          <w:tcPr>
            <w:tcW w:w="580"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NA</w:t>
            </w:r>
          </w:p>
        </w:tc>
      </w:tr>
      <w:tr w:rsidR="001B1357" w:rsidTr="001B1357">
        <w:trPr>
          <w:trHeight w:val="20"/>
        </w:trPr>
        <w:tc>
          <w:tcPr>
            <w:tcW w:w="1228" w:type="pct"/>
            <w:tcMar>
              <w:top w:w="15" w:type="dxa"/>
              <w:left w:w="15" w:type="dxa"/>
              <w:bottom w:w="0" w:type="dxa"/>
              <w:right w:w="15"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Putumayo</w:t>
            </w:r>
          </w:p>
        </w:tc>
        <w:tc>
          <w:tcPr>
            <w:tcW w:w="21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5</w:t>
            </w:r>
          </w:p>
        </w:tc>
        <w:tc>
          <w:tcPr>
            <w:tcW w:w="217"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6</w:t>
            </w:r>
          </w:p>
        </w:tc>
        <w:tc>
          <w:tcPr>
            <w:tcW w:w="726"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65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72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6,0</w:t>
            </w:r>
          </w:p>
        </w:tc>
        <w:tc>
          <w:tcPr>
            <w:tcW w:w="653"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6,0</w:t>
            </w:r>
          </w:p>
        </w:tc>
        <w:tc>
          <w:tcPr>
            <w:tcW w:w="580" w:type="pct"/>
            <w:shd w:val="clear" w:color="auto" w:fill="00B0F0"/>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100,00%</w:t>
            </w:r>
          </w:p>
        </w:tc>
      </w:tr>
      <w:tr w:rsidR="001B1357" w:rsidTr="001B1357">
        <w:trPr>
          <w:trHeight w:val="20"/>
        </w:trPr>
        <w:tc>
          <w:tcPr>
            <w:tcW w:w="1228" w:type="pct"/>
            <w:tcMar>
              <w:top w:w="15" w:type="dxa"/>
              <w:left w:w="15" w:type="dxa"/>
              <w:bottom w:w="0" w:type="dxa"/>
              <w:right w:w="15"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Quindío</w:t>
            </w:r>
          </w:p>
        </w:tc>
        <w:tc>
          <w:tcPr>
            <w:tcW w:w="21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17</w:t>
            </w:r>
          </w:p>
        </w:tc>
        <w:tc>
          <w:tcPr>
            <w:tcW w:w="217"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24</w:t>
            </w:r>
          </w:p>
        </w:tc>
        <w:tc>
          <w:tcPr>
            <w:tcW w:w="726"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65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43,4%</w:t>
            </w:r>
          </w:p>
        </w:tc>
        <w:tc>
          <w:tcPr>
            <w:tcW w:w="72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6</w:t>
            </w:r>
          </w:p>
        </w:tc>
        <w:tc>
          <w:tcPr>
            <w:tcW w:w="653"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6</w:t>
            </w:r>
          </w:p>
        </w:tc>
        <w:tc>
          <w:tcPr>
            <w:tcW w:w="580" w:type="pct"/>
            <w:shd w:val="clear" w:color="auto" w:fill="00B0F0"/>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100,00%</w:t>
            </w:r>
          </w:p>
        </w:tc>
      </w:tr>
      <w:tr w:rsidR="001B1357" w:rsidTr="001B1357">
        <w:trPr>
          <w:trHeight w:val="20"/>
        </w:trPr>
        <w:tc>
          <w:tcPr>
            <w:tcW w:w="1228" w:type="pct"/>
            <w:tcMar>
              <w:top w:w="15" w:type="dxa"/>
              <w:left w:w="15" w:type="dxa"/>
              <w:bottom w:w="0" w:type="dxa"/>
              <w:right w:w="15"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Risaralda</w:t>
            </w:r>
          </w:p>
        </w:tc>
        <w:tc>
          <w:tcPr>
            <w:tcW w:w="21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w:t>
            </w:r>
          </w:p>
        </w:tc>
        <w:tc>
          <w:tcPr>
            <w:tcW w:w="217"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2</w:t>
            </w:r>
          </w:p>
        </w:tc>
        <w:tc>
          <w:tcPr>
            <w:tcW w:w="726"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65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72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2,0</w:t>
            </w:r>
          </w:p>
        </w:tc>
        <w:tc>
          <w:tcPr>
            <w:tcW w:w="653"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2,0</w:t>
            </w:r>
          </w:p>
        </w:tc>
        <w:tc>
          <w:tcPr>
            <w:tcW w:w="580" w:type="pct"/>
            <w:shd w:val="clear" w:color="auto" w:fill="00B0F0"/>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100,00%</w:t>
            </w:r>
          </w:p>
        </w:tc>
      </w:tr>
      <w:tr w:rsidR="001B1357" w:rsidTr="001B1357">
        <w:trPr>
          <w:trHeight w:val="20"/>
        </w:trPr>
        <w:tc>
          <w:tcPr>
            <w:tcW w:w="1228" w:type="pct"/>
            <w:tcMar>
              <w:top w:w="15" w:type="dxa"/>
              <w:left w:w="15" w:type="dxa"/>
              <w:bottom w:w="0" w:type="dxa"/>
              <w:right w:w="15"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San Andrés</w:t>
            </w:r>
          </w:p>
        </w:tc>
        <w:tc>
          <w:tcPr>
            <w:tcW w:w="21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w:t>
            </w:r>
          </w:p>
        </w:tc>
        <w:tc>
          <w:tcPr>
            <w:tcW w:w="217"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3</w:t>
            </w:r>
          </w:p>
        </w:tc>
        <w:tc>
          <w:tcPr>
            <w:tcW w:w="726"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65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72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3,0</w:t>
            </w:r>
          </w:p>
        </w:tc>
        <w:tc>
          <w:tcPr>
            <w:tcW w:w="653"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3,0</w:t>
            </w:r>
          </w:p>
        </w:tc>
        <w:tc>
          <w:tcPr>
            <w:tcW w:w="580" w:type="pct"/>
            <w:shd w:val="clear" w:color="auto" w:fill="00B0F0"/>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100,00%</w:t>
            </w:r>
          </w:p>
        </w:tc>
      </w:tr>
      <w:tr w:rsidR="001B1357" w:rsidTr="001B1357">
        <w:trPr>
          <w:trHeight w:val="20"/>
        </w:trPr>
        <w:tc>
          <w:tcPr>
            <w:tcW w:w="1228" w:type="pct"/>
            <w:tcMar>
              <w:top w:w="15" w:type="dxa"/>
              <w:left w:w="15" w:type="dxa"/>
              <w:bottom w:w="0" w:type="dxa"/>
              <w:right w:w="15"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Santander</w:t>
            </w:r>
          </w:p>
        </w:tc>
        <w:tc>
          <w:tcPr>
            <w:tcW w:w="21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21</w:t>
            </w:r>
          </w:p>
        </w:tc>
        <w:tc>
          <w:tcPr>
            <w:tcW w:w="217"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83</w:t>
            </w:r>
          </w:p>
        </w:tc>
        <w:tc>
          <w:tcPr>
            <w:tcW w:w="726"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92,2%</w:t>
            </w:r>
          </w:p>
        </w:tc>
        <w:tc>
          <w:tcPr>
            <w:tcW w:w="65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51,7%</w:t>
            </w:r>
          </w:p>
        </w:tc>
        <w:tc>
          <w:tcPr>
            <w:tcW w:w="72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51,0</w:t>
            </w:r>
          </w:p>
        </w:tc>
        <w:tc>
          <w:tcPr>
            <w:tcW w:w="653"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48,0</w:t>
            </w:r>
          </w:p>
        </w:tc>
        <w:tc>
          <w:tcPr>
            <w:tcW w:w="580" w:type="pct"/>
            <w:shd w:val="clear" w:color="auto" w:fill="60A917"/>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94,12%</w:t>
            </w:r>
          </w:p>
        </w:tc>
      </w:tr>
      <w:tr w:rsidR="001B1357" w:rsidTr="001B1357">
        <w:trPr>
          <w:trHeight w:val="20"/>
        </w:trPr>
        <w:tc>
          <w:tcPr>
            <w:tcW w:w="1228" w:type="pct"/>
            <w:tcMar>
              <w:top w:w="15" w:type="dxa"/>
              <w:left w:w="15" w:type="dxa"/>
              <w:bottom w:w="0" w:type="dxa"/>
              <w:right w:w="15"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Sucre</w:t>
            </w:r>
          </w:p>
        </w:tc>
        <w:tc>
          <w:tcPr>
            <w:tcW w:w="21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19</w:t>
            </w:r>
          </w:p>
        </w:tc>
        <w:tc>
          <w:tcPr>
            <w:tcW w:w="217"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34</w:t>
            </w:r>
          </w:p>
        </w:tc>
        <w:tc>
          <w:tcPr>
            <w:tcW w:w="726"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96,8%</w:t>
            </w:r>
          </w:p>
        </w:tc>
        <w:tc>
          <w:tcPr>
            <w:tcW w:w="65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47,3%</w:t>
            </w:r>
          </w:p>
        </w:tc>
        <w:tc>
          <w:tcPr>
            <w:tcW w:w="72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15,0</w:t>
            </w:r>
          </w:p>
        </w:tc>
        <w:tc>
          <w:tcPr>
            <w:tcW w:w="653"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14,0</w:t>
            </w:r>
          </w:p>
        </w:tc>
        <w:tc>
          <w:tcPr>
            <w:tcW w:w="580" w:type="pct"/>
            <w:shd w:val="clear" w:color="auto" w:fill="60A917"/>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93,33%</w:t>
            </w:r>
          </w:p>
        </w:tc>
      </w:tr>
      <w:tr w:rsidR="001B1357" w:rsidTr="001B1357">
        <w:trPr>
          <w:trHeight w:val="20"/>
        </w:trPr>
        <w:tc>
          <w:tcPr>
            <w:tcW w:w="1228" w:type="pct"/>
            <w:tcMar>
              <w:top w:w="15" w:type="dxa"/>
              <w:left w:w="15" w:type="dxa"/>
              <w:bottom w:w="0" w:type="dxa"/>
              <w:right w:w="15"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Tolima</w:t>
            </w:r>
          </w:p>
        </w:tc>
        <w:tc>
          <w:tcPr>
            <w:tcW w:w="21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w:t>
            </w:r>
          </w:p>
        </w:tc>
        <w:tc>
          <w:tcPr>
            <w:tcW w:w="217"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w:t>
            </w:r>
          </w:p>
        </w:tc>
        <w:tc>
          <w:tcPr>
            <w:tcW w:w="726"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65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72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w:t>
            </w:r>
          </w:p>
        </w:tc>
        <w:tc>
          <w:tcPr>
            <w:tcW w:w="653"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w:t>
            </w:r>
          </w:p>
        </w:tc>
        <w:tc>
          <w:tcPr>
            <w:tcW w:w="580" w:type="pct"/>
            <w:shd w:val="clear" w:color="auto" w:fill="00B0F0"/>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100,00%</w:t>
            </w:r>
          </w:p>
        </w:tc>
      </w:tr>
      <w:tr w:rsidR="001B1357" w:rsidTr="001B1357">
        <w:trPr>
          <w:trHeight w:val="20"/>
        </w:trPr>
        <w:tc>
          <w:tcPr>
            <w:tcW w:w="1228" w:type="pct"/>
            <w:tcMar>
              <w:top w:w="15" w:type="dxa"/>
              <w:left w:w="15" w:type="dxa"/>
              <w:bottom w:w="0" w:type="dxa"/>
              <w:right w:w="15"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Valle</w:t>
            </w:r>
          </w:p>
        </w:tc>
        <w:tc>
          <w:tcPr>
            <w:tcW w:w="21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2</w:t>
            </w:r>
          </w:p>
        </w:tc>
        <w:tc>
          <w:tcPr>
            <w:tcW w:w="217"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6</w:t>
            </w:r>
          </w:p>
        </w:tc>
        <w:tc>
          <w:tcPr>
            <w:tcW w:w="726"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65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72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6,0</w:t>
            </w:r>
          </w:p>
        </w:tc>
        <w:tc>
          <w:tcPr>
            <w:tcW w:w="653"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6,0</w:t>
            </w:r>
          </w:p>
        </w:tc>
        <w:tc>
          <w:tcPr>
            <w:tcW w:w="580" w:type="pct"/>
            <w:shd w:val="clear" w:color="auto" w:fill="00B0F0"/>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100,00%</w:t>
            </w:r>
          </w:p>
        </w:tc>
      </w:tr>
      <w:tr w:rsidR="001B1357" w:rsidTr="001B1357">
        <w:trPr>
          <w:trHeight w:val="20"/>
        </w:trPr>
        <w:tc>
          <w:tcPr>
            <w:tcW w:w="1228" w:type="pct"/>
            <w:tcMar>
              <w:top w:w="15" w:type="dxa"/>
              <w:left w:w="15" w:type="dxa"/>
              <w:bottom w:w="0" w:type="dxa"/>
              <w:right w:w="15"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Vaupés</w:t>
            </w:r>
          </w:p>
        </w:tc>
        <w:tc>
          <w:tcPr>
            <w:tcW w:w="218"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4</w:t>
            </w:r>
          </w:p>
        </w:tc>
        <w:tc>
          <w:tcPr>
            <w:tcW w:w="217"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5</w:t>
            </w:r>
          </w:p>
        </w:tc>
        <w:tc>
          <w:tcPr>
            <w:tcW w:w="726"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65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w:t>
            </w:r>
          </w:p>
        </w:tc>
        <w:tc>
          <w:tcPr>
            <w:tcW w:w="724"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5</w:t>
            </w:r>
          </w:p>
        </w:tc>
        <w:tc>
          <w:tcPr>
            <w:tcW w:w="653" w:type="pct"/>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5</w:t>
            </w:r>
          </w:p>
        </w:tc>
        <w:tc>
          <w:tcPr>
            <w:tcW w:w="580" w:type="pct"/>
            <w:shd w:val="clear" w:color="auto" w:fill="00B0F0"/>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100,00%</w:t>
            </w:r>
          </w:p>
        </w:tc>
      </w:tr>
      <w:tr w:rsidR="001B1357" w:rsidTr="001B1357">
        <w:trPr>
          <w:trHeight w:val="20"/>
        </w:trPr>
        <w:tc>
          <w:tcPr>
            <w:tcW w:w="1228" w:type="pct"/>
            <w:shd w:val="clear" w:color="auto" w:fill="A6A6A6"/>
            <w:tcMar>
              <w:top w:w="15" w:type="dxa"/>
              <w:left w:w="15" w:type="dxa"/>
              <w:bottom w:w="0" w:type="dxa"/>
              <w:right w:w="15"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Vichada</w:t>
            </w:r>
          </w:p>
        </w:tc>
        <w:tc>
          <w:tcPr>
            <w:tcW w:w="218"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w:t>
            </w:r>
          </w:p>
        </w:tc>
        <w:tc>
          <w:tcPr>
            <w:tcW w:w="217"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w:t>
            </w:r>
          </w:p>
        </w:tc>
        <w:tc>
          <w:tcPr>
            <w:tcW w:w="726"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N/A</w:t>
            </w:r>
          </w:p>
        </w:tc>
        <w:tc>
          <w:tcPr>
            <w:tcW w:w="654"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0,0%</w:t>
            </w:r>
          </w:p>
        </w:tc>
        <w:tc>
          <w:tcPr>
            <w:tcW w:w="724"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NA</w:t>
            </w:r>
          </w:p>
        </w:tc>
        <w:tc>
          <w:tcPr>
            <w:tcW w:w="653"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NA</w:t>
            </w:r>
          </w:p>
        </w:tc>
        <w:tc>
          <w:tcPr>
            <w:tcW w:w="580" w:type="pct"/>
            <w:shd w:val="clear" w:color="auto" w:fill="A6A6A6"/>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NA</w:t>
            </w:r>
          </w:p>
        </w:tc>
      </w:tr>
      <w:tr w:rsidR="001B1357" w:rsidTr="001B1357">
        <w:trPr>
          <w:trHeight w:val="20"/>
        </w:trPr>
        <w:tc>
          <w:tcPr>
            <w:tcW w:w="1228" w:type="pct"/>
            <w:shd w:val="clear" w:color="auto" w:fill="E2EFDA"/>
            <w:tcMar>
              <w:top w:w="15" w:type="dxa"/>
              <w:left w:w="15" w:type="dxa"/>
              <w:bottom w:w="0" w:type="dxa"/>
              <w:right w:w="15" w:type="dxa"/>
            </w:tcMar>
            <w:vAlign w:val="center"/>
            <w:hideMark/>
          </w:tcPr>
          <w:p w:rsidR="001B1357" w:rsidRPr="00404602" w:rsidRDefault="001B1357" w:rsidP="001B1357">
            <w:pPr>
              <w:spacing w:after="0" w:line="240" w:lineRule="auto"/>
              <w:jc w:val="both"/>
              <w:rPr>
                <w:rFonts w:cs="Arial"/>
                <w:b/>
                <w:sz w:val="18"/>
                <w:szCs w:val="20"/>
                <w:lang w:eastAsia="es-ES"/>
              </w:rPr>
            </w:pPr>
            <w:r w:rsidRPr="00404602">
              <w:rPr>
                <w:rFonts w:cs="Arial"/>
                <w:b/>
                <w:sz w:val="18"/>
                <w:szCs w:val="20"/>
                <w:lang w:eastAsia="es-ES"/>
              </w:rPr>
              <w:t>Subtotal Regionales</w:t>
            </w:r>
          </w:p>
        </w:tc>
        <w:tc>
          <w:tcPr>
            <w:tcW w:w="218" w:type="pct"/>
            <w:shd w:val="clear" w:color="auto" w:fill="E2EFDA"/>
            <w:tcMar>
              <w:top w:w="12" w:type="dxa"/>
              <w:left w:w="12" w:type="dxa"/>
              <w:bottom w:w="0" w:type="dxa"/>
              <w:right w:w="12" w:type="dxa"/>
            </w:tcMar>
            <w:vAlign w:val="center"/>
            <w:hideMark/>
          </w:tcPr>
          <w:p w:rsidR="001B1357" w:rsidRPr="00404602" w:rsidRDefault="001B1357" w:rsidP="001B1357">
            <w:pPr>
              <w:spacing w:after="0" w:line="240" w:lineRule="auto"/>
              <w:jc w:val="both"/>
              <w:rPr>
                <w:rFonts w:cs="Arial"/>
                <w:b/>
                <w:sz w:val="18"/>
                <w:szCs w:val="20"/>
                <w:lang w:eastAsia="es-ES"/>
              </w:rPr>
            </w:pPr>
            <w:r w:rsidRPr="00404602">
              <w:rPr>
                <w:rFonts w:cs="Arial"/>
                <w:b/>
                <w:sz w:val="18"/>
                <w:szCs w:val="20"/>
                <w:lang w:eastAsia="es-ES"/>
              </w:rPr>
              <w:t>294</w:t>
            </w:r>
          </w:p>
        </w:tc>
        <w:tc>
          <w:tcPr>
            <w:tcW w:w="217" w:type="pct"/>
            <w:shd w:val="clear" w:color="auto" w:fill="E2EFDA"/>
            <w:tcMar>
              <w:top w:w="12" w:type="dxa"/>
              <w:left w:w="12" w:type="dxa"/>
              <w:bottom w:w="0" w:type="dxa"/>
              <w:right w:w="12" w:type="dxa"/>
            </w:tcMar>
            <w:vAlign w:val="center"/>
            <w:hideMark/>
          </w:tcPr>
          <w:p w:rsidR="001B1357" w:rsidRPr="00404602" w:rsidRDefault="001B1357" w:rsidP="001B1357">
            <w:pPr>
              <w:spacing w:after="0" w:line="240" w:lineRule="auto"/>
              <w:jc w:val="both"/>
              <w:rPr>
                <w:rFonts w:cs="Arial"/>
                <w:b/>
                <w:sz w:val="18"/>
                <w:szCs w:val="20"/>
                <w:lang w:eastAsia="es-ES"/>
              </w:rPr>
            </w:pPr>
            <w:r w:rsidRPr="00404602">
              <w:rPr>
                <w:rFonts w:cs="Arial"/>
                <w:b/>
                <w:sz w:val="18"/>
                <w:szCs w:val="20"/>
                <w:lang w:eastAsia="es-ES"/>
              </w:rPr>
              <w:t>521</w:t>
            </w:r>
          </w:p>
        </w:tc>
        <w:tc>
          <w:tcPr>
            <w:tcW w:w="726" w:type="pct"/>
            <w:shd w:val="clear" w:color="auto" w:fill="E2EFDA"/>
            <w:tcMar>
              <w:top w:w="12" w:type="dxa"/>
              <w:left w:w="12" w:type="dxa"/>
              <w:bottom w:w="0" w:type="dxa"/>
              <w:right w:w="12" w:type="dxa"/>
            </w:tcMar>
            <w:vAlign w:val="center"/>
            <w:hideMark/>
          </w:tcPr>
          <w:p w:rsidR="001B1357" w:rsidRPr="00404602" w:rsidRDefault="001B1357" w:rsidP="001B1357">
            <w:pPr>
              <w:spacing w:after="0" w:line="240" w:lineRule="auto"/>
              <w:jc w:val="both"/>
              <w:rPr>
                <w:rFonts w:cs="Arial"/>
                <w:b/>
                <w:sz w:val="18"/>
                <w:szCs w:val="20"/>
                <w:lang w:eastAsia="es-ES"/>
              </w:rPr>
            </w:pPr>
            <w:r w:rsidRPr="00404602">
              <w:rPr>
                <w:rFonts w:cs="Arial"/>
                <w:b/>
                <w:sz w:val="18"/>
                <w:szCs w:val="20"/>
                <w:lang w:eastAsia="es-ES"/>
              </w:rPr>
              <w:t>84,1%</w:t>
            </w:r>
          </w:p>
        </w:tc>
        <w:tc>
          <w:tcPr>
            <w:tcW w:w="654" w:type="pct"/>
            <w:shd w:val="clear" w:color="auto" w:fill="E2EFDA"/>
            <w:tcMar>
              <w:top w:w="12" w:type="dxa"/>
              <w:left w:w="12" w:type="dxa"/>
              <w:bottom w:w="0" w:type="dxa"/>
              <w:right w:w="12" w:type="dxa"/>
            </w:tcMar>
            <w:vAlign w:val="center"/>
            <w:hideMark/>
          </w:tcPr>
          <w:p w:rsidR="001B1357" w:rsidRPr="00404602" w:rsidRDefault="001B1357" w:rsidP="001B1357">
            <w:pPr>
              <w:spacing w:after="0" w:line="240" w:lineRule="auto"/>
              <w:jc w:val="both"/>
              <w:rPr>
                <w:rFonts w:cs="Arial"/>
                <w:b/>
                <w:sz w:val="18"/>
                <w:szCs w:val="20"/>
                <w:lang w:eastAsia="es-ES"/>
              </w:rPr>
            </w:pPr>
            <w:r w:rsidRPr="00404602">
              <w:rPr>
                <w:rFonts w:cs="Arial"/>
                <w:b/>
                <w:sz w:val="18"/>
                <w:szCs w:val="20"/>
                <w:lang w:eastAsia="es-ES"/>
              </w:rPr>
              <w:t>56,9%</w:t>
            </w:r>
          </w:p>
        </w:tc>
        <w:tc>
          <w:tcPr>
            <w:tcW w:w="724" w:type="pct"/>
            <w:shd w:val="clear" w:color="auto" w:fill="E2EFDA"/>
            <w:tcMar>
              <w:top w:w="12" w:type="dxa"/>
              <w:left w:w="12" w:type="dxa"/>
              <w:bottom w:w="0" w:type="dxa"/>
              <w:right w:w="12" w:type="dxa"/>
            </w:tcMar>
            <w:vAlign w:val="center"/>
            <w:hideMark/>
          </w:tcPr>
          <w:p w:rsidR="001B1357" w:rsidRPr="00404602" w:rsidRDefault="001B1357" w:rsidP="001B1357">
            <w:pPr>
              <w:spacing w:after="0" w:line="240" w:lineRule="auto"/>
              <w:jc w:val="both"/>
              <w:rPr>
                <w:rFonts w:cs="Arial"/>
                <w:b/>
                <w:sz w:val="18"/>
                <w:szCs w:val="20"/>
                <w:lang w:eastAsia="es-ES"/>
              </w:rPr>
            </w:pPr>
            <w:r w:rsidRPr="00404602">
              <w:rPr>
                <w:rFonts w:cs="Arial"/>
                <w:b/>
                <w:sz w:val="18"/>
                <w:szCs w:val="20"/>
                <w:lang w:eastAsia="es-ES"/>
              </w:rPr>
              <w:t>319</w:t>
            </w:r>
          </w:p>
        </w:tc>
        <w:tc>
          <w:tcPr>
            <w:tcW w:w="653" w:type="pct"/>
            <w:shd w:val="clear" w:color="auto" w:fill="E2EFDA"/>
            <w:tcMar>
              <w:top w:w="12" w:type="dxa"/>
              <w:left w:w="12" w:type="dxa"/>
              <w:bottom w:w="0" w:type="dxa"/>
              <w:right w:w="12" w:type="dxa"/>
            </w:tcMar>
            <w:vAlign w:val="center"/>
            <w:hideMark/>
          </w:tcPr>
          <w:p w:rsidR="001B1357" w:rsidRPr="00404602" w:rsidRDefault="001B1357" w:rsidP="001B1357">
            <w:pPr>
              <w:spacing w:after="0" w:line="240" w:lineRule="auto"/>
              <w:jc w:val="both"/>
              <w:rPr>
                <w:rFonts w:cs="Arial"/>
                <w:b/>
                <w:sz w:val="18"/>
                <w:szCs w:val="20"/>
                <w:lang w:eastAsia="es-ES"/>
              </w:rPr>
            </w:pPr>
            <w:r w:rsidRPr="00404602">
              <w:rPr>
                <w:rFonts w:cs="Arial"/>
                <w:b/>
                <w:sz w:val="18"/>
                <w:szCs w:val="20"/>
                <w:lang w:eastAsia="es-ES"/>
              </w:rPr>
              <w:t>257</w:t>
            </w:r>
          </w:p>
        </w:tc>
        <w:tc>
          <w:tcPr>
            <w:tcW w:w="580" w:type="pct"/>
            <w:shd w:val="clear" w:color="auto" w:fill="FFC000"/>
            <w:tcMar>
              <w:top w:w="12" w:type="dxa"/>
              <w:left w:w="12" w:type="dxa"/>
              <w:bottom w:w="0" w:type="dxa"/>
              <w:right w:w="12" w:type="dxa"/>
            </w:tcMar>
            <w:vAlign w:val="cente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80,56%</w:t>
            </w:r>
          </w:p>
        </w:tc>
      </w:tr>
    </w:tbl>
    <w:p w:rsidR="00E05204" w:rsidRPr="004E5E59" w:rsidRDefault="00E05204" w:rsidP="004E5E59">
      <w:pPr>
        <w:spacing w:after="100" w:afterAutospacing="1" w:line="240" w:lineRule="auto"/>
        <w:jc w:val="center"/>
        <w:rPr>
          <w:rFonts w:cs="Arial"/>
          <w:bCs/>
          <w:sz w:val="16"/>
          <w:szCs w:val="16"/>
        </w:rPr>
      </w:pPr>
      <w:r w:rsidRPr="004E5E59">
        <w:rPr>
          <w:rFonts w:cs="Arial"/>
          <w:bCs/>
          <w:sz w:val="16"/>
          <w:szCs w:val="16"/>
        </w:rPr>
        <w:t>Fuente: Instituto Colombiano de Bienestar Familiar –ICBF-, Oficina de Control Interno</w:t>
      </w:r>
    </w:p>
    <w:p w:rsidR="001B1357" w:rsidRDefault="001B1357" w:rsidP="004E5E59">
      <w:pPr>
        <w:spacing w:before="100" w:beforeAutospacing="1" w:after="0" w:line="240" w:lineRule="auto"/>
        <w:jc w:val="center"/>
        <w:rPr>
          <w:rFonts w:cs="Arial"/>
          <w:b/>
          <w:bCs/>
        </w:rPr>
      </w:pPr>
    </w:p>
    <w:p w:rsidR="001B1357" w:rsidRDefault="001B1357" w:rsidP="004E5E59">
      <w:pPr>
        <w:spacing w:before="100" w:beforeAutospacing="1" w:after="0" w:line="240" w:lineRule="auto"/>
        <w:jc w:val="center"/>
        <w:rPr>
          <w:rFonts w:cs="Arial"/>
          <w:b/>
          <w:bCs/>
        </w:rPr>
      </w:pPr>
    </w:p>
    <w:p w:rsidR="001B1357" w:rsidRDefault="001B1357" w:rsidP="004E5E59">
      <w:pPr>
        <w:spacing w:before="100" w:beforeAutospacing="1" w:after="0" w:line="240" w:lineRule="auto"/>
        <w:jc w:val="center"/>
        <w:rPr>
          <w:rFonts w:cs="Arial"/>
          <w:b/>
          <w:bCs/>
        </w:rPr>
      </w:pPr>
    </w:p>
    <w:p w:rsidR="00E05204" w:rsidRDefault="004E5E59" w:rsidP="004E5E59">
      <w:pPr>
        <w:spacing w:before="100" w:beforeAutospacing="1" w:after="0" w:line="240" w:lineRule="auto"/>
        <w:jc w:val="center"/>
        <w:rPr>
          <w:rFonts w:cs="Arial"/>
          <w:b/>
          <w:bCs/>
        </w:rPr>
      </w:pPr>
      <w:r>
        <w:rPr>
          <w:rFonts w:cs="Arial"/>
          <w:b/>
          <w:bCs/>
        </w:rPr>
        <w:lastRenderedPageBreak/>
        <w:t>P</w:t>
      </w:r>
      <w:r w:rsidR="00E05204" w:rsidRPr="00E2319F">
        <w:rPr>
          <w:rFonts w:cs="Arial"/>
          <w:b/>
          <w:bCs/>
        </w:rPr>
        <w:t>lan de Mejoramiento Direcciones Sede Nacional Corte 31 de diciembre de 2017</w:t>
      </w:r>
    </w:p>
    <w:p w:rsidR="00572111" w:rsidRPr="00E2319F" w:rsidRDefault="00572111" w:rsidP="00572111">
      <w:pPr>
        <w:spacing w:after="0" w:line="240" w:lineRule="auto"/>
        <w:jc w:val="center"/>
        <w:rPr>
          <w:rFonts w:cs="Arial"/>
          <w:b/>
          <w:bCs/>
        </w:rPr>
      </w:pPr>
    </w:p>
    <w:tbl>
      <w:tblPr>
        <w:tblW w:w="5200" w:type="pct"/>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left w:w="0" w:type="dxa"/>
          <w:right w:w="0" w:type="dxa"/>
        </w:tblCellMar>
        <w:tblLook w:val="04A0" w:firstRow="1" w:lastRow="0" w:firstColumn="1" w:lastColumn="0" w:noHBand="0" w:noVBand="1"/>
      </w:tblPr>
      <w:tblGrid>
        <w:gridCol w:w="2388"/>
        <w:gridCol w:w="426"/>
        <w:gridCol w:w="426"/>
        <w:gridCol w:w="1417"/>
        <w:gridCol w:w="1280"/>
        <w:gridCol w:w="1417"/>
        <w:gridCol w:w="1274"/>
        <w:gridCol w:w="1143"/>
      </w:tblGrid>
      <w:tr w:rsidR="001B1357" w:rsidTr="001B1357">
        <w:trPr>
          <w:trHeight w:val="247"/>
        </w:trPr>
        <w:tc>
          <w:tcPr>
            <w:tcW w:w="3037" w:type="pct"/>
            <w:gridSpan w:val="5"/>
            <w:shd w:val="clear" w:color="auto" w:fill="76922E"/>
            <w:tcMar>
              <w:top w:w="9" w:type="dxa"/>
              <w:left w:w="9" w:type="dxa"/>
              <w:bottom w:w="0" w:type="dxa"/>
              <w:right w:w="9" w:type="dxa"/>
            </w:tcMar>
            <w:hideMark/>
          </w:tcPr>
          <w:p w:rsidR="001B1357" w:rsidRPr="001B1357" w:rsidRDefault="001B1357" w:rsidP="001B1357">
            <w:pPr>
              <w:spacing w:before="100" w:beforeAutospacing="1" w:after="100" w:afterAutospacing="1" w:line="240" w:lineRule="auto"/>
              <w:jc w:val="center"/>
              <w:rPr>
                <w:color w:val="FFFFFF" w:themeColor="background1"/>
                <w:sz w:val="16"/>
                <w:szCs w:val="16"/>
              </w:rPr>
            </w:pPr>
            <w:r w:rsidRPr="001B1357">
              <w:rPr>
                <w:b/>
                <w:bCs/>
                <w:color w:val="FFFFFF" w:themeColor="background1"/>
                <w:sz w:val="16"/>
                <w:szCs w:val="16"/>
              </w:rPr>
              <w:t>Sede nacional</w:t>
            </w:r>
          </w:p>
        </w:tc>
        <w:tc>
          <w:tcPr>
            <w:tcW w:w="1963" w:type="pct"/>
            <w:gridSpan w:val="3"/>
            <w:shd w:val="clear" w:color="auto" w:fill="76922E"/>
            <w:tcMar>
              <w:top w:w="12" w:type="dxa"/>
              <w:left w:w="12" w:type="dxa"/>
              <w:bottom w:w="0" w:type="dxa"/>
              <w:right w:w="12" w:type="dxa"/>
            </w:tcMar>
            <w:hideMark/>
          </w:tcPr>
          <w:p w:rsidR="001B1357" w:rsidRPr="001B1357" w:rsidRDefault="001B1357" w:rsidP="001B1357">
            <w:pPr>
              <w:spacing w:before="100" w:beforeAutospacing="1" w:after="100" w:afterAutospacing="1" w:line="240" w:lineRule="auto"/>
              <w:jc w:val="center"/>
              <w:rPr>
                <w:color w:val="FFFFFF" w:themeColor="background1"/>
                <w:sz w:val="16"/>
                <w:szCs w:val="16"/>
              </w:rPr>
            </w:pPr>
            <w:r w:rsidRPr="001B1357">
              <w:rPr>
                <w:b/>
                <w:bCs/>
                <w:color w:val="FFFFFF" w:themeColor="background1"/>
                <w:sz w:val="16"/>
                <w:szCs w:val="16"/>
              </w:rPr>
              <w:t>Indicador</w:t>
            </w:r>
          </w:p>
        </w:tc>
      </w:tr>
      <w:tr w:rsidR="001B1357" w:rsidTr="001B1357">
        <w:trPr>
          <w:trHeight w:val="1031"/>
        </w:trPr>
        <w:tc>
          <w:tcPr>
            <w:tcW w:w="1222" w:type="pct"/>
            <w:shd w:val="clear" w:color="auto" w:fill="76922E"/>
            <w:tcMar>
              <w:top w:w="9" w:type="dxa"/>
              <w:left w:w="9" w:type="dxa"/>
              <w:bottom w:w="0" w:type="dxa"/>
              <w:right w:w="9" w:type="dxa"/>
            </w:tcMar>
            <w:vAlign w:val="center"/>
            <w:hideMark/>
          </w:tcPr>
          <w:p w:rsidR="001B1357" w:rsidRPr="001B1357" w:rsidRDefault="001B1357" w:rsidP="001B1357">
            <w:pPr>
              <w:spacing w:before="100" w:beforeAutospacing="1" w:after="100" w:afterAutospacing="1" w:line="240" w:lineRule="auto"/>
              <w:jc w:val="center"/>
              <w:rPr>
                <w:b/>
                <w:bCs/>
                <w:color w:val="FFFFFF" w:themeColor="background1"/>
                <w:sz w:val="16"/>
                <w:szCs w:val="16"/>
              </w:rPr>
            </w:pPr>
            <w:r w:rsidRPr="001B1357">
              <w:rPr>
                <w:b/>
                <w:bCs/>
                <w:color w:val="FFFFFF" w:themeColor="background1"/>
                <w:sz w:val="16"/>
                <w:szCs w:val="16"/>
              </w:rPr>
              <w:t>Responsable / regional</w:t>
            </w:r>
          </w:p>
        </w:tc>
        <w:tc>
          <w:tcPr>
            <w:tcW w:w="218" w:type="pct"/>
            <w:shd w:val="clear" w:color="auto" w:fill="76922E"/>
            <w:tcMar>
              <w:top w:w="9" w:type="dxa"/>
              <w:left w:w="9" w:type="dxa"/>
              <w:bottom w:w="0" w:type="dxa"/>
              <w:right w:w="9" w:type="dxa"/>
            </w:tcMar>
            <w:textDirection w:val="btLr"/>
            <w:vAlign w:val="center"/>
            <w:hideMark/>
          </w:tcPr>
          <w:p w:rsidR="001B1357" w:rsidRPr="001B1357" w:rsidRDefault="001B1357" w:rsidP="001B1357">
            <w:pPr>
              <w:spacing w:before="100" w:beforeAutospacing="1" w:after="100" w:afterAutospacing="1" w:line="240" w:lineRule="auto"/>
              <w:jc w:val="center"/>
              <w:rPr>
                <w:b/>
                <w:bCs/>
                <w:color w:val="FFFFFF" w:themeColor="background1"/>
                <w:sz w:val="16"/>
                <w:szCs w:val="16"/>
              </w:rPr>
            </w:pPr>
            <w:r w:rsidRPr="001B1357">
              <w:rPr>
                <w:b/>
                <w:bCs/>
                <w:color w:val="FFFFFF" w:themeColor="background1"/>
                <w:sz w:val="16"/>
                <w:szCs w:val="16"/>
              </w:rPr>
              <w:t>Hallazgos</w:t>
            </w:r>
          </w:p>
        </w:tc>
        <w:tc>
          <w:tcPr>
            <w:tcW w:w="218" w:type="pct"/>
            <w:shd w:val="clear" w:color="auto" w:fill="76922E"/>
            <w:tcMar>
              <w:top w:w="9" w:type="dxa"/>
              <w:left w:w="9" w:type="dxa"/>
              <w:bottom w:w="0" w:type="dxa"/>
              <w:right w:w="9" w:type="dxa"/>
            </w:tcMar>
            <w:textDirection w:val="btLr"/>
            <w:vAlign w:val="center"/>
            <w:hideMark/>
          </w:tcPr>
          <w:p w:rsidR="001B1357" w:rsidRPr="001B1357" w:rsidRDefault="001B1357" w:rsidP="001B1357">
            <w:pPr>
              <w:spacing w:before="100" w:beforeAutospacing="1" w:after="100" w:afterAutospacing="1" w:line="240" w:lineRule="auto"/>
              <w:jc w:val="center"/>
              <w:rPr>
                <w:b/>
                <w:bCs/>
                <w:color w:val="FFFFFF" w:themeColor="background1"/>
                <w:sz w:val="16"/>
                <w:szCs w:val="16"/>
              </w:rPr>
            </w:pPr>
            <w:r w:rsidRPr="001B1357">
              <w:rPr>
                <w:b/>
                <w:bCs/>
                <w:color w:val="FFFFFF" w:themeColor="background1"/>
                <w:sz w:val="16"/>
                <w:szCs w:val="16"/>
              </w:rPr>
              <w:t>Actividades</w:t>
            </w:r>
          </w:p>
        </w:tc>
        <w:tc>
          <w:tcPr>
            <w:tcW w:w="725" w:type="pct"/>
            <w:shd w:val="clear" w:color="auto" w:fill="76922E"/>
            <w:tcMar>
              <w:top w:w="9" w:type="dxa"/>
              <w:left w:w="9" w:type="dxa"/>
              <w:bottom w:w="0" w:type="dxa"/>
              <w:right w:w="9" w:type="dxa"/>
            </w:tcMar>
            <w:vAlign w:val="center"/>
            <w:hideMark/>
          </w:tcPr>
          <w:p w:rsidR="001B1357" w:rsidRPr="001B1357" w:rsidRDefault="001B1357" w:rsidP="001B1357">
            <w:pPr>
              <w:spacing w:before="100" w:beforeAutospacing="1" w:after="100" w:afterAutospacing="1" w:line="240" w:lineRule="auto"/>
              <w:jc w:val="center"/>
              <w:rPr>
                <w:color w:val="FFFFFF" w:themeColor="background1"/>
                <w:sz w:val="16"/>
                <w:szCs w:val="16"/>
              </w:rPr>
            </w:pPr>
            <w:r w:rsidRPr="001B1357">
              <w:rPr>
                <w:b/>
                <w:bCs/>
                <w:color w:val="FFFFFF" w:themeColor="background1"/>
                <w:sz w:val="16"/>
                <w:szCs w:val="16"/>
              </w:rPr>
              <w:t>Cumplimiento pm CGR</w:t>
            </w:r>
          </w:p>
        </w:tc>
        <w:tc>
          <w:tcPr>
            <w:tcW w:w="655" w:type="pct"/>
            <w:shd w:val="clear" w:color="auto" w:fill="76922E"/>
            <w:tcMar>
              <w:top w:w="9" w:type="dxa"/>
              <w:left w:w="9" w:type="dxa"/>
              <w:bottom w:w="0" w:type="dxa"/>
              <w:right w:w="9" w:type="dxa"/>
            </w:tcMar>
            <w:vAlign w:val="center"/>
            <w:hideMark/>
          </w:tcPr>
          <w:p w:rsidR="001B1357" w:rsidRPr="001B1357" w:rsidRDefault="001B1357" w:rsidP="001B1357">
            <w:pPr>
              <w:spacing w:before="100" w:beforeAutospacing="1" w:after="100" w:afterAutospacing="1" w:line="240" w:lineRule="auto"/>
              <w:jc w:val="center"/>
              <w:rPr>
                <w:b/>
                <w:bCs/>
                <w:color w:val="FFFFFF" w:themeColor="background1"/>
                <w:sz w:val="16"/>
                <w:szCs w:val="16"/>
              </w:rPr>
            </w:pPr>
            <w:r w:rsidRPr="001B1357">
              <w:rPr>
                <w:b/>
                <w:bCs/>
                <w:color w:val="FFFFFF" w:themeColor="background1"/>
                <w:sz w:val="16"/>
                <w:szCs w:val="16"/>
              </w:rPr>
              <w:t>Avance</w:t>
            </w:r>
          </w:p>
          <w:p w:rsidR="001B1357" w:rsidRPr="001B1357" w:rsidRDefault="001B1357" w:rsidP="001B1357">
            <w:pPr>
              <w:spacing w:before="100" w:beforeAutospacing="1" w:after="100" w:afterAutospacing="1" w:line="240" w:lineRule="auto"/>
              <w:jc w:val="center"/>
              <w:rPr>
                <w:color w:val="FFFFFF" w:themeColor="background1"/>
                <w:sz w:val="16"/>
                <w:szCs w:val="16"/>
              </w:rPr>
            </w:pPr>
            <w:r w:rsidRPr="001B1357">
              <w:rPr>
                <w:b/>
                <w:bCs/>
                <w:color w:val="FFFFFF" w:themeColor="background1"/>
                <w:sz w:val="16"/>
                <w:szCs w:val="16"/>
              </w:rPr>
              <w:t>General pm CGR</w:t>
            </w:r>
          </w:p>
        </w:tc>
        <w:tc>
          <w:tcPr>
            <w:tcW w:w="725" w:type="pct"/>
            <w:shd w:val="clear" w:color="auto" w:fill="76922E"/>
            <w:tcMar>
              <w:top w:w="12" w:type="dxa"/>
              <w:left w:w="12" w:type="dxa"/>
              <w:bottom w:w="0" w:type="dxa"/>
              <w:right w:w="12" w:type="dxa"/>
            </w:tcMar>
            <w:vAlign w:val="center"/>
            <w:hideMark/>
          </w:tcPr>
          <w:p w:rsidR="001B1357" w:rsidRPr="001B1357" w:rsidRDefault="001B1357" w:rsidP="001B1357">
            <w:pPr>
              <w:spacing w:before="100" w:beforeAutospacing="1" w:after="100" w:afterAutospacing="1" w:line="240" w:lineRule="auto"/>
              <w:jc w:val="center"/>
              <w:rPr>
                <w:color w:val="FFFFFF" w:themeColor="background1"/>
                <w:sz w:val="16"/>
                <w:szCs w:val="16"/>
              </w:rPr>
            </w:pPr>
            <w:r w:rsidRPr="001B1357">
              <w:rPr>
                <w:b/>
                <w:bCs/>
                <w:color w:val="FFFFFF" w:themeColor="background1"/>
                <w:sz w:val="16"/>
                <w:szCs w:val="16"/>
              </w:rPr>
              <w:t>Actividades programadas</w:t>
            </w:r>
          </w:p>
        </w:tc>
        <w:tc>
          <w:tcPr>
            <w:tcW w:w="652" w:type="pct"/>
            <w:shd w:val="clear" w:color="auto" w:fill="76922E"/>
            <w:tcMar>
              <w:top w:w="12" w:type="dxa"/>
              <w:left w:w="12" w:type="dxa"/>
              <w:bottom w:w="0" w:type="dxa"/>
              <w:right w:w="12" w:type="dxa"/>
            </w:tcMar>
            <w:vAlign w:val="center"/>
            <w:hideMark/>
          </w:tcPr>
          <w:p w:rsidR="001B1357" w:rsidRPr="001B1357" w:rsidRDefault="001B1357" w:rsidP="001B1357">
            <w:pPr>
              <w:spacing w:before="100" w:beforeAutospacing="1" w:after="100" w:afterAutospacing="1" w:line="240" w:lineRule="auto"/>
              <w:jc w:val="center"/>
              <w:rPr>
                <w:color w:val="FFFFFF" w:themeColor="background1"/>
                <w:sz w:val="16"/>
                <w:szCs w:val="16"/>
              </w:rPr>
            </w:pPr>
            <w:r w:rsidRPr="001B1357">
              <w:rPr>
                <w:b/>
                <w:bCs/>
                <w:color w:val="FFFFFF" w:themeColor="background1"/>
                <w:sz w:val="16"/>
                <w:szCs w:val="16"/>
              </w:rPr>
              <w:t>Actividades cumplidas</w:t>
            </w:r>
          </w:p>
        </w:tc>
        <w:tc>
          <w:tcPr>
            <w:tcW w:w="586" w:type="pct"/>
            <w:shd w:val="clear" w:color="auto" w:fill="76922E"/>
            <w:tcMar>
              <w:top w:w="12" w:type="dxa"/>
              <w:left w:w="12" w:type="dxa"/>
              <w:bottom w:w="0" w:type="dxa"/>
              <w:right w:w="12" w:type="dxa"/>
            </w:tcMar>
            <w:vAlign w:val="center"/>
            <w:hideMark/>
          </w:tcPr>
          <w:p w:rsidR="001B1357" w:rsidRPr="001B1357" w:rsidRDefault="001B1357" w:rsidP="001B1357">
            <w:pPr>
              <w:spacing w:before="100" w:beforeAutospacing="1" w:after="100" w:afterAutospacing="1" w:line="240" w:lineRule="auto"/>
              <w:jc w:val="center"/>
              <w:rPr>
                <w:color w:val="FFFFFF" w:themeColor="background1"/>
                <w:sz w:val="16"/>
                <w:szCs w:val="16"/>
              </w:rPr>
            </w:pPr>
            <w:r w:rsidRPr="001B1357">
              <w:rPr>
                <w:b/>
                <w:bCs/>
                <w:color w:val="FFFFFF" w:themeColor="background1"/>
                <w:sz w:val="16"/>
                <w:szCs w:val="16"/>
              </w:rPr>
              <w:t>Resultado indicador Diciembre</w:t>
            </w:r>
          </w:p>
        </w:tc>
      </w:tr>
      <w:tr w:rsidR="001B1357" w:rsidTr="001B1357">
        <w:trPr>
          <w:trHeight w:val="279"/>
        </w:trPr>
        <w:tc>
          <w:tcPr>
            <w:tcW w:w="1222" w:type="pct"/>
            <w:shd w:val="clear" w:color="auto" w:fill="FFFFFF"/>
            <w:tcMar>
              <w:top w:w="12" w:type="dxa"/>
              <w:left w:w="12" w:type="dxa"/>
              <w:bottom w:w="0" w:type="dxa"/>
              <w:right w:w="12" w:type="dxa"/>
            </w:tcMa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Dirección Administrativa</w:t>
            </w:r>
          </w:p>
        </w:tc>
        <w:tc>
          <w:tcPr>
            <w:tcW w:w="218" w:type="pct"/>
            <w:shd w:val="clear" w:color="auto" w:fill="FFFFFF"/>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29</w:t>
            </w:r>
          </w:p>
        </w:tc>
        <w:tc>
          <w:tcPr>
            <w:tcW w:w="218" w:type="pct"/>
            <w:shd w:val="clear" w:color="auto" w:fill="FFFFFF"/>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64</w:t>
            </w:r>
          </w:p>
        </w:tc>
        <w:tc>
          <w:tcPr>
            <w:tcW w:w="725" w:type="pct"/>
            <w:shd w:val="clear" w:color="auto" w:fill="FFFFFF"/>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86,6%</w:t>
            </w:r>
          </w:p>
        </w:tc>
        <w:tc>
          <w:tcPr>
            <w:tcW w:w="655" w:type="pct"/>
            <w:shd w:val="clear" w:color="auto" w:fill="FFFFFF"/>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51,9%</w:t>
            </w:r>
          </w:p>
        </w:tc>
        <w:tc>
          <w:tcPr>
            <w:tcW w:w="725" w:type="pct"/>
            <w:shd w:val="clear" w:color="auto" w:fill="FFFFFF"/>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26</w:t>
            </w:r>
          </w:p>
        </w:tc>
        <w:tc>
          <w:tcPr>
            <w:tcW w:w="652" w:type="pct"/>
            <w:shd w:val="clear" w:color="auto" w:fill="FFFFFF"/>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20</w:t>
            </w:r>
          </w:p>
        </w:tc>
        <w:tc>
          <w:tcPr>
            <w:tcW w:w="586" w:type="pct"/>
            <w:shd w:val="clear" w:color="auto" w:fill="E3C800"/>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76,92%</w:t>
            </w:r>
          </w:p>
        </w:tc>
      </w:tr>
      <w:tr w:rsidR="001B1357" w:rsidTr="001B1357">
        <w:trPr>
          <w:trHeight w:val="247"/>
        </w:trPr>
        <w:tc>
          <w:tcPr>
            <w:tcW w:w="1222" w:type="pct"/>
            <w:shd w:val="clear" w:color="auto" w:fill="FFFFFF"/>
            <w:tcMar>
              <w:top w:w="12" w:type="dxa"/>
              <w:left w:w="12" w:type="dxa"/>
              <w:bottom w:w="0" w:type="dxa"/>
              <w:right w:w="12" w:type="dxa"/>
            </w:tcMar>
            <w:hideMark/>
          </w:tcPr>
          <w:p w:rsidR="001B1357" w:rsidRPr="001B1357" w:rsidRDefault="001B1357" w:rsidP="001B1357">
            <w:pPr>
              <w:spacing w:after="0" w:line="240" w:lineRule="auto"/>
              <w:jc w:val="both"/>
              <w:rPr>
                <w:rFonts w:cs="Arial"/>
                <w:sz w:val="18"/>
                <w:szCs w:val="20"/>
                <w:lang w:eastAsia="es-ES"/>
              </w:rPr>
            </w:pPr>
            <w:r>
              <w:rPr>
                <w:rFonts w:cs="Arial"/>
                <w:sz w:val="18"/>
                <w:szCs w:val="20"/>
                <w:lang w:eastAsia="es-ES"/>
              </w:rPr>
              <w:t>Dirección d</w:t>
            </w:r>
            <w:r w:rsidRPr="001B1357">
              <w:rPr>
                <w:rFonts w:cs="Arial"/>
                <w:sz w:val="18"/>
                <w:szCs w:val="20"/>
                <w:lang w:eastAsia="es-ES"/>
              </w:rPr>
              <w:t>e Gestión Humana</w:t>
            </w:r>
          </w:p>
        </w:tc>
        <w:tc>
          <w:tcPr>
            <w:tcW w:w="218" w:type="pct"/>
            <w:shd w:val="clear" w:color="auto" w:fill="FFFFFF"/>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2</w:t>
            </w:r>
          </w:p>
        </w:tc>
        <w:tc>
          <w:tcPr>
            <w:tcW w:w="218" w:type="pct"/>
            <w:shd w:val="clear" w:color="auto" w:fill="FFFFFF"/>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4</w:t>
            </w:r>
          </w:p>
        </w:tc>
        <w:tc>
          <w:tcPr>
            <w:tcW w:w="725" w:type="pct"/>
            <w:shd w:val="clear" w:color="auto" w:fill="FFFFFF"/>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100,0%</w:t>
            </w:r>
          </w:p>
        </w:tc>
        <w:tc>
          <w:tcPr>
            <w:tcW w:w="655" w:type="pct"/>
            <w:shd w:val="clear" w:color="auto" w:fill="FFFFFF"/>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60,9%</w:t>
            </w:r>
          </w:p>
        </w:tc>
        <w:tc>
          <w:tcPr>
            <w:tcW w:w="725" w:type="pct"/>
            <w:shd w:val="clear" w:color="auto" w:fill="FFFFFF"/>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2</w:t>
            </w:r>
          </w:p>
        </w:tc>
        <w:tc>
          <w:tcPr>
            <w:tcW w:w="652" w:type="pct"/>
            <w:shd w:val="clear" w:color="auto" w:fill="FFFFFF"/>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2</w:t>
            </w:r>
          </w:p>
        </w:tc>
        <w:tc>
          <w:tcPr>
            <w:tcW w:w="586" w:type="pct"/>
            <w:shd w:val="clear" w:color="auto" w:fill="00B0F0"/>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100,00%</w:t>
            </w:r>
          </w:p>
        </w:tc>
      </w:tr>
      <w:tr w:rsidR="001B1357" w:rsidTr="001B1357">
        <w:trPr>
          <w:trHeight w:val="247"/>
        </w:trPr>
        <w:tc>
          <w:tcPr>
            <w:tcW w:w="1222" w:type="pct"/>
            <w:tcMar>
              <w:top w:w="12" w:type="dxa"/>
              <w:left w:w="12" w:type="dxa"/>
              <w:bottom w:w="0" w:type="dxa"/>
              <w:right w:w="12" w:type="dxa"/>
            </w:tcMar>
            <w:hideMark/>
          </w:tcPr>
          <w:p w:rsidR="001B1357" w:rsidRPr="001B1357" w:rsidRDefault="001B1357" w:rsidP="001B1357">
            <w:pPr>
              <w:spacing w:after="0" w:line="240" w:lineRule="auto"/>
              <w:jc w:val="both"/>
              <w:rPr>
                <w:rFonts w:cs="Arial"/>
                <w:sz w:val="18"/>
                <w:szCs w:val="20"/>
                <w:lang w:eastAsia="es-ES"/>
              </w:rPr>
            </w:pPr>
            <w:r>
              <w:rPr>
                <w:rFonts w:cs="Arial"/>
                <w:sz w:val="18"/>
                <w:szCs w:val="20"/>
                <w:lang w:eastAsia="es-ES"/>
              </w:rPr>
              <w:t>Dirección d</w:t>
            </w:r>
            <w:r w:rsidRPr="001B1357">
              <w:rPr>
                <w:rFonts w:cs="Arial"/>
                <w:sz w:val="18"/>
                <w:szCs w:val="20"/>
                <w:lang w:eastAsia="es-ES"/>
              </w:rPr>
              <w:t>e Contratación</w:t>
            </w:r>
          </w:p>
        </w:tc>
        <w:tc>
          <w:tcPr>
            <w:tcW w:w="218"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7</w:t>
            </w:r>
          </w:p>
        </w:tc>
        <w:tc>
          <w:tcPr>
            <w:tcW w:w="218"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12</w:t>
            </w:r>
          </w:p>
        </w:tc>
        <w:tc>
          <w:tcPr>
            <w:tcW w:w="72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88,5%</w:t>
            </w:r>
          </w:p>
        </w:tc>
        <w:tc>
          <w:tcPr>
            <w:tcW w:w="65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75,1%</w:t>
            </w:r>
          </w:p>
        </w:tc>
        <w:tc>
          <w:tcPr>
            <w:tcW w:w="72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7</w:t>
            </w:r>
          </w:p>
        </w:tc>
        <w:tc>
          <w:tcPr>
            <w:tcW w:w="652"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6</w:t>
            </w:r>
          </w:p>
        </w:tc>
        <w:tc>
          <w:tcPr>
            <w:tcW w:w="586" w:type="pct"/>
            <w:shd w:val="clear" w:color="auto" w:fill="E3C800"/>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85,71%</w:t>
            </w:r>
          </w:p>
        </w:tc>
      </w:tr>
      <w:tr w:rsidR="001B1357" w:rsidTr="001B1357">
        <w:trPr>
          <w:trHeight w:val="247"/>
        </w:trPr>
        <w:tc>
          <w:tcPr>
            <w:tcW w:w="1222" w:type="pct"/>
            <w:tcMar>
              <w:top w:w="12" w:type="dxa"/>
              <w:left w:w="12" w:type="dxa"/>
              <w:bottom w:w="0" w:type="dxa"/>
              <w:right w:w="12" w:type="dxa"/>
            </w:tcMar>
            <w:hideMark/>
          </w:tcPr>
          <w:p w:rsidR="001B1357" w:rsidRPr="001B1357" w:rsidRDefault="00404602" w:rsidP="001B1357">
            <w:pPr>
              <w:spacing w:after="0" w:line="240" w:lineRule="auto"/>
              <w:jc w:val="both"/>
              <w:rPr>
                <w:rFonts w:cs="Arial"/>
                <w:sz w:val="18"/>
                <w:szCs w:val="20"/>
                <w:lang w:eastAsia="es-ES"/>
              </w:rPr>
            </w:pPr>
            <w:r>
              <w:rPr>
                <w:rFonts w:cs="Arial"/>
                <w:sz w:val="18"/>
                <w:szCs w:val="20"/>
                <w:lang w:eastAsia="es-ES"/>
              </w:rPr>
              <w:t>Dirección d</w:t>
            </w:r>
            <w:r w:rsidR="001B1357" w:rsidRPr="001B1357">
              <w:rPr>
                <w:rFonts w:cs="Arial"/>
                <w:sz w:val="18"/>
                <w:szCs w:val="20"/>
                <w:lang w:eastAsia="es-ES"/>
              </w:rPr>
              <w:t xml:space="preserve">e Información </w:t>
            </w:r>
            <w:r>
              <w:rPr>
                <w:rFonts w:cs="Arial"/>
                <w:sz w:val="18"/>
                <w:szCs w:val="20"/>
                <w:lang w:eastAsia="es-ES"/>
              </w:rPr>
              <w:t>y</w:t>
            </w:r>
            <w:r w:rsidR="001B1357" w:rsidRPr="001B1357">
              <w:rPr>
                <w:rFonts w:cs="Arial"/>
                <w:sz w:val="18"/>
                <w:szCs w:val="20"/>
                <w:lang w:eastAsia="es-ES"/>
              </w:rPr>
              <w:t xml:space="preserve"> Tecnología</w:t>
            </w:r>
          </w:p>
        </w:tc>
        <w:tc>
          <w:tcPr>
            <w:tcW w:w="218"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6</w:t>
            </w:r>
          </w:p>
        </w:tc>
        <w:tc>
          <w:tcPr>
            <w:tcW w:w="218"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17</w:t>
            </w:r>
          </w:p>
        </w:tc>
        <w:tc>
          <w:tcPr>
            <w:tcW w:w="72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100,0%</w:t>
            </w:r>
          </w:p>
        </w:tc>
        <w:tc>
          <w:tcPr>
            <w:tcW w:w="65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44,7%</w:t>
            </w:r>
          </w:p>
        </w:tc>
        <w:tc>
          <w:tcPr>
            <w:tcW w:w="72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11</w:t>
            </w:r>
          </w:p>
        </w:tc>
        <w:tc>
          <w:tcPr>
            <w:tcW w:w="652"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11</w:t>
            </w:r>
          </w:p>
        </w:tc>
        <w:tc>
          <w:tcPr>
            <w:tcW w:w="586" w:type="pct"/>
            <w:shd w:val="clear" w:color="auto" w:fill="00B0F0"/>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100,00%</w:t>
            </w:r>
          </w:p>
        </w:tc>
      </w:tr>
      <w:tr w:rsidR="001B1357" w:rsidTr="001B1357">
        <w:trPr>
          <w:trHeight w:val="247"/>
        </w:trPr>
        <w:tc>
          <w:tcPr>
            <w:tcW w:w="1222" w:type="pct"/>
            <w:tcMar>
              <w:top w:w="12" w:type="dxa"/>
              <w:left w:w="12" w:type="dxa"/>
              <w:bottom w:w="0" w:type="dxa"/>
              <w:right w:w="12" w:type="dxa"/>
            </w:tcMar>
            <w:hideMark/>
          </w:tcPr>
          <w:p w:rsidR="001B1357" w:rsidRPr="001B1357" w:rsidRDefault="00404602" w:rsidP="001B1357">
            <w:pPr>
              <w:spacing w:after="0" w:line="240" w:lineRule="auto"/>
              <w:jc w:val="both"/>
              <w:rPr>
                <w:rFonts w:cs="Arial"/>
                <w:sz w:val="18"/>
                <w:szCs w:val="20"/>
                <w:lang w:eastAsia="es-ES"/>
              </w:rPr>
            </w:pPr>
            <w:r>
              <w:rPr>
                <w:rFonts w:cs="Arial"/>
                <w:sz w:val="18"/>
                <w:szCs w:val="20"/>
                <w:lang w:eastAsia="es-ES"/>
              </w:rPr>
              <w:t>Dirección de Planeación y Control a l</w:t>
            </w:r>
            <w:r w:rsidR="001B1357" w:rsidRPr="001B1357">
              <w:rPr>
                <w:rFonts w:cs="Arial"/>
                <w:sz w:val="18"/>
                <w:szCs w:val="20"/>
                <w:lang w:eastAsia="es-ES"/>
              </w:rPr>
              <w:t>a Gestión</w:t>
            </w:r>
          </w:p>
        </w:tc>
        <w:tc>
          <w:tcPr>
            <w:tcW w:w="218"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29</w:t>
            </w:r>
          </w:p>
        </w:tc>
        <w:tc>
          <w:tcPr>
            <w:tcW w:w="218"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89</w:t>
            </w:r>
          </w:p>
        </w:tc>
        <w:tc>
          <w:tcPr>
            <w:tcW w:w="72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100,0%</w:t>
            </w:r>
          </w:p>
        </w:tc>
        <w:tc>
          <w:tcPr>
            <w:tcW w:w="65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62,1%</w:t>
            </w:r>
          </w:p>
        </w:tc>
        <w:tc>
          <w:tcPr>
            <w:tcW w:w="72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29</w:t>
            </w:r>
          </w:p>
        </w:tc>
        <w:tc>
          <w:tcPr>
            <w:tcW w:w="652"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29</w:t>
            </w:r>
          </w:p>
        </w:tc>
        <w:tc>
          <w:tcPr>
            <w:tcW w:w="586" w:type="pct"/>
            <w:shd w:val="clear" w:color="auto" w:fill="00B0F0"/>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100,00%</w:t>
            </w:r>
          </w:p>
        </w:tc>
      </w:tr>
      <w:tr w:rsidR="001B1357" w:rsidTr="001B1357">
        <w:trPr>
          <w:trHeight w:val="247"/>
        </w:trPr>
        <w:tc>
          <w:tcPr>
            <w:tcW w:w="1222" w:type="pct"/>
            <w:tcMar>
              <w:top w:w="12" w:type="dxa"/>
              <w:left w:w="12" w:type="dxa"/>
              <w:bottom w:w="0" w:type="dxa"/>
              <w:right w:w="12" w:type="dxa"/>
            </w:tcMar>
            <w:hideMark/>
          </w:tcPr>
          <w:p w:rsidR="001B1357" w:rsidRPr="001B1357" w:rsidRDefault="00404602" w:rsidP="001B1357">
            <w:pPr>
              <w:spacing w:after="0" w:line="240" w:lineRule="auto"/>
              <w:jc w:val="both"/>
              <w:rPr>
                <w:rFonts w:cs="Arial"/>
                <w:sz w:val="18"/>
                <w:szCs w:val="20"/>
                <w:lang w:eastAsia="es-ES"/>
              </w:rPr>
            </w:pPr>
            <w:r>
              <w:rPr>
                <w:rFonts w:cs="Arial"/>
                <w:sz w:val="18"/>
                <w:szCs w:val="20"/>
                <w:lang w:eastAsia="es-ES"/>
              </w:rPr>
              <w:t>Dirección d</w:t>
            </w:r>
            <w:r w:rsidR="001B1357" w:rsidRPr="001B1357">
              <w:rPr>
                <w:rFonts w:cs="Arial"/>
                <w:sz w:val="18"/>
                <w:szCs w:val="20"/>
                <w:lang w:eastAsia="es-ES"/>
              </w:rPr>
              <w:t>e Primera Infancia</w:t>
            </w:r>
          </w:p>
        </w:tc>
        <w:tc>
          <w:tcPr>
            <w:tcW w:w="218"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66</w:t>
            </w:r>
          </w:p>
        </w:tc>
        <w:tc>
          <w:tcPr>
            <w:tcW w:w="218"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183</w:t>
            </w:r>
          </w:p>
        </w:tc>
        <w:tc>
          <w:tcPr>
            <w:tcW w:w="72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98,7%</w:t>
            </w:r>
          </w:p>
        </w:tc>
        <w:tc>
          <w:tcPr>
            <w:tcW w:w="65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31,8%</w:t>
            </w:r>
          </w:p>
        </w:tc>
        <w:tc>
          <w:tcPr>
            <w:tcW w:w="72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87</w:t>
            </w:r>
          </w:p>
        </w:tc>
        <w:tc>
          <w:tcPr>
            <w:tcW w:w="652"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85</w:t>
            </w:r>
          </w:p>
        </w:tc>
        <w:tc>
          <w:tcPr>
            <w:tcW w:w="586" w:type="pct"/>
            <w:shd w:val="clear" w:color="auto" w:fill="60A917"/>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97,70%</w:t>
            </w:r>
          </w:p>
        </w:tc>
      </w:tr>
      <w:tr w:rsidR="001B1357" w:rsidTr="001B1357">
        <w:trPr>
          <w:trHeight w:val="247"/>
        </w:trPr>
        <w:tc>
          <w:tcPr>
            <w:tcW w:w="1222" w:type="pct"/>
            <w:tcMar>
              <w:top w:w="12" w:type="dxa"/>
              <w:left w:w="12" w:type="dxa"/>
              <w:bottom w:w="0" w:type="dxa"/>
              <w:right w:w="12" w:type="dxa"/>
            </w:tcMar>
            <w:hideMark/>
          </w:tcPr>
          <w:p w:rsidR="001B1357" w:rsidRPr="001B1357" w:rsidRDefault="00404602" w:rsidP="001B1357">
            <w:pPr>
              <w:spacing w:after="0" w:line="240" w:lineRule="auto"/>
              <w:jc w:val="both"/>
              <w:rPr>
                <w:rFonts w:cs="Arial"/>
                <w:sz w:val="18"/>
                <w:szCs w:val="20"/>
                <w:lang w:eastAsia="es-ES"/>
              </w:rPr>
            </w:pPr>
            <w:r>
              <w:rPr>
                <w:rFonts w:cs="Arial"/>
                <w:sz w:val="18"/>
                <w:szCs w:val="20"/>
                <w:lang w:eastAsia="es-ES"/>
              </w:rPr>
              <w:t>Dirección d</w:t>
            </w:r>
            <w:r w:rsidR="001B1357" w:rsidRPr="001B1357">
              <w:rPr>
                <w:rFonts w:cs="Arial"/>
                <w:sz w:val="18"/>
                <w:szCs w:val="20"/>
                <w:lang w:eastAsia="es-ES"/>
              </w:rPr>
              <w:t xml:space="preserve">e Familia </w:t>
            </w:r>
            <w:r>
              <w:rPr>
                <w:rFonts w:cs="Arial"/>
                <w:sz w:val="18"/>
                <w:szCs w:val="20"/>
                <w:lang w:eastAsia="es-ES"/>
              </w:rPr>
              <w:t>y</w:t>
            </w:r>
            <w:r w:rsidR="001B1357" w:rsidRPr="001B1357">
              <w:rPr>
                <w:rFonts w:cs="Arial"/>
                <w:sz w:val="18"/>
                <w:szCs w:val="20"/>
                <w:lang w:eastAsia="es-ES"/>
              </w:rPr>
              <w:t xml:space="preserve"> Comunidades</w:t>
            </w:r>
          </w:p>
        </w:tc>
        <w:tc>
          <w:tcPr>
            <w:tcW w:w="218"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3</w:t>
            </w:r>
          </w:p>
        </w:tc>
        <w:tc>
          <w:tcPr>
            <w:tcW w:w="218"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9</w:t>
            </w:r>
          </w:p>
        </w:tc>
        <w:tc>
          <w:tcPr>
            <w:tcW w:w="72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100,0%</w:t>
            </w:r>
          </w:p>
        </w:tc>
        <w:tc>
          <w:tcPr>
            <w:tcW w:w="65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68,1%</w:t>
            </w:r>
          </w:p>
        </w:tc>
        <w:tc>
          <w:tcPr>
            <w:tcW w:w="72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6</w:t>
            </w:r>
          </w:p>
        </w:tc>
        <w:tc>
          <w:tcPr>
            <w:tcW w:w="652"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6</w:t>
            </w:r>
          </w:p>
        </w:tc>
        <w:tc>
          <w:tcPr>
            <w:tcW w:w="586" w:type="pct"/>
            <w:shd w:val="clear" w:color="auto" w:fill="00B0F0"/>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100,00%</w:t>
            </w:r>
          </w:p>
        </w:tc>
      </w:tr>
      <w:tr w:rsidR="001B1357" w:rsidTr="001B1357">
        <w:trPr>
          <w:trHeight w:val="247"/>
        </w:trPr>
        <w:tc>
          <w:tcPr>
            <w:tcW w:w="1222" w:type="pct"/>
            <w:tcMar>
              <w:top w:w="12" w:type="dxa"/>
              <w:left w:w="12" w:type="dxa"/>
              <w:bottom w:w="0" w:type="dxa"/>
              <w:right w:w="12" w:type="dxa"/>
            </w:tcMar>
            <w:hideMark/>
          </w:tcPr>
          <w:p w:rsidR="001B1357" w:rsidRPr="001B1357" w:rsidRDefault="00404602" w:rsidP="001B1357">
            <w:pPr>
              <w:spacing w:after="0" w:line="240" w:lineRule="auto"/>
              <w:jc w:val="both"/>
              <w:rPr>
                <w:rFonts w:cs="Arial"/>
                <w:sz w:val="18"/>
                <w:szCs w:val="20"/>
                <w:lang w:eastAsia="es-ES"/>
              </w:rPr>
            </w:pPr>
            <w:r>
              <w:rPr>
                <w:rFonts w:cs="Arial"/>
                <w:sz w:val="18"/>
                <w:szCs w:val="20"/>
                <w:lang w:eastAsia="es-ES"/>
              </w:rPr>
              <w:t>Dirección d</w:t>
            </w:r>
            <w:r w:rsidR="001B1357" w:rsidRPr="001B1357">
              <w:rPr>
                <w:rFonts w:cs="Arial"/>
                <w:sz w:val="18"/>
                <w:szCs w:val="20"/>
                <w:lang w:eastAsia="es-ES"/>
              </w:rPr>
              <w:t xml:space="preserve">e Niñez </w:t>
            </w:r>
            <w:r>
              <w:rPr>
                <w:rFonts w:cs="Arial"/>
                <w:sz w:val="18"/>
                <w:szCs w:val="20"/>
                <w:lang w:eastAsia="es-ES"/>
              </w:rPr>
              <w:t>y</w:t>
            </w:r>
            <w:r w:rsidR="001B1357" w:rsidRPr="001B1357">
              <w:rPr>
                <w:rFonts w:cs="Arial"/>
                <w:sz w:val="18"/>
                <w:szCs w:val="20"/>
                <w:lang w:eastAsia="es-ES"/>
              </w:rPr>
              <w:t xml:space="preserve"> Adolescencia</w:t>
            </w:r>
          </w:p>
        </w:tc>
        <w:tc>
          <w:tcPr>
            <w:tcW w:w="218"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2</w:t>
            </w:r>
          </w:p>
        </w:tc>
        <w:tc>
          <w:tcPr>
            <w:tcW w:w="218"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5</w:t>
            </w:r>
          </w:p>
        </w:tc>
        <w:tc>
          <w:tcPr>
            <w:tcW w:w="72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100,0%</w:t>
            </w:r>
          </w:p>
        </w:tc>
        <w:tc>
          <w:tcPr>
            <w:tcW w:w="65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21,0%</w:t>
            </w:r>
          </w:p>
        </w:tc>
        <w:tc>
          <w:tcPr>
            <w:tcW w:w="72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3</w:t>
            </w:r>
          </w:p>
        </w:tc>
        <w:tc>
          <w:tcPr>
            <w:tcW w:w="652"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3</w:t>
            </w:r>
          </w:p>
        </w:tc>
        <w:tc>
          <w:tcPr>
            <w:tcW w:w="586" w:type="pct"/>
            <w:shd w:val="clear" w:color="auto" w:fill="00B0F0"/>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100,00%</w:t>
            </w:r>
          </w:p>
        </w:tc>
      </w:tr>
      <w:tr w:rsidR="001B1357" w:rsidTr="001B1357">
        <w:trPr>
          <w:trHeight w:val="247"/>
        </w:trPr>
        <w:tc>
          <w:tcPr>
            <w:tcW w:w="1222" w:type="pct"/>
            <w:tcMar>
              <w:top w:w="12" w:type="dxa"/>
              <w:left w:w="12" w:type="dxa"/>
              <w:bottom w:w="0" w:type="dxa"/>
              <w:right w:w="12" w:type="dxa"/>
            </w:tcMar>
            <w:hideMark/>
          </w:tcPr>
          <w:p w:rsidR="001B1357" w:rsidRPr="001B1357" w:rsidRDefault="00404602" w:rsidP="001B1357">
            <w:pPr>
              <w:spacing w:after="0" w:line="240" w:lineRule="auto"/>
              <w:jc w:val="both"/>
              <w:rPr>
                <w:rFonts w:cs="Arial"/>
                <w:sz w:val="18"/>
                <w:szCs w:val="20"/>
                <w:lang w:eastAsia="es-ES"/>
              </w:rPr>
            </w:pPr>
            <w:r>
              <w:rPr>
                <w:rFonts w:cs="Arial"/>
                <w:sz w:val="18"/>
                <w:szCs w:val="20"/>
                <w:lang w:eastAsia="es-ES"/>
              </w:rPr>
              <w:t>Dirección d</w:t>
            </w:r>
            <w:r w:rsidR="001B1357" w:rsidRPr="001B1357">
              <w:rPr>
                <w:rFonts w:cs="Arial"/>
                <w:sz w:val="18"/>
                <w:szCs w:val="20"/>
                <w:lang w:eastAsia="es-ES"/>
              </w:rPr>
              <w:t>e Nutrición</w:t>
            </w:r>
          </w:p>
        </w:tc>
        <w:tc>
          <w:tcPr>
            <w:tcW w:w="218"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5</w:t>
            </w:r>
          </w:p>
        </w:tc>
        <w:tc>
          <w:tcPr>
            <w:tcW w:w="218"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11</w:t>
            </w:r>
          </w:p>
        </w:tc>
        <w:tc>
          <w:tcPr>
            <w:tcW w:w="72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100,0%</w:t>
            </w:r>
          </w:p>
        </w:tc>
        <w:tc>
          <w:tcPr>
            <w:tcW w:w="65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38,6%</w:t>
            </w:r>
          </w:p>
        </w:tc>
        <w:tc>
          <w:tcPr>
            <w:tcW w:w="72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10</w:t>
            </w:r>
          </w:p>
        </w:tc>
        <w:tc>
          <w:tcPr>
            <w:tcW w:w="652"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10</w:t>
            </w:r>
          </w:p>
        </w:tc>
        <w:tc>
          <w:tcPr>
            <w:tcW w:w="586" w:type="pct"/>
            <w:shd w:val="clear" w:color="auto" w:fill="00B0F0"/>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100,00%</w:t>
            </w:r>
          </w:p>
        </w:tc>
      </w:tr>
      <w:tr w:rsidR="001B1357" w:rsidTr="001B1357">
        <w:trPr>
          <w:trHeight w:val="247"/>
        </w:trPr>
        <w:tc>
          <w:tcPr>
            <w:tcW w:w="1222" w:type="pct"/>
            <w:tcMar>
              <w:top w:w="12" w:type="dxa"/>
              <w:left w:w="12" w:type="dxa"/>
              <w:bottom w:w="0" w:type="dxa"/>
              <w:right w:w="12" w:type="dxa"/>
            </w:tcMar>
            <w:hideMark/>
          </w:tcPr>
          <w:p w:rsidR="001B1357" w:rsidRPr="001B1357" w:rsidRDefault="00404602" w:rsidP="001B1357">
            <w:pPr>
              <w:spacing w:after="0" w:line="240" w:lineRule="auto"/>
              <w:jc w:val="both"/>
              <w:rPr>
                <w:rFonts w:cs="Arial"/>
                <w:sz w:val="18"/>
                <w:szCs w:val="20"/>
                <w:lang w:eastAsia="es-ES"/>
              </w:rPr>
            </w:pPr>
            <w:r>
              <w:rPr>
                <w:rFonts w:cs="Arial"/>
                <w:sz w:val="18"/>
                <w:szCs w:val="20"/>
                <w:lang w:eastAsia="es-ES"/>
              </w:rPr>
              <w:t>Dirección d</w:t>
            </w:r>
            <w:r w:rsidR="001B1357" w:rsidRPr="001B1357">
              <w:rPr>
                <w:rFonts w:cs="Arial"/>
                <w:sz w:val="18"/>
                <w:szCs w:val="20"/>
                <w:lang w:eastAsia="es-ES"/>
              </w:rPr>
              <w:t>e Protección</w:t>
            </w:r>
          </w:p>
        </w:tc>
        <w:tc>
          <w:tcPr>
            <w:tcW w:w="218"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2</w:t>
            </w:r>
          </w:p>
        </w:tc>
        <w:tc>
          <w:tcPr>
            <w:tcW w:w="218"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8</w:t>
            </w:r>
          </w:p>
        </w:tc>
        <w:tc>
          <w:tcPr>
            <w:tcW w:w="72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N/A</w:t>
            </w:r>
          </w:p>
        </w:tc>
        <w:tc>
          <w:tcPr>
            <w:tcW w:w="65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43,7%</w:t>
            </w:r>
          </w:p>
        </w:tc>
        <w:tc>
          <w:tcPr>
            <w:tcW w:w="72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0</w:t>
            </w:r>
          </w:p>
        </w:tc>
        <w:tc>
          <w:tcPr>
            <w:tcW w:w="652"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0</w:t>
            </w:r>
          </w:p>
        </w:tc>
        <w:tc>
          <w:tcPr>
            <w:tcW w:w="586"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NA</w:t>
            </w:r>
          </w:p>
        </w:tc>
      </w:tr>
      <w:tr w:rsidR="001B1357" w:rsidTr="001B1357">
        <w:trPr>
          <w:trHeight w:val="247"/>
        </w:trPr>
        <w:tc>
          <w:tcPr>
            <w:tcW w:w="1222" w:type="pct"/>
            <w:tcMar>
              <w:top w:w="12" w:type="dxa"/>
              <w:left w:w="12" w:type="dxa"/>
              <w:bottom w:w="0" w:type="dxa"/>
              <w:right w:w="12" w:type="dxa"/>
            </w:tcMa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 xml:space="preserve">Dirección </w:t>
            </w:r>
            <w:r w:rsidR="00404602" w:rsidRPr="001B1357">
              <w:rPr>
                <w:rFonts w:cs="Arial"/>
                <w:sz w:val="18"/>
                <w:szCs w:val="20"/>
                <w:lang w:eastAsia="es-ES"/>
              </w:rPr>
              <w:t>SNBF</w:t>
            </w:r>
          </w:p>
        </w:tc>
        <w:tc>
          <w:tcPr>
            <w:tcW w:w="218"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2</w:t>
            </w:r>
          </w:p>
        </w:tc>
        <w:tc>
          <w:tcPr>
            <w:tcW w:w="218"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3</w:t>
            </w:r>
          </w:p>
        </w:tc>
        <w:tc>
          <w:tcPr>
            <w:tcW w:w="72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93,3%</w:t>
            </w:r>
          </w:p>
        </w:tc>
        <w:tc>
          <w:tcPr>
            <w:tcW w:w="65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93,3%</w:t>
            </w:r>
          </w:p>
        </w:tc>
        <w:tc>
          <w:tcPr>
            <w:tcW w:w="72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3</w:t>
            </w:r>
          </w:p>
        </w:tc>
        <w:tc>
          <w:tcPr>
            <w:tcW w:w="652"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2</w:t>
            </w:r>
          </w:p>
        </w:tc>
        <w:tc>
          <w:tcPr>
            <w:tcW w:w="586" w:type="pct"/>
            <w:shd w:val="clear" w:color="auto" w:fill="FF0000"/>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66,67%</w:t>
            </w:r>
          </w:p>
        </w:tc>
      </w:tr>
      <w:tr w:rsidR="001B1357" w:rsidTr="001B1357">
        <w:trPr>
          <w:trHeight w:val="247"/>
        </w:trPr>
        <w:tc>
          <w:tcPr>
            <w:tcW w:w="1222" w:type="pct"/>
            <w:tcMar>
              <w:top w:w="12" w:type="dxa"/>
              <w:left w:w="12" w:type="dxa"/>
              <w:bottom w:w="0" w:type="dxa"/>
              <w:right w:w="12" w:type="dxa"/>
            </w:tcMa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Dirección Financiera</w:t>
            </w:r>
          </w:p>
        </w:tc>
        <w:tc>
          <w:tcPr>
            <w:tcW w:w="218"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19</w:t>
            </w:r>
          </w:p>
        </w:tc>
        <w:tc>
          <w:tcPr>
            <w:tcW w:w="218"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55</w:t>
            </w:r>
          </w:p>
        </w:tc>
        <w:tc>
          <w:tcPr>
            <w:tcW w:w="72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69,2%</w:t>
            </w:r>
          </w:p>
        </w:tc>
        <w:tc>
          <w:tcPr>
            <w:tcW w:w="65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37,0%</w:t>
            </w:r>
          </w:p>
        </w:tc>
        <w:tc>
          <w:tcPr>
            <w:tcW w:w="72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25</w:t>
            </w:r>
          </w:p>
        </w:tc>
        <w:tc>
          <w:tcPr>
            <w:tcW w:w="652"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16</w:t>
            </w:r>
          </w:p>
        </w:tc>
        <w:tc>
          <w:tcPr>
            <w:tcW w:w="586" w:type="pct"/>
            <w:shd w:val="clear" w:color="auto" w:fill="FF0000"/>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64,00%</w:t>
            </w:r>
          </w:p>
        </w:tc>
      </w:tr>
      <w:tr w:rsidR="001B1357" w:rsidTr="001B1357">
        <w:trPr>
          <w:trHeight w:val="265"/>
        </w:trPr>
        <w:tc>
          <w:tcPr>
            <w:tcW w:w="1222" w:type="pct"/>
            <w:shd w:val="clear" w:color="auto" w:fill="A6A6A6"/>
            <w:tcMar>
              <w:top w:w="12" w:type="dxa"/>
              <w:left w:w="12" w:type="dxa"/>
              <w:bottom w:w="0" w:type="dxa"/>
              <w:right w:w="12" w:type="dxa"/>
            </w:tcMar>
            <w:hideMark/>
          </w:tcPr>
          <w:p w:rsidR="001B1357" w:rsidRPr="001B1357" w:rsidRDefault="00404602" w:rsidP="001B1357">
            <w:pPr>
              <w:spacing w:after="0" w:line="240" w:lineRule="auto"/>
              <w:jc w:val="both"/>
              <w:rPr>
                <w:rFonts w:cs="Arial"/>
                <w:sz w:val="18"/>
                <w:szCs w:val="20"/>
                <w:lang w:eastAsia="es-ES"/>
              </w:rPr>
            </w:pPr>
            <w:r>
              <w:rPr>
                <w:rFonts w:cs="Arial"/>
                <w:sz w:val="18"/>
                <w:szCs w:val="20"/>
                <w:lang w:eastAsia="es-ES"/>
              </w:rPr>
              <w:t>Dirección l</w:t>
            </w:r>
            <w:r w:rsidRPr="001B1357">
              <w:rPr>
                <w:rFonts w:cs="Arial"/>
                <w:sz w:val="18"/>
                <w:szCs w:val="20"/>
                <w:lang w:eastAsia="es-ES"/>
              </w:rPr>
              <w:t>ogística</w:t>
            </w:r>
            <w:r>
              <w:rPr>
                <w:rFonts w:cs="Arial"/>
                <w:sz w:val="18"/>
                <w:szCs w:val="20"/>
                <w:lang w:eastAsia="es-ES"/>
              </w:rPr>
              <w:t xml:space="preserve"> y d</w:t>
            </w:r>
            <w:r w:rsidR="001B1357" w:rsidRPr="001B1357">
              <w:rPr>
                <w:rFonts w:cs="Arial"/>
                <w:sz w:val="18"/>
                <w:szCs w:val="20"/>
                <w:lang w:eastAsia="es-ES"/>
              </w:rPr>
              <w:t>e Abastecimiento  Estratégico</w:t>
            </w:r>
          </w:p>
        </w:tc>
        <w:tc>
          <w:tcPr>
            <w:tcW w:w="218"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w:t>
            </w:r>
          </w:p>
        </w:tc>
        <w:tc>
          <w:tcPr>
            <w:tcW w:w="218"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w:t>
            </w:r>
          </w:p>
        </w:tc>
        <w:tc>
          <w:tcPr>
            <w:tcW w:w="725"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N/A</w:t>
            </w:r>
          </w:p>
        </w:tc>
        <w:tc>
          <w:tcPr>
            <w:tcW w:w="655"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0,0%</w:t>
            </w:r>
          </w:p>
        </w:tc>
        <w:tc>
          <w:tcPr>
            <w:tcW w:w="725"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NA</w:t>
            </w:r>
          </w:p>
        </w:tc>
        <w:tc>
          <w:tcPr>
            <w:tcW w:w="652"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NA</w:t>
            </w:r>
          </w:p>
        </w:tc>
        <w:tc>
          <w:tcPr>
            <w:tcW w:w="586"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NA</w:t>
            </w:r>
          </w:p>
        </w:tc>
      </w:tr>
      <w:tr w:rsidR="001B1357" w:rsidTr="001B1357">
        <w:trPr>
          <w:trHeight w:val="247"/>
        </w:trPr>
        <w:tc>
          <w:tcPr>
            <w:tcW w:w="1222" w:type="pct"/>
            <w:shd w:val="clear" w:color="auto" w:fill="A6A6A6"/>
            <w:tcMar>
              <w:top w:w="12" w:type="dxa"/>
              <w:left w:w="12" w:type="dxa"/>
              <w:bottom w:w="0" w:type="dxa"/>
              <w:right w:w="12" w:type="dxa"/>
            </w:tcMar>
            <w:hideMark/>
          </w:tcPr>
          <w:p w:rsidR="001B1357" w:rsidRPr="001B1357" w:rsidRDefault="00404602" w:rsidP="001B1357">
            <w:pPr>
              <w:spacing w:after="0" w:line="240" w:lineRule="auto"/>
              <w:jc w:val="both"/>
              <w:rPr>
                <w:rFonts w:cs="Arial"/>
                <w:sz w:val="18"/>
                <w:szCs w:val="20"/>
                <w:lang w:eastAsia="es-ES"/>
              </w:rPr>
            </w:pPr>
            <w:r>
              <w:rPr>
                <w:rFonts w:cs="Arial"/>
                <w:sz w:val="18"/>
                <w:szCs w:val="20"/>
                <w:lang w:eastAsia="es-ES"/>
              </w:rPr>
              <w:t>Oficina Asesora d</w:t>
            </w:r>
            <w:r w:rsidR="001B1357" w:rsidRPr="001B1357">
              <w:rPr>
                <w:rFonts w:cs="Arial"/>
                <w:sz w:val="18"/>
                <w:szCs w:val="20"/>
                <w:lang w:eastAsia="es-ES"/>
              </w:rPr>
              <w:t>e Comunicaciones</w:t>
            </w:r>
          </w:p>
        </w:tc>
        <w:tc>
          <w:tcPr>
            <w:tcW w:w="218"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w:t>
            </w:r>
          </w:p>
        </w:tc>
        <w:tc>
          <w:tcPr>
            <w:tcW w:w="218"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w:t>
            </w:r>
          </w:p>
        </w:tc>
        <w:tc>
          <w:tcPr>
            <w:tcW w:w="725"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N/A</w:t>
            </w:r>
          </w:p>
        </w:tc>
        <w:tc>
          <w:tcPr>
            <w:tcW w:w="655"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0,0%</w:t>
            </w:r>
          </w:p>
        </w:tc>
        <w:tc>
          <w:tcPr>
            <w:tcW w:w="725"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NA</w:t>
            </w:r>
          </w:p>
        </w:tc>
        <w:tc>
          <w:tcPr>
            <w:tcW w:w="652"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NA</w:t>
            </w:r>
          </w:p>
        </w:tc>
        <w:tc>
          <w:tcPr>
            <w:tcW w:w="586"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NA</w:t>
            </w:r>
          </w:p>
        </w:tc>
      </w:tr>
      <w:tr w:rsidR="001B1357" w:rsidTr="001B1357">
        <w:trPr>
          <w:trHeight w:val="247"/>
        </w:trPr>
        <w:tc>
          <w:tcPr>
            <w:tcW w:w="1222" w:type="pct"/>
            <w:tcMar>
              <w:top w:w="12" w:type="dxa"/>
              <w:left w:w="12" w:type="dxa"/>
              <w:bottom w:w="0" w:type="dxa"/>
              <w:right w:w="12" w:type="dxa"/>
            </w:tcMa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Oficina Asesora Jurídica</w:t>
            </w:r>
          </w:p>
        </w:tc>
        <w:tc>
          <w:tcPr>
            <w:tcW w:w="218"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18</w:t>
            </w:r>
          </w:p>
        </w:tc>
        <w:tc>
          <w:tcPr>
            <w:tcW w:w="218"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24</w:t>
            </w:r>
          </w:p>
        </w:tc>
        <w:tc>
          <w:tcPr>
            <w:tcW w:w="72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100,0%</w:t>
            </w:r>
          </w:p>
        </w:tc>
        <w:tc>
          <w:tcPr>
            <w:tcW w:w="65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12,7%</w:t>
            </w:r>
          </w:p>
        </w:tc>
        <w:tc>
          <w:tcPr>
            <w:tcW w:w="72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7</w:t>
            </w:r>
          </w:p>
        </w:tc>
        <w:tc>
          <w:tcPr>
            <w:tcW w:w="652"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7</w:t>
            </w:r>
          </w:p>
        </w:tc>
        <w:tc>
          <w:tcPr>
            <w:tcW w:w="586" w:type="pct"/>
            <w:shd w:val="clear" w:color="auto" w:fill="00B0F0"/>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100,00%</w:t>
            </w:r>
          </w:p>
        </w:tc>
      </w:tr>
      <w:tr w:rsidR="001B1357" w:rsidTr="001B1357">
        <w:trPr>
          <w:trHeight w:val="185"/>
        </w:trPr>
        <w:tc>
          <w:tcPr>
            <w:tcW w:w="1222" w:type="pct"/>
            <w:shd w:val="clear" w:color="auto" w:fill="A6A6A6"/>
            <w:tcMar>
              <w:top w:w="12" w:type="dxa"/>
              <w:left w:w="12" w:type="dxa"/>
              <w:bottom w:w="0" w:type="dxa"/>
              <w:right w:w="12" w:type="dxa"/>
            </w:tcMar>
            <w:hideMark/>
          </w:tcPr>
          <w:p w:rsidR="001B1357" w:rsidRPr="001B1357" w:rsidRDefault="00404602" w:rsidP="001B1357">
            <w:pPr>
              <w:spacing w:after="0" w:line="240" w:lineRule="auto"/>
              <w:jc w:val="both"/>
              <w:rPr>
                <w:rFonts w:cs="Arial"/>
                <w:sz w:val="18"/>
                <w:szCs w:val="20"/>
                <w:lang w:eastAsia="es-ES"/>
              </w:rPr>
            </w:pPr>
            <w:r>
              <w:rPr>
                <w:rFonts w:cs="Arial"/>
                <w:sz w:val="18"/>
                <w:szCs w:val="20"/>
                <w:lang w:eastAsia="es-ES"/>
              </w:rPr>
              <w:t>Oficina d</w:t>
            </w:r>
            <w:r w:rsidR="001B1357" w:rsidRPr="001B1357">
              <w:rPr>
                <w:rFonts w:cs="Arial"/>
                <w:sz w:val="18"/>
                <w:szCs w:val="20"/>
                <w:lang w:eastAsia="es-ES"/>
              </w:rPr>
              <w:t>e Control Interno Disciplinario</w:t>
            </w:r>
          </w:p>
        </w:tc>
        <w:tc>
          <w:tcPr>
            <w:tcW w:w="218"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w:t>
            </w:r>
          </w:p>
        </w:tc>
        <w:tc>
          <w:tcPr>
            <w:tcW w:w="218"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w:t>
            </w:r>
          </w:p>
        </w:tc>
        <w:tc>
          <w:tcPr>
            <w:tcW w:w="725"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N/A</w:t>
            </w:r>
          </w:p>
        </w:tc>
        <w:tc>
          <w:tcPr>
            <w:tcW w:w="655"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0,0%</w:t>
            </w:r>
          </w:p>
        </w:tc>
        <w:tc>
          <w:tcPr>
            <w:tcW w:w="725"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NA</w:t>
            </w:r>
          </w:p>
        </w:tc>
        <w:tc>
          <w:tcPr>
            <w:tcW w:w="652"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NA</w:t>
            </w:r>
          </w:p>
        </w:tc>
        <w:tc>
          <w:tcPr>
            <w:tcW w:w="586"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NA</w:t>
            </w:r>
          </w:p>
        </w:tc>
      </w:tr>
      <w:tr w:rsidR="001B1357" w:rsidTr="001B1357">
        <w:trPr>
          <w:trHeight w:val="247"/>
        </w:trPr>
        <w:tc>
          <w:tcPr>
            <w:tcW w:w="1222" w:type="pct"/>
            <w:shd w:val="clear" w:color="auto" w:fill="A6A6A6"/>
            <w:tcMar>
              <w:top w:w="12" w:type="dxa"/>
              <w:left w:w="12" w:type="dxa"/>
              <w:bottom w:w="0" w:type="dxa"/>
              <w:right w:w="12" w:type="dxa"/>
            </w:tcMar>
            <w:hideMark/>
          </w:tcPr>
          <w:p w:rsidR="001B1357" w:rsidRPr="001B1357" w:rsidRDefault="00404602" w:rsidP="001B1357">
            <w:pPr>
              <w:spacing w:after="0" w:line="240" w:lineRule="auto"/>
              <w:jc w:val="both"/>
              <w:rPr>
                <w:rFonts w:cs="Arial"/>
                <w:sz w:val="18"/>
                <w:szCs w:val="20"/>
                <w:lang w:eastAsia="es-ES"/>
              </w:rPr>
            </w:pPr>
            <w:r>
              <w:rPr>
                <w:rFonts w:cs="Arial"/>
                <w:sz w:val="18"/>
                <w:szCs w:val="20"/>
                <w:lang w:eastAsia="es-ES"/>
              </w:rPr>
              <w:t>Oficina d</w:t>
            </w:r>
            <w:r w:rsidR="001B1357" w:rsidRPr="001B1357">
              <w:rPr>
                <w:rFonts w:cs="Arial"/>
                <w:sz w:val="18"/>
                <w:szCs w:val="20"/>
                <w:lang w:eastAsia="es-ES"/>
              </w:rPr>
              <w:t xml:space="preserve">e Aseguramiento </w:t>
            </w:r>
            <w:r>
              <w:rPr>
                <w:rFonts w:cs="Arial"/>
                <w:sz w:val="18"/>
                <w:szCs w:val="20"/>
                <w:lang w:eastAsia="es-ES"/>
              </w:rPr>
              <w:t>a l</w:t>
            </w:r>
            <w:r w:rsidR="001B1357" w:rsidRPr="001B1357">
              <w:rPr>
                <w:rFonts w:cs="Arial"/>
                <w:sz w:val="18"/>
                <w:szCs w:val="20"/>
                <w:lang w:eastAsia="es-ES"/>
              </w:rPr>
              <w:t>a Calidad</w:t>
            </w:r>
          </w:p>
        </w:tc>
        <w:tc>
          <w:tcPr>
            <w:tcW w:w="218"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w:t>
            </w:r>
          </w:p>
        </w:tc>
        <w:tc>
          <w:tcPr>
            <w:tcW w:w="218"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w:t>
            </w:r>
          </w:p>
        </w:tc>
        <w:tc>
          <w:tcPr>
            <w:tcW w:w="725"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N/A</w:t>
            </w:r>
          </w:p>
        </w:tc>
        <w:tc>
          <w:tcPr>
            <w:tcW w:w="655"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0,0%</w:t>
            </w:r>
          </w:p>
        </w:tc>
        <w:tc>
          <w:tcPr>
            <w:tcW w:w="725"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NA</w:t>
            </w:r>
          </w:p>
        </w:tc>
        <w:tc>
          <w:tcPr>
            <w:tcW w:w="652"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NA</w:t>
            </w:r>
          </w:p>
        </w:tc>
        <w:tc>
          <w:tcPr>
            <w:tcW w:w="586"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NA</w:t>
            </w:r>
          </w:p>
        </w:tc>
      </w:tr>
      <w:tr w:rsidR="001B1357" w:rsidTr="001B1357">
        <w:trPr>
          <w:trHeight w:val="247"/>
        </w:trPr>
        <w:tc>
          <w:tcPr>
            <w:tcW w:w="1222" w:type="pct"/>
            <w:tcMar>
              <w:top w:w="12" w:type="dxa"/>
              <w:left w:w="12" w:type="dxa"/>
              <w:bottom w:w="0" w:type="dxa"/>
              <w:right w:w="12" w:type="dxa"/>
            </w:tcMar>
            <w:hideMark/>
          </w:tcPr>
          <w:p w:rsidR="001B1357" w:rsidRPr="001B1357" w:rsidRDefault="00404602" w:rsidP="001B1357">
            <w:pPr>
              <w:spacing w:after="0" w:line="240" w:lineRule="auto"/>
              <w:jc w:val="both"/>
              <w:rPr>
                <w:rFonts w:cs="Arial"/>
                <w:sz w:val="18"/>
                <w:szCs w:val="20"/>
                <w:lang w:eastAsia="es-ES"/>
              </w:rPr>
            </w:pPr>
            <w:r>
              <w:rPr>
                <w:rFonts w:cs="Arial"/>
                <w:sz w:val="18"/>
                <w:szCs w:val="20"/>
                <w:lang w:eastAsia="es-ES"/>
              </w:rPr>
              <w:t>Oficina d</w:t>
            </w:r>
            <w:r w:rsidR="001B1357" w:rsidRPr="001B1357">
              <w:rPr>
                <w:rFonts w:cs="Arial"/>
                <w:sz w:val="18"/>
                <w:szCs w:val="20"/>
                <w:lang w:eastAsia="es-ES"/>
              </w:rPr>
              <w:t>e Control Interno</w:t>
            </w:r>
          </w:p>
        </w:tc>
        <w:tc>
          <w:tcPr>
            <w:tcW w:w="218"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w:t>
            </w:r>
          </w:p>
        </w:tc>
        <w:tc>
          <w:tcPr>
            <w:tcW w:w="218"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w:t>
            </w:r>
          </w:p>
        </w:tc>
        <w:tc>
          <w:tcPr>
            <w:tcW w:w="72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100,0%</w:t>
            </w:r>
          </w:p>
        </w:tc>
        <w:tc>
          <w:tcPr>
            <w:tcW w:w="65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100,0%</w:t>
            </w:r>
          </w:p>
        </w:tc>
        <w:tc>
          <w:tcPr>
            <w:tcW w:w="72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w:t>
            </w:r>
          </w:p>
        </w:tc>
        <w:tc>
          <w:tcPr>
            <w:tcW w:w="652"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w:t>
            </w:r>
          </w:p>
        </w:tc>
        <w:tc>
          <w:tcPr>
            <w:tcW w:w="586" w:type="pct"/>
            <w:shd w:val="clear" w:color="auto" w:fill="00B0F0"/>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100,00%</w:t>
            </w:r>
          </w:p>
        </w:tc>
      </w:tr>
      <w:tr w:rsidR="001B1357" w:rsidTr="001B1357">
        <w:trPr>
          <w:trHeight w:val="247"/>
        </w:trPr>
        <w:tc>
          <w:tcPr>
            <w:tcW w:w="1222" w:type="pct"/>
            <w:tcMar>
              <w:top w:w="12" w:type="dxa"/>
              <w:left w:w="12" w:type="dxa"/>
              <w:bottom w:w="0" w:type="dxa"/>
              <w:right w:w="12" w:type="dxa"/>
            </w:tcMar>
            <w:hideMark/>
          </w:tcPr>
          <w:p w:rsidR="001B1357" w:rsidRPr="001B1357" w:rsidRDefault="001B1357" w:rsidP="001B1357">
            <w:pPr>
              <w:spacing w:after="0" w:line="240" w:lineRule="auto"/>
              <w:jc w:val="both"/>
              <w:rPr>
                <w:rFonts w:cs="Arial"/>
                <w:sz w:val="18"/>
                <w:szCs w:val="20"/>
                <w:lang w:eastAsia="es-ES"/>
              </w:rPr>
            </w:pPr>
            <w:r w:rsidRPr="001B1357">
              <w:rPr>
                <w:rFonts w:cs="Arial"/>
                <w:sz w:val="18"/>
                <w:szCs w:val="20"/>
                <w:lang w:eastAsia="es-ES"/>
              </w:rPr>
              <w:t>Subdirección General</w:t>
            </w:r>
          </w:p>
        </w:tc>
        <w:tc>
          <w:tcPr>
            <w:tcW w:w="218"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w:t>
            </w:r>
          </w:p>
        </w:tc>
        <w:tc>
          <w:tcPr>
            <w:tcW w:w="218"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w:t>
            </w:r>
          </w:p>
        </w:tc>
        <w:tc>
          <w:tcPr>
            <w:tcW w:w="72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100,0%</w:t>
            </w:r>
          </w:p>
        </w:tc>
        <w:tc>
          <w:tcPr>
            <w:tcW w:w="65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100,0%</w:t>
            </w:r>
          </w:p>
        </w:tc>
        <w:tc>
          <w:tcPr>
            <w:tcW w:w="725"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w:t>
            </w:r>
          </w:p>
        </w:tc>
        <w:tc>
          <w:tcPr>
            <w:tcW w:w="652" w:type="pct"/>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w:t>
            </w:r>
          </w:p>
        </w:tc>
        <w:tc>
          <w:tcPr>
            <w:tcW w:w="586" w:type="pct"/>
            <w:shd w:val="clear" w:color="auto" w:fill="00B0F0"/>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100,00%</w:t>
            </w:r>
          </w:p>
        </w:tc>
      </w:tr>
      <w:tr w:rsidR="001B1357" w:rsidTr="001B1357">
        <w:trPr>
          <w:trHeight w:val="247"/>
        </w:trPr>
        <w:tc>
          <w:tcPr>
            <w:tcW w:w="1222" w:type="pct"/>
            <w:shd w:val="clear" w:color="auto" w:fill="A6A6A6"/>
            <w:tcMar>
              <w:top w:w="12" w:type="dxa"/>
              <w:left w:w="12" w:type="dxa"/>
              <w:bottom w:w="0" w:type="dxa"/>
              <w:right w:w="12" w:type="dxa"/>
            </w:tcMar>
            <w:hideMark/>
          </w:tcPr>
          <w:p w:rsidR="001B1357" w:rsidRPr="001B1357" w:rsidRDefault="00404602" w:rsidP="001B1357">
            <w:pPr>
              <w:spacing w:after="0" w:line="240" w:lineRule="auto"/>
              <w:jc w:val="both"/>
              <w:rPr>
                <w:rFonts w:cs="Arial"/>
                <w:sz w:val="18"/>
                <w:szCs w:val="20"/>
                <w:lang w:eastAsia="es-ES"/>
              </w:rPr>
            </w:pPr>
            <w:r>
              <w:rPr>
                <w:rFonts w:cs="Arial"/>
                <w:sz w:val="18"/>
                <w:szCs w:val="20"/>
                <w:lang w:eastAsia="es-ES"/>
              </w:rPr>
              <w:t>Oficina d</w:t>
            </w:r>
            <w:r w:rsidRPr="001B1357">
              <w:rPr>
                <w:rFonts w:cs="Arial"/>
                <w:sz w:val="18"/>
                <w:szCs w:val="20"/>
                <w:lang w:eastAsia="es-ES"/>
              </w:rPr>
              <w:t xml:space="preserve">e Cooperación </w:t>
            </w:r>
            <w:r>
              <w:rPr>
                <w:rFonts w:cs="Arial"/>
                <w:sz w:val="18"/>
                <w:szCs w:val="20"/>
                <w:lang w:eastAsia="es-ES"/>
              </w:rPr>
              <w:t>y</w:t>
            </w:r>
            <w:r w:rsidRPr="001B1357">
              <w:rPr>
                <w:rFonts w:cs="Arial"/>
                <w:sz w:val="18"/>
                <w:szCs w:val="20"/>
                <w:lang w:eastAsia="es-ES"/>
              </w:rPr>
              <w:t xml:space="preserve"> Convenios</w:t>
            </w:r>
          </w:p>
        </w:tc>
        <w:tc>
          <w:tcPr>
            <w:tcW w:w="218"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w:t>
            </w:r>
          </w:p>
        </w:tc>
        <w:tc>
          <w:tcPr>
            <w:tcW w:w="218"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w:t>
            </w:r>
          </w:p>
        </w:tc>
        <w:tc>
          <w:tcPr>
            <w:tcW w:w="725"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N/A</w:t>
            </w:r>
          </w:p>
        </w:tc>
        <w:tc>
          <w:tcPr>
            <w:tcW w:w="655"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0,0%</w:t>
            </w:r>
          </w:p>
        </w:tc>
        <w:tc>
          <w:tcPr>
            <w:tcW w:w="725"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NA</w:t>
            </w:r>
          </w:p>
        </w:tc>
        <w:tc>
          <w:tcPr>
            <w:tcW w:w="652"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NA</w:t>
            </w:r>
          </w:p>
        </w:tc>
        <w:tc>
          <w:tcPr>
            <w:tcW w:w="586" w:type="pct"/>
            <w:shd w:val="clear" w:color="auto" w:fill="A6A6A6"/>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NA</w:t>
            </w:r>
          </w:p>
        </w:tc>
      </w:tr>
      <w:tr w:rsidR="001B1357" w:rsidTr="001B1357">
        <w:trPr>
          <w:trHeight w:val="259"/>
        </w:trPr>
        <w:tc>
          <w:tcPr>
            <w:tcW w:w="1222" w:type="pct"/>
            <w:shd w:val="clear" w:color="auto" w:fill="E2EFDA"/>
            <w:tcMar>
              <w:top w:w="9" w:type="dxa"/>
              <w:left w:w="9" w:type="dxa"/>
              <w:bottom w:w="0" w:type="dxa"/>
              <w:right w:w="9" w:type="dxa"/>
            </w:tcMar>
            <w:hideMark/>
          </w:tcPr>
          <w:p w:rsidR="001B1357" w:rsidRPr="00404602" w:rsidRDefault="00404602" w:rsidP="001B1357">
            <w:pPr>
              <w:spacing w:after="0" w:line="240" w:lineRule="auto"/>
              <w:jc w:val="both"/>
              <w:rPr>
                <w:rFonts w:cs="Arial"/>
                <w:b/>
                <w:sz w:val="18"/>
                <w:szCs w:val="20"/>
                <w:lang w:eastAsia="es-ES"/>
              </w:rPr>
            </w:pPr>
            <w:r w:rsidRPr="00404602">
              <w:rPr>
                <w:rFonts w:cs="Arial"/>
                <w:b/>
                <w:sz w:val="18"/>
                <w:szCs w:val="20"/>
                <w:lang w:eastAsia="es-ES"/>
              </w:rPr>
              <w:t>Subtotal Sede:</w:t>
            </w:r>
          </w:p>
        </w:tc>
        <w:tc>
          <w:tcPr>
            <w:tcW w:w="218" w:type="pct"/>
            <w:shd w:val="clear" w:color="auto" w:fill="E2EFDA"/>
            <w:tcMar>
              <w:top w:w="12" w:type="dxa"/>
              <w:left w:w="12" w:type="dxa"/>
              <w:bottom w:w="0" w:type="dxa"/>
              <w:right w:w="12" w:type="dxa"/>
            </w:tcMar>
            <w:hideMark/>
          </w:tcPr>
          <w:p w:rsidR="001B1357" w:rsidRPr="00404602" w:rsidRDefault="001B1357" w:rsidP="001B1357">
            <w:pPr>
              <w:spacing w:after="0" w:line="240" w:lineRule="auto"/>
              <w:jc w:val="center"/>
              <w:rPr>
                <w:rFonts w:cs="Arial"/>
                <w:b/>
                <w:sz w:val="18"/>
                <w:szCs w:val="20"/>
                <w:lang w:eastAsia="es-ES"/>
              </w:rPr>
            </w:pPr>
            <w:r w:rsidRPr="00404602">
              <w:rPr>
                <w:rFonts w:cs="Arial"/>
                <w:b/>
                <w:sz w:val="18"/>
                <w:szCs w:val="20"/>
                <w:lang w:eastAsia="es-ES"/>
              </w:rPr>
              <w:t>192</w:t>
            </w:r>
          </w:p>
        </w:tc>
        <w:tc>
          <w:tcPr>
            <w:tcW w:w="218" w:type="pct"/>
            <w:shd w:val="clear" w:color="auto" w:fill="E2EFDA"/>
            <w:tcMar>
              <w:top w:w="12" w:type="dxa"/>
              <w:left w:w="12" w:type="dxa"/>
              <w:bottom w:w="0" w:type="dxa"/>
              <w:right w:w="12" w:type="dxa"/>
            </w:tcMar>
            <w:hideMark/>
          </w:tcPr>
          <w:p w:rsidR="001B1357" w:rsidRPr="00404602" w:rsidRDefault="001B1357" w:rsidP="001B1357">
            <w:pPr>
              <w:spacing w:after="0" w:line="240" w:lineRule="auto"/>
              <w:jc w:val="center"/>
              <w:rPr>
                <w:rFonts w:cs="Arial"/>
                <w:b/>
                <w:sz w:val="18"/>
                <w:szCs w:val="20"/>
                <w:lang w:eastAsia="es-ES"/>
              </w:rPr>
            </w:pPr>
            <w:r w:rsidRPr="00404602">
              <w:rPr>
                <w:rFonts w:cs="Arial"/>
                <w:b/>
                <w:sz w:val="18"/>
                <w:szCs w:val="20"/>
                <w:lang w:eastAsia="es-ES"/>
              </w:rPr>
              <w:t>486</w:t>
            </w:r>
          </w:p>
        </w:tc>
        <w:tc>
          <w:tcPr>
            <w:tcW w:w="725" w:type="pct"/>
            <w:shd w:val="clear" w:color="auto" w:fill="E2EFDA"/>
            <w:tcMar>
              <w:top w:w="12" w:type="dxa"/>
              <w:left w:w="12" w:type="dxa"/>
              <w:bottom w:w="0" w:type="dxa"/>
              <w:right w:w="12" w:type="dxa"/>
            </w:tcMar>
            <w:hideMark/>
          </w:tcPr>
          <w:p w:rsidR="001B1357" w:rsidRPr="00404602" w:rsidRDefault="001B1357" w:rsidP="001B1357">
            <w:pPr>
              <w:spacing w:after="0" w:line="240" w:lineRule="auto"/>
              <w:jc w:val="center"/>
              <w:rPr>
                <w:rFonts w:cs="Arial"/>
                <w:b/>
                <w:sz w:val="18"/>
                <w:szCs w:val="20"/>
                <w:lang w:eastAsia="es-ES"/>
              </w:rPr>
            </w:pPr>
            <w:r w:rsidRPr="00404602">
              <w:rPr>
                <w:rFonts w:cs="Arial"/>
                <w:b/>
                <w:sz w:val="18"/>
                <w:szCs w:val="20"/>
                <w:lang w:eastAsia="es-ES"/>
              </w:rPr>
              <w:t>92,1%</w:t>
            </w:r>
          </w:p>
        </w:tc>
        <w:tc>
          <w:tcPr>
            <w:tcW w:w="655" w:type="pct"/>
            <w:shd w:val="clear" w:color="auto" w:fill="E2EFDA"/>
            <w:tcMar>
              <w:top w:w="12" w:type="dxa"/>
              <w:left w:w="12" w:type="dxa"/>
              <w:bottom w:w="0" w:type="dxa"/>
              <w:right w:w="12" w:type="dxa"/>
            </w:tcMar>
            <w:hideMark/>
          </w:tcPr>
          <w:p w:rsidR="001B1357" w:rsidRPr="00404602" w:rsidRDefault="001B1357" w:rsidP="001B1357">
            <w:pPr>
              <w:spacing w:after="0" w:line="240" w:lineRule="auto"/>
              <w:jc w:val="center"/>
              <w:rPr>
                <w:rFonts w:cs="Arial"/>
                <w:b/>
                <w:sz w:val="18"/>
                <w:szCs w:val="20"/>
                <w:lang w:eastAsia="es-ES"/>
              </w:rPr>
            </w:pPr>
            <w:r w:rsidRPr="00404602">
              <w:rPr>
                <w:rFonts w:cs="Arial"/>
                <w:b/>
                <w:sz w:val="18"/>
                <w:szCs w:val="20"/>
                <w:lang w:eastAsia="es-ES"/>
              </w:rPr>
              <w:t>43,8%</w:t>
            </w:r>
          </w:p>
        </w:tc>
        <w:tc>
          <w:tcPr>
            <w:tcW w:w="725" w:type="pct"/>
            <w:shd w:val="clear" w:color="auto" w:fill="E2EFDA"/>
            <w:tcMar>
              <w:top w:w="12" w:type="dxa"/>
              <w:left w:w="12" w:type="dxa"/>
              <w:bottom w:w="0" w:type="dxa"/>
              <w:right w:w="12" w:type="dxa"/>
            </w:tcMar>
            <w:hideMark/>
          </w:tcPr>
          <w:p w:rsidR="001B1357" w:rsidRPr="00404602" w:rsidRDefault="001B1357" w:rsidP="001B1357">
            <w:pPr>
              <w:spacing w:after="0" w:line="240" w:lineRule="auto"/>
              <w:jc w:val="center"/>
              <w:rPr>
                <w:rFonts w:cs="Arial"/>
                <w:b/>
                <w:sz w:val="18"/>
                <w:szCs w:val="20"/>
                <w:lang w:eastAsia="es-ES"/>
              </w:rPr>
            </w:pPr>
            <w:r w:rsidRPr="00404602">
              <w:rPr>
                <w:rFonts w:cs="Arial"/>
                <w:b/>
                <w:sz w:val="18"/>
                <w:szCs w:val="20"/>
                <w:lang w:eastAsia="es-ES"/>
              </w:rPr>
              <w:t>217</w:t>
            </w:r>
          </w:p>
        </w:tc>
        <w:tc>
          <w:tcPr>
            <w:tcW w:w="652" w:type="pct"/>
            <w:shd w:val="clear" w:color="auto" w:fill="E2EFDA"/>
            <w:tcMar>
              <w:top w:w="12" w:type="dxa"/>
              <w:left w:w="12" w:type="dxa"/>
              <w:bottom w:w="0" w:type="dxa"/>
              <w:right w:w="12" w:type="dxa"/>
            </w:tcMar>
            <w:hideMark/>
          </w:tcPr>
          <w:p w:rsidR="001B1357" w:rsidRPr="00404602" w:rsidRDefault="001B1357" w:rsidP="001B1357">
            <w:pPr>
              <w:spacing w:after="0" w:line="240" w:lineRule="auto"/>
              <w:jc w:val="center"/>
              <w:rPr>
                <w:rFonts w:cs="Arial"/>
                <w:b/>
                <w:sz w:val="18"/>
                <w:szCs w:val="20"/>
                <w:lang w:eastAsia="es-ES"/>
              </w:rPr>
            </w:pPr>
            <w:r w:rsidRPr="00404602">
              <w:rPr>
                <w:rFonts w:cs="Arial"/>
                <w:b/>
                <w:sz w:val="18"/>
                <w:szCs w:val="20"/>
                <w:lang w:eastAsia="es-ES"/>
              </w:rPr>
              <w:t>198</w:t>
            </w:r>
          </w:p>
        </w:tc>
        <w:tc>
          <w:tcPr>
            <w:tcW w:w="586" w:type="pct"/>
            <w:shd w:val="clear" w:color="auto" w:fill="60A917"/>
            <w:tcMar>
              <w:top w:w="12" w:type="dxa"/>
              <w:left w:w="12" w:type="dxa"/>
              <w:bottom w:w="0" w:type="dxa"/>
              <w:right w:w="12" w:type="dxa"/>
            </w:tcMar>
            <w:hideMark/>
          </w:tcPr>
          <w:p w:rsidR="001B1357" w:rsidRPr="001B1357" w:rsidRDefault="001B1357" w:rsidP="001B1357">
            <w:pPr>
              <w:spacing w:after="0" w:line="240" w:lineRule="auto"/>
              <w:jc w:val="center"/>
              <w:rPr>
                <w:rFonts w:cs="Arial"/>
                <w:sz w:val="18"/>
                <w:szCs w:val="20"/>
                <w:lang w:eastAsia="es-ES"/>
              </w:rPr>
            </w:pPr>
            <w:r w:rsidRPr="001B1357">
              <w:rPr>
                <w:rFonts w:cs="Arial"/>
                <w:sz w:val="18"/>
                <w:szCs w:val="20"/>
                <w:lang w:eastAsia="es-ES"/>
              </w:rPr>
              <w:t>91,24%</w:t>
            </w:r>
          </w:p>
        </w:tc>
      </w:tr>
    </w:tbl>
    <w:p w:rsidR="00E05204" w:rsidRPr="004E5E59" w:rsidRDefault="00E05204" w:rsidP="004E5E59">
      <w:pPr>
        <w:spacing w:after="0" w:line="240" w:lineRule="auto"/>
        <w:jc w:val="both"/>
        <w:rPr>
          <w:rFonts w:cs="Arial"/>
          <w:sz w:val="18"/>
          <w:szCs w:val="20"/>
          <w:lang w:eastAsia="es-ES"/>
        </w:rPr>
      </w:pPr>
    </w:p>
    <w:tbl>
      <w:tblPr>
        <w:tblW w:w="5200" w:type="pct"/>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left w:w="0" w:type="dxa"/>
          <w:right w:w="0" w:type="dxa"/>
        </w:tblCellMar>
        <w:tblLook w:val="04A0" w:firstRow="1" w:lastRow="0" w:firstColumn="1" w:lastColumn="0" w:noHBand="0" w:noVBand="1"/>
      </w:tblPr>
      <w:tblGrid>
        <w:gridCol w:w="2254"/>
        <w:gridCol w:w="427"/>
        <w:gridCol w:w="557"/>
        <w:gridCol w:w="1417"/>
        <w:gridCol w:w="1278"/>
        <w:gridCol w:w="1417"/>
        <w:gridCol w:w="1274"/>
        <w:gridCol w:w="1147"/>
      </w:tblGrid>
      <w:tr w:rsidR="00404602" w:rsidRPr="00404602" w:rsidTr="00404602">
        <w:trPr>
          <w:trHeight w:val="259"/>
        </w:trPr>
        <w:tc>
          <w:tcPr>
            <w:tcW w:w="1153" w:type="pct"/>
            <w:shd w:val="clear" w:color="auto" w:fill="E2EFDA"/>
            <w:tcMar>
              <w:top w:w="9" w:type="dxa"/>
              <w:left w:w="9" w:type="dxa"/>
              <w:bottom w:w="0" w:type="dxa"/>
              <w:right w:w="9" w:type="dxa"/>
            </w:tcMar>
            <w:hideMark/>
          </w:tcPr>
          <w:p w:rsidR="00404602" w:rsidRPr="00404602" w:rsidRDefault="00404602" w:rsidP="00404602">
            <w:pPr>
              <w:spacing w:after="0" w:line="240" w:lineRule="auto"/>
              <w:jc w:val="both"/>
              <w:rPr>
                <w:rFonts w:cs="Arial"/>
                <w:b/>
                <w:sz w:val="18"/>
                <w:szCs w:val="20"/>
                <w:lang w:eastAsia="es-ES"/>
              </w:rPr>
            </w:pPr>
            <w:r w:rsidRPr="00404602">
              <w:rPr>
                <w:rFonts w:cs="Arial"/>
                <w:b/>
                <w:sz w:val="18"/>
                <w:szCs w:val="20"/>
                <w:lang w:eastAsia="es-ES"/>
              </w:rPr>
              <w:t>TOTAL GENERAL</w:t>
            </w:r>
          </w:p>
        </w:tc>
        <w:tc>
          <w:tcPr>
            <w:tcW w:w="218" w:type="pct"/>
            <w:shd w:val="clear" w:color="auto" w:fill="E2EFDA"/>
            <w:tcMar>
              <w:top w:w="12" w:type="dxa"/>
              <w:left w:w="12" w:type="dxa"/>
              <w:bottom w:w="0" w:type="dxa"/>
              <w:right w:w="12" w:type="dxa"/>
            </w:tcMar>
            <w:hideMark/>
          </w:tcPr>
          <w:p w:rsidR="00404602" w:rsidRPr="00404602" w:rsidRDefault="00404602" w:rsidP="00404602">
            <w:pPr>
              <w:spacing w:after="0" w:line="240" w:lineRule="auto"/>
              <w:jc w:val="both"/>
              <w:rPr>
                <w:rFonts w:cs="Arial"/>
                <w:b/>
                <w:sz w:val="18"/>
                <w:szCs w:val="20"/>
                <w:lang w:eastAsia="es-ES"/>
              </w:rPr>
            </w:pPr>
            <w:r w:rsidRPr="00404602">
              <w:rPr>
                <w:rFonts w:cs="Arial"/>
                <w:b/>
                <w:sz w:val="18"/>
                <w:szCs w:val="20"/>
                <w:lang w:eastAsia="es-ES"/>
              </w:rPr>
              <w:t>486</w:t>
            </w:r>
          </w:p>
        </w:tc>
        <w:tc>
          <w:tcPr>
            <w:tcW w:w="285" w:type="pct"/>
            <w:shd w:val="clear" w:color="auto" w:fill="E2EFDA"/>
            <w:tcMar>
              <w:top w:w="12" w:type="dxa"/>
              <w:left w:w="12" w:type="dxa"/>
              <w:bottom w:w="0" w:type="dxa"/>
              <w:right w:w="12" w:type="dxa"/>
            </w:tcMar>
            <w:hideMark/>
          </w:tcPr>
          <w:p w:rsidR="00404602" w:rsidRPr="00404602" w:rsidRDefault="00404602" w:rsidP="00404602">
            <w:pPr>
              <w:spacing w:after="0" w:line="240" w:lineRule="auto"/>
              <w:jc w:val="both"/>
              <w:rPr>
                <w:rFonts w:cs="Arial"/>
                <w:b/>
                <w:sz w:val="18"/>
                <w:szCs w:val="20"/>
                <w:lang w:eastAsia="es-ES"/>
              </w:rPr>
            </w:pPr>
            <w:r w:rsidRPr="00404602">
              <w:rPr>
                <w:rFonts w:cs="Arial"/>
                <w:b/>
                <w:sz w:val="18"/>
                <w:szCs w:val="20"/>
                <w:lang w:eastAsia="es-ES"/>
              </w:rPr>
              <w:t>1007</w:t>
            </w:r>
          </w:p>
        </w:tc>
        <w:tc>
          <w:tcPr>
            <w:tcW w:w="725" w:type="pct"/>
            <w:shd w:val="clear" w:color="auto" w:fill="E2EFDA"/>
            <w:tcMar>
              <w:top w:w="12" w:type="dxa"/>
              <w:left w:w="12" w:type="dxa"/>
              <w:bottom w:w="0" w:type="dxa"/>
              <w:right w:w="12" w:type="dxa"/>
            </w:tcMar>
            <w:hideMark/>
          </w:tcPr>
          <w:p w:rsidR="00404602" w:rsidRPr="00404602" w:rsidRDefault="00404602" w:rsidP="00404602">
            <w:pPr>
              <w:spacing w:after="0" w:line="240" w:lineRule="auto"/>
              <w:jc w:val="both"/>
              <w:rPr>
                <w:rFonts w:cs="Arial"/>
                <w:b/>
                <w:sz w:val="18"/>
                <w:szCs w:val="20"/>
                <w:lang w:eastAsia="es-ES"/>
              </w:rPr>
            </w:pPr>
            <w:r w:rsidRPr="00404602">
              <w:rPr>
                <w:rFonts w:cs="Arial"/>
                <w:b/>
                <w:sz w:val="18"/>
                <w:szCs w:val="20"/>
                <w:lang w:eastAsia="es-ES"/>
              </w:rPr>
              <w:t>87,0%</w:t>
            </w:r>
          </w:p>
        </w:tc>
        <w:tc>
          <w:tcPr>
            <w:tcW w:w="654" w:type="pct"/>
            <w:shd w:val="clear" w:color="auto" w:fill="E2EFDA"/>
            <w:tcMar>
              <w:top w:w="12" w:type="dxa"/>
              <w:left w:w="12" w:type="dxa"/>
              <w:bottom w:w="0" w:type="dxa"/>
              <w:right w:w="12" w:type="dxa"/>
            </w:tcMar>
            <w:hideMark/>
          </w:tcPr>
          <w:p w:rsidR="00404602" w:rsidRPr="00404602" w:rsidRDefault="00404602" w:rsidP="00404602">
            <w:pPr>
              <w:spacing w:after="0" w:line="240" w:lineRule="auto"/>
              <w:jc w:val="both"/>
              <w:rPr>
                <w:rFonts w:cs="Arial"/>
                <w:b/>
                <w:sz w:val="18"/>
                <w:szCs w:val="20"/>
                <w:lang w:eastAsia="es-ES"/>
              </w:rPr>
            </w:pPr>
            <w:r w:rsidRPr="00404602">
              <w:rPr>
                <w:rFonts w:cs="Arial"/>
                <w:b/>
                <w:sz w:val="18"/>
                <w:szCs w:val="20"/>
                <w:lang w:eastAsia="es-ES"/>
              </w:rPr>
              <w:t>50,6%</w:t>
            </w:r>
          </w:p>
        </w:tc>
        <w:tc>
          <w:tcPr>
            <w:tcW w:w="725" w:type="pct"/>
            <w:shd w:val="clear" w:color="auto" w:fill="E2EFDA"/>
            <w:tcMar>
              <w:top w:w="12" w:type="dxa"/>
              <w:left w:w="12" w:type="dxa"/>
              <w:bottom w:w="0" w:type="dxa"/>
              <w:right w:w="12" w:type="dxa"/>
            </w:tcMar>
            <w:hideMark/>
          </w:tcPr>
          <w:p w:rsidR="00404602" w:rsidRPr="00404602" w:rsidRDefault="00404602" w:rsidP="00404602">
            <w:pPr>
              <w:spacing w:after="0" w:line="240" w:lineRule="auto"/>
              <w:jc w:val="both"/>
              <w:rPr>
                <w:rFonts w:cs="Arial"/>
                <w:b/>
                <w:sz w:val="18"/>
                <w:szCs w:val="20"/>
                <w:lang w:eastAsia="es-ES"/>
              </w:rPr>
            </w:pPr>
            <w:r w:rsidRPr="00404602">
              <w:rPr>
                <w:rFonts w:cs="Arial"/>
                <w:b/>
                <w:sz w:val="18"/>
                <w:szCs w:val="20"/>
                <w:lang w:eastAsia="es-ES"/>
              </w:rPr>
              <w:t>537</w:t>
            </w:r>
          </w:p>
        </w:tc>
        <w:tc>
          <w:tcPr>
            <w:tcW w:w="652" w:type="pct"/>
            <w:shd w:val="clear" w:color="auto" w:fill="E2EFDA"/>
            <w:tcMar>
              <w:top w:w="12" w:type="dxa"/>
              <w:left w:w="12" w:type="dxa"/>
              <w:bottom w:w="0" w:type="dxa"/>
              <w:right w:w="12" w:type="dxa"/>
            </w:tcMar>
            <w:hideMark/>
          </w:tcPr>
          <w:p w:rsidR="00404602" w:rsidRPr="00404602" w:rsidRDefault="00404602" w:rsidP="00404602">
            <w:pPr>
              <w:spacing w:after="0" w:line="240" w:lineRule="auto"/>
              <w:jc w:val="both"/>
              <w:rPr>
                <w:rFonts w:cs="Arial"/>
                <w:b/>
                <w:sz w:val="18"/>
                <w:szCs w:val="20"/>
                <w:lang w:eastAsia="es-ES"/>
              </w:rPr>
            </w:pPr>
            <w:r w:rsidRPr="00404602">
              <w:rPr>
                <w:rFonts w:cs="Arial"/>
                <w:b/>
                <w:sz w:val="18"/>
                <w:szCs w:val="20"/>
                <w:lang w:eastAsia="es-ES"/>
              </w:rPr>
              <w:t>456</w:t>
            </w:r>
          </w:p>
        </w:tc>
        <w:tc>
          <w:tcPr>
            <w:tcW w:w="587" w:type="pct"/>
            <w:shd w:val="clear" w:color="auto" w:fill="FFC000"/>
            <w:tcMar>
              <w:top w:w="12" w:type="dxa"/>
              <w:left w:w="12" w:type="dxa"/>
              <w:bottom w:w="0" w:type="dxa"/>
              <w:right w:w="12" w:type="dxa"/>
            </w:tcMar>
            <w:hideMark/>
          </w:tcPr>
          <w:p w:rsidR="00404602" w:rsidRPr="00404602" w:rsidRDefault="00404602" w:rsidP="00404602">
            <w:pPr>
              <w:spacing w:after="0" w:line="240" w:lineRule="auto"/>
              <w:jc w:val="center"/>
              <w:rPr>
                <w:rFonts w:cs="Arial"/>
                <w:sz w:val="18"/>
                <w:szCs w:val="20"/>
                <w:lang w:eastAsia="es-ES"/>
              </w:rPr>
            </w:pPr>
            <w:r w:rsidRPr="00404602">
              <w:rPr>
                <w:rFonts w:cs="Arial"/>
                <w:sz w:val="18"/>
                <w:szCs w:val="20"/>
                <w:lang w:eastAsia="es-ES"/>
              </w:rPr>
              <w:t>84,92%</w:t>
            </w:r>
          </w:p>
        </w:tc>
      </w:tr>
    </w:tbl>
    <w:p w:rsidR="00404602" w:rsidRPr="00404602" w:rsidRDefault="00404602" w:rsidP="00404602">
      <w:pPr>
        <w:spacing w:after="0" w:line="240" w:lineRule="auto"/>
        <w:jc w:val="both"/>
        <w:rPr>
          <w:rFonts w:cs="Arial"/>
          <w:sz w:val="18"/>
          <w:szCs w:val="20"/>
          <w:lang w:eastAsia="es-ES"/>
        </w:rPr>
      </w:pPr>
    </w:p>
    <w:p w:rsidR="00E05204" w:rsidRPr="000A1554" w:rsidRDefault="00E05204" w:rsidP="000A1554">
      <w:pPr>
        <w:spacing w:after="100" w:afterAutospacing="1" w:line="240" w:lineRule="auto"/>
        <w:jc w:val="center"/>
        <w:rPr>
          <w:rFonts w:cs="Arial"/>
          <w:bCs/>
          <w:sz w:val="16"/>
          <w:szCs w:val="16"/>
        </w:rPr>
      </w:pPr>
      <w:r w:rsidRPr="000A1554">
        <w:rPr>
          <w:rFonts w:cs="Arial"/>
          <w:bCs/>
          <w:sz w:val="16"/>
          <w:szCs w:val="16"/>
        </w:rPr>
        <w:t>Fuente: Instituto Colombiano de Bienestar Familiar –ICBF-, Oficina de Control Interno</w:t>
      </w:r>
    </w:p>
    <w:p w:rsidR="00E05204" w:rsidRDefault="00E05204" w:rsidP="00E05204">
      <w:pPr>
        <w:spacing w:before="100" w:beforeAutospacing="1" w:after="100" w:afterAutospacing="1" w:line="240" w:lineRule="auto"/>
        <w:jc w:val="both"/>
        <w:rPr>
          <w:rFonts w:cs="Arial"/>
        </w:rPr>
      </w:pPr>
      <w:r w:rsidRPr="00E2319F">
        <w:rPr>
          <w:rFonts w:cs="Arial"/>
        </w:rPr>
        <w:t>Finalmente, la Contraloría General de la República con base en los componentes financiero, gestión, resultados, legalidad y control interno FENECE de la Cuenta Fiscal del Instituto Colombiano de Bienestar Familiar ICBF correspondiente al año 2016, da una calificación a la entidad de 84,327 puntos lo cual indica Concepto Favorable.</w:t>
      </w:r>
    </w:p>
    <w:p w:rsidR="00637D3D" w:rsidRPr="00E2319F" w:rsidRDefault="00637D3D" w:rsidP="00E05204">
      <w:pPr>
        <w:spacing w:before="100" w:beforeAutospacing="1" w:after="100" w:afterAutospacing="1" w:line="240" w:lineRule="auto"/>
        <w:jc w:val="both"/>
        <w:rPr>
          <w:rFonts w:cs="Arial"/>
        </w:rPr>
      </w:pPr>
    </w:p>
    <w:p w:rsidR="00E05204" w:rsidRDefault="00E05204" w:rsidP="00A44A2B">
      <w:pPr>
        <w:pStyle w:val="Ttulo2"/>
        <w:numPr>
          <w:ilvl w:val="1"/>
          <w:numId w:val="139"/>
        </w:numPr>
        <w:rPr>
          <w:rFonts w:cs="Arial"/>
          <w:b/>
          <w:szCs w:val="22"/>
        </w:rPr>
      </w:pPr>
      <w:bookmarkStart w:id="178" w:name="_Toc505183107"/>
      <w:r w:rsidRPr="00E2319F">
        <w:rPr>
          <w:rFonts w:cs="Arial"/>
          <w:b/>
          <w:szCs w:val="22"/>
        </w:rPr>
        <w:lastRenderedPageBreak/>
        <w:t>LOGROS 2017</w:t>
      </w:r>
      <w:bookmarkEnd w:id="178"/>
    </w:p>
    <w:p w:rsidR="000A1554" w:rsidRPr="000A1554" w:rsidRDefault="000A1554" w:rsidP="00637D3D">
      <w:pPr>
        <w:spacing w:after="0"/>
      </w:pPr>
    </w:p>
    <w:p w:rsidR="00E05204" w:rsidRDefault="00E05204" w:rsidP="00A44A2B">
      <w:pPr>
        <w:pStyle w:val="Prrafodelista"/>
        <w:numPr>
          <w:ilvl w:val="0"/>
          <w:numId w:val="93"/>
        </w:numPr>
        <w:spacing w:after="0" w:line="240" w:lineRule="auto"/>
        <w:jc w:val="both"/>
        <w:rPr>
          <w:rFonts w:cs="Arial"/>
          <w:color w:val="000000"/>
          <w:lang w:eastAsia="es-CO"/>
        </w:rPr>
      </w:pPr>
      <w:r w:rsidRPr="00E2319F">
        <w:rPr>
          <w:rFonts w:cs="Arial"/>
          <w:color w:val="000000"/>
          <w:lang w:eastAsia="es-CO"/>
        </w:rPr>
        <w:t>Ejecución del primer ciclo de Auditoría al Sistema Integrado de Gestión – SIGE programadas para la vigencia 2017; auditando 8 Regionales y los Procesos Estratégicos en la Sede Nacional durante los meses de octubre, noviembre y diciembre. Lo anterior con el fin de evaluar el estado de preparación de la Entidad para la transición a la versión 2015 de las normas ISO 9001 e ISO 14001.</w:t>
      </w:r>
    </w:p>
    <w:p w:rsidR="000A1554" w:rsidRPr="00E2319F" w:rsidRDefault="000A1554" w:rsidP="000A1554">
      <w:pPr>
        <w:pStyle w:val="Prrafodelista"/>
        <w:spacing w:after="0" w:line="240" w:lineRule="auto"/>
        <w:ind w:left="360"/>
        <w:jc w:val="both"/>
        <w:rPr>
          <w:rFonts w:cs="Arial"/>
          <w:color w:val="000000"/>
          <w:lang w:eastAsia="es-CO"/>
        </w:rPr>
      </w:pPr>
    </w:p>
    <w:p w:rsidR="00E05204" w:rsidRDefault="00E05204" w:rsidP="00A44A2B">
      <w:pPr>
        <w:pStyle w:val="Prrafodelista"/>
        <w:numPr>
          <w:ilvl w:val="0"/>
          <w:numId w:val="93"/>
        </w:numPr>
        <w:spacing w:after="0" w:line="240" w:lineRule="auto"/>
        <w:jc w:val="both"/>
        <w:rPr>
          <w:rFonts w:cs="Arial"/>
          <w:color w:val="000000"/>
          <w:lang w:eastAsia="es-CO"/>
        </w:rPr>
      </w:pPr>
      <w:r w:rsidRPr="00E2319F">
        <w:rPr>
          <w:rFonts w:cs="Arial"/>
          <w:color w:val="000000"/>
          <w:lang w:eastAsia="es-CO"/>
        </w:rPr>
        <w:t>Diseño y prueba de aplicación de la metodología para la Evaluación Anual de la Gestión por Dependencias, la cual se fundamenta en la verificación de evidencias que soportan los resultados de los indicadores del Plan de Acción 2017. Lo anterior en cumplimiento de lo establecido en la Circular 004 de 2005 (Consejo Asesor en materia de Control Interno) y el Acuerdo 565 de 2016 (Comisión Nacional del Servicio Civil).</w:t>
      </w:r>
    </w:p>
    <w:p w:rsidR="000A1554" w:rsidRPr="000A1554" w:rsidRDefault="000A1554" w:rsidP="000A1554">
      <w:pPr>
        <w:spacing w:after="0" w:line="240" w:lineRule="auto"/>
        <w:jc w:val="both"/>
        <w:rPr>
          <w:rFonts w:cs="Arial"/>
          <w:color w:val="000000"/>
          <w:lang w:eastAsia="es-CO"/>
        </w:rPr>
      </w:pPr>
    </w:p>
    <w:p w:rsidR="00E05204" w:rsidRDefault="00E05204" w:rsidP="00A44A2B">
      <w:pPr>
        <w:pStyle w:val="Prrafodelista"/>
        <w:numPr>
          <w:ilvl w:val="0"/>
          <w:numId w:val="93"/>
        </w:numPr>
        <w:spacing w:after="0" w:line="240" w:lineRule="auto"/>
        <w:jc w:val="both"/>
        <w:rPr>
          <w:rFonts w:cs="Arial"/>
          <w:color w:val="000000"/>
          <w:lang w:eastAsia="es-CO"/>
        </w:rPr>
      </w:pPr>
      <w:r w:rsidRPr="00E2319F">
        <w:rPr>
          <w:rFonts w:cs="Arial"/>
          <w:color w:val="000000"/>
          <w:lang w:eastAsia="es-CO"/>
        </w:rPr>
        <w:t>Fortalecimiento del equipo auditor para el Sistema Integrado de Gestión, el cual está integrado con personal de diferentes áreas y regionales.</w:t>
      </w:r>
    </w:p>
    <w:p w:rsidR="000A1554" w:rsidRPr="000A1554" w:rsidRDefault="000A1554" w:rsidP="000A1554">
      <w:pPr>
        <w:spacing w:after="0" w:line="240" w:lineRule="auto"/>
        <w:jc w:val="both"/>
        <w:rPr>
          <w:rFonts w:cs="Arial"/>
          <w:color w:val="000000"/>
          <w:lang w:eastAsia="es-CO"/>
        </w:rPr>
      </w:pPr>
    </w:p>
    <w:p w:rsidR="00E05204" w:rsidRPr="00E2319F" w:rsidRDefault="00E05204" w:rsidP="00A44A2B">
      <w:pPr>
        <w:pStyle w:val="Prrafodelista"/>
        <w:numPr>
          <w:ilvl w:val="0"/>
          <w:numId w:val="93"/>
        </w:numPr>
        <w:spacing w:after="0" w:line="240" w:lineRule="auto"/>
        <w:jc w:val="both"/>
        <w:rPr>
          <w:rFonts w:cs="Arial"/>
          <w:color w:val="000000"/>
          <w:lang w:eastAsia="es-CO"/>
        </w:rPr>
      </w:pPr>
      <w:r w:rsidRPr="00E2319F">
        <w:rPr>
          <w:rFonts w:cs="Arial"/>
          <w:color w:val="000000"/>
          <w:lang w:eastAsia="es-CO"/>
        </w:rPr>
        <w:t>Formación como Auditor Líder en ISO 9001:2015 dirigida a 10 funcionarios del ICBF.</w:t>
      </w:r>
    </w:p>
    <w:p w:rsidR="00E05204" w:rsidRPr="00E2319F" w:rsidRDefault="00E05204" w:rsidP="00E05204">
      <w:pPr>
        <w:pStyle w:val="Prrafodelista"/>
        <w:spacing w:after="0" w:line="240" w:lineRule="auto"/>
        <w:ind w:left="360"/>
        <w:jc w:val="both"/>
        <w:rPr>
          <w:rFonts w:cs="Arial"/>
          <w:color w:val="000000"/>
          <w:lang w:eastAsia="es-CO"/>
        </w:rPr>
      </w:pPr>
    </w:p>
    <w:p w:rsidR="000A1554" w:rsidRDefault="00E05204" w:rsidP="00A44A2B">
      <w:pPr>
        <w:pStyle w:val="Ttulo2"/>
        <w:numPr>
          <w:ilvl w:val="1"/>
          <w:numId w:val="139"/>
        </w:numPr>
        <w:rPr>
          <w:rFonts w:cs="Arial"/>
          <w:b/>
          <w:szCs w:val="22"/>
        </w:rPr>
      </w:pPr>
      <w:bookmarkStart w:id="179" w:name="_Toc505183108"/>
      <w:r w:rsidRPr="00E2319F">
        <w:rPr>
          <w:rFonts w:cs="Arial"/>
          <w:b/>
          <w:szCs w:val="22"/>
        </w:rPr>
        <w:t>RETOS 2018</w:t>
      </w:r>
      <w:bookmarkEnd w:id="179"/>
    </w:p>
    <w:p w:rsidR="000A1554" w:rsidRPr="000A1554" w:rsidRDefault="000A1554" w:rsidP="000A1554">
      <w:pPr>
        <w:spacing w:after="0"/>
      </w:pPr>
    </w:p>
    <w:p w:rsidR="00E05204" w:rsidRPr="00E2319F" w:rsidRDefault="00E05204" w:rsidP="00A44A2B">
      <w:pPr>
        <w:pStyle w:val="Prrafodelista"/>
        <w:numPr>
          <w:ilvl w:val="0"/>
          <w:numId w:val="94"/>
        </w:numPr>
        <w:jc w:val="both"/>
        <w:rPr>
          <w:rFonts w:cs="Arial"/>
          <w:color w:val="000000"/>
          <w:lang w:eastAsia="es-CO"/>
        </w:rPr>
      </w:pPr>
      <w:r w:rsidRPr="00E2319F">
        <w:rPr>
          <w:rFonts w:cs="Arial"/>
          <w:color w:val="000000"/>
          <w:lang w:eastAsia="es-CO"/>
        </w:rPr>
        <w:t>Culminar el ciclo de Auditoría al Sistema Integrado de Gestión – SIGE en 9 regionales y la sede nacional para el año 2018, con el objetivo de continuar evaluando el estado de preparación de la Entidad para la transición a la versión 2015 de las normas ISO 9001 e ISO 14001 frente al proceso auditor que adelantará el próximo año el Ente Certificador – ICONTEC.</w:t>
      </w:r>
    </w:p>
    <w:p w:rsidR="00E05204" w:rsidRPr="00E2319F" w:rsidRDefault="00E05204" w:rsidP="00A44A2B">
      <w:pPr>
        <w:pStyle w:val="Prrafodelista"/>
        <w:numPr>
          <w:ilvl w:val="0"/>
          <w:numId w:val="94"/>
        </w:numPr>
        <w:jc w:val="both"/>
        <w:rPr>
          <w:rFonts w:cs="Arial"/>
          <w:color w:val="000000"/>
          <w:lang w:eastAsia="es-CO"/>
        </w:rPr>
      </w:pPr>
      <w:r w:rsidRPr="00E2319F">
        <w:rPr>
          <w:rFonts w:cs="Arial"/>
          <w:color w:val="000000"/>
          <w:lang w:eastAsia="es-CO"/>
        </w:rPr>
        <w:t>Adelantar la implementación de la Séptima Dimensión (Control Interno) del nuevo Modelo Integrado de Planeación y Gestión MIPG, específicamente lo relacionado con la tercera línea de defensa prevista en cada uno de los componentes.</w:t>
      </w:r>
    </w:p>
    <w:p w:rsidR="00E05204" w:rsidRPr="00E2319F" w:rsidRDefault="00E05204" w:rsidP="00E05204">
      <w:pPr>
        <w:rPr>
          <w:rFonts w:cs="Arial"/>
        </w:rPr>
      </w:pPr>
    </w:p>
    <w:p w:rsidR="00E05204" w:rsidRPr="00E2319F" w:rsidRDefault="00943A31" w:rsidP="00943A31">
      <w:pPr>
        <w:tabs>
          <w:tab w:val="left" w:pos="2041"/>
        </w:tabs>
        <w:rPr>
          <w:rFonts w:cs="Arial"/>
        </w:rPr>
      </w:pPr>
      <w:r>
        <w:rPr>
          <w:rFonts w:cs="Arial"/>
        </w:rPr>
        <w:tab/>
      </w:r>
      <w:r w:rsidR="00985769">
        <w:rPr>
          <w:rFonts w:cs="Arial"/>
        </w:rPr>
        <w:t xml:space="preserve">   </w:t>
      </w:r>
    </w:p>
    <w:p w:rsidR="00E05204" w:rsidRPr="00E2319F" w:rsidRDefault="00E05204" w:rsidP="00E05204">
      <w:pPr>
        <w:rPr>
          <w:rFonts w:cs="Arial"/>
        </w:rPr>
      </w:pPr>
    </w:p>
    <w:p w:rsidR="00E05204" w:rsidRPr="00E2319F" w:rsidRDefault="00E05204" w:rsidP="00E05204">
      <w:pPr>
        <w:rPr>
          <w:rFonts w:cs="Arial"/>
        </w:rPr>
      </w:pPr>
    </w:p>
    <w:p w:rsidR="00E05204" w:rsidRPr="00E2319F" w:rsidRDefault="00E05204" w:rsidP="00E05204">
      <w:pPr>
        <w:rPr>
          <w:rFonts w:cs="Arial"/>
        </w:rPr>
      </w:pPr>
    </w:p>
    <w:p w:rsidR="00E05204" w:rsidRPr="00E2319F" w:rsidRDefault="00E05204" w:rsidP="00E05204">
      <w:pPr>
        <w:rPr>
          <w:rFonts w:cs="Arial"/>
        </w:rPr>
      </w:pPr>
    </w:p>
    <w:p w:rsidR="00E05204" w:rsidRPr="00E2319F" w:rsidRDefault="00E05204" w:rsidP="00E05204">
      <w:pPr>
        <w:rPr>
          <w:rFonts w:cs="Arial"/>
        </w:rPr>
      </w:pPr>
    </w:p>
    <w:p w:rsidR="00592832" w:rsidRPr="00E2319F" w:rsidRDefault="00966F2E" w:rsidP="00A44A2B">
      <w:pPr>
        <w:pStyle w:val="Ttulo1"/>
        <w:numPr>
          <w:ilvl w:val="0"/>
          <w:numId w:val="139"/>
        </w:numPr>
        <w:rPr>
          <w:rFonts w:cs="Arial"/>
        </w:rPr>
      </w:pPr>
      <w:bookmarkStart w:id="180" w:name="_Toc505183109"/>
      <w:r w:rsidRPr="00E2319F">
        <w:rPr>
          <w:rFonts w:cs="Arial"/>
        </w:rPr>
        <w:lastRenderedPageBreak/>
        <w:t>GESTIÓN DE LA</w:t>
      </w:r>
      <w:r w:rsidR="00592832" w:rsidRPr="00E2319F">
        <w:rPr>
          <w:rFonts w:cs="Arial"/>
        </w:rPr>
        <w:t xml:space="preserve"> INFORMACIÓN Y </w:t>
      </w:r>
      <w:r w:rsidRPr="00E2319F">
        <w:rPr>
          <w:rFonts w:cs="Arial"/>
        </w:rPr>
        <w:t>TECNOLOGÍA</w:t>
      </w:r>
      <w:bookmarkEnd w:id="180"/>
    </w:p>
    <w:p w:rsidR="00231F97" w:rsidRPr="00E2319F" w:rsidRDefault="00231F97" w:rsidP="00231F97">
      <w:pPr>
        <w:pStyle w:val="Prrafodelista"/>
        <w:spacing w:after="0" w:line="240" w:lineRule="auto"/>
        <w:ind w:left="360"/>
        <w:jc w:val="both"/>
        <w:rPr>
          <w:rFonts w:cs="Arial"/>
          <w:color w:val="000000"/>
          <w:lang w:eastAsia="es-CO"/>
        </w:rPr>
      </w:pPr>
    </w:p>
    <w:p w:rsidR="00231F97" w:rsidRDefault="00231F97" w:rsidP="00231F97">
      <w:pPr>
        <w:pStyle w:val="Ttulo2"/>
        <w:numPr>
          <w:ilvl w:val="1"/>
          <w:numId w:val="139"/>
        </w:numPr>
        <w:rPr>
          <w:rFonts w:cs="Arial"/>
          <w:b/>
          <w:szCs w:val="22"/>
        </w:rPr>
      </w:pPr>
      <w:bookmarkStart w:id="181" w:name="_Toc505183110"/>
      <w:r w:rsidRPr="00231F97">
        <w:rPr>
          <w:rFonts w:cs="Arial"/>
          <w:b/>
          <w:szCs w:val="22"/>
        </w:rPr>
        <w:t>Información y comunicación interna y externa</w:t>
      </w:r>
      <w:bookmarkEnd w:id="181"/>
    </w:p>
    <w:p w:rsidR="00962CBE" w:rsidRPr="00E2319F" w:rsidRDefault="00962CBE" w:rsidP="00962CBE">
      <w:pPr>
        <w:spacing w:before="100" w:beforeAutospacing="1" w:after="100" w:afterAutospacing="1" w:line="240" w:lineRule="auto"/>
        <w:jc w:val="both"/>
        <w:rPr>
          <w:rFonts w:cs="Arial"/>
        </w:rPr>
      </w:pPr>
      <w:r w:rsidRPr="00E2319F">
        <w:rPr>
          <w:rFonts w:cs="Arial"/>
        </w:rPr>
        <w:t>La Dirección de Servicios y Atención diseñó y publico el Portafolio de Servicios Institucional con los  objetivos; dar a conocer a la ciudadanía la oferta integral de servicios, programas, trámites y estrategias (contiene 107 infografías amigables); informar requisitos y condiciones generales para el acceso a los servicios; promover y facilitar la auto atención de los ciudadanos; facilitar el relacionamiento con el ciudadano; optimizar el uso de canales electrónicos de atención; promover la racionalización de trámites; fortalecer el acceso a la información y la transparencia, y ampliar e integrar la base de conocimiento.</w:t>
      </w:r>
    </w:p>
    <w:p w:rsidR="00962CBE" w:rsidRPr="00E2319F" w:rsidRDefault="00962CBE" w:rsidP="00962CBE">
      <w:pPr>
        <w:spacing w:before="100" w:beforeAutospacing="1" w:after="100" w:afterAutospacing="1" w:line="240" w:lineRule="auto"/>
        <w:jc w:val="both"/>
        <w:rPr>
          <w:rFonts w:cs="Arial"/>
        </w:rPr>
      </w:pPr>
      <w:r w:rsidRPr="00E2319F">
        <w:rPr>
          <w:rFonts w:cs="Arial"/>
        </w:rPr>
        <w:t xml:space="preserve">Adicional, se fortaleció la clasificación y direccionamiento de PQRDYS, actualizando la </w:t>
      </w:r>
      <w:r w:rsidRPr="00E2319F">
        <w:rPr>
          <w:rFonts w:cs="Arial"/>
          <w:i/>
        </w:rPr>
        <w:t xml:space="preserve">Guía de Gestión de Peticiones Quejas Reclamos Denuncias y Sugerencias del ICBF G1.RC v3 </w:t>
      </w:r>
      <w:r w:rsidRPr="00E2319F">
        <w:rPr>
          <w:rFonts w:cs="Arial"/>
        </w:rPr>
        <w:t>con las principales directrices para el adecuado registro, recepción, direccionamiento y gestión de las solicitudes.</w:t>
      </w:r>
    </w:p>
    <w:p w:rsidR="00962CBE" w:rsidRDefault="00962CBE" w:rsidP="00962CBE">
      <w:pPr>
        <w:spacing w:before="100" w:beforeAutospacing="1" w:after="100" w:afterAutospacing="1" w:line="240" w:lineRule="auto"/>
        <w:jc w:val="both"/>
        <w:rPr>
          <w:rFonts w:cs="Arial"/>
        </w:rPr>
      </w:pPr>
      <w:r w:rsidRPr="00E2319F">
        <w:rPr>
          <w:rFonts w:cs="Arial"/>
        </w:rPr>
        <w:t>El ICBF cuenta con mecanismos de información y comunicación como el aplicativo SIM para la recepción, registro y seguimiento de las Peticiones, Quejas, Reclamos y/o Denuncias; buzones de sugerencias en todas las regionales y los centros zonales; aplicación de encuestas de satisfacción; la Línea Nacional 018000918080; la línea de atención de Violencia Sexual (línea 106); la Línea RUB; línea 141; servicio de chat; video llamada; correo electrónico y Portal Web.</w:t>
      </w:r>
    </w:p>
    <w:p w:rsidR="008362DF" w:rsidRPr="00E2319F" w:rsidRDefault="008362DF" w:rsidP="008362DF">
      <w:pPr>
        <w:pStyle w:val="Prrafodelista"/>
        <w:spacing w:after="0" w:line="240" w:lineRule="auto"/>
        <w:ind w:left="360"/>
        <w:jc w:val="both"/>
        <w:rPr>
          <w:rFonts w:cs="Arial"/>
          <w:color w:val="000000"/>
          <w:lang w:eastAsia="es-CO"/>
        </w:rPr>
      </w:pPr>
    </w:p>
    <w:p w:rsidR="008362DF" w:rsidRPr="008362DF" w:rsidRDefault="008362DF" w:rsidP="008362DF">
      <w:pPr>
        <w:pStyle w:val="Prrafodelista"/>
        <w:numPr>
          <w:ilvl w:val="1"/>
          <w:numId w:val="139"/>
        </w:numPr>
        <w:rPr>
          <w:rFonts w:eastAsiaTheme="majorEastAsia" w:cs="Arial"/>
          <w:b/>
        </w:rPr>
      </w:pPr>
      <w:r w:rsidRPr="008362DF">
        <w:rPr>
          <w:rFonts w:eastAsiaTheme="majorEastAsia" w:cs="Arial"/>
          <w:b/>
        </w:rPr>
        <w:t xml:space="preserve">Sistemas de información y comunicaciones - DIT </w:t>
      </w:r>
    </w:p>
    <w:p w:rsidR="00962CBE" w:rsidRPr="00E2319F" w:rsidRDefault="00962CBE" w:rsidP="00962CBE">
      <w:pPr>
        <w:spacing w:before="100" w:beforeAutospacing="1" w:after="100" w:afterAutospacing="1" w:line="240" w:lineRule="auto"/>
        <w:jc w:val="both"/>
        <w:rPr>
          <w:rFonts w:cs="Arial"/>
        </w:rPr>
      </w:pPr>
      <w:r w:rsidRPr="00E2319F">
        <w:rPr>
          <w:rFonts w:cs="Arial"/>
          <w:noProof/>
          <w:webHidden/>
        </w:rPr>
        <w:t xml:space="preserve">El proceso de gestión de la tecnologia e información liderado por la Dirección de Información y Tecnología - DIT tiene el como objetivo </w:t>
      </w:r>
      <w:r w:rsidRPr="00E2319F">
        <w:rPr>
          <w:rFonts w:cs="Arial"/>
          <w:i/>
          <w:noProof/>
          <w:webHidden/>
        </w:rPr>
        <w:t>“orientar las gestiones de la tecnologia de la información y las comunicaciones TIC articuladas con las estrategias de negocio generando valor en el marco de las políticas y lineamientos establecidos por la autoridad competente”</w:t>
      </w:r>
      <w:r w:rsidRPr="00E2319F">
        <w:rPr>
          <w:rFonts w:cs="Arial"/>
          <w:noProof/>
          <w:webHidden/>
        </w:rPr>
        <w:t xml:space="preserve">. Adicionalmente, la DIT atiende las </w:t>
      </w:r>
      <w:r w:rsidRPr="00E2319F">
        <w:rPr>
          <w:rFonts w:cs="Arial"/>
        </w:rPr>
        <w:t xml:space="preserve">necesidades en TIC (tecnologías de información y las comunicaciones) de los procesos y colaboradores del ICBF, a través del suministro, desarrollo y/o adquisición de soluciones informáticas, las cuales requieren desarrollos adaptativos y/o evolutivos, a medida que crecen o surgen nuevas necesidades en los usuarios, y la incorporación de nuevas soluciones en tecnología para reemplazar las que han cumplido su ciclo. </w:t>
      </w:r>
    </w:p>
    <w:p w:rsidR="00962CBE" w:rsidRPr="00E2319F" w:rsidRDefault="00962CBE" w:rsidP="00962CBE">
      <w:pPr>
        <w:spacing w:before="100" w:beforeAutospacing="1" w:after="100" w:afterAutospacing="1" w:line="240" w:lineRule="auto"/>
        <w:jc w:val="both"/>
        <w:rPr>
          <w:rFonts w:cs="Arial"/>
        </w:rPr>
      </w:pPr>
      <w:r w:rsidRPr="00E2319F">
        <w:rPr>
          <w:rFonts w:cs="Arial"/>
        </w:rPr>
        <w:t xml:space="preserve">Por lo anterior y haciendo referencia al fortalecimiento de los sistemas de información, como fuente de datos para soportar las decisiones y operaciones institucionales, los esfuerzos de la Dirección se han centrado en acciones para transformar los sistemas existentes y/o migrar a nuevos, según resulte del análisis oportunidad/costo/beneficio, encaminados a sistemas de información flexibles, escalables, interoperables y sostenibles financiera y técnicamente. En cuanto a la Infraestructura tecnológica, se ha hecho necesario crecer, fortalecer y evolucionar hacia estrategias de virtualización, plataformas integrales de seguridad, crecimiento y actualización de equipos de cómputo, crecimiento y actualización de licenciamiento, mantenimiento y fortalecimiento de las estructuras para las redes de tecnologías de la información </w:t>
      </w:r>
      <w:r w:rsidRPr="00E2319F">
        <w:rPr>
          <w:rFonts w:cs="Arial"/>
        </w:rPr>
        <w:lastRenderedPageBreak/>
        <w:t xml:space="preserve">y las comunicaciones, entre otros. Con el fin soportar la operación misional y administrativa, bajo la premisa del crecimiento de beneficiarios y colaboradores del ICBF, manteniendo el esquema tercerizado de los servicios complementarios que se derivan de la prestación de servicios de conectividad, junto con los de administración de los recursos (correo, Internet, seguridad, administración de servidores, mesa de ayuda, provisión de repuestos, entre otros). </w:t>
      </w:r>
    </w:p>
    <w:p w:rsidR="00962CBE" w:rsidRPr="00E2319F" w:rsidRDefault="00962CBE" w:rsidP="00962CBE">
      <w:pPr>
        <w:spacing w:before="100" w:beforeAutospacing="1" w:after="100" w:afterAutospacing="1" w:line="240" w:lineRule="auto"/>
        <w:jc w:val="both"/>
        <w:rPr>
          <w:rFonts w:cs="Arial"/>
        </w:rPr>
      </w:pPr>
      <w:r w:rsidRPr="00E2319F">
        <w:rPr>
          <w:rFonts w:cs="Arial"/>
        </w:rPr>
        <w:t>Los Sistemas de Información Misional – SIM (versión 4.7.68) y CUÉNTAME (versión 3.0.10) son los componentes estructurales que soportan la misión del ICBF y que apoyan la gestión de los datos e información de los procesos misionales, al igual que las modalidades de atención de la entidad, particularmente, aquellas dirigidas a los entornos Familiar, Comunitario e Institucional. Estos sistemas de información en el marco de su mantenimiento, evolución y adaptación, tuvieron dentro de su alcance ajustes y modificaciones que respondieron a los requerimientos de tipo normativo y legal, así como solicitudes y necesidades allegadas a la Dirección. Con las cuales se buscó la mejora en la operación de estos y de esta forma contribuir a la satisfacción de los usuarios de los servicios del ICBF. En el transcurso de la vigencia 2017 se han obtenido los siguientes logros relevantes por sistemas de información.</w:t>
      </w:r>
    </w:p>
    <w:p w:rsidR="00962CBE" w:rsidRPr="00E2319F" w:rsidRDefault="00962CBE" w:rsidP="00962CBE">
      <w:pPr>
        <w:spacing w:before="100" w:beforeAutospacing="1" w:after="100" w:afterAutospacing="1" w:line="240" w:lineRule="auto"/>
        <w:jc w:val="both"/>
        <w:rPr>
          <w:rFonts w:cs="Arial"/>
        </w:rPr>
      </w:pPr>
      <w:r w:rsidRPr="00E2319F">
        <w:rPr>
          <w:rFonts w:cs="Arial"/>
        </w:rPr>
        <w:t>Los avances más representativos los sistemas de información misional son:</w:t>
      </w:r>
    </w:p>
    <w:p w:rsidR="00962CBE" w:rsidRPr="00E2319F" w:rsidRDefault="00962CBE" w:rsidP="00962CBE">
      <w:pPr>
        <w:spacing w:before="100" w:beforeAutospacing="1" w:after="100" w:afterAutospacing="1" w:line="240" w:lineRule="auto"/>
        <w:jc w:val="both"/>
        <w:rPr>
          <w:rFonts w:cs="Arial"/>
          <w:b/>
        </w:rPr>
      </w:pPr>
      <w:r w:rsidRPr="00E2319F">
        <w:rPr>
          <w:rFonts w:cs="Arial"/>
          <w:b/>
        </w:rPr>
        <w:t>Sistema de información misional SIM:</w:t>
      </w: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mejoró la funcionalidad del proceso de reserva de información para el módulo de adopciones incluyendo controles que permitan que la información del beneficiario sea visualizada por roles o perfiles autorizados.</w:t>
      </w:r>
    </w:p>
    <w:p w:rsidR="00C05DCA" w:rsidRPr="00C05DCA" w:rsidRDefault="00C05DCA" w:rsidP="00C05DCA">
      <w:pPr>
        <w:spacing w:after="0" w:line="240" w:lineRule="auto"/>
        <w:ind w:left="360"/>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ajustó el módulo de adopciones que permite el registro de la información acorde con el nuevo lineamiento técnico de adopción (adopción pareja del mismo sexo).</w:t>
      </w:r>
    </w:p>
    <w:p w:rsidR="00C05DCA" w:rsidRPr="00C05DCA" w:rsidRDefault="00C05DCA" w:rsidP="00C05DCA">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elaboró el reporte de registro de información de los Asistenciales delegados</w:t>
      </w:r>
      <w:r w:rsidR="00C05DCA">
        <w:rPr>
          <w:rFonts w:cs="Arial"/>
          <w:lang w:val="es-CO" w:eastAsia="es-ES"/>
        </w:rPr>
        <w:t xml:space="preserve"> por los defensores de familia.</w:t>
      </w:r>
    </w:p>
    <w:p w:rsidR="00C05DCA" w:rsidRPr="00C05DCA" w:rsidRDefault="00C05DCA" w:rsidP="00C05DCA">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realizaron cambios a la pantalla de registro de petición para apoyar el proceso de PQRS del ciudadano a través del Portal Web.</w:t>
      </w:r>
    </w:p>
    <w:p w:rsidR="00C05DCA" w:rsidRPr="00C05DCA" w:rsidRDefault="00C05DCA" w:rsidP="00C05DCA">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implementó en ambiente productivo los ajustes a los indicadores PARD de la Dirección de Protección.</w:t>
      </w:r>
    </w:p>
    <w:p w:rsidR="00C05DCA" w:rsidRPr="00C05DCA" w:rsidRDefault="00C05DCA" w:rsidP="00C05DCA">
      <w:pPr>
        <w:spacing w:after="0" w:line="240" w:lineRule="auto"/>
        <w:ind w:left="360"/>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Entró en producción la funcionalidad de transmisión a Migración Colombia del Permiso de Salida del País emitido por los defensores de familia.</w:t>
      </w:r>
    </w:p>
    <w:p w:rsidR="00C05DCA" w:rsidRPr="00C05DCA" w:rsidRDefault="00C05DCA" w:rsidP="00C05DCA">
      <w:pPr>
        <w:spacing w:after="0" w:line="240" w:lineRule="auto"/>
        <w:jc w:val="both"/>
        <w:rPr>
          <w:rFonts w:cs="Arial"/>
          <w:lang w:val="es-CO" w:eastAsia="es-ES"/>
        </w:rPr>
      </w:pPr>
    </w:p>
    <w:p w:rsidR="00C05DCA" w:rsidRPr="00C05DCA" w:rsidRDefault="00962CBE" w:rsidP="00A44A2B">
      <w:pPr>
        <w:numPr>
          <w:ilvl w:val="0"/>
          <w:numId w:val="159"/>
        </w:numPr>
        <w:spacing w:after="0" w:line="240" w:lineRule="auto"/>
        <w:jc w:val="both"/>
        <w:rPr>
          <w:rFonts w:cs="Arial"/>
          <w:lang w:val="es-CO" w:eastAsia="es-ES"/>
        </w:rPr>
      </w:pPr>
      <w:r w:rsidRPr="00C05DCA">
        <w:rPr>
          <w:rFonts w:cs="Arial"/>
          <w:lang w:val="es-CO" w:eastAsia="es-ES"/>
        </w:rPr>
        <w:t>Se incorporó en el Sistema SIM las funcionalidades para el trámite de Denuncias Anticorrupción.</w:t>
      </w:r>
    </w:p>
    <w:p w:rsidR="00C05DCA" w:rsidRPr="00C05DCA" w:rsidRDefault="00C05DCA" w:rsidP="00C05DCA">
      <w:pPr>
        <w:spacing w:after="0" w:line="240" w:lineRule="auto"/>
        <w:ind w:left="360"/>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realizó la puesta en producción de la versión 3,0 del sistema Electrónico de Asignación de Citas-SEAC.</w:t>
      </w:r>
    </w:p>
    <w:p w:rsidR="00C05DCA" w:rsidRPr="00C05DCA" w:rsidRDefault="00C05DCA" w:rsidP="00C05DCA">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lastRenderedPageBreak/>
        <w:t>Entró en producción el registro de techos presupuestales y de cargue de gerencia del módulo de metas sociales y financieras.</w:t>
      </w:r>
    </w:p>
    <w:p w:rsidR="00C05DCA" w:rsidRPr="00C05DCA" w:rsidRDefault="00C05DCA" w:rsidP="00C05DCA">
      <w:pPr>
        <w:spacing w:after="0" w:line="240" w:lineRule="auto"/>
        <w:jc w:val="both"/>
        <w:rPr>
          <w:rFonts w:cs="Arial"/>
          <w:lang w:val="es-CO" w:eastAsia="es-ES"/>
        </w:rPr>
      </w:pPr>
    </w:p>
    <w:p w:rsidR="00962CBE" w:rsidRPr="00C05DCA" w:rsidRDefault="00962CBE" w:rsidP="00A44A2B">
      <w:pPr>
        <w:numPr>
          <w:ilvl w:val="0"/>
          <w:numId w:val="159"/>
        </w:numPr>
        <w:spacing w:after="0" w:line="240" w:lineRule="auto"/>
        <w:jc w:val="both"/>
        <w:rPr>
          <w:rFonts w:cs="Arial"/>
          <w:lang w:val="es-CO" w:eastAsia="es-ES"/>
        </w:rPr>
      </w:pPr>
      <w:r w:rsidRPr="00C05DCA">
        <w:rPr>
          <w:rFonts w:cs="Arial"/>
          <w:lang w:val="es-CO" w:eastAsia="es-ES"/>
        </w:rPr>
        <w:t>Entró en producción los reportes relacionados con SIM- línea anticorrupción</w:t>
      </w:r>
    </w:p>
    <w:p w:rsidR="00962CBE" w:rsidRPr="00E2319F" w:rsidRDefault="00962CBE" w:rsidP="00962CBE">
      <w:pPr>
        <w:spacing w:before="100" w:beforeAutospacing="1" w:after="100" w:afterAutospacing="1" w:line="240" w:lineRule="auto"/>
        <w:jc w:val="both"/>
        <w:rPr>
          <w:rFonts w:cs="Arial"/>
          <w:b/>
        </w:rPr>
      </w:pPr>
      <w:r w:rsidRPr="00E2319F">
        <w:rPr>
          <w:rFonts w:cs="Arial"/>
          <w:b/>
        </w:rPr>
        <w:t>Sistema de información CUÉNTAME</w:t>
      </w:r>
    </w:p>
    <w:p w:rsidR="00C05DCA" w:rsidRDefault="00962CBE" w:rsidP="00A44A2B">
      <w:pPr>
        <w:numPr>
          <w:ilvl w:val="0"/>
          <w:numId w:val="159"/>
        </w:numPr>
        <w:spacing w:after="0" w:line="240" w:lineRule="auto"/>
        <w:jc w:val="both"/>
        <w:rPr>
          <w:rFonts w:cs="Arial"/>
          <w:lang w:val="es-CO" w:eastAsia="es-ES"/>
        </w:rPr>
      </w:pPr>
      <w:r w:rsidRPr="00C05DCA">
        <w:rPr>
          <w:rFonts w:cs="Arial"/>
          <w:lang w:val="es-CO" w:eastAsia="es-ES"/>
        </w:rPr>
        <w:t>Se mejoró el módulo de formación incorporando funcionalidades que permiten agregar o excluir variables tales como temas de formación, vigencia y modalidad según se requiera.</w:t>
      </w:r>
    </w:p>
    <w:p w:rsidR="00962CBE" w:rsidRPr="00C05DCA" w:rsidRDefault="00962CBE" w:rsidP="00C05DCA">
      <w:pPr>
        <w:spacing w:after="0" w:line="240" w:lineRule="auto"/>
        <w:ind w:left="360"/>
        <w:jc w:val="both"/>
        <w:rPr>
          <w:rFonts w:cs="Arial"/>
          <w:lang w:val="es-CO" w:eastAsia="es-ES"/>
        </w:rPr>
      </w:pPr>
      <w:r w:rsidRPr="00C05DCA">
        <w:rPr>
          <w:rFonts w:cs="Arial"/>
          <w:lang w:val="es-CO" w:eastAsia="es-ES"/>
        </w:rPr>
        <w:t> </w:t>
      </w: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implementó la pantalla de focalización que permite a los operadores la consulta de las bases de datos consolidadas del proceso de focalización y el posterior registro de la atención de los beneficiarios focalizados.</w:t>
      </w:r>
    </w:p>
    <w:p w:rsidR="00C05DCA" w:rsidRPr="00C05DCA" w:rsidRDefault="00C05DCA" w:rsidP="00C05DCA">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desplegó en producción la funcionalidad de edición de datos básicos de personas, componente de ubicación y componente de datos básicos.</w:t>
      </w:r>
    </w:p>
    <w:p w:rsidR="00C05DCA" w:rsidRPr="00C05DCA" w:rsidRDefault="00C05DCA" w:rsidP="00C05DCA">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desplegaron en producción la ETL (Extracción, transformación y cargue) masivo de información de beneficiarios de las Direcciones de Primera Infancia, Nutrición, Familias y Comunidades y Niñez y Adolescencia.</w:t>
      </w:r>
    </w:p>
    <w:p w:rsidR="00C05DCA" w:rsidRPr="00C05DCA" w:rsidRDefault="00C05DCA" w:rsidP="00C05DCA">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incorporó la funcionalidad que permite homologar los servicios entre vigencias.</w:t>
      </w:r>
    </w:p>
    <w:p w:rsidR="00C05DCA" w:rsidRPr="00C05DCA" w:rsidRDefault="00C05DCA" w:rsidP="00C05DCA">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incorporó la funcionalidad que permite consumir del Sistema SIM la opción de parametrizar los servicios complementarios (reglas de concurrencia) de atención.</w:t>
      </w:r>
    </w:p>
    <w:p w:rsidR="00C05DCA" w:rsidRPr="00C05DCA" w:rsidRDefault="00C05DCA" w:rsidP="00C05DCA">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incorporó en el Sistema Cuéntame el reporte de beneficiarios con discapacidad y el reporte detallado de duplicados</w:t>
      </w:r>
      <w:r w:rsidR="00C05DCA">
        <w:rPr>
          <w:rFonts w:cs="Arial"/>
          <w:lang w:val="es-CO" w:eastAsia="es-ES"/>
        </w:rPr>
        <w:t>.</w:t>
      </w:r>
    </w:p>
    <w:p w:rsidR="00C05DCA" w:rsidRPr="00C05DCA" w:rsidRDefault="00C05DCA" w:rsidP="00C05DCA">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Entró en producción el nuevo módulo de beneficiarios - Pantalla Única.</w:t>
      </w:r>
    </w:p>
    <w:p w:rsidR="00C05DCA" w:rsidRPr="00C05DCA" w:rsidRDefault="00C05DCA" w:rsidP="00C05DCA">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Entró en producción los reportes de GCB: Programado “Detallado de atenciones de participantes” y "reporte detallado de focalización, de la dirección de Niñez"</w:t>
      </w:r>
      <w:r w:rsidR="00C05DCA">
        <w:rPr>
          <w:rFonts w:cs="Arial"/>
          <w:lang w:val="es-CO" w:eastAsia="es-ES"/>
        </w:rPr>
        <w:t>.</w:t>
      </w:r>
    </w:p>
    <w:p w:rsidR="00C05DCA" w:rsidRPr="00C05DCA" w:rsidRDefault="00C05DCA" w:rsidP="00C05DCA">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Entró en producción los ajustes al módulo de generaciones con bienestar relacionados con paramétricas, grupos contrato, pantalla, diagnóstico/seguimiento.</w:t>
      </w:r>
    </w:p>
    <w:p w:rsidR="00962CBE" w:rsidRPr="00E2319F" w:rsidRDefault="00962CBE" w:rsidP="00962CBE">
      <w:pPr>
        <w:spacing w:before="100" w:beforeAutospacing="1" w:after="100" w:afterAutospacing="1" w:line="240" w:lineRule="auto"/>
        <w:jc w:val="both"/>
        <w:rPr>
          <w:rFonts w:cs="Arial"/>
          <w:b/>
        </w:rPr>
      </w:pPr>
      <w:r w:rsidRPr="00E2319F">
        <w:rPr>
          <w:rFonts w:cs="Arial"/>
          <w:b/>
        </w:rPr>
        <w:t>Sistemas de información de Apoyo.</w:t>
      </w: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Entró en producción el Módulo de Seguimiento a la Ejecución Presupuestal de acuerdo a los requerimientos solicitados por el área funcional.</w:t>
      </w:r>
    </w:p>
    <w:p w:rsidR="00C05DCA" w:rsidRPr="00C05DCA" w:rsidRDefault="00C05DCA" w:rsidP="00C05DCA">
      <w:pPr>
        <w:spacing w:after="0" w:line="240" w:lineRule="auto"/>
        <w:ind w:left="360"/>
        <w:jc w:val="both"/>
        <w:rPr>
          <w:rFonts w:cs="Arial"/>
          <w:lang w:val="es-CO" w:eastAsia="es-ES"/>
        </w:rPr>
      </w:pPr>
    </w:p>
    <w:p w:rsidR="00962CBE" w:rsidRPr="00C05DCA" w:rsidRDefault="00962CBE" w:rsidP="00A44A2B">
      <w:pPr>
        <w:numPr>
          <w:ilvl w:val="0"/>
          <w:numId w:val="159"/>
        </w:numPr>
        <w:spacing w:after="0" w:line="240" w:lineRule="auto"/>
        <w:jc w:val="both"/>
        <w:rPr>
          <w:rFonts w:cs="Arial"/>
          <w:lang w:val="es-CO" w:eastAsia="es-ES"/>
        </w:rPr>
      </w:pPr>
      <w:r w:rsidRPr="00C05DCA">
        <w:rPr>
          <w:rFonts w:cs="Arial"/>
          <w:lang w:val="es-CO" w:eastAsia="es-ES"/>
        </w:rPr>
        <w:t>Se construye la bodega de datos de la solución de BI (Business Intelligent) para los indicadores de primera infancia.</w:t>
      </w: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lastRenderedPageBreak/>
        <w:t>Se adecuó el sistema NSIR para que reciba las plantillas PILA de acuerdo a lo establecido en la Resolución 5858 de 2016.</w:t>
      </w:r>
    </w:p>
    <w:p w:rsidR="00C05DCA" w:rsidRPr="00C05DCA" w:rsidRDefault="00C05DCA" w:rsidP="00C05DCA">
      <w:pPr>
        <w:spacing w:after="0" w:line="240" w:lineRule="auto"/>
        <w:ind w:left="360"/>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desarrolló la versión 2 del sistema SUIN MIT (Modulo de información territorial)</w:t>
      </w:r>
      <w:r w:rsidR="00C05DCA">
        <w:rPr>
          <w:rFonts w:cs="Arial"/>
          <w:lang w:val="es-CO" w:eastAsia="es-ES"/>
        </w:rPr>
        <w:t>.</w:t>
      </w:r>
    </w:p>
    <w:p w:rsidR="00C05DCA" w:rsidRPr="00C05DCA" w:rsidRDefault="00C05DCA" w:rsidP="00C05DCA">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realizó la preparación y transmisión de la información Exógena Nacional de la vigencia 2016 según la Resolución 016 del 15 de marzo de 2017.</w:t>
      </w:r>
    </w:p>
    <w:p w:rsidR="00C05DCA" w:rsidRPr="00C05DCA" w:rsidRDefault="00C05DCA" w:rsidP="00C05DCA">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Entró en producción los reportes del módulo de apropiaciones relacionados con informe de ejecución presupuestal y de indicadores.</w:t>
      </w:r>
    </w:p>
    <w:p w:rsidR="00C05DCA" w:rsidRPr="00C05DCA" w:rsidRDefault="00C05DCA" w:rsidP="00C05DCA">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ajustó el sistema SIGEPCYP para facilitar el registro de las cuentas de cobro, y se incorporó la funcionalidad que permite parametrizar las comisiones y viáticos.</w:t>
      </w:r>
    </w:p>
    <w:p w:rsidR="00C05DCA" w:rsidRPr="00C05DCA" w:rsidRDefault="00C05DCA" w:rsidP="00C05DCA">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ajustó el sistema SICO (Sistema de información de cooperación y convenios) en los datos obligatorios y estado de la funcionalidad.</w:t>
      </w:r>
    </w:p>
    <w:p w:rsidR="00C05DCA" w:rsidRPr="00C05DCA" w:rsidRDefault="00C05DCA" w:rsidP="00C05DCA">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ajustó el sistema NSIR para que permita la identificación de la cartera que llega a través de las planillas PILA.</w:t>
      </w:r>
    </w:p>
    <w:p w:rsidR="00C05DCA" w:rsidRPr="00C05DCA" w:rsidRDefault="00C05DCA" w:rsidP="00C05DCA">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Entró en producción el SITCO (Sistema de Información de Trámite Contractual) en las Regionales, se incorporó la funcionalidad que permite el cargue del CDP y el reporte informe de contraloría.</w:t>
      </w:r>
    </w:p>
    <w:p w:rsidR="00C05DCA" w:rsidRPr="00C05DCA" w:rsidRDefault="00C05DCA" w:rsidP="00C05DCA">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realizó ajustes al sistema PACCO (Plan anual de compras y contratación) para permitir el manejo de vigencias futuras.</w:t>
      </w:r>
    </w:p>
    <w:p w:rsidR="00C05DCA" w:rsidRPr="00C05DCA" w:rsidRDefault="00C05DCA" w:rsidP="00C05DCA">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realizó la Integración automática de NSIR con Pila WEB.</w:t>
      </w:r>
    </w:p>
    <w:p w:rsidR="00C05DCA" w:rsidRPr="00C05DCA" w:rsidRDefault="00C05DCA" w:rsidP="00C05DCA">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implementó la herramienta para encuestas relacionadas con: a) caracterización de modelos de atención a NNA víctimas del delito y b) implementación de las NICSP.</w:t>
      </w:r>
    </w:p>
    <w:p w:rsidR="00C05DCA" w:rsidRPr="00C05DCA" w:rsidRDefault="00C05DCA" w:rsidP="00C05DCA">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 xml:space="preserve">Se incorporó en SIA (Sistema de Información de Apoyo): el módulo de Seguimiento y Control de Estudios del Sector y Costos, relacionado con la funcionalidad que permite la </w:t>
      </w:r>
      <w:r w:rsidR="00C05DCA" w:rsidRPr="00C05DCA">
        <w:rPr>
          <w:rFonts w:cs="Arial"/>
          <w:lang w:val="es-CO" w:eastAsia="es-ES"/>
        </w:rPr>
        <w:t>parametrización</w:t>
      </w:r>
      <w:r w:rsidRPr="00C05DCA">
        <w:rPr>
          <w:rFonts w:cs="Arial"/>
          <w:lang w:val="es-CO" w:eastAsia="es-ES"/>
        </w:rPr>
        <w:t xml:space="preserve"> y registro de solicitudes de estudios de costos; el módulo de proyecciones de necesidades que permite la programación, aprobación y generación de reporte de las necesidades proyectadas; módulo de Gestión de Denuncias Bienes Vacantes Mostrencos y Vocaciones Hereditarias, relacionado con la funcionalidad que permite llevar el flujo de radicación de la denuncia en el portal, y ajustes al Módulo Comparador Jurídico.</w:t>
      </w:r>
    </w:p>
    <w:p w:rsidR="00C05DCA" w:rsidRPr="00C05DCA" w:rsidRDefault="00C05DCA" w:rsidP="00C05DCA">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realizó la integración entre los sistemas SIA SITCO, PACCO, SIGEPCYP y NMF.</w:t>
      </w:r>
    </w:p>
    <w:p w:rsidR="00C05DCA" w:rsidRPr="00C05DCA" w:rsidRDefault="00C05DCA" w:rsidP="00C05DCA">
      <w:pPr>
        <w:spacing w:after="0" w:line="240" w:lineRule="auto"/>
        <w:jc w:val="both"/>
        <w:rPr>
          <w:rFonts w:cs="Arial"/>
          <w:lang w:val="es-CO" w:eastAsia="es-ES"/>
        </w:rPr>
      </w:pPr>
    </w:p>
    <w:p w:rsidR="00962CBE" w:rsidRPr="00E2319F" w:rsidRDefault="00962CBE" w:rsidP="00962CBE">
      <w:pPr>
        <w:spacing w:before="100" w:beforeAutospacing="1" w:after="100" w:afterAutospacing="1" w:line="240" w:lineRule="auto"/>
        <w:jc w:val="both"/>
        <w:rPr>
          <w:rFonts w:cs="Arial"/>
          <w:b/>
        </w:rPr>
      </w:pPr>
      <w:r w:rsidRPr="00E2319F">
        <w:rPr>
          <w:rFonts w:cs="Arial"/>
          <w:b/>
        </w:rPr>
        <w:t>Aplicaciones WEB, intranet y apropiación de TIC</w:t>
      </w: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lastRenderedPageBreak/>
        <w:t>Se culminó el Portafolio de Servicios ICBF, Oferta Institucional de Trámites, Servicios, Programas, Estrategias y modalidades de atención.</w:t>
      </w:r>
    </w:p>
    <w:p w:rsidR="00C05DCA" w:rsidRPr="00C05DCA" w:rsidRDefault="00C05DCA" w:rsidP="00C05DCA">
      <w:pPr>
        <w:spacing w:after="0" w:line="240" w:lineRule="auto"/>
        <w:ind w:left="360"/>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creó un espacio en el portal Web para las publicaciones de los derechos de petición por Regional vigencia 2017, Ley 1755 de 2015.</w:t>
      </w:r>
    </w:p>
    <w:p w:rsidR="00C05DCA" w:rsidRPr="00C05DCA" w:rsidRDefault="00C05DCA" w:rsidP="00C05DCA">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cambió la plataforma que soporta el Portal Web, la intranet y los micrositios del ICBF, así como la migración de sus contenidos.</w:t>
      </w:r>
    </w:p>
    <w:p w:rsidR="00C05DCA" w:rsidRPr="00C05DCA" w:rsidRDefault="00C05DCA" w:rsidP="00C05DCA">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Entró en producción del cambio de la arquitectura del newsletter para iniciar el uso y apropiación en la vigencia 2018.</w:t>
      </w:r>
    </w:p>
    <w:p w:rsidR="00C05DCA" w:rsidRPr="00C05DCA" w:rsidRDefault="00C05DCA" w:rsidP="00C05DCA">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realizó el cambio Look And feel al home del Portal Web solicitado por la Dirección General teniendo en cuenta el lineamiento de Gobierno en Línea.</w:t>
      </w:r>
    </w:p>
    <w:p w:rsidR="00C05DCA" w:rsidRPr="00C05DCA" w:rsidRDefault="00C05DCA" w:rsidP="00C05DCA">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realizó apropiación en las TIC y cultura digital a 1.239 colaboradores de ICBF acerca del Sistema de Gestión de Seguridad de la Información, Herramientas ofimáticas y Sistemas de Información.</w:t>
      </w:r>
    </w:p>
    <w:p w:rsidR="00962CBE" w:rsidRPr="00E2319F" w:rsidRDefault="00962CBE" w:rsidP="00962CBE">
      <w:pPr>
        <w:spacing w:before="100" w:beforeAutospacing="1" w:after="100" w:afterAutospacing="1" w:line="240" w:lineRule="auto"/>
        <w:jc w:val="both"/>
        <w:rPr>
          <w:rFonts w:cs="Arial"/>
          <w:b/>
        </w:rPr>
      </w:pPr>
      <w:r w:rsidRPr="00E2319F">
        <w:rPr>
          <w:rFonts w:cs="Arial"/>
          <w:b/>
        </w:rPr>
        <w:t>Integración, interoperabilidad e inteligencia de negocios</w:t>
      </w:r>
    </w:p>
    <w:p w:rsidR="00C05DCA" w:rsidRDefault="00962CBE" w:rsidP="00A44A2B">
      <w:pPr>
        <w:numPr>
          <w:ilvl w:val="0"/>
          <w:numId w:val="159"/>
        </w:numPr>
        <w:spacing w:after="0" w:line="240" w:lineRule="auto"/>
        <w:jc w:val="both"/>
        <w:rPr>
          <w:rFonts w:cs="Arial"/>
          <w:lang w:val="es-CO" w:eastAsia="es-ES"/>
        </w:rPr>
      </w:pPr>
      <w:r w:rsidRPr="00C05DCA">
        <w:rPr>
          <w:rFonts w:cs="Arial"/>
          <w:lang w:val="es-CO" w:eastAsia="es-ES"/>
        </w:rPr>
        <w:t>Se construye el módulo de integración del beneficiario Único de los sistemas SIM y Cuéntame</w:t>
      </w:r>
      <w:r w:rsidR="00C05DCA">
        <w:rPr>
          <w:rFonts w:cs="Arial"/>
          <w:lang w:val="es-CO" w:eastAsia="es-ES"/>
        </w:rPr>
        <w:t>.</w:t>
      </w:r>
    </w:p>
    <w:p w:rsidR="00C05DCA" w:rsidRDefault="00C05DCA" w:rsidP="00C05DCA">
      <w:pPr>
        <w:spacing w:after="0" w:line="240" w:lineRule="auto"/>
        <w:ind w:left="360"/>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Entró en producción el módulo de integración del beneficiario Único de los Sistemas SIM y Cuéntame (Datos básicos).</w:t>
      </w:r>
    </w:p>
    <w:p w:rsidR="00C05DCA" w:rsidRPr="00C05DCA" w:rsidRDefault="00C05DCA" w:rsidP="00C05DCA">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realizaron los desarrollos de integración de SIM y Cuéntame con el módulo de Auditoría.</w:t>
      </w:r>
    </w:p>
    <w:p w:rsidR="00C05DCA" w:rsidRPr="00C05DCA" w:rsidRDefault="00C05DCA" w:rsidP="00C05DCA">
      <w:pPr>
        <w:spacing w:after="0" w:line="240" w:lineRule="auto"/>
        <w:jc w:val="both"/>
        <w:rPr>
          <w:rFonts w:cs="Arial"/>
          <w:lang w:val="es-CO" w:eastAsia="es-ES"/>
        </w:rPr>
      </w:pPr>
    </w:p>
    <w:p w:rsidR="00C05DCA" w:rsidRPr="00C05DCA" w:rsidRDefault="00962CBE" w:rsidP="00A44A2B">
      <w:pPr>
        <w:numPr>
          <w:ilvl w:val="0"/>
          <w:numId w:val="159"/>
        </w:numPr>
        <w:spacing w:after="0" w:line="240" w:lineRule="auto"/>
        <w:jc w:val="both"/>
        <w:rPr>
          <w:rFonts w:cs="Arial"/>
          <w:lang w:val="es-CO" w:eastAsia="es-ES"/>
        </w:rPr>
      </w:pPr>
      <w:r w:rsidRPr="00C05DCA">
        <w:rPr>
          <w:rFonts w:cs="Arial"/>
          <w:lang w:val="es-CO" w:eastAsia="es-ES"/>
        </w:rPr>
        <w:t>Se realizó la especificación para los i</w:t>
      </w:r>
      <w:r w:rsidR="00C05DCA">
        <w:rPr>
          <w:rFonts w:cs="Arial"/>
          <w:lang w:val="es-CO" w:eastAsia="es-ES"/>
        </w:rPr>
        <w:t>ndicadores de Protección PARD.</w:t>
      </w:r>
    </w:p>
    <w:p w:rsidR="00962CBE" w:rsidRPr="00E2319F" w:rsidRDefault="00962CBE" w:rsidP="00962CBE">
      <w:pPr>
        <w:spacing w:before="100" w:beforeAutospacing="1" w:after="100" w:afterAutospacing="1" w:line="240" w:lineRule="auto"/>
        <w:jc w:val="both"/>
        <w:rPr>
          <w:rFonts w:cs="Arial"/>
          <w:b/>
        </w:rPr>
      </w:pPr>
      <w:r w:rsidRPr="00E2319F">
        <w:rPr>
          <w:rFonts w:cs="Arial"/>
          <w:b/>
        </w:rPr>
        <w:t>Sistema de gestión de seguridad de la información – SGSI</w:t>
      </w: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actualizó el manual de Políticas de Seguridad de la Información, declaración de aplicabilidad y la resolución 9364 del 13 de septiembre de 2016.</w:t>
      </w:r>
    </w:p>
    <w:p w:rsidR="00C05DCA" w:rsidRPr="00C05DCA" w:rsidRDefault="00C05DCA" w:rsidP="00C05DCA">
      <w:pPr>
        <w:spacing w:after="0" w:line="240" w:lineRule="auto"/>
        <w:ind w:left="360"/>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ejecutó el plan de pruebas de Continuidad de TI en la Sede de la Dirección General y en las 33 Regionales de acuerdo a lo planeado.</w:t>
      </w:r>
    </w:p>
    <w:p w:rsidR="00C05DCA" w:rsidRPr="00C05DCA" w:rsidRDefault="00C05DCA" w:rsidP="00C05DCA">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Elaboración de los instrumentos para el cumplimiento de las cláusulas del eje de Seguridad de la Información en la Guía de Adquisición de Bienes.</w:t>
      </w:r>
    </w:p>
    <w:p w:rsidR="00C05DCA" w:rsidRPr="00C05DCA" w:rsidRDefault="00C05DCA" w:rsidP="00C05DCA">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publicó el Registro de Activos de Información para cumplimiento de la Ley 1712 de 2014.</w:t>
      </w:r>
    </w:p>
    <w:p w:rsidR="00962CBE" w:rsidRPr="00E2319F" w:rsidRDefault="00962CBE" w:rsidP="00962CBE">
      <w:pPr>
        <w:spacing w:before="100" w:beforeAutospacing="1" w:after="100" w:afterAutospacing="1" w:line="240" w:lineRule="auto"/>
        <w:jc w:val="both"/>
        <w:rPr>
          <w:rFonts w:cs="Arial"/>
          <w:b/>
        </w:rPr>
      </w:pPr>
      <w:r w:rsidRPr="00E2319F">
        <w:rPr>
          <w:rFonts w:cs="Arial"/>
          <w:b/>
        </w:rPr>
        <w:t>Estrategia de gobierno en línea</w:t>
      </w: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lastRenderedPageBreak/>
        <w:t>En el marco del concurso de máxima velocidad de MinTIC 2017. Se logró la participación y cumplimiento de los siguientes retos: No.1-acceso a la información pública, No.4-apertura y.</w:t>
      </w:r>
    </w:p>
    <w:p w:rsidR="00C05DCA" w:rsidRPr="00C05DCA" w:rsidRDefault="00C05DCA" w:rsidP="00C05DCA">
      <w:pPr>
        <w:spacing w:after="0" w:line="240" w:lineRule="auto"/>
        <w:ind w:left="360"/>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Entró a producción el nuevo mircrositio de la DIT en la Intranet ICBF, incluye los 6 dominios de arquitectura de TI, SGSI y el catálogo de servicios tecnológicos de la DIT.</w:t>
      </w:r>
    </w:p>
    <w:p w:rsidR="00637D3D" w:rsidRPr="00C05DCA" w:rsidRDefault="00637D3D" w:rsidP="00637D3D">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Se construyen 70 Mapas de Servicios que representen los elementos de infraestructura involucrados en el intercambio de información al interior de la entidad y con sistemas externos.</w:t>
      </w:r>
    </w:p>
    <w:p w:rsidR="00ED25D1" w:rsidRDefault="00ED25D1" w:rsidP="00ED25D1">
      <w:pPr>
        <w:spacing w:after="0" w:line="240" w:lineRule="auto"/>
        <w:ind w:left="360"/>
        <w:jc w:val="both"/>
        <w:rPr>
          <w:rFonts w:cs="Arial"/>
          <w:lang w:val="es-CO" w:eastAsia="es-ES"/>
        </w:rPr>
      </w:pPr>
    </w:p>
    <w:p w:rsidR="008362DF" w:rsidRPr="00E2319F" w:rsidRDefault="008362DF" w:rsidP="008362DF">
      <w:pPr>
        <w:pStyle w:val="Prrafodelista"/>
        <w:spacing w:after="0" w:line="240" w:lineRule="auto"/>
        <w:ind w:left="360"/>
        <w:jc w:val="both"/>
        <w:rPr>
          <w:rFonts w:cs="Arial"/>
          <w:color w:val="000000"/>
          <w:lang w:eastAsia="es-CO"/>
        </w:rPr>
      </w:pPr>
    </w:p>
    <w:p w:rsidR="00C05DCA" w:rsidRPr="008362DF" w:rsidRDefault="008362DF" w:rsidP="008362DF">
      <w:pPr>
        <w:pStyle w:val="Prrafodelista"/>
        <w:numPr>
          <w:ilvl w:val="1"/>
          <w:numId w:val="139"/>
        </w:numPr>
        <w:rPr>
          <w:rFonts w:eastAsiaTheme="majorEastAsia" w:cs="Arial"/>
          <w:b/>
        </w:rPr>
      </w:pPr>
      <w:r>
        <w:rPr>
          <w:rFonts w:eastAsiaTheme="majorEastAsia" w:cs="Arial"/>
          <w:b/>
        </w:rPr>
        <w:t>LOGROS 2017</w:t>
      </w:r>
      <w:r w:rsidRPr="008362DF">
        <w:rPr>
          <w:rFonts w:eastAsiaTheme="majorEastAsia" w:cs="Arial"/>
          <w:b/>
        </w:rPr>
        <w:t xml:space="preserve"> </w:t>
      </w:r>
    </w:p>
    <w:p w:rsidR="00C05DCA" w:rsidRDefault="00962CBE" w:rsidP="00A44A2B">
      <w:pPr>
        <w:numPr>
          <w:ilvl w:val="0"/>
          <w:numId w:val="159"/>
        </w:numPr>
        <w:spacing w:after="0" w:line="240" w:lineRule="auto"/>
        <w:jc w:val="both"/>
        <w:rPr>
          <w:rFonts w:cs="Arial"/>
          <w:lang w:val="es-CO" w:eastAsia="es-ES"/>
        </w:rPr>
      </w:pPr>
      <w:r w:rsidRPr="00C05DCA">
        <w:rPr>
          <w:rFonts w:cs="Arial"/>
          <w:lang w:val="es-CO" w:eastAsia="es-ES"/>
        </w:rPr>
        <w:t>Se obtuvo el segundo lugar en los premios Indigo 2017 de MINTIC con el caso "Plan de Gestión de Cultura Organizacional en apropiación del SGSI.</w:t>
      </w:r>
    </w:p>
    <w:p w:rsidR="00C05DCA" w:rsidRPr="00C05DCA" w:rsidRDefault="00C05DCA" w:rsidP="00C05DCA">
      <w:pPr>
        <w:spacing w:after="0" w:line="240" w:lineRule="auto"/>
        <w:ind w:left="360"/>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C05DCA">
        <w:rPr>
          <w:rFonts w:cs="Arial"/>
          <w:lang w:val="es-CO" w:eastAsia="es-ES"/>
        </w:rPr>
        <w:t>Certificación nivel 1,2 y 3 en Lenguaje Común de Intercambio de Información ante MinTIC, para el servicio web de consulta de beneficiarios en la base de datos del sistema misional del ICBF Cuéntame para la Gobernación de Antioquia.</w:t>
      </w:r>
    </w:p>
    <w:p w:rsidR="00C05DCA" w:rsidRPr="00C05DCA" w:rsidRDefault="00C05DCA" w:rsidP="00C05DCA">
      <w:pPr>
        <w:spacing w:after="0" w:line="240" w:lineRule="auto"/>
        <w:jc w:val="both"/>
        <w:rPr>
          <w:rFonts w:cs="Arial"/>
          <w:lang w:val="es-CO" w:eastAsia="es-ES"/>
        </w:rPr>
      </w:pPr>
    </w:p>
    <w:p w:rsidR="00545652" w:rsidRDefault="00962CBE" w:rsidP="00A44A2B">
      <w:pPr>
        <w:numPr>
          <w:ilvl w:val="0"/>
          <w:numId w:val="159"/>
        </w:numPr>
        <w:spacing w:after="0" w:line="240" w:lineRule="auto"/>
        <w:jc w:val="both"/>
        <w:rPr>
          <w:rFonts w:cs="Arial"/>
          <w:lang w:val="es-CO" w:eastAsia="es-ES"/>
        </w:rPr>
      </w:pPr>
      <w:r w:rsidRPr="00C05DCA">
        <w:rPr>
          <w:rFonts w:cs="Arial"/>
          <w:lang w:val="es-CO" w:eastAsia="es-ES"/>
        </w:rPr>
        <w:t>Participación en la Auditoría realiza por MINTIC para el componente de Seguridad y Privacidad de la Información. En la cual se obtuvo como resultado una calificación del 100%, conclusión del documento: "1. El equipo de seguridad de la información del ICBF ha demostrado un trabajo constante en la planificación e implementación del Modelo de Seguridad y Privacidad de la Información logrando un avance del 100%. Esto representa un logro institucional y orgullo nacional, al saber que la información sensible de la entidad está bajo unos niveles de seguridad óptimos como lo son las buenas prácticas de la norma ISO 27001".</w:t>
      </w:r>
    </w:p>
    <w:p w:rsidR="008362DF" w:rsidRDefault="008362DF" w:rsidP="008362DF">
      <w:pPr>
        <w:spacing w:after="0" w:line="240" w:lineRule="auto"/>
        <w:ind w:left="360"/>
        <w:jc w:val="both"/>
        <w:rPr>
          <w:rFonts w:cs="Arial"/>
          <w:lang w:val="es-CO" w:eastAsia="es-ES"/>
        </w:rPr>
      </w:pPr>
    </w:p>
    <w:p w:rsidR="008362DF" w:rsidRPr="00E2319F" w:rsidRDefault="008362DF" w:rsidP="008362DF">
      <w:pPr>
        <w:pStyle w:val="Prrafodelista"/>
        <w:spacing w:after="0" w:line="240" w:lineRule="auto"/>
        <w:ind w:left="360"/>
        <w:jc w:val="both"/>
        <w:rPr>
          <w:rFonts w:cs="Arial"/>
          <w:color w:val="000000"/>
          <w:lang w:eastAsia="es-CO"/>
        </w:rPr>
      </w:pPr>
    </w:p>
    <w:p w:rsidR="00ED25D1" w:rsidRPr="00637D3D" w:rsidRDefault="008362DF" w:rsidP="00637D3D">
      <w:pPr>
        <w:pStyle w:val="Prrafodelista"/>
        <w:numPr>
          <w:ilvl w:val="1"/>
          <w:numId w:val="139"/>
        </w:numPr>
        <w:rPr>
          <w:rFonts w:eastAsiaTheme="majorEastAsia" w:cs="Arial"/>
          <w:b/>
        </w:rPr>
      </w:pPr>
      <w:r>
        <w:rPr>
          <w:rFonts w:eastAsiaTheme="majorEastAsia" w:cs="Arial"/>
          <w:b/>
        </w:rPr>
        <w:t>RETOS 2018</w:t>
      </w:r>
      <w:r w:rsidRPr="008362DF">
        <w:rPr>
          <w:rFonts w:eastAsiaTheme="majorEastAsia" w:cs="Arial"/>
          <w:b/>
        </w:rPr>
        <w:t xml:space="preserve"> </w:t>
      </w:r>
    </w:p>
    <w:p w:rsidR="00962CBE" w:rsidRPr="00ED25D1" w:rsidRDefault="00962CBE" w:rsidP="00A44A2B">
      <w:pPr>
        <w:numPr>
          <w:ilvl w:val="0"/>
          <w:numId w:val="159"/>
        </w:numPr>
        <w:spacing w:after="0" w:line="240" w:lineRule="auto"/>
        <w:jc w:val="both"/>
        <w:rPr>
          <w:rFonts w:cs="Arial"/>
          <w:lang w:val="es-CO" w:eastAsia="es-ES"/>
        </w:rPr>
      </w:pPr>
      <w:r w:rsidRPr="00ED25D1">
        <w:rPr>
          <w:rFonts w:cs="Arial"/>
          <w:lang w:val="es-CO" w:eastAsia="es-ES"/>
        </w:rPr>
        <w:t>Identificación de los componentes de información del ICBF (datos, información, flujos de información, servicios de información y sistemas de información) por procesos o áreas derivado del ejercicio de Arquitectura Empresarial que se lideren en la Entidad.</w:t>
      </w:r>
    </w:p>
    <w:p w:rsidR="00ED25D1" w:rsidRPr="00ED25D1" w:rsidRDefault="00ED25D1" w:rsidP="00ED25D1">
      <w:pPr>
        <w:spacing w:after="0" w:line="240" w:lineRule="auto"/>
        <w:ind w:left="360"/>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ED25D1">
        <w:rPr>
          <w:rFonts w:cs="Arial"/>
          <w:lang w:val="es-CO" w:eastAsia="es-ES"/>
        </w:rPr>
        <w:t>Llegar al 100% en el modelo MPSO (modelo de seguridad y privacidad de a información) del MinTIC.</w:t>
      </w:r>
    </w:p>
    <w:p w:rsidR="00ED25D1" w:rsidRPr="00ED25D1" w:rsidRDefault="00ED25D1" w:rsidP="00ED25D1">
      <w:pPr>
        <w:spacing w:after="0" w:line="240" w:lineRule="auto"/>
        <w:jc w:val="both"/>
        <w:rPr>
          <w:rFonts w:cs="Arial"/>
          <w:lang w:val="es-CO" w:eastAsia="es-ES"/>
        </w:rPr>
      </w:pPr>
    </w:p>
    <w:p w:rsidR="00ED25D1" w:rsidRDefault="00962CBE" w:rsidP="00A44A2B">
      <w:pPr>
        <w:numPr>
          <w:ilvl w:val="0"/>
          <w:numId w:val="159"/>
        </w:numPr>
        <w:spacing w:after="0" w:line="240" w:lineRule="auto"/>
        <w:jc w:val="both"/>
        <w:rPr>
          <w:rFonts w:cs="Arial"/>
          <w:lang w:val="es-CO" w:eastAsia="es-ES"/>
        </w:rPr>
      </w:pPr>
      <w:r w:rsidRPr="00E2319F">
        <w:rPr>
          <w:rFonts w:cs="Arial"/>
          <w:lang w:val="es-CO" w:eastAsia="es-ES"/>
        </w:rPr>
        <w:t>Integración de los Sistemas de Contratos, PACCO, SIGEPCYP con el Sistema de Información Misional SIM; y los sistemas NSIR Y SIREC, con la finalidad de identificar y tener una fuente única de los pagos de cartera e intereses que son reportados a través de las planillas de PILA, cajas de compensación y bancos.</w:t>
      </w:r>
    </w:p>
    <w:p w:rsidR="00ED25D1" w:rsidRPr="00ED25D1" w:rsidRDefault="00ED25D1" w:rsidP="00ED25D1">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E2319F">
        <w:rPr>
          <w:rFonts w:cs="Arial"/>
          <w:lang w:val="es-CO" w:eastAsia="es-ES"/>
        </w:rPr>
        <w:t>Implementar el gestor documental ORFEO en 254 sedes de la Entidad.</w:t>
      </w:r>
    </w:p>
    <w:p w:rsidR="00ED25D1" w:rsidRPr="00E2319F" w:rsidRDefault="00ED25D1" w:rsidP="00ED25D1">
      <w:pPr>
        <w:spacing w:after="0" w:line="240" w:lineRule="auto"/>
        <w:jc w:val="both"/>
        <w:rPr>
          <w:rFonts w:cs="Arial"/>
          <w:lang w:val="es-CO" w:eastAsia="es-ES"/>
        </w:rPr>
      </w:pPr>
    </w:p>
    <w:p w:rsidR="00962CBE" w:rsidRDefault="00962CBE" w:rsidP="00A44A2B">
      <w:pPr>
        <w:numPr>
          <w:ilvl w:val="0"/>
          <w:numId w:val="159"/>
        </w:numPr>
        <w:spacing w:after="0" w:line="240" w:lineRule="auto"/>
        <w:jc w:val="both"/>
        <w:rPr>
          <w:rFonts w:cs="Arial"/>
          <w:lang w:val="es-CO" w:eastAsia="es-ES"/>
        </w:rPr>
      </w:pPr>
      <w:r w:rsidRPr="00E2319F">
        <w:rPr>
          <w:rFonts w:cs="Arial"/>
          <w:lang w:val="es-CO" w:eastAsia="es-ES"/>
        </w:rPr>
        <w:lastRenderedPageBreak/>
        <w:t xml:space="preserve">No generar traumatismos en la operación de los servicios de TIC con la renovación de la contratación con Vigencias Futuras (Trámite </w:t>
      </w:r>
      <w:r w:rsidR="00ED25D1">
        <w:rPr>
          <w:rFonts w:cs="Arial"/>
          <w:lang w:val="es-CO" w:eastAsia="es-ES"/>
        </w:rPr>
        <w:t>y aprobación) los servicios de:</w:t>
      </w:r>
    </w:p>
    <w:p w:rsidR="00ED25D1" w:rsidRDefault="00ED25D1" w:rsidP="00ED25D1">
      <w:pPr>
        <w:spacing w:after="0" w:line="240" w:lineRule="auto"/>
        <w:ind w:left="360"/>
        <w:jc w:val="both"/>
        <w:rPr>
          <w:rFonts w:cs="Arial"/>
          <w:lang w:val="es-CO" w:eastAsia="es-ES"/>
        </w:rPr>
      </w:pPr>
    </w:p>
    <w:p w:rsidR="00962CBE" w:rsidRPr="00ED25D1" w:rsidRDefault="00962CBE" w:rsidP="00A44A2B">
      <w:pPr>
        <w:numPr>
          <w:ilvl w:val="1"/>
          <w:numId w:val="101"/>
        </w:numPr>
        <w:spacing w:after="0" w:line="240" w:lineRule="auto"/>
        <w:ind w:left="720"/>
        <w:jc w:val="both"/>
        <w:rPr>
          <w:rFonts w:cs="Arial"/>
          <w:lang w:eastAsia="es-ES"/>
        </w:rPr>
      </w:pPr>
      <w:r w:rsidRPr="00ED25D1">
        <w:rPr>
          <w:rFonts w:cs="Arial"/>
          <w:lang w:eastAsia="es-ES"/>
        </w:rPr>
        <w:t>Housing (Alojamiento en Data Center).</w:t>
      </w:r>
    </w:p>
    <w:p w:rsidR="00962CBE" w:rsidRPr="00ED25D1" w:rsidRDefault="00962CBE" w:rsidP="00A44A2B">
      <w:pPr>
        <w:numPr>
          <w:ilvl w:val="1"/>
          <w:numId w:val="101"/>
        </w:numPr>
        <w:spacing w:after="0" w:line="240" w:lineRule="auto"/>
        <w:ind w:left="720"/>
        <w:jc w:val="both"/>
        <w:rPr>
          <w:rFonts w:cs="Arial"/>
          <w:lang w:eastAsia="es-ES"/>
        </w:rPr>
      </w:pPr>
      <w:r w:rsidRPr="00ED25D1">
        <w:rPr>
          <w:rFonts w:cs="Arial"/>
          <w:lang w:eastAsia="es-ES"/>
        </w:rPr>
        <w:t xml:space="preserve">Conectividad (Enlaces de comunicación dedicados para cada sede y de internet). </w:t>
      </w:r>
    </w:p>
    <w:p w:rsidR="00962CBE" w:rsidRPr="00ED25D1" w:rsidRDefault="00962CBE" w:rsidP="00A44A2B">
      <w:pPr>
        <w:numPr>
          <w:ilvl w:val="1"/>
          <w:numId w:val="101"/>
        </w:numPr>
        <w:spacing w:after="0" w:line="240" w:lineRule="auto"/>
        <w:ind w:left="720"/>
        <w:jc w:val="both"/>
        <w:rPr>
          <w:rFonts w:cs="Arial"/>
          <w:lang w:eastAsia="es-ES"/>
        </w:rPr>
      </w:pPr>
      <w:r w:rsidRPr="00ED25D1">
        <w:rPr>
          <w:rFonts w:cs="Arial"/>
          <w:lang w:eastAsia="es-ES"/>
        </w:rPr>
        <w:t xml:space="preserve">Mesa de ayuda y soporte en sitio. </w:t>
      </w:r>
    </w:p>
    <w:p w:rsidR="00962CBE" w:rsidRPr="00ED25D1" w:rsidRDefault="00962CBE" w:rsidP="00A44A2B">
      <w:pPr>
        <w:numPr>
          <w:ilvl w:val="1"/>
          <w:numId w:val="101"/>
        </w:numPr>
        <w:spacing w:after="0" w:line="240" w:lineRule="auto"/>
        <w:ind w:left="720"/>
        <w:jc w:val="both"/>
        <w:rPr>
          <w:rFonts w:cs="Arial"/>
          <w:lang w:eastAsia="es-ES"/>
        </w:rPr>
      </w:pPr>
      <w:r w:rsidRPr="00ED25D1">
        <w:rPr>
          <w:rFonts w:cs="Arial"/>
          <w:lang w:eastAsia="es-ES"/>
        </w:rPr>
        <w:t>Administración de Infraestructura central (Servidores, Base de Datos, Aplicaciones, Almacenamiento, Seguridad Perimetral, Data Center, Backup y Respaldo, Correo Electrónico y Office 365, Redes LAN y WAN de Sede Nacional.</w:t>
      </w:r>
    </w:p>
    <w:p w:rsidR="00962CBE" w:rsidRPr="00E2319F" w:rsidRDefault="00962CBE" w:rsidP="00962CBE">
      <w:pPr>
        <w:autoSpaceDE w:val="0"/>
        <w:autoSpaceDN w:val="0"/>
        <w:spacing w:before="100" w:beforeAutospacing="1" w:after="100" w:afterAutospacing="1" w:line="240" w:lineRule="auto"/>
        <w:jc w:val="both"/>
        <w:rPr>
          <w:rFonts w:cs="Arial"/>
          <w:b/>
        </w:rPr>
      </w:pPr>
    </w:p>
    <w:p w:rsidR="00962CBE" w:rsidRPr="00E2319F" w:rsidRDefault="00962CBE" w:rsidP="00962CBE">
      <w:pPr>
        <w:autoSpaceDE w:val="0"/>
        <w:autoSpaceDN w:val="0"/>
        <w:spacing w:before="100" w:beforeAutospacing="1" w:after="100" w:afterAutospacing="1" w:line="240" w:lineRule="auto"/>
        <w:jc w:val="both"/>
        <w:rPr>
          <w:rFonts w:cs="Arial"/>
          <w:b/>
        </w:rPr>
      </w:pPr>
    </w:p>
    <w:p w:rsidR="00962CBE" w:rsidRPr="00E2319F" w:rsidRDefault="00962CBE" w:rsidP="00962CBE">
      <w:pPr>
        <w:autoSpaceDE w:val="0"/>
        <w:autoSpaceDN w:val="0"/>
        <w:spacing w:before="100" w:beforeAutospacing="1" w:after="100" w:afterAutospacing="1" w:line="240" w:lineRule="auto"/>
        <w:jc w:val="both"/>
        <w:rPr>
          <w:rFonts w:cs="Arial"/>
          <w:b/>
        </w:rPr>
      </w:pPr>
    </w:p>
    <w:p w:rsidR="00962CBE" w:rsidRPr="00E2319F" w:rsidRDefault="00962CBE" w:rsidP="00962CBE">
      <w:pPr>
        <w:autoSpaceDE w:val="0"/>
        <w:autoSpaceDN w:val="0"/>
        <w:spacing w:before="100" w:beforeAutospacing="1" w:after="100" w:afterAutospacing="1" w:line="240" w:lineRule="auto"/>
        <w:jc w:val="both"/>
        <w:rPr>
          <w:rFonts w:cs="Arial"/>
          <w:b/>
        </w:rPr>
      </w:pPr>
    </w:p>
    <w:p w:rsidR="00962CBE" w:rsidRPr="00E2319F" w:rsidRDefault="00962CBE" w:rsidP="00962CBE">
      <w:pPr>
        <w:autoSpaceDE w:val="0"/>
        <w:autoSpaceDN w:val="0"/>
        <w:spacing w:before="100" w:beforeAutospacing="1" w:after="100" w:afterAutospacing="1" w:line="240" w:lineRule="auto"/>
        <w:jc w:val="both"/>
        <w:rPr>
          <w:rFonts w:cs="Arial"/>
          <w:b/>
        </w:rPr>
      </w:pPr>
    </w:p>
    <w:p w:rsidR="00962CBE" w:rsidRPr="00E2319F" w:rsidRDefault="00962CBE" w:rsidP="00962CBE">
      <w:pPr>
        <w:autoSpaceDE w:val="0"/>
        <w:autoSpaceDN w:val="0"/>
        <w:spacing w:before="100" w:beforeAutospacing="1" w:after="100" w:afterAutospacing="1" w:line="240" w:lineRule="auto"/>
        <w:jc w:val="both"/>
        <w:rPr>
          <w:rFonts w:cs="Arial"/>
          <w:b/>
        </w:rPr>
      </w:pPr>
    </w:p>
    <w:p w:rsidR="000F042D" w:rsidRPr="00E2319F" w:rsidRDefault="000F042D" w:rsidP="000F042D">
      <w:pPr>
        <w:autoSpaceDE w:val="0"/>
        <w:autoSpaceDN w:val="0"/>
        <w:spacing w:before="100" w:beforeAutospacing="1" w:after="100" w:afterAutospacing="1" w:line="240" w:lineRule="auto"/>
        <w:jc w:val="both"/>
        <w:rPr>
          <w:rFonts w:cs="Arial"/>
          <w:b/>
        </w:rPr>
      </w:pPr>
    </w:p>
    <w:p w:rsidR="00EF3ABF" w:rsidRPr="00E2319F" w:rsidRDefault="00EF3ABF" w:rsidP="00EF3ABF">
      <w:pPr>
        <w:autoSpaceDE w:val="0"/>
        <w:autoSpaceDN w:val="0"/>
        <w:spacing w:before="100" w:beforeAutospacing="1" w:after="100" w:afterAutospacing="1" w:line="240" w:lineRule="auto"/>
        <w:jc w:val="both"/>
        <w:rPr>
          <w:rFonts w:cs="Arial"/>
          <w:b/>
        </w:rPr>
      </w:pPr>
    </w:p>
    <w:p w:rsidR="000F042D" w:rsidRPr="00E2319F" w:rsidRDefault="000F042D" w:rsidP="00EF3ABF">
      <w:pPr>
        <w:autoSpaceDE w:val="0"/>
        <w:autoSpaceDN w:val="0"/>
        <w:spacing w:before="100" w:beforeAutospacing="1" w:after="100" w:afterAutospacing="1" w:line="240" w:lineRule="auto"/>
        <w:jc w:val="both"/>
        <w:rPr>
          <w:rFonts w:cs="Arial"/>
          <w:b/>
        </w:rPr>
      </w:pPr>
    </w:p>
    <w:p w:rsidR="000F042D" w:rsidRPr="00E2319F" w:rsidRDefault="000F042D" w:rsidP="00EF3ABF">
      <w:pPr>
        <w:autoSpaceDE w:val="0"/>
        <w:autoSpaceDN w:val="0"/>
        <w:spacing w:before="100" w:beforeAutospacing="1" w:after="100" w:afterAutospacing="1" w:line="240" w:lineRule="auto"/>
        <w:jc w:val="both"/>
        <w:rPr>
          <w:rFonts w:cs="Arial"/>
          <w:b/>
        </w:rPr>
      </w:pPr>
    </w:p>
    <w:p w:rsidR="000F042D" w:rsidRPr="00E2319F" w:rsidRDefault="000F042D" w:rsidP="00EF3ABF">
      <w:pPr>
        <w:autoSpaceDE w:val="0"/>
        <w:autoSpaceDN w:val="0"/>
        <w:spacing w:before="100" w:beforeAutospacing="1" w:after="100" w:afterAutospacing="1" w:line="240" w:lineRule="auto"/>
        <w:jc w:val="both"/>
        <w:rPr>
          <w:rFonts w:cs="Arial"/>
          <w:b/>
        </w:rPr>
      </w:pPr>
    </w:p>
    <w:p w:rsidR="000F042D" w:rsidRPr="00E2319F" w:rsidRDefault="000F042D" w:rsidP="00EF3ABF">
      <w:pPr>
        <w:autoSpaceDE w:val="0"/>
        <w:autoSpaceDN w:val="0"/>
        <w:spacing w:before="100" w:beforeAutospacing="1" w:after="100" w:afterAutospacing="1" w:line="240" w:lineRule="auto"/>
        <w:jc w:val="both"/>
        <w:rPr>
          <w:rFonts w:cs="Arial"/>
          <w:b/>
        </w:rPr>
      </w:pPr>
    </w:p>
    <w:p w:rsidR="000F042D" w:rsidRPr="00E2319F" w:rsidRDefault="000F042D" w:rsidP="00EF3ABF">
      <w:pPr>
        <w:autoSpaceDE w:val="0"/>
        <w:autoSpaceDN w:val="0"/>
        <w:spacing w:before="100" w:beforeAutospacing="1" w:after="100" w:afterAutospacing="1" w:line="240" w:lineRule="auto"/>
        <w:jc w:val="both"/>
        <w:rPr>
          <w:rFonts w:cs="Arial"/>
          <w:b/>
        </w:rPr>
      </w:pPr>
    </w:p>
    <w:p w:rsidR="000F042D" w:rsidRPr="00E2319F" w:rsidRDefault="000F042D" w:rsidP="00EF3ABF">
      <w:pPr>
        <w:autoSpaceDE w:val="0"/>
        <w:autoSpaceDN w:val="0"/>
        <w:spacing w:before="100" w:beforeAutospacing="1" w:after="100" w:afterAutospacing="1" w:line="240" w:lineRule="auto"/>
        <w:jc w:val="both"/>
        <w:rPr>
          <w:rFonts w:cs="Arial"/>
          <w:b/>
        </w:rPr>
      </w:pPr>
    </w:p>
    <w:p w:rsidR="000F042D" w:rsidRPr="00E2319F" w:rsidRDefault="000F042D" w:rsidP="00EF3ABF">
      <w:pPr>
        <w:autoSpaceDE w:val="0"/>
        <w:autoSpaceDN w:val="0"/>
        <w:spacing w:before="100" w:beforeAutospacing="1" w:after="100" w:afterAutospacing="1" w:line="240" w:lineRule="auto"/>
        <w:jc w:val="both"/>
        <w:rPr>
          <w:rFonts w:cs="Arial"/>
          <w:b/>
        </w:rPr>
      </w:pPr>
    </w:p>
    <w:p w:rsidR="003609FA" w:rsidRPr="00E2319F" w:rsidRDefault="003609FA" w:rsidP="00EF3ABF">
      <w:pPr>
        <w:autoSpaceDE w:val="0"/>
        <w:autoSpaceDN w:val="0"/>
        <w:spacing w:before="100" w:beforeAutospacing="1" w:after="100" w:afterAutospacing="1" w:line="240" w:lineRule="auto"/>
        <w:jc w:val="both"/>
        <w:rPr>
          <w:rFonts w:cs="Arial"/>
          <w:b/>
        </w:rPr>
      </w:pPr>
    </w:p>
    <w:p w:rsidR="003609FA" w:rsidRPr="00E2319F" w:rsidRDefault="003609FA" w:rsidP="00EF3ABF">
      <w:pPr>
        <w:autoSpaceDE w:val="0"/>
        <w:autoSpaceDN w:val="0"/>
        <w:spacing w:before="100" w:beforeAutospacing="1" w:after="100" w:afterAutospacing="1" w:line="240" w:lineRule="auto"/>
        <w:jc w:val="both"/>
        <w:rPr>
          <w:rFonts w:cs="Arial"/>
          <w:b/>
        </w:rPr>
      </w:pPr>
    </w:p>
    <w:p w:rsidR="001640B9" w:rsidRPr="00E2319F" w:rsidRDefault="001640B9" w:rsidP="00EF3ABF">
      <w:pPr>
        <w:autoSpaceDE w:val="0"/>
        <w:autoSpaceDN w:val="0"/>
        <w:spacing w:before="100" w:beforeAutospacing="1" w:after="100" w:afterAutospacing="1" w:line="240" w:lineRule="auto"/>
        <w:jc w:val="both"/>
        <w:rPr>
          <w:rFonts w:cs="Arial"/>
          <w:b/>
        </w:rPr>
      </w:pPr>
    </w:p>
    <w:p w:rsidR="00015C71" w:rsidRPr="00E2319F" w:rsidRDefault="00747F2F" w:rsidP="00A44A2B">
      <w:pPr>
        <w:pStyle w:val="Ttulo1"/>
        <w:numPr>
          <w:ilvl w:val="0"/>
          <w:numId w:val="139"/>
        </w:numPr>
        <w:rPr>
          <w:rFonts w:cs="Arial"/>
        </w:rPr>
      </w:pPr>
      <w:bookmarkStart w:id="182" w:name="_Toc505183111"/>
      <w:r w:rsidRPr="00E2319F">
        <w:rPr>
          <w:rFonts w:cs="Arial"/>
        </w:rPr>
        <w:t>GESTIÓN REGIONAL</w:t>
      </w:r>
      <w:bookmarkEnd w:id="182"/>
      <w:r w:rsidRPr="00E2319F">
        <w:rPr>
          <w:rFonts w:cs="Arial"/>
        </w:rPr>
        <w:t xml:space="preserve"> </w:t>
      </w:r>
    </w:p>
    <w:p w:rsidR="001640B9" w:rsidRPr="00E2319F" w:rsidRDefault="001640B9" w:rsidP="001640B9">
      <w:pPr>
        <w:spacing w:before="100" w:beforeAutospacing="1" w:after="100" w:afterAutospacing="1" w:line="240" w:lineRule="auto"/>
        <w:jc w:val="both"/>
        <w:rPr>
          <w:rFonts w:cs="Arial"/>
        </w:rPr>
      </w:pPr>
      <w:r w:rsidRPr="00E2319F">
        <w:rPr>
          <w:rFonts w:cs="Arial"/>
        </w:rPr>
        <w:t>La Oficina de Gestión Regional (OGR) desarrolló actividades orientadas a brindar asesoría, asistencia y acompañamiento a la gestión regional, y contribuir adecuadamente a la coordinación con las oficinas de la Sede Nacional. Las actividades de la OGR se adelantaron en el marco del Modelo de Acompañamiento, en el cual se desarrolla el procedimiento y los instrumentos que utiliza la OGR para brindar asesoría, asistencia y acompañamiento a la gestión regional y contribuir adecuadamente a la coordinación y articulación con las oficinas de la Sede Nacional; lo cual permitió realizar un proceso integral de articulación entre la sede y las direcciones regionales alcanzando una interacción fluida y con respuestas oportunas. De esta forma, se lideraron acciones desde la Sede Nacional hacia el territorio y viceversa, optimizando la gestión regional y permitiendo la mejora continua de los procesos.</w:t>
      </w:r>
    </w:p>
    <w:p w:rsidR="001640B9" w:rsidRPr="00E2319F" w:rsidRDefault="001640B9" w:rsidP="001640B9">
      <w:pPr>
        <w:spacing w:before="100" w:beforeAutospacing="1" w:after="100" w:afterAutospacing="1" w:line="240" w:lineRule="auto"/>
        <w:contextualSpacing/>
        <w:jc w:val="both"/>
        <w:rPr>
          <w:rFonts w:cs="Arial"/>
        </w:rPr>
      </w:pPr>
      <w:r w:rsidRPr="00E2319F">
        <w:rPr>
          <w:rFonts w:cs="Arial"/>
        </w:rPr>
        <w:t>Como estrategia de coordinación y articulación entre las direcciones regionales y la Sede Nacional, la OGR ha realizado una gestión sostenida durante todo el año con las áreas Misionales y de Apoyo para acompañar procesos de las regionales o para solucionar problemáticas específicas que se presentan en determinadas regionales. El accionar se realiza a través de enlaces directos con cada dependencia o a través de la participación de la OGR en las diferentes mesas y comités que desarrolla la Sede Nacional.</w:t>
      </w:r>
    </w:p>
    <w:p w:rsidR="001640B9" w:rsidRPr="00E2319F" w:rsidRDefault="001640B9" w:rsidP="00637D3D">
      <w:pPr>
        <w:spacing w:before="100" w:beforeAutospacing="1" w:after="0" w:line="240" w:lineRule="auto"/>
        <w:jc w:val="both"/>
        <w:rPr>
          <w:rFonts w:cs="Arial"/>
        </w:rPr>
      </w:pPr>
    </w:p>
    <w:p w:rsidR="001640B9" w:rsidRPr="00E2319F" w:rsidRDefault="001640B9" w:rsidP="00A44A2B">
      <w:pPr>
        <w:pStyle w:val="Ttulo2"/>
        <w:numPr>
          <w:ilvl w:val="1"/>
          <w:numId w:val="139"/>
        </w:numPr>
        <w:spacing w:line="240" w:lineRule="auto"/>
        <w:jc w:val="both"/>
        <w:rPr>
          <w:rFonts w:cs="Arial"/>
          <w:b/>
          <w:szCs w:val="22"/>
        </w:rPr>
      </w:pPr>
      <w:r w:rsidRPr="00E2319F">
        <w:rPr>
          <w:rFonts w:cs="Arial"/>
          <w:b/>
          <w:szCs w:val="22"/>
        </w:rPr>
        <w:t xml:space="preserve"> </w:t>
      </w:r>
      <w:bookmarkStart w:id="183" w:name="_Toc505183112"/>
      <w:r w:rsidRPr="00E2319F">
        <w:rPr>
          <w:rFonts w:cs="Arial"/>
          <w:b/>
          <w:szCs w:val="22"/>
        </w:rPr>
        <w:t>LOGROS 2017:</w:t>
      </w:r>
      <w:bookmarkEnd w:id="183"/>
    </w:p>
    <w:p w:rsidR="00ED25D1" w:rsidRDefault="00ED25D1" w:rsidP="00ED25D1">
      <w:pPr>
        <w:spacing w:after="0" w:line="240" w:lineRule="auto"/>
        <w:ind w:left="360"/>
        <w:jc w:val="both"/>
        <w:rPr>
          <w:rFonts w:cs="Arial"/>
          <w:lang w:val="es-CO" w:eastAsia="es-ES"/>
        </w:rPr>
      </w:pPr>
    </w:p>
    <w:p w:rsidR="001640B9" w:rsidRPr="00ED25D1" w:rsidRDefault="001640B9" w:rsidP="00A44A2B">
      <w:pPr>
        <w:numPr>
          <w:ilvl w:val="0"/>
          <w:numId w:val="159"/>
        </w:numPr>
        <w:spacing w:after="0" w:line="240" w:lineRule="auto"/>
        <w:jc w:val="both"/>
        <w:rPr>
          <w:rFonts w:cs="Arial"/>
          <w:lang w:val="es-CO" w:eastAsia="es-ES"/>
        </w:rPr>
      </w:pPr>
      <w:r w:rsidRPr="00ED25D1">
        <w:rPr>
          <w:rFonts w:cs="Arial"/>
          <w:b/>
          <w:lang w:val="es-CO" w:eastAsia="es-ES"/>
        </w:rPr>
        <w:t>Implementación del Modelo de acompañamiento:</w:t>
      </w:r>
      <w:r w:rsidRPr="00ED25D1">
        <w:rPr>
          <w:rFonts w:cs="Arial"/>
          <w:lang w:val="es-CO" w:eastAsia="es-ES"/>
        </w:rPr>
        <w:t xml:space="preserve"> se hace a partir de la aplicación de diagnósticos, la elaboración y puesta en marcha de un plan de trabajo anual que se establece con cada regional, a los cuales la OGR hace seguimiento, asistencia y acompañamiento para su adecuado y oportuno cumplimiento. La OGR también realiza monitoreo desde la Sede Nacional a las acciones que requieren seguimiento, articulación y coordinación, para que las regionales mantengan un desempeño adecuado y oportuno de sus indicadores.</w:t>
      </w:r>
    </w:p>
    <w:p w:rsidR="00ED25D1" w:rsidRPr="00ED25D1" w:rsidRDefault="00ED25D1" w:rsidP="00ED25D1">
      <w:pPr>
        <w:spacing w:after="0" w:line="240" w:lineRule="auto"/>
        <w:ind w:left="360"/>
        <w:jc w:val="both"/>
        <w:rPr>
          <w:rFonts w:cs="Arial"/>
          <w:lang w:val="es-CO" w:eastAsia="es-ES"/>
        </w:rPr>
      </w:pPr>
    </w:p>
    <w:p w:rsidR="001640B9" w:rsidRPr="00ED25D1" w:rsidRDefault="001640B9" w:rsidP="00A44A2B">
      <w:pPr>
        <w:numPr>
          <w:ilvl w:val="0"/>
          <w:numId w:val="159"/>
        </w:numPr>
        <w:spacing w:after="0" w:line="240" w:lineRule="auto"/>
        <w:jc w:val="both"/>
        <w:rPr>
          <w:rFonts w:cs="Arial"/>
          <w:lang w:val="es-CO" w:eastAsia="es-ES"/>
        </w:rPr>
      </w:pPr>
      <w:r w:rsidRPr="00ED25D1">
        <w:rPr>
          <w:rFonts w:cs="Arial"/>
          <w:b/>
          <w:lang w:val="es-CO" w:eastAsia="es-ES"/>
        </w:rPr>
        <w:t>33 planes de trabajo implementados, uno para cada regional</w:t>
      </w:r>
      <w:r w:rsidRPr="00ED25D1">
        <w:rPr>
          <w:rFonts w:cs="Arial"/>
          <w:lang w:val="es-CO" w:eastAsia="es-ES"/>
        </w:rPr>
        <w:t>: cada uno desarrolló como mínimo dos componentes: 1) gerencial y 2) de seguimiento a la ejecución presupuestal, que incluye la liquidación de contratos y Metas Sociales y Financieras. Adicionalmente, según las particularidades de las regionales, se incorporó un componente para realizar seguimiento a los requerimientos realizados sobre el tema de Madres Comunitarias, en estrecha coordinación con la Oficina Asesora Jurídica y un componente de enfoque diferencial. También se incluyeron componentes para situaciones coyunturales o de emergencia que enfrentaron las regionales.</w:t>
      </w:r>
    </w:p>
    <w:p w:rsidR="00ED25D1" w:rsidRPr="00ED25D1" w:rsidRDefault="00ED25D1" w:rsidP="0018084B">
      <w:pPr>
        <w:spacing w:after="0" w:line="240" w:lineRule="auto"/>
        <w:ind w:left="360"/>
        <w:jc w:val="both"/>
        <w:rPr>
          <w:rFonts w:cs="Arial"/>
          <w:lang w:val="es-CO" w:eastAsia="es-ES"/>
        </w:rPr>
      </w:pPr>
    </w:p>
    <w:p w:rsidR="00ED25D1" w:rsidRPr="00ED25D1" w:rsidRDefault="001640B9" w:rsidP="00A44A2B">
      <w:pPr>
        <w:numPr>
          <w:ilvl w:val="0"/>
          <w:numId w:val="159"/>
        </w:numPr>
        <w:spacing w:after="0" w:line="240" w:lineRule="auto"/>
        <w:jc w:val="both"/>
        <w:rPr>
          <w:rFonts w:cs="Arial"/>
          <w:lang w:val="es-CO" w:eastAsia="es-ES"/>
        </w:rPr>
      </w:pPr>
      <w:r w:rsidRPr="00ED25D1">
        <w:rPr>
          <w:rFonts w:cs="Arial"/>
          <w:lang w:val="es-CO" w:eastAsia="es-ES"/>
        </w:rPr>
        <w:t xml:space="preserve">4 boletines de seguimiento: Con los resultados del proceso de seguimiento y acompañamiento que realiza la OGR se realizaron, de manera trimestral, boletines informativos sobre el desempeño de las regionales. Estos boletines estuvieron dirigidos a los directivos de la Sede Nacional y a los directores regionales. Se elaboraron con el propósito de articular esfuerzos para la consecución de metas a través de la solución oportuna de los problemas y dificultades evidenciadas mediante el seguimiento; así como para difundir los </w:t>
      </w:r>
      <w:r w:rsidRPr="00ED25D1">
        <w:rPr>
          <w:rFonts w:cs="Arial"/>
          <w:lang w:val="es-CO" w:eastAsia="es-ES"/>
        </w:rPr>
        <w:lastRenderedPageBreak/>
        <w:t>avances y logros de las regionales. El primer boletín se presentó en mayo de 2017, el segundo boletín se realizó con corte a junio de 2017, el tercer boletín se difundió en octubre y el último se presentó con corte a 31 de diciembre de la misma vigencia.</w:t>
      </w:r>
    </w:p>
    <w:p w:rsidR="00ED25D1" w:rsidRPr="00ED25D1" w:rsidRDefault="00ED25D1" w:rsidP="0018084B">
      <w:pPr>
        <w:spacing w:after="0" w:line="240" w:lineRule="auto"/>
        <w:ind w:left="360"/>
        <w:jc w:val="both"/>
        <w:rPr>
          <w:rFonts w:cs="Arial"/>
          <w:lang w:val="es-CO" w:eastAsia="es-ES"/>
        </w:rPr>
      </w:pPr>
    </w:p>
    <w:p w:rsidR="0018084B" w:rsidRPr="0018084B" w:rsidRDefault="001640B9" w:rsidP="00A44A2B">
      <w:pPr>
        <w:numPr>
          <w:ilvl w:val="0"/>
          <w:numId w:val="159"/>
        </w:numPr>
        <w:spacing w:after="0" w:line="240" w:lineRule="auto"/>
        <w:jc w:val="both"/>
        <w:rPr>
          <w:rFonts w:cs="Arial"/>
          <w:lang w:val="es-CO" w:eastAsia="es-ES"/>
        </w:rPr>
      </w:pPr>
      <w:r w:rsidRPr="00FF2DA4">
        <w:rPr>
          <w:rFonts w:cs="Arial"/>
          <w:b/>
          <w:lang w:val="es-CO" w:eastAsia="es-ES"/>
        </w:rPr>
        <w:t>2 encuentros de directores regionales:</w:t>
      </w:r>
      <w:r w:rsidRPr="0018084B">
        <w:rPr>
          <w:rFonts w:cs="Arial"/>
          <w:lang w:val="es-CO" w:eastAsia="es-ES"/>
        </w:rPr>
        <w:t xml:space="preserve"> Con el propósito de fortalecer las capacidades gerenciales de los directores regionales y de realizar un proceso de alineamiento con los fines estratégicos de cada misional y áreas transversales, la OGR, realizó dos Encuentros de Directores Regionales, uno en marzo y otro en octubre de 2017.</w:t>
      </w:r>
    </w:p>
    <w:p w:rsidR="001640B9" w:rsidRPr="0018084B" w:rsidRDefault="001640B9" w:rsidP="0018084B">
      <w:pPr>
        <w:spacing w:after="0" w:line="240" w:lineRule="auto"/>
        <w:ind w:left="360"/>
        <w:jc w:val="both"/>
        <w:rPr>
          <w:rFonts w:cs="Arial"/>
          <w:lang w:val="es-CO" w:eastAsia="es-ES"/>
        </w:rPr>
      </w:pPr>
    </w:p>
    <w:p w:rsidR="001640B9" w:rsidRDefault="001640B9" w:rsidP="00A44A2B">
      <w:pPr>
        <w:numPr>
          <w:ilvl w:val="0"/>
          <w:numId w:val="159"/>
        </w:numPr>
        <w:spacing w:after="0" w:line="240" w:lineRule="auto"/>
        <w:jc w:val="both"/>
        <w:rPr>
          <w:rFonts w:cs="Arial"/>
          <w:lang w:val="es-CO" w:eastAsia="es-ES"/>
        </w:rPr>
      </w:pPr>
      <w:r w:rsidRPr="00FF2DA4">
        <w:rPr>
          <w:rFonts w:cs="Arial"/>
          <w:b/>
          <w:lang w:val="es-CO" w:eastAsia="es-ES"/>
        </w:rPr>
        <w:t>Promoción e intercambio de buenas prácticas regionales:</w:t>
      </w:r>
      <w:r w:rsidRPr="0018084B">
        <w:rPr>
          <w:rFonts w:cs="Arial"/>
          <w:lang w:val="es-CO" w:eastAsia="es-ES"/>
        </w:rPr>
        <w:t xml:space="preserve"> La OGR incentivó el desarrollo de buenas prácticas por parte de las regionales con el objetivo de fortalecer el intercambio de conocimiento</w:t>
      </w:r>
      <w:r w:rsidR="00697D36" w:rsidRPr="0018084B">
        <w:rPr>
          <w:rFonts w:cs="Arial"/>
          <w:lang w:val="es-CO" w:eastAsia="es-ES"/>
        </w:rPr>
        <w:t xml:space="preserve"> entre pares y su mejora </w:t>
      </w:r>
      <w:r w:rsidR="00FF2DA4" w:rsidRPr="0018084B">
        <w:rPr>
          <w:rFonts w:cs="Arial"/>
          <w:lang w:val="es-CO" w:eastAsia="es-ES"/>
        </w:rPr>
        <w:t>continua</w:t>
      </w:r>
      <w:r w:rsidRPr="0018084B">
        <w:rPr>
          <w:rFonts w:cs="Arial"/>
          <w:lang w:val="es-CO" w:eastAsia="es-ES"/>
        </w:rPr>
        <w:t xml:space="preserve">. Para ello propició durante el II Encuentro de directores regionales, llevado a cabo en el mes de octubre de 2017, un intercambio de buenas prácticas. A este Encuentro participaron 19 regionales, cada una de las cuales realizó una presentación de sus buenas prácticas desde el punto de vista misional, administrativo, de articulación, </w:t>
      </w:r>
      <w:r w:rsidR="00FF2DA4">
        <w:rPr>
          <w:rFonts w:cs="Arial"/>
          <w:lang w:val="es-CO" w:eastAsia="es-ES"/>
        </w:rPr>
        <w:t>medioambiental y participativo.</w:t>
      </w:r>
    </w:p>
    <w:p w:rsidR="00FF2DA4" w:rsidRPr="0018084B" w:rsidRDefault="00FF2DA4" w:rsidP="00FF2DA4">
      <w:pPr>
        <w:spacing w:after="0" w:line="240" w:lineRule="auto"/>
        <w:jc w:val="both"/>
        <w:rPr>
          <w:rFonts w:cs="Arial"/>
          <w:lang w:val="es-CO" w:eastAsia="es-ES"/>
        </w:rPr>
      </w:pPr>
    </w:p>
    <w:p w:rsidR="001640B9" w:rsidRDefault="001640B9" w:rsidP="00A44A2B">
      <w:pPr>
        <w:numPr>
          <w:ilvl w:val="0"/>
          <w:numId w:val="159"/>
        </w:numPr>
        <w:spacing w:after="0" w:line="240" w:lineRule="auto"/>
        <w:jc w:val="both"/>
        <w:rPr>
          <w:rFonts w:cs="Arial"/>
          <w:lang w:val="es-CO" w:eastAsia="es-ES"/>
        </w:rPr>
      </w:pPr>
      <w:r w:rsidRPr="00FF2DA4">
        <w:rPr>
          <w:rFonts w:cs="Arial"/>
          <w:b/>
          <w:lang w:val="es-CO" w:eastAsia="es-ES"/>
        </w:rPr>
        <w:t>Fortalecimiento de la participación ciudadana en las regionales:</w:t>
      </w:r>
      <w:r w:rsidRPr="0018084B">
        <w:rPr>
          <w:rFonts w:cs="Arial"/>
          <w:lang w:val="es-CO" w:eastAsia="es-ES"/>
        </w:rPr>
        <w:t xml:space="preserve"> En el marco de la Estrategia de Transparencia, Participación y Buen Gobierno del ICBF, la OGR realizó seguimiento a las estrategias de fortalecimiento a la participación ciudadana a nivel regional, así como al ejercicio del control social a través de las Mesas de Trasparencia que realizaron las 33 regionales. La OGR coordinó las Mesas Públicas a nivel regional y acompañó el proceso de Rendición Pública de Cuentas que las regionales hicieron en el mes de octubre. En el marco de esta estrategia, la OGR también apoyó a la Dirección de Planeación y Control de Gestión para identificar buenas prácticas de participación ciudadana por parte de las regionales. Desde la OGR se incentivó la participación y se consolidaron 65 experiencias exitos</w:t>
      </w:r>
      <w:r w:rsidR="00FF2DA4">
        <w:rPr>
          <w:rFonts w:cs="Arial"/>
          <w:lang w:val="es-CO" w:eastAsia="es-ES"/>
        </w:rPr>
        <w:t>as aplicadas por 17 regionales.</w:t>
      </w:r>
    </w:p>
    <w:p w:rsidR="00FF2DA4" w:rsidRPr="00FF2DA4" w:rsidRDefault="00FF2DA4" w:rsidP="00FF2DA4">
      <w:pPr>
        <w:spacing w:after="0" w:line="240" w:lineRule="auto"/>
        <w:jc w:val="both"/>
        <w:rPr>
          <w:rFonts w:cs="Arial"/>
          <w:b/>
          <w:lang w:val="es-CO" w:eastAsia="es-ES"/>
        </w:rPr>
      </w:pPr>
    </w:p>
    <w:p w:rsidR="00FF2DA4" w:rsidRDefault="001640B9" w:rsidP="00A44A2B">
      <w:pPr>
        <w:numPr>
          <w:ilvl w:val="0"/>
          <w:numId w:val="159"/>
        </w:numPr>
        <w:spacing w:after="0" w:line="240" w:lineRule="auto"/>
        <w:jc w:val="both"/>
        <w:rPr>
          <w:rFonts w:cs="Arial"/>
          <w:lang w:val="es-CO" w:eastAsia="es-ES"/>
        </w:rPr>
      </w:pPr>
      <w:r w:rsidRPr="00FF2DA4">
        <w:rPr>
          <w:rFonts w:cs="Arial"/>
          <w:b/>
          <w:lang w:val="es-CO" w:eastAsia="es-ES"/>
        </w:rPr>
        <w:t>Cumplimiento de indicadores:</w:t>
      </w:r>
      <w:r w:rsidRPr="0018084B">
        <w:rPr>
          <w:rFonts w:cs="Arial"/>
          <w:lang w:val="es-CO" w:eastAsia="es-ES"/>
        </w:rPr>
        <w:t xml:space="preserve"> La OGR dio cumplimiento a sus indicadores. En diciembre de 2016 finalizó la etapa de diseño del Modelo de Acompañamiento, y durante el 2017 desarrolló la fase de implementación de este. En 2017 el avance del indicador denominado PA-66 “Porcentaje de cumplimiento de diseño e implementación del modelo de acompañamiento a la gestión regional”, alcanzó un cumplimiento del 100%. Otro indicador aplicado por la OGR, que fue modificado a finales del año 2016 con el propósito de que la herramienta de medición permitiera medir el avance en el seguimiento a los planes de trabajo establecidos para cada regional, en coherencia con el Modelo de Acompañamiento; fue registrado bajo el nombre de A8-PT2 “Porcentaje de Avance al Seguimiento de los Planes de Trabajo de las Direcciones Regionales concertados con la Oficina de Gestión Regional”. Este se midió de forma cuatrimestral y también se reportó al 100%.</w:t>
      </w:r>
    </w:p>
    <w:p w:rsidR="001640B9" w:rsidRPr="0018084B" w:rsidRDefault="001640B9" w:rsidP="00FF2DA4">
      <w:pPr>
        <w:spacing w:after="0" w:line="240" w:lineRule="auto"/>
        <w:jc w:val="both"/>
        <w:rPr>
          <w:rFonts w:cs="Arial"/>
          <w:lang w:val="es-CO" w:eastAsia="es-ES"/>
        </w:rPr>
      </w:pPr>
      <w:r w:rsidRPr="0018084B">
        <w:rPr>
          <w:rFonts w:cs="Arial"/>
          <w:lang w:val="es-CO" w:eastAsia="es-ES"/>
        </w:rPr>
        <w:t xml:space="preserve">  </w:t>
      </w:r>
    </w:p>
    <w:p w:rsidR="001640B9" w:rsidRPr="00E2319F" w:rsidRDefault="001640B9" w:rsidP="00A44A2B">
      <w:pPr>
        <w:pStyle w:val="Ttulo2"/>
        <w:numPr>
          <w:ilvl w:val="1"/>
          <w:numId w:val="139"/>
        </w:numPr>
        <w:spacing w:line="240" w:lineRule="auto"/>
        <w:jc w:val="both"/>
        <w:rPr>
          <w:rFonts w:cs="Arial"/>
          <w:b/>
          <w:szCs w:val="22"/>
        </w:rPr>
      </w:pPr>
      <w:r w:rsidRPr="00E2319F">
        <w:rPr>
          <w:rFonts w:cs="Arial"/>
          <w:b/>
          <w:szCs w:val="22"/>
        </w:rPr>
        <w:t xml:space="preserve"> </w:t>
      </w:r>
      <w:bookmarkStart w:id="184" w:name="_Toc505183113"/>
      <w:r w:rsidRPr="00E2319F">
        <w:rPr>
          <w:rFonts w:cs="Arial"/>
          <w:b/>
          <w:szCs w:val="22"/>
        </w:rPr>
        <w:t>RETOS 2018:</w:t>
      </w:r>
      <w:bookmarkEnd w:id="184"/>
    </w:p>
    <w:p w:rsidR="00FF2DA4" w:rsidRDefault="00FF2DA4" w:rsidP="00FF2DA4">
      <w:pPr>
        <w:spacing w:after="0" w:line="240" w:lineRule="auto"/>
        <w:ind w:left="360"/>
        <w:jc w:val="both"/>
        <w:rPr>
          <w:rFonts w:cs="Arial"/>
          <w:lang w:val="es-CO" w:eastAsia="es-ES"/>
        </w:rPr>
      </w:pPr>
    </w:p>
    <w:p w:rsidR="001640B9" w:rsidRPr="00FF2DA4" w:rsidRDefault="001640B9" w:rsidP="00A44A2B">
      <w:pPr>
        <w:numPr>
          <w:ilvl w:val="0"/>
          <w:numId w:val="159"/>
        </w:numPr>
        <w:spacing w:after="0" w:line="240" w:lineRule="auto"/>
        <w:jc w:val="both"/>
        <w:rPr>
          <w:rFonts w:cs="Arial"/>
          <w:lang w:val="es-CO" w:eastAsia="es-ES"/>
        </w:rPr>
      </w:pPr>
      <w:r w:rsidRPr="00FF2DA4">
        <w:rPr>
          <w:rFonts w:cs="Arial"/>
          <w:lang w:val="es-CO" w:eastAsia="es-ES"/>
        </w:rPr>
        <w:t>Durante el 2018, la OGR deberá realizar el proceso de retroalimentación y ajuste del Modelo de Acompañamiento implementado en 2017.</w:t>
      </w:r>
    </w:p>
    <w:p w:rsidR="00FF2DA4" w:rsidRPr="00FF2DA4" w:rsidRDefault="00FF2DA4" w:rsidP="00FF2DA4">
      <w:pPr>
        <w:spacing w:after="0" w:line="240" w:lineRule="auto"/>
        <w:ind w:left="360"/>
        <w:jc w:val="both"/>
        <w:rPr>
          <w:rFonts w:cs="Arial"/>
          <w:lang w:val="es-CO" w:eastAsia="es-ES"/>
        </w:rPr>
      </w:pPr>
    </w:p>
    <w:p w:rsidR="00FF2DA4" w:rsidRDefault="001640B9" w:rsidP="00A44A2B">
      <w:pPr>
        <w:numPr>
          <w:ilvl w:val="0"/>
          <w:numId w:val="159"/>
        </w:numPr>
        <w:spacing w:after="0" w:line="240" w:lineRule="auto"/>
        <w:jc w:val="both"/>
        <w:rPr>
          <w:rFonts w:cs="Arial"/>
          <w:lang w:val="es-CO" w:eastAsia="es-ES"/>
        </w:rPr>
      </w:pPr>
      <w:r w:rsidRPr="00FF2DA4">
        <w:rPr>
          <w:rFonts w:cs="Arial"/>
          <w:lang w:val="es-CO" w:eastAsia="es-ES"/>
        </w:rPr>
        <w:lastRenderedPageBreak/>
        <w:t>Continuar brindando asesoría, acompañamiento y seguimiento a las 33 regionales a través de la puesta en marcha de un plan de trabajo para cada regional, que facilite realizar un acompañamiento integral. Realizando procesos sostenidos de coordinación con la Sede Nacional para la atención de problemáticas que afectan a las regionales o que requieren de articulación entre la Sede y las regionales o viceversas.</w:t>
      </w:r>
    </w:p>
    <w:p w:rsidR="00FF2DA4" w:rsidRPr="00FF2DA4" w:rsidRDefault="00FF2DA4" w:rsidP="00FF2DA4">
      <w:pPr>
        <w:spacing w:after="0" w:line="240" w:lineRule="auto"/>
        <w:jc w:val="both"/>
        <w:rPr>
          <w:rFonts w:cs="Arial"/>
          <w:lang w:val="es-CO" w:eastAsia="es-ES"/>
        </w:rPr>
      </w:pPr>
    </w:p>
    <w:p w:rsidR="00FF2DA4" w:rsidRDefault="001640B9" w:rsidP="00A44A2B">
      <w:pPr>
        <w:numPr>
          <w:ilvl w:val="0"/>
          <w:numId w:val="159"/>
        </w:numPr>
        <w:spacing w:after="0" w:line="240" w:lineRule="auto"/>
        <w:jc w:val="both"/>
        <w:rPr>
          <w:rFonts w:cs="Arial"/>
          <w:lang w:val="es-CO" w:eastAsia="es-ES"/>
        </w:rPr>
      </w:pPr>
      <w:r w:rsidRPr="00FF2DA4">
        <w:rPr>
          <w:rFonts w:cs="Arial"/>
          <w:lang w:val="es-CO" w:eastAsia="es-ES"/>
        </w:rPr>
        <w:t>Realización de 2 (dos) encuentros de directores regionales que potencien sus capacidades regionales.</w:t>
      </w:r>
    </w:p>
    <w:p w:rsidR="00FF2DA4" w:rsidRPr="00FF2DA4" w:rsidRDefault="00FF2DA4" w:rsidP="00FF2DA4">
      <w:pPr>
        <w:spacing w:after="0" w:line="240" w:lineRule="auto"/>
        <w:jc w:val="both"/>
        <w:rPr>
          <w:rFonts w:cs="Arial"/>
          <w:lang w:val="es-CO" w:eastAsia="es-ES"/>
        </w:rPr>
      </w:pPr>
    </w:p>
    <w:p w:rsidR="001640B9" w:rsidRDefault="001640B9" w:rsidP="00A44A2B">
      <w:pPr>
        <w:numPr>
          <w:ilvl w:val="0"/>
          <w:numId w:val="159"/>
        </w:numPr>
        <w:spacing w:after="0" w:line="240" w:lineRule="auto"/>
        <w:jc w:val="both"/>
        <w:rPr>
          <w:rFonts w:cs="Arial"/>
          <w:lang w:val="es-CO" w:eastAsia="es-ES"/>
        </w:rPr>
      </w:pPr>
      <w:r w:rsidRPr="00FF2DA4">
        <w:rPr>
          <w:rFonts w:cs="Arial"/>
          <w:lang w:val="es-CO" w:eastAsia="es-ES"/>
        </w:rPr>
        <w:t>Difundir a través de boletines los resultados del proceso de seguimiento y acompañamiento que realiza la OGR.</w:t>
      </w:r>
    </w:p>
    <w:p w:rsidR="00FF2DA4" w:rsidRPr="00FF2DA4" w:rsidRDefault="00FF2DA4" w:rsidP="00FF2DA4">
      <w:pPr>
        <w:spacing w:after="0" w:line="240" w:lineRule="auto"/>
        <w:jc w:val="both"/>
        <w:rPr>
          <w:rFonts w:cs="Arial"/>
          <w:lang w:val="es-CO" w:eastAsia="es-ES"/>
        </w:rPr>
      </w:pPr>
    </w:p>
    <w:p w:rsidR="00881F36" w:rsidRPr="00E2319F" w:rsidRDefault="00966F2E" w:rsidP="00A44A2B">
      <w:pPr>
        <w:pStyle w:val="Ttulo1"/>
        <w:numPr>
          <w:ilvl w:val="0"/>
          <w:numId w:val="139"/>
        </w:numPr>
        <w:rPr>
          <w:rFonts w:cs="Arial"/>
        </w:rPr>
      </w:pPr>
      <w:bookmarkStart w:id="185" w:name="_Toc505183114"/>
      <w:bookmarkStart w:id="186" w:name="_Toc470095221"/>
      <w:r w:rsidRPr="00E2319F">
        <w:rPr>
          <w:rFonts w:cs="Arial"/>
        </w:rPr>
        <w:t xml:space="preserve">GESTIÓN DE LA </w:t>
      </w:r>
      <w:r w:rsidR="00A365F0" w:rsidRPr="00E2319F">
        <w:rPr>
          <w:rFonts w:cs="Arial"/>
        </w:rPr>
        <w:t>C</w:t>
      </w:r>
      <w:r w:rsidR="00747F2F" w:rsidRPr="00E2319F">
        <w:rPr>
          <w:rFonts w:cs="Arial"/>
        </w:rPr>
        <w:t>ONTRATACIÓN</w:t>
      </w:r>
      <w:bookmarkEnd w:id="185"/>
      <w:r w:rsidR="00881F36" w:rsidRPr="00E2319F">
        <w:rPr>
          <w:rFonts w:cs="Arial"/>
        </w:rPr>
        <w:t xml:space="preserve"> </w:t>
      </w:r>
    </w:p>
    <w:p w:rsidR="009242B9" w:rsidRPr="00E2319F" w:rsidRDefault="009242B9" w:rsidP="009242B9">
      <w:pPr>
        <w:spacing w:before="100" w:beforeAutospacing="1" w:after="100" w:afterAutospacing="1" w:line="240" w:lineRule="auto"/>
        <w:jc w:val="both"/>
        <w:rPr>
          <w:rFonts w:cs="Arial"/>
        </w:rPr>
      </w:pPr>
      <w:r w:rsidRPr="00E2319F">
        <w:rPr>
          <w:rFonts w:cs="Arial"/>
        </w:rPr>
        <w:t>En el marco del objetivo institucional que reúne la gestión de las áreas de apoyo del ICBF, desde la Dirección de Contratación se adelantan actividades que permiten la adquisición de bienes y servicios en virtud de la optimización de procesos y el uso racional de los recursos para la garantía en la prestación de los servicios propios de la Entidad.</w:t>
      </w:r>
    </w:p>
    <w:p w:rsidR="009242B9" w:rsidRPr="00E2319F" w:rsidRDefault="009242B9" w:rsidP="009242B9">
      <w:pPr>
        <w:spacing w:before="100" w:beforeAutospacing="1" w:after="100" w:afterAutospacing="1" w:line="240" w:lineRule="auto"/>
        <w:jc w:val="both"/>
        <w:rPr>
          <w:rFonts w:cs="Arial"/>
        </w:rPr>
      </w:pPr>
      <w:r w:rsidRPr="00E2319F">
        <w:rPr>
          <w:rFonts w:cs="Arial"/>
        </w:rPr>
        <w:t>En virtud de lo anterior, durante 2017 la Dirección de Contratación actualizó la documentación que genera lineamientos a nivel nacional para la adquisición de bienes y servicios, específicamente: el Manual de Contratación, la Guía para el Ejercicio de Supervisión e Interventoría en el ICBF, la Guía para la Adquisición de Bienes y Servicios de Calidad, así como todos los procedimientos para orientar la gestión contractual. En total, fueron actualizados cuarenta y cinco (45) documentos orientadores que permitieron adelantar el proceso contractual de manera estándar a nivel nacional.</w:t>
      </w:r>
    </w:p>
    <w:p w:rsidR="009242B9" w:rsidRPr="00E2319F" w:rsidRDefault="009242B9" w:rsidP="009242B9">
      <w:pPr>
        <w:spacing w:before="100" w:beforeAutospacing="1" w:after="100" w:afterAutospacing="1" w:line="240" w:lineRule="auto"/>
        <w:jc w:val="both"/>
        <w:rPr>
          <w:rFonts w:cs="Arial"/>
        </w:rPr>
      </w:pPr>
      <w:r w:rsidRPr="00E2319F">
        <w:rPr>
          <w:rFonts w:cs="Arial"/>
        </w:rPr>
        <w:t xml:space="preserve">En el marco de la estrategia de gestión administrativa del Plan Indicativo Institucional que hace referencia a la contratación de bienes y servicios de apoyo y al uso efectivo de las herramientas y metodologías establecidas por </w:t>
      </w:r>
      <w:r w:rsidRPr="00E2319F">
        <w:rPr>
          <w:rFonts w:cs="Arial"/>
          <w:i/>
        </w:rPr>
        <w:t>Colombia Compra Eficiente</w:t>
      </w:r>
      <w:r w:rsidRPr="00E2319F">
        <w:rPr>
          <w:rFonts w:cs="Arial"/>
        </w:rPr>
        <w:t xml:space="preserve">, se identificó que, en la Sede de la Dirección General para la vigencia 2017 se adelantaron </w:t>
      </w:r>
      <w:r w:rsidRPr="00FF2DA4">
        <w:rPr>
          <w:rFonts w:cs="Arial"/>
        </w:rPr>
        <w:t>76</w:t>
      </w:r>
      <w:r w:rsidRPr="00E2319F">
        <w:rPr>
          <w:rFonts w:cs="Arial"/>
        </w:rPr>
        <w:t xml:space="preserve"> procesos de selección y </w:t>
      </w:r>
      <w:r w:rsidRPr="00FF2DA4">
        <w:rPr>
          <w:rFonts w:cs="Arial"/>
        </w:rPr>
        <w:t xml:space="preserve">634 </w:t>
      </w:r>
      <w:r w:rsidRPr="00E2319F">
        <w:rPr>
          <w:rFonts w:cs="Arial"/>
        </w:rPr>
        <w:t>en las Direcciones Regionales, de acuerdo con el resumen por modalidad relacionado a continuación:</w:t>
      </w:r>
    </w:p>
    <w:p w:rsidR="009242B9" w:rsidRPr="00E2319F" w:rsidRDefault="009242B9" w:rsidP="009242B9">
      <w:pPr>
        <w:spacing w:before="100" w:beforeAutospacing="1" w:after="100" w:afterAutospacing="1" w:line="240" w:lineRule="auto"/>
        <w:jc w:val="center"/>
        <w:rPr>
          <w:rFonts w:cs="Arial"/>
          <w:b/>
          <w:sz w:val="20"/>
          <w:szCs w:val="20"/>
        </w:rPr>
      </w:pPr>
      <w:r w:rsidRPr="00E2319F">
        <w:rPr>
          <w:rFonts w:cs="Arial"/>
          <w:b/>
          <w:sz w:val="20"/>
          <w:szCs w:val="20"/>
        </w:rPr>
        <w:t>Procesos de Selección Sede de la Dirección General</w:t>
      </w:r>
    </w:p>
    <w:tbl>
      <w:tblPr>
        <w:tblStyle w:val="Tablaconcuadrcula"/>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ook w:val="04A0" w:firstRow="1" w:lastRow="0" w:firstColumn="1" w:lastColumn="0" w:noHBand="0" w:noVBand="1"/>
      </w:tblPr>
      <w:tblGrid>
        <w:gridCol w:w="2478"/>
        <w:gridCol w:w="646"/>
      </w:tblGrid>
      <w:tr w:rsidR="009242B9" w:rsidRPr="00FF2DA4" w:rsidTr="00FF2DA4">
        <w:trPr>
          <w:cantSplit/>
          <w:trHeight w:val="20"/>
          <w:tblHeader/>
          <w:jc w:val="center"/>
        </w:trPr>
        <w:tc>
          <w:tcPr>
            <w:tcW w:w="0" w:type="auto"/>
            <w:shd w:val="clear" w:color="auto" w:fill="76922E"/>
            <w:vAlign w:val="center"/>
          </w:tcPr>
          <w:p w:rsidR="009242B9" w:rsidRPr="00FF2DA4" w:rsidRDefault="009242B9" w:rsidP="00FF2DA4">
            <w:pPr>
              <w:spacing w:before="100" w:beforeAutospacing="1" w:after="100" w:afterAutospacing="1"/>
              <w:jc w:val="center"/>
              <w:rPr>
                <w:rFonts w:eastAsia="Times New Roman" w:cs="Arial"/>
                <w:b/>
                <w:bCs/>
                <w:color w:val="FFFFFF" w:themeColor="background1"/>
                <w:sz w:val="18"/>
                <w:szCs w:val="18"/>
              </w:rPr>
            </w:pPr>
            <w:r w:rsidRPr="00FF2DA4">
              <w:rPr>
                <w:rFonts w:eastAsia="Times New Roman" w:cs="Arial"/>
                <w:b/>
                <w:bCs/>
                <w:color w:val="FFFFFF" w:themeColor="background1"/>
                <w:sz w:val="18"/>
                <w:szCs w:val="18"/>
              </w:rPr>
              <w:t>Modalidad</w:t>
            </w:r>
          </w:p>
        </w:tc>
        <w:tc>
          <w:tcPr>
            <w:tcW w:w="0" w:type="auto"/>
            <w:shd w:val="clear" w:color="auto" w:fill="76922E"/>
            <w:vAlign w:val="center"/>
          </w:tcPr>
          <w:p w:rsidR="009242B9" w:rsidRPr="00FF2DA4" w:rsidRDefault="009242B9" w:rsidP="00FF2DA4">
            <w:pPr>
              <w:spacing w:before="100" w:beforeAutospacing="1" w:after="100" w:afterAutospacing="1"/>
              <w:jc w:val="center"/>
              <w:rPr>
                <w:rFonts w:cs="Arial"/>
                <w:b/>
                <w:color w:val="FFFFFF" w:themeColor="background1"/>
                <w:sz w:val="18"/>
                <w:szCs w:val="18"/>
              </w:rPr>
            </w:pPr>
            <w:r w:rsidRPr="00FF2DA4">
              <w:rPr>
                <w:rFonts w:eastAsia="Times New Roman" w:cs="Arial"/>
                <w:b/>
                <w:bCs/>
                <w:color w:val="FFFFFF" w:themeColor="background1"/>
                <w:sz w:val="18"/>
                <w:szCs w:val="18"/>
              </w:rPr>
              <w:t>Total</w:t>
            </w:r>
          </w:p>
        </w:tc>
      </w:tr>
      <w:tr w:rsidR="009242B9" w:rsidRPr="00FF2DA4" w:rsidTr="00FF2DA4">
        <w:trPr>
          <w:cantSplit/>
          <w:trHeight w:val="20"/>
          <w:jc w:val="center"/>
        </w:trPr>
        <w:tc>
          <w:tcPr>
            <w:tcW w:w="0" w:type="auto"/>
            <w:vAlign w:val="center"/>
          </w:tcPr>
          <w:p w:rsidR="009242B9" w:rsidRPr="00FF2DA4" w:rsidRDefault="009242B9" w:rsidP="00F26175">
            <w:pPr>
              <w:spacing w:before="100" w:beforeAutospacing="1" w:after="100" w:afterAutospacing="1"/>
              <w:jc w:val="both"/>
              <w:rPr>
                <w:rFonts w:eastAsia="Times New Roman" w:cs="Arial"/>
                <w:bCs/>
                <w:sz w:val="18"/>
                <w:szCs w:val="18"/>
              </w:rPr>
            </w:pPr>
            <w:r w:rsidRPr="00FF2DA4">
              <w:rPr>
                <w:rFonts w:eastAsia="Times New Roman" w:cs="Arial"/>
                <w:bCs/>
                <w:sz w:val="18"/>
                <w:szCs w:val="18"/>
              </w:rPr>
              <w:t>Concurso de méritos abierto</w:t>
            </w:r>
          </w:p>
        </w:tc>
        <w:tc>
          <w:tcPr>
            <w:tcW w:w="0" w:type="auto"/>
            <w:vAlign w:val="center"/>
          </w:tcPr>
          <w:p w:rsidR="009242B9" w:rsidRPr="00FF2DA4" w:rsidRDefault="009242B9" w:rsidP="00F26175">
            <w:pPr>
              <w:spacing w:before="100" w:beforeAutospacing="1" w:after="100" w:afterAutospacing="1"/>
              <w:jc w:val="both"/>
              <w:rPr>
                <w:rFonts w:eastAsia="Times New Roman" w:cs="Arial"/>
                <w:sz w:val="18"/>
                <w:szCs w:val="18"/>
              </w:rPr>
            </w:pPr>
            <w:r w:rsidRPr="00FF2DA4">
              <w:rPr>
                <w:rFonts w:eastAsia="Times New Roman" w:cs="Arial"/>
                <w:sz w:val="18"/>
                <w:szCs w:val="18"/>
              </w:rPr>
              <w:t>11</w:t>
            </w:r>
          </w:p>
        </w:tc>
      </w:tr>
      <w:tr w:rsidR="009242B9" w:rsidRPr="00FF2DA4" w:rsidTr="00FF2DA4">
        <w:tblPrEx>
          <w:jc w:val="left"/>
        </w:tblPrEx>
        <w:trPr>
          <w:cantSplit/>
          <w:trHeight w:val="20"/>
        </w:trPr>
        <w:tc>
          <w:tcPr>
            <w:tcW w:w="0" w:type="auto"/>
            <w:vAlign w:val="center"/>
          </w:tcPr>
          <w:p w:rsidR="009242B9" w:rsidRPr="00FF2DA4" w:rsidRDefault="009242B9" w:rsidP="00F26175">
            <w:pPr>
              <w:spacing w:before="100" w:beforeAutospacing="1" w:after="100" w:afterAutospacing="1"/>
              <w:jc w:val="both"/>
              <w:rPr>
                <w:rFonts w:eastAsia="Times New Roman" w:cs="Arial"/>
                <w:bCs/>
                <w:sz w:val="18"/>
                <w:szCs w:val="18"/>
              </w:rPr>
            </w:pPr>
            <w:r w:rsidRPr="00FF2DA4">
              <w:rPr>
                <w:rFonts w:eastAsia="Times New Roman" w:cs="Arial"/>
                <w:bCs/>
                <w:sz w:val="18"/>
                <w:szCs w:val="18"/>
              </w:rPr>
              <w:t>Licitación Pública</w:t>
            </w:r>
          </w:p>
        </w:tc>
        <w:tc>
          <w:tcPr>
            <w:tcW w:w="0" w:type="auto"/>
            <w:vAlign w:val="center"/>
          </w:tcPr>
          <w:p w:rsidR="009242B9" w:rsidRPr="00FF2DA4" w:rsidRDefault="009242B9" w:rsidP="00F26175">
            <w:pPr>
              <w:spacing w:before="100" w:beforeAutospacing="1" w:after="100" w:afterAutospacing="1"/>
              <w:jc w:val="both"/>
              <w:rPr>
                <w:rFonts w:eastAsia="Times New Roman" w:cs="Arial"/>
                <w:sz w:val="18"/>
                <w:szCs w:val="18"/>
              </w:rPr>
            </w:pPr>
            <w:r w:rsidRPr="00FF2DA4">
              <w:rPr>
                <w:rFonts w:eastAsia="Times New Roman" w:cs="Arial"/>
                <w:sz w:val="18"/>
                <w:szCs w:val="18"/>
              </w:rPr>
              <w:t>5</w:t>
            </w:r>
          </w:p>
        </w:tc>
      </w:tr>
      <w:tr w:rsidR="009242B9" w:rsidRPr="00FF2DA4" w:rsidTr="00FF2DA4">
        <w:trPr>
          <w:cantSplit/>
          <w:trHeight w:val="20"/>
          <w:jc w:val="center"/>
        </w:trPr>
        <w:tc>
          <w:tcPr>
            <w:tcW w:w="0" w:type="auto"/>
            <w:shd w:val="clear" w:color="auto" w:fill="auto"/>
            <w:vAlign w:val="center"/>
          </w:tcPr>
          <w:p w:rsidR="009242B9" w:rsidRPr="00FF2DA4" w:rsidRDefault="009242B9" w:rsidP="00F26175">
            <w:pPr>
              <w:spacing w:before="100" w:beforeAutospacing="1" w:after="100" w:afterAutospacing="1"/>
              <w:jc w:val="both"/>
              <w:rPr>
                <w:rFonts w:eastAsia="Times New Roman" w:cs="Arial"/>
                <w:bCs/>
                <w:sz w:val="18"/>
                <w:szCs w:val="18"/>
              </w:rPr>
            </w:pPr>
            <w:r w:rsidRPr="00FF2DA4">
              <w:rPr>
                <w:rFonts w:eastAsia="Times New Roman" w:cs="Arial"/>
                <w:bCs/>
                <w:sz w:val="18"/>
                <w:szCs w:val="18"/>
              </w:rPr>
              <w:t>Selección Abreviada</w:t>
            </w:r>
          </w:p>
        </w:tc>
        <w:tc>
          <w:tcPr>
            <w:tcW w:w="0" w:type="auto"/>
            <w:shd w:val="clear" w:color="auto" w:fill="auto"/>
            <w:vAlign w:val="center"/>
          </w:tcPr>
          <w:p w:rsidR="009242B9" w:rsidRPr="00FF2DA4" w:rsidRDefault="009242B9" w:rsidP="00F26175">
            <w:pPr>
              <w:spacing w:before="100" w:beforeAutospacing="1" w:after="100" w:afterAutospacing="1"/>
              <w:jc w:val="both"/>
              <w:rPr>
                <w:rFonts w:eastAsia="Times New Roman" w:cs="Arial"/>
                <w:sz w:val="18"/>
                <w:szCs w:val="18"/>
              </w:rPr>
            </w:pPr>
            <w:r w:rsidRPr="00FF2DA4">
              <w:rPr>
                <w:rFonts w:eastAsia="Times New Roman" w:cs="Arial"/>
                <w:sz w:val="18"/>
                <w:szCs w:val="18"/>
              </w:rPr>
              <w:t>12</w:t>
            </w:r>
          </w:p>
        </w:tc>
      </w:tr>
      <w:tr w:rsidR="009242B9" w:rsidRPr="00FF2DA4" w:rsidTr="00FF2DA4">
        <w:tblPrEx>
          <w:jc w:val="left"/>
        </w:tblPrEx>
        <w:trPr>
          <w:cantSplit/>
          <w:trHeight w:val="20"/>
        </w:trPr>
        <w:tc>
          <w:tcPr>
            <w:tcW w:w="0" w:type="auto"/>
            <w:vAlign w:val="center"/>
          </w:tcPr>
          <w:p w:rsidR="009242B9" w:rsidRPr="00FF2DA4" w:rsidRDefault="009242B9" w:rsidP="00F26175">
            <w:pPr>
              <w:spacing w:before="100" w:beforeAutospacing="1" w:after="100" w:afterAutospacing="1"/>
              <w:jc w:val="both"/>
              <w:rPr>
                <w:rFonts w:eastAsia="Times New Roman" w:cs="Arial"/>
                <w:bCs/>
                <w:sz w:val="18"/>
                <w:szCs w:val="18"/>
              </w:rPr>
            </w:pPr>
            <w:r w:rsidRPr="00FF2DA4">
              <w:rPr>
                <w:rFonts w:eastAsia="Times New Roman" w:cs="Arial"/>
                <w:bCs/>
                <w:sz w:val="18"/>
                <w:szCs w:val="18"/>
              </w:rPr>
              <w:t>Mínima Cuantía</w:t>
            </w:r>
          </w:p>
        </w:tc>
        <w:tc>
          <w:tcPr>
            <w:tcW w:w="0" w:type="auto"/>
            <w:vAlign w:val="center"/>
          </w:tcPr>
          <w:p w:rsidR="009242B9" w:rsidRPr="00FF2DA4" w:rsidRDefault="009242B9" w:rsidP="00F26175">
            <w:pPr>
              <w:spacing w:before="100" w:beforeAutospacing="1" w:after="100" w:afterAutospacing="1"/>
              <w:jc w:val="both"/>
              <w:rPr>
                <w:rFonts w:eastAsia="Times New Roman" w:cs="Arial"/>
                <w:sz w:val="18"/>
                <w:szCs w:val="18"/>
              </w:rPr>
            </w:pPr>
            <w:r w:rsidRPr="00FF2DA4">
              <w:rPr>
                <w:rFonts w:eastAsia="Times New Roman" w:cs="Arial"/>
                <w:sz w:val="18"/>
                <w:szCs w:val="18"/>
              </w:rPr>
              <w:t>32</w:t>
            </w:r>
          </w:p>
        </w:tc>
      </w:tr>
      <w:tr w:rsidR="009242B9" w:rsidRPr="00FF2DA4" w:rsidTr="00FF2DA4">
        <w:tblPrEx>
          <w:jc w:val="left"/>
        </w:tblPrEx>
        <w:trPr>
          <w:cantSplit/>
          <w:trHeight w:val="20"/>
        </w:trPr>
        <w:tc>
          <w:tcPr>
            <w:tcW w:w="0" w:type="auto"/>
            <w:vAlign w:val="center"/>
          </w:tcPr>
          <w:p w:rsidR="009242B9" w:rsidRPr="00FF2DA4" w:rsidRDefault="009242B9" w:rsidP="00F26175">
            <w:pPr>
              <w:spacing w:before="100" w:beforeAutospacing="1" w:after="100" w:afterAutospacing="1"/>
              <w:jc w:val="both"/>
              <w:rPr>
                <w:rFonts w:eastAsia="Times New Roman" w:cs="Arial"/>
                <w:bCs/>
                <w:sz w:val="18"/>
                <w:szCs w:val="18"/>
              </w:rPr>
            </w:pPr>
            <w:r w:rsidRPr="00FF2DA4">
              <w:rPr>
                <w:rFonts w:eastAsia="Times New Roman" w:cs="Arial"/>
                <w:bCs/>
                <w:sz w:val="18"/>
                <w:szCs w:val="18"/>
              </w:rPr>
              <w:t>Subasta Inversa</w:t>
            </w:r>
          </w:p>
        </w:tc>
        <w:tc>
          <w:tcPr>
            <w:tcW w:w="0" w:type="auto"/>
            <w:vAlign w:val="center"/>
          </w:tcPr>
          <w:p w:rsidR="009242B9" w:rsidRPr="00FF2DA4" w:rsidRDefault="009242B9" w:rsidP="00F26175">
            <w:pPr>
              <w:spacing w:before="100" w:beforeAutospacing="1" w:after="100" w:afterAutospacing="1"/>
              <w:jc w:val="both"/>
              <w:rPr>
                <w:rFonts w:eastAsia="Times New Roman" w:cs="Arial"/>
                <w:sz w:val="18"/>
                <w:szCs w:val="18"/>
              </w:rPr>
            </w:pPr>
            <w:r w:rsidRPr="00FF2DA4">
              <w:rPr>
                <w:rFonts w:eastAsia="Times New Roman" w:cs="Arial"/>
                <w:sz w:val="18"/>
                <w:szCs w:val="18"/>
              </w:rPr>
              <w:t>16</w:t>
            </w:r>
          </w:p>
        </w:tc>
      </w:tr>
    </w:tbl>
    <w:p w:rsidR="009242B9" w:rsidRPr="00FF2DA4" w:rsidRDefault="009242B9" w:rsidP="00FF2DA4">
      <w:pPr>
        <w:spacing w:after="100" w:afterAutospacing="1" w:line="240" w:lineRule="auto"/>
        <w:jc w:val="center"/>
        <w:rPr>
          <w:rFonts w:cs="Arial"/>
          <w:sz w:val="16"/>
          <w:szCs w:val="16"/>
        </w:rPr>
      </w:pPr>
      <w:r w:rsidRPr="00FF2DA4">
        <w:rPr>
          <w:rFonts w:cs="Arial"/>
          <w:sz w:val="16"/>
          <w:szCs w:val="16"/>
        </w:rPr>
        <w:t>Fuente: Dirección de Contratación ICBF FUC Primer Semestre. SITCO Segundo semestre. Corte: 31/12/2017.</w:t>
      </w:r>
    </w:p>
    <w:p w:rsidR="00FF2DA4" w:rsidRDefault="00FF2DA4" w:rsidP="009242B9">
      <w:pPr>
        <w:spacing w:before="100" w:beforeAutospacing="1" w:after="100" w:afterAutospacing="1" w:line="240" w:lineRule="auto"/>
        <w:jc w:val="center"/>
        <w:rPr>
          <w:rFonts w:cs="Arial"/>
          <w:b/>
          <w:sz w:val="20"/>
          <w:szCs w:val="20"/>
        </w:rPr>
      </w:pPr>
    </w:p>
    <w:p w:rsidR="00FF2DA4" w:rsidRDefault="00FF2DA4" w:rsidP="009242B9">
      <w:pPr>
        <w:spacing w:before="100" w:beforeAutospacing="1" w:after="100" w:afterAutospacing="1" w:line="240" w:lineRule="auto"/>
        <w:jc w:val="center"/>
        <w:rPr>
          <w:rFonts w:cs="Arial"/>
          <w:b/>
          <w:sz w:val="20"/>
          <w:szCs w:val="20"/>
        </w:rPr>
      </w:pPr>
    </w:p>
    <w:p w:rsidR="00FF2DA4" w:rsidRDefault="00FF2DA4" w:rsidP="009242B9">
      <w:pPr>
        <w:spacing w:before="100" w:beforeAutospacing="1" w:after="100" w:afterAutospacing="1" w:line="240" w:lineRule="auto"/>
        <w:jc w:val="center"/>
        <w:rPr>
          <w:rFonts w:cs="Arial"/>
          <w:b/>
          <w:sz w:val="20"/>
          <w:szCs w:val="20"/>
        </w:rPr>
      </w:pPr>
    </w:p>
    <w:p w:rsidR="009242B9" w:rsidRPr="00E2319F" w:rsidRDefault="009242B9" w:rsidP="009242B9">
      <w:pPr>
        <w:spacing w:before="100" w:beforeAutospacing="1" w:after="100" w:afterAutospacing="1" w:line="240" w:lineRule="auto"/>
        <w:jc w:val="center"/>
        <w:rPr>
          <w:rFonts w:cs="Arial"/>
          <w:b/>
          <w:sz w:val="20"/>
          <w:szCs w:val="20"/>
        </w:rPr>
      </w:pPr>
      <w:r w:rsidRPr="00E2319F">
        <w:rPr>
          <w:rFonts w:cs="Arial"/>
          <w:b/>
          <w:sz w:val="20"/>
          <w:szCs w:val="20"/>
        </w:rPr>
        <w:t>Procesos de Selección Direcciones Regionales</w:t>
      </w:r>
    </w:p>
    <w:tbl>
      <w:tblPr>
        <w:tblW w:w="4920"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3720"/>
        <w:gridCol w:w="1200"/>
      </w:tblGrid>
      <w:tr w:rsidR="002B578E" w:rsidRPr="00FF2DA4" w:rsidTr="00FF2DA4">
        <w:trPr>
          <w:trHeight w:val="315"/>
          <w:jc w:val="center"/>
        </w:trPr>
        <w:tc>
          <w:tcPr>
            <w:tcW w:w="3720" w:type="dxa"/>
            <w:shd w:val="clear" w:color="auto" w:fill="76922E"/>
            <w:vAlign w:val="center"/>
            <w:hideMark/>
          </w:tcPr>
          <w:p w:rsidR="009242B9" w:rsidRPr="00FF2DA4" w:rsidRDefault="009242B9" w:rsidP="00FF2DA4">
            <w:pPr>
              <w:spacing w:after="0" w:line="240" w:lineRule="auto"/>
              <w:jc w:val="center"/>
              <w:rPr>
                <w:rFonts w:eastAsia="Times New Roman" w:cs="Arial"/>
                <w:b/>
                <w:bCs/>
                <w:color w:val="FFFFFF" w:themeColor="background1"/>
                <w:sz w:val="18"/>
                <w:szCs w:val="18"/>
                <w:lang w:eastAsia="es-CO"/>
              </w:rPr>
            </w:pPr>
            <w:r w:rsidRPr="00FF2DA4">
              <w:rPr>
                <w:rFonts w:eastAsia="Times New Roman" w:cs="Arial"/>
                <w:b/>
                <w:bCs/>
                <w:color w:val="FFFFFF" w:themeColor="background1"/>
                <w:sz w:val="18"/>
                <w:szCs w:val="18"/>
                <w:lang w:eastAsia="es-CO"/>
              </w:rPr>
              <w:t>Modalidad</w:t>
            </w:r>
          </w:p>
        </w:tc>
        <w:tc>
          <w:tcPr>
            <w:tcW w:w="1200" w:type="dxa"/>
            <w:shd w:val="clear" w:color="auto" w:fill="76922E"/>
            <w:vAlign w:val="center"/>
            <w:hideMark/>
          </w:tcPr>
          <w:p w:rsidR="009242B9" w:rsidRPr="00FF2DA4" w:rsidRDefault="009242B9" w:rsidP="00FF2DA4">
            <w:pPr>
              <w:spacing w:after="0" w:line="240" w:lineRule="auto"/>
              <w:jc w:val="center"/>
              <w:rPr>
                <w:rFonts w:eastAsia="Times New Roman" w:cs="Arial"/>
                <w:b/>
                <w:bCs/>
                <w:color w:val="FFFFFF" w:themeColor="background1"/>
                <w:sz w:val="18"/>
                <w:szCs w:val="18"/>
                <w:lang w:eastAsia="es-CO"/>
              </w:rPr>
            </w:pPr>
            <w:r w:rsidRPr="00FF2DA4">
              <w:rPr>
                <w:rFonts w:eastAsia="Times New Roman" w:cs="Arial"/>
                <w:b/>
                <w:bCs/>
                <w:color w:val="FFFFFF" w:themeColor="background1"/>
                <w:sz w:val="18"/>
                <w:szCs w:val="18"/>
                <w:lang w:eastAsia="es-CO"/>
              </w:rPr>
              <w:t>Total</w:t>
            </w:r>
          </w:p>
        </w:tc>
      </w:tr>
      <w:tr w:rsidR="002B578E" w:rsidRPr="00FF2DA4" w:rsidTr="00FF2DA4">
        <w:trPr>
          <w:trHeight w:val="525"/>
          <w:jc w:val="center"/>
        </w:trPr>
        <w:tc>
          <w:tcPr>
            <w:tcW w:w="3720" w:type="dxa"/>
            <w:shd w:val="clear" w:color="auto" w:fill="auto"/>
            <w:vAlign w:val="center"/>
            <w:hideMark/>
          </w:tcPr>
          <w:p w:rsidR="009242B9" w:rsidRPr="00FF2DA4" w:rsidRDefault="009242B9" w:rsidP="00F26175">
            <w:pPr>
              <w:spacing w:after="0" w:line="240" w:lineRule="auto"/>
              <w:jc w:val="both"/>
              <w:rPr>
                <w:rFonts w:eastAsia="Times New Roman" w:cs="Arial"/>
                <w:sz w:val="18"/>
                <w:szCs w:val="18"/>
                <w:lang w:eastAsia="es-CO"/>
              </w:rPr>
            </w:pPr>
            <w:r w:rsidRPr="00FF2DA4">
              <w:rPr>
                <w:rFonts w:eastAsia="Times New Roman" w:cs="Arial"/>
                <w:sz w:val="18"/>
                <w:szCs w:val="18"/>
                <w:lang w:eastAsia="es-CO"/>
              </w:rPr>
              <w:t xml:space="preserve">AMPCCE- </w:t>
            </w:r>
            <w:r w:rsidR="00FF2DA4" w:rsidRPr="00FF2DA4">
              <w:rPr>
                <w:rFonts w:eastAsia="Times New Roman" w:cs="Arial"/>
                <w:sz w:val="18"/>
                <w:szCs w:val="18"/>
                <w:lang w:eastAsia="es-CO"/>
              </w:rPr>
              <w:t>Acuerdo Marco de Precios - Colombia Compra Eficiente</w:t>
            </w:r>
          </w:p>
        </w:tc>
        <w:tc>
          <w:tcPr>
            <w:tcW w:w="1200" w:type="dxa"/>
            <w:shd w:val="clear" w:color="auto" w:fill="auto"/>
            <w:vAlign w:val="center"/>
            <w:hideMark/>
          </w:tcPr>
          <w:p w:rsidR="009242B9" w:rsidRPr="00FF2DA4" w:rsidRDefault="009242B9" w:rsidP="00F26175">
            <w:pPr>
              <w:spacing w:after="0" w:line="240" w:lineRule="auto"/>
              <w:jc w:val="center"/>
              <w:rPr>
                <w:rFonts w:eastAsia="Times New Roman" w:cs="Arial"/>
                <w:sz w:val="18"/>
                <w:szCs w:val="18"/>
                <w:lang w:eastAsia="es-CO"/>
              </w:rPr>
            </w:pPr>
            <w:r w:rsidRPr="00FF2DA4">
              <w:rPr>
                <w:rFonts w:eastAsia="Times New Roman" w:cs="Arial"/>
                <w:sz w:val="18"/>
                <w:szCs w:val="18"/>
                <w:lang w:eastAsia="es-CO"/>
              </w:rPr>
              <w:t>211</w:t>
            </w:r>
          </w:p>
        </w:tc>
      </w:tr>
      <w:tr w:rsidR="002B578E" w:rsidRPr="00FF2DA4" w:rsidTr="00FF2DA4">
        <w:trPr>
          <w:trHeight w:val="315"/>
          <w:jc w:val="center"/>
        </w:trPr>
        <w:tc>
          <w:tcPr>
            <w:tcW w:w="3720" w:type="dxa"/>
            <w:shd w:val="clear" w:color="auto" w:fill="auto"/>
            <w:vAlign w:val="center"/>
            <w:hideMark/>
          </w:tcPr>
          <w:p w:rsidR="009242B9" w:rsidRPr="00FF2DA4" w:rsidRDefault="009242B9" w:rsidP="00F26175">
            <w:pPr>
              <w:spacing w:after="0" w:line="240" w:lineRule="auto"/>
              <w:jc w:val="both"/>
              <w:rPr>
                <w:rFonts w:eastAsia="Times New Roman" w:cs="Arial"/>
                <w:sz w:val="18"/>
                <w:szCs w:val="18"/>
                <w:lang w:eastAsia="es-CO"/>
              </w:rPr>
            </w:pPr>
            <w:r w:rsidRPr="00FF2DA4">
              <w:rPr>
                <w:rFonts w:eastAsia="Times New Roman" w:cs="Arial"/>
                <w:sz w:val="18"/>
                <w:szCs w:val="18"/>
                <w:lang w:eastAsia="es-CO"/>
              </w:rPr>
              <w:t xml:space="preserve">MC: </w:t>
            </w:r>
            <w:r w:rsidR="00FF2DA4" w:rsidRPr="00FF2DA4">
              <w:rPr>
                <w:rFonts w:eastAsia="Times New Roman" w:cs="Arial"/>
                <w:sz w:val="18"/>
                <w:szCs w:val="18"/>
                <w:lang w:eastAsia="es-CO"/>
              </w:rPr>
              <w:t>Mínima Cuantía</w:t>
            </w:r>
          </w:p>
        </w:tc>
        <w:tc>
          <w:tcPr>
            <w:tcW w:w="1200" w:type="dxa"/>
            <w:shd w:val="clear" w:color="auto" w:fill="auto"/>
            <w:vAlign w:val="center"/>
            <w:hideMark/>
          </w:tcPr>
          <w:p w:rsidR="009242B9" w:rsidRPr="00FF2DA4" w:rsidRDefault="009242B9" w:rsidP="00F26175">
            <w:pPr>
              <w:spacing w:after="0" w:line="240" w:lineRule="auto"/>
              <w:jc w:val="center"/>
              <w:rPr>
                <w:rFonts w:eastAsia="Times New Roman" w:cs="Arial"/>
                <w:sz w:val="18"/>
                <w:szCs w:val="18"/>
                <w:lang w:eastAsia="es-CO"/>
              </w:rPr>
            </w:pPr>
            <w:r w:rsidRPr="00FF2DA4">
              <w:rPr>
                <w:rFonts w:eastAsia="Times New Roman" w:cs="Arial"/>
                <w:sz w:val="18"/>
                <w:szCs w:val="18"/>
                <w:lang w:eastAsia="es-CO"/>
              </w:rPr>
              <w:t>390</w:t>
            </w:r>
          </w:p>
        </w:tc>
      </w:tr>
      <w:tr w:rsidR="002B578E" w:rsidRPr="00FF2DA4" w:rsidTr="00FF2DA4">
        <w:trPr>
          <w:trHeight w:val="525"/>
          <w:jc w:val="center"/>
        </w:trPr>
        <w:tc>
          <w:tcPr>
            <w:tcW w:w="3720" w:type="dxa"/>
            <w:shd w:val="clear" w:color="auto" w:fill="auto"/>
            <w:vAlign w:val="center"/>
            <w:hideMark/>
          </w:tcPr>
          <w:p w:rsidR="009242B9" w:rsidRPr="00FF2DA4" w:rsidRDefault="009242B9" w:rsidP="00F26175">
            <w:pPr>
              <w:spacing w:after="0" w:line="240" w:lineRule="auto"/>
              <w:jc w:val="both"/>
              <w:rPr>
                <w:rFonts w:eastAsia="Times New Roman" w:cs="Arial"/>
                <w:sz w:val="18"/>
                <w:szCs w:val="18"/>
                <w:lang w:eastAsia="es-CO"/>
              </w:rPr>
            </w:pPr>
            <w:r w:rsidRPr="00FF2DA4">
              <w:rPr>
                <w:rFonts w:eastAsia="Times New Roman" w:cs="Arial"/>
                <w:sz w:val="18"/>
                <w:szCs w:val="18"/>
                <w:lang w:eastAsia="es-CO"/>
              </w:rPr>
              <w:t xml:space="preserve">SA-MC: </w:t>
            </w:r>
            <w:r w:rsidR="00FF2DA4" w:rsidRPr="00FF2DA4">
              <w:rPr>
                <w:rFonts w:eastAsia="Times New Roman" w:cs="Arial"/>
                <w:sz w:val="18"/>
                <w:szCs w:val="18"/>
                <w:lang w:eastAsia="es-CO"/>
              </w:rPr>
              <w:t>Selección Abreviada de Menor Cuantía</w:t>
            </w:r>
          </w:p>
        </w:tc>
        <w:tc>
          <w:tcPr>
            <w:tcW w:w="1200" w:type="dxa"/>
            <w:shd w:val="clear" w:color="auto" w:fill="auto"/>
            <w:vAlign w:val="center"/>
            <w:hideMark/>
          </w:tcPr>
          <w:p w:rsidR="009242B9" w:rsidRPr="00FF2DA4" w:rsidRDefault="009242B9" w:rsidP="00F26175">
            <w:pPr>
              <w:spacing w:after="0" w:line="240" w:lineRule="auto"/>
              <w:jc w:val="center"/>
              <w:rPr>
                <w:rFonts w:eastAsia="Times New Roman" w:cs="Arial"/>
                <w:sz w:val="18"/>
                <w:szCs w:val="18"/>
                <w:lang w:eastAsia="es-CO"/>
              </w:rPr>
            </w:pPr>
            <w:r w:rsidRPr="00FF2DA4">
              <w:rPr>
                <w:rFonts w:eastAsia="Times New Roman" w:cs="Arial"/>
                <w:sz w:val="18"/>
                <w:szCs w:val="18"/>
                <w:lang w:eastAsia="es-CO"/>
              </w:rPr>
              <w:t>33</w:t>
            </w:r>
          </w:p>
        </w:tc>
      </w:tr>
    </w:tbl>
    <w:p w:rsidR="009242B9" w:rsidRPr="00FF2DA4" w:rsidRDefault="009242B9" w:rsidP="00FF2DA4">
      <w:pPr>
        <w:spacing w:after="100" w:afterAutospacing="1" w:line="240" w:lineRule="auto"/>
        <w:jc w:val="both"/>
        <w:rPr>
          <w:rFonts w:cs="Arial"/>
          <w:sz w:val="16"/>
          <w:szCs w:val="16"/>
        </w:rPr>
      </w:pPr>
      <w:r w:rsidRPr="00FF2DA4">
        <w:rPr>
          <w:rFonts w:cs="Arial"/>
          <w:sz w:val="16"/>
          <w:szCs w:val="16"/>
        </w:rPr>
        <w:t>Fuente: Dirección de Contratación ICBF FUC Primer Semestre. SITCO Segundo semestre. Corte: 31/12/2017.Resultado Preliminar.</w:t>
      </w:r>
    </w:p>
    <w:p w:rsidR="009242B9" w:rsidRPr="00E2319F" w:rsidRDefault="009242B9" w:rsidP="009242B9">
      <w:pPr>
        <w:spacing w:before="100" w:beforeAutospacing="1" w:after="100" w:afterAutospacing="1" w:line="240" w:lineRule="auto"/>
        <w:jc w:val="both"/>
        <w:rPr>
          <w:rFonts w:cs="Arial"/>
        </w:rPr>
      </w:pPr>
      <w:r w:rsidRPr="00E2319F">
        <w:rPr>
          <w:rFonts w:cs="Arial"/>
        </w:rPr>
        <w:t>Así mismo, se tramitaron</w:t>
      </w:r>
      <w:r w:rsidRPr="00FF2DA4">
        <w:rPr>
          <w:rFonts w:cs="Arial"/>
        </w:rPr>
        <w:t xml:space="preserve"> 38</w:t>
      </w:r>
      <w:r w:rsidRPr="00E2319F">
        <w:rPr>
          <w:rFonts w:cs="Arial"/>
        </w:rPr>
        <w:t xml:space="preserve"> actos administrativos para la actualización el Banco Nacional de Oferentes, distribuidos de la siguiente manera:</w:t>
      </w:r>
    </w:p>
    <w:p w:rsidR="009242B9" w:rsidRDefault="009242B9" w:rsidP="009242B9">
      <w:pPr>
        <w:spacing w:before="100" w:beforeAutospacing="1" w:after="100" w:afterAutospacing="1" w:line="240" w:lineRule="auto"/>
        <w:jc w:val="center"/>
        <w:rPr>
          <w:rFonts w:cs="Arial"/>
          <w:b/>
          <w:sz w:val="20"/>
          <w:szCs w:val="20"/>
        </w:rPr>
      </w:pPr>
      <w:r w:rsidRPr="00E2319F">
        <w:rPr>
          <w:rFonts w:cs="Arial"/>
          <w:b/>
          <w:sz w:val="20"/>
          <w:szCs w:val="20"/>
        </w:rPr>
        <w:t>Actualización Banco Nacional de Oferentes</w:t>
      </w:r>
    </w:p>
    <w:tbl>
      <w:tblPr>
        <w:tblW w:w="0" w:type="auto"/>
        <w:tblInd w:w="2689"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top w:w="15" w:type="dxa"/>
          <w:left w:w="70" w:type="dxa"/>
          <w:bottom w:w="15" w:type="dxa"/>
          <w:right w:w="70" w:type="dxa"/>
        </w:tblCellMar>
        <w:tblLook w:val="04A0" w:firstRow="1" w:lastRow="0" w:firstColumn="1" w:lastColumn="0" w:noHBand="0" w:noVBand="1"/>
      </w:tblPr>
      <w:tblGrid>
        <w:gridCol w:w="1712"/>
        <w:gridCol w:w="2051"/>
      </w:tblGrid>
      <w:tr w:rsidR="002B578E" w:rsidRPr="00FF2DA4" w:rsidTr="00FF2DA4">
        <w:trPr>
          <w:trHeight w:val="146"/>
          <w:tblHeader/>
        </w:trPr>
        <w:tc>
          <w:tcPr>
            <w:tcW w:w="0" w:type="auto"/>
            <w:shd w:val="clear" w:color="auto" w:fill="76922E"/>
            <w:vAlign w:val="center"/>
            <w:hideMark/>
          </w:tcPr>
          <w:p w:rsidR="009242B9" w:rsidRPr="00FF2DA4" w:rsidRDefault="00FF2DA4" w:rsidP="00F26175">
            <w:pPr>
              <w:spacing w:after="0" w:line="240" w:lineRule="auto"/>
              <w:jc w:val="center"/>
              <w:rPr>
                <w:rFonts w:eastAsia="Times New Roman" w:cs="Arial"/>
                <w:b/>
                <w:bCs/>
                <w:color w:val="FFFFFF" w:themeColor="background1"/>
                <w:sz w:val="18"/>
                <w:szCs w:val="18"/>
              </w:rPr>
            </w:pPr>
            <w:r w:rsidRPr="00FF2DA4">
              <w:rPr>
                <w:rFonts w:eastAsia="Times New Roman" w:cs="Arial"/>
                <w:b/>
                <w:bCs/>
                <w:color w:val="FFFFFF" w:themeColor="background1"/>
                <w:sz w:val="18"/>
                <w:szCs w:val="18"/>
              </w:rPr>
              <w:t>Regional</w:t>
            </w:r>
          </w:p>
        </w:tc>
        <w:tc>
          <w:tcPr>
            <w:tcW w:w="0" w:type="auto"/>
            <w:shd w:val="clear" w:color="auto" w:fill="76922E"/>
            <w:vAlign w:val="center"/>
            <w:hideMark/>
          </w:tcPr>
          <w:p w:rsidR="009242B9" w:rsidRPr="00FF2DA4" w:rsidRDefault="00FF2DA4" w:rsidP="00F26175">
            <w:pPr>
              <w:spacing w:after="0" w:line="240" w:lineRule="auto"/>
              <w:jc w:val="center"/>
              <w:rPr>
                <w:rFonts w:eastAsia="Times New Roman" w:cs="Arial"/>
                <w:b/>
                <w:bCs/>
                <w:color w:val="FFFFFF" w:themeColor="background1"/>
                <w:sz w:val="18"/>
                <w:szCs w:val="18"/>
              </w:rPr>
            </w:pPr>
            <w:r w:rsidRPr="00FF2DA4">
              <w:rPr>
                <w:rFonts w:eastAsia="Times New Roman" w:cs="Arial"/>
                <w:b/>
                <w:bCs/>
                <w:color w:val="FFFFFF" w:themeColor="background1"/>
                <w:sz w:val="18"/>
                <w:szCs w:val="18"/>
              </w:rPr>
              <w:t>Entidades Actulizadas</w:t>
            </w:r>
          </w:p>
        </w:tc>
      </w:tr>
      <w:tr w:rsidR="002B578E" w:rsidRPr="00FF2DA4" w:rsidTr="00FF2DA4">
        <w:trPr>
          <w:trHeight w:val="4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Amazonas</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2</w:t>
            </w:r>
          </w:p>
        </w:tc>
      </w:tr>
      <w:tr w:rsidR="002B578E" w:rsidRPr="00FF2DA4" w:rsidTr="00FF2DA4">
        <w:trPr>
          <w:trHeight w:val="4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Antioquia</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188</w:t>
            </w:r>
          </w:p>
        </w:tc>
      </w:tr>
      <w:tr w:rsidR="002B578E" w:rsidRPr="00FF2DA4" w:rsidTr="00FF2DA4">
        <w:trPr>
          <w:trHeight w:val="4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Arauca</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21</w:t>
            </w:r>
          </w:p>
        </w:tc>
      </w:tr>
      <w:tr w:rsidR="002B578E" w:rsidRPr="00FF2DA4" w:rsidTr="00FF2DA4">
        <w:trPr>
          <w:trHeight w:val="4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Atlántico</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130</w:t>
            </w:r>
          </w:p>
        </w:tc>
      </w:tr>
      <w:tr w:rsidR="002B578E" w:rsidRPr="00FF2DA4" w:rsidTr="00FF2DA4">
        <w:trPr>
          <w:trHeight w:val="4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Bolívar</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182</w:t>
            </w:r>
          </w:p>
        </w:tc>
      </w:tr>
      <w:tr w:rsidR="002B578E" w:rsidRPr="00FF2DA4" w:rsidTr="00FF2DA4">
        <w:trPr>
          <w:trHeight w:val="4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Boyacá</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118</w:t>
            </w:r>
          </w:p>
        </w:tc>
      </w:tr>
      <w:tr w:rsidR="002B578E" w:rsidRPr="00FF2DA4" w:rsidTr="00FF2DA4">
        <w:trPr>
          <w:trHeight w:val="4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Caldas</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35</w:t>
            </w:r>
          </w:p>
        </w:tc>
      </w:tr>
      <w:tr w:rsidR="002B578E" w:rsidRPr="00FF2DA4" w:rsidTr="00FF2DA4">
        <w:trPr>
          <w:trHeight w:val="4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Caquetá</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22</w:t>
            </w:r>
          </w:p>
        </w:tc>
      </w:tr>
      <w:tr w:rsidR="002B578E" w:rsidRPr="00FF2DA4" w:rsidTr="00FF2DA4">
        <w:trPr>
          <w:trHeight w:val="4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Casanare</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10</w:t>
            </w:r>
          </w:p>
        </w:tc>
      </w:tr>
      <w:tr w:rsidR="002B578E" w:rsidRPr="00FF2DA4" w:rsidTr="00FF2DA4">
        <w:trPr>
          <w:trHeight w:val="59"/>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Cauca</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136</w:t>
            </w:r>
          </w:p>
        </w:tc>
      </w:tr>
      <w:tr w:rsidR="002B578E" w:rsidRPr="00FF2DA4" w:rsidTr="00FF2DA4">
        <w:trPr>
          <w:trHeight w:val="4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Cesar</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158</w:t>
            </w:r>
          </w:p>
        </w:tc>
      </w:tr>
      <w:tr w:rsidR="002B578E" w:rsidRPr="00FF2DA4" w:rsidTr="00FF2DA4">
        <w:trPr>
          <w:trHeight w:val="4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Chocó</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34</w:t>
            </w:r>
          </w:p>
        </w:tc>
      </w:tr>
      <w:tr w:rsidR="002B578E" w:rsidRPr="00FF2DA4" w:rsidTr="00FF2DA4">
        <w:trPr>
          <w:trHeight w:val="4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Córdoba</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65</w:t>
            </w:r>
          </w:p>
        </w:tc>
      </w:tr>
      <w:tr w:rsidR="002B578E" w:rsidRPr="00FF2DA4" w:rsidTr="00FF2DA4">
        <w:trPr>
          <w:trHeight w:val="4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Cundinamarca</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401</w:t>
            </w:r>
          </w:p>
        </w:tc>
      </w:tr>
      <w:tr w:rsidR="002B578E" w:rsidRPr="00FF2DA4" w:rsidTr="00FF2DA4">
        <w:trPr>
          <w:trHeight w:val="4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Guainía</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1</w:t>
            </w:r>
          </w:p>
        </w:tc>
      </w:tr>
      <w:tr w:rsidR="002B578E" w:rsidRPr="00FF2DA4" w:rsidTr="00FF2DA4">
        <w:trPr>
          <w:trHeight w:val="4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Guaviare</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2</w:t>
            </w:r>
          </w:p>
        </w:tc>
      </w:tr>
      <w:tr w:rsidR="002B578E" w:rsidRPr="00FF2DA4" w:rsidTr="00FF2DA4">
        <w:trPr>
          <w:trHeight w:val="4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Huila</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66</w:t>
            </w:r>
          </w:p>
        </w:tc>
      </w:tr>
      <w:tr w:rsidR="002B578E" w:rsidRPr="00FF2DA4" w:rsidTr="00FF2DA4">
        <w:trPr>
          <w:trHeight w:val="4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La Guajira</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39</w:t>
            </w:r>
          </w:p>
        </w:tc>
      </w:tr>
      <w:tr w:rsidR="002B578E" w:rsidRPr="00FF2DA4" w:rsidTr="00FF2DA4">
        <w:trPr>
          <w:trHeight w:val="4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Magdalena</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64</w:t>
            </w:r>
          </w:p>
        </w:tc>
      </w:tr>
      <w:tr w:rsidR="002B578E" w:rsidRPr="00FF2DA4" w:rsidTr="00FF2DA4">
        <w:trPr>
          <w:trHeight w:val="4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Meta</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47</w:t>
            </w:r>
          </w:p>
        </w:tc>
      </w:tr>
      <w:tr w:rsidR="002B578E" w:rsidRPr="00FF2DA4" w:rsidTr="00FF2DA4">
        <w:trPr>
          <w:trHeight w:val="4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Nariño</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47</w:t>
            </w:r>
          </w:p>
        </w:tc>
      </w:tr>
      <w:tr w:rsidR="002B578E" w:rsidRPr="00FF2DA4" w:rsidTr="00FF2DA4">
        <w:trPr>
          <w:trHeight w:val="4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Norte de Santander</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165</w:t>
            </w:r>
          </w:p>
        </w:tc>
      </w:tr>
      <w:tr w:rsidR="002B578E" w:rsidRPr="00FF2DA4" w:rsidTr="00FF2DA4">
        <w:trPr>
          <w:trHeight w:val="4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Putumayo</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3</w:t>
            </w:r>
          </w:p>
        </w:tc>
      </w:tr>
      <w:tr w:rsidR="002B578E" w:rsidRPr="00FF2DA4" w:rsidTr="00FF2DA4">
        <w:trPr>
          <w:trHeight w:val="4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Quindío</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15</w:t>
            </w:r>
          </w:p>
        </w:tc>
      </w:tr>
      <w:tr w:rsidR="002B578E" w:rsidRPr="00FF2DA4" w:rsidTr="00FF2DA4">
        <w:trPr>
          <w:trHeight w:val="4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Risaralda</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21</w:t>
            </w:r>
          </w:p>
        </w:tc>
      </w:tr>
      <w:tr w:rsidR="002B578E" w:rsidRPr="00FF2DA4" w:rsidTr="00FF2DA4">
        <w:trPr>
          <w:trHeight w:val="4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San Andrés</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2</w:t>
            </w:r>
          </w:p>
        </w:tc>
      </w:tr>
      <w:tr w:rsidR="002B578E" w:rsidRPr="00FF2DA4" w:rsidTr="00FF2DA4">
        <w:trPr>
          <w:trHeight w:val="4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Santander</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145</w:t>
            </w:r>
          </w:p>
        </w:tc>
      </w:tr>
      <w:tr w:rsidR="002B578E" w:rsidRPr="00FF2DA4" w:rsidTr="00FF2DA4">
        <w:trPr>
          <w:trHeight w:val="4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Sucre</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113</w:t>
            </w:r>
          </w:p>
        </w:tc>
      </w:tr>
      <w:tr w:rsidR="002B578E" w:rsidRPr="00FF2DA4" w:rsidTr="00E25B1D">
        <w:trPr>
          <w:trHeight w:val="2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lastRenderedPageBreak/>
              <w:t>Tolima</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51</w:t>
            </w:r>
          </w:p>
        </w:tc>
      </w:tr>
      <w:tr w:rsidR="002B578E" w:rsidRPr="00FF2DA4" w:rsidTr="00E25B1D">
        <w:trPr>
          <w:trHeight w:val="2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Valle del Cauca</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139</w:t>
            </w:r>
          </w:p>
        </w:tc>
      </w:tr>
      <w:tr w:rsidR="002B578E" w:rsidRPr="00FF2DA4" w:rsidTr="00E25B1D">
        <w:trPr>
          <w:trHeight w:val="2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Vaupés</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1</w:t>
            </w:r>
          </w:p>
        </w:tc>
      </w:tr>
      <w:tr w:rsidR="002B578E" w:rsidRPr="00FF2DA4" w:rsidTr="00E25B1D">
        <w:trPr>
          <w:trHeight w:val="20"/>
        </w:trPr>
        <w:tc>
          <w:tcPr>
            <w:tcW w:w="0" w:type="auto"/>
            <w:noWrap/>
            <w:vAlign w:val="bottom"/>
            <w:hideMark/>
          </w:tcPr>
          <w:p w:rsidR="009242B9" w:rsidRPr="00FF2DA4" w:rsidRDefault="009242B9" w:rsidP="00FF2DA4">
            <w:pPr>
              <w:shd w:val="clear" w:color="auto" w:fill="FFFFFF" w:themeFill="background1"/>
              <w:spacing w:after="0" w:line="240" w:lineRule="auto"/>
              <w:contextualSpacing/>
              <w:rPr>
                <w:rFonts w:cs="Arial"/>
                <w:sz w:val="18"/>
                <w:szCs w:val="20"/>
              </w:rPr>
            </w:pPr>
            <w:r w:rsidRPr="00FF2DA4">
              <w:rPr>
                <w:rFonts w:cs="Arial"/>
                <w:sz w:val="18"/>
                <w:szCs w:val="20"/>
              </w:rPr>
              <w:t>Vichada</w:t>
            </w:r>
          </w:p>
        </w:tc>
        <w:tc>
          <w:tcPr>
            <w:tcW w:w="0" w:type="auto"/>
            <w:noWrap/>
            <w:vAlign w:val="bottom"/>
            <w:hideMark/>
          </w:tcPr>
          <w:p w:rsidR="009242B9" w:rsidRPr="00FF2DA4" w:rsidRDefault="009242B9" w:rsidP="00FF2DA4">
            <w:pPr>
              <w:shd w:val="clear" w:color="auto" w:fill="FFFFFF" w:themeFill="background1"/>
              <w:spacing w:after="0" w:line="240" w:lineRule="auto"/>
              <w:contextualSpacing/>
              <w:jc w:val="center"/>
              <w:rPr>
                <w:rFonts w:cs="Arial"/>
                <w:sz w:val="18"/>
                <w:szCs w:val="20"/>
              </w:rPr>
            </w:pPr>
            <w:r w:rsidRPr="00FF2DA4">
              <w:rPr>
                <w:rFonts w:cs="Arial"/>
                <w:sz w:val="18"/>
                <w:szCs w:val="20"/>
              </w:rPr>
              <w:t>4</w:t>
            </w:r>
          </w:p>
        </w:tc>
      </w:tr>
      <w:tr w:rsidR="002B578E" w:rsidRPr="00FF2DA4" w:rsidTr="00E25B1D">
        <w:trPr>
          <w:trHeight w:val="20"/>
        </w:trPr>
        <w:tc>
          <w:tcPr>
            <w:tcW w:w="0" w:type="auto"/>
            <w:shd w:val="clear" w:color="auto" w:fill="E2EFDA"/>
            <w:noWrap/>
            <w:vAlign w:val="bottom"/>
            <w:hideMark/>
          </w:tcPr>
          <w:p w:rsidR="009242B9" w:rsidRPr="00FF2DA4" w:rsidRDefault="00FF2DA4" w:rsidP="00FF2DA4">
            <w:pPr>
              <w:spacing w:after="0" w:line="240" w:lineRule="auto"/>
              <w:rPr>
                <w:rFonts w:eastAsia="Times New Roman" w:cs="Arial"/>
                <w:b/>
                <w:bCs/>
                <w:sz w:val="18"/>
                <w:szCs w:val="18"/>
              </w:rPr>
            </w:pPr>
            <w:r w:rsidRPr="00FF2DA4">
              <w:rPr>
                <w:rFonts w:eastAsia="Times New Roman" w:cs="Arial"/>
                <w:b/>
                <w:bCs/>
                <w:sz w:val="18"/>
                <w:szCs w:val="18"/>
              </w:rPr>
              <w:t>Total</w:t>
            </w:r>
          </w:p>
        </w:tc>
        <w:tc>
          <w:tcPr>
            <w:tcW w:w="0" w:type="auto"/>
            <w:shd w:val="clear" w:color="auto" w:fill="E2EFDA"/>
            <w:noWrap/>
            <w:vAlign w:val="bottom"/>
            <w:hideMark/>
          </w:tcPr>
          <w:p w:rsidR="009242B9" w:rsidRPr="00FF2DA4" w:rsidRDefault="009242B9" w:rsidP="00FF2DA4">
            <w:pPr>
              <w:spacing w:after="0" w:line="240" w:lineRule="auto"/>
              <w:jc w:val="center"/>
              <w:rPr>
                <w:rFonts w:eastAsia="Times New Roman" w:cs="Arial"/>
                <w:b/>
                <w:bCs/>
                <w:sz w:val="18"/>
                <w:szCs w:val="18"/>
              </w:rPr>
            </w:pPr>
            <w:r w:rsidRPr="00FF2DA4">
              <w:rPr>
                <w:rFonts w:eastAsia="Times New Roman" w:cs="Arial"/>
                <w:b/>
                <w:bCs/>
                <w:sz w:val="18"/>
                <w:szCs w:val="18"/>
              </w:rPr>
              <w:t>2427</w:t>
            </w:r>
          </w:p>
        </w:tc>
      </w:tr>
    </w:tbl>
    <w:p w:rsidR="009242B9" w:rsidRPr="00245ED5" w:rsidRDefault="009242B9" w:rsidP="00245ED5">
      <w:pPr>
        <w:spacing w:after="100" w:afterAutospacing="1" w:line="240" w:lineRule="auto"/>
        <w:jc w:val="center"/>
        <w:rPr>
          <w:rFonts w:cs="Arial"/>
          <w:sz w:val="16"/>
          <w:szCs w:val="16"/>
        </w:rPr>
      </w:pPr>
      <w:r w:rsidRPr="00245ED5">
        <w:rPr>
          <w:rFonts w:cs="Arial"/>
          <w:sz w:val="16"/>
          <w:szCs w:val="16"/>
        </w:rPr>
        <w:t>Fuente: Dirección de Contratación ICBF Gestión Precontractual. Corte: 31/12/2017.</w:t>
      </w:r>
    </w:p>
    <w:p w:rsidR="009242B9" w:rsidRPr="00E2319F" w:rsidRDefault="009242B9" w:rsidP="00270D03">
      <w:pPr>
        <w:spacing w:before="100" w:beforeAutospacing="1" w:after="100" w:afterAutospacing="1" w:line="240" w:lineRule="auto"/>
        <w:jc w:val="center"/>
        <w:rPr>
          <w:rFonts w:cs="Arial"/>
          <w:b/>
        </w:rPr>
      </w:pPr>
      <w:r w:rsidRPr="00E2319F">
        <w:rPr>
          <w:rFonts w:cs="Arial"/>
          <w:b/>
        </w:rPr>
        <w:t xml:space="preserve">Recursos Interpuestos en </w:t>
      </w:r>
      <w:r w:rsidR="002B578E" w:rsidRPr="00E2319F">
        <w:rPr>
          <w:rFonts w:cs="Arial"/>
          <w:b/>
        </w:rPr>
        <w:t>l</w:t>
      </w:r>
      <w:r w:rsidRPr="00E2319F">
        <w:rPr>
          <w:rFonts w:cs="Arial"/>
          <w:b/>
        </w:rPr>
        <w:t>a conformación de Banco</w:t>
      </w:r>
    </w:p>
    <w:tbl>
      <w:tblPr>
        <w:tblW w:w="0" w:type="auto"/>
        <w:tblInd w:w="2689"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top w:w="15" w:type="dxa"/>
          <w:left w:w="70" w:type="dxa"/>
          <w:bottom w:w="15" w:type="dxa"/>
          <w:right w:w="70" w:type="dxa"/>
        </w:tblCellMar>
        <w:tblLook w:val="04A0" w:firstRow="1" w:lastRow="0" w:firstColumn="1" w:lastColumn="0" w:noHBand="0" w:noVBand="1"/>
      </w:tblPr>
      <w:tblGrid>
        <w:gridCol w:w="1712"/>
        <w:gridCol w:w="2101"/>
      </w:tblGrid>
      <w:tr w:rsidR="002B578E" w:rsidRPr="00E2319F" w:rsidTr="00E25B1D">
        <w:trPr>
          <w:trHeight w:val="20"/>
        </w:trPr>
        <w:tc>
          <w:tcPr>
            <w:tcW w:w="0" w:type="auto"/>
            <w:shd w:val="clear" w:color="auto" w:fill="76923C"/>
            <w:vAlign w:val="bottom"/>
            <w:hideMark/>
          </w:tcPr>
          <w:p w:rsidR="009242B9" w:rsidRPr="00245ED5" w:rsidRDefault="00245ED5" w:rsidP="00F26175">
            <w:pPr>
              <w:spacing w:after="0" w:line="240" w:lineRule="auto"/>
              <w:jc w:val="center"/>
              <w:rPr>
                <w:rFonts w:eastAsia="Times New Roman" w:cs="Arial"/>
                <w:b/>
                <w:bCs/>
                <w:color w:val="FFFFFF" w:themeColor="background1"/>
                <w:sz w:val="18"/>
                <w:szCs w:val="18"/>
              </w:rPr>
            </w:pPr>
            <w:r w:rsidRPr="00245ED5">
              <w:rPr>
                <w:rFonts w:eastAsia="Times New Roman" w:cs="Arial"/>
                <w:b/>
                <w:bCs/>
                <w:color w:val="FFFFFF" w:themeColor="background1"/>
                <w:sz w:val="18"/>
                <w:szCs w:val="18"/>
              </w:rPr>
              <w:t>Regional</w:t>
            </w:r>
          </w:p>
        </w:tc>
        <w:tc>
          <w:tcPr>
            <w:tcW w:w="0" w:type="auto"/>
            <w:shd w:val="clear" w:color="auto" w:fill="76923C"/>
            <w:vAlign w:val="bottom"/>
            <w:hideMark/>
          </w:tcPr>
          <w:p w:rsidR="009242B9" w:rsidRPr="00245ED5" w:rsidRDefault="00245ED5" w:rsidP="00F26175">
            <w:pPr>
              <w:spacing w:after="0" w:line="240" w:lineRule="auto"/>
              <w:jc w:val="center"/>
              <w:rPr>
                <w:rFonts w:eastAsia="Times New Roman" w:cs="Arial"/>
                <w:b/>
                <w:bCs/>
                <w:color w:val="FFFFFF" w:themeColor="background1"/>
                <w:sz w:val="18"/>
                <w:szCs w:val="18"/>
              </w:rPr>
            </w:pPr>
            <w:r w:rsidRPr="00245ED5">
              <w:rPr>
                <w:rFonts w:eastAsia="Times New Roman" w:cs="Arial"/>
                <w:b/>
                <w:bCs/>
                <w:color w:val="FFFFFF" w:themeColor="background1"/>
                <w:sz w:val="18"/>
                <w:szCs w:val="18"/>
              </w:rPr>
              <w:t>Recursos Contestados</w:t>
            </w:r>
          </w:p>
        </w:tc>
      </w:tr>
      <w:tr w:rsidR="002B578E" w:rsidRPr="00E2319F" w:rsidTr="00E25B1D">
        <w:trPr>
          <w:trHeight w:val="20"/>
        </w:trPr>
        <w:tc>
          <w:tcPr>
            <w:tcW w:w="0" w:type="auto"/>
            <w:noWrap/>
            <w:vAlign w:val="bottom"/>
            <w:hideMark/>
          </w:tcPr>
          <w:p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Antioquia</w:t>
            </w:r>
          </w:p>
        </w:tc>
        <w:tc>
          <w:tcPr>
            <w:tcW w:w="0" w:type="auto"/>
            <w:noWrap/>
            <w:vAlign w:val="bottom"/>
            <w:hideMark/>
          </w:tcPr>
          <w:p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5</w:t>
            </w:r>
          </w:p>
        </w:tc>
      </w:tr>
      <w:tr w:rsidR="002B578E" w:rsidRPr="00E2319F" w:rsidTr="00E25B1D">
        <w:trPr>
          <w:trHeight w:val="20"/>
        </w:trPr>
        <w:tc>
          <w:tcPr>
            <w:tcW w:w="0" w:type="auto"/>
            <w:noWrap/>
            <w:vAlign w:val="bottom"/>
            <w:hideMark/>
          </w:tcPr>
          <w:p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Atlántico</w:t>
            </w:r>
          </w:p>
        </w:tc>
        <w:tc>
          <w:tcPr>
            <w:tcW w:w="0" w:type="auto"/>
            <w:noWrap/>
            <w:vAlign w:val="bottom"/>
            <w:hideMark/>
          </w:tcPr>
          <w:p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3</w:t>
            </w:r>
          </w:p>
        </w:tc>
      </w:tr>
      <w:tr w:rsidR="002B578E" w:rsidRPr="00E2319F" w:rsidTr="00E25B1D">
        <w:trPr>
          <w:trHeight w:val="20"/>
        </w:trPr>
        <w:tc>
          <w:tcPr>
            <w:tcW w:w="0" w:type="auto"/>
            <w:noWrap/>
            <w:vAlign w:val="bottom"/>
            <w:hideMark/>
          </w:tcPr>
          <w:p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Bolívar</w:t>
            </w:r>
          </w:p>
        </w:tc>
        <w:tc>
          <w:tcPr>
            <w:tcW w:w="0" w:type="auto"/>
            <w:noWrap/>
            <w:vAlign w:val="bottom"/>
            <w:hideMark/>
          </w:tcPr>
          <w:p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2</w:t>
            </w:r>
          </w:p>
        </w:tc>
      </w:tr>
      <w:tr w:rsidR="002B578E" w:rsidRPr="00E2319F" w:rsidTr="00E25B1D">
        <w:trPr>
          <w:trHeight w:val="20"/>
        </w:trPr>
        <w:tc>
          <w:tcPr>
            <w:tcW w:w="0" w:type="auto"/>
            <w:noWrap/>
            <w:vAlign w:val="bottom"/>
            <w:hideMark/>
          </w:tcPr>
          <w:p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Caldas</w:t>
            </w:r>
          </w:p>
        </w:tc>
        <w:tc>
          <w:tcPr>
            <w:tcW w:w="0" w:type="auto"/>
            <w:noWrap/>
            <w:vAlign w:val="bottom"/>
            <w:hideMark/>
          </w:tcPr>
          <w:p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5</w:t>
            </w:r>
          </w:p>
        </w:tc>
      </w:tr>
      <w:tr w:rsidR="002B578E" w:rsidRPr="00E2319F" w:rsidTr="00E25B1D">
        <w:trPr>
          <w:trHeight w:val="20"/>
        </w:trPr>
        <w:tc>
          <w:tcPr>
            <w:tcW w:w="0" w:type="auto"/>
            <w:noWrap/>
            <w:vAlign w:val="bottom"/>
            <w:hideMark/>
          </w:tcPr>
          <w:p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Caquetá</w:t>
            </w:r>
          </w:p>
        </w:tc>
        <w:tc>
          <w:tcPr>
            <w:tcW w:w="0" w:type="auto"/>
            <w:noWrap/>
            <w:vAlign w:val="bottom"/>
            <w:hideMark/>
          </w:tcPr>
          <w:p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1</w:t>
            </w:r>
          </w:p>
        </w:tc>
      </w:tr>
      <w:tr w:rsidR="002B578E" w:rsidRPr="00E2319F" w:rsidTr="00E25B1D">
        <w:trPr>
          <w:trHeight w:val="20"/>
        </w:trPr>
        <w:tc>
          <w:tcPr>
            <w:tcW w:w="0" w:type="auto"/>
            <w:noWrap/>
            <w:vAlign w:val="bottom"/>
            <w:hideMark/>
          </w:tcPr>
          <w:p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Cauca</w:t>
            </w:r>
          </w:p>
        </w:tc>
        <w:tc>
          <w:tcPr>
            <w:tcW w:w="0" w:type="auto"/>
            <w:noWrap/>
            <w:vAlign w:val="bottom"/>
            <w:hideMark/>
          </w:tcPr>
          <w:p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2</w:t>
            </w:r>
          </w:p>
        </w:tc>
      </w:tr>
      <w:tr w:rsidR="002B578E" w:rsidRPr="00E2319F" w:rsidTr="00E25B1D">
        <w:trPr>
          <w:trHeight w:val="20"/>
        </w:trPr>
        <w:tc>
          <w:tcPr>
            <w:tcW w:w="0" w:type="auto"/>
            <w:noWrap/>
            <w:vAlign w:val="bottom"/>
            <w:hideMark/>
          </w:tcPr>
          <w:p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Cesar</w:t>
            </w:r>
          </w:p>
        </w:tc>
        <w:tc>
          <w:tcPr>
            <w:tcW w:w="0" w:type="auto"/>
            <w:noWrap/>
            <w:vAlign w:val="bottom"/>
            <w:hideMark/>
          </w:tcPr>
          <w:p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7</w:t>
            </w:r>
          </w:p>
        </w:tc>
      </w:tr>
      <w:tr w:rsidR="002B578E" w:rsidRPr="00E2319F" w:rsidTr="00E25B1D">
        <w:trPr>
          <w:trHeight w:val="20"/>
        </w:trPr>
        <w:tc>
          <w:tcPr>
            <w:tcW w:w="0" w:type="auto"/>
            <w:noWrap/>
            <w:vAlign w:val="bottom"/>
            <w:hideMark/>
          </w:tcPr>
          <w:p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Córdoba</w:t>
            </w:r>
          </w:p>
        </w:tc>
        <w:tc>
          <w:tcPr>
            <w:tcW w:w="0" w:type="auto"/>
            <w:noWrap/>
            <w:vAlign w:val="bottom"/>
            <w:hideMark/>
          </w:tcPr>
          <w:p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1</w:t>
            </w:r>
          </w:p>
        </w:tc>
      </w:tr>
      <w:tr w:rsidR="002B578E" w:rsidRPr="00E2319F" w:rsidTr="00E25B1D">
        <w:trPr>
          <w:trHeight w:val="20"/>
        </w:trPr>
        <w:tc>
          <w:tcPr>
            <w:tcW w:w="0" w:type="auto"/>
            <w:noWrap/>
            <w:vAlign w:val="bottom"/>
            <w:hideMark/>
          </w:tcPr>
          <w:p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Cundinamarca</w:t>
            </w:r>
          </w:p>
        </w:tc>
        <w:tc>
          <w:tcPr>
            <w:tcW w:w="0" w:type="auto"/>
            <w:noWrap/>
            <w:vAlign w:val="bottom"/>
            <w:hideMark/>
          </w:tcPr>
          <w:p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12</w:t>
            </w:r>
          </w:p>
        </w:tc>
      </w:tr>
      <w:tr w:rsidR="002B578E" w:rsidRPr="00E2319F" w:rsidTr="00E25B1D">
        <w:trPr>
          <w:trHeight w:val="20"/>
        </w:trPr>
        <w:tc>
          <w:tcPr>
            <w:tcW w:w="0" w:type="auto"/>
            <w:noWrap/>
            <w:vAlign w:val="bottom"/>
            <w:hideMark/>
          </w:tcPr>
          <w:p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Huila</w:t>
            </w:r>
          </w:p>
        </w:tc>
        <w:tc>
          <w:tcPr>
            <w:tcW w:w="0" w:type="auto"/>
            <w:noWrap/>
            <w:vAlign w:val="bottom"/>
            <w:hideMark/>
          </w:tcPr>
          <w:p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1</w:t>
            </w:r>
          </w:p>
        </w:tc>
      </w:tr>
      <w:tr w:rsidR="002B578E" w:rsidRPr="00E2319F" w:rsidTr="00E25B1D">
        <w:trPr>
          <w:trHeight w:val="20"/>
        </w:trPr>
        <w:tc>
          <w:tcPr>
            <w:tcW w:w="0" w:type="auto"/>
            <w:noWrap/>
            <w:vAlign w:val="bottom"/>
            <w:hideMark/>
          </w:tcPr>
          <w:p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La Guajira</w:t>
            </w:r>
          </w:p>
        </w:tc>
        <w:tc>
          <w:tcPr>
            <w:tcW w:w="0" w:type="auto"/>
            <w:noWrap/>
            <w:vAlign w:val="bottom"/>
            <w:hideMark/>
          </w:tcPr>
          <w:p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1</w:t>
            </w:r>
          </w:p>
        </w:tc>
      </w:tr>
      <w:tr w:rsidR="002B578E" w:rsidRPr="00E2319F" w:rsidTr="00E25B1D">
        <w:trPr>
          <w:trHeight w:val="20"/>
        </w:trPr>
        <w:tc>
          <w:tcPr>
            <w:tcW w:w="0" w:type="auto"/>
            <w:noWrap/>
            <w:vAlign w:val="bottom"/>
            <w:hideMark/>
          </w:tcPr>
          <w:p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Magdalena</w:t>
            </w:r>
          </w:p>
        </w:tc>
        <w:tc>
          <w:tcPr>
            <w:tcW w:w="0" w:type="auto"/>
            <w:noWrap/>
            <w:vAlign w:val="bottom"/>
            <w:hideMark/>
          </w:tcPr>
          <w:p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1</w:t>
            </w:r>
          </w:p>
        </w:tc>
      </w:tr>
      <w:tr w:rsidR="002B578E" w:rsidRPr="00E2319F" w:rsidTr="00E25B1D">
        <w:trPr>
          <w:trHeight w:val="20"/>
        </w:trPr>
        <w:tc>
          <w:tcPr>
            <w:tcW w:w="0" w:type="auto"/>
            <w:noWrap/>
            <w:vAlign w:val="bottom"/>
            <w:hideMark/>
          </w:tcPr>
          <w:p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Meta</w:t>
            </w:r>
          </w:p>
        </w:tc>
        <w:tc>
          <w:tcPr>
            <w:tcW w:w="0" w:type="auto"/>
            <w:noWrap/>
            <w:vAlign w:val="bottom"/>
            <w:hideMark/>
          </w:tcPr>
          <w:p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3</w:t>
            </w:r>
          </w:p>
        </w:tc>
      </w:tr>
      <w:tr w:rsidR="002B578E" w:rsidRPr="00E2319F" w:rsidTr="00E25B1D">
        <w:trPr>
          <w:trHeight w:val="20"/>
        </w:trPr>
        <w:tc>
          <w:tcPr>
            <w:tcW w:w="0" w:type="auto"/>
            <w:noWrap/>
            <w:vAlign w:val="bottom"/>
            <w:hideMark/>
          </w:tcPr>
          <w:p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Nariño</w:t>
            </w:r>
          </w:p>
        </w:tc>
        <w:tc>
          <w:tcPr>
            <w:tcW w:w="0" w:type="auto"/>
            <w:noWrap/>
            <w:vAlign w:val="bottom"/>
            <w:hideMark/>
          </w:tcPr>
          <w:p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2</w:t>
            </w:r>
          </w:p>
        </w:tc>
      </w:tr>
      <w:tr w:rsidR="002B578E" w:rsidRPr="00E2319F" w:rsidTr="00E25B1D">
        <w:trPr>
          <w:trHeight w:val="20"/>
        </w:trPr>
        <w:tc>
          <w:tcPr>
            <w:tcW w:w="0" w:type="auto"/>
            <w:noWrap/>
            <w:vAlign w:val="bottom"/>
            <w:hideMark/>
          </w:tcPr>
          <w:p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Norte de Santander</w:t>
            </w:r>
          </w:p>
        </w:tc>
        <w:tc>
          <w:tcPr>
            <w:tcW w:w="0" w:type="auto"/>
            <w:noWrap/>
            <w:vAlign w:val="bottom"/>
            <w:hideMark/>
          </w:tcPr>
          <w:p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9</w:t>
            </w:r>
          </w:p>
        </w:tc>
      </w:tr>
      <w:tr w:rsidR="002B578E" w:rsidRPr="00E2319F" w:rsidTr="00E25B1D">
        <w:trPr>
          <w:trHeight w:val="20"/>
        </w:trPr>
        <w:tc>
          <w:tcPr>
            <w:tcW w:w="0" w:type="auto"/>
            <w:noWrap/>
            <w:vAlign w:val="bottom"/>
            <w:hideMark/>
          </w:tcPr>
          <w:p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Quindío</w:t>
            </w:r>
          </w:p>
        </w:tc>
        <w:tc>
          <w:tcPr>
            <w:tcW w:w="0" w:type="auto"/>
            <w:noWrap/>
            <w:vAlign w:val="bottom"/>
            <w:hideMark/>
          </w:tcPr>
          <w:p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3</w:t>
            </w:r>
          </w:p>
        </w:tc>
      </w:tr>
      <w:tr w:rsidR="002B578E" w:rsidRPr="00E2319F" w:rsidTr="00E25B1D">
        <w:trPr>
          <w:trHeight w:val="20"/>
        </w:trPr>
        <w:tc>
          <w:tcPr>
            <w:tcW w:w="0" w:type="auto"/>
            <w:noWrap/>
            <w:vAlign w:val="bottom"/>
            <w:hideMark/>
          </w:tcPr>
          <w:p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Santander</w:t>
            </w:r>
          </w:p>
        </w:tc>
        <w:tc>
          <w:tcPr>
            <w:tcW w:w="0" w:type="auto"/>
            <w:noWrap/>
            <w:vAlign w:val="bottom"/>
            <w:hideMark/>
          </w:tcPr>
          <w:p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3</w:t>
            </w:r>
          </w:p>
        </w:tc>
      </w:tr>
      <w:tr w:rsidR="002B578E" w:rsidRPr="00E2319F" w:rsidTr="00E25B1D">
        <w:trPr>
          <w:trHeight w:val="20"/>
        </w:trPr>
        <w:tc>
          <w:tcPr>
            <w:tcW w:w="0" w:type="auto"/>
            <w:noWrap/>
            <w:vAlign w:val="bottom"/>
            <w:hideMark/>
          </w:tcPr>
          <w:p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Sucre</w:t>
            </w:r>
          </w:p>
        </w:tc>
        <w:tc>
          <w:tcPr>
            <w:tcW w:w="0" w:type="auto"/>
            <w:noWrap/>
            <w:vAlign w:val="bottom"/>
            <w:hideMark/>
          </w:tcPr>
          <w:p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3</w:t>
            </w:r>
          </w:p>
        </w:tc>
      </w:tr>
      <w:tr w:rsidR="002B578E" w:rsidRPr="00E2319F" w:rsidTr="00E25B1D">
        <w:trPr>
          <w:trHeight w:val="20"/>
        </w:trPr>
        <w:tc>
          <w:tcPr>
            <w:tcW w:w="0" w:type="auto"/>
            <w:noWrap/>
            <w:vAlign w:val="bottom"/>
            <w:hideMark/>
          </w:tcPr>
          <w:p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Tolima</w:t>
            </w:r>
          </w:p>
        </w:tc>
        <w:tc>
          <w:tcPr>
            <w:tcW w:w="0" w:type="auto"/>
            <w:noWrap/>
            <w:vAlign w:val="bottom"/>
            <w:hideMark/>
          </w:tcPr>
          <w:p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2</w:t>
            </w:r>
          </w:p>
        </w:tc>
      </w:tr>
      <w:tr w:rsidR="002B578E" w:rsidRPr="00E2319F" w:rsidTr="00E25B1D">
        <w:trPr>
          <w:trHeight w:val="20"/>
        </w:trPr>
        <w:tc>
          <w:tcPr>
            <w:tcW w:w="0" w:type="auto"/>
            <w:noWrap/>
            <w:vAlign w:val="bottom"/>
            <w:hideMark/>
          </w:tcPr>
          <w:p w:rsidR="009242B9" w:rsidRPr="00245ED5" w:rsidRDefault="009242B9" w:rsidP="00F26175">
            <w:pPr>
              <w:spacing w:after="0" w:line="240" w:lineRule="auto"/>
              <w:rPr>
                <w:rFonts w:eastAsia="Times New Roman" w:cs="Arial"/>
                <w:sz w:val="18"/>
                <w:szCs w:val="18"/>
                <w:lang w:val="es-CO" w:eastAsia="es-CO"/>
              </w:rPr>
            </w:pPr>
            <w:r w:rsidRPr="00245ED5">
              <w:rPr>
                <w:rFonts w:eastAsia="Times New Roman" w:cs="Arial"/>
                <w:sz w:val="18"/>
                <w:szCs w:val="18"/>
                <w:lang w:val="es-CO" w:eastAsia="es-CO"/>
              </w:rPr>
              <w:t>Valle del Cauca</w:t>
            </w:r>
          </w:p>
        </w:tc>
        <w:tc>
          <w:tcPr>
            <w:tcW w:w="0" w:type="auto"/>
            <w:noWrap/>
            <w:vAlign w:val="bottom"/>
            <w:hideMark/>
          </w:tcPr>
          <w:p w:rsidR="009242B9" w:rsidRPr="00245ED5" w:rsidRDefault="009242B9" w:rsidP="00F26175">
            <w:pPr>
              <w:spacing w:after="0" w:line="240" w:lineRule="auto"/>
              <w:jc w:val="center"/>
              <w:rPr>
                <w:rFonts w:eastAsia="Times New Roman" w:cs="Arial"/>
                <w:sz w:val="18"/>
                <w:szCs w:val="18"/>
                <w:lang w:val="es-CO" w:eastAsia="es-CO"/>
              </w:rPr>
            </w:pPr>
            <w:r w:rsidRPr="00245ED5">
              <w:rPr>
                <w:rFonts w:eastAsia="Times New Roman" w:cs="Arial"/>
                <w:sz w:val="18"/>
                <w:szCs w:val="18"/>
                <w:lang w:val="es-CO" w:eastAsia="es-CO"/>
              </w:rPr>
              <w:t>3</w:t>
            </w:r>
          </w:p>
        </w:tc>
      </w:tr>
      <w:tr w:rsidR="002B578E" w:rsidRPr="00E2319F" w:rsidTr="00E25B1D">
        <w:trPr>
          <w:trHeight w:val="20"/>
        </w:trPr>
        <w:tc>
          <w:tcPr>
            <w:tcW w:w="0" w:type="auto"/>
            <w:shd w:val="clear" w:color="auto" w:fill="E2EFDA"/>
            <w:noWrap/>
            <w:vAlign w:val="bottom"/>
            <w:hideMark/>
          </w:tcPr>
          <w:p w:rsidR="009242B9" w:rsidRPr="00E25B1D" w:rsidRDefault="009242B9" w:rsidP="00E25B1D">
            <w:pPr>
              <w:spacing w:after="0" w:line="240" w:lineRule="auto"/>
              <w:jc w:val="center"/>
              <w:rPr>
                <w:rFonts w:eastAsia="Times New Roman" w:cs="Arial"/>
                <w:b/>
                <w:sz w:val="18"/>
                <w:szCs w:val="18"/>
                <w:lang w:val="es-CO" w:eastAsia="es-CO"/>
              </w:rPr>
            </w:pPr>
            <w:r w:rsidRPr="00E25B1D">
              <w:rPr>
                <w:rFonts w:eastAsia="Times New Roman" w:cs="Arial"/>
                <w:b/>
                <w:sz w:val="18"/>
                <w:szCs w:val="18"/>
                <w:lang w:val="es-CO" w:eastAsia="es-CO"/>
              </w:rPr>
              <w:t>TOTAL</w:t>
            </w:r>
          </w:p>
        </w:tc>
        <w:tc>
          <w:tcPr>
            <w:tcW w:w="0" w:type="auto"/>
            <w:shd w:val="clear" w:color="auto" w:fill="E2EFDA"/>
            <w:noWrap/>
            <w:vAlign w:val="bottom"/>
            <w:hideMark/>
          </w:tcPr>
          <w:p w:rsidR="009242B9" w:rsidRPr="00E25B1D" w:rsidRDefault="009242B9" w:rsidP="00E25B1D">
            <w:pPr>
              <w:spacing w:after="0" w:line="240" w:lineRule="auto"/>
              <w:jc w:val="center"/>
              <w:rPr>
                <w:rFonts w:eastAsia="Times New Roman" w:cs="Arial"/>
                <w:b/>
                <w:sz w:val="18"/>
                <w:szCs w:val="18"/>
                <w:lang w:val="es-CO" w:eastAsia="es-CO"/>
              </w:rPr>
            </w:pPr>
            <w:r w:rsidRPr="00E25B1D">
              <w:rPr>
                <w:rFonts w:eastAsia="Times New Roman" w:cs="Arial"/>
                <w:b/>
                <w:sz w:val="18"/>
                <w:szCs w:val="18"/>
                <w:lang w:val="es-CO" w:eastAsia="es-CO"/>
              </w:rPr>
              <w:t>69</w:t>
            </w:r>
          </w:p>
        </w:tc>
      </w:tr>
    </w:tbl>
    <w:p w:rsidR="009242B9" w:rsidRPr="00E2319F" w:rsidRDefault="009242B9" w:rsidP="00E25B1D">
      <w:pPr>
        <w:spacing w:after="100" w:afterAutospacing="1" w:line="240" w:lineRule="auto"/>
        <w:jc w:val="center"/>
        <w:rPr>
          <w:rFonts w:cs="Arial"/>
          <w:sz w:val="18"/>
        </w:rPr>
      </w:pPr>
      <w:r w:rsidRPr="00E2319F">
        <w:rPr>
          <w:rFonts w:cs="Arial"/>
          <w:sz w:val="18"/>
        </w:rPr>
        <w:t>Fuente: Dirección de Contratación ICBF Gestión Precontractual. Corte: 31/12/2017.</w:t>
      </w:r>
    </w:p>
    <w:p w:rsidR="009242B9" w:rsidRPr="00E2319F" w:rsidRDefault="009242B9" w:rsidP="009242B9">
      <w:pPr>
        <w:spacing w:before="100" w:beforeAutospacing="1" w:after="100" w:afterAutospacing="1" w:line="240" w:lineRule="auto"/>
        <w:jc w:val="both"/>
        <w:rPr>
          <w:rFonts w:cs="Arial"/>
        </w:rPr>
      </w:pPr>
      <w:r w:rsidRPr="00E2319F">
        <w:rPr>
          <w:rFonts w:cs="Arial"/>
        </w:rPr>
        <w:t xml:space="preserve">En lo que respecta a la contratación directa, incluida la tipología de contrato de aporte, con corte a 31 de diciembre de 2017 se reportan como celebrados </w:t>
      </w:r>
      <w:r w:rsidRPr="00E2319F">
        <w:rPr>
          <w:rFonts w:cs="Arial"/>
          <w:b/>
        </w:rPr>
        <w:t>14.371</w:t>
      </w:r>
      <w:r w:rsidRPr="00E2319F">
        <w:rPr>
          <w:rFonts w:cs="Arial"/>
        </w:rPr>
        <w:t xml:space="preserve"> contratos y/o convenios a nivel nacional, de los cuales </w:t>
      </w:r>
      <w:r w:rsidRPr="00E2319F">
        <w:rPr>
          <w:rFonts w:cs="Arial"/>
          <w:b/>
        </w:rPr>
        <w:t xml:space="preserve">1719 </w:t>
      </w:r>
      <w:r w:rsidRPr="00E2319F">
        <w:rPr>
          <w:rFonts w:cs="Arial"/>
        </w:rPr>
        <w:t xml:space="preserve">se ubican en la Sede de la Dirección General. A </w:t>
      </w:r>
      <w:r w:rsidR="00E25B1D" w:rsidRPr="00E2319F">
        <w:rPr>
          <w:rFonts w:cs="Arial"/>
        </w:rPr>
        <w:t>continuación,</w:t>
      </w:r>
      <w:r w:rsidRPr="00E2319F">
        <w:rPr>
          <w:rFonts w:cs="Arial"/>
        </w:rPr>
        <w:t xml:space="preserve"> se reportan las cifras por regionales:</w:t>
      </w:r>
    </w:p>
    <w:p w:rsidR="009242B9" w:rsidRPr="00E2319F" w:rsidRDefault="009242B9" w:rsidP="002B578E">
      <w:pPr>
        <w:spacing w:before="100" w:beforeAutospacing="1" w:after="100" w:afterAutospacing="1" w:line="240" w:lineRule="auto"/>
        <w:jc w:val="center"/>
        <w:rPr>
          <w:rFonts w:cs="Arial"/>
          <w:b/>
        </w:rPr>
      </w:pPr>
      <w:r w:rsidRPr="00E2319F">
        <w:rPr>
          <w:rFonts w:cs="Arial"/>
          <w:b/>
        </w:rPr>
        <w:t>Contratos celebrados por Contratación Directa</w:t>
      </w:r>
    </w:p>
    <w:tbl>
      <w:tblPr>
        <w:tblW w:w="4385"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680"/>
        <w:gridCol w:w="2705"/>
      </w:tblGrid>
      <w:tr w:rsidR="002B578E" w:rsidRPr="00E2319F" w:rsidTr="00E25B1D">
        <w:trPr>
          <w:trHeight w:val="20"/>
          <w:jc w:val="center"/>
        </w:trPr>
        <w:tc>
          <w:tcPr>
            <w:tcW w:w="1680" w:type="dxa"/>
            <w:shd w:val="clear" w:color="auto" w:fill="76923C"/>
            <w:noWrap/>
            <w:vAlign w:val="center"/>
            <w:hideMark/>
          </w:tcPr>
          <w:p w:rsidR="009242B9" w:rsidRPr="00E25B1D" w:rsidRDefault="00E25B1D" w:rsidP="00E25B1D">
            <w:pPr>
              <w:spacing w:after="0" w:line="240" w:lineRule="auto"/>
              <w:jc w:val="center"/>
              <w:rPr>
                <w:rFonts w:eastAsia="Times New Roman" w:cs="Arial"/>
                <w:b/>
                <w:bCs/>
                <w:color w:val="FFFFFF" w:themeColor="background1"/>
                <w:sz w:val="18"/>
                <w:szCs w:val="18"/>
              </w:rPr>
            </w:pPr>
            <w:r w:rsidRPr="00E25B1D">
              <w:rPr>
                <w:rFonts w:eastAsia="Times New Roman" w:cs="Arial"/>
                <w:b/>
                <w:bCs/>
                <w:color w:val="FFFFFF" w:themeColor="background1"/>
                <w:sz w:val="18"/>
                <w:szCs w:val="18"/>
              </w:rPr>
              <w:t>Regional</w:t>
            </w:r>
          </w:p>
        </w:tc>
        <w:tc>
          <w:tcPr>
            <w:tcW w:w="2705" w:type="dxa"/>
            <w:shd w:val="clear" w:color="auto" w:fill="76923C"/>
            <w:vAlign w:val="center"/>
            <w:hideMark/>
          </w:tcPr>
          <w:p w:rsidR="009242B9" w:rsidRPr="00E25B1D" w:rsidRDefault="009242B9" w:rsidP="00E25B1D">
            <w:pPr>
              <w:spacing w:after="0" w:line="240" w:lineRule="auto"/>
              <w:jc w:val="center"/>
              <w:rPr>
                <w:rFonts w:eastAsia="Times New Roman" w:cs="Arial"/>
                <w:b/>
                <w:bCs/>
                <w:color w:val="FFFFFF" w:themeColor="background1"/>
                <w:sz w:val="18"/>
                <w:szCs w:val="18"/>
              </w:rPr>
            </w:pPr>
            <w:r w:rsidRPr="00E25B1D">
              <w:rPr>
                <w:rFonts w:eastAsia="Times New Roman" w:cs="Arial"/>
                <w:b/>
                <w:bCs/>
                <w:color w:val="FFFFFF" w:themeColor="background1"/>
                <w:sz w:val="18"/>
                <w:szCs w:val="18"/>
              </w:rPr>
              <w:t>No. de Contratos celebrados por Contratación Directa</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Amazonas</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118</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Antioquia</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1038</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Arauca</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164</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Atlántico</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498</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Bogotá</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1557</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lastRenderedPageBreak/>
              <w:t>Bolívar</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373</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Boyacá</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298</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Caldas</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343</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Caquetá</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287</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Casanare</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143</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Cauca</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482</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Cesar</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313</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Chocó</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296</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Córdoba</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357</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Cundinamarca</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724</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Guainía</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57</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Guaviare</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107</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Huila</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430</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La Guajira</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306</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Magdalena</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348</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Meta</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277</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Nariño</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384</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Pr>
                <w:rFonts w:eastAsia="Times New Roman" w:cs="Arial"/>
                <w:sz w:val="18"/>
                <w:szCs w:val="18"/>
                <w:lang w:val="es-CO" w:eastAsia="es-CO"/>
              </w:rPr>
              <w:t>Norte d</w:t>
            </w:r>
            <w:r w:rsidRPr="00E25B1D">
              <w:rPr>
                <w:rFonts w:eastAsia="Times New Roman" w:cs="Arial"/>
                <w:sz w:val="18"/>
                <w:szCs w:val="18"/>
                <w:lang w:val="es-CO" w:eastAsia="es-CO"/>
              </w:rPr>
              <w:t>e Santander</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282</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Putumayo</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206</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Quindío</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233</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Risaralda</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274</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San Andrés</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113</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Santander</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621</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Sucre</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225</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Tolima</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638</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Pr>
                <w:rFonts w:eastAsia="Times New Roman" w:cs="Arial"/>
                <w:sz w:val="18"/>
                <w:szCs w:val="18"/>
                <w:lang w:val="es-CO" w:eastAsia="es-CO"/>
              </w:rPr>
              <w:t>Valle d</w:t>
            </w:r>
            <w:r w:rsidRPr="00E25B1D">
              <w:rPr>
                <w:rFonts w:eastAsia="Times New Roman" w:cs="Arial"/>
                <w:sz w:val="18"/>
                <w:szCs w:val="18"/>
                <w:lang w:val="es-CO" w:eastAsia="es-CO"/>
              </w:rPr>
              <w:t>el Cauca</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970</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Vaupés</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96</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Vichada</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93</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Sede Dirección Nacional</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1719</w:t>
            </w:r>
          </w:p>
        </w:tc>
      </w:tr>
      <w:tr w:rsidR="002B578E" w:rsidRPr="00E2319F" w:rsidTr="00E25B1D">
        <w:trPr>
          <w:trHeight w:val="20"/>
          <w:jc w:val="center"/>
        </w:trPr>
        <w:tc>
          <w:tcPr>
            <w:tcW w:w="1680" w:type="dxa"/>
            <w:shd w:val="clear" w:color="auto" w:fill="auto"/>
            <w:noWrap/>
            <w:vAlign w:val="bottom"/>
            <w:hideMark/>
          </w:tcPr>
          <w:p w:rsidR="009242B9" w:rsidRPr="00E25B1D" w:rsidRDefault="00E25B1D" w:rsidP="00E25B1D">
            <w:pPr>
              <w:spacing w:after="0" w:line="240" w:lineRule="auto"/>
              <w:rPr>
                <w:rFonts w:eastAsia="Times New Roman" w:cs="Arial"/>
                <w:sz w:val="18"/>
                <w:szCs w:val="18"/>
                <w:lang w:val="es-CO" w:eastAsia="es-CO"/>
              </w:rPr>
            </w:pPr>
            <w:r w:rsidRPr="00E25B1D">
              <w:rPr>
                <w:rFonts w:eastAsia="Times New Roman" w:cs="Arial"/>
                <w:sz w:val="18"/>
                <w:szCs w:val="18"/>
                <w:lang w:val="es-CO" w:eastAsia="es-CO"/>
              </w:rPr>
              <w:t>Total</w:t>
            </w:r>
          </w:p>
        </w:tc>
        <w:tc>
          <w:tcPr>
            <w:tcW w:w="2705" w:type="dxa"/>
            <w:shd w:val="clear" w:color="auto" w:fill="auto"/>
            <w:noWrap/>
            <w:vAlign w:val="center"/>
            <w:hideMark/>
          </w:tcPr>
          <w:p w:rsidR="009242B9" w:rsidRPr="00E25B1D" w:rsidRDefault="009242B9" w:rsidP="00E25B1D">
            <w:pPr>
              <w:spacing w:after="0" w:line="240" w:lineRule="auto"/>
              <w:jc w:val="center"/>
              <w:rPr>
                <w:rFonts w:eastAsia="Times New Roman" w:cs="Arial"/>
                <w:sz w:val="18"/>
                <w:szCs w:val="18"/>
                <w:lang w:val="es-CO" w:eastAsia="es-CO"/>
              </w:rPr>
            </w:pPr>
            <w:r w:rsidRPr="00E25B1D">
              <w:rPr>
                <w:rFonts w:eastAsia="Times New Roman" w:cs="Arial"/>
                <w:sz w:val="18"/>
                <w:szCs w:val="18"/>
                <w:lang w:val="es-CO" w:eastAsia="es-CO"/>
              </w:rPr>
              <w:t>14371</w:t>
            </w:r>
          </w:p>
        </w:tc>
      </w:tr>
    </w:tbl>
    <w:p w:rsidR="009242B9" w:rsidRPr="00E25B1D" w:rsidRDefault="009242B9" w:rsidP="00E25B1D">
      <w:pPr>
        <w:spacing w:after="100" w:afterAutospacing="1" w:line="240" w:lineRule="auto"/>
        <w:jc w:val="both"/>
        <w:rPr>
          <w:rFonts w:cs="Arial"/>
          <w:sz w:val="16"/>
          <w:szCs w:val="16"/>
        </w:rPr>
      </w:pPr>
      <w:r w:rsidRPr="00E25B1D">
        <w:rPr>
          <w:rFonts w:cs="Arial"/>
          <w:sz w:val="16"/>
          <w:szCs w:val="16"/>
        </w:rPr>
        <w:t>Fuente: Dirección de Contratación ICBF FUC Primer Semestre. SITCO Segundo semestre. Corte: 31/12/2017.Resultado Preliminar.</w:t>
      </w:r>
    </w:p>
    <w:p w:rsidR="009242B9" w:rsidRPr="00E2319F" w:rsidRDefault="009242B9" w:rsidP="009242B9">
      <w:pPr>
        <w:spacing w:before="100" w:beforeAutospacing="1" w:after="100" w:afterAutospacing="1" w:line="240" w:lineRule="auto"/>
        <w:jc w:val="both"/>
        <w:rPr>
          <w:rFonts w:cs="Arial"/>
        </w:rPr>
      </w:pPr>
      <w:r w:rsidRPr="00E2319F">
        <w:rPr>
          <w:rFonts w:cs="Arial"/>
        </w:rPr>
        <w:t>Adicionalmente, la Dirección de Contratación, y en particular, lo correspondiente a la gestión pos contractual del Instituto, obt</w:t>
      </w:r>
      <w:r w:rsidR="00697D36" w:rsidRPr="00E2319F">
        <w:rPr>
          <w:rFonts w:cs="Arial"/>
        </w:rPr>
        <w:t xml:space="preserve">uvo los resultados que </w:t>
      </w:r>
      <w:r w:rsidRPr="00E2319F">
        <w:rPr>
          <w:rFonts w:cs="Arial"/>
        </w:rPr>
        <w:t>se describen a continuación:</w:t>
      </w:r>
    </w:p>
    <w:p w:rsidR="00E25B1D" w:rsidRDefault="009242B9" w:rsidP="00A44A2B">
      <w:pPr>
        <w:numPr>
          <w:ilvl w:val="0"/>
          <w:numId w:val="159"/>
        </w:numPr>
        <w:spacing w:after="0" w:line="240" w:lineRule="auto"/>
        <w:jc w:val="both"/>
        <w:rPr>
          <w:rFonts w:cs="Arial"/>
          <w:lang w:val="es-CO" w:eastAsia="es-ES"/>
        </w:rPr>
      </w:pPr>
      <w:r w:rsidRPr="00E25B1D">
        <w:rPr>
          <w:rFonts w:cs="Arial"/>
          <w:lang w:val="es-CO" w:eastAsia="es-ES"/>
        </w:rPr>
        <w:t>Se realizaron capacitaciones y visitas a algunas direcciones regionales para el acompañamiento en el inicio y desarrollo de los procesos sancionatorios contractuales, conforme lo previsto en los artículos 17 de la Ley 1150 de 2007 y 86 de la Ley 1474 de 2011.</w:t>
      </w:r>
    </w:p>
    <w:p w:rsidR="00E25B1D" w:rsidRPr="00E25B1D" w:rsidRDefault="00E25B1D" w:rsidP="00E25B1D">
      <w:pPr>
        <w:spacing w:after="0" w:line="240" w:lineRule="auto"/>
        <w:ind w:left="360"/>
        <w:jc w:val="both"/>
        <w:rPr>
          <w:rFonts w:cs="Arial"/>
          <w:lang w:val="es-CO" w:eastAsia="es-ES"/>
        </w:rPr>
      </w:pPr>
    </w:p>
    <w:p w:rsidR="009242B9" w:rsidRDefault="009242B9" w:rsidP="00A44A2B">
      <w:pPr>
        <w:numPr>
          <w:ilvl w:val="0"/>
          <w:numId w:val="159"/>
        </w:numPr>
        <w:spacing w:after="0" w:line="240" w:lineRule="auto"/>
        <w:jc w:val="both"/>
        <w:rPr>
          <w:rFonts w:cs="Arial"/>
          <w:lang w:val="es-CO" w:eastAsia="es-ES"/>
        </w:rPr>
      </w:pPr>
      <w:r w:rsidRPr="00E25B1D">
        <w:rPr>
          <w:rFonts w:cs="Arial"/>
          <w:lang w:val="es-CO" w:eastAsia="es-ES"/>
        </w:rPr>
        <w:t>Se realizó mayor seguimiento a los procesos sancionatorios en curso, a través de los informes mensual</w:t>
      </w:r>
      <w:r w:rsidR="00E25B1D" w:rsidRPr="00E25B1D">
        <w:rPr>
          <w:rFonts w:cs="Arial"/>
          <w:lang w:val="es-CO" w:eastAsia="es-ES"/>
        </w:rPr>
        <w:t xml:space="preserve">es que remiten las regionales, </w:t>
      </w:r>
      <w:r w:rsidRPr="00E25B1D">
        <w:rPr>
          <w:rFonts w:cs="Arial"/>
          <w:lang w:val="es-CO" w:eastAsia="es-ES"/>
        </w:rPr>
        <w:t>y los controles de legalidad que se realizan sobre cada actuación administrativa.</w:t>
      </w:r>
    </w:p>
    <w:p w:rsidR="00E25B1D" w:rsidRPr="00E25B1D" w:rsidRDefault="00E25B1D" w:rsidP="00E25B1D">
      <w:pPr>
        <w:spacing w:after="0" w:line="240" w:lineRule="auto"/>
        <w:jc w:val="both"/>
        <w:rPr>
          <w:rFonts w:cs="Arial"/>
          <w:lang w:val="es-CO" w:eastAsia="es-ES"/>
        </w:rPr>
      </w:pPr>
    </w:p>
    <w:p w:rsidR="009242B9" w:rsidRPr="00E25B1D" w:rsidRDefault="009242B9" w:rsidP="00A44A2B">
      <w:pPr>
        <w:numPr>
          <w:ilvl w:val="0"/>
          <w:numId w:val="159"/>
        </w:numPr>
        <w:spacing w:after="0" w:line="240" w:lineRule="auto"/>
        <w:jc w:val="both"/>
        <w:rPr>
          <w:rFonts w:cs="Arial"/>
          <w:lang w:val="es-CO" w:eastAsia="es-ES"/>
        </w:rPr>
      </w:pPr>
      <w:r w:rsidRPr="00E25B1D">
        <w:rPr>
          <w:rFonts w:cs="Arial"/>
          <w:lang w:val="es-CO" w:eastAsia="es-ES"/>
        </w:rPr>
        <w:t>Lo anterior, permitió que se obtuvieran los siguientes resultados en relación a los procesos sancionatorios: un total de 130 actuaciones administrativas sancionatorias contractuales, de las cuales 65 se reportan como procesos sancionatorios terminados, 56 en trámite y 14 pendientes de instalación de audiencia, como se ilustra a continuación:</w:t>
      </w:r>
    </w:p>
    <w:p w:rsidR="009242B9" w:rsidRPr="00E2319F" w:rsidRDefault="009242B9" w:rsidP="009242B9">
      <w:pPr>
        <w:spacing w:before="100" w:beforeAutospacing="1" w:after="100" w:afterAutospacing="1" w:line="240" w:lineRule="auto"/>
        <w:ind w:left="360"/>
        <w:jc w:val="both"/>
        <w:rPr>
          <w:rFonts w:cs="Arial"/>
        </w:rPr>
      </w:pPr>
      <w:r w:rsidRPr="00E2319F">
        <w:rPr>
          <w:rFonts w:cs="Arial"/>
          <w:noProof/>
          <w:lang w:val="es-CO" w:eastAsia="es-CO"/>
        </w:rPr>
        <w:lastRenderedPageBreak/>
        <w:drawing>
          <wp:inline distT="0" distB="0" distL="0" distR="0" wp14:anchorId="72360A27" wp14:editId="1E30671E">
            <wp:extent cx="5612130" cy="3238117"/>
            <wp:effectExtent l="0" t="0" r="762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12130" cy="3238117"/>
                    </a:xfrm>
                    <a:prstGeom prst="rect">
                      <a:avLst/>
                    </a:prstGeom>
                  </pic:spPr>
                </pic:pic>
              </a:graphicData>
            </a:graphic>
          </wp:inline>
        </w:drawing>
      </w:r>
    </w:p>
    <w:p w:rsidR="009242B9" w:rsidRPr="00E2319F" w:rsidRDefault="009242B9" w:rsidP="00E25B1D">
      <w:pPr>
        <w:pStyle w:val="Prrafodelista"/>
        <w:spacing w:after="100" w:afterAutospacing="1" w:line="240" w:lineRule="auto"/>
        <w:ind w:left="360"/>
        <w:jc w:val="center"/>
        <w:rPr>
          <w:rFonts w:cs="Arial"/>
          <w:color w:val="FF0000"/>
          <w:sz w:val="18"/>
        </w:rPr>
      </w:pPr>
      <w:r w:rsidRPr="00E2319F">
        <w:rPr>
          <w:rFonts w:cs="Arial"/>
          <w:sz w:val="18"/>
        </w:rPr>
        <w:t>Fuente: Dirección de Contratación ICBF Gestión Poscontractual. Corte: 31/12/2017.</w:t>
      </w:r>
    </w:p>
    <w:p w:rsidR="009242B9" w:rsidRPr="00E2319F" w:rsidRDefault="009242B9" w:rsidP="00E25B1D">
      <w:pPr>
        <w:spacing w:before="100" w:beforeAutospacing="1" w:after="100" w:afterAutospacing="1" w:line="240" w:lineRule="auto"/>
        <w:jc w:val="both"/>
        <w:rPr>
          <w:rFonts w:eastAsia="Times New Roman" w:cs="Arial"/>
          <w:b/>
          <w:sz w:val="20"/>
          <w:szCs w:val="20"/>
        </w:rPr>
      </w:pPr>
      <w:r w:rsidRPr="00E2319F">
        <w:rPr>
          <w:rFonts w:eastAsia="Times New Roman" w:cs="Arial"/>
        </w:rPr>
        <w:t>La Dirección de Contratación realizó un acompañamiento continuo a estas Direcciones Regionales, con el fin de permitirles dar inicio de manera oportuna a los procesos sancionatorios. En caso de detectar posibles incumplimientos contractuales, se realizaron 179 controles de legalidad de acuerdo al siguiente detalle por Regional:</w:t>
      </w:r>
    </w:p>
    <w:tbl>
      <w:tblPr>
        <w:tblW w:w="4957"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2438"/>
        <w:gridCol w:w="2519"/>
      </w:tblGrid>
      <w:tr w:rsidR="009242B9" w:rsidRPr="00E2319F" w:rsidTr="00E25B1D">
        <w:trPr>
          <w:trHeight w:val="227"/>
          <w:tblHeader/>
          <w:jc w:val="center"/>
        </w:trPr>
        <w:tc>
          <w:tcPr>
            <w:tcW w:w="2438" w:type="dxa"/>
            <w:shd w:val="clear" w:color="auto" w:fill="76923C"/>
            <w:noWrap/>
            <w:vAlign w:val="bottom"/>
            <w:hideMark/>
          </w:tcPr>
          <w:p w:rsidR="009242B9" w:rsidRPr="00E25B1D" w:rsidRDefault="00E25B1D" w:rsidP="00F26175">
            <w:pPr>
              <w:spacing w:before="100" w:beforeAutospacing="1" w:after="100" w:afterAutospacing="1" w:line="240" w:lineRule="auto"/>
              <w:jc w:val="both"/>
              <w:rPr>
                <w:rFonts w:eastAsia="Times New Roman" w:cs="Arial"/>
                <w:b/>
                <w:bCs/>
                <w:color w:val="FFFFFF" w:themeColor="background1"/>
                <w:sz w:val="20"/>
                <w:szCs w:val="20"/>
                <w:lang w:eastAsia="es-CO"/>
              </w:rPr>
            </w:pPr>
            <w:r w:rsidRPr="00E25B1D">
              <w:rPr>
                <w:rFonts w:eastAsia="Times New Roman" w:cs="Arial"/>
                <w:b/>
                <w:bCs/>
                <w:color w:val="FFFFFF" w:themeColor="background1"/>
                <w:sz w:val="20"/>
                <w:szCs w:val="20"/>
                <w:lang w:eastAsia="es-CO"/>
              </w:rPr>
              <w:t>Regional</w:t>
            </w:r>
          </w:p>
        </w:tc>
        <w:tc>
          <w:tcPr>
            <w:tcW w:w="2519" w:type="dxa"/>
            <w:shd w:val="clear" w:color="auto" w:fill="76923C"/>
            <w:noWrap/>
            <w:vAlign w:val="bottom"/>
            <w:hideMark/>
          </w:tcPr>
          <w:p w:rsidR="009242B9" w:rsidRPr="00E25B1D" w:rsidRDefault="00E25B1D" w:rsidP="00F26175">
            <w:pPr>
              <w:spacing w:before="100" w:beforeAutospacing="1" w:after="100" w:afterAutospacing="1" w:line="240" w:lineRule="auto"/>
              <w:jc w:val="both"/>
              <w:rPr>
                <w:rFonts w:eastAsia="Times New Roman" w:cs="Arial"/>
                <w:b/>
                <w:bCs/>
                <w:color w:val="FFFFFF" w:themeColor="background1"/>
                <w:sz w:val="20"/>
                <w:szCs w:val="20"/>
                <w:lang w:eastAsia="es-CO"/>
              </w:rPr>
            </w:pPr>
            <w:r>
              <w:rPr>
                <w:rFonts w:eastAsia="Times New Roman" w:cs="Arial"/>
                <w:b/>
                <w:bCs/>
                <w:color w:val="FFFFFF" w:themeColor="background1"/>
                <w:sz w:val="20"/>
                <w:szCs w:val="20"/>
                <w:lang w:eastAsia="es-CO"/>
              </w:rPr>
              <w:t>Controles d</w:t>
            </w:r>
            <w:r w:rsidRPr="00E25B1D">
              <w:rPr>
                <w:rFonts w:eastAsia="Times New Roman" w:cs="Arial"/>
                <w:b/>
                <w:bCs/>
                <w:color w:val="FFFFFF" w:themeColor="background1"/>
                <w:sz w:val="20"/>
                <w:szCs w:val="20"/>
                <w:lang w:eastAsia="es-CO"/>
              </w:rPr>
              <w:t>e Legalidad</w:t>
            </w:r>
          </w:p>
        </w:tc>
      </w:tr>
      <w:tr w:rsidR="009242B9" w:rsidRPr="00E2319F" w:rsidTr="00E25B1D">
        <w:trPr>
          <w:trHeight w:val="227"/>
          <w:jc w:val="center"/>
        </w:trPr>
        <w:tc>
          <w:tcPr>
            <w:tcW w:w="2438" w:type="dxa"/>
            <w:shd w:val="clear" w:color="auto" w:fill="auto"/>
            <w:noWrap/>
            <w:vAlign w:val="bottom"/>
            <w:hideMark/>
          </w:tcPr>
          <w:p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Amazonas</w:t>
            </w:r>
          </w:p>
        </w:tc>
        <w:tc>
          <w:tcPr>
            <w:tcW w:w="2519" w:type="dxa"/>
            <w:shd w:val="clear" w:color="auto" w:fill="auto"/>
            <w:noWrap/>
            <w:vAlign w:val="bottom"/>
            <w:hideMark/>
          </w:tcPr>
          <w:p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1</w:t>
            </w:r>
          </w:p>
        </w:tc>
      </w:tr>
      <w:tr w:rsidR="009242B9" w:rsidRPr="00E2319F" w:rsidTr="00E25B1D">
        <w:trPr>
          <w:trHeight w:val="227"/>
          <w:jc w:val="center"/>
        </w:trPr>
        <w:tc>
          <w:tcPr>
            <w:tcW w:w="2438" w:type="dxa"/>
            <w:shd w:val="clear" w:color="auto" w:fill="auto"/>
            <w:noWrap/>
            <w:vAlign w:val="bottom"/>
            <w:hideMark/>
          </w:tcPr>
          <w:p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Antioquia</w:t>
            </w:r>
          </w:p>
        </w:tc>
        <w:tc>
          <w:tcPr>
            <w:tcW w:w="2519" w:type="dxa"/>
            <w:shd w:val="clear" w:color="auto" w:fill="auto"/>
            <w:noWrap/>
            <w:vAlign w:val="bottom"/>
            <w:hideMark/>
          </w:tcPr>
          <w:p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6</w:t>
            </w:r>
          </w:p>
        </w:tc>
      </w:tr>
      <w:tr w:rsidR="009242B9" w:rsidRPr="00E2319F" w:rsidTr="00E25B1D">
        <w:trPr>
          <w:trHeight w:val="227"/>
          <w:jc w:val="center"/>
        </w:trPr>
        <w:tc>
          <w:tcPr>
            <w:tcW w:w="2438" w:type="dxa"/>
            <w:shd w:val="clear" w:color="auto" w:fill="auto"/>
            <w:noWrap/>
            <w:vAlign w:val="bottom"/>
            <w:hideMark/>
          </w:tcPr>
          <w:p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Bogotá</w:t>
            </w:r>
          </w:p>
        </w:tc>
        <w:tc>
          <w:tcPr>
            <w:tcW w:w="2519" w:type="dxa"/>
            <w:shd w:val="clear" w:color="auto" w:fill="auto"/>
            <w:noWrap/>
            <w:vAlign w:val="bottom"/>
            <w:hideMark/>
          </w:tcPr>
          <w:p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11</w:t>
            </w:r>
          </w:p>
        </w:tc>
      </w:tr>
      <w:tr w:rsidR="009242B9" w:rsidRPr="00E2319F" w:rsidTr="00E25B1D">
        <w:trPr>
          <w:trHeight w:val="227"/>
          <w:jc w:val="center"/>
        </w:trPr>
        <w:tc>
          <w:tcPr>
            <w:tcW w:w="2438" w:type="dxa"/>
            <w:shd w:val="clear" w:color="auto" w:fill="auto"/>
            <w:noWrap/>
            <w:vAlign w:val="bottom"/>
            <w:hideMark/>
          </w:tcPr>
          <w:p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Bolivar</w:t>
            </w:r>
          </w:p>
        </w:tc>
        <w:tc>
          <w:tcPr>
            <w:tcW w:w="2519" w:type="dxa"/>
            <w:shd w:val="clear" w:color="auto" w:fill="auto"/>
            <w:noWrap/>
            <w:vAlign w:val="bottom"/>
            <w:hideMark/>
          </w:tcPr>
          <w:p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38</w:t>
            </w:r>
          </w:p>
        </w:tc>
      </w:tr>
      <w:tr w:rsidR="009242B9" w:rsidRPr="00E2319F" w:rsidTr="00E25B1D">
        <w:trPr>
          <w:trHeight w:val="227"/>
          <w:jc w:val="center"/>
        </w:trPr>
        <w:tc>
          <w:tcPr>
            <w:tcW w:w="2438" w:type="dxa"/>
            <w:shd w:val="clear" w:color="auto" w:fill="auto"/>
            <w:noWrap/>
            <w:vAlign w:val="bottom"/>
            <w:hideMark/>
          </w:tcPr>
          <w:p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Boyacá</w:t>
            </w:r>
          </w:p>
        </w:tc>
        <w:tc>
          <w:tcPr>
            <w:tcW w:w="2519" w:type="dxa"/>
            <w:shd w:val="clear" w:color="auto" w:fill="auto"/>
            <w:noWrap/>
            <w:vAlign w:val="bottom"/>
            <w:hideMark/>
          </w:tcPr>
          <w:p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21</w:t>
            </w:r>
          </w:p>
        </w:tc>
      </w:tr>
      <w:tr w:rsidR="009242B9" w:rsidRPr="00E2319F" w:rsidTr="00E25B1D">
        <w:trPr>
          <w:trHeight w:val="227"/>
          <w:jc w:val="center"/>
        </w:trPr>
        <w:tc>
          <w:tcPr>
            <w:tcW w:w="2438" w:type="dxa"/>
            <w:shd w:val="clear" w:color="auto" w:fill="auto"/>
            <w:noWrap/>
            <w:vAlign w:val="bottom"/>
            <w:hideMark/>
          </w:tcPr>
          <w:p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Caldas</w:t>
            </w:r>
          </w:p>
        </w:tc>
        <w:tc>
          <w:tcPr>
            <w:tcW w:w="2519" w:type="dxa"/>
            <w:shd w:val="clear" w:color="auto" w:fill="auto"/>
            <w:noWrap/>
            <w:vAlign w:val="bottom"/>
            <w:hideMark/>
          </w:tcPr>
          <w:p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1</w:t>
            </w:r>
          </w:p>
        </w:tc>
      </w:tr>
      <w:tr w:rsidR="009242B9" w:rsidRPr="00E2319F" w:rsidTr="00E25B1D">
        <w:trPr>
          <w:trHeight w:val="227"/>
          <w:jc w:val="center"/>
        </w:trPr>
        <w:tc>
          <w:tcPr>
            <w:tcW w:w="2438" w:type="dxa"/>
            <w:shd w:val="clear" w:color="auto" w:fill="auto"/>
            <w:noWrap/>
            <w:vAlign w:val="bottom"/>
            <w:hideMark/>
          </w:tcPr>
          <w:p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Casanare</w:t>
            </w:r>
          </w:p>
        </w:tc>
        <w:tc>
          <w:tcPr>
            <w:tcW w:w="2519" w:type="dxa"/>
            <w:shd w:val="clear" w:color="auto" w:fill="auto"/>
            <w:noWrap/>
            <w:vAlign w:val="bottom"/>
            <w:hideMark/>
          </w:tcPr>
          <w:p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1</w:t>
            </w:r>
          </w:p>
        </w:tc>
      </w:tr>
      <w:tr w:rsidR="009242B9" w:rsidRPr="00E2319F" w:rsidTr="00E25B1D">
        <w:trPr>
          <w:trHeight w:val="227"/>
          <w:jc w:val="center"/>
        </w:trPr>
        <w:tc>
          <w:tcPr>
            <w:tcW w:w="2438" w:type="dxa"/>
            <w:shd w:val="clear" w:color="auto" w:fill="auto"/>
            <w:noWrap/>
            <w:vAlign w:val="bottom"/>
            <w:hideMark/>
          </w:tcPr>
          <w:p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Cauca</w:t>
            </w:r>
          </w:p>
        </w:tc>
        <w:tc>
          <w:tcPr>
            <w:tcW w:w="2519" w:type="dxa"/>
            <w:shd w:val="clear" w:color="auto" w:fill="auto"/>
            <w:noWrap/>
            <w:vAlign w:val="bottom"/>
            <w:hideMark/>
          </w:tcPr>
          <w:p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5</w:t>
            </w:r>
          </w:p>
        </w:tc>
      </w:tr>
      <w:tr w:rsidR="009242B9" w:rsidRPr="00E2319F" w:rsidTr="00E25B1D">
        <w:trPr>
          <w:trHeight w:val="227"/>
          <w:jc w:val="center"/>
        </w:trPr>
        <w:tc>
          <w:tcPr>
            <w:tcW w:w="2438" w:type="dxa"/>
            <w:shd w:val="clear" w:color="auto" w:fill="auto"/>
            <w:noWrap/>
            <w:vAlign w:val="bottom"/>
            <w:hideMark/>
          </w:tcPr>
          <w:p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Pr>
                <w:rFonts w:eastAsia="Times New Roman" w:cs="Arial"/>
                <w:sz w:val="20"/>
                <w:szCs w:val="20"/>
                <w:lang w:eastAsia="es-CO"/>
              </w:rPr>
              <w:t>Có</w:t>
            </w:r>
            <w:r w:rsidRPr="00E2319F">
              <w:rPr>
                <w:rFonts w:eastAsia="Times New Roman" w:cs="Arial"/>
                <w:sz w:val="20"/>
                <w:szCs w:val="20"/>
                <w:lang w:eastAsia="es-CO"/>
              </w:rPr>
              <w:t>rdoba</w:t>
            </w:r>
          </w:p>
        </w:tc>
        <w:tc>
          <w:tcPr>
            <w:tcW w:w="2519" w:type="dxa"/>
            <w:shd w:val="clear" w:color="auto" w:fill="auto"/>
            <w:noWrap/>
            <w:vAlign w:val="bottom"/>
            <w:hideMark/>
          </w:tcPr>
          <w:p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15</w:t>
            </w:r>
          </w:p>
        </w:tc>
      </w:tr>
      <w:tr w:rsidR="009242B9" w:rsidRPr="00E2319F" w:rsidTr="00E25B1D">
        <w:trPr>
          <w:trHeight w:val="227"/>
          <w:jc w:val="center"/>
        </w:trPr>
        <w:tc>
          <w:tcPr>
            <w:tcW w:w="2438" w:type="dxa"/>
            <w:shd w:val="clear" w:color="auto" w:fill="auto"/>
            <w:noWrap/>
            <w:vAlign w:val="bottom"/>
            <w:hideMark/>
          </w:tcPr>
          <w:p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Cundinamarca</w:t>
            </w:r>
          </w:p>
        </w:tc>
        <w:tc>
          <w:tcPr>
            <w:tcW w:w="2519" w:type="dxa"/>
            <w:shd w:val="clear" w:color="auto" w:fill="auto"/>
            <w:noWrap/>
            <w:vAlign w:val="bottom"/>
            <w:hideMark/>
          </w:tcPr>
          <w:p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9</w:t>
            </w:r>
          </w:p>
        </w:tc>
      </w:tr>
      <w:tr w:rsidR="009242B9" w:rsidRPr="00E2319F" w:rsidTr="00E25B1D">
        <w:trPr>
          <w:trHeight w:val="227"/>
          <w:jc w:val="center"/>
        </w:trPr>
        <w:tc>
          <w:tcPr>
            <w:tcW w:w="2438" w:type="dxa"/>
            <w:shd w:val="clear" w:color="auto" w:fill="auto"/>
            <w:noWrap/>
            <w:vAlign w:val="bottom"/>
            <w:hideMark/>
          </w:tcPr>
          <w:p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Magdalena</w:t>
            </w:r>
          </w:p>
        </w:tc>
        <w:tc>
          <w:tcPr>
            <w:tcW w:w="2519" w:type="dxa"/>
            <w:shd w:val="clear" w:color="auto" w:fill="auto"/>
            <w:noWrap/>
            <w:vAlign w:val="bottom"/>
            <w:hideMark/>
          </w:tcPr>
          <w:p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1</w:t>
            </w:r>
          </w:p>
        </w:tc>
      </w:tr>
      <w:tr w:rsidR="009242B9" w:rsidRPr="00E2319F" w:rsidTr="00E25B1D">
        <w:trPr>
          <w:trHeight w:val="227"/>
          <w:jc w:val="center"/>
        </w:trPr>
        <w:tc>
          <w:tcPr>
            <w:tcW w:w="2438" w:type="dxa"/>
            <w:shd w:val="clear" w:color="auto" w:fill="auto"/>
            <w:noWrap/>
            <w:vAlign w:val="bottom"/>
            <w:hideMark/>
          </w:tcPr>
          <w:p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Meta</w:t>
            </w:r>
          </w:p>
        </w:tc>
        <w:tc>
          <w:tcPr>
            <w:tcW w:w="2519" w:type="dxa"/>
            <w:shd w:val="clear" w:color="auto" w:fill="auto"/>
            <w:noWrap/>
            <w:vAlign w:val="bottom"/>
            <w:hideMark/>
          </w:tcPr>
          <w:p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7</w:t>
            </w:r>
          </w:p>
        </w:tc>
      </w:tr>
      <w:tr w:rsidR="009242B9" w:rsidRPr="00E2319F" w:rsidTr="00E25B1D">
        <w:trPr>
          <w:trHeight w:val="227"/>
          <w:jc w:val="center"/>
        </w:trPr>
        <w:tc>
          <w:tcPr>
            <w:tcW w:w="2438" w:type="dxa"/>
            <w:shd w:val="clear" w:color="auto" w:fill="auto"/>
            <w:noWrap/>
            <w:vAlign w:val="bottom"/>
            <w:hideMark/>
          </w:tcPr>
          <w:p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Guajira</w:t>
            </w:r>
          </w:p>
        </w:tc>
        <w:tc>
          <w:tcPr>
            <w:tcW w:w="2519" w:type="dxa"/>
            <w:shd w:val="clear" w:color="auto" w:fill="auto"/>
            <w:noWrap/>
            <w:vAlign w:val="bottom"/>
            <w:hideMark/>
          </w:tcPr>
          <w:p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1</w:t>
            </w:r>
          </w:p>
        </w:tc>
      </w:tr>
      <w:tr w:rsidR="009242B9" w:rsidRPr="00E2319F" w:rsidTr="00E25B1D">
        <w:trPr>
          <w:trHeight w:val="227"/>
          <w:jc w:val="center"/>
        </w:trPr>
        <w:tc>
          <w:tcPr>
            <w:tcW w:w="2438" w:type="dxa"/>
            <w:shd w:val="clear" w:color="auto" w:fill="auto"/>
            <w:noWrap/>
            <w:vAlign w:val="bottom"/>
            <w:hideMark/>
          </w:tcPr>
          <w:p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Nariño</w:t>
            </w:r>
          </w:p>
        </w:tc>
        <w:tc>
          <w:tcPr>
            <w:tcW w:w="2519" w:type="dxa"/>
            <w:shd w:val="clear" w:color="auto" w:fill="auto"/>
            <w:noWrap/>
            <w:vAlign w:val="bottom"/>
            <w:hideMark/>
          </w:tcPr>
          <w:p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6</w:t>
            </w:r>
          </w:p>
        </w:tc>
      </w:tr>
      <w:tr w:rsidR="009242B9" w:rsidRPr="00E2319F" w:rsidTr="00E25B1D">
        <w:trPr>
          <w:trHeight w:val="227"/>
          <w:jc w:val="center"/>
        </w:trPr>
        <w:tc>
          <w:tcPr>
            <w:tcW w:w="2438" w:type="dxa"/>
            <w:shd w:val="clear" w:color="auto" w:fill="auto"/>
            <w:noWrap/>
            <w:vAlign w:val="bottom"/>
            <w:hideMark/>
          </w:tcPr>
          <w:p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Nte</w:t>
            </w:r>
            <w:r>
              <w:rPr>
                <w:rFonts w:eastAsia="Times New Roman" w:cs="Arial"/>
                <w:sz w:val="20"/>
                <w:szCs w:val="20"/>
                <w:lang w:eastAsia="es-CO"/>
              </w:rPr>
              <w:t>.</w:t>
            </w:r>
            <w:r w:rsidRPr="00E2319F">
              <w:rPr>
                <w:rFonts w:eastAsia="Times New Roman" w:cs="Arial"/>
                <w:sz w:val="20"/>
                <w:szCs w:val="20"/>
                <w:lang w:eastAsia="es-CO"/>
              </w:rPr>
              <w:t xml:space="preserve"> </w:t>
            </w:r>
            <w:r w:rsidR="00A23001">
              <w:rPr>
                <w:rFonts w:eastAsia="Times New Roman" w:cs="Arial"/>
                <w:sz w:val="20"/>
                <w:szCs w:val="20"/>
                <w:lang w:eastAsia="es-CO"/>
              </w:rPr>
              <w:t xml:space="preserve">de </w:t>
            </w:r>
            <w:r w:rsidRPr="00E2319F">
              <w:rPr>
                <w:rFonts w:eastAsia="Times New Roman" w:cs="Arial"/>
                <w:sz w:val="20"/>
                <w:szCs w:val="20"/>
                <w:lang w:eastAsia="es-CO"/>
              </w:rPr>
              <w:t>Santander</w:t>
            </w:r>
          </w:p>
        </w:tc>
        <w:tc>
          <w:tcPr>
            <w:tcW w:w="2519" w:type="dxa"/>
            <w:shd w:val="clear" w:color="auto" w:fill="auto"/>
            <w:noWrap/>
            <w:vAlign w:val="bottom"/>
            <w:hideMark/>
          </w:tcPr>
          <w:p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4</w:t>
            </w:r>
          </w:p>
        </w:tc>
      </w:tr>
      <w:tr w:rsidR="009242B9" w:rsidRPr="00E2319F" w:rsidTr="00E25B1D">
        <w:trPr>
          <w:trHeight w:val="227"/>
          <w:jc w:val="center"/>
        </w:trPr>
        <w:tc>
          <w:tcPr>
            <w:tcW w:w="2438" w:type="dxa"/>
            <w:shd w:val="clear" w:color="auto" w:fill="auto"/>
            <w:noWrap/>
            <w:vAlign w:val="bottom"/>
            <w:hideMark/>
          </w:tcPr>
          <w:p w:rsidR="009242B9" w:rsidRPr="00E2319F" w:rsidRDefault="00A23001"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Quindío</w:t>
            </w:r>
          </w:p>
        </w:tc>
        <w:tc>
          <w:tcPr>
            <w:tcW w:w="2519" w:type="dxa"/>
            <w:shd w:val="clear" w:color="auto" w:fill="auto"/>
            <w:noWrap/>
            <w:vAlign w:val="bottom"/>
            <w:hideMark/>
          </w:tcPr>
          <w:p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15</w:t>
            </w:r>
          </w:p>
        </w:tc>
      </w:tr>
      <w:tr w:rsidR="009242B9" w:rsidRPr="00E2319F" w:rsidTr="00E25B1D">
        <w:trPr>
          <w:trHeight w:val="227"/>
          <w:jc w:val="center"/>
        </w:trPr>
        <w:tc>
          <w:tcPr>
            <w:tcW w:w="2438" w:type="dxa"/>
            <w:shd w:val="clear" w:color="auto" w:fill="auto"/>
            <w:noWrap/>
            <w:vAlign w:val="bottom"/>
            <w:hideMark/>
          </w:tcPr>
          <w:p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Putumayo</w:t>
            </w:r>
          </w:p>
        </w:tc>
        <w:tc>
          <w:tcPr>
            <w:tcW w:w="2519" w:type="dxa"/>
            <w:shd w:val="clear" w:color="auto" w:fill="auto"/>
            <w:noWrap/>
            <w:vAlign w:val="bottom"/>
            <w:hideMark/>
          </w:tcPr>
          <w:p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9</w:t>
            </w:r>
          </w:p>
        </w:tc>
      </w:tr>
      <w:tr w:rsidR="009242B9" w:rsidRPr="00E2319F" w:rsidTr="00E25B1D">
        <w:trPr>
          <w:trHeight w:val="227"/>
          <w:jc w:val="center"/>
        </w:trPr>
        <w:tc>
          <w:tcPr>
            <w:tcW w:w="2438" w:type="dxa"/>
            <w:shd w:val="clear" w:color="auto" w:fill="auto"/>
            <w:noWrap/>
            <w:vAlign w:val="bottom"/>
            <w:hideMark/>
          </w:tcPr>
          <w:p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Sucre</w:t>
            </w:r>
          </w:p>
        </w:tc>
        <w:tc>
          <w:tcPr>
            <w:tcW w:w="2519" w:type="dxa"/>
            <w:shd w:val="clear" w:color="auto" w:fill="auto"/>
            <w:noWrap/>
            <w:vAlign w:val="bottom"/>
            <w:hideMark/>
          </w:tcPr>
          <w:p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1</w:t>
            </w:r>
          </w:p>
        </w:tc>
      </w:tr>
      <w:tr w:rsidR="009242B9" w:rsidRPr="00E2319F" w:rsidTr="00E25B1D">
        <w:trPr>
          <w:trHeight w:val="227"/>
          <w:jc w:val="center"/>
        </w:trPr>
        <w:tc>
          <w:tcPr>
            <w:tcW w:w="2438" w:type="dxa"/>
            <w:shd w:val="clear" w:color="auto" w:fill="auto"/>
            <w:noWrap/>
            <w:vAlign w:val="bottom"/>
            <w:hideMark/>
          </w:tcPr>
          <w:p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lastRenderedPageBreak/>
              <w:t>Tolima</w:t>
            </w:r>
          </w:p>
        </w:tc>
        <w:tc>
          <w:tcPr>
            <w:tcW w:w="2519" w:type="dxa"/>
            <w:shd w:val="clear" w:color="auto" w:fill="auto"/>
            <w:noWrap/>
            <w:vAlign w:val="bottom"/>
            <w:hideMark/>
          </w:tcPr>
          <w:p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21</w:t>
            </w:r>
          </w:p>
        </w:tc>
      </w:tr>
      <w:tr w:rsidR="009242B9" w:rsidRPr="00E2319F" w:rsidTr="00E25B1D">
        <w:trPr>
          <w:trHeight w:val="227"/>
          <w:jc w:val="center"/>
        </w:trPr>
        <w:tc>
          <w:tcPr>
            <w:tcW w:w="2438" w:type="dxa"/>
            <w:shd w:val="clear" w:color="auto" w:fill="auto"/>
            <w:noWrap/>
            <w:vAlign w:val="bottom"/>
            <w:hideMark/>
          </w:tcPr>
          <w:p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Valle</w:t>
            </w:r>
          </w:p>
        </w:tc>
        <w:tc>
          <w:tcPr>
            <w:tcW w:w="2519" w:type="dxa"/>
            <w:shd w:val="clear" w:color="auto" w:fill="auto"/>
            <w:noWrap/>
            <w:vAlign w:val="bottom"/>
            <w:hideMark/>
          </w:tcPr>
          <w:p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3</w:t>
            </w:r>
          </w:p>
        </w:tc>
      </w:tr>
      <w:tr w:rsidR="009242B9" w:rsidRPr="00E2319F" w:rsidTr="00E25B1D">
        <w:trPr>
          <w:trHeight w:val="227"/>
          <w:jc w:val="center"/>
        </w:trPr>
        <w:tc>
          <w:tcPr>
            <w:tcW w:w="2438" w:type="dxa"/>
            <w:shd w:val="clear" w:color="auto" w:fill="auto"/>
            <w:noWrap/>
            <w:vAlign w:val="bottom"/>
            <w:hideMark/>
          </w:tcPr>
          <w:p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Vaupés</w:t>
            </w:r>
          </w:p>
        </w:tc>
        <w:tc>
          <w:tcPr>
            <w:tcW w:w="2519" w:type="dxa"/>
            <w:shd w:val="clear" w:color="auto" w:fill="auto"/>
            <w:noWrap/>
            <w:vAlign w:val="bottom"/>
            <w:hideMark/>
          </w:tcPr>
          <w:p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2</w:t>
            </w:r>
          </w:p>
        </w:tc>
      </w:tr>
      <w:tr w:rsidR="009242B9" w:rsidRPr="00E2319F" w:rsidTr="00E25B1D">
        <w:trPr>
          <w:trHeight w:val="227"/>
          <w:jc w:val="center"/>
        </w:trPr>
        <w:tc>
          <w:tcPr>
            <w:tcW w:w="2438" w:type="dxa"/>
            <w:shd w:val="clear" w:color="auto" w:fill="auto"/>
            <w:noWrap/>
            <w:vAlign w:val="bottom"/>
            <w:hideMark/>
          </w:tcPr>
          <w:p w:rsidR="009242B9" w:rsidRPr="00E2319F" w:rsidRDefault="00E25B1D" w:rsidP="00F26175">
            <w:pPr>
              <w:spacing w:before="100" w:beforeAutospacing="1" w:after="100" w:afterAutospacing="1" w:line="240" w:lineRule="auto"/>
              <w:jc w:val="both"/>
              <w:rPr>
                <w:rFonts w:eastAsia="Times New Roman" w:cs="Arial"/>
                <w:sz w:val="20"/>
                <w:szCs w:val="20"/>
                <w:lang w:eastAsia="es-CO"/>
              </w:rPr>
            </w:pPr>
            <w:r w:rsidRPr="00E2319F">
              <w:rPr>
                <w:rFonts w:eastAsia="Times New Roman" w:cs="Arial"/>
                <w:sz w:val="20"/>
                <w:szCs w:val="20"/>
                <w:lang w:eastAsia="es-CO"/>
              </w:rPr>
              <w:t>Vichada</w:t>
            </w:r>
          </w:p>
        </w:tc>
        <w:tc>
          <w:tcPr>
            <w:tcW w:w="2519" w:type="dxa"/>
            <w:shd w:val="clear" w:color="auto" w:fill="auto"/>
            <w:noWrap/>
            <w:vAlign w:val="bottom"/>
            <w:hideMark/>
          </w:tcPr>
          <w:p w:rsidR="009242B9" w:rsidRPr="00E2319F" w:rsidRDefault="009242B9" w:rsidP="00E25B1D">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1</w:t>
            </w:r>
          </w:p>
        </w:tc>
      </w:tr>
      <w:tr w:rsidR="009242B9" w:rsidRPr="00E2319F" w:rsidTr="00E25B1D">
        <w:trPr>
          <w:trHeight w:val="227"/>
          <w:jc w:val="center"/>
        </w:trPr>
        <w:tc>
          <w:tcPr>
            <w:tcW w:w="2438" w:type="dxa"/>
            <w:shd w:val="clear" w:color="auto" w:fill="E2EFDA"/>
            <w:noWrap/>
            <w:vAlign w:val="bottom"/>
            <w:hideMark/>
          </w:tcPr>
          <w:p w:rsidR="009242B9" w:rsidRPr="00E2319F" w:rsidRDefault="00E25B1D" w:rsidP="00F26175">
            <w:pPr>
              <w:spacing w:before="100" w:beforeAutospacing="1" w:after="100" w:afterAutospacing="1" w:line="240" w:lineRule="auto"/>
              <w:jc w:val="both"/>
              <w:rPr>
                <w:rFonts w:eastAsia="Times New Roman" w:cs="Arial"/>
                <w:b/>
                <w:bCs/>
                <w:sz w:val="20"/>
                <w:szCs w:val="20"/>
                <w:lang w:eastAsia="es-CO"/>
              </w:rPr>
            </w:pPr>
            <w:r w:rsidRPr="00E2319F">
              <w:rPr>
                <w:rFonts w:eastAsia="Times New Roman" w:cs="Arial"/>
                <w:b/>
                <w:bCs/>
                <w:sz w:val="20"/>
                <w:szCs w:val="20"/>
                <w:lang w:eastAsia="es-CO"/>
              </w:rPr>
              <w:t>Total</w:t>
            </w:r>
          </w:p>
        </w:tc>
        <w:tc>
          <w:tcPr>
            <w:tcW w:w="2519" w:type="dxa"/>
            <w:shd w:val="clear" w:color="auto" w:fill="E2EFDA"/>
            <w:noWrap/>
            <w:vAlign w:val="bottom"/>
            <w:hideMark/>
          </w:tcPr>
          <w:p w:rsidR="009242B9" w:rsidRPr="00E2319F" w:rsidRDefault="009242B9" w:rsidP="00E25B1D">
            <w:pPr>
              <w:spacing w:before="100" w:beforeAutospacing="1" w:after="100" w:afterAutospacing="1" w:line="240" w:lineRule="auto"/>
              <w:jc w:val="center"/>
              <w:rPr>
                <w:rFonts w:eastAsia="Times New Roman" w:cs="Arial"/>
                <w:b/>
                <w:bCs/>
                <w:sz w:val="20"/>
                <w:szCs w:val="20"/>
                <w:lang w:eastAsia="es-CO"/>
              </w:rPr>
            </w:pPr>
            <w:r w:rsidRPr="00E2319F">
              <w:rPr>
                <w:rFonts w:eastAsia="Times New Roman" w:cs="Arial"/>
                <w:b/>
                <w:bCs/>
                <w:sz w:val="20"/>
                <w:szCs w:val="20"/>
                <w:lang w:eastAsia="es-CO"/>
              </w:rPr>
              <w:t>179</w:t>
            </w:r>
          </w:p>
        </w:tc>
      </w:tr>
    </w:tbl>
    <w:p w:rsidR="009242B9" w:rsidRPr="00A3303E" w:rsidRDefault="009242B9" w:rsidP="00A3303E">
      <w:pPr>
        <w:spacing w:after="100" w:afterAutospacing="1" w:line="240" w:lineRule="auto"/>
        <w:jc w:val="center"/>
        <w:rPr>
          <w:rFonts w:cs="Arial"/>
          <w:sz w:val="16"/>
          <w:szCs w:val="16"/>
        </w:rPr>
      </w:pPr>
      <w:r w:rsidRPr="00A3303E">
        <w:rPr>
          <w:rFonts w:cs="Arial"/>
          <w:sz w:val="16"/>
          <w:szCs w:val="16"/>
        </w:rPr>
        <w:t>Fuente: Dirección de Contratación ICBF Gestión Poscontractual. Corte: 31/12/2017.</w:t>
      </w:r>
    </w:p>
    <w:p w:rsidR="009242B9" w:rsidRPr="00E2319F" w:rsidRDefault="009242B9" w:rsidP="009242B9">
      <w:pPr>
        <w:spacing w:before="100" w:beforeAutospacing="1" w:after="100" w:afterAutospacing="1" w:line="240" w:lineRule="auto"/>
        <w:jc w:val="both"/>
        <w:rPr>
          <w:rFonts w:cs="Arial"/>
          <w:sz w:val="20"/>
          <w:szCs w:val="20"/>
        </w:rPr>
      </w:pPr>
      <w:r w:rsidRPr="00E2319F">
        <w:rPr>
          <w:rFonts w:cs="Arial"/>
          <w:noProof/>
          <w:sz w:val="20"/>
          <w:szCs w:val="20"/>
          <w:lang w:val="es-CO" w:eastAsia="es-CO"/>
        </w:rPr>
        <w:drawing>
          <wp:inline distT="0" distB="0" distL="0" distR="0" wp14:anchorId="41F0A192" wp14:editId="4773364E">
            <wp:extent cx="5539839" cy="2660073"/>
            <wp:effectExtent l="0" t="0" r="3810" b="698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242B9" w:rsidRPr="00E2319F" w:rsidRDefault="009242B9" w:rsidP="00B37D42">
      <w:pPr>
        <w:spacing w:after="100" w:afterAutospacing="1" w:line="240" w:lineRule="auto"/>
        <w:jc w:val="center"/>
        <w:rPr>
          <w:rFonts w:cs="Arial"/>
        </w:rPr>
      </w:pPr>
      <w:r w:rsidRPr="00B37D42">
        <w:rPr>
          <w:rFonts w:cs="Arial"/>
          <w:sz w:val="16"/>
          <w:szCs w:val="16"/>
        </w:rPr>
        <w:t>Fuente: Dirección de Contratación ICBF Gestión Poscontractual. Corte: 31/12/2017</w:t>
      </w:r>
      <w:r w:rsidRPr="00E2319F">
        <w:rPr>
          <w:rFonts w:cs="Arial"/>
          <w:sz w:val="18"/>
        </w:rPr>
        <w:t>.</w:t>
      </w:r>
    </w:p>
    <w:p w:rsidR="009242B9" w:rsidRPr="00E2319F" w:rsidRDefault="009242B9" w:rsidP="00A44A2B">
      <w:pPr>
        <w:numPr>
          <w:ilvl w:val="0"/>
          <w:numId w:val="76"/>
        </w:numPr>
        <w:spacing w:before="100" w:beforeAutospacing="1" w:after="100" w:afterAutospacing="1" w:line="240" w:lineRule="auto"/>
        <w:jc w:val="both"/>
        <w:rPr>
          <w:rFonts w:cs="Arial"/>
          <w:sz w:val="20"/>
        </w:rPr>
      </w:pPr>
      <w:r w:rsidRPr="00E2319F">
        <w:rPr>
          <w:rFonts w:cs="Arial"/>
        </w:rPr>
        <w:t>Respecto a los procedimientos administrativos sancionatorios sobre los presuntos incumplimientos que surgen de los contratos suscritos en Sede Nacional, durante la vigencia 2017 se tramitaron veinticuatro (24) solicitudes de inicio de procesos sancionatorios contractuales, de los cuales, un proceso sancionatorio contractual se habí</w:t>
      </w:r>
      <w:r w:rsidR="00B37D42">
        <w:rPr>
          <w:rFonts w:cs="Arial"/>
        </w:rPr>
        <w:t xml:space="preserve">a iniciado durante la vigencia </w:t>
      </w:r>
      <w:r w:rsidRPr="00E2319F">
        <w:rPr>
          <w:rFonts w:cs="Arial"/>
        </w:rPr>
        <w:t xml:space="preserve">2016.  En la tabla señalada a continuación se detalla el estado de cada una de las solicitudes realizadas por las áreas de Sede:  </w:t>
      </w:r>
    </w:p>
    <w:tbl>
      <w:tblPr>
        <w:tblW w:w="6242"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5103"/>
        <w:gridCol w:w="1139"/>
      </w:tblGrid>
      <w:tr w:rsidR="009242B9" w:rsidRPr="00E2319F" w:rsidTr="00B37D42">
        <w:trPr>
          <w:trHeight w:val="20"/>
          <w:tblHeader/>
          <w:jc w:val="center"/>
        </w:trPr>
        <w:tc>
          <w:tcPr>
            <w:tcW w:w="6242" w:type="dxa"/>
            <w:gridSpan w:val="2"/>
            <w:shd w:val="clear" w:color="auto" w:fill="76923C"/>
            <w:noWrap/>
            <w:vAlign w:val="center"/>
            <w:hideMark/>
          </w:tcPr>
          <w:p w:rsidR="009242B9" w:rsidRPr="00B37D42" w:rsidRDefault="00B37D42" w:rsidP="00F26175">
            <w:pPr>
              <w:spacing w:before="100" w:beforeAutospacing="1" w:after="100" w:afterAutospacing="1" w:line="240" w:lineRule="auto"/>
              <w:jc w:val="center"/>
              <w:rPr>
                <w:rFonts w:eastAsia="Times New Roman" w:cs="Arial"/>
                <w:b/>
                <w:bCs/>
                <w:color w:val="FFFFFF" w:themeColor="background1"/>
                <w:sz w:val="20"/>
                <w:szCs w:val="20"/>
                <w:lang w:eastAsia="es-CO"/>
              </w:rPr>
            </w:pPr>
            <w:r>
              <w:rPr>
                <w:rFonts w:eastAsia="Times New Roman" w:cs="Arial"/>
                <w:b/>
                <w:bCs/>
                <w:color w:val="FFFFFF" w:themeColor="background1"/>
                <w:sz w:val="20"/>
                <w:szCs w:val="20"/>
                <w:lang w:eastAsia="es-CO"/>
              </w:rPr>
              <w:t>Estado d</w:t>
            </w:r>
            <w:r w:rsidRPr="00B37D42">
              <w:rPr>
                <w:rFonts w:eastAsia="Times New Roman" w:cs="Arial"/>
                <w:b/>
                <w:bCs/>
                <w:color w:val="FFFFFF" w:themeColor="background1"/>
                <w:sz w:val="20"/>
                <w:szCs w:val="20"/>
                <w:lang w:eastAsia="es-CO"/>
              </w:rPr>
              <w:t>e Procedimiento Sancionatorio Contractual</w:t>
            </w:r>
          </w:p>
        </w:tc>
      </w:tr>
      <w:tr w:rsidR="009242B9" w:rsidRPr="00E2319F" w:rsidTr="00B37D42">
        <w:trPr>
          <w:trHeight w:val="20"/>
          <w:jc w:val="center"/>
        </w:trPr>
        <w:tc>
          <w:tcPr>
            <w:tcW w:w="5103" w:type="dxa"/>
            <w:shd w:val="clear" w:color="auto" w:fill="FFFFFF" w:themeFill="background1"/>
            <w:noWrap/>
            <w:vAlign w:val="center"/>
            <w:hideMark/>
          </w:tcPr>
          <w:p w:rsidR="009242B9" w:rsidRPr="00E2319F" w:rsidRDefault="00B37D42" w:rsidP="00B37D42">
            <w:pPr>
              <w:spacing w:before="100" w:beforeAutospacing="1" w:after="100" w:afterAutospacing="1" w:line="240" w:lineRule="auto"/>
              <w:rPr>
                <w:rFonts w:eastAsia="Times New Roman" w:cs="Arial"/>
                <w:sz w:val="20"/>
                <w:szCs w:val="20"/>
                <w:lang w:eastAsia="es-CO"/>
              </w:rPr>
            </w:pPr>
            <w:r>
              <w:rPr>
                <w:rFonts w:eastAsia="Times New Roman" w:cs="Arial"/>
                <w:sz w:val="20"/>
                <w:szCs w:val="20"/>
                <w:lang w:eastAsia="es-CO"/>
              </w:rPr>
              <w:t>En T</w:t>
            </w:r>
            <w:r w:rsidRPr="00E2319F">
              <w:rPr>
                <w:rFonts w:eastAsia="Times New Roman" w:cs="Arial"/>
                <w:sz w:val="20"/>
                <w:szCs w:val="20"/>
                <w:lang w:eastAsia="es-CO"/>
              </w:rPr>
              <w:t>rámite</w:t>
            </w:r>
          </w:p>
        </w:tc>
        <w:tc>
          <w:tcPr>
            <w:tcW w:w="1139" w:type="dxa"/>
            <w:shd w:val="clear" w:color="auto" w:fill="FFFFFF" w:themeFill="background1"/>
            <w:vAlign w:val="center"/>
            <w:hideMark/>
          </w:tcPr>
          <w:p w:rsidR="009242B9" w:rsidRPr="00E2319F" w:rsidRDefault="00B37D42" w:rsidP="00B37D42">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5</w:t>
            </w:r>
          </w:p>
        </w:tc>
      </w:tr>
      <w:tr w:rsidR="009242B9" w:rsidRPr="00E2319F" w:rsidTr="00B37D42">
        <w:trPr>
          <w:trHeight w:val="20"/>
          <w:jc w:val="center"/>
        </w:trPr>
        <w:tc>
          <w:tcPr>
            <w:tcW w:w="5103" w:type="dxa"/>
            <w:shd w:val="clear" w:color="auto" w:fill="FFFFFF" w:themeFill="background1"/>
            <w:noWrap/>
            <w:vAlign w:val="center"/>
            <w:hideMark/>
          </w:tcPr>
          <w:p w:rsidR="009242B9" w:rsidRPr="00E2319F" w:rsidRDefault="00B37D42" w:rsidP="00B37D42">
            <w:pPr>
              <w:spacing w:before="100" w:beforeAutospacing="1" w:after="100" w:afterAutospacing="1" w:line="240" w:lineRule="auto"/>
              <w:rPr>
                <w:rFonts w:eastAsia="Times New Roman" w:cs="Arial"/>
                <w:sz w:val="20"/>
                <w:szCs w:val="20"/>
                <w:lang w:eastAsia="es-CO"/>
              </w:rPr>
            </w:pPr>
            <w:r>
              <w:rPr>
                <w:rFonts w:eastAsia="Times New Roman" w:cs="Arial"/>
                <w:sz w:val="20"/>
                <w:szCs w:val="20"/>
                <w:lang w:eastAsia="es-CO"/>
              </w:rPr>
              <w:t>En Análisis por la Dirección d</w:t>
            </w:r>
            <w:r w:rsidRPr="00E2319F">
              <w:rPr>
                <w:rFonts w:eastAsia="Times New Roman" w:cs="Arial"/>
                <w:sz w:val="20"/>
                <w:szCs w:val="20"/>
                <w:lang w:eastAsia="es-CO"/>
              </w:rPr>
              <w:t>e Contratación</w:t>
            </w:r>
          </w:p>
        </w:tc>
        <w:tc>
          <w:tcPr>
            <w:tcW w:w="1139" w:type="dxa"/>
            <w:shd w:val="clear" w:color="auto" w:fill="FFFFFF" w:themeFill="background1"/>
            <w:vAlign w:val="center"/>
            <w:hideMark/>
          </w:tcPr>
          <w:p w:rsidR="009242B9" w:rsidRPr="00E2319F" w:rsidRDefault="00B37D42" w:rsidP="00B37D42">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2</w:t>
            </w:r>
          </w:p>
        </w:tc>
      </w:tr>
      <w:tr w:rsidR="009242B9" w:rsidRPr="00E2319F" w:rsidTr="00B37D42">
        <w:trPr>
          <w:trHeight w:val="20"/>
          <w:jc w:val="center"/>
        </w:trPr>
        <w:tc>
          <w:tcPr>
            <w:tcW w:w="5103" w:type="dxa"/>
            <w:shd w:val="clear" w:color="auto" w:fill="FFFFFF" w:themeFill="background1"/>
            <w:noWrap/>
            <w:vAlign w:val="center"/>
            <w:hideMark/>
          </w:tcPr>
          <w:p w:rsidR="009242B9" w:rsidRPr="00E2319F" w:rsidRDefault="00B37D42" w:rsidP="00B37D42">
            <w:pPr>
              <w:spacing w:before="100" w:beforeAutospacing="1" w:after="100" w:afterAutospacing="1" w:line="240" w:lineRule="auto"/>
              <w:rPr>
                <w:rFonts w:eastAsia="Times New Roman" w:cs="Arial"/>
                <w:sz w:val="20"/>
                <w:szCs w:val="20"/>
                <w:lang w:eastAsia="es-CO"/>
              </w:rPr>
            </w:pPr>
            <w:r>
              <w:rPr>
                <w:rFonts w:eastAsia="Times New Roman" w:cs="Arial"/>
                <w:sz w:val="20"/>
                <w:szCs w:val="20"/>
                <w:lang w:eastAsia="es-CO"/>
              </w:rPr>
              <w:t>En Ajustes d</w:t>
            </w:r>
            <w:r w:rsidRPr="00E2319F">
              <w:rPr>
                <w:rFonts w:eastAsia="Times New Roman" w:cs="Arial"/>
                <w:sz w:val="20"/>
                <w:szCs w:val="20"/>
                <w:lang w:eastAsia="es-CO"/>
              </w:rPr>
              <w:t>el Área Solicitante</w:t>
            </w:r>
          </w:p>
        </w:tc>
        <w:tc>
          <w:tcPr>
            <w:tcW w:w="1139" w:type="dxa"/>
            <w:shd w:val="clear" w:color="auto" w:fill="FFFFFF" w:themeFill="background1"/>
            <w:vAlign w:val="center"/>
            <w:hideMark/>
          </w:tcPr>
          <w:p w:rsidR="009242B9" w:rsidRPr="00E2319F" w:rsidRDefault="00B37D42" w:rsidP="00B37D42">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6</w:t>
            </w:r>
          </w:p>
        </w:tc>
      </w:tr>
      <w:tr w:rsidR="009242B9" w:rsidRPr="00E2319F" w:rsidTr="00B37D42">
        <w:trPr>
          <w:trHeight w:val="20"/>
          <w:jc w:val="center"/>
        </w:trPr>
        <w:tc>
          <w:tcPr>
            <w:tcW w:w="5103" w:type="dxa"/>
            <w:shd w:val="clear" w:color="auto" w:fill="FFFFFF" w:themeFill="background1"/>
            <w:noWrap/>
            <w:vAlign w:val="center"/>
            <w:hideMark/>
          </w:tcPr>
          <w:p w:rsidR="009242B9" w:rsidRPr="00E2319F" w:rsidRDefault="00B37D42" w:rsidP="00B37D42">
            <w:pPr>
              <w:spacing w:before="100" w:beforeAutospacing="1" w:after="100" w:afterAutospacing="1" w:line="240" w:lineRule="auto"/>
              <w:rPr>
                <w:rFonts w:eastAsia="Times New Roman" w:cs="Arial"/>
                <w:sz w:val="20"/>
                <w:szCs w:val="20"/>
                <w:lang w:eastAsia="es-CO"/>
              </w:rPr>
            </w:pPr>
            <w:r>
              <w:rPr>
                <w:rFonts w:eastAsia="Times New Roman" w:cs="Arial"/>
                <w:sz w:val="20"/>
                <w:szCs w:val="20"/>
                <w:lang w:eastAsia="es-CO"/>
              </w:rPr>
              <w:t>Devueltos – No Procedencia d</w:t>
            </w:r>
            <w:r w:rsidRPr="00E2319F">
              <w:rPr>
                <w:rFonts w:eastAsia="Times New Roman" w:cs="Arial"/>
                <w:sz w:val="20"/>
                <w:szCs w:val="20"/>
                <w:lang w:eastAsia="es-CO"/>
              </w:rPr>
              <w:t>e Trámite</w:t>
            </w:r>
          </w:p>
        </w:tc>
        <w:tc>
          <w:tcPr>
            <w:tcW w:w="1139" w:type="dxa"/>
            <w:shd w:val="clear" w:color="auto" w:fill="FFFFFF" w:themeFill="background1"/>
            <w:vAlign w:val="center"/>
            <w:hideMark/>
          </w:tcPr>
          <w:p w:rsidR="009242B9" w:rsidRPr="00E2319F" w:rsidRDefault="00B37D42" w:rsidP="00B37D42">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8</w:t>
            </w:r>
          </w:p>
        </w:tc>
      </w:tr>
      <w:tr w:rsidR="009242B9" w:rsidRPr="00E2319F" w:rsidTr="00B37D42">
        <w:trPr>
          <w:trHeight w:val="20"/>
          <w:jc w:val="center"/>
        </w:trPr>
        <w:tc>
          <w:tcPr>
            <w:tcW w:w="5103" w:type="dxa"/>
            <w:shd w:val="clear" w:color="auto" w:fill="FFFFFF" w:themeFill="background1"/>
            <w:noWrap/>
            <w:vAlign w:val="center"/>
            <w:hideMark/>
          </w:tcPr>
          <w:p w:rsidR="009242B9" w:rsidRPr="00E2319F" w:rsidRDefault="00B37D42" w:rsidP="00B37D42">
            <w:pPr>
              <w:spacing w:before="100" w:beforeAutospacing="1" w:after="100" w:afterAutospacing="1" w:line="240" w:lineRule="auto"/>
              <w:rPr>
                <w:rFonts w:eastAsia="Times New Roman" w:cs="Arial"/>
                <w:sz w:val="20"/>
                <w:szCs w:val="20"/>
                <w:lang w:eastAsia="es-CO"/>
              </w:rPr>
            </w:pPr>
            <w:r>
              <w:rPr>
                <w:rFonts w:eastAsia="Times New Roman" w:cs="Arial"/>
                <w:sz w:val="20"/>
                <w:szCs w:val="20"/>
                <w:lang w:eastAsia="es-CO"/>
              </w:rPr>
              <w:t>Finalizados en l</w:t>
            </w:r>
            <w:r w:rsidRPr="00E2319F">
              <w:rPr>
                <w:rFonts w:eastAsia="Times New Roman" w:cs="Arial"/>
                <w:sz w:val="20"/>
                <w:szCs w:val="20"/>
                <w:lang w:eastAsia="es-CO"/>
              </w:rPr>
              <w:t>a Vigencia 2017</w:t>
            </w:r>
          </w:p>
        </w:tc>
        <w:tc>
          <w:tcPr>
            <w:tcW w:w="1139" w:type="dxa"/>
            <w:shd w:val="clear" w:color="auto" w:fill="FFFFFF" w:themeFill="background1"/>
            <w:vAlign w:val="center"/>
            <w:hideMark/>
          </w:tcPr>
          <w:p w:rsidR="009242B9" w:rsidRPr="00E2319F" w:rsidRDefault="00B37D42" w:rsidP="00B37D42">
            <w:pPr>
              <w:spacing w:before="100" w:beforeAutospacing="1" w:after="100" w:afterAutospacing="1" w:line="240" w:lineRule="auto"/>
              <w:jc w:val="center"/>
              <w:rPr>
                <w:rFonts w:eastAsia="Times New Roman" w:cs="Arial"/>
                <w:sz w:val="20"/>
                <w:szCs w:val="20"/>
                <w:lang w:eastAsia="es-CO"/>
              </w:rPr>
            </w:pPr>
            <w:r w:rsidRPr="00E2319F">
              <w:rPr>
                <w:rFonts w:eastAsia="Times New Roman" w:cs="Arial"/>
                <w:sz w:val="20"/>
                <w:szCs w:val="20"/>
                <w:lang w:eastAsia="es-CO"/>
              </w:rPr>
              <w:t>3</w:t>
            </w:r>
          </w:p>
        </w:tc>
      </w:tr>
      <w:tr w:rsidR="009242B9" w:rsidRPr="00E2319F" w:rsidTr="00B37D42">
        <w:trPr>
          <w:trHeight w:val="20"/>
          <w:jc w:val="center"/>
        </w:trPr>
        <w:tc>
          <w:tcPr>
            <w:tcW w:w="5103" w:type="dxa"/>
            <w:shd w:val="clear" w:color="auto" w:fill="E2EFDA"/>
            <w:noWrap/>
            <w:vAlign w:val="center"/>
            <w:hideMark/>
          </w:tcPr>
          <w:p w:rsidR="009242B9" w:rsidRPr="00E2319F" w:rsidRDefault="00B37D42" w:rsidP="00B37D42">
            <w:pPr>
              <w:spacing w:before="100" w:beforeAutospacing="1" w:after="100" w:afterAutospacing="1" w:line="240" w:lineRule="auto"/>
              <w:jc w:val="center"/>
              <w:rPr>
                <w:rFonts w:eastAsia="Times New Roman" w:cs="Arial"/>
                <w:b/>
                <w:bCs/>
                <w:sz w:val="20"/>
                <w:szCs w:val="20"/>
                <w:lang w:eastAsia="es-CO"/>
              </w:rPr>
            </w:pPr>
            <w:r w:rsidRPr="00E2319F">
              <w:rPr>
                <w:rFonts w:eastAsia="Times New Roman" w:cs="Arial"/>
                <w:b/>
                <w:bCs/>
                <w:sz w:val="20"/>
                <w:szCs w:val="20"/>
                <w:lang w:eastAsia="es-CO"/>
              </w:rPr>
              <w:t>Total</w:t>
            </w:r>
          </w:p>
        </w:tc>
        <w:tc>
          <w:tcPr>
            <w:tcW w:w="1139" w:type="dxa"/>
            <w:shd w:val="clear" w:color="auto" w:fill="E2EFDA"/>
            <w:vAlign w:val="center"/>
            <w:hideMark/>
          </w:tcPr>
          <w:p w:rsidR="009242B9" w:rsidRPr="00E2319F" w:rsidRDefault="00B37D42" w:rsidP="00B37D42">
            <w:pPr>
              <w:spacing w:before="100" w:beforeAutospacing="1" w:after="100" w:afterAutospacing="1" w:line="240" w:lineRule="auto"/>
              <w:jc w:val="center"/>
              <w:rPr>
                <w:rFonts w:eastAsia="Times New Roman" w:cs="Arial"/>
                <w:b/>
                <w:bCs/>
                <w:sz w:val="20"/>
                <w:szCs w:val="20"/>
                <w:lang w:eastAsia="es-CO"/>
              </w:rPr>
            </w:pPr>
            <w:r w:rsidRPr="00E2319F">
              <w:rPr>
                <w:rFonts w:eastAsia="Times New Roman" w:cs="Arial"/>
                <w:b/>
                <w:bCs/>
                <w:sz w:val="20"/>
                <w:szCs w:val="20"/>
                <w:lang w:eastAsia="es-CO"/>
              </w:rPr>
              <w:t>24</w:t>
            </w:r>
          </w:p>
        </w:tc>
      </w:tr>
    </w:tbl>
    <w:p w:rsidR="009242B9" w:rsidRPr="00B37D42" w:rsidRDefault="009242B9" w:rsidP="00B37D42">
      <w:pPr>
        <w:spacing w:after="100" w:afterAutospacing="1" w:line="240" w:lineRule="auto"/>
        <w:jc w:val="center"/>
        <w:rPr>
          <w:rFonts w:cs="Arial"/>
          <w:sz w:val="16"/>
          <w:szCs w:val="16"/>
        </w:rPr>
      </w:pPr>
      <w:r w:rsidRPr="00B37D42">
        <w:rPr>
          <w:rFonts w:cs="Arial"/>
          <w:sz w:val="16"/>
          <w:szCs w:val="16"/>
        </w:rPr>
        <w:t>Fuente: Dirección de Contratación ICBF Gestión Poscontractual. Corte: 31/12/2017.</w:t>
      </w:r>
    </w:p>
    <w:p w:rsidR="00B37D42" w:rsidRPr="00A3303E" w:rsidRDefault="009242B9" w:rsidP="00A44A2B">
      <w:pPr>
        <w:numPr>
          <w:ilvl w:val="0"/>
          <w:numId w:val="76"/>
        </w:numPr>
        <w:spacing w:before="100" w:beforeAutospacing="1" w:after="100" w:afterAutospacing="1" w:line="240" w:lineRule="auto"/>
        <w:jc w:val="both"/>
        <w:rPr>
          <w:rFonts w:cs="Arial"/>
        </w:rPr>
      </w:pPr>
      <w:r w:rsidRPr="00E2319F">
        <w:rPr>
          <w:rFonts w:cs="Arial"/>
        </w:rPr>
        <w:t xml:space="preserve">En lo que respecta a la gestión de las liquidaciones de los contratos, que legalmente corresponde a adelantar dicho trámite, se identificó que a nivel nacional y en la Sede de la Dirección General, la medición del segundo corte del indicador se reportó como </w:t>
      </w:r>
      <w:r w:rsidRPr="00E2319F">
        <w:rPr>
          <w:rFonts w:cs="Arial"/>
          <w:i/>
        </w:rPr>
        <w:t>adecuado</w:t>
      </w:r>
      <w:r w:rsidRPr="00E2319F">
        <w:rPr>
          <w:rFonts w:cs="Arial"/>
        </w:rPr>
        <w:t xml:space="preserve">, de acuerdo al siguiente detalle: </w:t>
      </w:r>
    </w:p>
    <w:p w:rsidR="009242B9" w:rsidRPr="00A3303E" w:rsidRDefault="009242B9" w:rsidP="00A44A2B">
      <w:pPr>
        <w:numPr>
          <w:ilvl w:val="0"/>
          <w:numId w:val="76"/>
        </w:numPr>
        <w:spacing w:before="100" w:beforeAutospacing="1" w:after="100" w:afterAutospacing="1" w:line="240" w:lineRule="auto"/>
        <w:jc w:val="both"/>
        <w:rPr>
          <w:rFonts w:cs="Arial"/>
        </w:rPr>
      </w:pPr>
      <w:r w:rsidRPr="00A3303E">
        <w:rPr>
          <w:rFonts w:cs="Arial"/>
        </w:rPr>
        <w:lastRenderedPageBreak/>
        <w:t xml:space="preserve">Sede Nacional: Estado Adecuado, con el 85.71% </w:t>
      </w:r>
    </w:p>
    <w:p w:rsidR="009242B9" w:rsidRPr="00A3303E" w:rsidRDefault="009242B9" w:rsidP="00A44A2B">
      <w:pPr>
        <w:numPr>
          <w:ilvl w:val="0"/>
          <w:numId w:val="76"/>
        </w:numPr>
        <w:spacing w:before="100" w:beforeAutospacing="1" w:after="100" w:afterAutospacing="1" w:line="240" w:lineRule="auto"/>
        <w:jc w:val="both"/>
        <w:rPr>
          <w:rFonts w:cs="Arial"/>
        </w:rPr>
      </w:pPr>
      <w:r w:rsidRPr="00A3303E">
        <w:rPr>
          <w:rFonts w:cs="Arial"/>
        </w:rPr>
        <w:t>Regionales: Estado Adecuado, con el 96.96%</w:t>
      </w:r>
    </w:p>
    <w:p w:rsidR="009242B9" w:rsidRPr="00E2319F" w:rsidRDefault="009242B9" w:rsidP="00A44A2B">
      <w:pPr>
        <w:numPr>
          <w:ilvl w:val="0"/>
          <w:numId w:val="26"/>
        </w:numPr>
        <w:spacing w:before="100" w:beforeAutospacing="1" w:after="100" w:afterAutospacing="1" w:line="240" w:lineRule="auto"/>
        <w:jc w:val="both"/>
        <w:rPr>
          <w:rFonts w:cs="Arial"/>
        </w:rPr>
      </w:pPr>
      <w:r w:rsidRPr="00E2319F">
        <w:rPr>
          <w:rFonts w:cs="Arial"/>
          <w:b/>
        </w:rPr>
        <w:t>SEDE NACIONAL:</w:t>
      </w:r>
      <w:r w:rsidRPr="00E2319F">
        <w:rPr>
          <w:rFonts w:cs="Arial"/>
        </w:rPr>
        <w:t xml:space="preserve"> Con corte a 31 de diciembre de 2017, queda pendiente un total de </w:t>
      </w:r>
      <w:r w:rsidRPr="00A3303E">
        <w:rPr>
          <w:rFonts w:cs="Arial"/>
          <w:u w:val="single"/>
        </w:rPr>
        <w:t>157 contratos</w:t>
      </w:r>
      <w:r w:rsidR="00A3303E">
        <w:rPr>
          <w:rFonts w:cs="Arial"/>
        </w:rPr>
        <w:t xml:space="preserve"> </w:t>
      </w:r>
      <w:r w:rsidRPr="00E2319F">
        <w:rPr>
          <w:rFonts w:cs="Arial"/>
        </w:rPr>
        <w:t>y convenios por liquidar, discriminados de la siguiente forma según la dependencia. En la siguiente tabla se sombrean aquellas áreas con el mayor número de contratos pendientes y medición en Riesgo durante el segundo cuatrimestre de 2017):</w:t>
      </w:r>
    </w:p>
    <w:p w:rsidR="009242B9" w:rsidRPr="00E2319F" w:rsidRDefault="009242B9" w:rsidP="00A3303E">
      <w:pPr>
        <w:spacing w:before="100" w:beforeAutospacing="1" w:after="100" w:afterAutospacing="1" w:line="240" w:lineRule="auto"/>
        <w:ind w:left="720"/>
        <w:jc w:val="center"/>
        <w:rPr>
          <w:rFonts w:cs="Arial"/>
          <w:sz w:val="20"/>
        </w:rPr>
      </w:pPr>
      <w:r w:rsidRPr="00E2319F">
        <w:rPr>
          <w:rFonts w:cs="Arial"/>
          <w:noProof/>
          <w:lang w:val="es-CO" w:eastAsia="es-CO"/>
        </w:rPr>
        <w:drawing>
          <wp:inline distT="0" distB="0" distL="0" distR="0" wp14:anchorId="29F72721" wp14:editId="09A4D9D5">
            <wp:extent cx="4448175" cy="42566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479516" cy="4286618"/>
                    </a:xfrm>
                    <a:prstGeom prst="rect">
                      <a:avLst/>
                    </a:prstGeom>
                  </pic:spPr>
                </pic:pic>
              </a:graphicData>
            </a:graphic>
          </wp:inline>
        </w:drawing>
      </w:r>
    </w:p>
    <w:p w:rsidR="009242B9" w:rsidRPr="00A3303E" w:rsidRDefault="009242B9" w:rsidP="00637D3D">
      <w:pPr>
        <w:spacing w:after="100" w:afterAutospacing="1" w:line="240" w:lineRule="auto"/>
        <w:ind w:left="720"/>
        <w:jc w:val="center"/>
        <w:rPr>
          <w:rFonts w:cs="Arial"/>
          <w:sz w:val="16"/>
          <w:szCs w:val="16"/>
        </w:rPr>
      </w:pPr>
      <w:r w:rsidRPr="00A3303E">
        <w:rPr>
          <w:rFonts w:cs="Arial"/>
          <w:sz w:val="16"/>
          <w:szCs w:val="16"/>
        </w:rPr>
        <w:t>Fuente: Dirección de Contratación ICBF Gestión Poscontractual. Corte: 31/12/2017</w:t>
      </w:r>
    </w:p>
    <w:p w:rsidR="009242B9" w:rsidRPr="00E2319F" w:rsidRDefault="009242B9" w:rsidP="009242B9">
      <w:pPr>
        <w:spacing w:before="100" w:beforeAutospacing="1" w:after="100" w:afterAutospacing="1" w:line="240" w:lineRule="auto"/>
        <w:jc w:val="both"/>
        <w:rPr>
          <w:rFonts w:cs="Arial"/>
        </w:rPr>
      </w:pPr>
      <w:r w:rsidRPr="00E2319F">
        <w:rPr>
          <w:rFonts w:cs="Arial"/>
          <w:b/>
        </w:rPr>
        <w:t>REGIONALES:</w:t>
      </w:r>
      <w:r w:rsidRPr="00E2319F">
        <w:rPr>
          <w:rFonts w:cs="Arial"/>
        </w:rPr>
        <w:t xml:space="preserve"> C</w:t>
      </w:r>
      <w:r w:rsidR="00A3303E">
        <w:rPr>
          <w:rFonts w:cs="Arial"/>
        </w:rPr>
        <w:t xml:space="preserve">on corte </w:t>
      </w:r>
      <w:r w:rsidR="00637D3D">
        <w:rPr>
          <w:rFonts w:cs="Arial"/>
        </w:rPr>
        <w:t xml:space="preserve">a 31 </w:t>
      </w:r>
      <w:r w:rsidR="00A3303E">
        <w:rPr>
          <w:rFonts w:cs="Arial"/>
        </w:rPr>
        <w:t>de d</w:t>
      </w:r>
      <w:r w:rsidRPr="00E2319F">
        <w:rPr>
          <w:rFonts w:cs="Arial"/>
        </w:rPr>
        <w:t>iciembre queda pendiente un total</w:t>
      </w:r>
      <w:r w:rsidRPr="00A3303E">
        <w:rPr>
          <w:rFonts w:cs="Arial"/>
        </w:rPr>
        <w:t xml:space="preserve"> de </w:t>
      </w:r>
      <w:r w:rsidRPr="00A3303E">
        <w:rPr>
          <w:rFonts w:cs="Arial"/>
          <w:u w:val="single"/>
        </w:rPr>
        <w:t>1173 contratos y convenios por liquidar,</w:t>
      </w:r>
      <w:r w:rsidRPr="00E2319F">
        <w:rPr>
          <w:rFonts w:cs="Arial"/>
        </w:rPr>
        <w:t xml:space="preserve"> discriminados de la siguiente forma, según la Regional (se sombrean aquellas regionales que se encuentran en la medición en crítico y en Riesgo para el tercer cuatrimestre de 2017):</w:t>
      </w:r>
    </w:p>
    <w:p w:rsidR="009242B9" w:rsidRPr="00E2319F" w:rsidRDefault="009242B9" w:rsidP="00A3303E">
      <w:pPr>
        <w:spacing w:before="100" w:beforeAutospacing="1" w:after="100" w:afterAutospacing="1" w:line="240" w:lineRule="auto"/>
        <w:jc w:val="center"/>
        <w:rPr>
          <w:rFonts w:cs="Arial"/>
          <w:color w:val="FF0000"/>
        </w:rPr>
      </w:pPr>
      <w:r w:rsidRPr="00E2319F">
        <w:rPr>
          <w:rFonts w:cs="Arial"/>
          <w:noProof/>
          <w:lang w:val="es-CO" w:eastAsia="es-CO"/>
        </w:rPr>
        <w:lastRenderedPageBreak/>
        <w:drawing>
          <wp:inline distT="0" distB="0" distL="0" distR="0" wp14:anchorId="144586BD" wp14:editId="4A4EC9A4">
            <wp:extent cx="4810125" cy="5827896"/>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821291" cy="5841425"/>
                    </a:xfrm>
                    <a:prstGeom prst="rect">
                      <a:avLst/>
                    </a:prstGeom>
                  </pic:spPr>
                </pic:pic>
              </a:graphicData>
            </a:graphic>
          </wp:inline>
        </w:drawing>
      </w:r>
    </w:p>
    <w:p w:rsidR="009242B9" w:rsidRPr="00E2319F" w:rsidRDefault="009242B9" w:rsidP="00637D3D">
      <w:pPr>
        <w:spacing w:before="100" w:beforeAutospacing="1" w:after="100" w:afterAutospacing="1" w:line="240" w:lineRule="auto"/>
        <w:jc w:val="center"/>
        <w:rPr>
          <w:rFonts w:cs="Arial"/>
          <w:sz w:val="20"/>
        </w:rPr>
      </w:pPr>
      <w:r w:rsidRPr="00E2319F">
        <w:rPr>
          <w:rFonts w:cs="Arial"/>
          <w:sz w:val="18"/>
        </w:rPr>
        <w:t>Fuente: Dirección de Contratación ICBF Gestión Poscontractual. Corte: 31/12/2017</w:t>
      </w:r>
    </w:p>
    <w:p w:rsidR="009242B9" w:rsidRDefault="009242B9" w:rsidP="00A44A2B">
      <w:pPr>
        <w:numPr>
          <w:ilvl w:val="0"/>
          <w:numId w:val="77"/>
        </w:numPr>
        <w:spacing w:after="0" w:line="240" w:lineRule="auto"/>
        <w:ind w:left="720"/>
        <w:contextualSpacing/>
        <w:jc w:val="both"/>
        <w:rPr>
          <w:rFonts w:cs="Arial"/>
        </w:rPr>
      </w:pPr>
      <w:r w:rsidRPr="00E2319F">
        <w:rPr>
          <w:rFonts w:cs="Arial"/>
        </w:rPr>
        <w:t>Durante el segundo cuatrimestre (mayo – agosto), las Direcciones Regionales avanzaron en el trámite de liquidación de los contratos a su cargo. De las 33  regionales, 28 lograron un reporte del indicador de liquidaciones en estado “adecuado” y “óptimo”.</w:t>
      </w:r>
    </w:p>
    <w:p w:rsidR="00A3303E" w:rsidRPr="00E2319F" w:rsidRDefault="00A3303E" w:rsidP="00A3303E">
      <w:pPr>
        <w:spacing w:after="0" w:line="240" w:lineRule="auto"/>
        <w:ind w:left="720"/>
        <w:contextualSpacing/>
        <w:jc w:val="both"/>
        <w:rPr>
          <w:rFonts w:cs="Arial"/>
        </w:rPr>
      </w:pPr>
    </w:p>
    <w:p w:rsidR="009242B9" w:rsidRDefault="009242B9" w:rsidP="00A44A2B">
      <w:pPr>
        <w:numPr>
          <w:ilvl w:val="0"/>
          <w:numId w:val="77"/>
        </w:numPr>
        <w:spacing w:after="0" w:line="240" w:lineRule="auto"/>
        <w:ind w:left="720"/>
        <w:contextualSpacing/>
        <w:jc w:val="both"/>
        <w:rPr>
          <w:rFonts w:cs="Arial"/>
        </w:rPr>
      </w:pPr>
      <w:r w:rsidRPr="00E2319F">
        <w:rPr>
          <w:rFonts w:cs="Arial"/>
        </w:rPr>
        <w:t xml:space="preserve">Respecto al uso efectivo de las herramientas y metodologías dispuestas por Colombia Compra Eficiente, el ICBF, en cumplimiento de la normatividad vigente, desplegó acciones a nivel nacional para que desde las Direcciones Regionales se expidieran las órdenes de </w:t>
      </w:r>
      <w:r w:rsidRPr="00E2319F">
        <w:rPr>
          <w:rFonts w:cs="Arial"/>
        </w:rPr>
        <w:lastRenderedPageBreak/>
        <w:t>compra con cargo a los diferentes Instrumentos de Agregación de Demanda, especialmente en lo que corresponde a los Acuerdos Marco de Precios. En este sentido, se gestionaron 253 órdenes de compra para: la adquisición de los SOAT de los vehículos de propiedad del Instituto, el suministro de combustible, la dotación de vestuario para los funcionarios, el servicio de aseo y cafetería, el suministro de tiquetes aéreos, el suministro de papelería, contratación del centro de contacto y los servicios de conectividad y nube privada.</w:t>
      </w:r>
    </w:p>
    <w:p w:rsidR="00A3303E" w:rsidRPr="00E2319F" w:rsidRDefault="00A3303E" w:rsidP="00A3303E">
      <w:pPr>
        <w:spacing w:after="0" w:line="240" w:lineRule="auto"/>
        <w:contextualSpacing/>
        <w:jc w:val="both"/>
        <w:rPr>
          <w:rFonts w:cs="Arial"/>
        </w:rPr>
      </w:pPr>
    </w:p>
    <w:p w:rsidR="009242B9" w:rsidRDefault="009242B9" w:rsidP="00A44A2B">
      <w:pPr>
        <w:numPr>
          <w:ilvl w:val="0"/>
          <w:numId w:val="77"/>
        </w:numPr>
        <w:spacing w:after="0" w:line="240" w:lineRule="auto"/>
        <w:ind w:left="720"/>
        <w:contextualSpacing/>
        <w:jc w:val="both"/>
        <w:rPr>
          <w:rFonts w:cs="Arial"/>
        </w:rPr>
      </w:pPr>
      <w:r w:rsidRPr="00E2319F">
        <w:rPr>
          <w:rFonts w:cs="Arial"/>
        </w:rPr>
        <w:t xml:space="preserve">Se elaboró el cronograma para adelantar la contratación directa con vigencias futuras y presupuesto vigencias 2018 en coordinación con las demás áreas del ICBF, teniendo en cuenta la restricción prevista en el artículo 33 de la Ley 966 de 2005, </w:t>
      </w:r>
      <w:r w:rsidR="00A3303E">
        <w:rPr>
          <w:rFonts w:cs="Arial"/>
        </w:rPr>
        <w:t>el cual establece lo siguiente:</w:t>
      </w:r>
    </w:p>
    <w:p w:rsidR="00A3303E" w:rsidRPr="00E2319F" w:rsidRDefault="00A3303E" w:rsidP="00A3303E">
      <w:pPr>
        <w:spacing w:after="0" w:line="240" w:lineRule="auto"/>
        <w:contextualSpacing/>
        <w:jc w:val="both"/>
        <w:rPr>
          <w:rFonts w:cs="Arial"/>
        </w:rPr>
      </w:pPr>
    </w:p>
    <w:p w:rsidR="009242B9" w:rsidRDefault="009242B9" w:rsidP="00A44A2B">
      <w:pPr>
        <w:numPr>
          <w:ilvl w:val="1"/>
          <w:numId w:val="77"/>
        </w:numPr>
        <w:shd w:val="clear" w:color="auto" w:fill="FFFFFF"/>
        <w:spacing w:before="100" w:beforeAutospacing="1" w:after="100" w:afterAutospacing="1" w:line="240" w:lineRule="auto"/>
        <w:contextualSpacing/>
        <w:jc w:val="both"/>
        <w:rPr>
          <w:rFonts w:cs="Arial"/>
        </w:rPr>
      </w:pPr>
      <w:r w:rsidRPr="00E2319F">
        <w:rPr>
          <w:rFonts w:cs="Arial"/>
        </w:rPr>
        <w:t>“</w:t>
      </w:r>
      <w:r w:rsidRPr="00E2319F">
        <w:rPr>
          <w:rFonts w:cs="Arial"/>
          <w:i/>
        </w:rPr>
        <w:t>Durante los cuatro (4) meses anteriores a la elección presidencial y hasta la realización de la elección en la segunda vuelta, si fuere el caso, queda prohibida la contratación directa por parte de todos los entes del Estado. Queda exceptuado lo referente a la defensa y seguridad del Estado, los contratos de crédito público, los requeridos para cubrir las emergencias educativas, sanitarias y desastres, así como también los utilizados para la reconstrucción de vías, puentes, carreteras, infraestructura energética y de comunicaciones, en caso de que hayan sido objeto de atentados, acciones terroristas, de sastres naturales o casos de fuerza mayor, y los que deban realizar las entidades sanitarias y hospitalarias. Adicionalmente se exceptúan aquellos gastos inaplazables e imprescindibles que afecten el normal funcionamiento de la administración.</w:t>
      </w:r>
      <w:r w:rsidRPr="00E2319F">
        <w:rPr>
          <w:rFonts w:cs="Arial"/>
        </w:rPr>
        <w:t>”</w:t>
      </w:r>
    </w:p>
    <w:p w:rsidR="00A3303E" w:rsidRPr="00E2319F" w:rsidRDefault="00A3303E" w:rsidP="00A3303E">
      <w:pPr>
        <w:shd w:val="clear" w:color="auto" w:fill="FFFFFF"/>
        <w:spacing w:before="100" w:beforeAutospacing="1" w:after="100" w:afterAutospacing="1" w:line="240" w:lineRule="auto"/>
        <w:ind w:left="1080"/>
        <w:contextualSpacing/>
        <w:jc w:val="both"/>
        <w:rPr>
          <w:rFonts w:cs="Arial"/>
        </w:rPr>
      </w:pPr>
    </w:p>
    <w:p w:rsidR="009242B9" w:rsidRDefault="009242B9" w:rsidP="00A44A2B">
      <w:pPr>
        <w:numPr>
          <w:ilvl w:val="0"/>
          <w:numId w:val="77"/>
        </w:numPr>
        <w:shd w:val="clear" w:color="auto" w:fill="FFFFFF"/>
        <w:spacing w:before="100" w:beforeAutospacing="1" w:after="100" w:afterAutospacing="1" w:line="240" w:lineRule="auto"/>
        <w:contextualSpacing/>
        <w:jc w:val="both"/>
        <w:rPr>
          <w:rFonts w:cs="Arial"/>
        </w:rPr>
      </w:pPr>
      <w:r w:rsidRPr="00E2319F">
        <w:rPr>
          <w:rFonts w:cs="Arial"/>
        </w:rPr>
        <w:t>Se realizó un plan de trabajo con las áreas del ICBF con el fin de adelantar todas las necesarias para celebrar los contratos de prestación de servicios y de apoyo a la gestión para la vigencia 2018. Ello teniendo en cuenta la restricción para la celebración de este tipo de contratos establecida en el artículo 33 de la Ley 966 de 2005.</w:t>
      </w:r>
    </w:p>
    <w:p w:rsidR="00A3303E" w:rsidRPr="00E2319F" w:rsidRDefault="00A3303E" w:rsidP="00A3303E">
      <w:pPr>
        <w:shd w:val="clear" w:color="auto" w:fill="FFFFFF"/>
        <w:spacing w:before="100" w:beforeAutospacing="1" w:after="100" w:afterAutospacing="1" w:line="240" w:lineRule="auto"/>
        <w:ind w:left="360"/>
        <w:contextualSpacing/>
        <w:jc w:val="both"/>
        <w:rPr>
          <w:rFonts w:cs="Arial"/>
        </w:rPr>
      </w:pPr>
    </w:p>
    <w:p w:rsidR="009242B9" w:rsidRDefault="009242B9" w:rsidP="00A44A2B">
      <w:pPr>
        <w:numPr>
          <w:ilvl w:val="0"/>
          <w:numId w:val="77"/>
        </w:numPr>
        <w:shd w:val="clear" w:color="auto" w:fill="FFFFFF"/>
        <w:spacing w:before="100" w:beforeAutospacing="1" w:after="100" w:afterAutospacing="1" w:line="240" w:lineRule="auto"/>
        <w:contextualSpacing/>
        <w:jc w:val="both"/>
        <w:rPr>
          <w:rFonts w:cs="Arial"/>
        </w:rPr>
      </w:pPr>
      <w:r w:rsidRPr="00E2319F">
        <w:rPr>
          <w:rFonts w:cs="Arial"/>
        </w:rPr>
        <w:t>Se realizó un plan de trabajo con las áreas del ICBF con la finalidad de adelantar todas las actuaciones que permitan celebrar los contratos de aporte, convenios de cooperación internacional y de asociación para la vigencia 2018. Esto teniendo en cuenta la restricción para la celebración de este tipo de contratos establecida en el artículo 33 de la Ley 966 de 2005.</w:t>
      </w:r>
    </w:p>
    <w:p w:rsidR="00A3303E" w:rsidRPr="00E2319F" w:rsidRDefault="00A3303E" w:rsidP="00A3303E">
      <w:pPr>
        <w:shd w:val="clear" w:color="auto" w:fill="FFFFFF"/>
        <w:spacing w:before="100" w:beforeAutospacing="1" w:after="100" w:afterAutospacing="1" w:line="240" w:lineRule="auto"/>
        <w:contextualSpacing/>
        <w:jc w:val="both"/>
        <w:rPr>
          <w:rFonts w:cs="Arial"/>
        </w:rPr>
      </w:pPr>
    </w:p>
    <w:p w:rsidR="009242B9" w:rsidRPr="00E2319F" w:rsidRDefault="009242B9" w:rsidP="00A44A2B">
      <w:pPr>
        <w:numPr>
          <w:ilvl w:val="0"/>
          <w:numId w:val="77"/>
        </w:numPr>
        <w:shd w:val="clear" w:color="auto" w:fill="FFFFFF"/>
        <w:spacing w:before="100" w:beforeAutospacing="1" w:after="100" w:afterAutospacing="1" w:line="240" w:lineRule="auto"/>
        <w:contextualSpacing/>
        <w:jc w:val="both"/>
        <w:rPr>
          <w:rFonts w:cs="Arial"/>
        </w:rPr>
      </w:pPr>
      <w:r w:rsidRPr="00E2319F">
        <w:rPr>
          <w:rFonts w:cs="Arial"/>
        </w:rPr>
        <w:t xml:space="preserve">Se logró la implementación del Decreto 092 de 2017, por medio del cual “se reglamenta la contratación con entidades privadas sin ánimo de lucro, a través de la puesta en marcha de un proceso competitivo para la celebración de convenios de asociación”.    </w:t>
      </w:r>
    </w:p>
    <w:p w:rsidR="00A3303E" w:rsidRPr="00637D3D" w:rsidRDefault="009242B9" w:rsidP="00637D3D">
      <w:pPr>
        <w:pStyle w:val="Prrafodelista"/>
        <w:keepNext/>
        <w:keepLines/>
        <w:numPr>
          <w:ilvl w:val="1"/>
          <w:numId w:val="139"/>
        </w:numPr>
        <w:spacing w:before="40" w:after="0" w:line="600" w:lineRule="auto"/>
        <w:jc w:val="both"/>
        <w:outlineLvl w:val="1"/>
        <w:rPr>
          <w:rFonts w:eastAsiaTheme="majorEastAsia" w:cs="Arial"/>
          <w:b/>
        </w:rPr>
      </w:pPr>
      <w:bookmarkStart w:id="187" w:name="_Toc505183115"/>
      <w:r w:rsidRPr="00E2319F">
        <w:rPr>
          <w:rFonts w:eastAsiaTheme="majorEastAsia" w:cs="Arial"/>
          <w:b/>
        </w:rPr>
        <w:t>LOGROS 2017</w:t>
      </w:r>
      <w:bookmarkEnd w:id="187"/>
    </w:p>
    <w:p w:rsidR="009242B9" w:rsidRDefault="009242B9" w:rsidP="00A44A2B">
      <w:pPr>
        <w:numPr>
          <w:ilvl w:val="0"/>
          <w:numId w:val="51"/>
        </w:numPr>
        <w:spacing w:after="0" w:line="240" w:lineRule="auto"/>
        <w:ind w:left="720"/>
        <w:contextualSpacing/>
        <w:jc w:val="both"/>
        <w:rPr>
          <w:rFonts w:cs="Arial"/>
        </w:rPr>
      </w:pPr>
      <w:r w:rsidRPr="00E2319F">
        <w:rPr>
          <w:rFonts w:cs="Arial"/>
        </w:rPr>
        <w:t xml:space="preserve">Para efectos de la gestión contractual y cómo logro de la Dirección de Contratación se proyectaron y estandarizaron, con la revisión y apoyo del asesor externo, los pliegos de condiciones para las diferentes modalidades contempladas en la ley 80 de 1993, 1150 de </w:t>
      </w:r>
      <w:r w:rsidRPr="00E2319F">
        <w:rPr>
          <w:rFonts w:cs="Arial"/>
        </w:rPr>
        <w:lastRenderedPageBreak/>
        <w:t>2007 y decreto 1082. Estos pliegos también se ajustaron con base en las recomendaciones de las guías y modelos de Colombia Compra Eficiente.</w:t>
      </w:r>
    </w:p>
    <w:p w:rsidR="00A3303E" w:rsidRPr="00E2319F" w:rsidRDefault="00A3303E" w:rsidP="00A3303E">
      <w:pPr>
        <w:spacing w:after="0" w:line="240" w:lineRule="auto"/>
        <w:ind w:left="720"/>
        <w:contextualSpacing/>
        <w:jc w:val="both"/>
        <w:rPr>
          <w:rFonts w:cs="Arial"/>
        </w:rPr>
      </w:pPr>
    </w:p>
    <w:p w:rsidR="00270D03" w:rsidRDefault="00270D03" w:rsidP="00A44A2B">
      <w:pPr>
        <w:numPr>
          <w:ilvl w:val="0"/>
          <w:numId w:val="51"/>
        </w:numPr>
        <w:spacing w:after="0" w:line="240" w:lineRule="auto"/>
        <w:ind w:left="720"/>
        <w:contextualSpacing/>
        <w:jc w:val="both"/>
        <w:rPr>
          <w:rFonts w:cs="Arial"/>
        </w:rPr>
      </w:pPr>
      <w:r w:rsidRPr="00E2319F">
        <w:rPr>
          <w:rFonts w:cs="Arial"/>
        </w:rPr>
        <w:t>Finalmente Se generó la estandarización de criterios institucionales y claridad frente a situaciones particulares durante la gestión contractual, mediante el uso del canal de Consultas Regionales a 31 de diciem</w:t>
      </w:r>
      <w:r w:rsidR="00A3303E">
        <w:rPr>
          <w:rFonts w:cs="Arial"/>
        </w:rPr>
        <w:t>bre de 2017 se gestionaron 503.</w:t>
      </w:r>
    </w:p>
    <w:p w:rsidR="00A3303E" w:rsidRPr="00E2319F" w:rsidRDefault="00A3303E" w:rsidP="00A3303E">
      <w:pPr>
        <w:spacing w:after="0" w:line="240" w:lineRule="auto"/>
        <w:contextualSpacing/>
        <w:jc w:val="both"/>
        <w:rPr>
          <w:rFonts w:cs="Arial"/>
        </w:rPr>
      </w:pPr>
    </w:p>
    <w:p w:rsidR="009242B9" w:rsidRDefault="009242B9" w:rsidP="00A44A2B">
      <w:pPr>
        <w:numPr>
          <w:ilvl w:val="0"/>
          <w:numId w:val="51"/>
        </w:numPr>
        <w:spacing w:after="0" w:line="240" w:lineRule="auto"/>
        <w:ind w:left="720"/>
        <w:contextualSpacing/>
        <w:jc w:val="both"/>
        <w:rPr>
          <w:rFonts w:cs="Arial"/>
        </w:rPr>
      </w:pPr>
      <w:r w:rsidRPr="00E2319F">
        <w:rPr>
          <w:rFonts w:cs="Arial"/>
        </w:rPr>
        <w:t>Mayor disposición y compromiso por parte de algunas de las Direcciones Regionales del Instituto, frente al inicio y desarrollo los procesos sancionatorios a su cargo, conforme los principios constitucionales y legales que sustentan el ejercicio de la facultad sancionatoria de la administración.</w:t>
      </w:r>
    </w:p>
    <w:p w:rsidR="00A3303E" w:rsidRPr="00E2319F" w:rsidRDefault="00A3303E" w:rsidP="00A3303E">
      <w:pPr>
        <w:spacing w:after="0" w:line="240" w:lineRule="auto"/>
        <w:contextualSpacing/>
        <w:jc w:val="both"/>
        <w:rPr>
          <w:rFonts w:cs="Arial"/>
        </w:rPr>
      </w:pPr>
    </w:p>
    <w:p w:rsidR="009242B9" w:rsidRDefault="009242B9" w:rsidP="00A44A2B">
      <w:pPr>
        <w:numPr>
          <w:ilvl w:val="0"/>
          <w:numId w:val="51"/>
        </w:numPr>
        <w:spacing w:after="0" w:line="240" w:lineRule="auto"/>
        <w:ind w:left="720"/>
        <w:contextualSpacing/>
        <w:jc w:val="both"/>
        <w:rPr>
          <w:rFonts w:cs="Arial"/>
        </w:rPr>
      </w:pPr>
      <w:r w:rsidRPr="00E2319F">
        <w:rPr>
          <w:rFonts w:cs="Arial"/>
        </w:rPr>
        <w:t xml:space="preserve">Mayor disposición y compromiso por parte de las áreas de la sede de la Dirección General, que tienen a su cargo la supervisión de contratos, frente a su obligación de presentar informes de presunto incumplimiento que permitan adelantar en debida forma los procedimientos administrativos sancionatorios contractuales, de conformidad con los requisitos previstos en el artículo 86 de la Ley 1474 de 2011, para lo cual, se ha socializado el formato denominado </w:t>
      </w:r>
      <w:r w:rsidRPr="00A3303E">
        <w:rPr>
          <w:rFonts w:cs="Arial"/>
        </w:rPr>
        <w:t>“F1.P14.ABS Formato Informe de Inicio Proceso Administrativo Sancionatorio v1”,</w:t>
      </w:r>
      <w:r w:rsidRPr="00E2319F">
        <w:rPr>
          <w:rFonts w:cs="Arial"/>
        </w:rPr>
        <w:t xml:space="preserve"> al igual que el acompañamiento jurídico prestado por la Dirección en la estructuración de dichos informes</w:t>
      </w:r>
      <w:r w:rsidRPr="00A3303E">
        <w:rPr>
          <w:rFonts w:cs="Arial"/>
        </w:rPr>
        <w:t>.</w:t>
      </w:r>
    </w:p>
    <w:p w:rsidR="00A3303E" w:rsidRPr="00E2319F" w:rsidRDefault="00A3303E" w:rsidP="00A3303E">
      <w:pPr>
        <w:spacing w:after="0" w:line="240" w:lineRule="auto"/>
        <w:contextualSpacing/>
        <w:jc w:val="both"/>
        <w:rPr>
          <w:rFonts w:cs="Arial"/>
        </w:rPr>
      </w:pPr>
    </w:p>
    <w:p w:rsidR="009242B9" w:rsidRDefault="009242B9" w:rsidP="00A44A2B">
      <w:pPr>
        <w:numPr>
          <w:ilvl w:val="0"/>
          <w:numId w:val="51"/>
        </w:numPr>
        <w:spacing w:after="0" w:line="240" w:lineRule="auto"/>
        <w:ind w:left="720"/>
        <w:contextualSpacing/>
        <w:jc w:val="both"/>
        <w:rPr>
          <w:rFonts w:cs="Arial"/>
        </w:rPr>
      </w:pPr>
      <w:r w:rsidRPr="00E2319F">
        <w:rPr>
          <w:rFonts w:cs="Arial"/>
        </w:rPr>
        <w:t>Se realizó el diagnóstico psicosocial a los diferentes centros que operan la modalidad de discapacidad, a través de una consultoría, con lo cual se logrará fortalecer l</w:t>
      </w:r>
      <w:r w:rsidR="00A3303E">
        <w:rPr>
          <w:rFonts w:cs="Arial"/>
        </w:rPr>
        <w:t>a operación de dicha Modalidad.</w:t>
      </w:r>
    </w:p>
    <w:p w:rsidR="00A3303E" w:rsidRPr="00E2319F" w:rsidRDefault="00A3303E" w:rsidP="00A3303E">
      <w:pPr>
        <w:spacing w:after="0" w:line="240" w:lineRule="auto"/>
        <w:contextualSpacing/>
        <w:jc w:val="both"/>
        <w:rPr>
          <w:rFonts w:cs="Arial"/>
        </w:rPr>
      </w:pPr>
    </w:p>
    <w:p w:rsidR="009242B9" w:rsidRDefault="009242B9" w:rsidP="00A44A2B">
      <w:pPr>
        <w:numPr>
          <w:ilvl w:val="0"/>
          <w:numId w:val="51"/>
        </w:numPr>
        <w:spacing w:after="0" w:line="240" w:lineRule="auto"/>
        <w:ind w:left="720"/>
        <w:contextualSpacing/>
        <w:jc w:val="both"/>
        <w:rPr>
          <w:rFonts w:cs="Arial"/>
        </w:rPr>
      </w:pPr>
      <w:r w:rsidRPr="00E2319F">
        <w:rPr>
          <w:rFonts w:cs="Arial"/>
        </w:rPr>
        <w:t xml:space="preserve">Se adelantó el proceso de actualización de la información financiera reportada por los operadores que se encuentran habilitados en los bancos nacionales de oferentes vigentes. Esta actividad se logró con la expedición de los actos administrativos, a través de los cuales, se actualiza la información financiera y la respuesta a los recursos de reposición </w:t>
      </w:r>
      <w:r w:rsidR="00A3303E">
        <w:rPr>
          <w:rFonts w:cs="Arial"/>
        </w:rPr>
        <w:t>presentados contra estos actos.</w:t>
      </w:r>
    </w:p>
    <w:p w:rsidR="00A3303E" w:rsidRPr="00E2319F" w:rsidRDefault="00A3303E" w:rsidP="00A3303E">
      <w:pPr>
        <w:spacing w:after="0" w:line="240" w:lineRule="auto"/>
        <w:contextualSpacing/>
        <w:jc w:val="both"/>
        <w:rPr>
          <w:rFonts w:cs="Arial"/>
        </w:rPr>
      </w:pPr>
    </w:p>
    <w:p w:rsidR="009242B9" w:rsidRDefault="009242B9" w:rsidP="00A44A2B">
      <w:pPr>
        <w:numPr>
          <w:ilvl w:val="0"/>
          <w:numId w:val="51"/>
        </w:numPr>
        <w:spacing w:after="0" w:line="240" w:lineRule="auto"/>
        <w:ind w:left="720"/>
        <w:contextualSpacing/>
        <w:jc w:val="both"/>
        <w:rPr>
          <w:rFonts w:cs="Arial"/>
        </w:rPr>
      </w:pPr>
      <w:r w:rsidRPr="00A3303E">
        <w:rPr>
          <w:rFonts w:cs="Arial"/>
        </w:rPr>
        <w:t>Se unificaron y socializaron los criterios para la estructuración de estudios previos, con el fin de adelantar la contratación de prestación de servicios, contratos de aporte, contratos interadministrativos y convenios de asociación. Esta socialización se ha realizado tanto a las áreas internas de la Sede de la Dirección General como a las Direcciones Regionales.</w:t>
      </w:r>
    </w:p>
    <w:p w:rsidR="00A3303E" w:rsidRPr="00E2319F" w:rsidRDefault="00A3303E" w:rsidP="00A3303E">
      <w:pPr>
        <w:spacing w:after="0" w:line="240" w:lineRule="auto"/>
        <w:contextualSpacing/>
        <w:jc w:val="both"/>
        <w:rPr>
          <w:rFonts w:cs="Arial"/>
        </w:rPr>
      </w:pPr>
    </w:p>
    <w:p w:rsidR="009242B9" w:rsidRDefault="009242B9" w:rsidP="00A44A2B">
      <w:pPr>
        <w:numPr>
          <w:ilvl w:val="0"/>
          <w:numId w:val="51"/>
        </w:numPr>
        <w:spacing w:after="0" w:line="240" w:lineRule="auto"/>
        <w:ind w:left="720"/>
        <w:contextualSpacing/>
        <w:jc w:val="both"/>
        <w:rPr>
          <w:rFonts w:cs="Arial"/>
        </w:rPr>
      </w:pPr>
      <w:r w:rsidRPr="00E2319F">
        <w:rPr>
          <w:rFonts w:cs="Arial"/>
        </w:rPr>
        <w:t>En el marco del sistema de gestión documental, se actualizaron todos los formatos a cargo de la Dirección de Contratación, con el fin de mejorar la gestión del área y cumplir los requerimientos normativos vigentes.</w:t>
      </w:r>
    </w:p>
    <w:p w:rsidR="00A3303E" w:rsidRPr="00E2319F" w:rsidRDefault="00A3303E" w:rsidP="00A3303E">
      <w:pPr>
        <w:spacing w:after="0" w:line="240" w:lineRule="auto"/>
        <w:contextualSpacing/>
        <w:jc w:val="both"/>
        <w:rPr>
          <w:rFonts w:cs="Arial"/>
        </w:rPr>
      </w:pPr>
    </w:p>
    <w:p w:rsidR="009242B9" w:rsidRPr="00E2319F" w:rsidRDefault="009242B9" w:rsidP="00A44A2B">
      <w:pPr>
        <w:numPr>
          <w:ilvl w:val="0"/>
          <w:numId w:val="51"/>
        </w:numPr>
        <w:spacing w:after="0" w:line="240" w:lineRule="auto"/>
        <w:ind w:left="720"/>
        <w:contextualSpacing/>
        <w:jc w:val="both"/>
        <w:rPr>
          <w:rFonts w:cs="Arial"/>
        </w:rPr>
      </w:pPr>
      <w:r w:rsidRPr="00E2319F">
        <w:rPr>
          <w:rFonts w:cs="Arial"/>
        </w:rPr>
        <w:t>La Dirección de Contratación en compañía de la Dirección de Información y Tecnología, inició la puesta en producción del aplicativo “Sistema de información de gestión de contratos”, herramienta transversal a todas las áreas del ICBF, que permitirá obtener información unificada a nivel nacional, ya que, actualmente se encuentra en funcionamiento únicamente en la Sede de la Dirección General.</w:t>
      </w:r>
    </w:p>
    <w:p w:rsidR="009242B9" w:rsidRDefault="009242B9" w:rsidP="00A44A2B">
      <w:pPr>
        <w:numPr>
          <w:ilvl w:val="0"/>
          <w:numId w:val="51"/>
        </w:numPr>
        <w:spacing w:after="0" w:line="240" w:lineRule="auto"/>
        <w:ind w:left="720"/>
        <w:contextualSpacing/>
        <w:jc w:val="both"/>
        <w:rPr>
          <w:rFonts w:cs="Arial"/>
        </w:rPr>
      </w:pPr>
      <w:r w:rsidRPr="00E2319F">
        <w:rPr>
          <w:rFonts w:cs="Arial"/>
        </w:rPr>
        <w:lastRenderedPageBreak/>
        <w:t>Mayor disposición y compromiso por parte de las áreas de la Sede de la Dirección General y de algunas Direcciones Regionales del Instituto, frente al trámite de liquidaciones, así como de actas de finalización y cierre financiero, de acuerdo con las disposiciones legales y el Manual de Contratación Vigente. Esta actividad fue impulsada a través de los pares (abogados enlace designados por la Dirección de Contratación) en liquidaciones para las distintas áreas de la Sede de la Dirección General</w:t>
      </w:r>
      <w:r w:rsidR="00A3303E">
        <w:rPr>
          <w:rFonts w:cs="Arial"/>
        </w:rPr>
        <w:t>.</w:t>
      </w:r>
    </w:p>
    <w:p w:rsidR="00A3303E" w:rsidRPr="00E2319F" w:rsidRDefault="00A3303E" w:rsidP="00A3303E">
      <w:pPr>
        <w:spacing w:after="0" w:line="240" w:lineRule="auto"/>
        <w:ind w:left="720"/>
        <w:contextualSpacing/>
        <w:jc w:val="both"/>
        <w:rPr>
          <w:rFonts w:cs="Arial"/>
        </w:rPr>
      </w:pPr>
    </w:p>
    <w:p w:rsidR="009242B9" w:rsidRDefault="009242B9" w:rsidP="00A44A2B">
      <w:pPr>
        <w:numPr>
          <w:ilvl w:val="0"/>
          <w:numId w:val="51"/>
        </w:numPr>
        <w:spacing w:after="0" w:line="240" w:lineRule="auto"/>
        <w:ind w:left="720"/>
        <w:contextualSpacing/>
        <w:jc w:val="both"/>
        <w:rPr>
          <w:rFonts w:cs="Arial"/>
        </w:rPr>
      </w:pPr>
      <w:r w:rsidRPr="00E2319F">
        <w:rPr>
          <w:rFonts w:cs="Arial"/>
        </w:rPr>
        <w:t>Se intensificaron las actividades de seguimiento y acompañamiento a las Direcciones Regionales y áreas de la Sede de la Dirección General (capacitaciones, videoconferencias, informes, contacto permanente, entre otros).</w:t>
      </w:r>
    </w:p>
    <w:p w:rsidR="00A3303E" w:rsidRPr="00E2319F" w:rsidRDefault="00A3303E" w:rsidP="00A3303E">
      <w:pPr>
        <w:spacing w:after="0" w:line="240" w:lineRule="auto"/>
        <w:contextualSpacing/>
        <w:jc w:val="both"/>
        <w:rPr>
          <w:rFonts w:cs="Arial"/>
        </w:rPr>
      </w:pPr>
    </w:p>
    <w:p w:rsidR="009242B9" w:rsidRDefault="009242B9" w:rsidP="00A44A2B">
      <w:pPr>
        <w:numPr>
          <w:ilvl w:val="0"/>
          <w:numId w:val="51"/>
        </w:numPr>
        <w:spacing w:after="0" w:line="240" w:lineRule="auto"/>
        <w:ind w:left="720"/>
        <w:contextualSpacing/>
        <w:jc w:val="both"/>
        <w:rPr>
          <w:rFonts w:cs="Arial"/>
        </w:rPr>
      </w:pPr>
      <w:r w:rsidRPr="00E2319F">
        <w:rPr>
          <w:rFonts w:cs="Arial"/>
        </w:rPr>
        <w:t>Se implementó el Sistema Institucional de Trámites Contractuales (SITCO). Este sistema permitió: 1) consolidar en una sola herramienta, el registro de la gestión contractual a nivel nacional, y 2) contar con una herramienta con mayor confiabilidad en el dato y rapidez, para dar respuesta a los requerimientos internos y externos sobre los procesos de contratación.</w:t>
      </w:r>
    </w:p>
    <w:p w:rsidR="00A3303E" w:rsidRPr="00E2319F" w:rsidRDefault="00A3303E" w:rsidP="00A3303E">
      <w:pPr>
        <w:spacing w:after="0" w:line="240" w:lineRule="auto"/>
        <w:contextualSpacing/>
        <w:jc w:val="both"/>
        <w:rPr>
          <w:rFonts w:cs="Arial"/>
        </w:rPr>
      </w:pPr>
    </w:p>
    <w:p w:rsidR="009242B9" w:rsidRDefault="009242B9" w:rsidP="00A44A2B">
      <w:pPr>
        <w:numPr>
          <w:ilvl w:val="0"/>
          <w:numId w:val="51"/>
        </w:numPr>
        <w:spacing w:after="0" w:line="240" w:lineRule="auto"/>
        <w:ind w:left="720"/>
        <w:contextualSpacing/>
        <w:jc w:val="both"/>
        <w:rPr>
          <w:rFonts w:cs="Arial"/>
        </w:rPr>
      </w:pPr>
      <w:r w:rsidRPr="00E2319F">
        <w:rPr>
          <w:rFonts w:cs="Arial"/>
        </w:rPr>
        <w:t>En lo que refiere a la custodia de la información contractual para lo corrido de la actual vigencia se adelantaron actividades de digitalización de los expedientes correspondientes a las vigencias 2015 a 2017 en donde el porcentaje de avance para el año 2015, es de un 100%, para el año 2016 de un 98% y para la vigencia 2017 es de un 95%</w:t>
      </w:r>
      <w:r w:rsidR="00A3303E">
        <w:rPr>
          <w:rFonts w:cs="Arial"/>
        </w:rPr>
        <w:t>.</w:t>
      </w:r>
    </w:p>
    <w:p w:rsidR="00A3303E" w:rsidRPr="00E2319F" w:rsidRDefault="00A3303E" w:rsidP="00A3303E">
      <w:pPr>
        <w:spacing w:after="0" w:line="240" w:lineRule="auto"/>
        <w:contextualSpacing/>
        <w:jc w:val="both"/>
        <w:rPr>
          <w:rFonts w:cs="Arial"/>
        </w:rPr>
      </w:pPr>
    </w:p>
    <w:p w:rsidR="009242B9" w:rsidRPr="00E2319F" w:rsidRDefault="009242B9" w:rsidP="00A44A2B">
      <w:pPr>
        <w:numPr>
          <w:ilvl w:val="0"/>
          <w:numId w:val="51"/>
        </w:numPr>
        <w:spacing w:after="0" w:line="240" w:lineRule="auto"/>
        <w:ind w:left="720"/>
        <w:contextualSpacing/>
        <w:jc w:val="both"/>
        <w:rPr>
          <w:rFonts w:cs="Arial"/>
        </w:rPr>
      </w:pPr>
      <w:r w:rsidRPr="00E2319F">
        <w:rPr>
          <w:rFonts w:cs="Arial"/>
        </w:rPr>
        <w:t xml:space="preserve">En cuanto a intervención archivística del archivo de gestión de la Dirección de Contratación de la Sede Nacional (organización, foliación, rotulación, encarpetado y punteo) con corte a 30 de diciembre de 2017 la intervención total de gestión para los archivos de la vigencia 2017 es de un 95%, para el 2016 es de 98% y para el 2015 del 87%. </w:t>
      </w:r>
    </w:p>
    <w:p w:rsidR="00ED335C" w:rsidRPr="00E2319F" w:rsidRDefault="00ED335C" w:rsidP="00ED335C">
      <w:pPr>
        <w:pStyle w:val="Prrafodelista"/>
        <w:spacing w:before="100" w:beforeAutospacing="1" w:after="100" w:afterAutospacing="1" w:line="240" w:lineRule="auto"/>
        <w:ind w:left="360"/>
        <w:contextualSpacing/>
        <w:jc w:val="both"/>
        <w:rPr>
          <w:rFonts w:cs="Arial"/>
          <w:color w:val="FF0000"/>
        </w:rPr>
      </w:pPr>
    </w:p>
    <w:p w:rsidR="00F45237" w:rsidRPr="00637D3D" w:rsidRDefault="009242B9" w:rsidP="00637D3D">
      <w:pPr>
        <w:pStyle w:val="Prrafodelista"/>
        <w:keepNext/>
        <w:keepLines/>
        <w:numPr>
          <w:ilvl w:val="1"/>
          <w:numId w:val="139"/>
        </w:numPr>
        <w:spacing w:before="40" w:after="0" w:line="600" w:lineRule="auto"/>
        <w:jc w:val="both"/>
        <w:outlineLvl w:val="1"/>
        <w:rPr>
          <w:rFonts w:eastAsiaTheme="majorEastAsia" w:cs="Arial"/>
          <w:b/>
        </w:rPr>
      </w:pPr>
      <w:bookmarkStart w:id="188" w:name="_Toc505183116"/>
      <w:r w:rsidRPr="00E2319F">
        <w:rPr>
          <w:rFonts w:eastAsiaTheme="majorEastAsia" w:cs="Arial"/>
          <w:b/>
        </w:rPr>
        <w:t>RETOS 2018:</w:t>
      </w:r>
      <w:bookmarkEnd w:id="188"/>
    </w:p>
    <w:p w:rsidR="009242B9" w:rsidRDefault="009242B9" w:rsidP="00A44A2B">
      <w:pPr>
        <w:numPr>
          <w:ilvl w:val="0"/>
          <w:numId w:val="51"/>
        </w:numPr>
        <w:spacing w:after="0" w:line="240" w:lineRule="auto"/>
        <w:ind w:left="720"/>
        <w:contextualSpacing/>
        <w:jc w:val="both"/>
        <w:rPr>
          <w:rFonts w:cs="Arial"/>
        </w:rPr>
      </w:pPr>
      <w:r w:rsidRPr="00E2319F">
        <w:rPr>
          <w:rFonts w:cs="Arial"/>
        </w:rPr>
        <w:t>Desarrollar y/o implementar un mayor número de herramientas de seguimiento y control frente a los procesos transversales a la gestión contractual.</w:t>
      </w:r>
    </w:p>
    <w:p w:rsidR="00F45237" w:rsidRPr="00E2319F" w:rsidRDefault="00F45237" w:rsidP="00F45237">
      <w:pPr>
        <w:spacing w:after="0" w:line="240" w:lineRule="auto"/>
        <w:ind w:left="720"/>
        <w:contextualSpacing/>
        <w:jc w:val="both"/>
        <w:rPr>
          <w:rFonts w:cs="Arial"/>
        </w:rPr>
      </w:pPr>
    </w:p>
    <w:p w:rsidR="009242B9" w:rsidRDefault="009242B9" w:rsidP="00A44A2B">
      <w:pPr>
        <w:numPr>
          <w:ilvl w:val="0"/>
          <w:numId w:val="51"/>
        </w:numPr>
        <w:spacing w:after="0" w:line="240" w:lineRule="auto"/>
        <w:ind w:left="720"/>
        <w:contextualSpacing/>
        <w:jc w:val="both"/>
        <w:rPr>
          <w:rFonts w:cs="Arial"/>
        </w:rPr>
      </w:pPr>
      <w:r w:rsidRPr="00E2319F">
        <w:rPr>
          <w:rFonts w:cs="Arial"/>
        </w:rPr>
        <w:t>Establecer un cronograma de capacitaciones presenciales y virtuales, así como capacitaciones generales para todas las Direcciones Regionales y áreas de la Sede Nacional, con el objetivo de ampliar el conocimiento e impartir línea procedimental en lo que respecta a los procesos de contratación directa.</w:t>
      </w:r>
    </w:p>
    <w:p w:rsidR="00F45237" w:rsidRPr="00E2319F" w:rsidRDefault="00F45237" w:rsidP="00F45237">
      <w:pPr>
        <w:spacing w:after="0" w:line="240" w:lineRule="auto"/>
        <w:contextualSpacing/>
        <w:jc w:val="both"/>
        <w:rPr>
          <w:rFonts w:cs="Arial"/>
        </w:rPr>
      </w:pPr>
    </w:p>
    <w:p w:rsidR="00270D03" w:rsidRDefault="009242B9" w:rsidP="00A44A2B">
      <w:pPr>
        <w:numPr>
          <w:ilvl w:val="0"/>
          <w:numId w:val="51"/>
        </w:numPr>
        <w:spacing w:after="0" w:line="240" w:lineRule="auto"/>
        <w:ind w:left="720"/>
        <w:contextualSpacing/>
        <w:jc w:val="both"/>
        <w:rPr>
          <w:rFonts w:cs="Arial"/>
        </w:rPr>
      </w:pPr>
      <w:r w:rsidRPr="00E2319F">
        <w:rPr>
          <w:rFonts w:cs="Arial"/>
        </w:rPr>
        <w:t>Erradicar la costumbre de trabajar sobre documentos elaborados y, en cambio, lograr que las distintas personas que elaboran los documentos de la actividad contractual consulten las versiones disponibles en la Intranet.</w:t>
      </w:r>
    </w:p>
    <w:p w:rsidR="00F45237" w:rsidRPr="00E2319F" w:rsidRDefault="00F45237" w:rsidP="00F45237">
      <w:pPr>
        <w:spacing w:after="0" w:line="240" w:lineRule="auto"/>
        <w:contextualSpacing/>
        <w:jc w:val="both"/>
        <w:rPr>
          <w:rFonts w:cs="Arial"/>
        </w:rPr>
      </w:pPr>
    </w:p>
    <w:p w:rsidR="009242B9" w:rsidRDefault="009242B9" w:rsidP="00A44A2B">
      <w:pPr>
        <w:numPr>
          <w:ilvl w:val="0"/>
          <w:numId w:val="51"/>
        </w:numPr>
        <w:spacing w:after="0" w:line="240" w:lineRule="auto"/>
        <w:ind w:left="720"/>
        <w:contextualSpacing/>
        <w:jc w:val="both"/>
        <w:rPr>
          <w:rFonts w:cs="Arial"/>
        </w:rPr>
      </w:pPr>
      <w:r w:rsidRPr="00F45237">
        <w:rPr>
          <w:rFonts w:cs="Arial"/>
        </w:rPr>
        <w:t xml:space="preserve">Realizar capacitaciones a nivel Regional en la actividad contractual, en las áreas críticas identificadas, como son la justificación y la necesidad contenidos en los estudios previos, </w:t>
      </w:r>
      <w:r w:rsidRPr="00F45237">
        <w:rPr>
          <w:rFonts w:cs="Arial"/>
        </w:rPr>
        <w:lastRenderedPageBreak/>
        <w:t xml:space="preserve">verificación de las </w:t>
      </w:r>
      <w:r w:rsidR="00F45237" w:rsidRPr="00F45237">
        <w:rPr>
          <w:rFonts w:cs="Arial"/>
        </w:rPr>
        <w:t>experiencias, la</w:t>
      </w:r>
      <w:r w:rsidRPr="00F45237">
        <w:rPr>
          <w:rFonts w:cs="Arial"/>
        </w:rPr>
        <w:t xml:space="preserve"> determinación de la idoneidad; y fortalecimiento en la actividad de supervisión.</w:t>
      </w:r>
      <w:r w:rsidRPr="00E2319F">
        <w:rPr>
          <w:rFonts w:cs="Arial"/>
        </w:rPr>
        <w:t>Lograr que las áreas cumplan con los términos previstos en el Manual de Contratación. Esto incluye antelación para radicar sus solicitudes a la Dirección de Contratación.</w:t>
      </w:r>
    </w:p>
    <w:p w:rsidR="00F45237" w:rsidRPr="00E2319F" w:rsidRDefault="00F45237" w:rsidP="00F45237">
      <w:pPr>
        <w:spacing w:after="0" w:line="240" w:lineRule="auto"/>
        <w:contextualSpacing/>
        <w:jc w:val="both"/>
        <w:rPr>
          <w:rFonts w:cs="Arial"/>
        </w:rPr>
      </w:pPr>
    </w:p>
    <w:p w:rsidR="009242B9" w:rsidRDefault="009242B9" w:rsidP="00A44A2B">
      <w:pPr>
        <w:numPr>
          <w:ilvl w:val="0"/>
          <w:numId w:val="51"/>
        </w:numPr>
        <w:spacing w:after="0" w:line="240" w:lineRule="auto"/>
        <w:ind w:left="720"/>
        <w:contextualSpacing/>
        <w:jc w:val="both"/>
        <w:rPr>
          <w:rFonts w:cs="Arial"/>
        </w:rPr>
      </w:pPr>
      <w:r w:rsidRPr="00E2319F">
        <w:rPr>
          <w:rFonts w:cs="Arial"/>
        </w:rPr>
        <w:t xml:space="preserve">Mantener el indicador de liquidaciones, de actas de finalización y cierre en la categoría de </w:t>
      </w:r>
      <w:r w:rsidRPr="00F45237">
        <w:rPr>
          <w:rFonts w:cs="Arial"/>
        </w:rPr>
        <w:t>óptimo</w:t>
      </w:r>
      <w:r w:rsidR="00F45237">
        <w:rPr>
          <w:rFonts w:cs="Arial"/>
        </w:rPr>
        <w:t xml:space="preserve"> durante 2018.</w:t>
      </w:r>
    </w:p>
    <w:p w:rsidR="00F45237" w:rsidRPr="00E2319F" w:rsidRDefault="00F45237" w:rsidP="00F45237">
      <w:pPr>
        <w:spacing w:after="0" w:line="240" w:lineRule="auto"/>
        <w:contextualSpacing/>
        <w:jc w:val="both"/>
        <w:rPr>
          <w:rFonts w:cs="Arial"/>
        </w:rPr>
      </w:pPr>
    </w:p>
    <w:p w:rsidR="009242B9" w:rsidRDefault="009242B9" w:rsidP="00A44A2B">
      <w:pPr>
        <w:numPr>
          <w:ilvl w:val="0"/>
          <w:numId w:val="51"/>
        </w:numPr>
        <w:spacing w:after="0" w:line="240" w:lineRule="auto"/>
        <w:ind w:left="720"/>
        <w:contextualSpacing/>
        <w:jc w:val="both"/>
        <w:rPr>
          <w:rFonts w:cs="Arial"/>
        </w:rPr>
      </w:pPr>
      <w:r w:rsidRPr="00E2319F">
        <w:rPr>
          <w:rFonts w:cs="Arial"/>
        </w:rPr>
        <w:t>Reducir al máximo el riesgo de pérdida de competencia del Instituto, para liquidar, a través del fortalecimiento, normalización y seguimiento oportuno de la base de datos de “Estado de Contratos” y acompañamiento de acuerdo al plan de pares de liquidaciones implementado.</w:t>
      </w:r>
    </w:p>
    <w:p w:rsidR="00F45237" w:rsidRPr="00E2319F" w:rsidRDefault="00F45237" w:rsidP="00F45237">
      <w:pPr>
        <w:spacing w:after="0" w:line="240" w:lineRule="auto"/>
        <w:contextualSpacing/>
        <w:jc w:val="both"/>
        <w:rPr>
          <w:rFonts w:cs="Arial"/>
        </w:rPr>
      </w:pPr>
    </w:p>
    <w:p w:rsidR="009242B9" w:rsidRDefault="009242B9" w:rsidP="00A44A2B">
      <w:pPr>
        <w:numPr>
          <w:ilvl w:val="0"/>
          <w:numId w:val="51"/>
        </w:numPr>
        <w:spacing w:after="0" w:line="240" w:lineRule="auto"/>
        <w:ind w:left="720"/>
        <w:contextualSpacing/>
        <w:jc w:val="both"/>
        <w:rPr>
          <w:rFonts w:cs="Arial"/>
        </w:rPr>
      </w:pPr>
      <w:r w:rsidRPr="00E2319F">
        <w:rPr>
          <w:rFonts w:cs="Arial"/>
        </w:rPr>
        <w:t>Intervención total del archivo de gestión de la vigencia 2017.</w:t>
      </w:r>
    </w:p>
    <w:p w:rsidR="00F45237" w:rsidRPr="00E2319F" w:rsidRDefault="00F45237" w:rsidP="00F45237">
      <w:pPr>
        <w:spacing w:after="0" w:line="240" w:lineRule="auto"/>
        <w:contextualSpacing/>
        <w:jc w:val="both"/>
        <w:rPr>
          <w:rFonts w:cs="Arial"/>
        </w:rPr>
      </w:pPr>
    </w:p>
    <w:p w:rsidR="009242B9" w:rsidRDefault="009242B9" w:rsidP="00A44A2B">
      <w:pPr>
        <w:numPr>
          <w:ilvl w:val="0"/>
          <w:numId w:val="51"/>
        </w:numPr>
        <w:spacing w:after="0" w:line="240" w:lineRule="auto"/>
        <w:ind w:left="720"/>
        <w:contextualSpacing/>
        <w:jc w:val="both"/>
        <w:rPr>
          <w:rFonts w:cs="Arial"/>
        </w:rPr>
      </w:pPr>
      <w:r w:rsidRPr="00E2319F">
        <w:rPr>
          <w:rFonts w:cs="Arial"/>
        </w:rPr>
        <w:t>Implementación de la funcionalidad de migración de datos contractuales de</w:t>
      </w:r>
      <w:r w:rsidR="00F45237">
        <w:rPr>
          <w:rFonts w:cs="Arial"/>
        </w:rPr>
        <w:t xml:space="preserve"> anteriores vigencias en SITCO.</w:t>
      </w:r>
    </w:p>
    <w:p w:rsidR="00F45237" w:rsidRPr="00E2319F" w:rsidRDefault="00F45237" w:rsidP="00F45237">
      <w:pPr>
        <w:spacing w:after="0" w:line="240" w:lineRule="auto"/>
        <w:contextualSpacing/>
        <w:jc w:val="both"/>
        <w:rPr>
          <w:rFonts w:cs="Arial"/>
        </w:rPr>
      </w:pPr>
    </w:p>
    <w:p w:rsidR="009242B9" w:rsidRDefault="009242B9" w:rsidP="00A44A2B">
      <w:pPr>
        <w:numPr>
          <w:ilvl w:val="0"/>
          <w:numId w:val="51"/>
        </w:numPr>
        <w:spacing w:after="0" w:line="240" w:lineRule="auto"/>
        <w:ind w:left="720"/>
        <w:contextualSpacing/>
        <w:jc w:val="both"/>
        <w:rPr>
          <w:rFonts w:cs="Arial"/>
        </w:rPr>
      </w:pPr>
      <w:r w:rsidRPr="00E2319F">
        <w:rPr>
          <w:rFonts w:cs="Arial"/>
        </w:rPr>
        <w:t>Lograr la migración del 100% de la información contractual de la vigencia 2016 a nivel nacional, correspondiente a la normalización de los datos que reposan en el FUC (20.729). contratos)</w:t>
      </w:r>
      <w:r w:rsidR="00F45237">
        <w:rPr>
          <w:rFonts w:cs="Arial"/>
        </w:rPr>
        <w:t>.</w:t>
      </w:r>
    </w:p>
    <w:p w:rsidR="00F45237" w:rsidRPr="00E2319F" w:rsidRDefault="00F45237" w:rsidP="00F45237">
      <w:pPr>
        <w:spacing w:after="0" w:line="240" w:lineRule="auto"/>
        <w:contextualSpacing/>
        <w:jc w:val="both"/>
        <w:rPr>
          <w:rFonts w:cs="Arial"/>
        </w:rPr>
      </w:pPr>
    </w:p>
    <w:p w:rsidR="009242B9" w:rsidRPr="00E2319F" w:rsidRDefault="009242B9" w:rsidP="00A44A2B">
      <w:pPr>
        <w:numPr>
          <w:ilvl w:val="0"/>
          <w:numId w:val="51"/>
        </w:numPr>
        <w:spacing w:after="0" w:line="240" w:lineRule="auto"/>
        <w:ind w:left="720"/>
        <w:contextualSpacing/>
        <w:jc w:val="both"/>
        <w:rPr>
          <w:rFonts w:cs="Arial"/>
        </w:rPr>
      </w:pPr>
      <w:r w:rsidRPr="00E2319F">
        <w:rPr>
          <w:rFonts w:cs="Arial"/>
        </w:rPr>
        <w:t>Consolidar el registro y actualización del SITCO por parte de las Sedes Regionales, y establecer funcionalidades dentro de la herramienta que la constituyan como apoyo a la actividad de supervisión al interior de la Entidad.</w:t>
      </w:r>
    </w:p>
    <w:p w:rsidR="009242B9" w:rsidRPr="00E2319F" w:rsidRDefault="009242B9" w:rsidP="009242B9">
      <w:pPr>
        <w:spacing w:line="240" w:lineRule="auto"/>
        <w:jc w:val="both"/>
        <w:rPr>
          <w:rFonts w:cs="Arial"/>
        </w:rPr>
      </w:pPr>
      <w:r w:rsidRPr="00E2319F">
        <w:rPr>
          <w:rFonts w:cs="Arial"/>
        </w:rPr>
        <w:br w:type="page"/>
      </w:r>
    </w:p>
    <w:p w:rsidR="002F4309" w:rsidRPr="00E2319F" w:rsidRDefault="00922734" w:rsidP="00A44A2B">
      <w:pPr>
        <w:pStyle w:val="Ttulo1"/>
        <w:numPr>
          <w:ilvl w:val="0"/>
          <w:numId w:val="139"/>
        </w:numPr>
        <w:rPr>
          <w:rFonts w:cs="Arial"/>
        </w:rPr>
      </w:pPr>
      <w:bookmarkStart w:id="189" w:name="_Toc505183117"/>
      <w:r w:rsidRPr="00E2319F">
        <w:rPr>
          <w:rFonts w:cs="Arial"/>
        </w:rPr>
        <w:lastRenderedPageBreak/>
        <w:t>G</w:t>
      </w:r>
      <w:r w:rsidR="00747F2F" w:rsidRPr="00E2319F">
        <w:rPr>
          <w:rFonts w:cs="Arial"/>
        </w:rPr>
        <w:t>ESTIÓN DE COOPERACIÓN Y CONVENIOS</w:t>
      </w:r>
      <w:bookmarkEnd w:id="189"/>
      <w:r w:rsidR="002F4309" w:rsidRPr="00E2319F">
        <w:rPr>
          <w:rFonts w:cs="Arial"/>
        </w:rPr>
        <w:t xml:space="preserve"> </w:t>
      </w:r>
    </w:p>
    <w:bookmarkEnd w:id="186"/>
    <w:p w:rsidR="00241EB6" w:rsidRPr="00E2319F" w:rsidRDefault="00241EB6" w:rsidP="00241EB6">
      <w:pPr>
        <w:spacing w:before="100" w:beforeAutospacing="1" w:after="100" w:afterAutospacing="1" w:line="240" w:lineRule="auto"/>
        <w:jc w:val="both"/>
        <w:rPr>
          <w:rFonts w:cs="Arial"/>
        </w:rPr>
      </w:pPr>
      <w:r w:rsidRPr="00E2319F">
        <w:rPr>
          <w:rFonts w:cs="Arial"/>
        </w:rPr>
        <w:t>La Oficina de Cooperación y Convenios mediante la gestión de recursos técnicos, financieros y de transferencia de conocimiento</w:t>
      </w:r>
      <w:r w:rsidR="005E2501" w:rsidRPr="00E2319F">
        <w:rPr>
          <w:rFonts w:cs="Arial"/>
        </w:rPr>
        <w:t>, emitidos</w:t>
      </w:r>
      <w:r w:rsidRPr="00E2319F">
        <w:rPr>
          <w:rFonts w:cs="Arial"/>
        </w:rPr>
        <w:t xml:space="preserve"> por parte de organizaciones nacionales e internacionales, públicas y privadas, aporta al fortalecimiento de la capacidad institucional para contribuir con la promoción, protección y garantía de los derechos de los niños, niñas, adolescentes y familias beneficiarias. Esto, de la mano con las prioridades institucionales destinadas a apoyar programas, proyectos e iniciativas del ICBF.</w:t>
      </w:r>
    </w:p>
    <w:p w:rsidR="005E2501" w:rsidRPr="00E2319F" w:rsidRDefault="00241EB6" w:rsidP="005E2501">
      <w:pPr>
        <w:spacing w:before="100" w:beforeAutospacing="1" w:after="100" w:afterAutospacing="1" w:line="240" w:lineRule="auto"/>
        <w:jc w:val="both"/>
        <w:rPr>
          <w:rFonts w:cs="Arial"/>
          <w:sz w:val="18"/>
        </w:rPr>
      </w:pPr>
      <w:r w:rsidRPr="00E2319F">
        <w:rPr>
          <w:rFonts w:cs="Arial"/>
          <w:noProof/>
          <w:lang w:val="es-CO" w:eastAsia="es-CO"/>
        </w:rPr>
        <w:drawing>
          <wp:anchor distT="0" distB="0" distL="114300" distR="114300" simplePos="0" relativeHeight="251806208" behindDoc="1" locked="0" layoutInCell="1" allowOverlap="1" wp14:anchorId="4B9A6F45" wp14:editId="7EAB89F9">
            <wp:simplePos x="0" y="0"/>
            <wp:positionH relativeFrom="margin">
              <wp:posOffset>291465</wp:posOffset>
            </wp:positionH>
            <wp:positionV relativeFrom="paragraph">
              <wp:posOffset>119380</wp:posOffset>
            </wp:positionV>
            <wp:extent cx="5545455" cy="3291840"/>
            <wp:effectExtent l="0" t="0" r="0" b="60960"/>
            <wp:wrapTight wrapText="bothSides">
              <wp:wrapPolygon edited="0">
                <wp:start x="0" y="0"/>
                <wp:lineTo x="0" y="21875"/>
                <wp:lineTo x="7865" y="21875"/>
                <wp:lineTo x="21518" y="21375"/>
                <wp:lineTo x="21518" y="16000"/>
                <wp:lineTo x="7940" y="16000"/>
                <wp:lineTo x="21518" y="15375"/>
                <wp:lineTo x="21518" y="6125"/>
                <wp:lineTo x="7865" y="6000"/>
                <wp:lineTo x="21518" y="5500"/>
                <wp:lineTo x="21518" y="125"/>
                <wp:lineTo x="7791" y="0"/>
                <wp:lineTo x="0" y="0"/>
              </wp:wrapPolygon>
            </wp:wrapTight>
            <wp:docPr id="43" name="Diagrama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14:sizeRelH relativeFrom="margin">
              <wp14:pctWidth>0</wp14:pctWidth>
            </wp14:sizeRelH>
            <wp14:sizeRelV relativeFrom="margin">
              <wp14:pctHeight>0</wp14:pctHeight>
            </wp14:sizeRelV>
          </wp:anchor>
        </w:drawing>
      </w:r>
    </w:p>
    <w:p w:rsidR="00241EB6" w:rsidRPr="00E2319F" w:rsidRDefault="00241EB6" w:rsidP="00F45237">
      <w:pPr>
        <w:spacing w:before="100" w:beforeAutospacing="1" w:after="100" w:afterAutospacing="1" w:line="240" w:lineRule="auto"/>
        <w:jc w:val="center"/>
        <w:rPr>
          <w:rFonts w:cs="Arial"/>
          <w:sz w:val="18"/>
        </w:rPr>
      </w:pPr>
      <w:r w:rsidRPr="00E2319F">
        <w:rPr>
          <w:rFonts w:cs="Arial"/>
          <w:b/>
          <w:sz w:val="16"/>
          <w:szCs w:val="20"/>
        </w:rPr>
        <w:t>Fuente:</w:t>
      </w:r>
      <w:r w:rsidRPr="00E2319F">
        <w:rPr>
          <w:rFonts w:cs="Arial"/>
          <w:sz w:val="16"/>
          <w:szCs w:val="20"/>
        </w:rPr>
        <w:t xml:space="preserve"> Oficina de Cooperación y Convenios, Instituto Colombiano de Bienestar Familiar (ICBF), 2017.</w:t>
      </w:r>
    </w:p>
    <w:p w:rsidR="00241EB6" w:rsidRPr="00E2319F" w:rsidRDefault="00241EB6" w:rsidP="00241EB6">
      <w:pPr>
        <w:spacing w:before="100" w:beforeAutospacing="1" w:after="100" w:afterAutospacing="1" w:line="240" w:lineRule="auto"/>
        <w:jc w:val="both"/>
        <w:rPr>
          <w:rFonts w:cs="Arial"/>
        </w:rPr>
      </w:pPr>
      <w:r w:rsidRPr="00E2319F">
        <w:rPr>
          <w:rFonts w:cs="Arial"/>
          <w:noProof/>
          <w:lang w:val="es-CO" w:eastAsia="es-CO"/>
        </w:rPr>
        <w:drawing>
          <wp:inline distT="0" distB="0" distL="0" distR="0" wp14:anchorId="15D9027B" wp14:editId="4140E740">
            <wp:extent cx="5972175" cy="181888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72175" cy="1818882"/>
                    </a:xfrm>
                    <a:prstGeom prst="rect">
                      <a:avLst/>
                    </a:prstGeom>
                    <a:noFill/>
                  </pic:spPr>
                </pic:pic>
              </a:graphicData>
            </a:graphic>
          </wp:inline>
        </w:drawing>
      </w:r>
    </w:p>
    <w:p w:rsidR="00241EB6" w:rsidRPr="00E2319F" w:rsidRDefault="00241EB6" w:rsidP="00F45237">
      <w:pPr>
        <w:spacing w:after="100" w:afterAutospacing="1" w:line="240" w:lineRule="auto"/>
        <w:jc w:val="center"/>
        <w:rPr>
          <w:rFonts w:cs="Arial"/>
          <w:sz w:val="16"/>
        </w:rPr>
      </w:pPr>
      <w:r w:rsidRPr="00E2319F">
        <w:rPr>
          <w:rFonts w:cs="Arial"/>
          <w:sz w:val="16"/>
        </w:rPr>
        <w:t>Fuente: Sistema de Información de Coop</w:t>
      </w:r>
      <w:r w:rsidR="00F45237">
        <w:rPr>
          <w:rFonts w:cs="Arial"/>
          <w:sz w:val="16"/>
        </w:rPr>
        <w:t>eración – SICO, corte 31 de d</w:t>
      </w:r>
      <w:r w:rsidRPr="00E2319F">
        <w:rPr>
          <w:rFonts w:cs="Arial"/>
          <w:sz w:val="16"/>
        </w:rPr>
        <w:t>iciembre de 2017</w:t>
      </w:r>
    </w:p>
    <w:p w:rsidR="00637D3D" w:rsidRDefault="00241EB6" w:rsidP="00637D3D">
      <w:pPr>
        <w:pStyle w:val="Ttulo2"/>
        <w:numPr>
          <w:ilvl w:val="1"/>
          <w:numId w:val="139"/>
        </w:numPr>
        <w:rPr>
          <w:rFonts w:cs="Arial"/>
          <w:b/>
        </w:rPr>
      </w:pPr>
      <w:bookmarkStart w:id="190" w:name="_Toc505183118"/>
      <w:r w:rsidRPr="00E2319F">
        <w:rPr>
          <w:rFonts w:cs="Arial"/>
          <w:b/>
        </w:rPr>
        <w:lastRenderedPageBreak/>
        <w:t>LOGROS 2017</w:t>
      </w:r>
      <w:bookmarkEnd w:id="190"/>
    </w:p>
    <w:p w:rsidR="00637D3D" w:rsidRPr="00637D3D" w:rsidRDefault="00637D3D" w:rsidP="00637D3D"/>
    <w:p w:rsidR="00241EB6" w:rsidRDefault="00241EB6" w:rsidP="00A44A2B">
      <w:pPr>
        <w:numPr>
          <w:ilvl w:val="0"/>
          <w:numId w:val="51"/>
        </w:numPr>
        <w:spacing w:after="0" w:line="240" w:lineRule="auto"/>
        <w:ind w:left="720"/>
        <w:contextualSpacing/>
        <w:jc w:val="both"/>
        <w:rPr>
          <w:rFonts w:cs="Arial"/>
        </w:rPr>
      </w:pPr>
      <w:r w:rsidRPr="00E2319F">
        <w:rPr>
          <w:rFonts w:cs="Arial"/>
        </w:rPr>
        <w:t xml:space="preserve">La Oficina de Cooperación y Convenios gestionó $25.608 millones de pesos orientados a apoyar las prioridades institucionales del ICBF, cumpliendo con el 112% de la </w:t>
      </w:r>
      <w:r w:rsidR="00F45237">
        <w:rPr>
          <w:rFonts w:cs="Arial"/>
        </w:rPr>
        <w:t>meta prevista para el año 2017.</w:t>
      </w:r>
    </w:p>
    <w:p w:rsidR="00F45237" w:rsidRPr="00E2319F" w:rsidRDefault="00F45237" w:rsidP="00F45237">
      <w:pPr>
        <w:spacing w:after="0" w:line="240" w:lineRule="auto"/>
        <w:ind w:left="360"/>
        <w:contextualSpacing/>
        <w:jc w:val="both"/>
        <w:rPr>
          <w:rFonts w:cs="Arial"/>
        </w:rPr>
      </w:pPr>
    </w:p>
    <w:p w:rsidR="00241EB6" w:rsidRDefault="00241EB6" w:rsidP="00A44A2B">
      <w:pPr>
        <w:numPr>
          <w:ilvl w:val="0"/>
          <w:numId w:val="51"/>
        </w:numPr>
        <w:spacing w:after="0" w:line="240" w:lineRule="auto"/>
        <w:ind w:left="720"/>
        <w:contextualSpacing/>
        <w:jc w:val="both"/>
        <w:rPr>
          <w:rFonts w:cs="Arial"/>
        </w:rPr>
      </w:pPr>
      <w:r w:rsidRPr="00E2319F">
        <w:rPr>
          <w:rFonts w:cs="Arial"/>
        </w:rPr>
        <w:t>Suscribió 61 alianzas con empresas, fundaciones empresariales, organizaciones del tercer sector, cooperantes bilaterales y multilaterales.</w:t>
      </w:r>
    </w:p>
    <w:p w:rsidR="00F45237" w:rsidRPr="00F45237" w:rsidRDefault="00F45237" w:rsidP="00F45237">
      <w:pPr>
        <w:spacing w:after="0" w:line="240" w:lineRule="auto"/>
        <w:ind w:left="720"/>
        <w:contextualSpacing/>
        <w:jc w:val="both"/>
        <w:rPr>
          <w:rFonts w:cs="Arial"/>
        </w:rPr>
      </w:pPr>
    </w:p>
    <w:p w:rsidR="00241EB6" w:rsidRDefault="00241EB6" w:rsidP="00A44A2B">
      <w:pPr>
        <w:numPr>
          <w:ilvl w:val="0"/>
          <w:numId w:val="51"/>
        </w:numPr>
        <w:spacing w:after="0" w:line="240" w:lineRule="auto"/>
        <w:ind w:left="720"/>
        <w:contextualSpacing/>
        <w:jc w:val="both"/>
        <w:rPr>
          <w:rFonts w:cs="Arial"/>
        </w:rPr>
      </w:pPr>
      <w:r w:rsidRPr="00E2319F">
        <w:rPr>
          <w:rFonts w:cs="Arial"/>
        </w:rPr>
        <w:t>Mediante la gestión de recursos de cooperación con el sector privado logró beneficiar 65.750 niños, niñas y adolescentes bajo protección del ICBF.</w:t>
      </w:r>
    </w:p>
    <w:p w:rsidR="00F45237" w:rsidRPr="00E2319F" w:rsidRDefault="00F45237" w:rsidP="00F45237">
      <w:pPr>
        <w:spacing w:after="0" w:line="240" w:lineRule="auto"/>
        <w:contextualSpacing/>
        <w:jc w:val="both"/>
        <w:rPr>
          <w:rFonts w:cs="Arial"/>
        </w:rPr>
      </w:pPr>
    </w:p>
    <w:p w:rsidR="00241EB6" w:rsidRDefault="00241EB6" w:rsidP="00A44A2B">
      <w:pPr>
        <w:numPr>
          <w:ilvl w:val="0"/>
          <w:numId w:val="51"/>
        </w:numPr>
        <w:spacing w:after="0" w:line="240" w:lineRule="auto"/>
        <w:ind w:left="720"/>
        <w:contextualSpacing/>
        <w:jc w:val="both"/>
        <w:rPr>
          <w:rFonts w:cs="Arial"/>
        </w:rPr>
      </w:pPr>
      <w:r w:rsidRPr="00E2319F">
        <w:rPr>
          <w:rFonts w:cs="Arial"/>
        </w:rPr>
        <w:t>Implementó la Estrategia de Articulación del ICBF con el apoyo de la Cooperación en 7 departamentos: Amazonas, Santander, San Andrés, Tolima, Huila, Casanare y Caquetá. Además, realizó seguimiento y acompañamiento a la estrategia de cooperación en 18 departamentos: Antioquia, Bolívar, Boyacá, Chocó, Cauca, Córdoba, La Guajira, Nariño, Putumayo, Valle del Cauca, Meta, Atlántico, Magdalena, Cundinamarca, Norte de Santander, Quindío, Risaralda y Caldas.</w:t>
      </w:r>
    </w:p>
    <w:p w:rsidR="00F45237" w:rsidRPr="00E2319F" w:rsidRDefault="00F45237" w:rsidP="00F45237">
      <w:pPr>
        <w:spacing w:after="0" w:line="240" w:lineRule="auto"/>
        <w:contextualSpacing/>
        <w:jc w:val="both"/>
        <w:rPr>
          <w:rFonts w:cs="Arial"/>
        </w:rPr>
      </w:pPr>
    </w:p>
    <w:p w:rsidR="00241EB6" w:rsidRDefault="00241EB6" w:rsidP="00A44A2B">
      <w:pPr>
        <w:numPr>
          <w:ilvl w:val="0"/>
          <w:numId w:val="51"/>
        </w:numPr>
        <w:spacing w:after="0" w:line="240" w:lineRule="auto"/>
        <w:ind w:left="720"/>
        <w:contextualSpacing/>
        <w:jc w:val="both"/>
        <w:rPr>
          <w:rFonts w:cs="Arial"/>
        </w:rPr>
      </w:pPr>
      <w:r w:rsidRPr="00E2319F">
        <w:rPr>
          <w:rFonts w:cs="Arial"/>
        </w:rPr>
        <w:t>Atendió los compromisos contemplados en acuerdos internacionales y respondió 29 solicitudes de entidades y organismos nacionales e internacionales relacionadas con actividades propias de la misión del ICBF.</w:t>
      </w:r>
    </w:p>
    <w:p w:rsidR="00F45237" w:rsidRPr="00E2319F" w:rsidRDefault="00F45237" w:rsidP="00F45237">
      <w:pPr>
        <w:spacing w:after="0" w:line="240" w:lineRule="auto"/>
        <w:contextualSpacing/>
        <w:jc w:val="both"/>
        <w:rPr>
          <w:rFonts w:cs="Arial"/>
        </w:rPr>
      </w:pPr>
    </w:p>
    <w:p w:rsidR="00241EB6" w:rsidRDefault="00241EB6" w:rsidP="00A44A2B">
      <w:pPr>
        <w:numPr>
          <w:ilvl w:val="0"/>
          <w:numId w:val="51"/>
        </w:numPr>
        <w:spacing w:after="0" w:line="240" w:lineRule="auto"/>
        <w:ind w:left="720"/>
        <w:contextualSpacing/>
        <w:jc w:val="both"/>
        <w:rPr>
          <w:rFonts w:cs="Arial"/>
        </w:rPr>
      </w:pPr>
      <w:r w:rsidRPr="00E2319F">
        <w:rPr>
          <w:rFonts w:cs="Arial"/>
        </w:rPr>
        <w:t>Trabajó articuladamente con el Ministerio de Relaciones Exteriores y la Agencia Presidencial de Cooperación Internacional de Colombia (APC Colombia), con el fin de fortalecer la cooperación y la gestión de alianzas con fuentes oficiales y no oficiales, públicas y privadas.</w:t>
      </w:r>
    </w:p>
    <w:p w:rsidR="00F45237" w:rsidRPr="00E2319F" w:rsidRDefault="00F45237" w:rsidP="00F45237">
      <w:pPr>
        <w:spacing w:after="0" w:line="240" w:lineRule="auto"/>
        <w:contextualSpacing/>
        <w:jc w:val="both"/>
        <w:rPr>
          <w:rFonts w:cs="Arial"/>
        </w:rPr>
      </w:pPr>
    </w:p>
    <w:p w:rsidR="00241EB6" w:rsidRDefault="00241EB6" w:rsidP="00A44A2B">
      <w:pPr>
        <w:numPr>
          <w:ilvl w:val="0"/>
          <w:numId w:val="51"/>
        </w:numPr>
        <w:spacing w:after="0" w:line="240" w:lineRule="auto"/>
        <w:ind w:left="720"/>
        <w:contextualSpacing/>
        <w:jc w:val="both"/>
        <w:rPr>
          <w:rFonts w:cs="Arial"/>
        </w:rPr>
      </w:pPr>
      <w:r w:rsidRPr="00E2319F">
        <w:rPr>
          <w:rFonts w:cs="Arial"/>
        </w:rPr>
        <w:t>Realizó seguimiento a las recomendaciones del Comité de los Derechos del Niño y el reporte de las actividades 2015 y 2017, así como a los resultados y efectos alcanzados hasta el momento.</w:t>
      </w:r>
    </w:p>
    <w:p w:rsidR="00F45237" w:rsidRPr="00E2319F" w:rsidRDefault="00F45237" w:rsidP="00F45237">
      <w:pPr>
        <w:spacing w:after="0" w:line="240" w:lineRule="auto"/>
        <w:contextualSpacing/>
        <w:jc w:val="both"/>
        <w:rPr>
          <w:rFonts w:cs="Arial"/>
        </w:rPr>
      </w:pPr>
    </w:p>
    <w:p w:rsidR="00241EB6" w:rsidRDefault="00241EB6" w:rsidP="00A44A2B">
      <w:pPr>
        <w:numPr>
          <w:ilvl w:val="0"/>
          <w:numId w:val="51"/>
        </w:numPr>
        <w:spacing w:after="0" w:line="240" w:lineRule="auto"/>
        <w:ind w:left="720"/>
        <w:contextualSpacing/>
        <w:jc w:val="both"/>
        <w:rPr>
          <w:rFonts w:cs="Arial"/>
        </w:rPr>
      </w:pPr>
      <w:r w:rsidRPr="00E2319F">
        <w:rPr>
          <w:rFonts w:cs="Arial"/>
        </w:rPr>
        <w:t xml:space="preserve">Desarrolló acciones, iniciativas y proyectos de Cooperación Sur- Sur, en las que prevalecieron alianzas estratégicas y diálogos horizontales. Se atendieron las siguientes temáticas: </w:t>
      </w:r>
    </w:p>
    <w:p w:rsidR="00F45237" w:rsidRPr="00E2319F" w:rsidRDefault="00F45237" w:rsidP="00F45237">
      <w:pPr>
        <w:spacing w:after="0" w:line="240" w:lineRule="auto"/>
        <w:contextualSpacing/>
        <w:jc w:val="both"/>
        <w:rPr>
          <w:rFonts w:cs="Arial"/>
        </w:rPr>
      </w:pPr>
    </w:p>
    <w:tbl>
      <w:tblPr>
        <w:tblW w:w="8789"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240"/>
        <w:gridCol w:w="1312"/>
        <w:gridCol w:w="2977"/>
        <w:gridCol w:w="3260"/>
      </w:tblGrid>
      <w:tr w:rsidR="00241EB6" w:rsidRPr="00F45237" w:rsidTr="004712AD">
        <w:trPr>
          <w:trHeight w:val="20"/>
          <w:jc w:val="center"/>
        </w:trPr>
        <w:tc>
          <w:tcPr>
            <w:tcW w:w="1240" w:type="dxa"/>
            <w:shd w:val="clear" w:color="auto" w:fill="76923C"/>
            <w:vAlign w:val="center"/>
            <w:hideMark/>
          </w:tcPr>
          <w:p w:rsidR="00241EB6" w:rsidRPr="00F45237" w:rsidRDefault="00241EB6" w:rsidP="00E50157">
            <w:pPr>
              <w:spacing w:after="0" w:line="240" w:lineRule="auto"/>
              <w:jc w:val="center"/>
              <w:rPr>
                <w:rFonts w:eastAsia="Times New Roman" w:cs="Arial"/>
                <w:b/>
                <w:color w:val="FFFFFF" w:themeColor="background1"/>
                <w:sz w:val="18"/>
                <w:szCs w:val="18"/>
                <w:lang w:val="es-CO" w:eastAsia="es-CO"/>
              </w:rPr>
            </w:pPr>
            <w:r w:rsidRPr="00F45237">
              <w:rPr>
                <w:rFonts w:eastAsia="Times New Roman" w:cs="Arial"/>
                <w:b/>
                <w:color w:val="FFFFFF" w:themeColor="background1"/>
                <w:sz w:val="18"/>
                <w:szCs w:val="18"/>
                <w:lang w:val="es-CO" w:eastAsia="es-CO"/>
              </w:rPr>
              <w:t>País</w:t>
            </w:r>
          </w:p>
        </w:tc>
        <w:tc>
          <w:tcPr>
            <w:tcW w:w="1312" w:type="dxa"/>
            <w:shd w:val="clear" w:color="auto" w:fill="76923C"/>
            <w:vAlign w:val="center"/>
            <w:hideMark/>
          </w:tcPr>
          <w:p w:rsidR="00241EB6" w:rsidRPr="00F45237" w:rsidRDefault="00241EB6" w:rsidP="00E50157">
            <w:pPr>
              <w:spacing w:after="0" w:line="240" w:lineRule="auto"/>
              <w:jc w:val="center"/>
              <w:rPr>
                <w:rFonts w:eastAsia="Times New Roman" w:cs="Arial"/>
                <w:b/>
                <w:color w:val="FFFFFF" w:themeColor="background1"/>
                <w:sz w:val="18"/>
                <w:szCs w:val="18"/>
                <w:lang w:val="es-CO" w:eastAsia="es-CO"/>
              </w:rPr>
            </w:pPr>
            <w:r w:rsidRPr="00F45237">
              <w:rPr>
                <w:rFonts w:eastAsia="Times New Roman" w:cs="Arial"/>
                <w:b/>
                <w:color w:val="FFFFFF" w:themeColor="background1"/>
                <w:sz w:val="18"/>
                <w:szCs w:val="18"/>
                <w:lang w:val="es-CO" w:eastAsia="es-CO"/>
              </w:rPr>
              <w:t>Marco</w:t>
            </w:r>
          </w:p>
        </w:tc>
        <w:tc>
          <w:tcPr>
            <w:tcW w:w="2977" w:type="dxa"/>
            <w:shd w:val="clear" w:color="auto" w:fill="76923C"/>
            <w:vAlign w:val="center"/>
            <w:hideMark/>
          </w:tcPr>
          <w:p w:rsidR="00241EB6" w:rsidRPr="00F45237" w:rsidRDefault="00241EB6" w:rsidP="00E50157">
            <w:pPr>
              <w:spacing w:after="0" w:line="240" w:lineRule="auto"/>
              <w:jc w:val="center"/>
              <w:rPr>
                <w:rFonts w:eastAsia="Times New Roman" w:cs="Arial"/>
                <w:b/>
                <w:color w:val="FFFFFF" w:themeColor="background1"/>
                <w:sz w:val="18"/>
                <w:szCs w:val="18"/>
                <w:lang w:val="es-CO" w:eastAsia="es-CO"/>
              </w:rPr>
            </w:pPr>
            <w:r w:rsidRPr="00F45237">
              <w:rPr>
                <w:rFonts w:eastAsia="Times New Roman" w:cs="Arial"/>
                <w:b/>
                <w:color w:val="FFFFFF" w:themeColor="background1"/>
                <w:sz w:val="18"/>
                <w:szCs w:val="18"/>
                <w:lang w:val="es-CO" w:eastAsia="es-CO"/>
              </w:rPr>
              <w:t>Acción, iniciativa o proyecto de Cooperación Sur - Sur</w:t>
            </w:r>
          </w:p>
        </w:tc>
        <w:tc>
          <w:tcPr>
            <w:tcW w:w="3260" w:type="dxa"/>
            <w:shd w:val="clear" w:color="auto" w:fill="76923C"/>
            <w:vAlign w:val="center"/>
            <w:hideMark/>
          </w:tcPr>
          <w:p w:rsidR="00241EB6" w:rsidRPr="00F45237" w:rsidRDefault="00241EB6" w:rsidP="00E50157">
            <w:pPr>
              <w:spacing w:after="0" w:line="240" w:lineRule="auto"/>
              <w:jc w:val="center"/>
              <w:rPr>
                <w:rFonts w:eastAsia="Times New Roman" w:cs="Arial"/>
                <w:b/>
                <w:color w:val="FFFFFF" w:themeColor="background1"/>
                <w:sz w:val="18"/>
                <w:szCs w:val="18"/>
                <w:lang w:val="es-CO" w:eastAsia="es-CO"/>
              </w:rPr>
            </w:pPr>
            <w:r w:rsidRPr="00F45237">
              <w:rPr>
                <w:rFonts w:eastAsia="Times New Roman" w:cs="Arial"/>
                <w:b/>
                <w:color w:val="FFFFFF" w:themeColor="background1"/>
                <w:sz w:val="18"/>
                <w:szCs w:val="18"/>
                <w:lang w:val="es-CO" w:eastAsia="es-CO"/>
              </w:rPr>
              <w:t>Medio</w:t>
            </w:r>
          </w:p>
        </w:tc>
      </w:tr>
      <w:tr w:rsidR="00241EB6" w:rsidRPr="00F45237" w:rsidTr="004712AD">
        <w:trPr>
          <w:trHeight w:val="20"/>
          <w:jc w:val="center"/>
        </w:trPr>
        <w:tc>
          <w:tcPr>
            <w:tcW w:w="1240"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Ecuador</w:t>
            </w:r>
          </w:p>
        </w:tc>
        <w:tc>
          <w:tcPr>
            <w:tcW w:w="1312"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V Gabinete</w:t>
            </w:r>
          </w:p>
        </w:tc>
        <w:tc>
          <w:tcPr>
            <w:tcW w:w="2977"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 xml:space="preserve">Implementación estrategias malnutrición infantil. </w:t>
            </w:r>
            <w:r w:rsidRPr="00F45237">
              <w:rPr>
                <w:rFonts w:eastAsia="Times New Roman" w:cs="Arial"/>
                <w:color w:val="000000"/>
                <w:sz w:val="18"/>
                <w:szCs w:val="18"/>
                <w:lang w:val="es-CO" w:eastAsia="es-CO"/>
              </w:rPr>
              <w:br/>
              <w:t xml:space="preserve">Intercambio de experiencias </w:t>
            </w:r>
          </w:p>
        </w:tc>
        <w:tc>
          <w:tcPr>
            <w:tcW w:w="3260"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Videoconferencias</w:t>
            </w:r>
          </w:p>
        </w:tc>
      </w:tr>
      <w:tr w:rsidR="00241EB6" w:rsidRPr="00F45237" w:rsidTr="004712AD">
        <w:trPr>
          <w:trHeight w:val="20"/>
          <w:jc w:val="center"/>
        </w:trPr>
        <w:tc>
          <w:tcPr>
            <w:tcW w:w="1240"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El Salvador</w:t>
            </w:r>
          </w:p>
        </w:tc>
        <w:tc>
          <w:tcPr>
            <w:tcW w:w="1312"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Comixta 2016 - 2018</w:t>
            </w:r>
          </w:p>
        </w:tc>
        <w:tc>
          <w:tcPr>
            <w:tcW w:w="2977"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 xml:space="preserve">Proyecto Construcción de Paz en la Vida Familiar. </w:t>
            </w:r>
          </w:p>
        </w:tc>
        <w:tc>
          <w:tcPr>
            <w:tcW w:w="3260"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 xml:space="preserve">Visita Técnica de El Salvador a Colombia. </w:t>
            </w:r>
          </w:p>
        </w:tc>
      </w:tr>
      <w:tr w:rsidR="00241EB6" w:rsidRPr="00F45237" w:rsidTr="004712AD">
        <w:trPr>
          <w:trHeight w:val="20"/>
          <w:jc w:val="center"/>
        </w:trPr>
        <w:tc>
          <w:tcPr>
            <w:tcW w:w="1240"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El Salvador</w:t>
            </w:r>
          </w:p>
        </w:tc>
        <w:tc>
          <w:tcPr>
            <w:tcW w:w="1312"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Comixta 2016 - 2018</w:t>
            </w:r>
          </w:p>
        </w:tc>
        <w:tc>
          <w:tcPr>
            <w:tcW w:w="2977"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Proyecto Posconflicto y Delincuencia Juvenil, 2018</w:t>
            </w:r>
          </w:p>
        </w:tc>
        <w:tc>
          <w:tcPr>
            <w:tcW w:w="3260"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Visita Téc</w:t>
            </w:r>
            <w:r w:rsidR="004712AD">
              <w:rPr>
                <w:rFonts w:eastAsia="Times New Roman" w:cs="Arial"/>
                <w:color w:val="000000"/>
                <w:sz w:val="18"/>
                <w:szCs w:val="18"/>
                <w:lang w:val="es-CO" w:eastAsia="es-CO"/>
              </w:rPr>
              <w:t>nica de El Salvador a Colombia.</w:t>
            </w:r>
          </w:p>
        </w:tc>
      </w:tr>
      <w:tr w:rsidR="00241EB6" w:rsidRPr="00F45237" w:rsidTr="004712AD">
        <w:trPr>
          <w:trHeight w:val="20"/>
          <w:jc w:val="center"/>
        </w:trPr>
        <w:tc>
          <w:tcPr>
            <w:tcW w:w="1240"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Honduras</w:t>
            </w:r>
          </w:p>
        </w:tc>
        <w:tc>
          <w:tcPr>
            <w:tcW w:w="1312"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Comixta 2017 - 2019</w:t>
            </w:r>
          </w:p>
        </w:tc>
        <w:tc>
          <w:tcPr>
            <w:tcW w:w="2977"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 xml:space="preserve">Empleabilidad de jóvenes en Proceso Administrativo de </w:t>
            </w:r>
            <w:r w:rsidRPr="00F45237">
              <w:rPr>
                <w:rFonts w:eastAsia="Times New Roman" w:cs="Arial"/>
                <w:color w:val="000000"/>
                <w:sz w:val="18"/>
                <w:szCs w:val="18"/>
                <w:lang w:val="es-CO" w:eastAsia="es-CO"/>
              </w:rPr>
              <w:lastRenderedPageBreak/>
              <w:t>Restablecimiento de Derechos (PARD).</w:t>
            </w:r>
          </w:p>
        </w:tc>
        <w:tc>
          <w:tcPr>
            <w:tcW w:w="3260"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lastRenderedPageBreak/>
              <w:t>Visitas técnicas Honduras a Colombia y Colombia a Honduras.</w:t>
            </w:r>
          </w:p>
        </w:tc>
      </w:tr>
      <w:tr w:rsidR="00241EB6" w:rsidRPr="00F45237" w:rsidTr="004712AD">
        <w:trPr>
          <w:trHeight w:val="20"/>
          <w:jc w:val="center"/>
        </w:trPr>
        <w:tc>
          <w:tcPr>
            <w:tcW w:w="1240"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Honduras</w:t>
            </w:r>
          </w:p>
        </w:tc>
        <w:tc>
          <w:tcPr>
            <w:tcW w:w="1312"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Comixta 2017 - 2019</w:t>
            </w:r>
          </w:p>
        </w:tc>
        <w:tc>
          <w:tcPr>
            <w:tcW w:w="2977"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Asistencia técnica a Unidades de Vigilancia Nutricional</w:t>
            </w:r>
          </w:p>
        </w:tc>
        <w:tc>
          <w:tcPr>
            <w:tcW w:w="3260"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Visitas técnicas Honduras a Colombia y Colombia a Honduras.</w:t>
            </w:r>
          </w:p>
        </w:tc>
      </w:tr>
      <w:tr w:rsidR="00241EB6" w:rsidRPr="00F45237" w:rsidTr="004712AD">
        <w:trPr>
          <w:trHeight w:val="20"/>
          <w:jc w:val="center"/>
        </w:trPr>
        <w:tc>
          <w:tcPr>
            <w:tcW w:w="1240"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Perú</w:t>
            </w:r>
          </w:p>
        </w:tc>
        <w:tc>
          <w:tcPr>
            <w:tcW w:w="1312"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Comixta 2015 - 2017</w:t>
            </w:r>
          </w:p>
        </w:tc>
        <w:tc>
          <w:tcPr>
            <w:tcW w:w="2977"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Trabajo Infantil</w:t>
            </w:r>
          </w:p>
        </w:tc>
        <w:tc>
          <w:tcPr>
            <w:tcW w:w="3260"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Evento Triple Frontera con Perú y Brasil. Leticia, Amazonas. Octubre 26 y 27 de 2017.</w:t>
            </w:r>
          </w:p>
        </w:tc>
      </w:tr>
      <w:tr w:rsidR="00241EB6" w:rsidRPr="00F45237" w:rsidTr="004712AD">
        <w:trPr>
          <w:trHeight w:val="20"/>
          <w:jc w:val="center"/>
        </w:trPr>
        <w:tc>
          <w:tcPr>
            <w:tcW w:w="1240"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Frontera Perú - Brasil</w:t>
            </w:r>
          </w:p>
        </w:tc>
        <w:tc>
          <w:tcPr>
            <w:tcW w:w="1312"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Comixta 2015 - 2017</w:t>
            </w:r>
          </w:p>
        </w:tc>
        <w:tc>
          <w:tcPr>
            <w:tcW w:w="2977"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 Ruta Binacional atención NNA con derechos vulnerados</w:t>
            </w:r>
            <w:r w:rsidRPr="00F45237">
              <w:rPr>
                <w:rFonts w:eastAsia="Times New Roman" w:cs="Arial"/>
                <w:color w:val="000000"/>
                <w:sz w:val="18"/>
                <w:szCs w:val="18"/>
                <w:lang w:val="es-CO" w:eastAsia="es-CO"/>
              </w:rPr>
              <w:br/>
              <w:t>- Prevención de Embarazo Adolescente</w:t>
            </w:r>
          </w:p>
        </w:tc>
        <w:tc>
          <w:tcPr>
            <w:tcW w:w="3260"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 Leticia-Amazonas octubre 26 y 27, II Gabinete: Evento Triple Frontera con Perú y Brasil</w:t>
            </w:r>
            <w:r w:rsidRPr="00F45237">
              <w:rPr>
                <w:rFonts w:eastAsia="Times New Roman" w:cs="Arial"/>
                <w:color w:val="000000"/>
                <w:sz w:val="18"/>
                <w:szCs w:val="18"/>
                <w:lang w:val="es-CO" w:eastAsia="es-CO"/>
              </w:rPr>
              <w:br/>
              <w:t>- Leticia-Amazonas octubre 26 y 27 de 2017, III Gabinete.</w:t>
            </w:r>
          </w:p>
        </w:tc>
      </w:tr>
      <w:tr w:rsidR="00241EB6" w:rsidRPr="00F45237" w:rsidTr="004712AD">
        <w:trPr>
          <w:trHeight w:val="20"/>
          <w:jc w:val="center"/>
        </w:trPr>
        <w:tc>
          <w:tcPr>
            <w:tcW w:w="1240"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Uruguay</w:t>
            </w:r>
          </w:p>
        </w:tc>
        <w:tc>
          <w:tcPr>
            <w:tcW w:w="1312"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Comixta 2016-2018</w:t>
            </w:r>
          </w:p>
        </w:tc>
        <w:tc>
          <w:tcPr>
            <w:tcW w:w="2977"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 xml:space="preserve">- Promoción de la Participación de NNA. </w:t>
            </w:r>
            <w:r w:rsidRPr="00F45237">
              <w:rPr>
                <w:rFonts w:eastAsia="Times New Roman" w:cs="Arial"/>
                <w:color w:val="000000"/>
                <w:sz w:val="18"/>
                <w:szCs w:val="18"/>
                <w:lang w:val="es-CO" w:eastAsia="es-CO"/>
              </w:rPr>
              <w:br/>
              <w:t>- ESCNNA</w:t>
            </w:r>
          </w:p>
        </w:tc>
        <w:tc>
          <w:tcPr>
            <w:tcW w:w="3260"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Visita Técnica del ICBF a INAU de Uruguay del 28 de agosto al 2 de septiembre de 2017 y Visita Técnica del INAU de Uruguay al ICBF de Colombia del 1 al 7 de octubre.</w:t>
            </w:r>
          </w:p>
        </w:tc>
      </w:tr>
      <w:tr w:rsidR="00241EB6" w:rsidRPr="00F45237" w:rsidTr="004712AD">
        <w:trPr>
          <w:trHeight w:val="20"/>
          <w:jc w:val="center"/>
        </w:trPr>
        <w:tc>
          <w:tcPr>
            <w:tcW w:w="1240"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Filipinas</w:t>
            </w:r>
          </w:p>
        </w:tc>
        <w:tc>
          <w:tcPr>
            <w:tcW w:w="1312"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 </w:t>
            </w:r>
          </w:p>
        </w:tc>
        <w:tc>
          <w:tcPr>
            <w:tcW w:w="2977"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Intercambio de experiencias</w:t>
            </w:r>
          </w:p>
        </w:tc>
        <w:tc>
          <w:tcPr>
            <w:tcW w:w="3260"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Videoconferencias</w:t>
            </w:r>
          </w:p>
        </w:tc>
      </w:tr>
      <w:tr w:rsidR="00241EB6" w:rsidRPr="00F45237" w:rsidTr="004712AD">
        <w:trPr>
          <w:trHeight w:val="20"/>
          <w:jc w:val="center"/>
        </w:trPr>
        <w:tc>
          <w:tcPr>
            <w:tcW w:w="1240"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Laos y Bangladesh</w:t>
            </w:r>
          </w:p>
        </w:tc>
        <w:tc>
          <w:tcPr>
            <w:tcW w:w="1312"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 </w:t>
            </w:r>
          </w:p>
        </w:tc>
        <w:tc>
          <w:tcPr>
            <w:tcW w:w="2977"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 </w:t>
            </w:r>
          </w:p>
        </w:tc>
        <w:tc>
          <w:tcPr>
            <w:tcW w:w="3260" w:type="dxa"/>
            <w:shd w:val="clear" w:color="auto" w:fill="auto"/>
            <w:vAlign w:val="center"/>
            <w:hideMark/>
          </w:tcPr>
          <w:p w:rsidR="00241EB6" w:rsidRPr="00F45237" w:rsidRDefault="00241EB6" w:rsidP="00E50157">
            <w:pPr>
              <w:spacing w:after="0" w:line="240" w:lineRule="auto"/>
              <w:rPr>
                <w:rFonts w:eastAsia="Times New Roman" w:cs="Arial"/>
                <w:color w:val="000000"/>
                <w:sz w:val="18"/>
                <w:szCs w:val="18"/>
                <w:lang w:val="es-CO" w:eastAsia="es-CO"/>
              </w:rPr>
            </w:pPr>
            <w:r w:rsidRPr="00F45237">
              <w:rPr>
                <w:rFonts w:eastAsia="Times New Roman" w:cs="Arial"/>
                <w:color w:val="000000"/>
                <w:sz w:val="18"/>
                <w:szCs w:val="18"/>
                <w:lang w:val="es-CO" w:eastAsia="es-CO"/>
              </w:rPr>
              <w:t>Visita técnica países asiáticos a ICBF, septiembre 4 y 5 de 2017.</w:t>
            </w:r>
          </w:p>
        </w:tc>
      </w:tr>
    </w:tbl>
    <w:p w:rsidR="00241EB6" w:rsidRPr="00E2319F" w:rsidRDefault="00241EB6" w:rsidP="00241EB6">
      <w:pPr>
        <w:rPr>
          <w:rFonts w:cs="Arial"/>
        </w:rPr>
      </w:pPr>
    </w:p>
    <w:p w:rsidR="00241EB6" w:rsidRDefault="00241EB6" w:rsidP="00A44A2B">
      <w:pPr>
        <w:pStyle w:val="Ttulo2"/>
        <w:numPr>
          <w:ilvl w:val="1"/>
          <w:numId w:val="139"/>
        </w:numPr>
        <w:spacing w:line="240" w:lineRule="auto"/>
        <w:jc w:val="both"/>
        <w:rPr>
          <w:rFonts w:cs="Arial"/>
          <w:b/>
          <w:szCs w:val="22"/>
        </w:rPr>
      </w:pPr>
      <w:bookmarkStart w:id="191" w:name="_Toc505183119"/>
      <w:r w:rsidRPr="00E2319F">
        <w:rPr>
          <w:rFonts w:cs="Arial"/>
          <w:b/>
          <w:szCs w:val="22"/>
        </w:rPr>
        <w:t>RETOS 2018</w:t>
      </w:r>
      <w:bookmarkEnd w:id="191"/>
    </w:p>
    <w:p w:rsidR="004712AD" w:rsidRPr="004712AD" w:rsidRDefault="004712AD" w:rsidP="004712AD"/>
    <w:p w:rsidR="00241EB6" w:rsidRDefault="00241EB6" w:rsidP="00A44A2B">
      <w:pPr>
        <w:numPr>
          <w:ilvl w:val="0"/>
          <w:numId w:val="51"/>
        </w:numPr>
        <w:spacing w:after="0" w:line="240" w:lineRule="auto"/>
        <w:ind w:left="720"/>
        <w:contextualSpacing/>
        <w:jc w:val="both"/>
        <w:rPr>
          <w:rFonts w:cs="Arial"/>
        </w:rPr>
      </w:pPr>
      <w:r w:rsidRPr="00E2319F">
        <w:rPr>
          <w:rFonts w:cs="Arial"/>
        </w:rPr>
        <w:t>Aumentar la consecución de recursos de cooperación técnica y financiera para lograr el cumplimiento de la meta del cuatrienio (200 mil millones - meta acumulada cuatrienio).</w:t>
      </w:r>
    </w:p>
    <w:p w:rsidR="004712AD" w:rsidRPr="004712AD" w:rsidRDefault="004712AD" w:rsidP="004712AD">
      <w:pPr>
        <w:spacing w:after="0" w:line="240" w:lineRule="auto"/>
        <w:ind w:left="720"/>
        <w:contextualSpacing/>
        <w:jc w:val="both"/>
        <w:rPr>
          <w:rFonts w:cs="Arial"/>
        </w:rPr>
      </w:pPr>
    </w:p>
    <w:p w:rsidR="00241EB6" w:rsidRDefault="00241EB6" w:rsidP="00A44A2B">
      <w:pPr>
        <w:numPr>
          <w:ilvl w:val="0"/>
          <w:numId w:val="51"/>
        </w:numPr>
        <w:spacing w:after="0" w:line="240" w:lineRule="auto"/>
        <w:ind w:left="720"/>
        <w:contextualSpacing/>
        <w:jc w:val="both"/>
        <w:rPr>
          <w:rFonts w:cs="Arial"/>
        </w:rPr>
      </w:pPr>
      <w:r w:rsidRPr="00E2319F">
        <w:rPr>
          <w:rFonts w:cs="Arial"/>
        </w:rPr>
        <w:t>Aumentar las alianzas gestionadas con el sector privado y ayuda oficial para el desarrollo de acciones con las misionales del ICBF.</w:t>
      </w:r>
    </w:p>
    <w:p w:rsidR="004712AD" w:rsidRPr="00E2319F" w:rsidRDefault="004712AD" w:rsidP="004712AD">
      <w:pPr>
        <w:spacing w:after="0" w:line="240" w:lineRule="auto"/>
        <w:contextualSpacing/>
        <w:jc w:val="both"/>
        <w:rPr>
          <w:rFonts w:cs="Arial"/>
        </w:rPr>
      </w:pPr>
    </w:p>
    <w:p w:rsidR="00241EB6" w:rsidRDefault="00241EB6" w:rsidP="00A44A2B">
      <w:pPr>
        <w:numPr>
          <w:ilvl w:val="0"/>
          <w:numId w:val="51"/>
        </w:numPr>
        <w:spacing w:after="0" w:line="240" w:lineRule="auto"/>
        <w:ind w:left="720"/>
        <w:contextualSpacing/>
        <w:jc w:val="both"/>
        <w:rPr>
          <w:rFonts w:cs="Arial"/>
        </w:rPr>
      </w:pPr>
      <w:r w:rsidRPr="00E2319F">
        <w:rPr>
          <w:rFonts w:cs="Arial"/>
        </w:rPr>
        <w:t>Lograr la implementación de la estrategia de cooperación en las regiones priorizadas para el año 2018 (33 Regionales del ICBF).</w:t>
      </w:r>
    </w:p>
    <w:p w:rsidR="004712AD" w:rsidRPr="00E2319F" w:rsidRDefault="004712AD" w:rsidP="004712AD">
      <w:pPr>
        <w:spacing w:after="0" w:line="240" w:lineRule="auto"/>
        <w:contextualSpacing/>
        <w:jc w:val="both"/>
        <w:rPr>
          <w:rFonts w:cs="Arial"/>
        </w:rPr>
      </w:pPr>
    </w:p>
    <w:p w:rsidR="00241EB6" w:rsidRPr="00E2319F" w:rsidRDefault="00241EB6" w:rsidP="00A44A2B">
      <w:pPr>
        <w:numPr>
          <w:ilvl w:val="0"/>
          <w:numId w:val="51"/>
        </w:numPr>
        <w:spacing w:after="0" w:line="240" w:lineRule="auto"/>
        <w:ind w:left="720"/>
        <w:contextualSpacing/>
        <w:jc w:val="both"/>
        <w:rPr>
          <w:rFonts w:cs="Arial"/>
        </w:rPr>
      </w:pPr>
      <w:r w:rsidRPr="00E2319F">
        <w:rPr>
          <w:rFonts w:cs="Arial"/>
        </w:rPr>
        <w:t xml:space="preserve">Apoyar la articulación y alineación de la misión del ICBF con las metas de los Objetivos de Desarrollo Sostenible (ODS) en el marco de su implementación en el país.  </w:t>
      </w:r>
    </w:p>
    <w:p w:rsidR="00BC20AE" w:rsidRPr="00E2319F" w:rsidRDefault="00BC20AE" w:rsidP="004712AD">
      <w:pPr>
        <w:spacing w:after="100" w:afterAutospacing="1" w:line="240" w:lineRule="auto"/>
        <w:jc w:val="both"/>
        <w:rPr>
          <w:rFonts w:cs="Arial"/>
        </w:rPr>
      </w:pPr>
    </w:p>
    <w:p w:rsidR="00BC20AE" w:rsidRPr="00E2319F" w:rsidRDefault="00BC20AE" w:rsidP="00A44A2B">
      <w:pPr>
        <w:pStyle w:val="Ttulo1"/>
        <w:numPr>
          <w:ilvl w:val="0"/>
          <w:numId w:val="139"/>
        </w:numPr>
        <w:rPr>
          <w:rFonts w:cs="Arial"/>
        </w:rPr>
      </w:pPr>
      <w:bookmarkStart w:id="192" w:name="_Toc503953700"/>
      <w:bookmarkStart w:id="193" w:name="_Toc505183120"/>
      <w:r w:rsidRPr="00E2319F">
        <w:rPr>
          <w:rFonts w:cs="Arial"/>
        </w:rPr>
        <w:t>GESTIÓN COMUNICACIONES</w:t>
      </w:r>
      <w:bookmarkEnd w:id="192"/>
      <w:bookmarkEnd w:id="193"/>
    </w:p>
    <w:p w:rsidR="004A0DE3" w:rsidRPr="00E2319F" w:rsidRDefault="004A0DE3" w:rsidP="004A0DE3">
      <w:pPr>
        <w:spacing w:before="100" w:beforeAutospacing="1" w:after="100" w:afterAutospacing="1" w:line="240" w:lineRule="auto"/>
        <w:jc w:val="both"/>
        <w:rPr>
          <w:rFonts w:cs="Arial"/>
        </w:rPr>
      </w:pPr>
      <w:r w:rsidRPr="00E2319F">
        <w:rPr>
          <w:rFonts w:cs="Arial"/>
        </w:rPr>
        <w:t xml:space="preserve">Con el fin de cumplir con el objetivo de promover la comunicación, diálogo e interacción en torno a los temas relacionados con la protección y garantía de los derechos de los niños, niñas, adolescentes y de las familias colombianas, en el marco de la Política de Comunicaciones y del Plan Estratégico de Comunicaciones; la Oficina Asesora de Comunicaciones durante la vigencia 2017, con fecha de corte a 31 de diciembre, reportó lo siguiente en cada línea de trabajo: </w:t>
      </w:r>
    </w:p>
    <w:p w:rsidR="004A0DE3" w:rsidRPr="00E2319F" w:rsidRDefault="004A0DE3" w:rsidP="00A44A2B">
      <w:pPr>
        <w:pStyle w:val="Prrafodelista"/>
        <w:numPr>
          <w:ilvl w:val="0"/>
          <w:numId w:val="105"/>
        </w:numPr>
        <w:spacing w:before="100" w:beforeAutospacing="1" w:after="100" w:afterAutospacing="1" w:line="240" w:lineRule="auto"/>
        <w:jc w:val="both"/>
        <w:rPr>
          <w:rFonts w:cs="Arial"/>
        </w:rPr>
      </w:pPr>
      <w:bookmarkStart w:id="194" w:name="_Toc470095222"/>
      <w:r w:rsidRPr="00E2319F">
        <w:rPr>
          <w:rFonts w:cs="Arial"/>
          <w:b/>
        </w:rPr>
        <w:t>Prensa</w:t>
      </w:r>
      <w:bookmarkEnd w:id="194"/>
      <w:r w:rsidRPr="00E2319F">
        <w:rPr>
          <w:rFonts w:cs="Arial"/>
          <w:b/>
        </w:rPr>
        <w:t xml:space="preserve">: </w:t>
      </w:r>
      <w:r w:rsidRPr="00E2319F">
        <w:rPr>
          <w:rFonts w:cs="Arial"/>
        </w:rPr>
        <w:t xml:space="preserve">Visibilizar la labor institucional a través de una comunicación oportuna a la opinión pública, difusión de información en medios masivos, manejo de temas coyunturales, </w:t>
      </w:r>
      <w:r w:rsidRPr="00E2319F">
        <w:rPr>
          <w:rFonts w:cs="Arial"/>
        </w:rPr>
        <w:lastRenderedPageBreak/>
        <w:t>construcción de comunicados, organización de ruedas de prensa y monitoreo de medios; el equipo de prensa de la Oficina de Comunicaciones produjo 759 comunicados.</w:t>
      </w:r>
    </w:p>
    <w:p w:rsidR="004A0DE3" w:rsidRPr="00E2319F" w:rsidRDefault="004A0DE3" w:rsidP="00A44A2B">
      <w:pPr>
        <w:pStyle w:val="Sinespaciado"/>
        <w:numPr>
          <w:ilvl w:val="0"/>
          <w:numId w:val="107"/>
        </w:numPr>
        <w:spacing w:before="100" w:beforeAutospacing="1" w:after="100" w:afterAutospacing="1"/>
        <w:jc w:val="both"/>
        <w:rPr>
          <w:rFonts w:cs="Arial"/>
        </w:rPr>
      </w:pPr>
      <w:r w:rsidRPr="00E2319F">
        <w:rPr>
          <w:rFonts w:cs="Arial"/>
        </w:rPr>
        <w:t xml:space="preserve">Atención a periodistas con requerimientos específicos de información y voceros para diferentes temas. </w:t>
      </w:r>
    </w:p>
    <w:p w:rsidR="004A0DE3" w:rsidRPr="00E2319F" w:rsidRDefault="004A0DE3" w:rsidP="00A44A2B">
      <w:pPr>
        <w:pStyle w:val="Sinespaciado"/>
        <w:numPr>
          <w:ilvl w:val="0"/>
          <w:numId w:val="107"/>
        </w:numPr>
        <w:spacing w:before="100" w:beforeAutospacing="1" w:after="100" w:afterAutospacing="1"/>
        <w:jc w:val="both"/>
        <w:rPr>
          <w:rFonts w:cs="Arial"/>
        </w:rPr>
      </w:pPr>
      <w:r w:rsidRPr="00E2319F">
        <w:rPr>
          <w:rFonts w:cs="Arial"/>
        </w:rPr>
        <w:t>Acompañamiento y asesoría a voceros misionales en entrevistas y eventos.</w:t>
      </w:r>
    </w:p>
    <w:p w:rsidR="004A0DE3" w:rsidRPr="00E2319F" w:rsidRDefault="004A0DE3" w:rsidP="00A44A2B">
      <w:pPr>
        <w:pStyle w:val="Sinespaciado"/>
        <w:numPr>
          <w:ilvl w:val="0"/>
          <w:numId w:val="107"/>
        </w:numPr>
        <w:spacing w:before="100" w:beforeAutospacing="1" w:after="100" w:afterAutospacing="1"/>
        <w:jc w:val="both"/>
        <w:rPr>
          <w:rFonts w:cs="Arial"/>
        </w:rPr>
      </w:pPr>
      <w:r w:rsidRPr="00E2319F">
        <w:rPr>
          <w:rFonts w:cs="Arial"/>
        </w:rPr>
        <w:t>Coordinación de contenidos y voceros para alianzas informativas.</w:t>
      </w:r>
    </w:p>
    <w:p w:rsidR="004A0DE3" w:rsidRPr="00E2319F" w:rsidRDefault="004A0DE3" w:rsidP="00A44A2B">
      <w:pPr>
        <w:pStyle w:val="Sinespaciado"/>
        <w:numPr>
          <w:ilvl w:val="0"/>
          <w:numId w:val="107"/>
        </w:numPr>
        <w:spacing w:before="100" w:beforeAutospacing="1" w:after="100" w:afterAutospacing="1"/>
        <w:jc w:val="both"/>
        <w:rPr>
          <w:rFonts w:cs="Arial"/>
        </w:rPr>
      </w:pPr>
      <w:r w:rsidRPr="00E2319F">
        <w:rPr>
          <w:rFonts w:cs="Arial"/>
        </w:rPr>
        <w:t xml:space="preserve">Elaboración de ayudas de memoria y </w:t>
      </w:r>
      <w:r w:rsidRPr="00E2319F">
        <w:rPr>
          <w:rFonts w:cs="Arial"/>
          <w:i/>
        </w:rPr>
        <w:t>bullets.</w:t>
      </w:r>
    </w:p>
    <w:p w:rsidR="004A0DE3" w:rsidRPr="00E2319F" w:rsidRDefault="004A0DE3" w:rsidP="00A44A2B">
      <w:pPr>
        <w:pStyle w:val="Prrafodelista"/>
        <w:numPr>
          <w:ilvl w:val="0"/>
          <w:numId w:val="108"/>
        </w:numPr>
        <w:spacing w:before="100" w:beforeAutospacing="1" w:after="100" w:afterAutospacing="1" w:line="240" w:lineRule="auto"/>
        <w:jc w:val="both"/>
        <w:rPr>
          <w:rFonts w:cs="Arial"/>
          <w:b/>
        </w:rPr>
      </w:pPr>
      <w:r w:rsidRPr="00E2319F">
        <w:rPr>
          <w:rFonts w:cs="Arial"/>
          <w:b/>
        </w:rPr>
        <w:t>Digital:</w:t>
      </w:r>
    </w:p>
    <w:p w:rsidR="004A0DE3" w:rsidRPr="00E2319F" w:rsidRDefault="004A0DE3" w:rsidP="004A0DE3">
      <w:pPr>
        <w:pStyle w:val="Arialsinespacio"/>
        <w:spacing w:before="100" w:beforeAutospacing="1" w:after="100" w:afterAutospacing="1"/>
        <w:jc w:val="both"/>
        <w:rPr>
          <w:rFonts w:cs="Arial"/>
          <w:szCs w:val="22"/>
        </w:rPr>
      </w:pPr>
      <w:r w:rsidRPr="00E2319F">
        <w:rPr>
          <w:rFonts w:cs="Arial"/>
          <w:szCs w:val="22"/>
        </w:rPr>
        <w:t>Emisión de mensaje y campañas en los diferentes canales digitales y redes sociales, generando más audiencia y seguidores en la promoción de la garantía de los derechos de los niños, niñas y adolescentes, a continuación algunas cifras de interés de las redes.</w:t>
      </w:r>
    </w:p>
    <w:p w:rsidR="004A0DE3" w:rsidRPr="00E2319F" w:rsidRDefault="004A0DE3" w:rsidP="004A0DE3">
      <w:pPr>
        <w:pStyle w:val="Default"/>
        <w:spacing w:before="100" w:beforeAutospacing="1" w:after="100" w:afterAutospacing="1"/>
        <w:jc w:val="both"/>
        <w:rPr>
          <w:rFonts w:ascii="Arial" w:hAnsi="Arial" w:cs="Arial"/>
          <w:b/>
          <w:color w:val="auto"/>
          <w:sz w:val="22"/>
          <w:szCs w:val="22"/>
        </w:rPr>
      </w:pPr>
      <w:r w:rsidRPr="00E2319F">
        <w:rPr>
          <w:rFonts w:ascii="Arial" w:hAnsi="Arial" w:cs="Arial"/>
          <w:b/>
          <w:color w:val="auto"/>
          <w:sz w:val="22"/>
          <w:szCs w:val="22"/>
        </w:rPr>
        <w:t>Cifras de interés de las redes</w:t>
      </w:r>
    </w:p>
    <w:tbl>
      <w:tblPr>
        <w:tblpPr w:leftFromText="141" w:rightFromText="141" w:vertAnchor="text" w:tblpXSpec="center" w:tblpY="1"/>
        <w:tblOverlap w:val="never"/>
        <w:tblW w:w="0" w:type="auto"/>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1413"/>
        <w:gridCol w:w="1984"/>
        <w:gridCol w:w="2131"/>
        <w:gridCol w:w="2879"/>
      </w:tblGrid>
      <w:tr w:rsidR="004A0DE3" w:rsidRPr="004712AD" w:rsidTr="004712AD">
        <w:trPr>
          <w:trHeight w:val="132"/>
        </w:trPr>
        <w:tc>
          <w:tcPr>
            <w:tcW w:w="1413" w:type="dxa"/>
            <w:shd w:val="clear" w:color="auto" w:fill="76923C"/>
            <w:vAlign w:val="center"/>
          </w:tcPr>
          <w:p w:rsidR="004A0DE3" w:rsidRPr="004712AD" w:rsidRDefault="004A0DE3" w:rsidP="004712AD">
            <w:pPr>
              <w:spacing w:before="100" w:beforeAutospacing="1" w:after="100" w:afterAutospacing="1" w:line="240" w:lineRule="auto"/>
              <w:jc w:val="center"/>
              <w:rPr>
                <w:rFonts w:eastAsia="Times New Roman" w:cs="Arial"/>
                <w:color w:val="FFFFFF" w:themeColor="background1"/>
                <w:sz w:val="18"/>
                <w:szCs w:val="18"/>
              </w:rPr>
            </w:pPr>
            <w:r w:rsidRPr="004712AD">
              <w:rPr>
                <w:rFonts w:eastAsia="Times New Roman" w:cs="Arial"/>
                <w:b/>
                <w:color w:val="FFFFFF" w:themeColor="background1"/>
                <w:sz w:val="18"/>
                <w:szCs w:val="18"/>
              </w:rPr>
              <w:t>Vigencia</w:t>
            </w:r>
          </w:p>
        </w:tc>
        <w:tc>
          <w:tcPr>
            <w:tcW w:w="1984" w:type="dxa"/>
            <w:shd w:val="clear" w:color="auto" w:fill="76923C"/>
            <w:vAlign w:val="center"/>
          </w:tcPr>
          <w:p w:rsidR="004A0DE3" w:rsidRPr="004712AD" w:rsidRDefault="004A0DE3" w:rsidP="004712AD">
            <w:pPr>
              <w:spacing w:before="100" w:beforeAutospacing="1" w:after="100" w:afterAutospacing="1" w:line="240" w:lineRule="auto"/>
              <w:jc w:val="center"/>
              <w:rPr>
                <w:rFonts w:eastAsia="Times New Roman" w:cs="Arial"/>
                <w:color w:val="FFFFFF" w:themeColor="background1"/>
                <w:sz w:val="18"/>
                <w:szCs w:val="18"/>
              </w:rPr>
            </w:pPr>
            <w:r w:rsidRPr="004712AD">
              <w:rPr>
                <w:rFonts w:eastAsia="Times New Roman" w:cs="Arial"/>
                <w:b/>
                <w:bCs/>
                <w:color w:val="FFFFFF" w:themeColor="background1"/>
                <w:sz w:val="18"/>
                <w:szCs w:val="18"/>
              </w:rPr>
              <w:t>Facebook</w:t>
            </w:r>
            <w:r w:rsidR="004712AD" w:rsidRPr="004712AD">
              <w:rPr>
                <w:rFonts w:eastAsia="Times New Roman" w:cs="Arial"/>
                <w:b/>
                <w:bCs/>
                <w:color w:val="FFFFFF" w:themeColor="background1"/>
                <w:sz w:val="18"/>
                <w:szCs w:val="18"/>
              </w:rPr>
              <w:t>:</w:t>
            </w:r>
          </w:p>
        </w:tc>
        <w:tc>
          <w:tcPr>
            <w:tcW w:w="2131" w:type="dxa"/>
            <w:shd w:val="clear" w:color="auto" w:fill="76923C"/>
            <w:vAlign w:val="center"/>
          </w:tcPr>
          <w:p w:rsidR="004A0DE3" w:rsidRPr="004712AD" w:rsidRDefault="004A0DE3" w:rsidP="004712AD">
            <w:pPr>
              <w:pStyle w:val="Default"/>
              <w:autoSpaceDE/>
              <w:autoSpaceDN/>
              <w:adjustRightInd/>
              <w:spacing w:before="100" w:beforeAutospacing="1" w:after="100" w:afterAutospacing="1"/>
              <w:jc w:val="center"/>
              <w:rPr>
                <w:rFonts w:ascii="Arial" w:eastAsia="Times New Roman" w:hAnsi="Arial" w:cs="Arial"/>
                <w:color w:val="FFFFFF" w:themeColor="background1"/>
                <w:sz w:val="18"/>
                <w:szCs w:val="18"/>
                <w:lang w:val="es-ES"/>
              </w:rPr>
            </w:pPr>
            <w:r w:rsidRPr="004712AD">
              <w:rPr>
                <w:rFonts w:ascii="Arial" w:eastAsia="Times New Roman" w:hAnsi="Arial" w:cs="Arial"/>
                <w:b/>
                <w:bCs/>
                <w:color w:val="FFFFFF" w:themeColor="background1"/>
                <w:sz w:val="18"/>
                <w:szCs w:val="18"/>
                <w:lang w:val="es-ES"/>
              </w:rPr>
              <w:t>Twitter</w:t>
            </w:r>
          </w:p>
        </w:tc>
        <w:tc>
          <w:tcPr>
            <w:tcW w:w="2879" w:type="dxa"/>
            <w:shd w:val="clear" w:color="auto" w:fill="76923C"/>
            <w:vAlign w:val="center"/>
          </w:tcPr>
          <w:p w:rsidR="004A0DE3" w:rsidRPr="004712AD" w:rsidRDefault="004712AD" w:rsidP="004712AD">
            <w:pPr>
              <w:pStyle w:val="Default"/>
              <w:autoSpaceDE/>
              <w:autoSpaceDN/>
              <w:adjustRightInd/>
              <w:spacing w:before="100" w:beforeAutospacing="1" w:after="100" w:afterAutospacing="1"/>
              <w:jc w:val="center"/>
              <w:rPr>
                <w:rFonts w:ascii="Arial" w:eastAsia="Times New Roman" w:hAnsi="Arial" w:cs="Arial"/>
                <w:color w:val="FFFFFF" w:themeColor="background1"/>
                <w:sz w:val="18"/>
                <w:szCs w:val="18"/>
                <w:lang w:val="es-ES"/>
              </w:rPr>
            </w:pPr>
            <w:r w:rsidRPr="004712AD">
              <w:rPr>
                <w:rFonts w:ascii="Arial" w:eastAsia="Times New Roman" w:hAnsi="Arial" w:cs="Arial"/>
                <w:b/>
                <w:bCs/>
                <w:color w:val="FFFFFF" w:themeColor="background1"/>
                <w:sz w:val="18"/>
                <w:szCs w:val="18"/>
                <w:lang w:val="es-ES"/>
              </w:rPr>
              <w:t>Youtube</w:t>
            </w:r>
          </w:p>
        </w:tc>
      </w:tr>
      <w:tr w:rsidR="004A0DE3" w:rsidRPr="004712AD" w:rsidTr="00A23001">
        <w:trPr>
          <w:trHeight w:val="380"/>
        </w:trPr>
        <w:tc>
          <w:tcPr>
            <w:tcW w:w="1413" w:type="dxa"/>
            <w:shd w:val="clear" w:color="auto" w:fill="auto"/>
            <w:vAlign w:val="center"/>
          </w:tcPr>
          <w:p w:rsidR="004A0DE3" w:rsidRPr="004712AD" w:rsidRDefault="004A0DE3" w:rsidP="00A23001">
            <w:pPr>
              <w:spacing w:before="100" w:beforeAutospacing="1" w:after="100" w:afterAutospacing="1" w:line="240" w:lineRule="auto"/>
              <w:jc w:val="center"/>
              <w:rPr>
                <w:rFonts w:eastAsia="Times New Roman" w:cs="Arial"/>
                <w:b/>
                <w:sz w:val="18"/>
                <w:szCs w:val="18"/>
              </w:rPr>
            </w:pPr>
            <w:r w:rsidRPr="004712AD">
              <w:rPr>
                <w:rFonts w:cs="Arial"/>
                <w:sz w:val="18"/>
                <w:szCs w:val="18"/>
                <w:lang w:val="es-CO"/>
              </w:rPr>
              <w:t>2017</w:t>
            </w:r>
          </w:p>
        </w:tc>
        <w:tc>
          <w:tcPr>
            <w:tcW w:w="1984" w:type="dxa"/>
            <w:shd w:val="clear" w:color="auto" w:fill="auto"/>
            <w:vAlign w:val="center"/>
          </w:tcPr>
          <w:p w:rsidR="004A0DE3" w:rsidRPr="004712AD" w:rsidRDefault="004A0DE3" w:rsidP="00A23001">
            <w:pPr>
              <w:spacing w:before="100" w:beforeAutospacing="1" w:after="100" w:afterAutospacing="1" w:line="240" w:lineRule="auto"/>
              <w:jc w:val="center"/>
              <w:rPr>
                <w:rFonts w:eastAsia="Times New Roman" w:cs="Arial"/>
                <w:sz w:val="18"/>
                <w:szCs w:val="18"/>
              </w:rPr>
            </w:pPr>
            <w:r w:rsidRPr="004712AD">
              <w:rPr>
                <w:rFonts w:eastAsia="Times New Roman" w:cs="Arial"/>
                <w:sz w:val="18"/>
                <w:szCs w:val="18"/>
              </w:rPr>
              <w:t>Me gusta</w:t>
            </w:r>
          </w:p>
        </w:tc>
        <w:tc>
          <w:tcPr>
            <w:tcW w:w="2131" w:type="dxa"/>
            <w:shd w:val="clear" w:color="auto" w:fill="auto"/>
            <w:vAlign w:val="center"/>
          </w:tcPr>
          <w:p w:rsidR="004A0DE3" w:rsidRPr="004712AD" w:rsidRDefault="004A0DE3" w:rsidP="00A23001">
            <w:pPr>
              <w:spacing w:before="100" w:beforeAutospacing="1" w:after="100" w:afterAutospacing="1" w:line="240" w:lineRule="auto"/>
              <w:jc w:val="center"/>
              <w:rPr>
                <w:rFonts w:eastAsia="Times New Roman" w:cs="Arial"/>
                <w:sz w:val="18"/>
                <w:szCs w:val="18"/>
              </w:rPr>
            </w:pPr>
            <w:r w:rsidRPr="004712AD">
              <w:rPr>
                <w:rFonts w:eastAsia="Times New Roman" w:cs="Arial"/>
                <w:sz w:val="18"/>
                <w:szCs w:val="18"/>
              </w:rPr>
              <w:t>Nuevos seguidores</w:t>
            </w:r>
          </w:p>
        </w:tc>
        <w:tc>
          <w:tcPr>
            <w:tcW w:w="2879" w:type="dxa"/>
            <w:shd w:val="clear" w:color="auto" w:fill="auto"/>
            <w:vAlign w:val="center"/>
          </w:tcPr>
          <w:p w:rsidR="004A0DE3" w:rsidRPr="004712AD" w:rsidRDefault="004A0DE3" w:rsidP="00A23001">
            <w:pPr>
              <w:spacing w:before="100" w:beforeAutospacing="1" w:after="100" w:afterAutospacing="1" w:line="240" w:lineRule="auto"/>
              <w:jc w:val="center"/>
              <w:rPr>
                <w:rFonts w:eastAsia="Times New Roman" w:cs="Arial"/>
                <w:sz w:val="18"/>
                <w:szCs w:val="18"/>
              </w:rPr>
            </w:pPr>
            <w:r w:rsidRPr="004712AD">
              <w:rPr>
                <w:rFonts w:eastAsia="Times New Roman" w:cs="Arial"/>
                <w:sz w:val="18"/>
                <w:szCs w:val="18"/>
              </w:rPr>
              <w:t>Canal institucional-Cambiando El Mundo - suscriptores</w:t>
            </w:r>
          </w:p>
        </w:tc>
      </w:tr>
      <w:tr w:rsidR="004A0DE3" w:rsidRPr="004712AD" w:rsidTr="004712AD">
        <w:tc>
          <w:tcPr>
            <w:tcW w:w="1413" w:type="dxa"/>
            <w:shd w:val="clear" w:color="auto" w:fill="E2EFDA"/>
          </w:tcPr>
          <w:p w:rsidR="004A0DE3" w:rsidRPr="004712AD" w:rsidRDefault="004A0DE3" w:rsidP="004712AD">
            <w:pPr>
              <w:spacing w:before="100" w:beforeAutospacing="1" w:after="100" w:afterAutospacing="1" w:line="240" w:lineRule="auto"/>
              <w:jc w:val="center"/>
              <w:rPr>
                <w:rFonts w:eastAsia="Times New Roman" w:cs="Arial"/>
                <w:b/>
                <w:sz w:val="18"/>
                <w:szCs w:val="18"/>
              </w:rPr>
            </w:pPr>
            <w:r w:rsidRPr="004712AD">
              <w:rPr>
                <w:rFonts w:eastAsia="Times New Roman" w:cs="Arial"/>
                <w:b/>
                <w:sz w:val="18"/>
                <w:szCs w:val="18"/>
              </w:rPr>
              <w:t>Cantidad</w:t>
            </w:r>
          </w:p>
        </w:tc>
        <w:tc>
          <w:tcPr>
            <w:tcW w:w="1984" w:type="dxa"/>
            <w:shd w:val="clear" w:color="auto" w:fill="E2EFDA"/>
          </w:tcPr>
          <w:p w:rsidR="004A0DE3" w:rsidRPr="004712AD" w:rsidRDefault="004A0DE3" w:rsidP="004712AD">
            <w:pPr>
              <w:spacing w:before="100" w:beforeAutospacing="1" w:after="100" w:afterAutospacing="1" w:line="240" w:lineRule="auto"/>
              <w:jc w:val="center"/>
              <w:rPr>
                <w:rFonts w:eastAsia="Times New Roman" w:cs="Arial"/>
                <w:sz w:val="18"/>
                <w:szCs w:val="18"/>
              </w:rPr>
            </w:pPr>
            <w:r w:rsidRPr="004712AD">
              <w:rPr>
                <w:rFonts w:eastAsia="Times New Roman" w:cs="Arial"/>
                <w:sz w:val="18"/>
                <w:szCs w:val="18"/>
              </w:rPr>
              <w:t>118.557</w:t>
            </w:r>
          </w:p>
        </w:tc>
        <w:tc>
          <w:tcPr>
            <w:tcW w:w="2131" w:type="dxa"/>
            <w:shd w:val="clear" w:color="auto" w:fill="E2EFDA"/>
          </w:tcPr>
          <w:p w:rsidR="004A0DE3" w:rsidRPr="004712AD" w:rsidRDefault="004A0DE3" w:rsidP="004712AD">
            <w:pPr>
              <w:spacing w:before="100" w:beforeAutospacing="1" w:after="100" w:afterAutospacing="1" w:line="240" w:lineRule="auto"/>
              <w:jc w:val="center"/>
              <w:rPr>
                <w:rFonts w:eastAsia="Times New Roman" w:cs="Arial"/>
                <w:sz w:val="18"/>
                <w:szCs w:val="18"/>
              </w:rPr>
            </w:pPr>
            <w:r w:rsidRPr="004712AD">
              <w:rPr>
                <w:rFonts w:eastAsia="Times New Roman" w:cs="Arial"/>
                <w:sz w:val="18"/>
                <w:szCs w:val="18"/>
              </w:rPr>
              <w:t>263.761</w:t>
            </w:r>
          </w:p>
        </w:tc>
        <w:tc>
          <w:tcPr>
            <w:tcW w:w="2879" w:type="dxa"/>
            <w:shd w:val="clear" w:color="auto" w:fill="E2EFDA"/>
          </w:tcPr>
          <w:p w:rsidR="004A0DE3" w:rsidRPr="004712AD" w:rsidRDefault="004A0DE3" w:rsidP="004712AD">
            <w:pPr>
              <w:spacing w:before="100" w:beforeAutospacing="1" w:after="100" w:afterAutospacing="1" w:line="240" w:lineRule="auto"/>
              <w:jc w:val="center"/>
              <w:rPr>
                <w:rFonts w:eastAsia="Times New Roman" w:cs="Arial"/>
                <w:sz w:val="18"/>
                <w:szCs w:val="18"/>
              </w:rPr>
            </w:pPr>
            <w:r w:rsidRPr="004712AD">
              <w:rPr>
                <w:rFonts w:eastAsia="Times New Roman" w:cs="Arial"/>
                <w:sz w:val="18"/>
                <w:szCs w:val="18"/>
              </w:rPr>
              <w:t>4.628</w:t>
            </w:r>
          </w:p>
        </w:tc>
      </w:tr>
    </w:tbl>
    <w:p w:rsidR="004A0DE3" w:rsidRPr="004712AD" w:rsidRDefault="004A0DE3" w:rsidP="004712AD">
      <w:pPr>
        <w:pStyle w:val="Default"/>
        <w:spacing w:before="100" w:beforeAutospacing="1" w:after="100" w:afterAutospacing="1"/>
        <w:jc w:val="center"/>
        <w:rPr>
          <w:rFonts w:ascii="Arial" w:hAnsi="Arial" w:cs="Arial"/>
          <w:color w:val="auto"/>
          <w:sz w:val="16"/>
          <w:szCs w:val="16"/>
        </w:rPr>
      </w:pPr>
      <w:r w:rsidRPr="004712AD">
        <w:rPr>
          <w:rFonts w:ascii="Arial" w:hAnsi="Arial" w:cs="Arial"/>
          <w:b/>
          <w:color w:val="auto"/>
          <w:sz w:val="16"/>
          <w:szCs w:val="16"/>
        </w:rPr>
        <w:t>Fuente:</w:t>
      </w:r>
      <w:r w:rsidRPr="004712AD">
        <w:rPr>
          <w:rFonts w:ascii="Arial" w:hAnsi="Arial" w:cs="Arial"/>
          <w:color w:val="auto"/>
          <w:sz w:val="16"/>
          <w:szCs w:val="16"/>
        </w:rPr>
        <w:t xml:space="preserve"> Estadísticas propias de cada red social. Fecha de corte 31 de diciembre de 2017.</w:t>
      </w:r>
    </w:p>
    <w:p w:rsidR="004A0DE3" w:rsidRPr="00E2319F" w:rsidRDefault="004A0DE3" w:rsidP="004A0DE3">
      <w:pPr>
        <w:spacing w:before="100" w:beforeAutospacing="1" w:after="100" w:afterAutospacing="1" w:line="240" w:lineRule="auto"/>
        <w:jc w:val="both"/>
        <w:rPr>
          <w:rFonts w:cs="Arial"/>
          <w:b/>
        </w:rPr>
      </w:pPr>
      <w:r w:rsidRPr="00E2319F">
        <w:rPr>
          <w:rFonts w:cs="Arial"/>
          <w:b/>
        </w:rPr>
        <w:t>Comportamiento Redes Sociales</w:t>
      </w:r>
    </w:p>
    <w:p w:rsidR="004A0DE3" w:rsidRPr="00E2319F" w:rsidRDefault="004A0DE3" w:rsidP="004A0DE3">
      <w:pPr>
        <w:spacing w:before="100" w:beforeAutospacing="1" w:after="100" w:afterAutospacing="1" w:line="240" w:lineRule="auto"/>
        <w:contextualSpacing/>
        <w:jc w:val="both"/>
        <w:rPr>
          <w:rFonts w:cs="Arial"/>
        </w:rPr>
      </w:pPr>
      <w:r w:rsidRPr="00E2319F">
        <w:rPr>
          <w:rFonts w:cs="Arial"/>
        </w:rPr>
        <w:t xml:space="preserve">En la fecha de diciembre de 2017: </w:t>
      </w:r>
    </w:p>
    <w:p w:rsidR="004A0DE3" w:rsidRPr="00E2319F" w:rsidRDefault="004A0DE3" w:rsidP="00A44A2B">
      <w:pPr>
        <w:pStyle w:val="Prrafodelista"/>
        <w:numPr>
          <w:ilvl w:val="0"/>
          <w:numId w:val="106"/>
        </w:numPr>
        <w:spacing w:before="100" w:beforeAutospacing="1" w:after="100" w:afterAutospacing="1" w:line="240" w:lineRule="auto"/>
        <w:contextualSpacing/>
        <w:jc w:val="both"/>
        <w:rPr>
          <w:rFonts w:cs="Arial"/>
        </w:rPr>
      </w:pPr>
      <w:r w:rsidRPr="00E2319F">
        <w:rPr>
          <w:rFonts w:cs="Arial"/>
        </w:rPr>
        <w:t xml:space="preserve">Twitter contaba con 205.500 seguidores a la fecha cuenta con </w:t>
      </w:r>
      <w:r w:rsidRPr="00E2319F">
        <w:rPr>
          <w:rFonts w:eastAsia="Times New Roman" w:cs="Arial"/>
        </w:rPr>
        <w:t xml:space="preserve">263.761 </w:t>
      </w:r>
      <w:r w:rsidRPr="00E2319F">
        <w:rPr>
          <w:rFonts w:cs="Arial"/>
        </w:rPr>
        <w:t>seguidores</w:t>
      </w:r>
    </w:p>
    <w:p w:rsidR="004A0DE3" w:rsidRPr="00E2319F" w:rsidRDefault="004A0DE3" w:rsidP="00A44A2B">
      <w:pPr>
        <w:pStyle w:val="Prrafodelista"/>
        <w:numPr>
          <w:ilvl w:val="0"/>
          <w:numId w:val="106"/>
        </w:numPr>
        <w:spacing w:before="100" w:beforeAutospacing="1" w:after="100" w:afterAutospacing="1" w:line="240" w:lineRule="auto"/>
        <w:contextualSpacing/>
        <w:jc w:val="both"/>
        <w:rPr>
          <w:rFonts w:cs="Arial"/>
        </w:rPr>
      </w:pPr>
      <w:r w:rsidRPr="00E2319F">
        <w:rPr>
          <w:rFonts w:cs="Arial"/>
        </w:rPr>
        <w:t xml:space="preserve">Facebook con 78.950 y a la fecha </w:t>
      </w:r>
      <w:r w:rsidRPr="00E2319F">
        <w:rPr>
          <w:rFonts w:eastAsia="Times New Roman" w:cs="Arial"/>
        </w:rPr>
        <w:t>118.557</w:t>
      </w:r>
    </w:p>
    <w:p w:rsidR="004A0DE3" w:rsidRPr="00E2319F" w:rsidRDefault="004A0DE3" w:rsidP="00A44A2B">
      <w:pPr>
        <w:pStyle w:val="Prrafodelista"/>
        <w:numPr>
          <w:ilvl w:val="0"/>
          <w:numId w:val="106"/>
        </w:numPr>
        <w:spacing w:before="100" w:beforeAutospacing="1" w:after="100" w:afterAutospacing="1" w:line="240" w:lineRule="auto"/>
        <w:contextualSpacing/>
        <w:jc w:val="both"/>
        <w:rPr>
          <w:rFonts w:cs="Arial"/>
        </w:rPr>
      </w:pPr>
      <w:r w:rsidRPr="00E2319F">
        <w:rPr>
          <w:rFonts w:cs="Arial"/>
        </w:rPr>
        <w:t>Instagram en la actualidad 16.800</w:t>
      </w:r>
    </w:p>
    <w:p w:rsidR="004A0DE3" w:rsidRPr="00E2319F" w:rsidRDefault="004A0DE3" w:rsidP="00A44A2B">
      <w:pPr>
        <w:pStyle w:val="Prrafodelista"/>
        <w:numPr>
          <w:ilvl w:val="0"/>
          <w:numId w:val="106"/>
        </w:numPr>
        <w:spacing w:before="100" w:beforeAutospacing="1" w:after="100" w:afterAutospacing="1" w:line="240" w:lineRule="auto"/>
        <w:contextualSpacing/>
        <w:jc w:val="both"/>
        <w:rPr>
          <w:rFonts w:cs="Arial"/>
        </w:rPr>
      </w:pPr>
      <w:r w:rsidRPr="00E2319F">
        <w:rPr>
          <w:rFonts w:cs="Arial"/>
        </w:rPr>
        <w:t>En el primer semestre de 2017 el aumento de seguidores en las diferentes redes sociales ha sido consistente.</w:t>
      </w:r>
    </w:p>
    <w:p w:rsidR="004A0DE3" w:rsidRPr="00E2319F" w:rsidRDefault="004A0DE3" w:rsidP="004A0DE3">
      <w:pPr>
        <w:spacing w:before="100" w:beforeAutospacing="1" w:after="100" w:afterAutospacing="1" w:line="240" w:lineRule="auto"/>
        <w:contextualSpacing/>
        <w:jc w:val="both"/>
        <w:rPr>
          <w:rFonts w:cs="Arial"/>
        </w:rPr>
      </w:pPr>
      <w:r w:rsidRPr="00E2319F">
        <w:rPr>
          <w:rFonts w:cs="Arial"/>
        </w:rPr>
        <w:t xml:space="preserve">Atender a través de las redes sociales solicitudes de la ciudadanía, convirtiéndose en un canal de atención, en crecimiento, confiable y cercano a la sociedad. Logramos tener contacto y enlace permanente con la Dirección de Atención al Ciudadano para manejar un solo archivo de denuncias, quejas, reclamos y solicitudes que hacían llegar los usuarios. </w:t>
      </w:r>
    </w:p>
    <w:p w:rsidR="004A0DE3" w:rsidRPr="00E2319F" w:rsidRDefault="004A0DE3" w:rsidP="004A0DE3">
      <w:pPr>
        <w:pStyle w:val="Sinespaciado"/>
        <w:spacing w:before="100" w:beforeAutospacing="1" w:after="100" w:afterAutospacing="1"/>
        <w:jc w:val="both"/>
        <w:rPr>
          <w:rFonts w:cs="Arial"/>
        </w:rPr>
      </w:pPr>
      <w:r w:rsidRPr="00E2319F">
        <w:rPr>
          <w:rFonts w:cs="Arial"/>
        </w:rPr>
        <w:t xml:space="preserve">Producir más de 570 piezas gráficas y 390 fotos editadas que acompañan a nuestras campañas digitales enfocadas a la promoción y la prevención, lograron mejorar el impacto en redes sociales. </w:t>
      </w:r>
    </w:p>
    <w:p w:rsidR="004A0DE3" w:rsidRPr="00E2319F" w:rsidRDefault="004A0DE3" w:rsidP="00A44A2B">
      <w:pPr>
        <w:pStyle w:val="Prrafodelista"/>
        <w:numPr>
          <w:ilvl w:val="0"/>
          <w:numId w:val="105"/>
        </w:numPr>
        <w:spacing w:before="100" w:beforeAutospacing="1" w:after="100" w:afterAutospacing="1" w:line="240" w:lineRule="auto"/>
        <w:jc w:val="both"/>
        <w:rPr>
          <w:rFonts w:cs="Arial"/>
        </w:rPr>
      </w:pPr>
      <w:bookmarkStart w:id="195" w:name="_Toc470095223"/>
      <w:r w:rsidRPr="00E2319F">
        <w:rPr>
          <w:rFonts w:cs="Arial"/>
          <w:b/>
        </w:rPr>
        <w:t>Divulgación Institucional</w:t>
      </w:r>
      <w:bookmarkEnd w:id="195"/>
      <w:r w:rsidRPr="00E2319F">
        <w:rPr>
          <w:rFonts w:cs="Arial"/>
          <w:b/>
        </w:rPr>
        <w:t xml:space="preserve">: </w:t>
      </w:r>
      <w:r w:rsidRPr="00E2319F">
        <w:rPr>
          <w:rFonts w:cs="Arial"/>
        </w:rPr>
        <w:t>Se gestionaron todas las campañas de divulgación institucional relacionadas con el Instituto y la protección y garantía de los derechos de los niños, niñas y adolescentes y las familias colombianas. Así mismo, medios puntuales y especializados para cada una de las campañas.</w:t>
      </w:r>
    </w:p>
    <w:p w:rsidR="004A0DE3" w:rsidRPr="00E2319F" w:rsidRDefault="004A0DE3" w:rsidP="004A0DE3">
      <w:pPr>
        <w:spacing w:before="100" w:beforeAutospacing="1" w:after="100" w:afterAutospacing="1" w:line="240" w:lineRule="auto"/>
        <w:ind w:firstLine="360"/>
        <w:jc w:val="both"/>
        <w:rPr>
          <w:rFonts w:cs="Arial"/>
          <w:b/>
        </w:rPr>
      </w:pPr>
      <w:r w:rsidRPr="00E2319F">
        <w:rPr>
          <w:rFonts w:cs="Arial"/>
          <w:b/>
        </w:rPr>
        <w:lastRenderedPageBreak/>
        <w:t>Conceptualización y promoción de las campañas (nuevas campañas):</w:t>
      </w:r>
    </w:p>
    <w:p w:rsidR="004A0DE3" w:rsidRPr="00E2319F" w:rsidRDefault="004A0DE3" w:rsidP="00A44A2B">
      <w:pPr>
        <w:pStyle w:val="Default"/>
        <w:numPr>
          <w:ilvl w:val="0"/>
          <w:numId w:val="109"/>
        </w:numPr>
        <w:adjustRightInd/>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Diseñar,  conceptualizar y  producir la pieza audiovisual  "Sofía Siempre Sabe" Prevención Vulneración Derechos de los Niños.</w:t>
      </w:r>
    </w:p>
    <w:p w:rsidR="004A0DE3" w:rsidRPr="00E2319F" w:rsidRDefault="004A0DE3" w:rsidP="00A44A2B">
      <w:pPr>
        <w:pStyle w:val="Default"/>
        <w:numPr>
          <w:ilvl w:val="0"/>
          <w:numId w:val="109"/>
        </w:numPr>
        <w:adjustRightInd/>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Diseñar,  conceptualizar y  producir las piezas audiovisuales: “prevención de riesgos digitales” y “cuidados parentales”.</w:t>
      </w:r>
    </w:p>
    <w:p w:rsidR="004A0DE3" w:rsidRPr="00E2319F" w:rsidRDefault="004A0DE3" w:rsidP="00A44A2B">
      <w:pPr>
        <w:pStyle w:val="Default"/>
        <w:numPr>
          <w:ilvl w:val="0"/>
          <w:numId w:val="109"/>
        </w:numPr>
        <w:adjustRightInd/>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Diseñar,  conceptualizar y  producir la pieza audiovisual de promoción “BÚHO-Pautas de Crianza”.</w:t>
      </w:r>
    </w:p>
    <w:p w:rsidR="004A0DE3" w:rsidRPr="00E2319F" w:rsidRDefault="004A0DE3" w:rsidP="00A44A2B">
      <w:pPr>
        <w:pStyle w:val="Default"/>
        <w:numPr>
          <w:ilvl w:val="0"/>
          <w:numId w:val="109"/>
        </w:numPr>
        <w:adjustRightInd/>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Diseñar y  conceptualizar la campaña Promoción “1000 días para cambiar el mundo”.</w:t>
      </w:r>
    </w:p>
    <w:p w:rsidR="004A0DE3" w:rsidRPr="00E2319F" w:rsidRDefault="004A0DE3" w:rsidP="00A44A2B">
      <w:pPr>
        <w:pStyle w:val="Default"/>
        <w:numPr>
          <w:ilvl w:val="0"/>
          <w:numId w:val="109"/>
        </w:numPr>
        <w:adjustRightInd/>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Realización de dos piezas audiovisuales sobre adopciones.</w:t>
      </w:r>
    </w:p>
    <w:p w:rsidR="004A0DE3" w:rsidRPr="00E2319F" w:rsidRDefault="004A0DE3" w:rsidP="00A44A2B">
      <w:pPr>
        <w:pStyle w:val="Default"/>
        <w:numPr>
          <w:ilvl w:val="0"/>
          <w:numId w:val="109"/>
        </w:numPr>
        <w:adjustRightInd/>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Diseñar y  conceptualizar la campaña de Prevención “Presentes contra el trabajo infantil”.</w:t>
      </w:r>
    </w:p>
    <w:p w:rsidR="004A0DE3" w:rsidRPr="00E2319F" w:rsidRDefault="004A0DE3" w:rsidP="00A44A2B">
      <w:pPr>
        <w:pStyle w:val="Default"/>
        <w:numPr>
          <w:ilvl w:val="0"/>
          <w:numId w:val="109"/>
        </w:numPr>
        <w:adjustRightInd/>
        <w:spacing w:before="100" w:beforeAutospacing="1" w:after="100" w:afterAutospacing="1"/>
        <w:jc w:val="both"/>
        <w:rPr>
          <w:rFonts w:ascii="Arial" w:hAnsi="Arial" w:cs="Arial"/>
          <w:color w:val="auto"/>
          <w:sz w:val="22"/>
          <w:szCs w:val="22"/>
        </w:rPr>
      </w:pPr>
      <w:r w:rsidRPr="00E2319F">
        <w:rPr>
          <w:rFonts w:ascii="Arial" w:hAnsi="Arial" w:cs="Arial"/>
          <w:color w:val="auto"/>
          <w:sz w:val="22"/>
          <w:szCs w:val="22"/>
        </w:rPr>
        <w:t>Conceptualizar la campaña de Prevención de “Explotación Sexual Comercial”.</w:t>
      </w:r>
    </w:p>
    <w:p w:rsidR="004A0DE3" w:rsidRPr="00E2319F" w:rsidRDefault="004A0DE3" w:rsidP="00A44A2B">
      <w:pPr>
        <w:pStyle w:val="Default"/>
        <w:numPr>
          <w:ilvl w:val="0"/>
          <w:numId w:val="104"/>
        </w:numPr>
        <w:adjustRightInd/>
        <w:spacing w:before="100" w:beforeAutospacing="1" w:after="100" w:afterAutospacing="1"/>
        <w:jc w:val="both"/>
        <w:rPr>
          <w:rFonts w:ascii="Arial" w:hAnsi="Arial" w:cs="Arial"/>
          <w:color w:val="auto"/>
          <w:sz w:val="22"/>
          <w:szCs w:val="22"/>
        </w:rPr>
      </w:pPr>
      <w:bookmarkStart w:id="196" w:name="_Toc470095224"/>
      <w:bookmarkStart w:id="197" w:name="_Toc473525904"/>
      <w:r w:rsidRPr="00E2319F">
        <w:rPr>
          <w:rFonts w:ascii="Arial" w:hAnsi="Arial" w:cs="Arial"/>
          <w:b/>
          <w:color w:val="auto"/>
          <w:sz w:val="22"/>
          <w:szCs w:val="22"/>
        </w:rPr>
        <w:t>Promoción de la Línea 141</w:t>
      </w:r>
      <w:r w:rsidRPr="00E2319F">
        <w:rPr>
          <w:rFonts w:ascii="Arial" w:hAnsi="Arial" w:cs="Arial"/>
          <w:color w:val="auto"/>
          <w:sz w:val="22"/>
          <w:szCs w:val="22"/>
        </w:rPr>
        <w:t xml:space="preserve"> - Línea de protección a niños, niñas y adolescentes – Denuncia – emergencia – orientación. Marcar 3 números puede cambiar una historia.</w:t>
      </w:r>
    </w:p>
    <w:p w:rsidR="004A0DE3" w:rsidRPr="00E2319F" w:rsidRDefault="004A0DE3" w:rsidP="00A44A2B">
      <w:pPr>
        <w:pStyle w:val="Default"/>
        <w:numPr>
          <w:ilvl w:val="0"/>
          <w:numId w:val="104"/>
        </w:numPr>
        <w:adjustRightInd/>
        <w:spacing w:before="100" w:beforeAutospacing="1" w:after="100" w:afterAutospacing="1"/>
        <w:jc w:val="both"/>
        <w:rPr>
          <w:rFonts w:ascii="Arial" w:hAnsi="Arial" w:cs="Arial"/>
          <w:color w:val="auto"/>
          <w:sz w:val="22"/>
          <w:szCs w:val="22"/>
        </w:rPr>
      </w:pPr>
      <w:r w:rsidRPr="00E2319F">
        <w:rPr>
          <w:rFonts w:ascii="Arial" w:hAnsi="Arial" w:cs="Arial"/>
          <w:b/>
          <w:color w:val="auto"/>
          <w:sz w:val="22"/>
          <w:szCs w:val="22"/>
        </w:rPr>
        <w:t xml:space="preserve">Campaña de Prevención </w:t>
      </w:r>
      <w:r w:rsidRPr="00E2319F">
        <w:rPr>
          <w:rFonts w:ascii="Arial" w:hAnsi="Arial" w:cs="Arial"/>
          <w:color w:val="auto"/>
          <w:sz w:val="22"/>
          <w:szCs w:val="22"/>
        </w:rPr>
        <w:t>del uso de la pólvora – “Fiesta sin pólvora”</w:t>
      </w:r>
    </w:p>
    <w:p w:rsidR="004A0DE3" w:rsidRPr="00E2319F" w:rsidRDefault="004A0DE3" w:rsidP="00A44A2B">
      <w:pPr>
        <w:pStyle w:val="Default"/>
        <w:numPr>
          <w:ilvl w:val="0"/>
          <w:numId w:val="104"/>
        </w:numPr>
        <w:adjustRightInd/>
        <w:spacing w:before="100" w:beforeAutospacing="1" w:after="100" w:afterAutospacing="1"/>
        <w:jc w:val="both"/>
        <w:rPr>
          <w:rFonts w:ascii="Arial" w:hAnsi="Arial" w:cs="Arial"/>
          <w:color w:val="auto"/>
          <w:sz w:val="22"/>
          <w:szCs w:val="22"/>
        </w:rPr>
      </w:pPr>
      <w:r w:rsidRPr="00E2319F">
        <w:rPr>
          <w:rFonts w:ascii="Arial" w:hAnsi="Arial" w:cs="Arial"/>
          <w:b/>
          <w:color w:val="auto"/>
          <w:sz w:val="22"/>
          <w:szCs w:val="22"/>
        </w:rPr>
        <w:t xml:space="preserve">Campaña de Prevención </w:t>
      </w:r>
      <w:r w:rsidRPr="00E2319F">
        <w:rPr>
          <w:rFonts w:ascii="Arial" w:hAnsi="Arial" w:cs="Arial"/>
          <w:color w:val="auto"/>
          <w:sz w:val="22"/>
          <w:szCs w:val="22"/>
        </w:rPr>
        <w:t>de embarazo en la Adolescencia – “Yo Cuido Mi Futuro”</w:t>
      </w:r>
    </w:p>
    <w:p w:rsidR="004A0DE3" w:rsidRPr="00E2319F" w:rsidRDefault="004A0DE3" w:rsidP="00A44A2B">
      <w:pPr>
        <w:pStyle w:val="Default"/>
        <w:numPr>
          <w:ilvl w:val="0"/>
          <w:numId w:val="104"/>
        </w:numPr>
        <w:adjustRightInd/>
        <w:spacing w:before="100" w:beforeAutospacing="1" w:after="100" w:afterAutospacing="1"/>
        <w:jc w:val="both"/>
        <w:rPr>
          <w:rFonts w:ascii="Arial" w:hAnsi="Arial" w:cs="Arial"/>
          <w:color w:val="auto"/>
          <w:sz w:val="22"/>
          <w:szCs w:val="22"/>
        </w:rPr>
      </w:pPr>
      <w:r w:rsidRPr="00E2319F">
        <w:rPr>
          <w:rFonts w:ascii="Arial" w:hAnsi="Arial" w:cs="Arial"/>
          <w:b/>
          <w:color w:val="auto"/>
          <w:sz w:val="22"/>
          <w:szCs w:val="22"/>
        </w:rPr>
        <w:t xml:space="preserve">Estrategia de Promoción de </w:t>
      </w:r>
      <w:r w:rsidRPr="00E2319F">
        <w:rPr>
          <w:rFonts w:ascii="Arial" w:hAnsi="Arial" w:cs="Arial"/>
          <w:color w:val="auto"/>
          <w:sz w:val="22"/>
          <w:szCs w:val="22"/>
        </w:rPr>
        <w:t>Pautas de Crianza.</w:t>
      </w:r>
    </w:p>
    <w:p w:rsidR="004A0DE3" w:rsidRDefault="004A0DE3" w:rsidP="00A44A2B">
      <w:pPr>
        <w:numPr>
          <w:ilvl w:val="0"/>
          <w:numId w:val="51"/>
        </w:numPr>
        <w:spacing w:after="0" w:line="240" w:lineRule="auto"/>
        <w:ind w:left="720"/>
        <w:contextualSpacing/>
        <w:jc w:val="both"/>
        <w:rPr>
          <w:rFonts w:cs="Arial"/>
        </w:rPr>
      </w:pPr>
      <w:bookmarkStart w:id="198" w:name="_Toc470095225"/>
      <w:bookmarkEnd w:id="196"/>
      <w:bookmarkEnd w:id="197"/>
      <w:r w:rsidRPr="004712AD">
        <w:rPr>
          <w:rFonts w:cs="Arial"/>
          <w:b/>
        </w:rPr>
        <w:t>Radio</w:t>
      </w:r>
      <w:bookmarkEnd w:id="198"/>
      <w:r w:rsidRPr="004712AD">
        <w:rPr>
          <w:rFonts w:cs="Arial"/>
          <w:b/>
        </w:rPr>
        <w:t>:</w:t>
      </w:r>
      <w:r w:rsidRPr="004712AD">
        <w:rPr>
          <w:rFonts w:cs="Arial"/>
        </w:rPr>
        <w:t xml:space="preserve"> </w:t>
      </w:r>
      <w:r w:rsidRPr="00E2319F">
        <w:rPr>
          <w:rFonts w:cs="Arial"/>
        </w:rPr>
        <w:t>Se logró la pre producción, producción, posproducción y emisión de programas radiales para la promoción de los derechos de los niños, niñas y adolescentes en el marco de la Ley de la Infancia y la Adolescencia, con dos en alianzas: Caracol - Programa en Familia: 52 emisiones y RCN - Programa Mañanas con Bienestar: 52 emisiones.</w:t>
      </w:r>
    </w:p>
    <w:p w:rsidR="004712AD" w:rsidRPr="004712AD" w:rsidRDefault="004712AD" w:rsidP="004712AD">
      <w:pPr>
        <w:spacing w:after="0" w:line="240" w:lineRule="auto"/>
        <w:ind w:left="720"/>
        <w:contextualSpacing/>
        <w:jc w:val="both"/>
        <w:rPr>
          <w:rFonts w:cs="Arial"/>
          <w:b/>
        </w:rPr>
      </w:pPr>
    </w:p>
    <w:p w:rsidR="004712AD" w:rsidRDefault="004A0DE3" w:rsidP="00A44A2B">
      <w:pPr>
        <w:numPr>
          <w:ilvl w:val="0"/>
          <w:numId w:val="51"/>
        </w:numPr>
        <w:spacing w:after="0" w:line="240" w:lineRule="auto"/>
        <w:ind w:left="720"/>
        <w:contextualSpacing/>
        <w:jc w:val="both"/>
        <w:rPr>
          <w:rFonts w:cs="Arial"/>
        </w:rPr>
      </w:pPr>
      <w:bookmarkStart w:id="199" w:name="_Toc470095226"/>
      <w:r w:rsidRPr="004712AD">
        <w:rPr>
          <w:rFonts w:cs="Arial"/>
          <w:b/>
        </w:rPr>
        <w:t>Televisión</w:t>
      </w:r>
      <w:bookmarkEnd w:id="199"/>
      <w:r w:rsidRPr="004712AD">
        <w:rPr>
          <w:rFonts w:cs="Arial"/>
          <w:b/>
        </w:rPr>
        <w:t>:</w:t>
      </w:r>
      <w:r w:rsidRPr="004712AD">
        <w:rPr>
          <w:rFonts w:cs="Arial"/>
        </w:rPr>
        <w:t xml:space="preserve"> Programa de Televisión "Cambiando el Mundo</w:t>
      </w:r>
      <w:r w:rsidRPr="00E2319F">
        <w:rPr>
          <w:rFonts w:cs="Arial"/>
        </w:rPr>
        <w:t>“: se emitieron 45 programas</w:t>
      </w:r>
      <w:r w:rsidRPr="004712AD">
        <w:rPr>
          <w:rFonts w:cs="Arial"/>
        </w:rPr>
        <w:t xml:space="preserve"> en donde el ICBF busca llegar a todas las regiones del país para orientar a los padres de familia, adultos responsables del cuidado de los niños, niñas y adolescentes, y a los agentes comunitarios sobre formación y cuidado, mediante crónicas, testimonios y reportajes, y de esta manera garantizar a la infancia y adolescencia colombiana su desarrollo integral, en el seno de una familia y en un ambiente de felicidad, amor y comprensión.</w:t>
      </w:r>
    </w:p>
    <w:p w:rsidR="004712AD" w:rsidRPr="004712AD" w:rsidRDefault="004712AD" w:rsidP="004712AD">
      <w:pPr>
        <w:spacing w:after="0" w:line="240" w:lineRule="auto"/>
        <w:ind w:left="720"/>
        <w:contextualSpacing/>
        <w:jc w:val="both"/>
        <w:rPr>
          <w:rFonts w:cs="Arial"/>
        </w:rPr>
      </w:pPr>
    </w:p>
    <w:p w:rsidR="004A0DE3" w:rsidRPr="00E2319F" w:rsidRDefault="004A0DE3" w:rsidP="00A44A2B">
      <w:pPr>
        <w:numPr>
          <w:ilvl w:val="0"/>
          <w:numId w:val="51"/>
        </w:numPr>
        <w:spacing w:after="0" w:line="240" w:lineRule="auto"/>
        <w:ind w:left="720"/>
        <w:contextualSpacing/>
        <w:jc w:val="both"/>
        <w:rPr>
          <w:rFonts w:cs="Arial"/>
        </w:rPr>
      </w:pPr>
      <w:r w:rsidRPr="004712AD">
        <w:rPr>
          <w:rFonts w:cs="Arial"/>
          <w:b/>
        </w:rPr>
        <w:t>Espacio Institucional “Me conoces”:</w:t>
      </w:r>
      <w:r w:rsidRPr="004712AD">
        <w:rPr>
          <w:rFonts w:cs="Arial"/>
        </w:rPr>
        <w:t xml:space="preserve"> </w:t>
      </w:r>
      <w:r w:rsidRPr="00E2319F">
        <w:rPr>
          <w:rFonts w:cs="Arial"/>
        </w:rPr>
        <w:t>constituye una herramienta en la labor de los defensores de familias. A través de este espacio, se hizo más efectiva la búsqueda de las familias de los niños, niñas y adolescentes que se encuentran bajo medida de protección del ICBF, garantizando así la protección y restitución de sus derechos fundamentales</w:t>
      </w:r>
      <w:r w:rsidRPr="004712AD">
        <w:rPr>
          <w:rFonts w:cs="Arial"/>
        </w:rPr>
        <w:t>.</w:t>
      </w:r>
      <w:r w:rsidRPr="00E2319F">
        <w:rPr>
          <w:rFonts w:cs="Arial"/>
        </w:rPr>
        <w:t xml:space="preserve"> Transmisión a través de los canales: RCN,  Caracol, Institucional, City tv, Capital, Señal Colombia, Línea tv, El Canal, Canal Uno, Canal 13, Enlace Colombia, CNB TV. </w:t>
      </w:r>
    </w:p>
    <w:p w:rsidR="00A23001" w:rsidRDefault="00A23001" w:rsidP="004A0DE3">
      <w:pPr>
        <w:pStyle w:val="Default"/>
        <w:spacing w:before="100" w:beforeAutospacing="1" w:after="100" w:afterAutospacing="1"/>
        <w:jc w:val="both"/>
        <w:rPr>
          <w:rFonts w:ascii="Arial" w:hAnsi="Arial" w:cs="Arial"/>
          <w:b/>
          <w:color w:val="auto"/>
          <w:sz w:val="22"/>
          <w:szCs w:val="22"/>
        </w:rPr>
      </w:pPr>
    </w:p>
    <w:p w:rsidR="00A23001" w:rsidRDefault="00A23001" w:rsidP="004A0DE3">
      <w:pPr>
        <w:pStyle w:val="Default"/>
        <w:spacing w:before="100" w:beforeAutospacing="1" w:after="100" w:afterAutospacing="1"/>
        <w:jc w:val="both"/>
        <w:rPr>
          <w:rFonts w:ascii="Arial" w:hAnsi="Arial" w:cs="Arial"/>
          <w:b/>
          <w:color w:val="auto"/>
          <w:sz w:val="22"/>
          <w:szCs w:val="22"/>
        </w:rPr>
      </w:pPr>
    </w:p>
    <w:p w:rsidR="00A23001" w:rsidRDefault="00A23001" w:rsidP="004A0DE3">
      <w:pPr>
        <w:pStyle w:val="Default"/>
        <w:spacing w:before="100" w:beforeAutospacing="1" w:after="100" w:afterAutospacing="1"/>
        <w:jc w:val="both"/>
        <w:rPr>
          <w:rFonts w:ascii="Arial" w:hAnsi="Arial" w:cs="Arial"/>
          <w:b/>
          <w:color w:val="auto"/>
          <w:sz w:val="22"/>
          <w:szCs w:val="22"/>
        </w:rPr>
      </w:pPr>
    </w:p>
    <w:p w:rsidR="004A0DE3" w:rsidRPr="00E2319F" w:rsidRDefault="004A0DE3" w:rsidP="004A0DE3">
      <w:pPr>
        <w:pStyle w:val="Default"/>
        <w:spacing w:before="100" w:beforeAutospacing="1" w:after="100" w:afterAutospacing="1"/>
        <w:jc w:val="both"/>
        <w:rPr>
          <w:rFonts w:ascii="Arial" w:hAnsi="Arial" w:cs="Arial"/>
          <w:b/>
          <w:color w:val="auto"/>
          <w:sz w:val="22"/>
          <w:szCs w:val="22"/>
        </w:rPr>
      </w:pPr>
      <w:r w:rsidRPr="00E2319F">
        <w:rPr>
          <w:rFonts w:ascii="Arial" w:hAnsi="Arial" w:cs="Arial"/>
          <w:b/>
          <w:color w:val="auto"/>
          <w:sz w:val="22"/>
          <w:szCs w:val="22"/>
        </w:rPr>
        <w:lastRenderedPageBreak/>
        <w:t xml:space="preserve">Publicaciones niños y niñas en el programa </w:t>
      </w:r>
      <w:r w:rsidR="00A23001">
        <w:rPr>
          <w:rFonts w:ascii="Arial" w:hAnsi="Arial" w:cs="Arial"/>
          <w:b/>
          <w:color w:val="auto"/>
          <w:sz w:val="22"/>
          <w:szCs w:val="22"/>
        </w:rPr>
        <w:t>y citaciones página web</w:t>
      </w:r>
    </w:p>
    <w:tbl>
      <w:tblPr>
        <w:tblW w:w="7938" w:type="dxa"/>
        <w:tblInd w:w="704"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2410"/>
        <w:gridCol w:w="5528"/>
      </w:tblGrid>
      <w:tr w:rsidR="004A0DE3" w:rsidRPr="004712AD" w:rsidTr="004712AD">
        <w:trPr>
          <w:trHeight w:val="20"/>
          <w:tblHeader/>
        </w:trPr>
        <w:tc>
          <w:tcPr>
            <w:tcW w:w="2410" w:type="dxa"/>
            <w:shd w:val="clear" w:color="auto" w:fill="76922E"/>
            <w:vAlign w:val="center"/>
          </w:tcPr>
          <w:p w:rsidR="004A0DE3" w:rsidRPr="004712AD" w:rsidRDefault="004A0DE3" w:rsidP="004712AD">
            <w:pPr>
              <w:pStyle w:val="Default"/>
              <w:spacing w:before="100" w:beforeAutospacing="1" w:after="100" w:afterAutospacing="1"/>
              <w:jc w:val="center"/>
              <w:rPr>
                <w:rFonts w:ascii="Arial" w:hAnsi="Arial" w:cs="Arial"/>
                <w:b/>
                <w:color w:val="FFFFFF" w:themeColor="background1"/>
                <w:sz w:val="18"/>
                <w:szCs w:val="18"/>
              </w:rPr>
            </w:pPr>
            <w:r w:rsidRPr="004712AD">
              <w:rPr>
                <w:rFonts w:ascii="Arial" w:hAnsi="Arial" w:cs="Arial"/>
                <w:b/>
                <w:color w:val="FFFFFF" w:themeColor="background1"/>
                <w:sz w:val="18"/>
                <w:szCs w:val="18"/>
              </w:rPr>
              <w:t>Niños Publicados en el programa</w:t>
            </w:r>
          </w:p>
        </w:tc>
        <w:tc>
          <w:tcPr>
            <w:tcW w:w="5528" w:type="dxa"/>
            <w:shd w:val="clear" w:color="auto" w:fill="76922E"/>
            <w:vAlign w:val="center"/>
          </w:tcPr>
          <w:p w:rsidR="004A0DE3" w:rsidRPr="004712AD" w:rsidRDefault="004A0DE3" w:rsidP="004712AD">
            <w:pPr>
              <w:pStyle w:val="Default"/>
              <w:spacing w:before="100" w:beforeAutospacing="1" w:after="100" w:afterAutospacing="1"/>
              <w:jc w:val="center"/>
              <w:rPr>
                <w:rFonts w:ascii="Arial" w:hAnsi="Arial" w:cs="Arial"/>
                <w:b/>
                <w:color w:val="FFFFFF" w:themeColor="background1"/>
                <w:sz w:val="18"/>
                <w:szCs w:val="18"/>
              </w:rPr>
            </w:pPr>
            <w:r w:rsidRPr="004712AD">
              <w:rPr>
                <w:rFonts w:ascii="Arial" w:hAnsi="Arial" w:cs="Arial"/>
                <w:b/>
                <w:color w:val="FFFFFF" w:themeColor="background1"/>
                <w:sz w:val="18"/>
                <w:szCs w:val="18"/>
              </w:rPr>
              <w:t>Citaciones página web</w:t>
            </w:r>
          </w:p>
          <w:p w:rsidR="004A0DE3" w:rsidRPr="004712AD" w:rsidRDefault="000E0283" w:rsidP="004712AD">
            <w:pPr>
              <w:pStyle w:val="Default"/>
              <w:spacing w:before="100" w:beforeAutospacing="1" w:after="100" w:afterAutospacing="1"/>
              <w:jc w:val="center"/>
              <w:rPr>
                <w:rFonts w:ascii="Arial" w:hAnsi="Arial" w:cs="Arial"/>
                <w:color w:val="FFFFFF" w:themeColor="background1"/>
                <w:sz w:val="18"/>
                <w:szCs w:val="18"/>
              </w:rPr>
            </w:pPr>
            <w:hyperlink r:id="rId89" w:history="1">
              <w:r w:rsidR="004A0DE3" w:rsidRPr="004712AD">
                <w:rPr>
                  <w:rStyle w:val="Hipervnculo"/>
                  <w:rFonts w:ascii="Arial" w:hAnsi="Arial" w:cs="Arial"/>
                  <w:color w:val="FFFFFF" w:themeColor="background1"/>
                  <w:sz w:val="18"/>
                  <w:szCs w:val="18"/>
                </w:rPr>
                <w:t>http://www.icbf.gov.co/portal/page/portal/IntranetICBF/medios/ProgramaLNBSH</w:t>
              </w:r>
            </w:hyperlink>
          </w:p>
        </w:tc>
      </w:tr>
      <w:tr w:rsidR="004A0DE3" w:rsidRPr="004712AD" w:rsidTr="004712AD">
        <w:trPr>
          <w:trHeight w:val="20"/>
        </w:trPr>
        <w:tc>
          <w:tcPr>
            <w:tcW w:w="2410" w:type="dxa"/>
            <w:shd w:val="clear" w:color="auto" w:fill="auto"/>
            <w:vAlign w:val="center"/>
          </w:tcPr>
          <w:p w:rsidR="004A0DE3" w:rsidRPr="004712AD" w:rsidRDefault="004A0DE3" w:rsidP="004712AD">
            <w:pPr>
              <w:pStyle w:val="Default"/>
              <w:spacing w:before="100" w:beforeAutospacing="1" w:after="100" w:afterAutospacing="1"/>
              <w:jc w:val="center"/>
              <w:rPr>
                <w:rFonts w:ascii="Arial" w:hAnsi="Arial" w:cs="Arial"/>
                <w:color w:val="auto"/>
                <w:sz w:val="18"/>
                <w:szCs w:val="18"/>
              </w:rPr>
            </w:pPr>
            <w:r w:rsidRPr="004712AD">
              <w:rPr>
                <w:rFonts w:ascii="Arial" w:hAnsi="Arial" w:cs="Arial"/>
                <w:color w:val="auto"/>
                <w:sz w:val="18"/>
                <w:szCs w:val="18"/>
              </w:rPr>
              <w:t>5.592</w:t>
            </w:r>
          </w:p>
        </w:tc>
        <w:tc>
          <w:tcPr>
            <w:tcW w:w="5528" w:type="dxa"/>
            <w:shd w:val="clear" w:color="auto" w:fill="auto"/>
            <w:vAlign w:val="center"/>
          </w:tcPr>
          <w:p w:rsidR="004A0DE3" w:rsidRPr="004712AD" w:rsidRDefault="004A0DE3" w:rsidP="004712AD">
            <w:pPr>
              <w:pStyle w:val="Default"/>
              <w:spacing w:before="100" w:beforeAutospacing="1" w:after="100" w:afterAutospacing="1"/>
              <w:jc w:val="center"/>
              <w:rPr>
                <w:rFonts w:ascii="Arial" w:hAnsi="Arial" w:cs="Arial"/>
                <w:color w:val="auto"/>
                <w:sz w:val="18"/>
                <w:szCs w:val="18"/>
              </w:rPr>
            </w:pPr>
            <w:r w:rsidRPr="004712AD">
              <w:rPr>
                <w:rFonts w:ascii="Arial" w:hAnsi="Arial" w:cs="Arial"/>
                <w:color w:val="auto"/>
                <w:sz w:val="18"/>
                <w:szCs w:val="18"/>
              </w:rPr>
              <w:t>28.037</w:t>
            </w:r>
          </w:p>
        </w:tc>
      </w:tr>
    </w:tbl>
    <w:p w:rsidR="004A0DE3" w:rsidRPr="004712AD" w:rsidRDefault="004A0DE3" w:rsidP="004712AD">
      <w:pPr>
        <w:pStyle w:val="Default"/>
        <w:spacing w:after="100" w:afterAutospacing="1"/>
        <w:jc w:val="center"/>
        <w:rPr>
          <w:rStyle w:val="Hipervnculo"/>
          <w:rFonts w:ascii="Arial" w:hAnsi="Arial" w:cs="Arial"/>
          <w:color w:val="auto"/>
          <w:sz w:val="16"/>
          <w:szCs w:val="16"/>
        </w:rPr>
      </w:pPr>
      <w:r w:rsidRPr="004712AD">
        <w:rPr>
          <w:rFonts w:ascii="Arial" w:hAnsi="Arial" w:cs="Arial"/>
          <w:b/>
          <w:color w:val="auto"/>
          <w:sz w:val="16"/>
          <w:szCs w:val="16"/>
        </w:rPr>
        <w:t>Fuente:</w:t>
      </w:r>
      <w:r w:rsidRPr="004712AD">
        <w:rPr>
          <w:rFonts w:ascii="Arial" w:hAnsi="Arial" w:cs="Arial"/>
          <w:color w:val="auto"/>
          <w:sz w:val="16"/>
          <w:szCs w:val="16"/>
        </w:rPr>
        <w:t xml:space="preserve"> Publicaciones Intranet - </w:t>
      </w:r>
      <w:hyperlink r:id="rId90" w:history="1">
        <w:r w:rsidRPr="004712AD">
          <w:rPr>
            <w:rStyle w:val="Hipervnculo"/>
            <w:rFonts w:ascii="Arial" w:hAnsi="Arial" w:cs="Arial"/>
            <w:color w:val="auto"/>
            <w:sz w:val="16"/>
            <w:szCs w:val="16"/>
          </w:rPr>
          <w:t>http://www.icbf.gov.co/portal/page/portal/IntranetICBF/medios/ProgramaLNBSH</w:t>
        </w:r>
      </w:hyperlink>
      <w:r w:rsidRPr="004712AD">
        <w:rPr>
          <w:rStyle w:val="Hipervnculo"/>
          <w:rFonts w:ascii="Arial" w:hAnsi="Arial" w:cs="Arial"/>
          <w:color w:val="auto"/>
          <w:sz w:val="16"/>
          <w:szCs w:val="16"/>
        </w:rPr>
        <w:t xml:space="preserve"> </w:t>
      </w:r>
      <w:r w:rsidRPr="004712AD">
        <w:rPr>
          <w:rStyle w:val="Hipervnculo"/>
          <w:rFonts w:ascii="Arial" w:hAnsi="Arial" w:cs="Arial"/>
          <w:color w:val="auto"/>
          <w:sz w:val="16"/>
          <w:szCs w:val="16"/>
        </w:rPr>
        <w:br/>
        <w:t>Fecha de corte 31 de diciembre de 2017.</w:t>
      </w:r>
    </w:p>
    <w:p w:rsidR="004A0DE3" w:rsidRPr="004712AD" w:rsidRDefault="004A0DE3" w:rsidP="00A44A2B">
      <w:pPr>
        <w:numPr>
          <w:ilvl w:val="0"/>
          <w:numId w:val="51"/>
        </w:numPr>
        <w:spacing w:after="0" w:line="240" w:lineRule="auto"/>
        <w:ind w:left="720"/>
        <w:contextualSpacing/>
        <w:jc w:val="both"/>
        <w:rPr>
          <w:rFonts w:cs="Arial"/>
        </w:rPr>
      </w:pPr>
      <w:r w:rsidRPr="004712AD">
        <w:rPr>
          <w:rFonts w:cs="Arial"/>
          <w:b/>
        </w:rPr>
        <w:t>Imagen Corporativa:</w:t>
      </w:r>
      <w:r w:rsidRPr="004712AD">
        <w:rPr>
          <w:rFonts w:cs="Arial"/>
        </w:rPr>
        <w:t xml:space="preserve"> Asesorar, apoyar, coordinar y realizar piezas de comunicación, velando por el buen uso y aplicación de la imagen institucional, con el fin de posicionar y lograr unidad de imagen en piezas de comunicación digitales, virtuales o impresas, de los programas, proyectos, estrategias y servicios del ICBF, realizados directamente por la entidad o productos con terceros (convenios, contratos, etc.), con el fin de lograr una identidad corporativa y posicionamiento de marca.</w:t>
      </w:r>
    </w:p>
    <w:p w:rsidR="004712AD" w:rsidRPr="004712AD" w:rsidRDefault="004712AD" w:rsidP="004712AD">
      <w:pPr>
        <w:spacing w:after="0" w:line="240" w:lineRule="auto"/>
        <w:ind w:left="720"/>
        <w:contextualSpacing/>
        <w:jc w:val="both"/>
      </w:pPr>
    </w:p>
    <w:p w:rsidR="004A0DE3" w:rsidRDefault="004A0DE3" w:rsidP="00A44A2B">
      <w:pPr>
        <w:numPr>
          <w:ilvl w:val="0"/>
          <w:numId w:val="51"/>
        </w:numPr>
        <w:spacing w:after="0" w:line="240" w:lineRule="auto"/>
        <w:ind w:left="720"/>
        <w:contextualSpacing/>
        <w:jc w:val="both"/>
        <w:rPr>
          <w:rFonts w:cs="Arial"/>
        </w:rPr>
      </w:pPr>
      <w:r w:rsidRPr="004712AD">
        <w:rPr>
          <w:rFonts w:cs="Arial"/>
          <w:b/>
        </w:rPr>
        <w:t>Entorno Protector Digital “BÚHO”:</w:t>
      </w:r>
      <w:r w:rsidRPr="004712AD">
        <w:rPr>
          <w:rFonts w:cs="Arial"/>
        </w:rPr>
        <w:t xml:space="preserve"> Es una herramienta interactiva y dinámica por medio de la cual el ICBF quiere establecer un diálogo comprensivo y constante con las familias, las madres, los cuidadores, la comunidad educativa y la comunidad en general, en el que, de manera amigable y accesible, la ciudadanía encuentre información y orientación confiable acerca de los programas e iniciativas que promueve la entidad en beneficio de los niños, niñas, adolescentes y familias colombianas.</w:t>
      </w:r>
    </w:p>
    <w:p w:rsidR="004712AD" w:rsidRPr="004712AD" w:rsidRDefault="004712AD" w:rsidP="004712AD">
      <w:pPr>
        <w:spacing w:after="0" w:line="240" w:lineRule="auto"/>
        <w:contextualSpacing/>
        <w:jc w:val="both"/>
        <w:rPr>
          <w:rFonts w:cs="Arial"/>
        </w:rPr>
      </w:pPr>
    </w:p>
    <w:p w:rsidR="004A0DE3" w:rsidRDefault="004A0DE3" w:rsidP="00A44A2B">
      <w:pPr>
        <w:pStyle w:val="Ttulo2"/>
        <w:numPr>
          <w:ilvl w:val="1"/>
          <w:numId w:val="139"/>
        </w:numPr>
        <w:rPr>
          <w:rFonts w:cs="Arial"/>
          <w:b/>
        </w:rPr>
      </w:pPr>
      <w:bookmarkStart w:id="200" w:name="_Toc503953701"/>
      <w:bookmarkStart w:id="201" w:name="_Toc505183121"/>
      <w:r w:rsidRPr="00E2319F">
        <w:rPr>
          <w:rFonts w:cs="Arial"/>
          <w:b/>
        </w:rPr>
        <w:t>LOGROS</w:t>
      </w:r>
      <w:bookmarkEnd w:id="200"/>
      <w:bookmarkEnd w:id="201"/>
    </w:p>
    <w:p w:rsidR="004712AD" w:rsidRPr="004712AD" w:rsidRDefault="004712AD" w:rsidP="004712AD">
      <w:pPr>
        <w:spacing w:after="0"/>
      </w:pPr>
    </w:p>
    <w:p w:rsidR="004A0DE3" w:rsidRDefault="004A0DE3" w:rsidP="00A44A2B">
      <w:pPr>
        <w:numPr>
          <w:ilvl w:val="0"/>
          <w:numId w:val="51"/>
        </w:numPr>
        <w:spacing w:after="0" w:line="240" w:lineRule="auto"/>
        <w:ind w:left="720"/>
        <w:contextualSpacing/>
        <w:jc w:val="both"/>
        <w:rPr>
          <w:rFonts w:cs="Arial"/>
        </w:rPr>
      </w:pPr>
      <w:r w:rsidRPr="00E2319F">
        <w:rPr>
          <w:rFonts w:cs="Arial"/>
        </w:rPr>
        <w:t>Después de las campañas de sensibilización y movilización de Prevención</w:t>
      </w:r>
      <w:r w:rsidRPr="004712AD">
        <w:rPr>
          <w:rFonts w:cs="Arial"/>
        </w:rPr>
        <w:t xml:space="preserve"> </w:t>
      </w:r>
      <w:r w:rsidRPr="00E2319F">
        <w:rPr>
          <w:rFonts w:cs="Arial"/>
        </w:rPr>
        <w:t>del uso de la pólvora – “Fiesta sin pólvora” se logró reducir del 23% en el número de Niños quemados con pólvora en todo diciembre de 2017</w:t>
      </w:r>
      <w:r w:rsidR="004712AD">
        <w:rPr>
          <w:rFonts w:cs="Arial"/>
        </w:rPr>
        <w:t>.</w:t>
      </w:r>
    </w:p>
    <w:p w:rsidR="004712AD" w:rsidRPr="00E2319F" w:rsidRDefault="004712AD" w:rsidP="004712AD">
      <w:pPr>
        <w:spacing w:after="0" w:line="240" w:lineRule="auto"/>
        <w:ind w:left="720"/>
        <w:contextualSpacing/>
        <w:jc w:val="both"/>
        <w:rPr>
          <w:rFonts w:cs="Arial"/>
        </w:rPr>
      </w:pPr>
    </w:p>
    <w:p w:rsidR="004A0DE3" w:rsidRDefault="004A0DE3" w:rsidP="00A44A2B">
      <w:pPr>
        <w:numPr>
          <w:ilvl w:val="0"/>
          <w:numId w:val="51"/>
        </w:numPr>
        <w:spacing w:after="0" w:line="240" w:lineRule="auto"/>
        <w:ind w:left="720"/>
        <w:contextualSpacing/>
        <w:jc w:val="both"/>
        <w:rPr>
          <w:rFonts w:cs="Arial"/>
        </w:rPr>
      </w:pPr>
      <w:r w:rsidRPr="00E2319F">
        <w:rPr>
          <w:rFonts w:cs="Arial"/>
        </w:rPr>
        <w:t>Desde enero de 2017 se introdujo la implementación de una nueva línea estratégica denominada control de mensaje que buscó ser mucho más estratégico en los mensajes que se entregaban a los medios de comunicación, la forma en que se hacían y el tiempo de respuesta; así se ha logrado reforzar el mensaje de protección de niños, niñas y adolescentes sobre la</w:t>
      </w:r>
      <w:r w:rsidR="004712AD">
        <w:rPr>
          <w:rFonts w:cs="Arial"/>
        </w:rPr>
        <w:t>s</w:t>
      </w:r>
      <w:r w:rsidRPr="00E2319F">
        <w:rPr>
          <w:rFonts w:cs="Arial"/>
        </w:rPr>
        <w:t xml:space="preserve"> prioridades mediáticas de los periodistas. La aplicación de la línea estratégica siempre se hizo </w:t>
      </w:r>
      <w:r w:rsidR="004712AD" w:rsidRPr="00E2319F">
        <w:rPr>
          <w:rFonts w:cs="Arial"/>
        </w:rPr>
        <w:t>extensiva a</w:t>
      </w:r>
      <w:r w:rsidRPr="00E2319F">
        <w:rPr>
          <w:rFonts w:cs="Arial"/>
        </w:rPr>
        <w:t xml:space="preserve"> los medios digitales.</w:t>
      </w:r>
    </w:p>
    <w:p w:rsidR="004712AD" w:rsidRPr="00E2319F" w:rsidRDefault="004712AD" w:rsidP="004712AD">
      <w:pPr>
        <w:spacing w:after="0" w:line="240" w:lineRule="auto"/>
        <w:contextualSpacing/>
        <w:jc w:val="both"/>
        <w:rPr>
          <w:rFonts w:cs="Arial"/>
        </w:rPr>
      </w:pPr>
    </w:p>
    <w:p w:rsidR="004A0DE3" w:rsidRDefault="004A0DE3" w:rsidP="00A44A2B">
      <w:pPr>
        <w:numPr>
          <w:ilvl w:val="0"/>
          <w:numId w:val="51"/>
        </w:numPr>
        <w:spacing w:after="0" w:line="240" w:lineRule="auto"/>
        <w:ind w:left="720"/>
        <w:contextualSpacing/>
        <w:jc w:val="both"/>
        <w:rPr>
          <w:rFonts w:cs="Arial"/>
        </w:rPr>
      </w:pPr>
      <w:r w:rsidRPr="004712AD">
        <w:rPr>
          <w:rFonts w:cs="Arial"/>
        </w:rPr>
        <w:t xml:space="preserve">Se gestionó la emisión en 7 canales regionales y locales del programa institucional “Historias de vida”, con el propósito de lograr mayor conocimiento de la promoción de los derechos de </w:t>
      </w:r>
      <w:r w:rsidR="004712AD" w:rsidRPr="004712AD">
        <w:rPr>
          <w:rFonts w:cs="Arial"/>
        </w:rPr>
        <w:t>los niños</w:t>
      </w:r>
      <w:r w:rsidRPr="004712AD">
        <w:rPr>
          <w:rFonts w:cs="Arial"/>
        </w:rPr>
        <w:t>, las niñas y los adolescentes.</w:t>
      </w:r>
    </w:p>
    <w:p w:rsidR="004712AD" w:rsidRPr="004712AD" w:rsidRDefault="004712AD" w:rsidP="004712AD">
      <w:pPr>
        <w:spacing w:after="0" w:line="240" w:lineRule="auto"/>
        <w:contextualSpacing/>
        <w:jc w:val="both"/>
        <w:rPr>
          <w:rFonts w:cs="Arial"/>
        </w:rPr>
      </w:pPr>
    </w:p>
    <w:p w:rsidR="004A0DE3" w:rsidRDefault="004A0DE3" w:rsidP="00A44A2B">
      <w:pPr>
        <w:numPr>
          <w:ilvl w:val="0"/>
          <w:numId w:val="51"/>
        </w:numPr>
        <w:spacing w:after="0" w:line="240" w:lineRule="auto"/>
        <w:ind w:left="720"/>
        <w:contextualSpacing/>
        <w:jc w:val="both"/>
        <w:rPr>
          <w:rFonts w:cs="Arial"/>
        </w:rPr>
      </w:pPr>
      <w:r w:rsidRPr="004712AD">
        <w:rPr>
          <w:rFonts w:cs="Arial"/>
        </w:rPr>
        <w:t xml:space="preserve">Se dio cumplimiento a la rendición de cuentas como ejercicio de participación, para lo cual se </w:t>
      </w:r>
      <w:r w:rsidRPr="00E2319F">
        <w:rPr>
          <w:rFonts w:cs="Arial"/>
        </w:rPr>
        <w:t>implementó con la colaboración con las regionales una estrategia de medios con la realización y difusión de 33 programas de Rendición de Cuentas.</w:t>
      </w:r>
    </w:p>
    <w:p w:rsidR="004712AD" w:rsidRPr="004712AD" w:rsidRDefault="004712AD" w:rsidP="004712AD">
      <w:pPr>
        <w:spacing w:after="0" w:line="240" w:lineRule="auto"/>
        <w:contextualSpacing/>
        <w:jc w:val="both"/>
        <w:rPr>
          <w:rFonts w:cs="Arial"/>
        </w:rPr>
      </w:pPr>
    </w:p>
    <w:p w:rsidR="004A0DE3" w:rsidRDefault="004A0DE3" w:rsidP="00A44A2B">
      <w:pPr>
        <w:numPr>
          <w:ilvl w:val="0"/>
          <w:numId w:val="51"/>
        </w:numPr>
        <w:spacing w:after="0" w:line="240" w:lineRule="auto"/>
        <w:ind w:left="720"/>
        <w:contextualSpacing/>
        <w:jc w:val="both"/>
        <w:rPr>
          <w:rFonts w:cs="Arial"/>
        </w:rPr>
      </w:pPr>
      <w:r w:rsidRPr="00E2319F">
        <w:rPr>
          <w:rFonts w:cs="Arial"/>
        </w:rPr>
        <w:lastRenderedPageBreak/>
        <w:t>Se reglamentó el Entorno Protector Digital mediante la Resolución 2794 del 26 de abril de 2017, donde se establece su funcionamiento, las instancias que lo regulan y sus funciones, así como diseñar el manual de marca, el manual de operaciones y el manual de estilo.</w:t>
      </w:r>
    </w:p>
    <w:p w:rsidR="004712AD" w:rsidRPr="004712AD" w:rsidRDefault="004712AD" w:rsidP="004712AD">
      <w:pPr>
        <w:spacing w:after="0" w:line="240" w:lineRule="auto"/>
        <w:contextualSpacing/>
        <w:jc w:val="both"/>
        <w:rPr>
          <w:rFonts w:cs="Arial"/>
        </w:rPr>
      </w:pPr>
    </w:p>
    <w:p w:rsidR="004A0DE3" w:rsidRDefault="004A0DE3" w:rsidP="00A44A2B">
      <w:pPr>
        <w:numPr>
          <w:ilvl w:val="0"/>
          <w:numId w:val="51"/>
        </w:numPr>
        <w:spacing w:after="0" w:line="240" w:lineRule="auto"/>
        <w:ind w:left="720"/>
        <w:contextualSpacing/>
        <w:jc w:val="both"/>
        <w:rPr>
          <w:rFonts w:cs="Arial"/>
        </w:rPr>
      </w:pPr>
      <w:r w:rsidRPr="004712AD">
        <w:rPr>
          <w:rFonts w:cs="Arial"/>
        </w:rPr>
        <w:t>En coordinación con la Dirección de Nutrición se reimprimieron 30.000 Cartillas de Lactancia Materna “Empezar una nueva vida”, para su distribución a nivel nacional.</w:t>
      </w:r>
    </w:p>
    <w:p w:rsidR="004712AD" w:rsidRPr="004712AD" w:rsidRDefault="004712AD" w:rsidP="004712AD">
      <w:pPr>
        <w:spacing w:after="0" w:line="240" w:lineRule="auto"/>
        <w:contextualSpacing/>
        <w:jc w:val="both"/>
        <w:rPr>
          <w:rFonts w:cs="Arial"/>
        </w:rPr>
      </w:pPr>
    </w:p>
    <w:p w:rsidR="004A0DE3" w:rsidRDefault="004A0DE3" w:rsidP="00A44A2B">
      <w:pPr>
        <w:numPr>
          <w:ilvl w:val="0"/>
          <w:numId w:val="51"/>
        </w:numPr>
        <w:spacing w:after="0" w:line="240" w:lineRule="auto"/>
        <w:ind w:left="720"/>
        <w:contextualSpacing/>
        <w:jc w:val="both"/>
        <w:rPr>
          <w:rFonts w:cs="Arial"/>
        </w:rPr>
      </w:pPr>
      <w:r w:rsidRPr="004712AD">
        <w:rPr>
          <w:rFonts w:cs="Arial"/>
        </w:rPr>
        <w:t>Generar nuevas campañas de comunicación de acuerdo con las necesidades de las direcciones misionales, con el fin de promover derechos y prevenir vulneraciones de los niñas, niñas y adolescentes y su correcta divulgación en los diferentes medios de comunicación a nivel Nacional</w:t>
      </w:r>
      <w:r w:rsidRPr="00E2319F">
        <w:rPr>
          <w:rFonts w:cs="Arial"/>
        </w:rPr>
        <w:t>.</w:t>
      </w:r>
    </w:p>
    <w:p w:rsidR="004712AD" w:rsidRPr="004712AD" w:rsidRDefault="004712AD" w:rsidP="004712AD">
      <w:pPr>
        <w:spacing w:after="0" w:line="240" w:lineRule="auto"/>
        <w:contextualSpacing/>
        <w:jc w:val="both"/>
        <w:rPr>
          <w:rFonts w:cs="Arial"/>
        </w:rPr>
      </w:pPr>
    </w:p>
    <w:p w:rsidR="004A0DE3" w:rsidRDefault="004A0DE3" w:rsidP="00A44A2B">
      <w:pPr>
        <w:numPr>
          <w:ilvl w:val="0"/>
          <w:numId w:val="51"/>
        </w:numPr>
        <w:spacing w:after="0" w:line="240" w:lineRule="auto"/>
        <w:ind w:left="720"/>
        <w:contextualSpacing/>
        <w:jc w:val="both"/>
        <w:rPr>
          <w:rFonts w:cs="Arial"/>
        </w:rPr>
      </w:pPr>
      <w:r w:rsidRPr="004712AD">
        <w:rPr>
          <w:rFonts w:cs="Arial"/>
        </w:rPr>
        <w:t>Apoyar en la diagramación y diseño de más de 1.500 piezas de comunicación, digitales e impresas para las diferentes dependencias de la Sede de la Dirección General, regionales y centros zonales, tanto para eventos y/o ejecución de programas institucionales.</w:t>
      </w:r>
    </w:p>
    <w:p w:rsidR="004712AD" w:rsidRDefault="004712AD" w:rsidP="004712AD">
      <w:pPr>
        <w:pStyle w:val="Prrafodelista"/>
        <w:rPr>
          <w:rFonts w:cs="Arial"/>
        </w:rPr>
      </w:pPr>
    </w:p>
    <w:p w:rsidR="004A0DE3" w:rsidRDefault="004A0DE3" w:rsidP="00A44A2B">
      <w:pPr>
        <w:pStyle w:val="Ttulo2"/>
        <w:numPr>
          <w:ilvl w:val="1"/>
          <w:numId w:val="139"/>
        </w:numPr>
        <w:rPr>
          <w:rFonts w:cs="Arial"/>
          <w:b/>
        </w:rPr>
      </w:pPr>
      <w:bookmarkStart w:id="202" w:name="_Toc503953702"/>
      <w:bookmarkStart w:id="203" w:name="_Toc505183122"/>
      <w:r w:rsidRPr="00E2319F">
        <w:rPr>
          <w:rFonts w:cs="Arial"/>
          <w:b/>
        </w:rPr>
        <w:t>RETOS 2018</w:t>
      </w:r>
      <w:bookmarkEnd w:id="202"/>
      <w:bookmarkEnd w:id="203"/>
    </w:p>
    <w:p w:rsidR="004712AD" w:rsidRPr="004712AD" w:rsidRDefault="004712AD" w:rsidP="004712AD"/>
    <w:p w:rsidR="004A0DE3" w:rsidRDefault="004A0DE3" w:rsidP="00A44A2B">
      <w:pPr>
        <w:numPr>
          <w:ilvl w:val="0"/>
          <w:numId w:val="51"/>
        </w:numPr>
        <w:spacing w:after="0" w:line="240" w:lineRule="auto"/>
        <w:ind w:left="720"/>
        <w:contextualSpacing/>
        <w:jc w:val="both"/>
        <w:rPr>
          <w:rFonts w:cs="Arial"/>
        </w:rPr>
      </w:pPr>
      <w:r w:rsidRPr="004712AD">
        <w:rPr>
          <w:rFonts w:cs="Arial"/>
        </w:rPr>
        <w:t xml:space="preserve">Lograr una sensibilización y movilización a nivel nacional </w:t>
      </w:r>
      <w:r w:rsidRPr="00E2319F">
        <w:rPr>
          <w:rFonts w:cs="Arial"/>
        </w:rPr>
        <w:t>con relación a la prevención contra el trabajo infantil.</w:t>
      </w:r>
    </w:p>
    <w:p w:rsidR="004712AD" w:rsidRPr="004712AD" w:rsidRDefault="004712AD" w:rsidP="004712AD">
      <w:pPr>
        <w:spacing w:after="0" w:line="240" w:lineRule="auto"/>
        <w:ind w:left="720"/>
        <w:contextualSpacing/>
        <w:jc w:val="both"/>
        <w:rPr>
          <w:rFonts w:cs="Arial"/>
        </w:rPr>
      </w:pPr>
    </w:p>
    <w:p w:rsidR="004A0DE3" w:rsidRDefault="004A0DE3" w:rsidP="00A44A2B">
      <w:pPr>
        <w:numPr>
          <w:ilvl w:val="0"/>
          <w:numId w:val="51"/>
        </w:numPr>
        <w:spacing w:after="0" w:line="240" w:lineRule="auto"/>
        <w:ind w:left="720"/>
        <w:contextualSpacing/>
        <w:jc w:val="both"/>
        <w:rPr>
          <w:rFonts w:cs="Arial"/>
        </w:rPr>
      </w:pPr>
      <w:r w:rsidRPr="004712AD">
        <w:rPr>
          <w:rFonts w:cs="Arial"/>
        </w:rPr>
        <w:t>Lograr ampliar la audiencia y el público al que llegamos a través de las redes sociales.</w:t>
      </w:r>
    </w:p>
    <w:p w:rsidR="004712AD" w:rsidRPr="004712AD" w:rsidRDefault="004712AD" w:rsidP="004712AD">
      <w:pPr>
        <w:spacing w:after="0" w:line="240" w:lineRule="auto"/>
        <w:contextualSpacing/>
        <w:jc w:val="both"/>
        <w:rPr>
          <w:rFonts w:cs="Arial"/>
        </w:rPr>
      </w:pPr>
    </w:p>
    <w:p w:rsidR="004A0DE3" w:rsidRDefault="004A0DE3" w:rsidP="00A44A2B">
      <w:pPr>
        <w:numPr>
          <w:ilvl w:val="0"/>
          <w:numId w:val="51"/>
        </w:numPr>
        <w:spacing w:after="0" w:line="240" w:lineRule="auto"/>
        <w:ind w:left="720"/>
        <w:contextualSpacing/>
        <w:jc w:val="both"/>
        <w:rPr>
          <w:rFonts w:cs="Arial"/>
        </w:rPr>
      </w:pPr>
      <w:r w:rsidRPr="004712AD">
        <w:rPr>
          <w:rFonts w:cs="Arial"/>
        </w:rPr>
        <w:t>Optimizar el programa me conoces para permitir la publicación de los niños, con un mensaje institucional de ICBF aprovechando la categoría de “Prime time”.</w:t>
      </w:r>
    </w:p>
    <w:p w:rsidR="004712AD" w:rsidRPr="004712AD" w:rsidRDefault="004712AD" w:rsidP="004712AD">
      <w:pPr>
        <w:spacing w:after="0" w:line="240" w:lineRule="auto"/>
        <w:ind w:left="360"/>
        <w:contextualSpacing/>
        <w:jc w:val="both"/>
        <w:rPr>
          <w:rFonts w:cs="Arial"/>
        </w:rPr>
      </w:pPr>
    </w:p>
    <w:p w:rsidR="004A0DE3" w:rsidRPr="004712AD" w:rsidRDefault="004A0DE3" w:rsidP="00A44A2B">
      <w:pPr>
        <w:numPr>
          <w:ilvl w:val="0"/>
          <w:numId w:val="51"/>
        </w:numPr>
        <w:spacing w:after="0" w:line="240" w:lineRule="auto"/>
        <w:ind w:left="720"/>
        <w:contextualSpacing/>
        <w:jc w:val="both"/>
        <w:rPr>
          <w:rFonts w:cs="Arial"/>
        </w:rPr>
      </w:pPr>
      <w:r w:rsidRPr="004712AD">
        <w:rPr>
          <w:rFonts w:cs="Arial"/>
        </w:rPr>
        <w:t>Apoyar el lanzamiento del Entono Protector Digital, programado por la Dirección General, con fecha por definir entre los primeros meses de 2018. Y elaborar la producción editorial, en condiciones de calidad, pertinencia y actualidad, en coordinación con las áreas misionales</w:t>
      </w:r>
      <w:r w:rsidR="004712AD">
        <w:rPr>
          <w:rFonts w:cs="Arial"/>
        </w:rPr>
        <w:t>.</w:t>
      </w:r>
    </w:p>
    <w:p w:rsidR="004712AD" w:rsidRDefault="004712AD">
      <w:pPr>
        <w:spacing w:after="0" w:line="240" w:lineRule="auto"/>
        <w:rPr>
          <w:rFonts w:cs="Arial"/>
        </w:rPr>
      </w:pPr>
      <w:r>
        <w:rPr>
          <w:rFonts w:cs="Arial"/>
        </w:rPr>
        <w:br w:type="page"/>
      </w:r>
    </w:p>
    <w:p w:rsidR="00571A97" w:rsidRPr="00E2319F" w:rsidRDefault="00571A97" w:rsidP="00EC6288">
      <w:pPr>
        <w:pStyle w:val="Ttulo1"/>
        <w:numPr>
          <w:ilvl w:val="0"/>
          <w:numId w:val="0"/>
        </w:numPr>
        <w:spacing w:before="100" w:beforeAutospacing="1" w:after="100" w:afterAutospacing="1"/>
        <w:ind w:left="432" w:hanging="432"/>
        <w:jc w:val="both"/>
        <w:rPr>
          <w:rFonts w:cs="Arial"/>
          <w:szCs w:val="22"/>
        </w:rPr>
      </w:pPr>
      <w:bookmarkStart w:id="204" w:name="_Toc505183123"/>
      <w:r w:rsidRPr="00E2319F">
        <w:rPr>
          <w:rFonts w:cs="Arial"/>
          <w:szCs w:val="22"/>
        </w:rPr>
        <w:lastRenderedPageBreak/>
        <w:t>ANEXO 1. Novedades Normativas 2017</w:t>
      </w:r>
      <w:bookmarkEnd w:id="204"/>
    </w:p>
    <w:p w:rsidR="00571A97" w:rsidRPr="00E2319F" w:rsidRDefault="00571A97" w:rsidP="00D31DC2">
      <w:pPr>
        <w:pStyle w:val="Arialsinespacio"/>
        <w:spacing w:before="100" w:beforeAutospacing="1" w:after="100" w:afterAutospacing="1"/>
        <w:jc w:val="both"/>
        <w:rPr>
          <w:rFonts w:cs="Arial"/>
          <w:b/>
          <w:szCs w:val="22"/>
        </w:rPr>
      </w:pPr>
      <w:r w:rsidRPr="00E2319F">
        <w:rPr>
          <w:rFonts w:cs="Arial"/>
          <w:b/>
          <w:szCs w:val="22"/>
        </w:rPr>
        <w:t>G</w:t>
      </w:r>
      <w:r w:rsidR="00EC6288" w:rsidRPr="00E2319F">
        <w:rPr>
          <w:rFonts w:cs="Arial"/>
          <w:b/>
          <w:szCs w:val="22"/>
        </w:rPr>
        <w:t>ESTIÓN JURÍDICA</w:t>
      </w:r>
    </w:p>
    <w:tbl>
      <w:tblPr>
        <w:tblStyle w:val="Tabladecuadrcula2-nfasis3"/>
        <w:tblW w:w="0" w:type="auto"/>
        <w:tblLayout w:type="fixed"/>
        <w:tblLook w:val="04A0" w:firstRow="1" w:lastRow="0" w:firstColumn="1" w:lastColumn="0" w:noHBand="0" w:noVBand="1"/>
      </w:tblPr>
      <w:tblGrid>
        <w:gridCol w:w="993"/>
        <w:gridCol w:w="992"/>
        <w:gridCol w:w="3402"/>
        <w:gridCol w:w="1843"/>
        <w:gridCol w:w="2175"/>
      </w:tblGrid>
      <w:tr w:rsidR="00356E7A" w:rsidRPr="00E2319F" w:rsidTr="00511884">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9405" w:type="dxa"/>
            <w:gridSpan w:val="5"/>
            <w:hideMark/>
          </w:tcPr>
          <w:p w:rsidR="00356E7A" w:rsidRPr="00E2319F" w:rsidRDefault="00356E7A" w:rsidP="00511884">
            <w:pPr>
              <w:pStyle w:val="Arialsinespacio"/>
              <w:rPr>
                <w:rFonts w:cs="Arial"/>
                <w:sz w:val="16"/>
                <w:lang w:val="es-CO"/>
              </w:rPr>
            </w:pPr>
            <w:r w:rsidRPr="00E2319F">
              <w:rPr>
                <w:rFonts w:cs="Arial"/>
                <w:sz w:val="20"/>
              </w:rPr>
              <w:t>NOVEDADES NORMATIVAS - 2017</w:t>
            </w:r>
          </w:p>
        </w:tc>
      </w:tr>
      <w:tr w:rsidR="00356E7A" w:rsidRPr="00E2319F" w:rsidTr="008F041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93" w:type="dxa"/>
            <w:shd w:val="clear" w:color="auto" w:fill="76922E"/>
            <w:noWrap/>
            <w:vAlign w:val="center"/>
            <w:hideMark/>
          </w:tcPr>
          <w:p w:rsidR="00356E7A" w:rsidRPr="004712AD" w:rsidRDefault="004712AD" w:rsidP="004712AD">
            <w:pPr>
              <w:pStyle w:val="Arialsinespacio"/>
              <w:jc w:val="center"/>
              <w:rPr>
                <w:rFonts w:cs="Arial"/>
                <w:color w:val="FFFFFF" w:themeColor="background1"/>
                <w:sz w:val="16"/>
              </w:rPr>
            </w:pPr>
            <w:r w:rsidRPr="004712AD">
              <w:rPr>
                <w:rFonts w:cs="Arial"/>
                <w:color w:val="FFFFFF" w:themeColor="background1"/>
                <w:sz w:val="16"/>
              </w:rPr>
              <w:t>Norma</w:t>
            </w:r>
          </w:p>
        </w:tc>
        <w:tc>
          <w:tcPr>
            <w:tcW w:w="992" w:type="dxa"/>
            <w:shd w:val="clear" w:color="auto" w:fill="76922E"/>
            <w:noWrap/>
            <w:vAlign w:val="center"/>
            <w:hideMark/>
          </w:tcPr>
          <w:p w:rsidR="00356E7A" w:rsidRPr="004712AD" w:rsidRDefault="004712AD" w:rsidP="004712AD">
            <w:pPr>
              <w:pStyle w:val="Arialsinespaci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6"/>
              </w:rPr>
            </w:pPr>
            <w:r w:rsidRPr="004712AD">
              <w:rPr>
                <w:rFonts w:cs="Arial"/>
                <w:b/>
                <w:bCs/>
                <w:color w:val="FFFFFF" w:themeColor="background1"/>
                <w:sz w:val="16"/>
              </w:rPr>
              <w:t>Fecha</w:t>
            </w:r>
          </w:p>
        </w:tc>
        <w:tc>
          <w:tcPr>
            <w:tcW w:w="3402" w:type="dxa"/>
            <w:shd w:val="clear" w:color="auto" w:fill="76922E"/>
            <w:vAlign w:val="center"/>
            <w:hideMark/>
          </w:tcPr>
          <w:p w:rsidR="00356E7A" w:rsidRPr="004712AD" w:rsidRDefault="004712AD" w:rsidP="004712AD">
            <w:pPr>
              <w:pStyle w:val="Arialsinespaci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6"/>
              </w:rPr>
            </w:pPr>
            <w:r w:rsidRPr="004712AD">
              <w:rPr>
                <w:rFonts w:cs="Arial"/>
                <w:b/>
                <w:bCs/>
                <w:color w:val="FFFFFF" w:themeColor="background1"/>
                <w:sz w:val="16"/>
              </w:rPr>
              <w:t>Asunto</w:t>
            </w:r>
          </w:p>
        </w:tc>
        <w:tc>
          <w:tcPr>
            <w:tcW w:w="1843" w:type="dxa"/>
            <w:shd w:val="clear" w:color="auto" w:fill="76922E"/>
            <w:vAlign w:val="center"/>
            <w:hideMark/>
          </w:tcPr>
          <w:p w:rsidR="00356E7A" w:rsidRPr="004712AD" w:rsidRDefault="004712AD" w:rsidP="004712AD">
            <w:pPr>
              <w:pStyle w:val="Arialsinespaci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6"/>
              </w:rPr>
            </w:pPr>
            <w:r w:rsidRPr="004712AD">
              <w:rPr>
                <w:rFonts w:cs="Arial"/>
                <w:b/>
                <w:bCs/>
                <w:color w:val="FFFFFF" w:themeColor="background1"/>
                <w:sz w:val="16"/>
              </w:rPr>
              <w:t>Área</w:t>
            </w:r>
            <w:r>
              <w:rPr>
                <w:rFonts w:cs="Arial"/>
                <w:b/>
                <w:bCs/>
                <w:color w:val="FFFFFF" w:themeColor="background1"/>
                <w:sz w:val="16"/>
              </w:rPr>
              <w:t xml:space="preserve"> d</w:t>
            </w:r>
            <w:r w:rsidRPr="004712AD">
              <w:rPr>
                <w:rFonts w:cs="Arial"/>
                <w:b/>
                <w:bCs/>
                <w:color w:val="FFFFFF" w:themeColor="background1"/>
                <w:sz w:val="16"/>
              </w:rPr>
              <w:t>e Interés</w:t>
            </w:r>
          </w:p>
        </w:tc>
        <w:tc>
          <w:tcPr>
            <w:tcW w:w="2175" w:type="dxa"/>
            <w:shd w:val="clear" w:color="auto" w:fill="76922E"/>
            <w:vAlign w:val="center"/>
            <w:hideMark/>
          </w:tcPr>
          <w:p w:rsidR="00356E7A" w:rsidRPr="004712AD" w:rsidRDefault="004712AD" w:rsidP="004712AD">
            <w:pPr>
              <w:pStyle w:val="Arialsinespaci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6"/>
              </w:rPr>
            </w:pPr>
            <w:r w:rsidRPr="004712AD">
              <w:rPr>
                <w:rFonts w:cs="Arial"/>
                <w:b/>
                <w:bCs/>
                <w:color w:val="FFFFFF" w:themeColor="background1"/>
                <w:sz w:val="16"/>
              </w:rPr>
              <w:t>Enlace</w:t>
            </w:r>
          </w:p>
        </w:tc>
      </w:tr>
      <w:tr w:rsidR="00356E7A" w:rsidRPr="00E2319F" w:rsidTr="00511884">
        <w:trPr>
          <w:trHeight w:val="104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Ley 1822</w:t>
            </w:r>
          </w:p>
        </w:tc>
        <w:tc>
          <w:tcPr>
            <w:tcW w:w="99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4/01/2017</w:t>
            </w:r>
          </w:p>
        </w:tc>
        <w:tc>
          <w:tcPr>
            <w:tcW w:w="340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medio de la cual se incentiva la adecuada atención y cuidado de la primera infancia, se modifican los artículos 236 y 239 del código sustantivo del trabajo y se dictan otras disposiciones".</w:t>
            </w:r>
          </w:p>
        </w:tc>
        <w:tc>
          <w:tcPr>
            <w:tcW w:w="1843"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de Gestión Humana</w:t>
            </w:r>
          </w:p>
        </w:tc>
        <w:tc>
          <w:tcPr>
            <w:tcW w:w="2175" w:type="dxa"/>
            <w:vAlign w:val="center"/>
            <w:hideMark/>
          </w:tcPr>
          <w:p w:rsidR="00356E7A" w:rsidRPr="00E2319F" w:rsidRDefault="000E0283"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91" w:history="1">
              <w:r w:rsidR="00356E7A" w:rsidRPr="00E2319F">
                <w:rPr>
                  <w:rStyle w:val="Hipervnculo"/>
                  <w:rFonts w:cs="Arial"/>
                  <w:color w:val="auto"/>
                  <w:sz w:val="16"/>
                  <w:szCs w:val="16"/>
                </w:rPr>
                <w:t>http://es.presidencia.gov.co/normativa/normativa/LEY%201822%20DEL%204%20DE%20ENERO%20DE%202017.pdf</w:t>
              </w:r>
            </w:hyperlink>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Ley 1823</w:t>
            </w:r>
          </w:p>
        </w:tc>
        <w:tc>
          <w:tcPr>
            <w:tcW w:w="99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4/01/2017</w:t>
            </w:r>
          </w:p>
        </w:tc>
        <w:tc>
          <w:tcPr>
            <w:tcW w:w="340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medio de la cual se adopta la estrategia salas amigas de la familia lactante del entorno laboral en entidades públicas territoriales y empresas privadas y se dictan otras disposiciones".</w:t>
            </w:r>
          </w:p>
        </w:tc>
        <w:tc>
          <w:tcPr>
            <w:tcW w:w="1843"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de Gestión Humana</w:t>
            </w:r>
          </w:p>
        </w:tc>
        <w:tc>
          <w:tcPr>
            <w:tcW w:w="2175" w:type="dxa"/>
            <w:vAlign w:val="center"/>
            <w:hideMark/>
          </w:tcPr>
          <w:p w:rsidR="00356E7A" w:rsidRPr="00E2319F" w:rsidRDefault="000E0283"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92" w:history="1">
              <w:r w:rsidR="00356E7A" w:rsidRPr="00E2319F">
                <w:rPr>
                  <w:rStyle w:val="Hipervnculo"/>
                  <w:rFonts w:cs="Arial"/>
                  <w:color w:val="auto"/>
                  <w:sz w:val="16"/>
                  <w:szCs w:val="16"/>
                </w:rPr>
                <w:t>http://es.presidencia.gov.co/normativa/normativa/LEY%201823%20DEL%204%20DE%20ENERO%20DE%202017.pdf</w:t>
              </w:r>
            </w:hyperlink>
          </w:p>
        </w:tc>
      </w:tr>
      <w:tr w:rsidR="00356E7A" w:rsidRPr="00E2319F" w:rsidTr="00511884">
        <w:trPr>
          <w:trHeight w:val="702"/>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Ley 1826</w:t>
            </w:r>
          </w:p>
        </w:tc>
        <w:tc>
          <w:tcPr>
            <w:tcW w:w="992" w:type="dxa"/>
            <w:noWrap/>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12/01/2017</w:t>
            </w:r>
          </w:p>
        </w:tc>
        <w:tc>
          <w:tcPr>
            <w:tcW w:w="340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medio de la cual se establece un procedimiento penal especial abreviado y se regula la figura del acusador privado</w:t>
            </w:r>
          </w:p>
        </w:tc>
        <w:tc>
          <w:tcPr>
            <w:tcW w:w="1843"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Oficina Asesora Jurídica</w:t>
            </w:r>
          </w:p>
        </w:tc>
        <w:tc>
          <w:tcPr>
            <w:tcW w:w="2175" w:type="dxa"/>
            <w:vAlign w:val="center"/>
            <w:hideMark/>
          </w:tcPr>
          <w:p w:rsidR="00356E7A" w:rsidRPr="00E2319F" w:rsidRDefault="000E0283"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93" w:history="1">
              <w:r w:rsidR="00356E7A" w:rsidRPr="00E2319F">
                <w:rPr>
                  <w:rStyle w:val="Hipervnculo"/>
                  <w:rFonts w:cs="Arial"/>
                  <w:color w:val="auto"/>
                  <w:sz w:val="16"/>
                  <w:szCs w:val="16"/>
                </w:rPr>
                <w:t>http://es.presidencia.gov.co/normativa/normativa/LEY%201826%20DEL%2012%20DE%20ENERO%20DE%202017.pdf</w:t>
              </w:r>
            </w:hyperlink>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1336"/>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052</w:t>
            </w:r>
          </w:p>
        </w:tc>
        <w:tc>
          <w:tcPr>
            <w:tcW w:w="992" w:type="dxa"/>
            <w:noWrap/>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12/01/2017</w:t>
            </w:r>
          </w:p>
        </w:tc>
        <w:tc>
          <w:tcPr>
            <w:tcW w:w="340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medio del cual se modifica el artículo 2.2.4.6.37. del Decreto 1072 de 2015 Decreto Único Reglamentario del Sector Trabajo, sobre la transición para la ' implementación del Sistema de Gestión de la Seguridad y Salud en el Trabajo (SG-SST)</w:t>
            </w:r>
          </w:p>
        </w:tc>
        <w:tc>
          <w:tcPr>
            <w:tcW w:w="1843"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de Gestión Humana</w:t>
            </w:r>
          </w:p>
        </w:tc>
        <w:tc>
          <w:tcPr>
            <w:tcW w:w="2175" w:type="dxa"/>
            <w:vAlign w:val="center"/>
            <w:hideMark/>
          </w:tcPr>
          <w:p w:rsidR="00356E7A" w:rsidRPr="00E2319F" w:rsidRDefault="000E0283"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94" w:history="1">
              <w:r w:rsidR="00356E7A" w:rsidRPr="00E2319F">
                <w:rPr>
                  <w:rStyle w:val="Hipervnculo"/>
                  <w:rFonts w:cs="Arial"/>
                  <w:color w:val="auto"/>
                  <w:sz w:val="16"/>
                  <w:szCs w:val="16"/>
                </w:rPr>
                <w:t>http://es.presidencia.gov.co/normativa/normativa/DECRETO%2052%20DEL%2012%20ENERO%20DE%202017.pdf</w:t>
              </w:r>
            </w:hyperlink>
          </w:p>
        </w:tc>
      </w:tr>
      <w:tr w:rsidR="00356E7A" w:rsidRPr="00E2319F" w:rsidTr="00511884">
        <w:trPr>
          <w:trHeight w:val="135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075</w:t>
            </w:r>
          </w:p>
        </w:tc>
        <w:tc>
          <w:tcPr>
            <w:tcW w:w="992" w:type="dxa"/>
            <w:noWrap/>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20/01/2017</w:t>
            </w:r>
          </w:p>
        </w:tc>
        <w:tc>
          <w:tcPr>
            <w:tcW w:w="340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modifican el literal h del artículo 2.2.9.3.1.2, el parágrafo del artículo 2.2.9.3.1.3., el artículo 2.2.9.3.1.8 y el numeral 4 del artículo 2.2.9.3.1.17 del Decreto 1076 de 2015, en lo relacionado con la "Inversión Forzosa por la utilización del agua tomada directamente de fuentes naturales" y se toman otras determinaciones</w:t>
            </w:r>
          </w:p>
        </w:tc>
        <w:tc>
          <w:tcPr>
            <w:tcW w:w="1843"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Administrativa</w:t>
            </w:r>
          </w:p>
        </w:tc>
        <w:tc>
          <w:tcPr>
            <w:tcW w:w="2175" w:type="dxa"/>
            <w:vAlign w:val="center"/>
            <w:hideMark/>
          </w:tcPr>
          <w:p w:rsidR="00356E7A" w:rsidRPr="00E2319F" w:rsidRDefault="000E0283"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95" w:history="1">
              <w:r w:rsidR="00356E7A" w:rsidRPr="00E2319F">
                <w:rPr>
                  <w:rStyle w:val="Hipervnculo"/>
                  <w:rFonts w:cs="Arial"/>
                  <w:color w:val="auto"/>
                  <w:sz w:val="16"/>
                  <w:szCs w:val="16"/>
                </w:rPr>
                <w:t>http://es.presidencia.gov.co/normativa/normativa/DECRETO%2075%20DEL%2020%20ENERO%20DE%202017.pdf</w:t>
              </w:r>
            </w:hyperlink>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087</w:t>
            </w:r>
          </w:p>
        </w:tc>
        <w:tc>
          <w:tcPr>
            <w:tcW w:w="992" w:type="dxa"/>
            <w:noWrap/>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23/01/2017</w:t>
            </w:r>
          </w:p>
        </w:tc>
        <w:tc>
          <w:tcPr>
            <w:tcW w:w="340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reglamenta el funcionamiento del Fondo contra la Explotación Sexual de Niños, Niñas y Adolescentes, adscrito al Instituto Colombiano de Bienestar Familiar, y se dictan otras disposiciones</w:t>
            </w:r>
          </w:p>
        </w:tc>
        <w:tc>
          <w:tcPr>
            <w:tcW w:w="1843"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Subdirección General, Dirección de Niñez y Adolescencia, Dirección de Protección, Dirección del SNBF</w:t>
            </w:r>
          </w:p>
        </w:tc>
        <w:tc>
          <w:tcPr>
            <w:tcW w:w="2175" w:type="dxa"/>
            <w:vAlign w:val="center"/>
            <w:hideMark/>
          </w:tcPr>
          <w:p w:rsidR="00356E7A" w:rsidRPr="00E2319F" w:rsidRDefault="000E0283"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96" w:history="1">
              <w:r w:rsidR="00356E7A" w:rsidRPr="00E2319F">
                <w:rPr>
                  <w:rStyle w:val="Hipervnculo"/>
                  <w:rFonts w:cs="Arial"/>
                  <w:color w:val="auto"/>
                  <w:sz w:val="16"/>
                  <w:szCs w:val="16"/>
                </w:rPr>
                <w:t>http://es.presidencia.gov.co/normativa/normativa/DECRETO%2087%20DEL%2023%20ENERO%20DE%202017.pdf</w:t>
              </w:r>
            </w:hyperlink>
          </w:p>
        </w:tc>
      </w:tr>
      <w:tr w:rsidR="00356E7A" w:rsidRPr="00E2319F" w:rsidTr="00511884">
        <w:trPr>
          <w:trHeight w:val="983"/>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092</w:t>
            </w:r>
          </w:p>
        </w:tc>
        <w:tc>
          <w:tcPr>
            <w:tcW w:w="99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23/01/2017</w:t>
            </w:r>
          </w:p>
        </w:tc>
        <w:tc>
          <w:tcPr>
            <w:tcW w:w="340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reglamenta la contratación con entidades privadas sin ánimo de lucro a la que hace referencia el inciso segundo del artículo 355 de la Constitución Política</w:t>
            </w:r>
          </w:p>
        </w:tc>
        <w:tc>
          <w:tcPr>
            <w:tcW w:w="1843"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de Contratación</w:t>
            </w:r>
          </w:p>
        </w:tc>
        <w:tc>
          <w:tcPr>
            <w:tcW w:w="2175" w:type="dxa"/>
            <w:vAlign w:val="center"/>
            <w:hideMark/>
          </w:tcPr>
          <w:p w:rsidR="00356E7A" w:rsidRPr="00E2319F" w:rsidRDefault="000E0283"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97" w:history="1">
              <w:r w:rsidR="00356E7A" w:rsidRPr="00E2319F">
                <w:rPr>
                  <w:rStyle w:val="Hipervnculo"/>
                  <w:rFonts w:cs="Arial"/>
                  <w:color w:val="auto"/>
                  <w:sz w:val="16"/>
                  <w:szCs w:val="16"/>
                </w:rPr>
                <w:t>http://es.presidencia.gov.co/normativa/normativa/DECRETO%2092%20DEL%2023%20ENERO%20DE%202017.pdf</w:t>
              </w:r>
            </w:hyperlink>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220</w:t>
            </w:r>
          </w:p>
        </w:tc>
        <w:tc>
          <w:tcPr>
            <w:tcW w:w="99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7/02/2017</w:t>
            </w:r>
          </w:p>
        </w:tc>
        <w:tc>
          <w:tcPr>
            <w:tcW w:w="340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modifica y adiciona la Sección 2 del Capítulo 13, Título 1, Parte 6 del Libro 1 del Decreto 1625 de 2016 Único Reglamentario en Materia Tributaria</w:t>
            </w:r>
          </w:p>
        </w:tc>
        <w:tc>
          <w:tcPr>
            <w:tcW w:w="1843"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Financiera</w:t>
            </w:r>
          </w:p>
        </w:tc>
        <w:tc>
          <w:tcPr>
            <w:tcW w:w="2175" w:type="dxa"/>
            <w:vAlign w:val="center"/>
            <w:hideMark/>
          </w:tcPr>
          <w:p w:rsidR="00356E7A" w:rsidRPr="00E2319F" w:rsidRDefault="000E0283"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98" w:history="1">
              <w:r w:rsidR="00356E7A" w:rsidRPr="00E2319F">
                <w:rPr>
                  <w:rStyle w:val="Hipervnculo"/>
                  <w:rFonts w:cs="Arial"/>
                  <w:color w:val="auto"/>
                  <w:sz w:val="16"/>
                  <w:szCs w:val="16"/>
                </w:rPr>
                <w:t>http://es.presidencia.gov.co/normativa/normativa/DECRETO%20220%20DEL%2007%20FEBRERO%20DE%202017.pdf</w:t>
              </w:r>
            </w:hyperlink>
          </w:p>
        </w:tc>
      </w:tr>
      <w:tr w:rsidR="00356E7A" w:rsidRPr="00E2319F" w:rsidTr="00511884">
        <w:trPr>
          <w:trHeight w:val="135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lastRenderedPageBreak/>
              <w:t>Decreto 270</w:t>
            </w:r>
          </w:p>
        </w:tc>
        <w:tc>
          <w:tcPr>
            <w:tcW w:w="99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14/02/2017</w:t>
            </w:r>
          </w:p>
        </w:tc>
        <w:tc>
          <w:tcPr>
            <w:tcW w:w="340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modifica y se adiciona el Decreto 1081 de 2015, Decreto Único Reglamentario de la Presidencia de la República, en relación con la participación de los ciudadanos o grupos de interesados en la elaboración de proyectos específicos de regulación</w:t>
            </w:r>
          </w:p>
        </w:tc>
        <w:tc>
          <w:tcPr>
            <w:tcW w:w="1843"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de Servicios y Atención, Oficina de Comunicaciones, Oficina Asesora Jurídica (Grupo de Estrategias Constitucionales)</w:t>
            </w:r>
          </w:p>
        </w:tc>
        <w:tc>
          <w:tcPr>
            <w:tcW w:w="2175" w:type="dxa"/>
            <w:vAlign w:val="center"/>
            <w:hideMark/>
          </w:tcPr>
          <w:p w:rsidR="00356E7A" w:rsidRPr="00E2319F" w:rsidRDefault="000E0283"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99" w:history="1">
              <w:r w:rsidR="00356E7A" w:rsidRPr="00E2319F">
                <w:rPr>
                  <w:rStyle w:val="Hipervnculo"/>
                  <w:rFonts w:cs="Arial"/>
                  <w:color w:val="auto"/>
                  <w:sz w:val="16"/>
                  <w:szCs w:val="16"/>
                </w:rPr>
                <w:t>http://es.presidencia.gov.co/normativa/normativa/DECRETO%20270%20DEL%2014%20FEBRERO%20DE%202017.pdf</w:t>
              </w:r>
            </w:hyperlink>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321</w:t>
            </w:r>
          </w:p>
        </w:tc>
        <w:tc>
          <w:tcPr>
            <w:tcW w:w="99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28/02/2017</w:t>
            </w:r>
          </w:p>
        </w:tc>
        <w:tc>
          <w:tcPr>
            <w:tcW w:w="340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corrigen unos yerros en la Ley 1821 de 2016 "Por medio de la cual se modifica la edad máxima para el retiro forzoso de las personas que desempeñan funciones públicas</w:t>
            </w:r>
          </w:p>
        </w:tc>
        <w:tc>
          <w:tcPr>
            <w:tcW w:w="1843"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de Gestión Humana</w:t>
            </w:r>
          </w:p>
        </w:tc>
        <w:tc>
          <w:tcPr>
            <w:tcW w:w="2175" w:type="dxa"/>
            <w:vAlign w:val="center"/>
            <w:hideMark/>
          </w:tcPr>
          <w:p w:rsidR="00356E7A" w:rsidRPr="00E2319F" w:rsidRDefault="000E0283"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00" w:history="1">
              <w:r w:rsidR="00356E7A" w:rsidRPr="00E2319F">
                <w:rPr>
                  <w:rStyle w:val="Hipervnculo"/>
                  <w:rFonts w:cs="Arial"/>
                  <w:color w:val="auto"/>
                  <w:sz w:val="16"/>
                  <w:szCs w:val="16"/>
                </w:rPr>
                <w:t>http://es.presidencia.gov.co/normativa/normativa/DECRETO%20321%20DEL%2028%20FEBRERO%20DE%202017.pdf</w:t>
              </w:r>
            </w:hyperlink>
          </w:p>
        </w:tc>
      </w:tr>
      <w:tr w:rsidR="00356E7A" w:rsidRPr="00E2319F" w:rsidTr="00511884">
        <w:trPr>
          <w:trHeight w:val="90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344</w:t>
            </w:r>
          </w:p>
        </w:tc>
        <w:tc>
          <w:tcPr>
            <w:tcW w:w="99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1/03/2017</w:t>
            </w:r>
          </w:p>
        </w:tc>
        <w:tc>
          <w:tcPr>
            <w:tcW w:w="340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adiciona el Título 5 a la Parte 11 del Libro 2 del Decreto 1068 de 2015, Decreto Único Reglamentario del Sector Hacienda y Crédito Público, relacionado con normas aplicables a los Fondos de Empleados para la prestación de servicios de ahorro y crédito</w:t>
            </w:r>
          </w:p>
        </w:tc>
        <w:tc>
          <w:tcPr>
            <w:tcW w:w="1843"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de Gestión Humana</w:t>
            </w:r>
          </w:p>
        </w:tc>
        <w:tc>
          <w:tcPr>
            <w:tcW w:w="2175"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r w:rsidRPr="00E2319F">
              <w:rPr>
                <w:rFonts w:cs="Arial"/>
                <w:sz w:val="16"/>
                <w:szCs w:val="16"/>
                <w:u w:val="single"/>
              </w:rPr>
              <w:t>http://es.presidencia.gov.co/normativa/normativa/DECRETO%20344%20DEL%2001%20DE%20MARZO%20DE%202017.pdf</w:t>
            </w:r>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355</w:t>
            </w:r>
          </w:p>
        </w:tc>
        <w:tc>
          <w:tcPr>
            <w:tcW w:w="99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3/03/2017</w:t>
            </w:r>
          </w:p>
        </w:tc>
        <w:tc>
          <w:tcPr>
            <w:tcW w:w="340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modifican los artículos 1, 3, 5 Y 7 del Decreto 945 de 2014, el cual reglamentó la conformación y el Funcionamiento del Consejo Nacional de Seguridad Turística y los Comités Departamentales de Seguridad Turística de que trata el artículo 11 de la Ley 1558 de 2012</w:t>
            </w:r>
          </w:p>
        </w:tc>
        <w:tc>
          <w:tcPr>
            <w:tcW w:w="1843"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de Protección</w:t>
            </w:r>
          </w:p>
        </w:tc>
        <w:tc>
          <w:tcPr>
            <w:tcW w:w="2175" w:type="dxa"/>
            <w:vAlign w:val="center"/>
            <w:hideMark/>
          </w:tcPr>
          <w:p w:rsidR="00356E7A" w:rsidRPr="00E2319F" w:rsidRDefault="000E0283"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01" w:history="1">
              <w:r w:rsidR="00356E7A" w:rsidRPr="00E2319F">
                <w:rPr>
                  <w:rStyle w:val="Hipervnculo"/>
                  <w:rFonts w:cs="Arial"/>
                  <w:color w:val="auto"/>
                  <w:sz w:val="16"/>
                  <w:szCs w:val="16"/>
                </w:rPr>
                <w:t>http://es.presidencia.gov.co/normativa/normativa/DECRETO%20355%20DEL%2003%20DE%20MARZO%20DE%202017.pdf</w:t>
              </w:r>
            </w:hyperlink>
          </w:p>
        </w:tc>
      </w:tr>
      <w:tr w:rsidR="00356E7A" w:rsidRPr="00E2319F" w:rsidTr="00511884">
        <w:trPr>
          <w:trHeight w:val="891"/>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356</w:t>
            </w:r>
          </w:p>
        </w:tc>
        <w:tc>
          <w:tcPr>
            <w:tcW w:w="99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3/03/2017</w:t>
            </w:r>
          </w:p>
        </w:tc>
        <w:tc>
          <w:tcPr>
            <w:tcW w:w="340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modifica la Sección 3 del Capítulo 12 del Título 6 de la Parle 2 del Libro 2 del Decreto 1069 de 2015, Decreto Único Reglamentario del Sector Justicia y del Derecho</w:t>
            </w:r>
          </w:p>
        </w:tc>
        <w:tc>
          <w:tcPr>
            <w:tcW w:w="1843"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de Protección</w:t>
            </w:r>
          </w:p>
        </w:tc>
        <w:tc>
          <w:tcPr>
            <w:tcW w:w="2175" w:type="dxa"/>
            <w:vAlign w:val="center"/>
            <w:hideMark/>
          </w:tcPr>
          <w:p w:rsidR="00356E7A" w:rsidRPr="00E2319F" w:rsidRDefault="000E0283"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102" w:history="1">
              <w:r w:rsidR="00356E7A" w:rsidRPr="00E2319F">
                <w:rPr>
                  <w:rStyle w:val="Hipervnculo"/>
                  <w:rFonts w:cs="Arial"/>
                  <w:color w:val="auto"/>
                  <w:sz w:val="16"/>
                  <w:szCs w:val="16"/>
                </w:rPr>
                <w:t>http://es.presidencia.gov.co/normativa/normativa/DECRETO%20356%20DEL%2003%20DE%20MARZO%20DE%202017.pdf</w:t>
              </w:r>
            </w:hyperlink>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441</w:t>
            </w:r>
          </w:p>
        </w:tc>
        <w:tc>
          <w:tcPr>
            <w:tcW w:w="99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16/03/2017</w:t>
            </w:r>
          </w:p>
        </w:tc>
        <w:tc>
          <w:tcPr>
            <w:tcW w:w="340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sustituye el Título 8 del Libro 2 de la Parte 2 del Decreto 1082 de 2015, Decreto Único Reglamentario del Sector Administrativo de Planeación Nacional, con el fin de reglamentar el artículo 24 de la Ley 1176 de 2007 respecto del instrumento de focalización de los servicios sociales, y se dictan otras disposiciones</w:t>
            </w:r>
          </w:p>
        </w:tc>
        <w:tc>
          <w:tcPr>
            <w:tcW w:w="1843"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de Planeación y Control de Gestión, Subdirección General</w:t>
            </w:r>
          </w:p>
        </w:tc>
        <w:tc>
          <w:tcPr>
            <w:tcW w:w="2175" w:type="dxa"/>
            <w:vAlign w:val="center"/>
            <w:hideMark/>
          </w:tcPr>
          <w:p w:rsidR="00356E7A" w:rsidRPr="00E2319F" w:rsidRDefault="000E0283"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03" w:history="1">
              <w:r w:rsidR="00356E7A" w:rsidRPr="00E2319F">
                <w:rPr>
                  <w:rStyle w:val="Hipervnculo"/>
                  <w:rFonts w:cs="Arial"/>
                  <w:color w:val="auto"/>
                  <w:sz w:val="16"/>
                  <w:szCs w:val="16"/>
                </w:rPr>
                <w:t>http://es.presidencia.gov.co/normativa/normativa/DECRETO%20441%20DEL%2016%20DE%20MARZO%20DE%202017.pdf</w:t>
              </w:r>
            </w:hyperlink>
          </w:p>
        </w:tc>
      </w:tr>
      <w:tr w:rsidR="00356E7A" w:rsidRPr="00E2319F" w:rsidTr="00511884">
        <w:trPr>
          <w:trHeight w:val="135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445</w:t>
            </w:r>
          </w:p>
        </w:tc>
        <w:tc>
          <w:tcPr>
            <w:tcW w:w="99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16/03/2017</w:t>
            </w:r>
          </w:p>
        </w:tc>
        <w:tc>
          <w:tcPr>
            <w:tcW w:w="340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adiciona el Título 6 a la Parte 5 del Libro 2 del Decreto 1068 de 2015, Decreto Único Reglamentario del Sector Hacienda y Crédito Público y se reglamenta el parágrafo 4° del artículo 163 de la Ley 1753 de 2015, sobre depuración definitiva de la cartera de imposible recaudo de las entidades públicas del orden nacional.</w:t>
            </w:r>
          </w:p>
        </w:tc>
        <w:tc>
          <w:tcPr>
            <w:tcW w:w="1843"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Financiera</w:t>
            </w:r>
          </w:p>
        </w:tc>
        <w:tc>
          <w:tcPr>
            <w:tcW w:w="2175" w:type="dxa"/>
            <w:vAlign w:val="center"/>
            <w:hideMark/>
          </w:tcPr>
          <w:p w:rsidR="00356E7A" w:rsidRPr="00E2319F" w:rsidRDefault="000E0283"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104" w:history="1">
              <w:r w:rsidR="00356E7A" w:rsidRPr="00E2319F">
                <w:rPr>
                  <w:rStyle w:val="Hipervnculo"/>
                  <w:rFonts w:cs="Arial"/>
                  <w:color w:val="auto"/>
                  <w:sz w:val="16"/>
                  <w:szCs w:val="16"/>
                </w:rPr>
                <w:t>http://es.presidencia.gov.co/normativa/normativa/DECRETO%20445%20DEL%2016%20DE%20MARZO%20DE%202017.pdf</w:t>
              </w:r>
            </w:hyperlink>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484</w:t>
            </w:r>
          </w:p>
        </w:tc>
        <w:tc>
          <w:tcPr>
            <w:tcW w:w="99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24/03/2017</w:t>
            </w:r>
          </w:p>
        </w:tc>
        <w:tc>
          <w:tcPr>
            <w:tcW w:w="340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modifican unos artículos del Título 16 del Decreto 1083 de 2015, Único Reglamentario del Sector de Función Pública</w:t>
            </w:r>
          </w:p>
        </w:tc>
        <w:tc>
          <w:tcPr>
            <w:tcW w:w="1843"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de Gestión Humana</w:t>
            </w:r>
          </w:p>
        </w:tc>
        <w:tc>
          <w:tcPr>
            <w:tcW w:w="2175"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r w:rsidRPr="00E2319F">
              <w:rPr>
                <w:rFonts w:cs="Arial"/>
                <w:sz w:val="16"/>
                <w:szCs w:val="16"/>
                <w:u w:val="single"/>
              </w:rPr>
              <w:t>http://es.presidencia.gov.co/normativa/normativa/DECRETO%20484%20DEL%2024%20DE%20MARZO%20DE%202017.pdf</w:t>
            </w:r>
          </w:p>
        </w:tc>
      </w:tr>
      <w:tr w:rsidR="00356E7A" w:rsidRPr="00E2319F" w:rsidTr="00511884">
        <w:trPr>
          <w:trHeight w:val="135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536</w:t>
            </w:r>
          </w:p>
        </w:tc>
        <w:tc>
          <w:tcPr>
            <w:tcW w:w="99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30/03/2017</w:t>
            </w:r>
          </w:p>
        </w:tc>
        <w:tc>
          <w:tcPr>
            <w:tcW w:w="340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adiciona un parágrafo al artículo 1.2.4.3.1. del Libro 1, Título 4, Parte 2, Capítulo 3 del Decreto 1625 de 2016, Decreto Único Reglamentario en Materia Tributaria, para establecer la tarifa de retención en la fuente a título de impuesto sobre la renta por actividades de estudios de mercado y realización de encuestas de opinión pública</w:t>
            </w:r>
          </w:p>
        </w:tc>
        <w:tc>
          <w:tcPr>
            <w:tcW w:w="1843"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Financiera</w:t>
            </w:r>
          </w:p>
        </w:tc>
        <w:tc>
          <w:tcPr>
            <w:tcW w:w="2175" w:type="dxa"/>
            <w:vAlign w:val="center"/>
            <w:hideMark/>
          </w:tcPr>
          <w:p w:rsidR="00356E7A" w:rsidRPr="00E2319F" w:rsidRDefault="000E0283"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105" w:history="1">
              <w:r w:rsidR="00356E7A" w:rsidRPr="00E2319F">
                <w:rPr>
                  <w:rStyle w:val="Hipervnculo"/>
                  <w:rFonts w:cs="Arial"/>
                  <w:color w:val="auto"/>
                  <w:sz w:val="16"/>
                  <w:szCs w:val="16"/>
                </w:rPr>
                <w:t>http://es.presidencia.gov.co/normativa/normativa/DECRETO%20536%20DEL%2030%20DE%20MARZO%20DE%202017.pdf</w:t>
              </w:r>
            </w:hyperlink>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lastRenderedPageBreak/>
              <w:t>Decreto 648</w:t>
            </w:r>
          </w:p>
        </w:tc>
        <w:tc>
          <w:tcPr>
            <w:tcW w:w="99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19/04/2017</w:t>
            </w:r>
          </w:p>
        </w:tc>
        <w:tc>
          <w:tcPr>
            <w:tcW w:w="340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modifica y adiciona el Decreto 1083 de 2015, Reglamentaria Único del Sector de la Función Pública</w:t>
            </w:r>
          </w:p>
        </w:tc>
        <w:tc>
          <w:tcPr>
            <w:tcW w:w="1843"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de Gestión Humana, Secretaría General, Oficina de Control Interno</w:t>
            </w:r>
          </w:p>
        </w:tc>
        <w:tc>
          <w:tcPr>
            <w:tcW w:w="2175" w:type="dxa"/>
            <w:vAlign w:val="center"/>
            <w:hideMark/>
          </w:tcPr>
          <w:p w:rsidR="00356E7A" w:rsidRPr="00E2319F" w:rsidRDefault="000E0283"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06" w:history="1">
              <w:r w:rsidR="00356E7A" w:rsidRPr="00E2319F">
                <w:rPr>
                  <w:rStyle w:val="Hipervnculo"/>
                  <w:rFonts w:cs="Arial"/>
                  <w:color w:val="auto"/>
                  <w:sz w:val="16"/>
                  <w:szCs w:val="16"/>
                </w:rPr>
                <w:t>http://es.presidencia.gov.co/normativa/normativa/DECRETO%20648%20DEL%2019%20DE%20ABRIL%20DE%202017.pdf</w:t>
              </w:r>
            </w:hyperlink>
          </w:p>
        </w:tc>
      </w:tr>
      <w:tr w:rsidR="00356E7A" w:rsidRPr="00E2319F" w:rsidTr="00511884">
        <w:trPr>
          <w:trHeight w:val="868"/>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671</w:t>
            </w:r>
          </w:p>
        </w:tc>
        <w:tc>
          <w:tcPr>
            <w:tcW w:w="992" w:type="dxa"/>
            <w:noWrap/>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25/04/2017</w:t>
            </w:r>
          </w:p>
        </w:tc>
        <w:tc>
          <w:tcPr>
            <w:tcW w:w="340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modifica la Ley 1448 de 2011, en lo relacionado con la certificación de desvinculación de menores en caso de acuerdos de paz, y se dictan otras disposiciones</w:t>
            </w:r>
          </w:p>
        </w:tc>
        <w:tc>
          <w:tcPr>
            <w:tcW w:w="1843"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de Protección, Subdirección General</w:t>
            </w:r>
          </w:p>
        </w:tc>
        <w:tc>
          <w:tcPr>
            <w:tcW w:w="2175" w:type="dxa"/>
            <w:vAlign w:val="center"/>
            <w:hideMark/>
          </w:tcPr>
          <w:p w:rsidR="00356E7A" w:rsidRPr="00E2319F" w:rsidRDefault="000E0283"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107" w:history="1">
              <w:r w:rsidR="00356E7A" w:rsidRPr="00E2319F">
                <w:rPr>
                  <w:rStyle w:val="Hipervnculo"/>
                  <w:rFonts w:cs="Arial"/>
                  <w:color w:val="auto"/>
                  <w:sz w:val="16"/>
                  <w:szCs w:val="16"/>
                </w:rPr>
                <w:t>http://es.presidencia.gov.co/normativa/normativa/DECRETO%20671%20DEL%2025%20DE%20ABRIL%20DE%202017.pdf</w:t>
              </w:r>
            </w:hyperlink>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Ley 1833</w:t>
            </w:r>
          </w:p>
        </w:tc>
        <w:tc>
          <w:tcPr>
            <w:tcW w:w="99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4/05/2017</w:t>
            </w:r>
          </w:p>
        </w:tc>
        <w:tc>
          <w:tcPr>
            <w:tcW w:w="340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medio de la cual se modifica y adiciona la ley 5a de 1992, se crea la comisión legal para la protección de los derechos de las comunidades negras o población afrocolombiana del congreso de la república de Colombia y se dictan otras disposiciones.</w:t>
            </w:r>
          </w:p>
        </w:tc>
        <w:tc>
          <w:tcPr>
            <w:tcW w:w="1843"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Subdirección General, Dirección de Familias y Comunidades, Dirección del SNBF</w:t>
            </w:r>
          </w:p>
        </w:tc>
        <w:tc>
          <w:tcPr>
            <w:tcW w:w="2175"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r w:rsidRPr="00E2319F">
              <w:rPr>
                <w:rFonts w:cs="Arial"/>
                <w:sz w:val="16"/>
                <w:szCs w:val="16"/>
                <w:u w:val="single"/>
              </w:rPr>
              <w:t>http://es.presidencia.gov.co/normativa/normativa/LEY%201833%20DEL%2004%20DE%20MAYO%20DE%202017.pdf</w:t>
            </w:r>
          </w:p>
        </w:tc>
      </w:tr>
      <w:tr w:rsidR="00356E7A" w:rsidRPr="00E2319F" w:rsidTr="00511884">
        <w:trPr>
          <w:trHeight w:val="135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728</w:t>
            </w:r>
          </w:p>
        </w:tc>
        <w:tc>
          <w:tcPr>
            <w:tcW w:w="99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5/05/2017</w:t>
            </w:r>
          </w:p>
        </w:tc>
        <w:tc>
          <w:tcPr>
            <w:tcW w:w="340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adiciona el capítulo 2 al título 9 de la parte 2 del libro 2 del Decreto Único Reglamentario del sector TIC, Decreto 1078 de 2015, para fortalecer el modelo de Gobierno Digital en las entidades del orden nacional del Estado colombiano, a través de la implementación de zonas de acceso público a Internet inalámbrico</w:t>
            </w:r>
          </w:p>
        </w:tc>
        <w:tc>
          <w:tcPr>
            <w:tcW w:w="1843"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de Servicios y Atención, Dirección de Información y Tecnología</w:t>
            </w:r>
          </w:p>
        </w:tc>
        <w:tc>
          <w:tcPr>
            <w:tcW w:w="2175" w:type="dxa"/>
            <w:vAlign w:val="center"/>
            <w:hideMark/>
          </w:tcPr>
          <w:p w:rsidR="00356E7A" w:rsidRPr="00E2319F" w:rsidRDefault="000E0283"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108" w:history="1">
              <w:r w:rsidR="00356E7A" w:rsidRPr="00E2319F">
                <w:rPr>
                  <w:rStyle w:val="Hipervnculo"/>
                  <w:rFonts w:cs="Arial"/>
                  <w:color w:val="auto"/>
                  <w:sz w:val="16"/>
                  <w:szCs w:val="16"/>
                </w:rPr>
                <w:t>http://es.presidencia.gov.co/normativa/normativa/DECRETO%20728%20DEL%2005%20DE%20MAYO%20DE%202017.pdf</w:t>
              </w:r>
            </w:hyperlink>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885</w:t>
            </w:r>
          </w:p>
        </w:tc>
        <w:tc>
          <w:tcPr>
            <w:tcW w:w="99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26/05/2017</w:t>
            </w:r>
          </w:p>
        </w:tc>
        <w:tc>
          <w:tcPr>
            <w:tcW w:w="340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medio del cual se modifica la Ley 434 de 1998 y se crea el Consejo Nacional de Paz, Reconciliación y Convivencia"</w:t>
            </w:r>
          </w:p>
        </w:tc>
        <w:tc>
          <w:tcPr>
            <w:tcW w:w="1843"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de Protección, Dirección del SNBF</w:t>
            </w:r>
          </w:p>
        </w:tc>
        <w:tc>
          <w:tcPr>
            <w:tcW w:w="2175" w:type="dxa"/>
            <w:vAlign w:val="center"/>
            <w:hideMark/>
          </w:tcPr>
          <w:p w:rsidR="00356E7A" w:rsidRPr="00E2319F" w:rsidRDefault="000E0283"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09" w:history="1">
              <w:r w:rsidR="00356E7A" w:rsidRPr="00E2319F">
                <w:rPr>
                  <w:rStyle w:val="Hipervnculo"/>
                  <w:rFonts w:cs="Arial"/>
                  <w:color w:val="auto"/>
                  <w:sz w:val="16"/>
                  <w:szCs w:val="16"/>
                </w:rPr>
                <w:t>http://es.presidencia.gov.co/normativa/normativa/DECRETO%20885%20DEL%2026%20DE%20MAYO%20DE%202017.pdf</w:t>
              </w:r>
            </w:hyperlink>
          </w:p>
        </w:tc>
      </w:tr>
      <w:tr w:rsidR="00356E7A" w:rsidRPr="00E2319F" w:rsidTr="00511884">
        <w:trPr>
          <w:trHeight w:val="135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891</w:t>
            </w:r>
          </w:p>
        </w:tc>
        <w:tc>
          <w:tcPr>
            <w:tcW w:w="99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28/05/2017</w:t>
            </w:r>
          </w:p>
        </w:tc>
        <w:tc>
          <w:tcPr>
            <w:tcW w:w="340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adiciona un parágrafo al artículo 190 de la Ley 1448 de 2011 en lo relacionado con el proceso de restitución de los derechos de los niños, niñas y adolescentes a cargo del ICBF, desvinculados de las FARC-EP en virtud del Acuerdo Final para la Terminación del Conflicto y la Construcción de una Paz Estable y Duradera"</w:t>
            </w:r>
          </w:p>
        </w:tc>
        <w:tc>
          <w:tcPr>
            <w:tcW w:w="1843"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de Protección, Dirección del SNBF</w:t>
            </w:r>
          </w:p>
        </w:tc>
        <w:tc>
          <w:tcPr>
            <w:tcW w:w="2175" w:type="dxa"/>
            <w:vAlign w:val="center"/>
            <w:hideMark/>
          </w:tcPr>
          <w:p w:rsidR="00356E7A" w:rsidRPr="00E2319F" w:rsidRDefault="000E0283"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110" w:history="1">
              <w:r w:rsidR="00356E7A" w:rsidRPr="00E2319F">
                <w:rPr>
                  <w:rStyle w:val="Hipervnculo"/>
                  <w:rFonts w:cs="Arial"/>
                  <w:color w:val="auto"/>
                  <w:sz w:val="16"/>
                  <w:szCs w:val="16"/>
                </w:rPr>
                <w:t>http://es.presidencia.gov.co/normativa/normativa/DECRETO%20891%20DEL%2028%20DE%20MAYO%20DE%202017.pdf</w:t>
              </w:r>
            </w:hyperlink>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893</w:t>
            </w:r>
          </w:p>
        </w:tc>
        <w:tc>
          <w:tcPr>
            <w:tcW w:w="99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28/05/2017</w:t>
            </w:r>
          </w:p>
        </w:tc>
        <w:tc>
          <w:tcPr>
            <w:tcW w:w="340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crean los Programas de Desarrollo con Enfoque Territorial-PDET</w:t>
            </w:r>
          </w:p>
        </w:tc>
        <w:tc>
          <w:tcPr>
            <w:tcW w:w="1843"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de Familias y Comunidades</w:t>
            </w:r>
          </w:p>
        </w:tc>
        <w:tc>
          <w:tcPr>
            <w:tcW w:w="2175" w:type="dxa"/>
            <w:vAlign w:val="center"/>
            <w:hideMark/>
          </w:tcPr>
          <w:p w:rsidR="00356E7A" w:rsidRPr="00E2319F" w:rsidRDefault="000E0283"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11" w:history="1">
              <w:r w:rsidR="00356E7A" w:rsidRPr="00E2319F">
                <w:rPr>
                  <w:rStyle w:val="Hipervnculo"/>
                  <w:rFonts w:cs="Arial"/>
                  <w:color w:val="auto"/>
                  <w:sz w:val="16"/>
                  <w:szCs w:val="16"/>
                </w:rPr>
                <w:t>http://es.presidencia.gov.co/normativa/normativa/DECRETO%20893%20DEL%2028%20DE%20MAYO%20DE%202017.pdf</w:t>
              </w:r>
            </w:hyperlink>
          </w:p>
        </w:tc>
      </w:tr>
      <w:tr w:rsidR="00356E7A" w:rsidRPr="00E2319F" w:rsidTr="00511884">
        <w:trPr>
          <w:trHeight w:val="675"/>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894</w:t>
            </w:r>
          </w:p>
        </w:tc>
        <w:tc>
          <w:tcPr>
            <w:tcW w:w="992" w:type="dxa"/>
            <w:noWrap/>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28/05/2017</w:t>
            </w:r>
          </w:p>
        </w:tc>
        <w:tc>
          <w:tcPr>
            <w:tcW w:w="340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dictan normas en materia de empleo público con el fin de facilitar y asegurar la implementación y desarrollo normativo del Acuerdo Final para la Terminación del Conflicto y la Construcción de una Paz Estable V Duradera.</w:t>
            </w:r>
          </w:p>
        </w:tc>
        <w:tc>
          <w:tcPr>
            <w:tcW w:w="1843"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de Gestión Humana</w:t>
            </w:r>
          </w:p>
        </w:tc>
        <w:tc>
          <w:tcPr>
            <w:tcW w:w="2175" w:type="dxa"/>
            <w:vAlign w:val="center"/>
            <w:hideMark/>
          </w:tcPr>
          <w:p w:rsidR="00356E7A" w:rsidRPr="00E2319F" w:rsidRDefault="000E0283"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hyperlink r:id="rId112" w:history="1">
              <w:r w:rsidR="00356E7A" w:rsidRPr="00E2319F">
                <w:rPr>
                  <w:rStyle w:val="Hipervnculo"/>
                  <w:rFonts w:cs="Arial"/>
                  <w:color w:val="auto"/>
                  <w:sz w:val="16"/>
                  <w:szCs w:val="16"/>
                </w:rPr>
                <w:t>http://es.presidencia.gov.co/normativa/normativa/DECRETO%20894%20DEL%2028%20DE%20MAYO%20DE%202017.pdf</w:t>
              </w:r>
            </w:hyperlink>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923</w:t>
            </w:r>
          </w:p>
        </w:tc>
        <w:tc>
          <w:tcPr>
            <w:tcW w:w="992" w:type="dxa"/>
            <w:noWrap/>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31/05/2017</w:t>
            </w:r>
          </w:p>
        </w:tc>
        <w:tc>
          <w:tcPr>
            <w:tcW w:w="340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modifican los artículos 3.2.2.1 y 3.2.3.9 del Decreto 780 de 2016, Único Reglamentario del Sector Salud y Protección Social</w:t>
            </w:r>
          </w:p>
        </w:tc>
        <w:tc>
          <w:tcPr>
            <w:tcW w:w="1843"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de Gestión Humana, Dirección Financiera</w:t>
            </w:r>
          </w:p>
        </w:tc>
        <w:tc>
          <w:tcPr>
            <w:tcW w:w="2175" w:type="dxa"/>
            <w:vAlign w:val="center"/>
            <w:hideMark/>
          </w:tcPr>
          <w:p w:rsidR="00356E7A" w:rsidRPr="00E2319F" w:rsidRDefault="000E0283"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13" w:history="1">
              <w:r w:rsidR="00356E7A" w:rsidRPr="00E2319F">
                <w:rPr>
                  <w:rStyle w:val="Hipervnculo"/>
                  <w:rFonts w:cs="Arial"/>
                  <w:color w:val="auto"/>
                  <w:sz w:val="16"/>
                  <w:szCs w:val="16"/>
                </w:rPr>
                <w:t>http://es.presidencia.gov.co/normativa/normativa/DECRETO%20923%20DEL%2031%20DE%20MAYO%20DE%202017.pdf</w:t>
              </w:r>
            </w:hyperlink>
          </w:p>
        </w:tc>
      </w:tr>
      <w:tr w:rsidR="00356E7A" w:rsidRPr="00E2319F" w:rsidTr="00511884">
        <w:trPr>
          <w:trHeight w:val="135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926</w:t>
            </w:r>
          </w:p>
        </w:tc>
        <w:tc>
          <w:tcPr>
            <w:tcW w:w="992" w:type="dxa"/>
            <w:noWrap/>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1/06/2017</w:t>
            </w:r>
          </w:p>
        </w:tc>
        <w:tc>
          <w:tcPr>
            <w:tcW w:w="340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modifica el epígrafe de la Parte 5 y se adiciona el Título 5 a la Parte 5 del Libro 1 del Decreto 1625 de 2016 Único Reglamentario en Materia Tributaria y el Título 11 de la Parte 2 de Libro 2 al Decreto 1076 de 2015 Único Reglamentario del Sector Ambiente y Desarrollo Sostenible, para reglamentar el parágrafo 3 del artículo 221 y el parágrafo 2 del artículo 222 de la Ley 1819 de 2016</w:t>
            </w:r>
          </w:p>
        </w:tc>
        <w:tc>
          <w:tcPr>
            <w:tcW w:w="1843"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Administrativa</w:t>
            </w:r>
          </w:p>
        </w:tc>
        <w:tc>
          <w:tcPr>
            <w:tcW w:w="2175" w:type="dxa"/>
            <w:vAlign w:val="center"/>
            <w:hideMark/>
          </w:tcPr>
          <w:p w:rsidR="00356E7A" w:rsidRPr="00E2319F" w:rsidRDefault="000E0283"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114" w:history="1">
              <w:r w:rsidR="00356E7A" w:rsidRPr="00E2319F">
                <w:rPr>
                  <w:rStyle w:val="Hipervnculo"/>
                  <w:rFonts w:cs="Arial"/>
                  <w:color w:val="auto"/>
                  <w:sz w:val="16"/>
                  <w:szCs w:val="16"/>
                </w:rPr>
                <w:t>http://es.presidencia.gov.co/normativa/normativa/DECRETO%20926%20DEL%2001%20DE%20JUNIO%20DE%202017.pdf</w:t>
              </w:r>
            </w:hyperlink>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1137"/>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lastRenderedPageBreak/>
              <w:t>Decreto 927</w:t>
            </w:r>
          </w:p>
        </w:tc>
        <w:tc>
          <w:tcPr>
            <w:tcW w:w="99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1/06/2017</w:t>
            </w:r>
          </w:p>
        </w:tc>
        <w:tc>
          <w:tcPr>
            <w:tcW w:w="340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adiciona el Título IV a la Parte 6 del Libro 1 del Decreto Único Reglamentario en materia tributaria 1625 de 2016, para reglamentar los artículos 305 y 306 de la Ley 1819 de 2016.</w:t>
            </w:r>
          </w:p>
        </w:tc>
        <w:tc>
          <w:tcPr>
            <w:tcW w:w="1843"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Administrativa, Dirección Financiera, Oficina Asesora Jurídica</w:t>
            </w:r>
          </w:p>
        </w:tc>
        <w:tc>
          <w:tcPr>
            <w:tcW w:w="2175" w:type="dxa"/>
            <w:vAlign w:val="center"/>
            <w:hideMark/>
          </w:tcPr>
          <w:p w:rsidR="00356E7A" w:rsidRPr="00E2319F" w:rsidRDefault="000E0283"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15" w:history="1">
              <w:r w:rsidR="00356E7A" w:rsidRPr="00E2319F">
                <w:rPr>
                  <w:rStyle w:val="Hipervnculo"/>
                  <w:rFonts w:cs="Arial"/>
                  <w:color w:val="auto"/>
                  <w:sz w:val="16"/>
                  <w:szCs w:val="16"/>
                </w:rPr>
                <w:t>http://es.presidencia.gov.co/normativa/normativa/DECRETO%20927%20DEL%2001%20DE%20JUNIO%20DE%202017.pdf</w:t>
              </w:r>
            </w:hyperlink>
          </w:p>
        </w:tc>
      </w:tr>
      <w:tr w:rsidR="00356E7A" w:rsidRPr="00E2319F" w:rsidTr="00511884">
        <w:trPr>
          <w:trHeight w:val="842"/>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945</w:t>
            </w:r>
          </w:p>
        </w:tc>
        <w:tc>
          <w:tcPr>
            <w:tcW w:w="99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5/06/2017</w:t>
            </w:r>
          </w:p>
        </w:tc>
        <w:tc>
          <w:tcPr>
            <w:tcW w:w="340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modifica parcialmente el Reglamento Colombiano de Construcciones Sismo Resistentes NSR-10</w:t>
            </w:r>
          </w:p>
        </w:tc>
        <w:tc>
          <w:tcPr>
            <w:tcW w:w="1843"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Administrativa</w:t>
            </w:r>
          </w:p>
        </w:tc>
        <w:tc>
          <w:tcPr>
            <w:tcW w:w="2175" w:type="dxa"/>
            <w:vAlign w:val="center"/>
            <w:hideMark/>
          </w:tcPr>
          <w:p w:rsidR="00356E7A" w:rsidRPr="00E2319F" w:rsidRDefault="000E0283"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116" w:history="1">
              <w:r w:rsidR="00356E7A" w:rsidRPr="00E2319F">
                <w:rPr>
                  <w:rStyle w:val="Hipervnculo"/>
                  <w:rFonts w:cs="Arial"/>
                  <w:color w:val="auto"/>
                  <w:sz w:val="16"/>
                  <w:szCs w:val="16"/>
                </w:rPr>
                <w:t>http://es.presidencia.gov.co/normativa/normativa/DECRETO%20945%20DEL%2005%20DE%20JUNIO%20DE%202017.pdf</w:t>
              </w:r>
            </w:hyperlink>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999</w:t>
            </w:r>
          </w:p>
        </w:tc>
        <w:tc>
          <w:tcPr>
            <w:tcW w:w="99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9/06/2017</w:t>
            </w:r>
          </w:p>
        </w:tc>
        <w:tc>
          <w:tcPr>
            <w:tcW w:w="340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fijan las escalas de asignación básica de los empleos que sean desempeñados por empleados públicos de la Rama Ejecutiva, Corporaciones Autónomas. Regionales y de Desarrollo Sostenible, Empresas Sociales del Estado, del orden nacional, y se dictan otras disposiciones.</w:t>
            </w:r>
          </w:p>
        </w:tc>
        <w:tc>
          <w:tcPr>
            <w:tcW w:w="1843"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de Gestión Humana</w:t>
            </w:r>
          </w:p>
        </w:tc>
        <w:tc>
          <w:tcPr>
            <w:tcW w:w="2175" w:type="dxa"/>
            <w:vAlign w:val="center"/>
            <w:hideMark/>
          </w:tcPr>
          <w:p w:rsidR="00356E7A" w:rsidRPr="00E2319F" w:rsidRDefault="000E0283"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17" w:history="1">
              <w:r w:rsidR="00356E7A" w:rsidRPr="00E2319F">
                <w:rPr>
                  <w:rStyle w:val="Hipervnculo"/>
                  <w:rFonts w:cs="Arial"/>
                  <w:color w:val="auto"/>
                  <w:sz w:val="16"/>
                  <w:szCs w:val="16"/>
                </w:rPr>
                <w:t>http://es.presidencia.gov.co/normativa/normativa/DECRETO%20999%20DEL%2009%20DE%20JUNIO%20DE%202017.pdf</w:t>
              </w:r>
            </w:hyperlink>
          </w:p>
        </w:tc>
      </w:tr>
      <w:tr w:rsidR="00356E7A" w:rsidRPr="00E2319F" w:rsidTr="00511884">
        <w:trPr>
          <w:trHeight w:val="619"/>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1000</w:t>
            </w:r>
          </w:p>
        </w:tc>
        <w:tc>
          <w:tcPr>
            <w:tcW w:w="99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9/06/2017</w:t>
            </w:r>
          </w:p>
        </w:tc>
        <w:tc>
          <w:tcPr>
            <w:tcW w:w="340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fijan las escalas de viáticos.</w:t>
            </w:r>
          </w:p>
        </w:tc>
        <w:tc>
          <w:tcPr>
            <w:tcW w:w="1843"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de Gestión Humana</w:t>
            </w:r>
          </w:p>
        </w:tc>
        <w:tc>
          <w:tcPr>
            <w:tcW w:w="2175" w:type="dxa"/>
            <w:vAlign w:val="center"/>
            <w:hideMark/>
          </w:tcPr>
          <w:p w:rsidR="00356E7A" w:rsidRPr="00E2319F" w:rsidRDefault="000E0283"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118" w:history="1">
              <w:r w:rsidR="00356E7A" w:rsidRPr="00E2319F">
                <w:rPr>
                  <w:rStyle w:val="Hipervnculo"/>
                  <w:rFonts w:cs="Arial"/>
                  <w:color w:val="auto"/>
                  <w:sz w:val="16"/>
                  <w:szCs w:val="16"/>
                </w:rPr>
                <w:t>http://es.presidencia.gov.co/normativa/normativa/DECRETO%201000%20DEL%2009%20DE%20JUNIO%20DE%202017.pdf</w:t>
              </w:r>
            </w:hyperlink>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1115</w:t>
            </w:r>
          </w:p>
        </w:tc>
        <w:tc>
          <w:tcPr>
            <w:tcW w:w="99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29/06/2017</w:t>
            </w:r>
          </w:p>
        </w:tc>
        <w:tc>
          <w:tcPr>
            <w:tcW w:w="340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modifica el artículo 2.2.2.26.3.1 del Decreto 1074 de 2015 -Decreto Único Reglamentario del Sector Comercio, Industria y Turismo</w:t>
            </w:r>
          </w:p>
        </w:tc>
        <w:tc>
          <w:tcPr>
            <w:tcW w:w="1843"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de Planeación, Dirección de Información y Tecnología</w:t>
            </w:r>
          </w:p>
        </w:tc>
        <w:tc>
          <w:tcPr>
            <w:tcW w:w="2175" w:type="dxa"/>
            <w:vAlign w:val="center"/>
            <w:hideMark/>
          </w:tcPr>
          <w:p w:rsidR="00356E7A" w:rsidRPr="00E2319F" w:rsidRDefault="000E0283"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19" w:history="1">
              <w:r w:rsidR="00356E7A" w:rsidRPr="00E2319F">
                <w:rPr>
                  <w:rStyle w:val="Hipervnculo"/>
                  <w:rFonts w:cs="Arial"/>
                  <w:color w:val="auto"/>
                  <w:sz w:val="16"/>
                  <w:szCs w:val="16"/>
                </w:rPr>
                <w:t>http://es.presidencia.gov.co/normativa/normativa/DECRETO%201115%20DEL%2029%20DE%20JUNIO%20DE%202017.pdf</w:t>
              </w:r>
            </w:hyperlink>
          </w:p>
        </w:tc>
      </w:tr>
      <w:tr w:rsidR="00356E7A" w:rsidRPr="00E2319F" w:rsidTr="00511884">
        <w:trPr>
          <w:trHeight w:val="135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1203</w:t>
            </w:r>
          </w:p>
        </w:tc>
        <w:tc>
          <w:tcPr>
            <w:tcW w:w="99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12/07/2017</w:t>
            </w:r>
          </w:p>
        </w:tc>
        <w:tc>
          <w:tcPr>
            <w:tcW w:w="340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medio del cual se modifica parcialmente el Decreto 1077 de 2015 Único Reglamentario del Sector Vivienda, Ciudad y Territorio y se reglamenta la Ley 1796 de 2016, en lo relacionado con el estudio, trámite y expedición de las licencias urbanísticas y la función pública que desempeñan los curadores urbanos y se dictan otras disposiciones"</w:t>
            </w:r>
          </w:p>
        </w:tc>
        <w:tc>
          <w:tcPr>
            <w:tcW w:w="1843"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Administrativa</w:t>
            </w:r>
          </w:p>
        </w:tc>
        <w:tc>
          <w:tcPr>
            <w:tcW w:w="2175" w:type="dxa"/>
            <w:vAlign w:val="center"/>
            <w:hideMark/>
          </w:tcPr>
          <w:p w:rsidR="00356E7A" w:rsidRPr="00E2319F" w:rsidRDefault="000E0283"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120" w:history="1">
              <w:r w:rsidR="00356E7A" w:rsidRPr="00E2319F">
                <w:rPr>
                  <w:rStyle w:val="Hipervnculo"/>
                  <w:rFonts w:cs="Arial"/>
                  <w:color w:val="auto"/>
                  <w:sz w:val="16"/>
                  <w:szCs w:val="16"/>
                </w:rPr>
                <w:t>http://es.presidencia.gov.co/normativa/normativa/DECRETO%201203%20DEL%2012%20DE%20JULIO%20DE%202017.pdf</w:t>
              </w:r>
            </w:hyperlink>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Ley 1846</w:t>
            </w:r>
          </w:p>
        </w:tc>
        <w:tc>
          <w:tcPr>
            <w:tcW w:w="99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18/07/2017</w:t>
            </w:r>
          </w:p>
        </w:tc>
        <w:tc>
          <w:tcPr>
            <w:tcW w:w="340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medio de la cual se modifican los artículos 160 y 161 del código sustantivo del trabajo y se dictan otras disposiciones</w:t>
            </w:r>
          </w:p>
        </w:tc>
        <w:tc>
          <w:tcPr>
            <w:tcW w:w="1843"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de Protección</w:t>
            </w:r>
          </w:p>
        </w:tc>
        <w:tc>
          <w:tcPr>
            <w:tcW w:w="2175" w:type="dxa"/>
            <w:vAlign w:val="center"/>
            <w:hideMark/>
          </w:tcPr>
          <w:p w:rsidR="00356E7A" w:rsidRPr="00E2319F" w:rsidRDefault="000E0283"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21" w:history="1">
              <w:r w:rsidR="00356E7A" w:rsidRPr="00E2319F">
                <w:rPr>
                  <w:rStyle w:val="Hipervnculo"/>
                  <w:rFonts w:cs="Arial"/>
                  <w:color w:val="auto"/>
                  <w:sz w:val="16"/>
                  <w:szCs w:val="16"/>
                </w:rPr>
                <w:t>http://es.presidencia.gov.co/normativa/normativa/LEY%201850%20DEL%2019%20DE%20JULIO%20DE%202017.pdf</w:t>
              </w:r>
            </w:hyperlink>
          </w:p>
        </w:tc>
      </w:tr>
      <w:tr w:rsidR="00356E7A" w:rsidRPr="00E2319F" w:rsidTr="00511884">
        <w:trPr>
          <w:trHeight w:val="135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Ley 1850</w:t>
            </w:r>
          </w:p>
        </w:tc>
        <w:tc>
          <w:tcPr>
            <w:tcW w:w="99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18/07/2017</w:t>
            </w:r>
          </w:p>
        </w:tc>
        <w:tc>
          <w:tcPr>
            <w:tcW w:w="340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medio de la cual se establecen medidas de protección al adulto mayor en Colombia, se modifican las leyes 1251 de 2008, 1315 de 2009, 599 de 2000 y 1276 de 2009, se penaliza el maltrato intrafamiliar por abandono y se dictan otras disposiciones</w:t>
            </w:r>
          </w:p>
        </w:tc>
        <w:tc>
          <w:tcPr>
            <w:tcW w:w="1843"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de Planeación, Dirección de Servicios y Atención</w:t>
            </w:r>
          </w:p>
        </w:tc>
        <w:tc>
          <w:tcPr>
            <w:tcW w:w="2175" w:type="dxa"/>
            <w:vAlign w:val="center"/>
            <w:hideMark/>
          </w:tcPr>
          <w:p w:rsidR="00356E7A" w:rsidRPr="00E2319F" w:rsidRDefault="000E0283"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122" w:history="1">
              <w:r w:rsidR="00356E7A" w:rsidRPr="00E2319F">
                <w:rPr>
                  <w:rStyle w:val="Hipervnculo"/>
                  <w:rFonts w:cs="Arial"/>
                  <w:color w:val="auto"/>
                  <w:sz w:val="16"/>
                  <w:szCs w:val="16"/>
                </w:rPr>
                <w:t>http://es.presidencia.gov.co/normativa/normativa/DECRETO%201268%20DEL%2026%20DE%20JULIO%20DE%202017.pdf</w:t>
              </w:r>
            </w:hyperlink>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1268</w:t>
            </w:r>
          </w:p>
        </w:tc>
        <w:tc>
          <w:tcPr>
            <w:tcW w:w="99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26/07/2017</w:t>
            </w:r>
          </w:p>
        </w:tc>
        <w:tc>
          <w:tcPr>
            <w:tcW w:w="340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reglamenta el Portal Central de Transparencia Fiscal (PCTF) en virtud del artículo 239 de la Ley 1753 de 2015 y se adiciona una sección al Libro 2, Parte 8, título 1, Capítulo 8, del Decreto 1068 de 2015 "Por medio del cual se expide el Decreto Único Reglamentario del Sector Hacienda y Crédito Público</w:t>
            </w:r>
          </w:p>
        </w:tc>
        <w:tc>
          <w:tcPr>
            <w:tcW w:w="1843"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de Planeación, Dirección de Servicios y Atención</w:t>
            </w:r>
          </w:p>
        </w:tc>
        <w:tc>
          <w:tcPr>
            <w:tcW w:w="2175" w:type="dxa"/>
            <w:vAlign w:val="center"/>
            <w:hideMark/>
          </w:tcPr>
          <w:p w:rsidR="00356E7A" w:rsidRPr="00E2319F" w:rsidRDefault="000E0283"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23" w:history="1">
              <w:r w:rsidR="00356E7A" w:rsidRPr="00E2319F">
                <w:rPr>
                  <w:rStyle w:val="Hipervnculo"/>
                  <w:rFonts w:cs="Arial"/>
                  <w:color w:val="auto"/>
                  <w:sz w:val="16"/>
                  <w:szCs w:val="16"/>
                </w:rPr>
                <w:t>http://es.presidencia.gov.co/normativa/normativa/DECRETO%201268%20DEL%2026%20DE%20JULIO%20DE%202017.pdf</w:t>
              </w:r>
            </w:hyperlink>
          </w:p>
        </w:tc>
      </w:tr>
      <w:tr w:rsidR="00356E7A" w:rsidRPr="00E2319F" w:rsidTr="00511884">
        <w:trPr>
          <w:trHeight w:val="854"/>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Ley 1857</w:t>
            </w:r>
          </w:p>
        </w:tc>
        <w:tc>
          <w:tcPr>
            <w:tcW w:w="99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26/07/2017</w:t>
            </w:r>
          </w:p>
        </w:tc>
        <w:tc>
          <w:tcPr>
            <w:tcW w:w="340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medio de la cual se modifica la ley' 1361 de 2009 para adicionar y complementar las medidas de protección de la familia y se dictan otras disposiciones</w:t>
            </w:r>
          </w:p>
        </w:tc>
        <w:tc>
          <w:tcPr>
            <w:tcW w:w="1843"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de Gestión Humana</w:t>
            </w:r>
          </w:p>
        </w:tc>
        <w:tc>
          <w:tcPr>
            <w:tcW w:w="2175" w:type="dxa"/>
            <w:vAlign w:val="center"/>
            <w:hideMark/>
          </w:tcPr>
          <w:p w:rsidR="00356E7A" w:rsidRPr="00E2319F" w:rsidRDefault="000E0283"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124" w:history="1">
              <w:r w:rsidR="00356E7A" w:rsidRPr="00E2319F">
                <w:rPr>
                  <w:rStyle w:val="Hipervnculo"/>
                  <w:rFonts w:cs="Arial"/>
                  <w:color w:val="auto"/>
                  <w:sz w:val="16"/>
                  <w:szCs w:val="16"/>
                </w:rPr>
                <w:t>http://es.presidencia.gov.co/normativa/normativa/LEY%201857%20DEL%2026%20DE%20JULIO%20DE%202017.pdf</w:t>
              </w:r>
            </w:hyperlink>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lastRenderedPageBreak/>
              <w:t>Decreto 1357</w:t>
            </w:r>
          </w:p>
        </w:tc>
        <w:tc>
          <w:tcPr>
            <w:tcW w:w="99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14/08/2017</w:t>
            </w:r>
          </w:p>
        </w:tc>
        <w:tc>
          <w:tcPr>
            <w:tcW w:w="340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medio del cual se hace un nombramiento en el Instituto Colombiano de Bienestar Familiar Cecilia de La Fuente de Lleras</w:t>
            </w:r>
          </w:p>
        </w:tc>
        <w:tc>
          <w:tcPr>
            <w:tcW w:w="1843"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General</w:t>
            </w:r>
          </w:p>
        </w:tc>
        <w:tc>
          <w:tcPr>
            <w:tcW w:w="2175" w:type="dxa"/>
            <w:vAlign w:val="center"/>
            <w:hideMark/>
          </w:tcPr>
          <w:p w:rsidR="00356E7A" w:rsidRPr="00E2319F" w:rsidRDefault="000E0283"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25" w:history="1">
              <w:r w:rsidR="00356E7A" w:rsidRPr="00E2319F">
                <w:rPr>
                  <w:rStyle w:val="Hipervnculo"/>
                  <w:rFonts w:cs="Arial"/>
                  <w:color w:val="auto"/>
                  <w:sz w:val="16"/>
                  <w:szCs w:val="16"/>
                </w:rPr>
                <w:t>http://es.presidencia.gov.co/normativa/normativa/DECRETO%201357%20DEL%2014%20DE%20AGOSTO%20DE%202017.pdf</w:t>
              </w:r>
            </w:hyperlink>
          </w:p>
        </w:tc>
      </w:tr>
      <w:tr w:rsidR="00356E7A" w:rsidRPr="00E2319F" w:rsidTr="00511884">
        <w:trPr>
          <w:trHeight w:val="135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1411</w:t>
            </w:r>
          </w:p>
        </w:tc>
        <w:tc>
          <w:tcPr>
            <w:tcW w:w="992" w:type="dxa"/>
            <w:noWrap/>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25/08/2017</w:t>
            </w:r>
          </w:p>
        </w:tc>
        <w:tc>
          <w:tcPr>
            <w:tcW w:w="340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crea la Comisión Intersectorial para el Aprovechamiento de Activos Públicos (CAAP), se dictan disposiciones para su funcionamiento y se adiciona el Título 3 de la Parte 1 del Libro 1 del Decreto 1068 de 2015, Decreto Único Reglamentario del Sector Hacienda y Crédito Público</w:t>
            </w:r>
          </w:p>
        </w:tc>
        <w:tc>
          <w:tcPr>
            <w:tcW w:w="1843"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Financiera, Dirección Administrativa</w:t>
            </w:r>
          </w:p>
        </w:tc>
        <w:tc>
          <w:tcPr>
            <w:tcW w:w="2175"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r w:rsidRPr="00E2319F">
              <w:rPr>
                <w:rFonts w:cs="Arial"/>
                <w:sz w:val="16"/>
                <w:szCs w:val="16"/>
                <w:u w:val="single"/>
              </w:rPr>
              <w:t>http://es.presidencia.gov.co/normativa/normativa/DECRETO%201411%20DEL%2025%20DE%20AGOSTO%20DE%202017.pdf</w:t>
            </w:r>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1413</w:t>
            </w:r>
          </w:p>
        </w:tc>
        <w:tc>
          <w:tcPr>
            <w:tcW w:w="99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25/08/2017</w:t>
            </w:r>
          </w:p>
        </w:tc>
        <w:tc>
          <w:tcPr>
            <w:tcW w:w="340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adiciona el título 17 a la parte 2 del libro 2 del Decreto Único Reglamentario del sector de Tecnologías de la Información y las Comunicaciones, Decreto 1078 de 2015, para reglamentarse parcialmente el capítulo IV del título 111 de la Ley 1437 de 2011 y el artículo 45 de la Ley 1753 de 2015, estableciendo lineamientos generales en el uso y operación de los servicios ciudadanos digitales</w:t>
            </w:r>
          </w:p>
        </w:tc>
        <w:tc>
          <w:tcPr>
            <w:tcW w:w="1843"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Dirección de Servicios y Atención, Dirección de Planeación, Dirección de Servicios y Tecnología</w:t>
            </w:r>
          </w:p>
        </w:tc>
        <w:tc>
          <w:tcPr>
            <w:tcW w:w="2175" w:type="dxa"/>
            <w:vAlign w:val="center"/>
            <w:hideMark/>
          </w:tcPr>
          <w:p w:rsidR="00356E7A" w:rsidRPr="00E2319F" w:rsidRDefault="000E0283"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26" w:history="1">
              <w:r w:rsidR="00356E7A" w:rsidRPr="00E2319F">
                <w:rPr>
                  <w:rStyle w:val="Hipervnculo"/>
                  <w:rFonts w:cs="Arial"/>
                  <w:color w:val="auto"/>
                  <w:sz w:val="16"/>
                  <w:szCs w:val="16"/>
                </w:rPr>
                <w:t>http://es.presidencia.gov.co/normativa/normativa/DECRETO%201413%20DEL%2025%20DE%20AGOSTO%20DE%202017.pdf</w:t>
              </w:r>
            </w:hyperlink>
          </w:p>
        </w:tc>
      </w:tr>
      <w:tr w:rsidR="00356E7A" w:rsidRPr="00E2319F" w:rsidTr="00511884">
        <w:trPr>
          <w:trHeight w:val="828"/>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1421</w:t>
            </w:r>
          </w:p>
        </w:tc>
        <w:tc>
          <w:tcPr>
            <w:tcW w:w="99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29/08/2017</w:t>
            </w:r>
          </w:p>
        </w:tc>
        <w:tc>
          <w:tcPr>
            <w:tcW w:w="340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reglamenta en el marco de la educación inclusiva la atención educativa a la población con discapacidad</w:t>
            </w:r>
          </w:p>
        </w:tc>
        <w:tc>
          <w:tcPr>
            <w:tcW w:w="1843"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Subdirección General, Dirección de Primera Infancia</w:t>
            </w:r>
          </w:p>
        </w:tc>
        <w:tc>
          <w:tcPr>
            <w:tcW w:w="2175" w:type="dxa"/>
            <w:vAlign w:val="center"/>
            <w:hideMark/>
          </w:tcPr>
          <w:p w:rsidR="00356E7A" w:rsidRPr="00E2319F" w:rsidRDefault="000E0283"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127" w:history="1">
              <w:r w:rsidR="00356E7A" w:rsidRPr="00E2319F">
                <w:rPr>
                  <w:rStyle w:val="Hipervnculo"/>
                  <w:rFonts w:cs="Arial"/>
                  <w:color w:val="auto"/>
                  <w:sz w:val="16"/>
                  <w:szCs w:val="16"/>
                </w:rPr>
                <w:t>http://es.presidencia.gov.co/normativa/normativa/DECRETO%201421%20DEL%2029%20DE%20AGOSTO%20DE%202017.pdf</w:t>
              </w:r>
            </w:hyperlink>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1479</w:t>
            </w:r>
          </w:p>
        </w:tc>
        <w:tc>
          <w:tcPr>
            <w:tcW w:w="99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4/09/2017</w:t>
            </w:r>
          </w:p>
        </w:tc>
        <w:tc>
          <w:tcPr>
            <w:tcW w:w="340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suprime la planta de personal de carácter temporal y se modifica la planta de personal de carácter permanente del Instituto Colombiano de Bienestar Familiar "Cecilia de la Fuente de Lleras" y se dictan otras disposiciones</w:t>
            </w:r>
          </w:p>
        </w:tc>
        <w:tc>
          <w:tcPr>
            <w:tcW w:w="1843"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general</w:t>
            </w:r>
          </w:p>
        </w:tc>
        <w:tc>
          <w:tcPr>
            <w:tcW w:w="2175" w:type="dxa"/>
            <w:vAlign w:val="center"/>
            <w:hideMark/>
          </w:tcPr>
          <w:p w:rsidR="00356E7A" w:rsidRPr="00E2319F" w:rsidRDefault="000E0283"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28" w:history="1">
              <w:r w:rsidR="00356E7A" w:rsidRPr="00E2319F">
                <w:rPr>
                  <w:rStyle w:val="Hipervnculo"/>
                  <w:rFonts w:cs="Arial"/>
                  <w:color w:val="auto"/>
                  <w:sz w:val="16"/>
                  <w:szCs w:val="16"/>
                </w:rPr>
                <w:t>http://es.presidencia.gov.co/normativa/normativa/DECRETO%201479%20DEL%2004%20DE%20SEPTIEMBRE%20DE%202017.pdf</w:t>
              </w:r>
            </w:hyperlink>
          </w:p>
        </w:tc>
      </w:tr>
      <w:tr w:rsidR="00356E7A" w:rsidRPr="00E2319F" w:rsidTr="00511884">
        <w:trPr>
          <w:trHeight w:val="1187"/>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1499</w:t>
            </w:r>
          </w:p>
        </w:tc>
        <w:tc>
          <w:tcPr>
            <w:tcW w:w="99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11/09/2017</w:t>
            </w:r>
          </w:p>
        </w:tc>
        <w:tc>
          <w:tcPr>
            <w:tcW w:w="3402"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medio del cual se modifica el Decreto 1083 de 2015, Decreto Único Reglamentario del Sector Función Pública, en lo relacionado con el Sistema de Gestión establecido en el artículo 133 de la Ley 1753 de 2015</w:t>
            </w:r>
          </w:p>
        </w:tc>
        <w:tc>
          <w:tcPr>
            <w:tcW w:w="1843" w:type="dxa"/>
            <w:vAlign w:val="center"/>
            <w:hideMark/>
          </w:tcPr>
          <w:p w:rsidR="00356E7A" w:rsidRPr="00E2319F" w:rsidRDefault="00356E7A"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Dirección de Planeación; Subdirección de Mejoramiento Organizacional; Oficina de Control Interno</w:t>
            </w:r>
          </w:p>
        </w:tc>
        <w:tc>
          <w:tcPr>
            <w:tcW w:w="2175" w:type="dxa"/>
            <w:vAlign w:val="center"/>
            <w:hideMark/>
          </w:tcPr>
          <w:p w:rsidR="00356E7A" w:rsidRPr="00E2319F" w:rsidRDefault="000E0283" w:rsidP="00511884">
            <w:pPr>
              <w:pStyle w:val="Arialsinespacio"/>
              <w:cnfStyle w:val="000000000000" w:firstRow="0" w:lastRow="0" w:firstColumn="0" w:lastColumn="0" w:oddVBand="0" w:evenVBand="0" w:oddHBand="0" w:evenHBand="0" w:firstRowFirstColumn="0" w:firstRowLastColumn="0" w:lastRowFirstColumn="0" w:lastRowLastColumn="0"/>
              <w:rPr>
                <w:rFonts w:cs="Arial"/>
                <w:sz w:val="16"/>
                <w:szCs w:val="16"/>
                <w:u w:val="single"/>
              </w:rPr>
            </w:pPr>
            <w:hyperlink r:id="rId129" w:history="1">
              <w:r w:rsidR="00356E7A" w:rsidRPr="00E2319F">
                <w:rPr>
                  <w:rStyle w:val="Hipervnculo"/>
                  <w:rFonts w:cs="Arial"/>
                  <w:color w:val="auto"/>
                  <w:sz w:val="16"/>
                  <w:szCs w:val="16"/>
                </w:rPr>
                <w:t>http://es.presidencia.gov.co/normativa/normativa/DECRETO%201499%20DEL%2011%20DE%20SEPTIEMBRE%20DE%202017.pdf</w:t>
              </w:r>
            </w:hyperlink>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56E7A" w:rsidRPr="00E2319F" w:rsidRDefault="00356E7A" w:rsidP="00511884">
            <w:pPr>
              <w:pStyle w:val="Arialsinespacio"/>
              <w:rPr>
                <w:rFonts w:cs="Arial"/>
                <w:b w:val="0"/>
                <w:sz w:val="16"/>
                <w:szCs w:val="16"/>
              </w:rPr>
            </w:pPr>
            <w:r w:rsidRPr="00E2319F">
              <w:rPr>
                <w:rFonts w:cs="Arial"/>
                <w:b w:val="0"/>
                <w:sz w:val="16"/>
                <w:szCs w:val="16"/>
              </w:rPr>
              <w:t>Decreto 1581</w:t>
            </w:r>
          </w:p>
        </w:tc>
        <w:tc>
          <w:tcPr>
            <w:tcW w:w="99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28/09/2017</w:t>
            </w:r>
          </w:p>
        </w:tc>
        <w:tc>
          <w:tcPr>
            <w:tcW w:w="3402"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el cual se adiciona el Título 3 a la Parte 4, del Libro 2 del Decreto 1066 de 2015, Decreto Único Reglamentario del Sector Administrativo del Interior, para adoptar la política pública de prevención de violaciones a los derechos a la vida, integridad, libertad y seguridad de personas, grupos y comunidades, y se dictan otras disposiciones</w:t>
            </w:r>
          </w:p>
        </w:tc>
        <w:tc>
          <w:tcPr>
            <w:tcW w:w="1843" w:type="dxa"/>
            <w:vAlign w:val="center"/>
            <w:hideMark/>
          </w:tcPr>
          <w:p w:rsidR="00356E7A" w:rsidRPr="00E2319F" w:rsidRDefault="00356E7A"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Subdirección General; Dirección de Niñez y Adolescencia</w:t>
            </w:r>
          </w:p>
        </w:tc>
        <w:tc>
          <w:tcPr>
            <w:tcW w:w="2175" w:type="dxa"/>
            <w:vAlign w:val="center"/>
            <w:hideMark/>
          </w:tcPr>
          <w:p w:rsidR="00356E7A" w:rsidRPr="00E2319F" w:rsidRDefault="000E0283" w:rsidP="00511884">
            <w:pPr>
              <w:pStyle w:val="Arialsinespacio"/>
              <w:cnfStyle w:val="000000100000" w:firstRow="0" w:lastRow="0" w:firstColumn="0" w:lastColumn="0" w:oddVBand="0" w:evenVBand="0" w:oddHBand="1" w:evenHBand="0" w:firstRowFirstColumn="0" w:firstRowLastColumn="0" w:lastRowFirstColumn="0" w:lastRowLastColumn="0"/>
              <w:rPr>
                <w:rFonts w:cs="Arial"/>
                <w:sz w:val="16"/>
                <w:szCs w:val="16"/>
                <w:u w:val="single"/>
              </w:rPr>
            </w:pPr>
            <w:hyperlink r:id="rId130" w:history="1">
              <w:r w:rsidR="00356E7A" w:rsidRPr="00E2319F">
                <w:rPr>
                  <w:rStyle w:val="Hipervnculo"/>
                  <w:rFonts w:cs="Arial"/>
                  <w:color w:val="auto"/>
                  <w:sz w:val="16"/>
                  <w:szCs w:val="16"/>
                </w:rPr>
                <w:t>http://es.presidencia.gov.co/normativa/normativa/DECRETO%201581%20DEL%2028%20DE%20SEPTIEMBRE%20DE%202017.pdf</w:t>
              </w:r>
            </w:hyperlink>
          </w:p>
        </w:tc>
      </w:tr>
      <w:tr w:rsidR="00356E7A" w:rsidRPr="00E2319F" w:rsidTr="00511884">
        <w:trPr>
          <w:trHeight w:val="2100"/>
        </w:trPr>
        <w:tc>
          <w:tcPr>
            <w:cnfStyle w:val="001000000000" w:firstRow="0" w:lastRow="0" w:firstColumn="1" w:lastColumn="0" w:oddVBand="0" w:evenVBand="0" w:oddHBand="0" w:evenHBand="0" w:firstRowFirstColumn="0" w:firstRowLastColumn="0" w:lastRowFirstColumn="0" w:lastRowLastColumn="0"/>
            <w:tcW w:w="993" w:type="dxa"/>
            <w:hideMark/>
          </w:tcPr>
          <w:p w:rsidR="00356E7A" w:rsidRPr="00E2319F" w:rsidRDefault="00356E7A" w:rsidP="00511884">
            <w:pPr>
              <w:spacing w:after="0" w:line="240" w:lineRule="auto"/>
              <w:rPr>
                <w:rFonts w:eastAsia="Times New Roman" w:cs="Arial"/>
                <w:sz w:val="16"/>
                <w:szCs w:val="16"/>
                <w:lang w:val="es-CO" w:eastAsia="es-CO"/>
              </w:rPr>
            </w:pPr>
            <w:r w:rsidRPr="00E2319F">
              <w:rPr>
                <w:rFonts w:eastAsia="Times New Roman" w:cs="Arial"/>
                <w:sz w:val="16"/>
                <w:szCs w:val="16"/>
                <w:lang w:val="es-CO" w:eastAsia="es-CO"/>
              </w:rPr>
              <w:t>Decreto 1811</w:t>
            </w:r>
          </w:p>
        </w:tc>
        <w:tc>
          <w:tcPr>
            <w:tcW w:w="992" w:type="dxa"/>
            <w:hideMark/>
          </w:tcPr>
          <w:p w:rsidR="00356E7A" w:rsidRPr="00E2319F" w:rsidRDefault="00356E7A" w:rsidP="005118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7/11/2017</w:t>
            </w:r>
          </w:p>
        </w:tc>
        <w:tc>
          <w:tcPr>
            <w:tcW w:w="3402" w:type="dxa"/>
            <w:hideMark/>
          </w:tcPr>
          <w:p w:rsidR="00356E7A" w:rsidRPr="00E2319F" w:rsidRDefault="00356E7A"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medio del cual se crean mecanismos especiales para el cumplimiento, desarrollo y seguimiento de los compromisos adquiridos del Gobierno Nacional con el Consejo Regional Indígena del Cauca (CRIC), se actualiza la Comisión Mixta para el Desarrollo Integral de la Política Pública Indígena para el CRIC creada por el Decreto 982 de 1999, se adoptan medidas para obtener los recursos necesarios y se dictan otras disposiciones</w:t>
            </w:r>
          </w:p>
        </w:tc>
        <w:tc>
          <w:tcPr>
            <w:tcW w:w="1843" w:type="dxa"/>
            <w:hideMark/>
          </w:tcPr>
          <w:p w:rsidR="00356E7A" w:rsidRPr="00E2319F" w:rsidRDefault="00356E7A"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Subdirección General, Dirección de Familia y Comunidades</w:t>
            </w:r>
          </w:p>
        </w:tc>
        <w:tc>
          <w:tcPr>
            <w:tcW w:w="2175" w:type="dxa"/>
            <w:hideMark/>
          </w:tcPr>
          <w:p w:rsidR="00356E7A" w:rsidRPr="00E2319F" w:rsidRDefault="000E0283"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u w:val="single"/>
                <w:lang w:val="es-CO" w:eastAsia="es-CO"/>
              </w:rPr>
            </w:pPr>
            <w:hyperlink r:id="rId131" w:history="1">
              <w:r w:rsidR="00356E7A" w:rsidRPr="00E2319F">
                <w:rPr>
                  <w:rFonts w:eastAsia="Times New Roman" w:cs="Arial"/>
                  <w:sz w:val="16"/>
                  <w:szCs w:val="16"/>
                  <w:u w:val="single"/>
                  <w:lang w:val="es-CO" w:eastAsia="es-CO"/>
                </w:rPr>
                <w:t>http://es.presidencia.gov.co/normativa/normativa/DECRETO%201811%20DEL%207%20DE%20NOVIEMBRE%20DE%202017.pdf</w:t>
              </w:r>
            </w:hyperlink>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993" w:type="dxa"/>
            <w:hideMark/>
          </w:tcPr>
          <w:p w:rsidR="00356E7A" w:rsidRPr="00E2319F" w:rsidRDefault="00356E7A" w:rsidP="00511884">
            <w:pPr>
              <w:spacing w:after="0" w:line="240" w:lineRule="auto"/>
              <w:rPr>
                <w:rFonts w:eastAsia="Times New Roman" w:cs="Arial"/>
                <w:sz w:val="16"/>
                <w:szCs w:val="16"/>
                <w:lang w:val="es-CO" w:eastAsia="es-CO"/>
              </w:rPr>
            </w:pPr>
            <w:r w:rsidRPr="00E2319F">
              <w:rPr>
                <w:rFonts w:eastAsia="Times New Roman" w:cs="Arial"/>
                <w:sz w:val="16"/>
                <w:szCs w:val="16"/>
                <w:lang w:val="es-CO" w:eastAsia="es-CO"/>
              </w:rPr>
              <w:lastRenderedPageBreak/>
              <w:t>Decreto 1829</w:t>
            </w:r>
          </w:p>
        </w:tc>
        <w:tc>
          <w:tcPr>
            <w:tcW w:w="992" w:type="dxa"/>
            <w:hideMark/>
          </w:tcPr>
          <w:p w:rsidR="00356E7A" w:rsidRPr="00E2319F" w:rsidRDefault="00356E7A" w:rsidP="005118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7/11/2017</w:t>
            </w:r>
          </w:p>
        </w:tc>
        <w:tc>
          <w:tcPr>
            <w:tcW w:w="3402" w:type="dxa"/>
            <w:hideMark/>
          </w:tcPr>
          <w:p w:rsidR="00356E7A" w:rsidRPr="00E2319F" w:rsidRDefault="00356E7A" w:rsidP="0051188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el cual se crea el Sistema Integrado de Información para el Posconflicto -SIIPO</w:t>
            </w:r>
          </w:p>
        </w:tc>
        <w:tc>
          <w:tcPr>
            <w:tcW w:w="1843" w:type="dxa"/>
            <w:hideMark/>
          </w:tcPr>
          <w:p w:rsidR="00356E7A" w:rsidRPr="00E2319F" w:rsidRDefault="00356E7A" w:rsidP="0051188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Dirección de Planeación y Control de Gestión</w:t>
            </w:r>
          </w:p>
        </w:tc>
        <w:tc>
          <w:tcPr>
            <w:tcW w:w="2175" w:type="dxa"/>
            <w:hideMark/>
          </w:tcPr>
          <w:p w:rsidR="00356E7A" w:rsidRPr="00E2319F" w:rsidRDefault="000E0283" w:rsidP="0051188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6"/>
                <w:szCs w:val="16"/>
                <w:u w:val="single"/>
                <w:lang w:val="es-CO" w:eastAsia="es-CO"/>
              </w:rPr>
            </w:pPr>
            <w:hyperlink r:id="rId132" w:history="1">
              <w:r w:rsidR="00356E7A" w:rsidRPr="00E2319F">
                <w:rPr>
                  <w:rFonts w:eastAsia="Times New Roman" w:cs="Arial"/>
                  <w:sz w:val="16"/>
                  <w:szCs w:val="16"/>
                  <w:u w:val="single"/>
                  <w:lang w:val="es-CO" w:eastAsia="es-CO"/>
                </w:rPr>
                <w:t>http://es.presidencia.gov.co/normativa/normativa/DECRETO%201829%20DEL%207%20DE%20NOVIEMBRE%20DE%202017.pdf</w:t>
              </w:r>
            </w:hyperlink>
          </w:p>
        </w:tc>
      </w:tr>
      <w:tr w:rsidR="00356E7A" w:rsidRPr="00E2319F" w:rsidTr="00511884">
        <w:trPr>
          <w:trHeight w:val="1500"/>
        </w:trPr>
        <w:tc>
          <w:tcPr>
            <w:cnfStyle w:val="001000000000" w:firstRow="0" w:lastRow="0" w:firstColumn="1" w:lastColumn="0" w:oddVBand="0" w:evenVBand="0" w:oddHBand="0" w:evenHBand="0" w:firstRowFirstColumn="0" w:firstRowLastColumn="0" w:lastRowFirstColumn="0" w:lastRowLastColumn="0"/>
            <w:tcW w:w="993" w:type="dxa"/>
            <w:hideMark/>
          </w:tcPr>
          <w:p w:rsidR="00356E7A" w:rsidRPr="00E2319F" w:rsidRDefault="00356E7A" w:rsidP="00511884">
            <w:pPr>
              <w:spacing w:after="0" w:line="240" w:lineRule="auto"/>
              <w:rPr>
                <w:rFonts w:eastAsia="Times New Roman" w:cs="Arial"/>
                <w:sz w:val="16"/>
                <w:szCs w:val="16"/>
                <w:lang w:val="es-CO" w:eastAsia="es-CO"/>
              </w:rPr>
            </w:pPr>
            <w:r w:rsidRPr="00E2319F">
              <w:rPr>
                <w:rFonts w:eastAsia="Times New Roman" w:cs="Arial"/>
                <w:sz w:val="16"/>
                <w:szCs w:val="16"/>
                <w:lang w:val="es-CO" w:eastAsia="es-CO"/>
              </w:rPr>
              <w:t>Decreto 1833</w:t>
            </w:r>
          </w:p>
        </w:tc>
        <w:tc>
          <w:tcPr>
            <w:tcW w:w="992" w:type="dxa"/>
            <w:hideMark/>
          </w:tcPr>
          <w:p w:rsidR="00356E7A" w:rsidRPr="00E2319F" w:rsidRDefault="00356E7A" w:rsidP="005118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7/11/2017</w:t>
            </w:r>
          </w:p>
        </w:tc>
        <w:tc>
          <w:tcPr>
            <w:tcW w:w="3402" w:type="dxa"/>
            <w:hideMark/>
          </w:tcPr>
          <w:p w:rsidR="00356E7A" w:rsidRPr="00E2319F" w:rsidRDefault="00356E7A"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el cual se modifica el Decreto 4690 de 2007, modificado por los Decretos 0552 de 2012 y 1569 de 2016 "por el cual se crea la Comisión Intersectorial para la prevención del reclutamiento, la utilización y la violencia sexual contra niños, niñas, adolescentes por. grupos armados al margen de la ley por grupos delictivos organizados".</w:t>
            </w:r>
          </w:p>
        </w:tc>
        <w:tc>
          <w:tcPr>
            <w:tcW w:w="1843" w:type="dxa"/>
            <w:hideMark/>
          </w:tcPr>
          <w:p w:rsidR="00356E7A" w:rsidRPr="00E2319F" w:rsidRDefault="00356E7A"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Subdirección General, Dirección de Niñez y Adolescencia</w:t>
            </w:r>
          </w:p>
        </w:tc>
        <w:tc>
          <w:tcPr>
            <w:tcW w:w="2175" w:type="dxa"/>
            <w:hideMark/>
          </w:tcPr>
          <w:p w:rsidR="00356E7A" w:rsidRPr="00E2319F" w:rsidRDefault="000E0283"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u w:val="single"/>
                <w:lang w:val="es-CO" w:eastAsia="es-CO"/>
              </w:rPr>
            </w:pPr>
            <w:hyperlink r:id="rId133" w:history="1">
              <w:r w:rsidR="00356E7A" w:rsidRPr="00E2319F">
                <w:rPr>
                  <w:rFonts w:eastAsia="Times New Roman" w:cs="Arial"/>
                  <w:sz w:val="16"/>
                  <w:szCs w:val="16"/>
                  <w:u w:val="single"/>
                  <w:lang w:val="es-CO" w:eastAsia="es-CO"/>
                </w:rPr>
                <w:t>http://es.presidencia.gov.co/normativa/normativa/DECRETO%201833%20DEL%207%20DE%20NOVIEMBRE%20DE%202017.pdf</w:t>
              </w:r>
            </w:hyperlink>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993" w:type="dxa"/>
            <w:hideMark/>
          </w:tcPr>
          <w:p w:rsidR="00356E7A" w:rsidRPr="00E2319F" w:rsidRDefault="00356E7A" w:rsidP="00511884">
            <w:pPr>
              <w:spacing w:after="0" w:line="240" w:lineRule="auto"/>
              <w:rPr>
                <w:rFonts w:eastAsia="Times New Roman" w:cs="Arial"/>
                <w:sz w:val="16"/>
                <w:szCs w:val="16"/>
                <w:lang w:val="es-CO" w:eastAsia="es-CO"/>
              </w:rPr>
            </w:pPr>
            <w:r w:rsidRPr="00E2319F">
              <w:rPr>
                <w:rFonts w:eastAsia="Times New Roman" w:cs="Arial"/>
                <w:sz w:val="16"/>
                <w:szCs w:val="16"/>
                <w:lang w:val="es-CO" w:eastAsia="es-CO"/>
              </w:rPr>
              <w:t>Decreto 1951</w:t>
            </w:r>
          </w:p>
        </w:tc>
        <w:tc>
          <w:tcPr>
            <w:tcW w:w="992" w:type="dxa"/>
            <w:hideMark/>
          </w:tcPr>
          <w:p w:rsidR="00356E7A" w:rsidRPr="00E2319F" w:rsidRDefault="00356E7A" w:rsidP="005118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28/11/2017</w:t>
            </w:r>
          </w:p>
        </w:tc>
        <w:tc>
          <w:tcPr>
            <w:tcW w:w="3402" w:type="dxa"/>
            <w:hideMark/>
          </w:tcPr>
          <w:p w:rsidR="00356E7A" w:rsidRPr="00E2319F" w:rsidRDefault="00356E7A" w:rsidP="0051188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el cual se modifica el Decreto 1625 de 2016 Único Reglamentario en Materia Tributaria para sustituir la Sección 2 del Capítulo 13, Título 1, Parte 6 del Libro 1, Y establecer los plazos para declarar y pagar en el año 2018, y se dictan otras disposiciones</w:t>
            </w:r>
          </w:p>
        </w:tc>
        <w:tc>
          <w:tcPr>
            <w:tcW w:w="1843" w:type="dxa"/>
            <w:hideMark/>
          </w:tcPr>
          <w:p w:rsidR="00356E7A" w:rsidRPr="00E2319F" w:rsidRDefault="00356E7A" w:rsidP="0051188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Dirección Financiera</w:t>
            </w:r>
          </w:p>
        </w:tc>
        <w:tc>
          <w:tcPr>
            <w:tcW w:w="2175" w:type="dxa"/>
            <w:hideMark/>
          </w:tcPr>
          <w:p w:rsidR="00356E7A" w:rsidRPr="00E2319F" w:rsidRDefault="000E0283" w:rsidP="0051188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6"/>
                <w:szCs w:val="16"/>
                <w:u w:val="single"/>
                <w:lang w:val="es-CO" w:eastAsia="es-CO"/>
              </w:rPr>
            </w:pPr>
            <w:hyperlink r:id="rId134" w:history="1">
              <w:r w:rsidR="00356E7A" w:rsidRPr="00E2319F">
                <w:rPr>
                  <w:rFonts w:eastAsia="Times New Roman" w:cs="Arial"/>
                  <w:sz w:val="16"/>
                  <w:szCs w:val="16"/>
                  <w:u w:val="single"/>
                  <w:lang w:val="es-CO" w:eastAsia="es-CO"/>
                </w:rPr>
                <w:t>http://es.presidencia.gov.co/normativa/normativa/DECRETO%201951%20DEL%2028%20DE%20NOVIEMBRE%20DE%202017.pdf</w:t>
              </w:r>
            </w:hyperlink>
          </w:p>
        </w:tc>
      </w:tr>
      <w:tr w:rsidR="00356E7A" w:rsidRPr="00E2319F" w:rsidTr="00511884">
        <w:trPr>
          <w:trHeight w:val="1200"/>
        </w:trPr>
        <w:tc>
          <w:tcPr>
            <w:cnfStyle w:val="001000000000" w:firstRow="0" w:lastRow="0" w:firstColumn="1" w:lastColumn="0" w:oddVBand="0" w:evenVBand="0" w:oddHBand="0" w:evenHBand="0" w:firstRowFirstColumn="0" w:firstRowLastColumn="0" w:lastRowFirstColumn="0" w:lastRowLastColumn="0"/>
            <w:tcW w:w="993" w:type="dxa"/>
            <w:hideMark/>
          </w:tcPr>
          <w:p w:rsidR="00356E7A" w:rsidRPr="00E2319F" w:rsidRDefault="00356E7A" w:rsidP="00511884">
            <w:pPr>
              <w:spacing w:after="0" w:line="240" w:lineRule="auto"/>
              <w:rPr>
                <w:rFonts w:eastAsia="Times New Roman" w:cs="Arial"/>
                <w:sz w:val="16"/>
                <w:szCs w:val="16"/>
                <w:lang w:val="es-CO" w:eastAsia="es-CO"/>
              </w:rPr>
            </w:pPr>
            <w:r w:rsidRPr="00E2319F">
              <w:rPr>
                <w:rFonts w:eastAsia="Times New Roman" w:cs="Arial"/>
                <w:sz w:val="16"/>
                <w:szCs w:val="16"/>
                <w:lang w:val="es-CO" w:eastAsia="es-CO"/>
              </w:rPr>
              <w:t>Decreto 1983</w:t>
            </w:r>
          </w:p>
        </w:tc>
        <w:tc>
          <w:tcPr>
            <w:tcW w:w="992" w:type="dxa"/>
            <w:hideMark/>
          </w:tcPr>
          <w:p w:rsidR="00356E7A" w:rsidRPr="00E2319F" w:rsidRDefault="00356E7A" w:rsidP="005118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30/11/2017</w:t>
            </w:r>
          </w:p>
        </w:tc>
        <w:tc>
          <w:tcPr>
            <w:tcW w:w="3402" w:type="dxa"/>
            <w:hideMark/>
          </w:tcPr>
          <w:p w:rsidR="00356E7A" w:rsidRPr="00E2319F" w:rsidRDefault="00356E7A"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el cual se modifican los artículos 2.2.3.1.2.1, 2.2.3. 1.2.4 Y 2.2.3. 1.2.5 del Decreto 1069 de 2015, Único Reglamentario del sector Justicia y del Derecho, referente a las reglas de reparto de la acción de tutela</w:t>
            </w:r>
          </w:p>
        </w:tc>
        <w:tc>
          <w:tcPr>
            <w:tcW w:w="1843" w:type="dxa"/>
            <w:hideMark/>
          </w:tcPr>
          <w:p w:rsidR="00356E7A" w:rsidRPr="00E2319F" w:rsidRDefault="00356E7A"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Oficina Asesora Jurídica</w:t>
            </w:r>
          </w:p>
        </w:tc>
        <w:tc>
          <w:tcPr>
            <w:tcW w:w="2175" w:type="dxa"/>
            <w:hideMark/>
          </w:tcPr>
          <w:p w:rsidR="00356E7A" w:rsidRPr="00E2319F" w:rsidRDefault="000E0283"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u w:val="single"/>
                <w:lang w:val="es-CO" w:eastAsia="es-CO"/>
              </w:rPr>
            </w:pPr>
            <w:hyperlink r:id="rId135" w:history="1">
              <w:r w:rsidR="00356E7A" w:rsidRPr="00E2319F">
                <w:rPr>
                  <w:rFonts w:eastAsia="Times New Roman" w:cs="Arial"/>
                  <w:sz w:val="16"/>
                  <w:szCs w:val="16"/>
                  <w:u w:val="single"/>
                  <w:lang w:val="es-CO" w:eastAsia="es-CO"/>
                </w:rPr>
                <w:t>http://es.presidencia.gov.co/normativa/normativa/DECRETO%201983%20DEL%2030%20DE%20NOVIEMBRE%20DE%202017.pdf</w:t>
              </w:r>
            </w:hyperlink>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993" w:type="dxa"/>
            <w:hideMark/>
          </w:tcPr>
          <w:p w:rsidR="00356E7A" w:rsidRPr="00E2319F" w:rsidRDefault="00356E7A" w:rsidP="00511884">
            <w:pPr>
              <w:spacing w:after="0" w:line="240" w:lineRule="auto"/>
              <w:rPr>
                <w:rFonts w:eastAsia="Times New Roman" w:cs="Arial"/>
                <w:sz w:val="16"/>
                <w:szCs w:val="16"/>
                <w:lang w:val="es-CO" w:eastAsia="es-CO"/>
              </w:rPr>
            </w:pPr>
            <w:r w:rsidRPr="00E2319F">
              <w:rPr>
                <w:rFonts w:eastAsia="Times New Roman" w:cs="Arial"/>
                <w:sz w:val="16"/>
                <w:szCs w:val="16"/>
                <w:lang w:val="es-CO" w:eastAsia="es-CO"/>
              </w:rPr>
              <w:t>Decreto 2011</w:t>
            </w:r>
          </w:p>
        </w:tc>
        <w:tc>
          <w:tcPr>
            <w:tcW w:w="992" w:type="dxa"/>
            <w:hideMark/>
          </w:tcPr>
          <w:p w:rsidR="00356E7A" w:rsidRPr="00E2319F" w:rsidRDefault="00356E7A" w:rsidP="005118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30/11/2017</w:t>
            </w:r>
          </w:p>
        </w:tc>
        <w:tc>
          <w:tcPr>
            <w:tcW w:w="3402" w:type="dxa"/>
            <w:hideMark/>
          </w:tcPr>
          <w:p w:rsidR="00356E7A" w:rsidRPr="00E2319F" w:rsidRDefault="00356E7A" w:rsidP="0051188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el cual se adiciona el Capítulo 2 al Título 12 de la Parte 2 del Libro 2 del Decreto 1083 de 2015, Reglamentario Único del Sector de Función Pública, en lo relacionado con el porcentaje de vinculación laboral de personas con discapacidad en el sector 'público</w:t>
            </w:r>
          </w:p>
        </w:tc>
        <w:tc>
          <w:tcPr>
            <w:tcW w:w="1843" w:type="dxa"/>
            <w:hideMark/>
          </w:tcPr>
          <w:p w:rsidR="00356E7A" w:rsidRPr="00E2319F" w:rsidRDefault="00356E7A" w:rsidP="0051188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Secretaría General, Dirección de Gestión Humana</w:t>
            </w:r>
          </w:p>
        </w:tc>
        <w:tc>
          <w:tcPr>
            <w:tcW w:w="2175" w:type="dxa"/>
            <w:hideMark/>
          </w:tcPr>
          <w:p w:rsidR="00356E7A" w:rsidRPr="00E2319F" w:rsidRDefault="000E0283" w:rsidP="0051188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6"/>
                <w:szCs w:val="16"/>
                <w:u w:val="single"/>
                <w:lang w:val="es-CO" w:eastAsia="es-CO"/>
              </w:rPr>
            </w:pPr>
            <w:hyperlink r:id="rId136" w:history="1">
              <w:r w:rsidR="00356E7A" w:rsidRPr="00E2319F">
                <w:rPr>
                  <w:rFonts w:eastAsia="Times New Roman" w:cs="Arial"/>
                  <w:sz w:val="16"/>
                  <w:szCs w:val="16"/>
                  <w:u w:val="single"/>
                  <w:lang w:val="es-CO" w:eastAsia="es-CO"/>
                </w:rPr>
                <w:t>http://es.presidencia.gov.co/normativa/normativa/DECRETO%202011%20DEL%2030%20DE%20NOVIEMBRE%20DE%202017.pdf</w:t>
              </w:r>
            </w:hyperlink>
          </w:p>
        </w:tc>
      </w:tr>
      <w:tr w:rsidR="00356E7A" w:rsidRPr="00E2319F" w:rsidTr="00511884">
        <w:trPr>
          <w:trHeight w:val="1200"/>
        </w:trPr>
        <w:tc>
          <w:tcPr>
            <w:cnfStyle w:val="001000000000" w:firstRow="0" w:lastRow="0" w:firstColumn="1" w:lastColumn="0" w:oddVBand="0" w:evenVBand="0" w:oddHBand="0" w:evenHBand="0" w:firstRowFirstColumn="0" w:firstRowLastColumn="0" w:lastRowFirstColumn="0" w:lastRowLastColumn="0"/>
            <w:tcW w:w="993" w:type="dxa"/>
            <w:hideMark/>
          </w:tcPr>
          <w:p w:rsidR="00356E7A" w:rsidRPr="00E2319F" w:rsidRDefault="00356E7A" w:rsidP="00511884">
            <w:pPr>
              <w:spacing w:after="0" w:line="240" w:lineRule="auto"/>
              <w:rPr>
                <w:rFonts w:eastAsia="Times New Roman" w:cs="Arial"/>
                <w:sz w:val="16"/>
                <w:szCs w:val="16"/>
                <w:lang w:val="es-CO" w:eastAsia="es-CO"/>
              </w:rPr>
            </w:pPr>
            <w:r w:rsidRPr="00E2319F">
              <w:rPr>
                <w:rFonts w:eastAsia="Times New Roman" w:cs="Arial"/>
                <w:sz w:val="16"/>
                <w:szCs w:val="16"/>
                <w:lang w:val="es-CO" w:eastAsia="es-CO"/>
              </w:rPr>
              <w:t>Decreto 2013</w:t>
            </w:r>
          </w:p>
        </w:tc>
        <w:tc>
          <w:tcPr>
            <w:tcW w:w="992" w:type="dxa"/>
            <w:hideMark/>
          </w:tcPr>
          <w:p w:rsidR="00356E7A" w:rsidRPr="00E2319F" w:rsidRDefault="00356E7A" w:rsidP="005118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30/11/2017</w:t>
            </w:r>
          </w:p>
        </w:tc>
        <w:tc>
          <w:tcPr>
            <w:tcW w:w="3402" w:type="dxa"/>
            <w:hideMark/>
          </w:tcPr>
          <w:p w:rsidR="00356E7A" w:rsidRPr="00E2319F" w:rsidRDefault="00356E7A"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medio del cual se modifica el Decreto 1077 de 2015 Único Reglamentario del Sector Vivienda, Ciudad y Territorio en lo relacionado con la vigencia y prórroga de las licencias urbanísticas</w:t>
            </w:r>
          </w:p>
        </w:tc>
        <w:tc>
          <w:tcPr>
            <w:tcW w:w="1843" w:type="dxa"/>
            <w:hideMark/>
          </w:tcPr>
          <w:p w:rsidR="00356E7A" w:rsidRPr="00E2319F" w:rsidRDefault="00356E7A"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Dirección Administrativa</w:t>
            </w:r>
          </w:p>
        </w:tc>
        <w:tc>
          <w:tcPr>
            <w:tcW w:w="2175" w:type="dxa"/>
            <w:hideMark/>
          </w:tcPr>
          <w:p w:rsidR="00356E7A" w:rsidRPr="00E2319F" w:rsidRDefault="000E0283"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u w:val="single"/>
                <w:lang w:val="es-CO" w:eastAsia="es-CO"/>
              </w:rPr>
            </w:pPr>
            <w:hyperlink r:id="rId137" w:history="1">
              <w:r w:rsidR="00356E7A" w:rsidRPr="00E2319F">
                <w:rPr>
                  <w:rFonts w:eastAsia="Times New Roman" w:cs="Arial"/>
                  <w:sz w:val="16"/>
                  <w:szCs w:val="16"/>
                  <w:u w:val="single"/>
                  <w:lang w:val="es-CO" w:eastAsia="es-CO"/>
                </w:rPr>
                <w:t>http://es.presidencia.gov.co/normativa/normativa/DECRETO%202013%20DEL%2030%20DE%20NOVIEMBRE%20DE%202017.pdf</w:t>
              </w:r>
            </w:hyperlink>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993" w:type="dxa"/>
            <w:hideMark/>
          </w:tcPr>
          <w:p w:rsidR="00356E7A" w:rsidRPr="00E2319F" w:rsidRDefault="00356E7A" w:rsidP="00511884">
            <w:pPr>
              <w:spacing w:after="0" w:line="240" w:lineRule="auto"/>
              <w:rPr>
                <w:rFonts w:eastAsia="Times New Roman" w:cs="Arial"/>
                <w:sz w:val="16"/>
                <w:szCs w:val="16"/>
                <w:lang w:val="es-CO" w:eastAsia="es-CO"/>
              </w:rPr>
            </w:pPr>
            <w:r w:rsidRPr="00E2319F">
              <w:rPr>
                <w:rFonts w:eastAsia="Times New Roman" w:cs="Arial"/>
                <w:sz w:val="16"/>
                <w:szCs w:val="16"/>
                <w:lang w:val="es-CO" w:eastAsia="es-CO"/>
              </w:rPr>
              <w:t>Decreto 2078</w:t>
            </w:r>
          </w:p>
        </w:tc>
        <w:tc>
          <w:tcPr>
            <w:tcW w:w="992" w:type="dxa"/>
            <w:hideMark/>
          </w:tcPr>
          <w:p w:rsidR="00356E7A" w:rsidRPr="00E2319F" w:rsidRDefault="00356E7A" w:rsidP="005118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7/12/2017</w:t>
            </w:r>
          </w:p>
        </w:tc>
        <w:tc>
          <w:tcPr>
            <w:tcW w:w="3402" w:type="dxa"/>
            <w:hideMark/>
          </w:tcPr>
          <w:p w:rsidR="00356E7A" w:rsidRPr="00E2319F" w:rsidRDefault="00356E7A" w:rsidP="0051188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el cual se adiciona el Capítulo 5, del Título 1, de la Parte 4, del Libro 2 del Decreto 1066 de 2015, Decreto Único Reglamentario del Sector Administrativo del Interior, sobre la ruta de protección colectiva de los derechos a la vida, la libertad, la integridad y la seguridad personal de grupos y comunidades</w:t>
            </w:r>
          </w:p>
        </w:tc>
        <w:tc>
          <w:tcPr>
            <w:tcW w:w="1843" w:type="dxa"/>
            <w:hideMark/>
          </w:tcPr>
          <w:p w:rsidR="00356E7A" w:rsidRPr="00E2319F" w:rsidRDefault="00356E7A" w:rsidP="0051188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Subdirección General; Dirección de Protección</w:t>
            </w:r>
          </w:p>
        </w:tc>
        <w:tc>
          <w:tcPr>
            <w:tcW w:w="2175" w:type="dxa"/>
            <w:hideMark/>
          </w:tcPr>
          <w:p w:rsidR="00356E7A" w:rsidRPr="00E2319F" w:rsidRDefault="000E0283" w:rsidP="0051188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6"/>
                <w:szCs w:val="16"/>
                <w:u w:val="single"/>
                <w:lang w:val="es-CO" w:eastAsia="es-CO"/>
              </w:rPr>
            </w:pPr>
            <w:hyperlink r:id="rId138" w:history="1">
              <w:r w:rsidR="00356E7A" w:rsidRPr="00E2319F">
                <w:rPr>
                  <w:rFonts w:eastAsia="Times New Roman" w:cs="Arial"/>
                  <w:sz w:val="16"/>
                  <w:szCs w:val="16"/>
                  <w:u w:val="single"/>
                  <w:lang w:val="es-CO" w:eastAsia="es-CO"/>
                </w:rPr>
                <w:t>http://es.presidencia.gov.co/normativa/normativa/DECRETO%202078%20DEL%2007%20DE%20DICIEMBRE%20DE%202017.pdf</w:t>
              </w:r>
            </w:hyperlink>
          </w:p>
        </w:tc>
      </w:tr>
      <w:tr w:rsidR="00356E7A" w:rsidRPr="00E2319F" w:rsidTr="00511884">
        <w:trPr>
          <w:trHeight w:val="1815"/>
        </w:trPr>
        <w:tc>
          <w:tcPr>
            <w:cnfStyle w:val="001000000000" w:firstRow="0" w:lastRow="0" w:firstColumn="1" w:lastColumn="0" w:oddVBand="0" w:evenVBand="0" w:oddHBand="0" w:evenHBand="0" w:firstRowFirstColumn="0" w:firstRowLastColumn="0" w:lastRowFirstColumn="0" w:lastRowLastColumn="0"/>
            <w:tcW w:w="993" w:type="dxa"/>
            <w:hideMark/>
          </w:tcPr>
          <w:p w:rsidR="00356E7A" w:rsidRPr="00E2319F" w:rsidRDefault="00356E7A" w:rsidP="00511884">
            <w:pPr>
              <w:spacing w:after="0" w:line="240" w:lineRule="auto"/>
              <w:rPr>
                <w:rFonts w:eastAsia="Times New Roman" w:cs="Arial"/>
                <w:sz w:val="16"/>
                <w:szCs w:val="16"/>
                <w:lang w:val="es-CO" w:eastAsia="es-CO"/>
              </w:rPr>
            </w:pPr>
            <w:r w:rsidRPr="00E2319F">
              <w:rPr>
                <w:rFonts w:eastAsia="Times New Roman" w:cs="Arial"/>
                <w:sz w:val="16"/>
                <w:szCs w:val="16"/>
                <w:lang w:val="es-CO" w:eastAsia="es-CO"/>
              </w:rPr>
              <w:t>Decreto 2124</w:t>
            </w:r>
          </w:p>
        </w:tc>
        <w:tc>
          <w:tcPr>
            <w:tcW w:w="992" w:type="dxa"/>
            <w:hideMark/>
          </w:tcPr>
          <w:p w:rsidR="00356E7A" w:rsidRPr="00E2319F" w:rsidRDefault="00356E7A" w:rsidP="005118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18/12/2017</w:t>
            </w:r>
          </w:p>
        </w:tc>
        <w:tc>
          <w:tcPr>
            <w:tcW w:w="3402" w:type="dxa"/>
            <w:hideMark/>
          </w:tcPr>
          <w:p w:rsidR="00356E7A" w:rsidRPr="00E2319F" w:rsidRDefault="00356E7A"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el cual se reglamenta el sistema de prevención y alerta para la reacción rápida a la presencia, acciones y/o actividades de las organizaciones, hechos y conductas criminales que pongan en riesgo los derechos de la población y la implementación del Acuerdo Final para la Terminación del Conflicto y la Construcción de una Paz Estable y Duradera</w:t>
            </w:r>
          </w:p>
        </w:tc>
        <w:tc>
          <w:tcPr>
            <w:tcW w:w="1843" w:type="dxa"/>
            <w:hideMark/>
          </w:tcPr>
          <w:p w:rsidR="00356E7A" w:rsidRPr="00E2319F" w:rsidRDefault="00356E7A"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Subdirección General</w:t>
            </w:r>
          </w:p>
        </w:tc>
        <w:tc>
          <w:tcPr>
            <w:tcW w:w="2175" w:type="dxa"/>
            <w:hideMark/>
          </w:tcPr>
          <w:p w:rsidR="00356E7A" w:rsidRPr="00E2319F" w:rsidRDefault="000E0283"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u w:val="single"/>
                <w:lang w:val="es-CO" w:eastAsia="es-CO"/>
              </w:rPr>
            </w:pPr>
            <w:hyperlink r:id="rId139" w:history="1">
              <w:r w:rsidR="00356E7A" w:rsidRPr="00E2319F">
                <w:rPr>
                  <w:rFonts w:eastAsia="Times New Roman" w:cs="Arial"/>
                  <w:sz w:val="16"/>
                  <w:szCs w:val="16"/>
                  <w:u w:val="single"/>
                  <w:lang w:val="es-CO" w:eastAsia="es-CO"/>
                </w:rPr>
                <w:t>http://es.presidencia.gov.co/normativa/normativa/DECRETO%202124%20DEL%2018%20DE%20DICIEMBRE%20DE%202017.pdf</w:t>
              </w:r>
            </w:hyperlink>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993" w:type="dxa"/>
            <w:hideMark/>
          </w:tcPr>
          <w:p w:rsidR="00356E7A" w:rsidRPr="00E2319F" w:rsidRDefault="00356E7A" w:rsidP="00511884">
            <w:pPr>
              <w:spacing w:after="0" w:line="240" w:lineRule="auto"/>
              <w:rPr>
                <w:rFonts w:eastAsia="Times New Roman" w:cs="Arial"/>
                <w:sz w:val="16"/>
                <w:szCs w:val="16"/>
                <w:lang w:val="es-CO" w:eastAsia="es-CO"/>
              </w:rPr>
            </w:pPr>
            <w:r w:rsidRPr="00E2319F">
              <w:rPr>
                <w:rFonts w:eastAsia="Times New Roman" w:cs="Arial"/>
                <w:sz w:val="16"/>
                <w:szCs w:val="16"/>
                <w:lang w:val="es-CO" w:eastAsia="es-CO"/>
              </w:rPr>
              <w:lastRenderedPageBreak/>
              <w:t>Decreto 2157</w:t>
            </w:r>
          </w:p>
        </w:tc>
        <w:tc>
          <w:tcPr>
            <w:tcW w:w="992" w:type="dxa"/>
            <w:hideMark/>
          </w:tcPr>
          <w:p w:rsidR="00356E7A" w:rsidRPr="00E2319F" w:rsidRDefault="00356E7A" w:rsidP="005118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20/12/2017</w:t>
            </w:r>
          </w:p>
        </w:tc>
        <w:tc>
          <w:tcPr>
            <w:tcW w:w="3402" w:type="dxa"/>
            <w:hideMark/>
          </w:tcPr>
          <w:p w:rsidR="00356E7A" w:rsidRPr="00E2319F" w:rsidRDefault="00356E7A" w:rsidP="0051188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medio del cual se adoptan directrices generales para la elaboración del plan de gestión del riesgo de desastres de las entidades públicas y privadas en el marco del artículo 42 de la ley 1523 de 2012</w:t>
            </w:r>
          </w:p>
        </w:tc>
        <w:tc>
          <w:tcPr>
            <w:tcW w:w="1843" w:type="dxa"/>
            <w:hideMark/>
          </w:tcPr>
          <w:p w:rsidR="00356E7A" w:rsidRPr="00E2319F" w:rsidRDefault="00356E7A" w:rsidP="0051188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Dirección Administrativa; Dirección de Planeación y Control de Gestión</w:t>
            </w:r>
          </w:p>
        </w:tc>
        <w:tc>
          <w:tcPr>
            <w:tcW w:w="2175" w:type="dxa"/>
            <w:hideMark/>
          </w:tcPr>
          <w:p w:rsidR="00356E7A" w:rsidRPr="00E2319F" w:rsidRDefault="000E0283" w:rsidP="0051188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6"/>
                <w:szCs w:val="16"/>
                <w:u w:val="single"/>
                <w:lang w:val="es-CO" w:eastAsia="es-CO"/>
              </w:rPr>
            </w:pPr>
            <w:hyperlink r:id="rId140" w:history="1">
              <w:r w:rsidR="00356E7A" w:rsidRPr="00E2319F">
                <w:rPr>
                  <w:rFonts w:eastAsia="Times New Roman" w:cs="Arial"/>
                  <w:sz w:val="16"/>
                  <w:szCs w:val="16"/>
                  <w:u w:val="single"/>
                  <w:lang w:val="es-CO" w:eastAsia="es-CO"/>
                </w:rPr>
                <w:t>http://es.presidencia.gov.co/normativa/normativa/DECRETO%202157%20DEL%2020%20DE%20DICIEMBRE%20DE%202017.pdf</w:t>
              </w:r>
            </w:hyperlink>
          </w:p>
        </w:tc>
      </w:tr>
      <w:tr w:rsidR="00356E7A" w:rsidRPr="00E2319F" w:rsidTr="00511884">
        <w:trPr>
          <w:trHeight w:val="1200"/>
        </w:trPr>
        <w:tc>
          <w:tcPr>
            <w:cnfStyle w:val="001000000000" w:firstRow="0" w:lastRow="0" w:firstColumn="1" w:lastColumn="0" w:oddVBand="0" w:evenVBand="0" w:oddHBand="0" w:evenHBand="0" w:firstRowFirstColumn="0" w:firstRowLastColumn="0" w:lastRowFirstColumn="0" w:lastRowLastColumn="0"/>
            <w:tcW w:w="993" w:type="dxa"/>
            <w:hideMark/>
          </w:tcPr>
          <w:p w:rsidR="00356E7A" w:rsidRPr="00E2319F" w:rsidRDefault="00356E7A" w:rsidP="00511884">
            <w:pPr>
              <w:spacing w:after="0" w:line="240" w:lineRule="auto"/>
              <w:rPr>
                <w:rFonts w:eastAsia="Times New Roman" w:cs="Arial"/>
                <w:sz w:val="16"/>
                <w:szCs w:val="16"/>
                <w:lang w:val="es-CO" w:eastAsia="es-CO"/>
              </w:rPr>
            </w:pPr>
            <w:r w:rsidRPr="00E2319F">
              <w:rPr>
                <w:rFonts w:eastAsia="Times New Roman" w:cs="Arial"/>
                <w:sz w:val="16"/>
                <w:szCs w:val="16"/>
                <w:lang w:val="es-CO" w:eastAsia="es-CO"/>
              </w:rPr>
              <w:t>Ley 1873</w:t>
            </w:r>
          </w:p>
        </w:tc>
        <w:tc>
          <w:tcPr>
            <w:tcW w:w="992" w:type="dxa"/>
            <w:hideMark/>
          </w:tcPr>
          <w:p w:rsidR="00356E7A" w:rsidRPr="00E2319F" w:rsidRDefault="00356E7A" w:rsidP="005118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20/12/2017</w:t>
            </w:r>
          </w:p>
        </w:tc>
        <w:tc>
          <w:tcPr>
            <w:tcW w:w="3402" w:type="dxa"/>
            <w:hideMark/>
          </w:tcPr>
          <w:p w:rsidR="00356E7A" w:rsidRPr="00E2319F" w:rsidRDefault="00356E7A"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LA CUAL SE DECRETA EL PRESUPUESTO DE RENTAS Y RECURSOS DE CAPITAL Y LEY DE APROPIACIONES PARA LA VIGENCIA FISCAL DEL 1o DE ENERO AL 31 DE DICIEMBRE DE 2018</w:t>
            </w:r>
          </w:p>
        </w:tc>
        <w:tc>
          <w:tcPr>
            <w:tcW w:w="1843" w:type="dxa"/>
            <w:hideMark/>
          </w:tcPr>
          <w:p w:rsidR="00356E7A" w:rsidRPr="00E2319F" w:rsidRDefault="00356E7A"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General</w:t>
            </w:r>
          </w:p>
        </w:tc>
        <w:tc>
          <w:tcPr>
            <w:tcW w:w="2175" w:type="dxa"/>
            <w:hideMark/>
          </w:tcPr>
          <w:p w:rsidR="00356E7A" w:rsidRPr="00E2319F" w:rsidRDefault="000E0283" w:rsidP="0051188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u w:val="single"/>
                <w:lang w:val="es-CO" w:eastAsia="es-CO"/>
              </w:rPr>
            </w:pPr>
            <w:hyperlink r:id="rId141" w:history="1">
              <w:r w:rsidR="00356E7A" w:rsidRPr="00E2319F">
                <w:rPr>
                  <w:rFonts w:eastAsia="Times New Roman" w:cs="Arial"/>
                  <w:sz w:val="16"/>
                  <w:szCs w:val="16"/>
                  <w:u w:val="single"/>
                  <w:lang w:val="es-CO" w:eastAsia="es-CO"/>
                </w:rPr>
                <w:t>http://es.presidencia.gov.co/normativa/normativa/LEY%201873%20DEL%2020%20DE%20DICIEMBRE%20DE%202017.pdf</w:t>
              </w:r>
            </w:hyperlink>
          </w:p>
        </w:tc>
      </w:tr>
    </w:tbl>
    <w:p w:rsidR="00571A97" w:rsidRPr="00E2319F" w:rsidRDefault="00571A97" w:rsidP="00D31DC2">
      <w:pPr>
        <w:pStyle w:val="Arialsinespacio"/>
        <w:spacing w:before="100" w:beforeAutospacing="1" w:after="100" w:afterAutospacing="1"/>
        <w:jc w:val="both"/>
        <w:rPr>
          <w:rFonts w:cs="Arial"/>
          <w:szCs w:val="22"/>
        </w:rPr>
      </w:pPr>
    </w:p>
    <w:p w:rsidR="00571A97" w:rsidRPr="00E2319F" w:rsidRDefault="00571A97" w:rsidP="00D31DC2">
      <w:pPr>
        <w:spacing w:before="100" w:beforeAutospacing="1" w:after="100" w:afterAutospacing="1" w:line="240" w:lineRule="auto"/>
        <w:jc w:val="both"/>
        <w:rPr>
          <w:rFonts w:eastAsia="Times New Roman" w:cs="Arial"/>
          <w:lang w:eastAsia="es-ES"/>
        </w:rPr>
      </w:pPr>
      <w:r w:rsidRPr="00E2319F">
        <w:rPr>
          <w:rFonts w:cs="Arial"/>
        </w:rPr>
        <w:br w:type="page"/>
      </w:r>
    </w:p>
    <w:p w:rsidR="00571A97" w:rsidRPr="00E2319F" w:rsidRDefault="00571A97" w:rsidP="00D31DC2">
      <w:pPr>
        <w:pStyle w:val="Ttulo1"/>
        <w:numPr>
          <w:ilvl w:val="0"/>
          <w:numId w:val="0"/>
        </w:numPr>
        <w:spacing w:before="100" w:beforeAutospacing="1" w:after="100" w:afterAutospacing="1"/>
        <w:ind w:left="432" w:hanging="432"/>
        <w:jc w:val="both"/>
        <w:rPr>
          <w:rFonts w:cs="Arial"/>
          <w:szCs w:val="22"/>
        </w:rPr>
      </w:pPr>
      <w:bookmarkStart w:id="205" w:name="_Toc505183124"/>
      <w:r w:rsidRPr="00E2319F">
        <w:rPr>
          <w:rFonts w:cs="Arial"/>
          <w:szCs w:val="22"/>
        </w:rPr>
        <w:lastRenderedPageBreak/>
        <w:t>ANEXO 2.  PROYECTOS DE LEY EN LOS CUALES EL ICBF SE HA PRONUNCIADO EN 2017</w:t>
      </w:r>
      <w:bookmarkEnd w:id="205"/>
    </w:p>
    <w:tbl>
      <w:tblPr>
        <w:tblStyle w:val="Tabladecuadrcula2-nfasis3"/>
        <w:tblW w:w="0" w:type="auto"/>
        <w:tblLook w:val="04A0" w:firstRow="1" w:lastRow="0" w:firstColumn="1" w:lastColumn="0" w:noHBand="0" w:noVBand="1"/>
      </w:tblPr>
      <w:tblGrid>
        <w:gridCol w:w="1435"/>
        <w:gridCol w:w="1740"/>
        <w:gridCol w:w="4064"/>
        <w:gridCol w:w="2166"/>
      </w:tblGrid>
      <w:tr w:rsidR="00356E7A" w:rsidRPr="00E2319F" w:rsidTr="00511884">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405" w:type="dxa"/>
            <w:gridSpan w:val="4"/>
            <w:hideMark/>
          </w:tcPr>
          <w:p w:rsidR="00356E7A" w:rsidRPr="00E2319F" w:rsidRDefault="00356E7A" w:rsidP="00511884">
            <w:pPr>
              <w:spacing w:after="0" w:line="240" w:lineRule="auto"/>
              <w:jc w:val="center"/>
              <w:rPr>
                <w:rFonts w:cs="Arial"/>
                <w:sz w:val="16"/>
                <w:lang w:val="es-CO"/>
              </w:rPr>
            </w:pPr>
          </w:p>
        </w:tc>
      </w:tr>
      <w:tr w:rsidR="00356E7A" w:rsidRPr="00E2319F" w:rsidTr="008F041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35" w:type="dxa"/>
            <w:shd w:val="clear" w:color="auto" w:fill="76922E"/>
            <w:hideMark/>
          </w:tcPr>
          <w:p w:rsidR="00356E7A" w:rsidRPr="004712AD" w:rsidRDefault="004712AD" w:rsidP="00511884">
            <w:pPr>
              <w:spacing w:after="0" w:line="240" w:lineRule="auto"/>
              <w:jc w:val="center"/>
              <w:rPr>
                <w:rFonts w:cs="Arial"/>
                <w:color w:val="FFFFFF" w:themeColor="background1"/>
                <w:sz w:val="16"/>
              </w:rPr>
            </w:pPr>
            <w:r w:rsidRPr="004712AD">
              <w:rPr>
                <w:rFonts w:cs="Arial"/>
                <w:color w:val="FFFFFF" w:themeColor="background1"/>
                <w:sz w:val="16"/>
              </w:rPr>
              <w:t>Fecha</w:t>
            </w:r>
          </w:p>
        </w:tc>
        <w:tc>
          <w:tcPr>
            <w:tcW w:w="1740" w:type="dxa"/>
            <w:shd w:val="clear" w:color="auto" w:fill="76922E"/>
            <w:hideMark/>
          </w:tcPr>
          <w:p w:rsidR="00356E7A" w:rsidRPr="004712AD" w:rsidRDefault="004712AD"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6"/>
              </w:rPr>
            </w:pPr>
            <w:r>
              <w:rPr>
                <w:rFonts w:cs="Arial"/>
                <w:b/>
                <w:bCs/>
                <w:color w:val="FFFFFF" w:themeColor="background1"/>
                <w:sz w:val="16"/>
              </w:rPr>
              <w:t>Proyecto d</w:t>
            </w:r>
            <w:r w:rsidRPr="004712AD">
              <w:rPr>
                <w:rFonts w:cs="Arial"/>
                <w:b/>
                <w:bCs/>
                <w:color w:val="FFFFFF" w:themeColor="background1"/>
                <w:sz w:val="16"/>
              </w:rPr>
              <w:t>e Ley</w:t>
            </w:r>
          </w:p>
        </w:tc>
        <w:tc>
          <w:tcPr>
            <w:tcW w:w="4064" w:type="dxa"/>
            <w:shd w:val="clear" w:color="auto" w:fill="76922E"/>
            <w:hideMark/>
          </w:tcPr>
          <w:p w:rsidR="00356E7A" w:rsidRPr="004712AD" w:rsidRDefault="004712AD"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6"/>
              </w:rPr>
            </w:pPr>
            <w:r w:rsidRPr="004712AD">
              <w:rPr>
                <w:rFonts w:cs="Arial"/>
                <w:b/>
                <w:bCs/>
                <w:color w:val="FFFFFF" w:themeColor="background1"/>
                <w:sz w:val="16"/>
              </w:rPr>
              <w:t>Descripción</w:t>
            </w:r>
          </w:p>
        </w:tc>
        <w:tc>
          <w:tcPr>
            <w:tcW w:w="2166" w:type="dxa"/>
            <w:shd w:val="clear" w:color="auto" w:fill="76922E"/>
            <w:hideMark/>
          </w:tcPr>
          <w:p w:rsidR="00356E7A" w:rsidRPr="004712AD" w:rsidRDefault="004712AD"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6"/>
              </w:rPr>
            </w:pPr>
            <w:r w:rsidRPr="004712AD">
              <w:rPr>
                <w:rFonts w:cs="Arial"/>
                <w:b/>
                <w:bCs/>
                <w:color w:val="FFFFFF" w:themeColor="background1"/>
                <w:sz w:val="16"/>
              </w:rPr>
              <w:t>Observaciones</w:t>
            </w:r>
          </w:p>
        </w:tc>
      </w:tr>
      <w:tr w:rsidR="00356E7A" w:rsidRPr="00E2319F" w:rsidTr="00511884">
        <w:trPr>
          <w:trHeight w:val="594"/>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b w:val="0"/>
                <w:sz w:val="16"/>
                <w:szCs w:val="16"/>
              </w:rPr>
            </w:pPr>
            <w:r w:rsidRPr="00E2319F">
              <w:rPr>
                <w:rFonts w:cs="Arial"/>
                <w:b w:val="0"/>
                <w:sz w:val="16"/>
                <w:szCs w:val="16"/>
              </w:rPr>
              <w:t>Enero/2017</w:t>
            </w:r>
          </w:p>
        </w:tc>
        <w:tc>
          <w:tcPr>
            <w:tcW w:w="1740"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2319F">
              <w:rPr>
                <w:rFonts w:cs="Arial"/>
                <w:sz w:val="16"/>
                <w:szCs w:val="16"/>
                <w:lang w:val="es-CO"/>
              </w:rPr>
              <w:t>Proyecto de Ley 167 de 2016 Cámara</w:t>
            </w:r>
          </w:p>
        </w:tc>
        <w:tc>
          <w:tcPr>
            <w:tcW w:w="4064" w:type="dxa"/>
          </w:tcPr>
          <w:p w:rsidR="00356E7A" w:rsidRPr="00E2319F" w:rsidRDefault="00356E7A" w:rsidP="00511884">
            <w:pPr>
              <w:spacing w:after="0" w:line="240" w:lineRule="auto"/>
              <w:ind w:left="-22" w:firstLine="22"/>
              <w:jc w:val="center"/>
              <w:cnfStyle w:val="000000000000" w:firstRow="0" w:lastRow="0" w:firstColumn="0" w:lastColumn="0" w:oddVBand="0" w:evenVBand="0" w:oddHBand="0" w:evenHBand="0" w:firstRowFirstColumn="0" w:firstRowLastColumn="0" w:lastRowFirstColumn="0" w:lastRowLastColumn="0"/>
              <w:rPr>
                <w:rFonts w:cs="Arial"/>
                <w:i/>
                <w:sz w:val="16"/>
                <w:szCs w:val="16"/>
                <w:lang w:val="es-CO"/>
              </w:rPr>
            </w:pPr>
            <w:r w:rsidRPr="00E2319F">
              <w:rPr>
                <w:rFonts w:cs="Arial"/>
                <w:sz w:val="16"/>
                <w:szCs w:val="16"/>
                <w:lang w:val="es-CO"/>
              </w:rPr>
              <w:t>“por la cual se brinda apoyo y orientación a la mujer gestante o lactante en riesgo y se dictan otras disposiciones”</w:t>
            </w:r>
          </w:p>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sz w:val="16"/>
                <w:szCs w:val="16"/>
              </w:rPr>
            </w:pPr>
          </w:p>
        </w:tc>
        <w:tc>
          <w:tcPr>
            <w:tcW w:w="2166"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2319F">
              <w:rPr>
                <w:rFonts w:cs="Arial"/>
                <w:sz w:val="16"/>
                <w:szCs w:val="16"/>
              </w:rPr>
              <w:t>SE REALIZÓ CONCEPTO</w:t>
            </w:r>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435" w:type="dxa"/>
            <w:hideMark/>
          </w:tcPr>
          <w:p w:rsidR="00356E7A" w:rsidRPr="00E2319F" w:rsidRDefault="00356E7A" w:rsidP="00511884">
            <w:pPr>
              <w:spacing w:after="0" w:line="240" w:lineRule="auto"/>
              <w:jc w:val="center"/>
              <w:rPr>
                <w:rFonts w:cs="Arial"/>
                <w:b w:val="0"/>
                <w:sz w:val="16"/>
                <w:szCs w:val="16"/>
              </w:rPr>
            </w:pPr>
            <w:r w:rsidRPr="00E2319F">
              <w:rPr>
                <w:rFonts w:cs="Arial"/>
                <w:b w:val="0"/>
                <w:sz w:val="16"/>
                <w:szCs w:val="16"/>
              </w:rPr>
              <w:t>Abril/2017</w:t>
            </w:r>
          </w:p>
        </w:tc>
        <w:tc>
          <w:tcPr>
            <w:tcW w:w="1740" w:type="dxa"/>
            <w:hideMark/>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2319F">
              <w:rPr>
                <w:rFonts w:cs="Arial"/>
                <w:bCs/>
                <w:sz w:val="16"/>
                <w:szCs w:val="16"/>
              </w:rPr>
              <w:t>Proyecto de Ley 001 de 2017 Cámara</w:t>
            </w:r>
          </w:p>
        </w:tc>
        <w:tc>
          <w:tcPr>
            <w:tcW w:w="4064" w:type="dxa"/>
            <w:hideMark/>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medio de la cual se crea el Programa de Tamizaje Neonatal en Colombia”</w:t>
            </w:r>
          </w:p>
        </w:tc>
        <w:tc>
          <w:tcPr>
            <w:tcW w:w="2166" w:type="dxa"/>
            <w:hideMark/>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REALIZÓ CONCEPTO</w:t>
            </w:r>
          </w:p>
        </w:tc>
      </w:tr>
      <w:tr w:rsidR="00356E7A" w:rsidRPr="00E2319F" w:rsidTr="00511884">
        <w:trPr>
          <w:trHeight w:val="853"/>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b w:val="0"/>
                <w:sz w:val="16"/>
                <w:szCs w:val="16"/>
              </w:rPr>
            </w:pPr>
            <w:r w:rsidRPr="00E2319F">
              <w:rPr>
                <w:rFonts w:cs="Arial"/>
                <w:b w:val="0"/>
                <w:sz w:val="16"/>
                <w:szCs w:val="16"/>
              </w:rPr>
              <w:t>Sept./2017</w:t>
            </w:r>
          </w:p>
        </w:tc>
        <w:tc>
          <w:tcPr>
            <w:tcW w:w="1740"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2319F">
              <w:rPr>
                <w:rFonts w:cs="Arial"/>
                <w:sz w:val="16"/>
                <w:szCs w:val="16"/>
                <w:lang w:val="es-CO"/>
              </w:rPr>
              <w:t>Proyecto de Ley 039 de 2016 Cámara</w:t>
            </w:r>
          </w:p>
        </w:tc>
        <w:tc>
          <w:tcPr>
            <w:tcW w:w="4064" w:type="dxa"/>
          </w:tcPr>
          <w:p w:rsidR="00356E7A" w:rsidRPr="00E2319F" w:rsidRDefault="00356E7A" w:rsidP="00511884">
            <w:pPr>
              <w:spacing w:after="0" w:line="240" w:lineRule="auto"/>
              <w:ind w:hanging="22"/>
              <w:jc w:val="center"/>
              <w:cnfStyle w:val="000000000000" w:firstRow="0" w:lastRow="0" w:firstColumn="0" w:lastColumn="0" w:oddVBand="0" w:evenVBand="0" w:oddHBand="0" w:evenHBand="0" w:firstRowFirstColumn="0" w:firstRowLastColumn="0" w:lastRowFirstColumn="0" w:lastRowLastColumn="0"/>
              <w:rPr>
                <w:rFonts w:cs="Arial"/>
                <w:i/>
                <w:sz w:val="16"/>
                <w:szCs w:val="16"/>
                <w:lang w:val="es-CO"/>
              </w:rPr>
            </w:pPr>
            <w:r w:rsidRPr="00E2319F">
              <w:rPr>
                <w:rFonts w:cs="Arial"/>
                <w:sz w:val="16"/>
                <w:szCs w:val="16"/>
                <w:lang w:val="es-CO"/>
              </w:rPr>
              <w:t>“</w:t>
            </w:r>
            <w:r w:rsidRPr="00E2319F">
              <w:rPr>
                <w:rFonts w:cs="Arial"/>
                <w:iCs/>
                <w:sz w:val="16"/>
                <w:szCs w:val="16"/>
                <w:lang w:val="es-ES_tradnl"/>
              </w:rPr>
              <w:t>por medio de la cual se establece la práctica del juego, la recreación y el deporte en el periodo vacacional de mitad de año para los estudiantes en todo el territorio nacional y se dictan otras disposiciones”</w:t>
            </w:r>
          </w:p>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2166"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REALIZÓ CONCEPTO</w:t>
            </w:r>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b w:val="0"/>
                <w:sz w:val="16"/>
                <w:szCs w:val="16"/>
              </w:rPr>
            </w:pPr>
            <w:r w:rsidRPr="00E2319F">
              <w:rPr>
                <w:rFonts w:cs="Arial"/>
                <w:b w:val="0"/>
                <w:sz w:val="16"/>
                <w:szCs w:val="16"/>
              </w:rPr>
              <w:t>Sept./2017</w:t>
            </w:r>
          </w:p>
        </w:tc>
        <w:tc>
          <w:tcPr>
            <w:tcW w:w="1740"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lang w:val="es-CO"/>
              </w:rPr>
            </w:pPr>
            <w:r w:rsidRPr="00E2319F">
              <w:rPr>
                <w:rFonts w:cs="Arial"/>
                <w:sz w:val="16"/>
                <w:szCs w:val="16"/>
                <w:lang w:val="es-CO"/>
              </w:rPr>
              <w:t>Proyecto de Ley 127 de 2016 Senado</w:t>
            </w:r>
          </w:p>
        </w:tc>
        <w:tc>
          <w:tcPr>
            <w:tcW w:w="4064" w:type="dxa"/>
          </w:tcPr>
          <w:p w:rsidR="00356E7A" w:rsidRPr="00E2319F" w:rsidRDefault="00356E7A" w:rsidP="00511884">
            <w:pPr>
              <w:spacing w:after="0" w:line="240" w:lineRule="auto"/>
              <w:ind w:hanging="22"/>
              <w:jc w:val="center"/>
              <w:cnfStyle w:val="000000100000" w:firstRow="0" w:lastRow="0" w:firstColumn="0" w:lastColumn="0" w:oddVBand="0" w:evenVBand="0" w:oddHBand="1" w:evenHBand="0" w:firstRowFirstColumn="0" w:firstRowLastColumn="0" w:lastRowFirstColumn="0" w:lastRowLastColumn="0"/>
              <w:rPr>
                <w:rFonts w:cs="Arial"/>
                <w:sz w:val="16"/>
                <w:szCs w:val="16"/>
                <w:lang w:val="es-CO"/>
              </w:rPr>
            </w:pPr>
            <w:r w:rsidRPr="00E2319F">
              <w:rPr>
                <w:rFonts w:cs="Arial"/>
                <w:sz w:val="16"/>
                <w:szCs w:val="16"/>
                <w:lang w:val="es-CO"/>
              </w:rPr>
              <w:t xml:space="preserve">"Por medio de la cual se </w:t>
            </w:r>
            <w:r w:rsidR="0098234C" w:rsidRPr="00E2319F">
              <w:rPr>
                <w:rFonts w:cs="Arial"/>
                <w:sz w:val="16"/>
                <w:szCs w:val="16"/>
                <w:lang w:val="es-CO"/>
              </w:rPr>
              <w:t>adoptan criterios de política pú</w:t>
            </w:r>
            <w:r w:rsidRPr="00E2319F">
              <w:rPr>
                <w:rFonts w:cs="Arial"/>
                <w:sz w:val="16"/>
                <w:szCs w:val="16"/>
                <w:lang w:val="es-CO"/>
              </w:rPr>
              <w:t>blica para los programas estatales de reducción de la pobreza y pobreza extrema, promoción de la movilidad social y se regula el funcionamiento del programa más familias en acción"</w:t>
            </w:r>
          </w:p>
        </w:tc>
        <w:tc>
          <w:tcPr>
            <w:tcW w:w="2166"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REALIZÓ CONCEPTO</w:t>
            </w:r>
          </w:p>
        </w:tc>
      </w:tr>
      <w:tr w:rsidR="00356E7A" w:rsidRPr="00E2319F" w:rsidTr="00511884">
        <w:trPr>
          <w:trHeight w:val="683"/>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b w:val="0"/>
                <w:sz w:val="16"/>
                <w:szCs w:val="16"/>
              </w:rPr>
            </w:pPr>
            <w:r w:rsidRPr="00E2319F">
              <w:rPr>
                <w:rFonts w:cs="Arial"/>
                <w:b w:val="0"/>
                <w:sz w:val="16"/>
                <w:szCs w:val="16"/>
              </w:rPr>
              <w:t>Oct./2017</w:t>
            </w:r>
          </w:p>
        </w:tc>
        <w:tc>
          <w:tcPr>
            <w:tcW w:w="1740"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2319F">
              <w:rPr>
                <w:rFonts w:cs="Arial"/>
                <w:sz w:val="16"/>
                <w:szCs w:val="16"/>
                <w:lang w:val="es-CO"/>
              </w:rPr>
              <w:t>Proyecto de Ley 07 de 2017 Senado</w:t>
            </w:r>
          </w:p>
        </w:tc>
        <w:tc>
          <w:tcPr>
            <w:tcW w:w="4064"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lang w:val="es-CO"/>
              </w:rPr>
              <w:t>“</w:t>
            </w:r>
            <w:r w:rsidRPr="00E2319F">
              <w:rPr>
                <w:rFonts w:eastAsia="Times New Roman" w:cs="Arial"/>
                <w:sz w:val="16"/>
                <w:szCs w:val="16"/>
                <w:lang w:eastAsia="es-CO"/>
              </w:rPr>
              <w:t>Por medio de la cual se adopta un modelo de perfil de nutrientes para productos alimenticios procesados y ultraprocesados y se dictan otras disposiciones</w:t>
            </w:r>
            <w:r w:rsidRPr="00E2319F">
              <w:rPr>
                <w:rFonts w:cs="Arial"/>
                <w:i/>
                <w:sz w:val="16"/>
                <w:szCs w:val="16"/>
                <w:lang w:val="es-CO"/>
              </w:rPr>
              <w:t>”</w:t>
            </w:r>
          </w:p>
        </w:tc>
        <w:tc>
          <w:tcPr>
            <w:tcW w:w="2166"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REALIZÓ CONCEPTO</w:t>
            </w:r>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sz w:val="16"/>
                <w:szCs w:val="16"/>
              </w:rPr>
            </w:pPr>
            <w:r w:rsidRPr="00E2319F">
              <w:rPr>
                <w:rFonts w:cs="Arial"/>
                <w:b w:val="0"/>
                <w:sz w:val="16"/>
                <w:szCs w:val="16"/>
              </w:rPr>
              <w:t>Oct./2017</w:t>
            </w:r>
          </w:p>
        </w:tc>
        <w:tc>
          <w:tcPr>
            <w:tcW w:w="1740"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2319F">
              <w:rPr>
                <w:rFonts w:cs="Arial"/>
                <w:sz w:val="16"/>
                <w:szCs w:val="16"/>
                <w:lang w:val="es-CO"/>
              </w:rPr>
              <w:t>Proyecto de Ley 003 de 2017 Cámara</w:t>
            </w:r>
          </w:p>
        </w:tc>
        <w:tc>
          <w:tcPr>
            <w:tcW w:w="4064"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medio de la cual se implementa un servicio de guarderías en las grandes y medianas empresas para los hijos menores de los trabajadores y se dictan otras disposiciones”</w:t>
            </w:r>
          </w:p>
        </w:tc>
        <w:tc>
          <w:tcPr>
            <w:tcW w:w="2166"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REALIZÓ CONCEPTO</w:t>
            </w:r>
          </w:p>
        </w:tc>
      </w:tr>
      <w:tr w:rsidR="00356E7A" w:rsidRPr="00E2319F" w:rsidTr="00511884">
        <w:trPr>
          <w:trHeight w:val="1020"/>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sz w:val="16"/>
                <w:szCs w:val="16"/>
              </w:rPr>
            </w:pPr>
            <w:r w:rsidRPr="00E2319F">
              <w:rPr>
                <w:rFonts w:cs="Arial"/>
                <w:b w:val="0"/>
                <w:sz w:val="16"/>
                <w:szCs w:val="16"/>
              </w:rPr>
              <w:t>Oct./2017</w:t>
            </w:r>
          </w:p>
        </w:tc>
        <w:tc>
          <w:tcPr>
            <w:tcW w:w="1740"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2319F">
              <w:rPr>
                <w:rFonts w:cs="Arial"/>
                <w:sz w:val="16"/>
                <w:szCs w:val="16"/>
                <w:lang w:val="es-CO"/>
              </w:rPr>
              <w:t>Proyecto de Ley 050 de 2017 Cámara</w:t>
            </w:r>
          </w:p>
        </w:tc>
        <w:tc>
          <w:tcPr>
            <w:tcW w:w="4064"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la cual se formulan los lineamientos de política pública para la prevención de delitos realizados a través de medios informáticos o electrónicos, en contra de niñas, niños y adolescentes; se modifica el código penal y se dictan otras disposiciones”</w:t>
            </w:r>
          </w:p>
        </w:tc>
        <w:tc>
          <w:tcPr>
            <w:tcW w:w="2166"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REALIZÓ CONCEPTO</w:t>
            </w:r>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sz w:val="16"/>
                <w:szCs w:val="16"/>
              </w:rPr>
            </w:pPr>
            <w:r w:rsidRPr="00E2319F">
              <w:rPr>
                <w:rFonts w:cs="Arial"/>
                <w:b w:val="0"/>
                <w:sz w:val="16"/>
                <w:szCs w:val="16"/>
              </w:rPr>
              <w:t>Oct./2017</w:t>
            </w:r>
          </w:p>
        </w:tc>
        <w:tc>
          <w:tcPr>
            <w:tcW w:w="1740"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2319F">
              <w:rPr>
                <w:rFonts w:cs="Arial"/>
                <w:sz w:val="16"/>
                <w:szCs w:val="16"/>
                <w:lang w:val="es-CO"/>
              </w:rPr>
              <w:t>Proyecto de Ley 087 de 2017 Senado – 325 de 2017 Cámara</w:t>
            </w:r>
          </w:p>
        </w:tc>
        <w:tc>
          <w:tcPr>
            <w:tcW w:w="4064"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medio de la cual se establecen el régimen de inhabilidades a quienes hayan sido condenados por delitos sexuales contra menores, se crea el registro de inhabilidades y se dictan otras disposiciones"</w:t>
            </w:r>
          </w:p>
        </w:tc>
        <w:tc>
          <w:tcPr>
            <w:tcW w:w="2166"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REALIZÓ CONCEPTO</w:t>
            </w:r>
          </w:p>
        </w:tc>
      </w:tr>
      <w:tr w:rsidR="00356E7A" w:rsidRPr="00E2319F" w:rsidTr="00511884">
        <w:trPr>
          <w:trHeight w:val="562"/>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sz w:val="16"/>
                <w:szCs w:val="16"/>
              </w:rPr>
            </w:pPr>
            <w:r w:rsidRPr="00E2319F">
              <w:rPr>
                <w:rFonts w:cs="Arial"/>
                <w:b w:val="0"/>
                <w:sz w:val="16"/>
                <w:szCs w:val="16"/>
              </w:rPr>
              <w:t>Oct./2017</w:t>
            </w:r>
          </w:p>
        </w:tc>
        <w:tc>
          <w:tcPr>
            <w:tcW w:w="1740"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2319F">
              <w:rPr>
                <w:rFonts w:cs="Arial"/>
                <w:sz w:val="16"/>
                <w:szCs w:val="16"/>
                <w:lang w:val="es-CO"/>
              </w:rPr>
              <w:t>Proyecto de Ley 014 de 2017 Senado</w:t>
            </w:r>
          </w:p>
        </w:tc>
        <w:tc>
          <w:tcPr>
            <w:tcW w:w="4064"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medio de la cual se fortalece la política criminal y penitenciaria en Colombia y se dictan otras disposiciones”</w:t>
            </w:r>
          </w:p>
        </w:tc>
        <w:tc>
          <w:tcPr>
            <w:tcW w:w="2166"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REALIZÓ CONCEPTO</w:t>
            </w:r>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sz w:val="16"/>
                <w:szCs w:val="16"/>
              </w:rPr>
            </w:pPr>
            <w:r w:rsidRPr="00E2319F">
              <w:rPr>
                <w:rFonts w:cs="Arial"/>
                <w:b w:val="0"/>
                <w:sz w:val="16"/>
                <w:szCs w:val="16"/>
              </w:rPr>
              <w:t>Oct./2017</w:t>
            </w:r>
          </w:p>
        </w:tc>
        <w:tc>
          <w:tcPr>
            <w:tcW w:w="1740"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2319F">
              <w:rPr>
                <w:rFonts w:cs="Arial"/>
                <w:sz w:val="16"/>
                <w:szCs w:val="16"/>
                <w:lang w:val="es-CO"/>
              </w:rPr>
              <w:t>Proyecto de Ley 059 de 2016 Senado – 299 de 2017 Cámara</w:t>
            </w:r>
          </w:p>
        </w:tc>
        <w:tc>
          <w:tcPr>
            <w:tcW w:w="4064"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la cual se toman medidas a fin de garantizar la efectiva prestación del servicio de salud oncopediátrica a los menores de 18 años en procura de la prelación de sus derechos fundamentales”</w:t>
            </w:r>
          </w:p>
        </w:tc>
        <w:tc>
          <w:tcPr>
            <w:tcW w:w="2166"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REALIZÓ CONCEPTO</w:t>
            </w:r>
          </w:p>
        </w:tc>
      </w:tr>
      <w:tr w:rsidR="00356E7A" w:rsidRPr="00E2319F" w:rsidTr="00511884">
        <w:trPr>
          <w:trHeight w:val="709"/>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b w:val="0"/>
                <w:sz w:val="16"/>
                <w:szCs w:val="16"/>
              </w:rPr>
            </w:pPr>
            <w:r w:rsidRPr="00E2319F">
              <w:rPr>
                <w:rFonts w:cs="Arial"/>
                <w:b w:val="0"/>
                <w:sz w:val="16"/>
                <w:szCs w:val="16"/>
              </w:rPr>
              <w:t>Nov./2017</w:t>
            </w:r>
          </w:p>
        </w:tc>
        <w:tc>
          <w:tcPr>
            <w:tcW w:w="1740"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 xml:space="preserve">Proyecto de Ley 097 de 2017 Senado </w:t>
            </w:r>
          </w:p>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6"/>
                <w:szCs w:val="16"/>
                <w:lang w:val="es-CO" w:eastAsia="es-CO"/>
              </w:rPr>
            </w:pPr>
          </w:p>
        </w:tc>
        <w:tc>
          <w:tcPr>
            <w:tcW w:w="4064"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el cual se establecen mínimos a la fijación de la cuota alimentaria”</w:t>
            </w:r>
          </w:p>
        </w:tc>
        <w:tc>
          <w:tcPr>
            <w:tcW w:w="2166"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REALIZÓ CONCEPTO</w:t>
            </w:r>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b w:val="0"/>
                <w:sz w:val="16"/>
                <w:szCs w:val="16"/>
              </w:rPr>
            </w:pPr>
            <w:r w:rsidRPr="00E2319F">
              <w:rPr>
                <w:rFonts w:cs="Arial"/>
                <w:b w:val="0"/>
                <w:sz w:val="16"/>
                <w:szCs w:val="16"/>
              </w:rPr>
              <w:t>Nov./2017</w:t>
            </w:r>
          </w:p>
        </w:tc>
        <w:tc>
          <w:tcPr>
            <w:tcW w:w="1740"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Proyecto de Ley 161 de 2017 Cámara y 184 de 2016 Senado</w:t>
            </w:r>
          </w:p>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6"/>
                <w:szCs w:val="16"/>
                <w:lang w:val="es-CO" w:eastAsia="es-CO"/>
              </w:rPr>
            </w:pPr>
          </w:p>
        </w:tc>
        <w:tc>
          <w:tcPr>
            <w:tcW w:w="4064"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lang w:val="es-ES_tradnl"/>
              </w:rPr>
              <w:t>“</w:t>
            </w:r>
            <w:r w:rsidRPr="00E2319F">
              <w:rPr>
                <w:rFonts w:cs="Arial"/>
                <w:iCs/>
                <w:sz w:val="16"/>
                <w:szCs w:val="16"/>
                <w:lang w:val="es-CO"/>
              </w:rPr>
              <w:t>Por medio de la cual se dictan normas para la protección de infantes y menores de brazos en Colombia y se exige la instalación de baños asistidos o familiares en establecimientos abiertos al público</w:t>
            </w:r>
            <w:r w:rsidRPr="00E2319F">
              <w:rPr>
                <w:rFonts w:cs="Arial"/>
                <w:sz w:val="16"/>
                <w:szCs w:val="16"/>
              </w:rPr>
              <w:t>”.</w:t>
            </w:r>
          </w:p>
        </w:tc>
        <w:tc>
          <w:tcPr>
            <w:tcW w:w="2166"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REALIZÓ CONCEPTO</w:t>
            </w:r>
          </w:p>
        </w:tc>
      </w:tr>
      <w:tr w:rsidR="00356E7A" w:rsidRPr="00E2319F" w:rsidTr="00511884">
        <w:trPr>
          <w:trHeight w:val="709"/>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sz w:val="16"/>
                <w:szCs w:val="16"/>
              </w:rPr>
            </w:pPr>
            <w:r w:rsidRPr="00E2319F">
              <w:rPr>
                <w:rFonts w:cs="Arial"/>
                <w:b w:val="0"/>
                <w:sz w:val="16"/>
                <w:szCs w:val="16"/>
              </w:rPr>
              <w:t>Nov./2017</w:t>
            </w:r>
          </w:p>
        </w:tc>
        <w:tc>
          <w:tcPr>
            <w:tcW w:w="1740"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Proyecto de Ley 135 de 2017 Cámara</w:t>
            </w:r>
          </w:p>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6"/>
                <w:szCs w:val="16"/>
                <w:lang w:val="es-CO" w:eastAsia="es-CO"/>
              </w:rPr>
            </w:pPr>
          </w:p>
        </w:tc>
        <w:tc>
          <w:tcPr>
            <w:tcW w:w="4064"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lang w:val="es-ES_tradnl"/>
              </w:rPr>
              <w:t>“</w:t>
            </w:r>
            <w:r w:rsidRPr="00E2319F">
              <w:rPr>
                <w:rFonts w:cs="Arial"/>
                <w:iCs/>
                <w:sz w:val="16"/>
                <w:szCs w:val="16"/>
                <w:lang w:val="es-CO"/>
              </w:rPr>
              <w:t>Por medio de la cual se eleva la edad a veintiún (21) años para consumo y venta de bebidas embriagantes y se dictan otras disposiciones</w:t>
            </w:r>
            <w:r w:rsidRPr="00E2319F">
              <w:rPr>
                <w:rFonts w:cs="Arial"/>
                <w:sz w:val="16"/>
                <w:szCs w:val="16"/>
              </w:rPr>
              <w:t xml:space="preserve">”. </w:t>
            </w:r>
          </w:p>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2166"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REALIZÓ CONCEPTO</w:t>
            </w:r>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sz w:val="16"/>
                <w:szCs w:val="16"/>
              </w:rPr>
            </w:pPr>
            <w:r w:rsidRPr="00E2319F">
              <w:rPr>
                <w:rFonts w:cs="Arial"/>
                <w:b w:val="0"/>
                <w:sz w:val="16"/>
                <w:szCs w:val="16"/>
              </w:rPr>
              <w:lastRenderedPageBreak/>
              <w:t>Nov./2017</w:t>
            </w:r>
          </w:p>
        </w:tc>
        <w:tc>
          <w:tcPr>
            <w:tcW w:w="1740"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 xml:space="preserve">Proyecto de Ley 150 de 2017 Cámara </w:t>
            </w:r>
          </w:p>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6"/>
                <w:szCs w:val="16"/>
                <w:lang w:val="es-CO" w:eastAsia="es-CO"/>
              </w:rPr>
            </w:pPr>
          </w:p>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6"/>
                <w:szCs w:val="16"/>
                <w:lang w:val="es-CO" w:eastAsia="es-CO"/>
              </w:rPr>
            </w:pPr>
          </w:p>
        </w:tc>
        <w:tc>
          <w:tcPr>
            <w:tcW w:w="4064"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medio de la cual se establecen medidas tendientes a proteger a la primera infancia y se dictan otras disposiciones”</w:t>
            </w:r>
          </w:p>
        </w:tc>
        <w:tc>
          <w:tcPr>
            <w:tcW w:w="2166"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REALIZÓ CONCEPTO</w:t>
            </w:r>
          </w:p>
        </w:tc>
      </w:tr>
      <w:tr w:rsidR="00356E7A" w:rsidRPr="00E2319F" w:rsidTr="00511884">
        <w:trPr>
          <w:trHeight w:val="709"/>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sz w:val="16"/>
                <w:szCs w:val="16"/>
              </w:rPr>
            </w:pPr>
            <w:r w:rsidRPr="00E2319F">
              <w:rPr>
                <w:rFonts w:cs="Arial"/>
                <w:b w:val="0"/>
                <w:sz w:val="16"/>
                <w:szCs w:val="16"/>
              </w:rPr>
              <w:t>Nov./2017</w:t>
            </w:r>
          </w:p>
        </w:tc>
        <w:tc>
          <w:tcPr>
            <w:tcW w:w="1740"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 xml:space="preserve">Proyecto de Ley 019 de 2017 Cámara </w:t>
            </w:r>
          </w:p>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6"/>
                <w:szCs w:val="16"/>
                <w:lang w:val="es-CO" w:eastAsia="es-CO"/>
              </w:rPr>
            </w:pPr>
          </w:p>
        </w:tc>
        <w:tc>
          <w:tcPr>
            <w:tcW w:w="4064"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“Por medio de la cual se establecen medidas de salud pública para el control de la obesidad y otras enfermedades no transmisibles derivadas y se dictan otras disposiciones”</w:t>
            </w:r>
          </w:p>
        </w:tc>
        <w:tc>
          <w:tcPr>
            <w:tcW w:w="2166"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REALIZÓ CONCEPTO</w:t>
            </w:r>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b w:val="0"/>
                <w:sz w:val="16"/>
                <w:szCs w:val="16"/>
              </w:rPr>
            </w:pPr>
            <w:r w:rsidRPr="00E2319F">
              <w:rPr>
                <w:rFonts w:cs="Arial"/>
                <w:b w:val="0"/>
                <w:sz w:val="16"/>
                <w:szCs w:val="16"/>
              </w:rPr>
              <w:t>Abril/2017</w:t>
            </w:r>
          </w:p>
        </w:tc>
        <w:tc>
          <w:tcPr>
            <w:tcW w:w="1740"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lang w:val="es-CO"/>
              </w:rPr>
            </w:pPr>
            <w:r w:rsidRPr="00E2319F">
              <w:rPr>
                <w:rFonts w:eastAsia="Times New Roman" w:cs="Arial"/>
                <w:bCs/>
                <w:sz w:val="16"/>
                <w:szCs w:val="16"/>
                <w:lang w:val="es-CO" w:eastAsia="es-CO"/>
              </w:rPr>
              <w:t>Proyecto de Ley 225 de 2017 Senado – 310 de 2017 Cámara</w:t>
            </w:r>
          </w:p>
        </w:tc>
        <w:tc>
          <w:tcPr>
            <w:tcW w:w="4064"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"Por medio de la cual se modifican algunos artículos de la ley 1098 de 2006, por la cual se expide el Código de la Infancia y la Adolescencia, y se dictan otras disposiciones"</w:t>
            </w:r>
          </w:p>
        </w:tc>
        <w:tc>
          <w:tcPr>
            <w:tcW w:w="2166"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PROPUESTO POR EL ICBF</w:t>
            </w:r>
          </w:p>
        </w:tc>
      </w:tr>
      <w:tr w:rsidR="00356E7A" w:rsidRPr="00E2319F" w:rsidTr="00511884">
        <w:trPr>
          <w:trHeight w:val="1020"/>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b w:val="0"/>
                <w:sz w:val="16"/>
                <w:szCs w:val="16"/>
              </w:rPr>
            </w:pPr>
            <w:r w:rsidRPr="00E2319F">
              <w:rPr>
                <w:rFonts w:cs="Arial"/>
                <w:b w:val="0"/>
                <w:sz w:val="16"/>
                <w:szCs w:val="16"/>
              </w:rPr>
              <w:t>Julio/2017</w:t>
            </w:r>
          </w:p>
        </w:tc>
        <w:tc>
          <w:tcPr>
            <w:tcW w:w="1740"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s-CO"/>
              </w:rPr>
            </w:pPr>
            <w:r w:rsidRPr="00E2319F">
              <w:rPr>
                <w:rFonts w:eastAsia="Times New Roman" w:cs="Arial"/>
                <w:bCs/>
                <w:sz w:val="16"/>
                <w:szCs w:val="16"/>
                <w:lang w:val="es-CO" w:eastAsia="es-CO"/>
              </w:rPr>
              <w:t>Proyecto de Ley 023 de 2016 Cámara – 070 de 2017 Senado</w:t>
            </w:r>
          </w:p>
        </w:tc>
        <w:tc>
          <w:tcPr>
            <w:tcW w:w="4064"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rPr>
              <w:t>"Por medio del cual se adoptan medidas para el mejoramiento de las condiciones de vida para los niños, niñas, adolescentes que se encuentran bajo medida de protección del ICBF y para la consolidación de su proyecto de vida”</w:t>
            </w:r>
          </w:p>
        </w:tc>
        <w:tc>
          <w:tcPr>
            <w:tcW w:w="2166"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PROPUESTO POR EL ICBF</w:t>
            </w:r>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b w:val="0"/>
                <w:sz w:val="16"/>
                <w:szCs w:val="16"/>
              </w:rPr>
            </w:pPr>
            <w:r w:rsidRPr="00E2319F">
              <w:rPr>
                <w:rFonts w:cs="Arial"/>
                <w:b w:val="0"/>
                <w:sz w:val="16"/>
                <w:szCs w:val="16"/>
              </w:rPr>
              <w:t>Julio/2017</w:t>
            </w:r>
          </w:p>
        </w:tc>
        <w:tc>
          <w:tcPr>
            <w:tcW w:w="1740"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lang w:val="es-CO"/>
              </w:rPr>
            </w:pPr>
            <w:r w:rsidRPr="00E2319F">
              <w:rPr>
                <w:rFonts w:eastAsia="Times New Roman" w:cs="Arial"/>
                <w:bCs/>
                <w:sz w:val="16"/>
                <w:szCs w:val="16"/>
                <w:lang w:val="es-CO" w:eastAsia="es-CO"/>
              </w:rPr>
              <w:t>Proyecto de Ley 027 de 2017 Cámara</w:t>
            </w:r>
          </w:p>
        </w:tc>
        <w:tc>
          <w:tcPr>
            <w:tcW w:w="4064"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eastAsia="Times New Roman" w:cs="Arial"/>
                <w:sz w:val="16"/>
                <w:szCs w:val="16"/>
                <w:lang w:val="es-CO" w:eastAsia="es-CO"/>
              </w:rPr>
              <w:t>"Por medio de la cual se establece el régimen para el ejercicio de la capacidad legal de las personas con discapacidad mayores de edad”</w:t>
            </w:r>
          </w:p>
        </w:tc>
        <w:tc>
          <w:tcPr>
            <w:tcW w:w="2166"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rsidTr="00511884">
        <w:trPr>
          <w:trHeight w:val="567"/>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b w:val="0"/>
                <w:sz w:val="16"/>
                <w:szCs w:val="16"/>
              </w:rPr>
            </w:pPr>
            <w:r w:rsidRPr="00E2319F">
              <w:rPr>
                <w:rFonts w:cs="Arial"/>
                <w:b w:val="0"/>
                <w:sz w:val="16"/>
                <w:szCs w:val="16"/>
              </w:rPr>
              <w:t>Julio/2017</w:t>
            </w:r>
          </w:p>
        </w:tc>
        <w:tc>
          <w:tcPr>
            <w:tcW w:w="1740"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s-CO"/>
              </w:rPr>
            </w:pPr>
            <w:r w:rsidRPr="00E2319F">
              <w:rPr>
                <w:rFonts w:eastAsia="Times New Roman" w:cs="Arial"/>
                <w:bCs/>
                <w:sz w:val="16"/>
                <w:szCs w:val="16"/>
                <w:lang w:val="es-CO" w:eastAsia="es-CO"/>
              </w:rPr>
              <w:t>Proyecto de Ley 043 de 2017 Cámara</w:t>
            </w:r>
          </w:p>
        </w:tc>
        <w:tc>
          <w:tcPr>
            <w:tcW w:w="4064"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eastAsia="Times New Roman" w:cs="Arial"/>
                <w:sz w:val="16"/>
                <w:szCs w:val="16"/>
                <w:lang w:val="es-CO" w:eastAsia="es-CO"/>
              </w:rPr>
              <w:t>“Por medio de la cual se crea el tipo penal de infanticidio como delito autónomo y se dictan otras disposiciones"</w:t>
            </w:r>
          </w:p>
        </w:tc>
        <w:tc>
          <w:tcPr>
            <w:tcW w:w="2166"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b w:val="0"/>
                <w:sz w:val="16"/>
                <w:szCs w:val="16"/>
              </w:rPr>
            </w:pPr>
            <w:r w:rsidRPr="00E2319F">
              <w:rPr>
                <w:rFonts w:cs="Arial"/>
                <w:b w:val="0"/>
                <w:sz w:val="16"/>
                <w:szCs w:val="16"/>
              </w:rPr>
              <w:t>Julio/2017</w:t>
            </w:r>
          </w:p>
        </w:tc>
        <w:tc>
          <w:tcPr>
            <w:tcW w:w="1740"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lang w:val="es-CO"/>
              </w:rPr>
            </w:pPr>
            <w:r w:rsidRPr="00E2319F">
              <w:rPr>
                <w:rFonts w:eastAsia="Times New Roman" w:cs="Arial"/>
                <w:bCs/>
                <w:sz w:val="16"/>
                <w:szCs w:val="16"/>
                <w:lang w:val="es-CO" w:eastAsia="es-CO"/>
              </w:rPr>
              <w:t>Proyecto de Ley 044 de 2017 Cámara</w:t>
            </w:r>
          </w:p>
        </w:tc>
        <w:tc>
          <w:tcPr>
            <w:tcW w:w="4064"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eastAsia="Times New Roman" w:cs="Arial"/>
                <w:sz w:val="16"/>
                <w:szCs w:val="16"/>
                <w:lang w:val="es-CO" w:eastAsia="es-CO"/>
              </w:rPr>
              <w:t>“Por medio de la cual se crea el registro nacional de datos genéticos vinculados a la comisión de delitos contra la libertad, integridad y formación sexuales”</w:t>
            </w:r>
          </w:p>
        </w:tc>
        <w:tc>
          <w:tcPr>
            <w:tcW w:w="2166"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rsidTr="00511884">
        <w:trPr>
          <w:trHeight w:val="683"/>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b w:val="0"/>
                <w:sz w:val="16"/>
                <w:szCs w:val="16"/>
              </w:rPr>
            </w:pPr>
            <w:r w:rsidRPr="00E2319F">
              <w:rPr>
                <w:rFonts w:cs="Arial"/>
                <w:b w:val="0"/>
                <w:sz w:val="16"/>
                <w:szCs w:val="16"/>
              </w:rPr>
              <w:t>Julio/2017</w:t>
            </w:r>
          </w:p>
        </w:tc>
        <w:tc>
          <w:tcPr>
            <w:tcW w:w="1740"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Proyecto de Ley 050 de 2017 Senado</w:t>
            </w:r>
          </w:p>
        </w:tc>
        <w:tc>
          <w:tcPr>
            <w:tcW w:w="4064"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medio de la cual se modifica el artículo 116, el numeral 2 del artículo 140, se deroga el artículo 117 del código civil y se dictan otras disposiciones"</w:t>
            </w:r>
          </w:p>
        </w:tc>
        <w:tc>
          <w:tcPr>
            <w:tcW w:w="2166"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b w:val="0"/>
                <w:sz w:val="16"/>
                <w:szCs w:val="16"/>
              </w:rPr>
            </w:pPr>
            <w:r w:rsidRPr="00E2319F">
              <w:rPr>
                <w:rFonts w:cs="Arial"/>
                <w:b w:val="0"/>
                <w:sz w:val="16"/>
                <w:szCs w:val="16"/>
              </w:rPr>
              <w:t>Julio/2017</w:t>
            </w:r>
          </w:p>
        </w:tc>
        <w:tc>
          <w:tcPr>
            <w:tcW w:w="1740"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Proyecto de Ley 022 de 2017 Cámara</w:t>
            </w:r>
          </w:p>
        </w:tc>
        <w:tc>
          <w:tcPr>
            <w:tcW w:w="4064"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medio del cual se establecen medidas de promoción y protección para niñas, niños y adolescentes a través de la regulación de la publicidad de productos comestibles ultra procesados y de alimentos que causan daños a la salud y se dictan otras disposiciones”</w:t>
            </w:r>
          </w:p>
        </w:tc>
        <w:tc>
          <w:tcPr>
            <w:tcW w:w="2166"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rsidTr="00511884">
        <w:trPr>
          <w:trHeight w:val="806"/>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b w:val="0"/>
                <w:sz w:val="16"/>
                <w:szCs w:val="16"/>
              </w:rPr>
            </w:pPr>
            <w:r w:rsidRPr="00E2319F">
              <w:rPr>
                <w:rFonts w:cs="Arial"/>
                <w:b w:val="0"/>
                <w:sz w:val="16"/>
                <w:szCs w:val="16"/>
              </w:rPr>
              <w:t>Julio/2017</w:t>
            </w:r>
          </w:p>
        </w:tc>
        <w:tc>
          <w:tcPr>
            <w:tcW w:w="1740"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Proyecto de Ley 019 de 2017 Cámara</w:t>
            </w:r>
          </w:p>
        </w:tc>
        <w:tc>
          <w:tcPr>
            <w:tcW w:w="4064"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medio de la cual se establecen medidas de salud pública para el control de la obesidad y otras enfermedades no transmisibles derivadas y se dictan otras disposiciones”</w:t>
            </w:r>
          </w:p>
        </w:tc>
        <w:tc>
          <w:tcPr>
            <w:tcW w:w="2166"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b w:val="0"/>
                <w:sz w:val="16"/>
                <w:szCs w:val="16"/>
              </w:rPr>
            </w:pPr>
            <w:r w:rsidRPr="00E2319F">
              <w:rPr>
                <w:rFonts w:cs="Arial"/>
                <w:b w:val="0"/>
                <w:sz w:val="16"/>
                <w:szCs w:val="16"/>
              </w:rPr>
              <w:t>Julio/2017</w:t>
            </w:r>
          </w:p>
        </w:tc>
        <w:tc>
          <w:tcPr>
            <w:tcW w:w="1740"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Proyecto de Ley 026 de 2017 Cámara</w:t>
            </w:r>
          </w:p>
        </w:tc>
        <w:tc>
          <w:tcPr>
            <w:tcW w:w="4064"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medio de la cual se establecen disposiciones para garantizar el derecho de las personas a desarrollarse física e intelectualmente en un ambiente libre de plomo, se fijan límites para el contenido de plomo en productos comercializados en el país y se dictan otras disposiciones"</w:t>
            </w:r>
          </w:p>
        </w:tc>
        <w:tc>
          <w:tcPr>
            <w:tcW w:w="2166"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rsidTr="00511884">
        <w:trPr>
          <w:trHeight w:val="677"/>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b w:val="0"/>
                <w:sz w:val="16"/>
                <w:szCs w:val="16"/>
              </w:rPr>
            </w:pPr>
            <w:r w:rsidRPr="00E2319F">
              <w:rPr>
                <w:rFonts w:cs="Arial"/>
                <w:b w:val="0"/>
                <w:sz w:val="16"/>
                <w:szCs w:val="16"/>
              </w:rPr>
              <w:t>Julio/2017</w:t>
            </w:r>
          </w:p>
        </w:tc>
        <w:tc>
          <w:tcPr>
            <w:tcW w:w="1740"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Proyecto de Ley 047 de 2017 Senado</w:t>
            </w:r>
          </w:p>
        </w:tc>
        <w:tc>
          <w:tcPr>
            <w:tcW w:w="4064"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medio de la cual se adiciona el artículo 397ª y se modifican los artículos 399ª, 400ª y 415 de la Ley 599 de 2000 y los artículos 202 y 205 de la Ley 906 de 2004"</w:t>
            </w:r>
          </w:p>
        </w:tc>
        <w:tc>
          <w:tcPr>
            <w:tcW w:w="2166"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b w:val="0"/>
                <w:sz w:val="16"/>
                <w:szCs w:val="16"/>
              </w:rPr>
            </w:pPr>
            <w:r w:rsidRPr="00E2319F">
              <w:rPr>
                <w:rFonts w:cs="Arial"/>
                <w:b w:val="0"/>
                <w:sz w:val="16"/>
                <w:szCs w:val="16"/>
              </w:rPr>
              <w:t>Agosto/2017</w:t>
            </w:r>
          </w:p>
        </w:tc>
        <w:tc>
          <w:tcPr>
            <w:tcW w:w="1740"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lang w:val="es-CO"/>
              </w:rPr>
            </w:pPr>
            <w:r w:rsidRPr="00E2319F">
              <w:rPr>
                <w:rFonts w:eastAsia="Times New Roman" w:cs="Arial"/>
                <w:bCs/>
                <w:sz w:val="16"/>
                <w:szCs w:val="16"/>
                <w:lang w:val="es-CO" w:eastAsia="es-CO"/>
              </w:rPr>
              <w:t>Proyecto de Ley 065 de 2017 Cámara</w:t>
            </w:r>
          </w:p>
        </w:tc>
        <w:tc>
          <w:tcPr>
            <w:tcW w:w="4064"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eastAsia="Times New Roman" w:cs="Arial"/>
                <w:sz w:val="16"/>
                <w:szCs w:val="16"/>
                <w:lang w:val="es-CO" w:eastAsia="es-CO"/>
              </w:rPr>
              <w:t>“Por medio de la cual se establecen medidas de protección a las personas que se encuentren en situación de prostitución, víctimas de proxenetismo y trata de personas, y se dictan otras disposiciones”</w:t>
            </w:r>
          </w:p>
        </w:tc>
        <w:tc>
          <w:tcPr>
            <w:tcW w:w="2166"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rsidTr="00511884">
        <w:trPr>
          <w:trHeight w:val="558"/>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b w:val="0"/>
                <w:sz w:val="16"/>
                <w:szCs w:val="16"/>
              </w:rPr>
            </w:pPr>
            <w:r w:rsidRPr="00E2319F">
              <w:rPr>
                <w:rFonts w:cs="Arial"/>
                <w:b w:val="0"/>
                <w:sz w:val="16"/>
                <w:szCs w:val="16"/>
              </w:rPr>
              <w:t>Agosto/2017</w:t>
            </w:r>
          </w:p>
        </w:tc>
        <w:tc>
          <w:tcPr>
            <w:tcW w:w="1740"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Proyecto de Ley No. 097 de 2017 Senado</w:t>
            </w:r>
          </w:p>
        </w:tc>
        <w:tc>
          <w:tcPr>
            <w:tcW w:w="4064"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el cual se establecen valores mínimos a la fijación de la cuota alimentaria"</w:t>
            </w:r>
          </w:p>
        </w:tc>
        <w:tc>
          <w:tcPr>
            <w:tcW w:w="2166"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b w:val="0"/>
                <w:sz w:val="16"/>
                <w:szCs w:val="16"/>
              </w:rPr>
            </w:pPr>
            <w:r w:rsidRPr="00E2319F">
              <w:rPr>
                <w:rFonts w:cs="Arial"/>
                <w:b w:val="0"/>
                <w:sz w:val="16"/>
                <w:szCs w:val="16"/>
              </w:rPr>
              <w:t>Agosto/2017</w:t>
            </w:r>
          </w:p>
        </w:tc>
        <w:tc>
          <w:tcPr>
            <w:tcW w:w="1740"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lang w:val="es-CO"/>
              </w:rPr>
            </w:pPr>
            <w:r w:rsidRPr="00E2319F">
              <w:rPr>
                <w:rFonts w:eastAsia="Times New Roman" w:cs="Arial"/>
                <w:bCs/>
                <w:sz w:val="16"/>
                <w:szCs w:val="16"/>
                <w:lang w:val="es-CO" w:eastAsia="es-CO"/>
              </w:rPr>
              <w:t>Proyecto de Ley 070 de 2017 Cámara</w:t>
            </w:r>
          </w:p>
        </w:tc>
        <w:tc>
          <w:tcPr>
            <w:tcW w:w="4064"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eastAsia="Times New Roman" w:cs="Arial"/>
                <w:sz w:val="16"/>
                <w:szCs w:val="16"/>
                <w:lang w:val="es-CO" w:eastAsia="es-CO"/>
              </w:rPr>
              <w:t>“Por el cual se adiciona ley 1098 de 2006, artículo 25 y 39 numeral 4°. y se dictan otras disposiciones”</w:t>
            </w:r>
          </w:p>
        </w:tc>
        <w:tc>
          <w:tcPr>
            <w:tcW w:w="2166"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rsidTr="00511884">
        <w:trPr>
          <w:trHeight w:val="702"/>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sz w:val="16"/>
                <w:szCs w:val="16"/>
              </w:rPr>
            </w:pPr>
            <w:r w:rsidRPr="00E2319F">
              <w:rPr>
                <w:rFonts w:cs="Arial"/>
                <w:b w:val="0"/>
                <w:sz w:val="16"/>
                <w:szCs w:val="16"/>
              </w:rPr>
              <w:lastRenderedPageBreak/>
              <w:t>Agosto/2017</w:t>
            </w:r>
          </w:p>
        </w:tc>
        <w:tc>
          <w:tcPr>
            <w:tcW w:w="1740"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2319F">
              <w:rPr>
                <w:rFonts w:eastAsia="Times New Roman" w:cs="Arial"/>
                <w:bCs/>
                <w:sz w:val="16"/>
                <w:szCs w:val="16"/>
                <w:lang w:val="es-CO" w:eastAsia="es-CO"/>
              </w:rPr>
              <w:t>Proyecto de Ley 074 de 2017 Cámara</w:t>
            </w:r>
          </w:p>
        </w:tc>
        <w:tc>
          <w:tcPr>
            <w:tcW w:w="4064"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eastAsia="Times New Roman" w:cs="Arial"/>
                <w:sz w:val="16"/>
                <w:szCs w:val="16"/>
                <w:lang w:val="es-CO" w:eastAsia="es-CO"/>
              </w:rPr>
              <w:t>“Por medio del cual se crea el sistema de búsqueda de niños, niñas y adolescentes desaparecidos y se dictan otras disposiciones”</w:t>
            </w:r>
          </w:p>
        </w:tc>
        <w:tc>
          <w:tcPr>
            <w:tcW w:w="2166"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sz w:val="16"/>
                <w:szCs w:val="16"/>
              </w:rPr>
            </w:pPr>
            <w:r w:rsidRPr="00E2319F">
              <w:rPr>
                <w:rFonts w:cs="Arial"/>
                <w:b w:val="0"/>
                <w:sz w:val="16"/>
                <w:szCs w:val="16"/>
              </w:rPr>
              <w:t>Agosto/2017</w:t>
            </w:r>
          </w:p>
        </w:tc>
        <w:tc>
          <w:tcPr>
            <w:tcW w:w="1740"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2319F">
              <w:rPr>
                <w:rFonts w:eastAsia="Times New Roman" w:cs="Arial"/>
                <w:bCs/>
                <w:sz w:val="16"/>
                <w:szCs w:val="16"/>
                <w:lang w:val="es-CO" w:eastAsia="es-CO"/>
              </w:rPr>
              <w:t>Proyecto de Ley 071 de 2017 Cámara</w:t>
            </w:r>
          </w:p>
        </w:tc>
        <w:tc>
          <w:tcPr>
            <w:tcW w:w="4064"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eastAsia="Times New Roman" w:cs="Arial"/>
                <w:sz w:val="16"/>
                <w:szCs w:val="16"/>
                <w:lang w:val="es-CO" w:eastAsia="es-CO"/>
              </w:rPr>
              <w:t>“Por medio del cual se delega al programa presidencial para el sistema nacional de juventud. Colombia joven, la integración funcional del sistema en la garantía de derechos a los y las adolescentes embarazadas”</w:t>
            </w:r>
          </w:p>
        </w:tc>
        <w:tc>
          <w:tcPr>
            <w:tcW w:w="2166"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rsidTr="00511884">
        <w:trPr>
          <w:trHeight w:val="851"/>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sz w:val="16"/>
                <w:szCs w:val="16"/>
              </w:rPr>
            </w:pPr>
            <w:r w:rsidRPr="00E2319F">
              <w:rPr>
                <w:rFonts w:cs="Arial"/>
                <w:b w:val="0"/>
                <w:sz w:val="16"/>
                <w:szCs w:val="16"/>
              </w:rPr>
              <w:t>Agosto/2017</w:t>
            </w:r>
          </w:p>
        </w:tc>
        <w:tc>
          <w:tcPr>
            <w:tcW w:w="1740"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2319F">
              <w:rPr>
                <w:rFonts w:eastAsia="Times New Roman" w:cs="Arial"/>
                <w:bCs/>
                <w:sz w:val="16"/>
                <w:szCs w:val="16"/>
                <w:lang w:val="es-CO" w:eastAsia="es-CO"/>
              </w:rPr>
              <w:t>Proyecto de Ley 073 de 2017 Cámara</w:t>
            </w:r>
          </w:p>
        </w:tc>
        <w:tc>
          <w:tcPr>
            <w:tcW w:w="4064"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eastAsia="Times New Roman" w:cs="Arial"/>
                <w:sz w:val="16"/>
                <w:szCs w:val="16"/>
                <w:lang w:val="es-CO" w:eastAsia="es-CO"/>
              </w:rPr>
              <w:t>“Por medio del cual se establece una inhabilidad para condenados por delitos contra la libertad, integridad y formación sexual, y violencia intrafamiliar, y se establece el registro de dichas inhabilidades”</w:t>
            </w:r>
          </w:p>
        </w:tc>
        <w:tc>
          <w:tcPr>
            <w:tcW w:w="2166"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b w:val="0"/>
                <w:sz w:val="16"/>
                <w:szCs w:val="16"/>
              </w:rPr>
            </w:pPr>
            <w:r w:rsidRPr="00E2319F">
              <w:rPr>
                <w:rFonts w:cs="Arial"/>
                <w:b w:val="0"/>
                <w:sz w:val="16"/>
                <w:szCs w:val="16"/>
              </w:rPr>
              <w:t>Agosto/2017</w:t>
            </w:r>
          </w:p>
        </w:tc>
        <w:tc>
          <w:tcPr>
            <w:tcW w:w="1740"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Proyecto de Ley 095 de 2017 Senado</w:t>
            </w:r>
          </w:p>
        </w:tc>
        <w:tc>
          <w:tcPr>
            <w:tcW w:w="4064"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medio de la cual se crea el registro nacional de ofensores sexuales"</w:t>
            </w:r>
          </w:p>
        </w:tc>
        <w:tc>
          <w:tcPr>
            <w:tcW w:w="2166"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rsidTr="00511884">
        <w:trPr>
          <w:trHeight w:val="698"/>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b w:val="0"/>
                <w:sz w:val="16"/>
                <w:szCs w:val="16"/>
              </w:rPr>
            </w:pPr>
            <w:r w:rsidRPr="00E2319F">
              <w:rPr>
                <w:rFonts w:cs="Arial"/>
                <w:b w:val="0"/>
                <w:sz w:val="16"/>
                <w:szCs w:val="16"/>
              </w:rPr>
              <w:t>Agosto/2017</w:t>
            </w:r>
          </w:p>
        </w:tc>
        <w:tc>
          <w:tcPr>
            <w:tcW w:w="1740"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Proyecto de Ley 055 de 2017 Cámara</w:t>
            </w:r>
          </w:p>
        </w:tc>
        <w:tc>
          <w:tcPr>
            <w:tcW w:w="4064"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medio del cual se modifica el artículo 34 de la Constitución Política, suprimiendo la prohibición de la pena de prisión perpetua”</w:t>
            </w:r>
          </w:p>
        </w:tc>
        <w:tc>
          <w:tcPr>
            <w:tcW w:w="2166"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b w:val="0"/>
                <w:sz w:val="16"/>
                <w:szCs w:val="16"/>
              </w:rPr>
            </w:pPr>
            <w:r w:rsidRPr="00E2319F">
              <w:rPr>
                <w:rFonts w:cs="Arial"/>
                <w:b w:val="0"/>
                <w:sz w:val="16"/>
                <w:szCs w:val="16"/>
              </w:rPr>
              <w:t>Sept./2017</w:t>
            </w:r>
          </w:p>
        </w:tc>
        <w:tc>
          <w:tcPr>
            <w:tcW w:w="1740"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Proyecto de Ley 112 de 2017 Senado</w:t>
            </w:r>
          </w:p>
        </w:tc>
        <w:tc>
          <w:tcPr>
            <w:tcW w:w="4064"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medio del cual se adiciona un artículo nuevo a la ley 4 de 1992 "defensores de familia"</w:t>
            </w:r>
          </w:p>
        </w:tc>
        <w:tc>
          <w:tcPr>
            <w:tcW w:w="2166"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rsidTr="00511884">
        <w:trPr>
          <w:trHeight w:val="419"/>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b w:val="0"/>
                <w:sz w:val="16"/>
                <w:szCs w:val="16"/>
              </w:rPr>
            </w:pPr>
            <w:r w:rsidRPr="00E2319F">
              <w:rPr>
                <w:rFonts w:cs="Arial"/>
                <w:b w:val="0"/>
                <w:sz w:val="16"/>
                <w:szCs w:val="16"/>
              </w:rPr>
              <w:t>Sept./2017</w:t>
            </w:r>
          </w:p>
        </w:tc>
        <w:tc>
          <w:tcPr>
            <w:tcW w:w="1740"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Proyecto de Ley 150 de 2017 Cámara</w:t>
            </w:r>
          </w:p>
        </w:tc>
        <w:tc>
          <w:tcPr>
            <w:tcW w:w="4064"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medio de la cual se establecen medidas tendientes a proteger la primera infancia y se dictan otras disposiciones”</w:t>
            </w:r>
          </w:p>
        </w:tc>
        <w:tc>
          <w:tcPr>
            <w:tcW w:w="2166"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b w:val="0"/>
                <w:sz w:val="16"/>
                <w:szCs w:val="16"/>
              </w:rPr>
            </w:pPr>
            <w:r w:rsidRPr="00E2319F">
              <w:rPr>
                <w:rFonts w:cs="Arial"/>
                <w:b w:val="0"/>
                <w:sz w:val="16"/>
                <w:szCs w:val="16"/>
              </w:rPr>
              <w:t>Sept./2017</w:t>
            </w:r>
          </w:p>
        </w:tc>
        <w:tc>
          <w:tcPr>
            <w:tcW w:w="1740"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Proyecto de Ley 142 de 2017 Cámara</w:t>
            </w:r>
          </w:p>
        </w:tc>
        <w:tc>
          <w:tcPr>
            <w:tcW w:w="4064"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medio de la cual se modifica parcialmente la ley 1616 de 2013 de salud mental y se dictan otras disposiciones"</w:t>
            </w:r>
          </w:p>
        </w:tc>
        <w:tc>
          <w:tcPr>
            <w:tcW w:w="2166"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rsidTr="00511884">
        <w:trPr>
          <w:trHeight w:val="690"/>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b w:val="0"/>
                <w:sz w:val="16"/>
                <w:szCs w:val="16"/>
              </w:rPr>
            </w:pPr>
            <w:r w:rsidRPr="00E2319F">
              <w:rPr>
                <w:rFonts w:cs="Arial"/>
                <w:b w:val="0"/>
                <w:sz w:val="16"/>
                <w:szCs w:val="16"/>
              </w:rPr>
              <w:t>Sept./2017</w:t>
            </w:r>
          </w:p>
        </w:tc>
        <w:tc>
          <w:tcPr>
            <w:tcW w:w="1740"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16"/>
                <w:szCs w:val="16"/>
                <w:lang w:val="es-CO" w:eastAsia="es-CO"/>
              </w:rPr>
            </w:pPr>
            <w:r w:rsidRPr="00E2319F">
              <w:rPr>
                <w:rFonts w:eastAsia="Times New Roman" w:cs="Arial"/>
                <w:bCs/>
                <w:sz w:val="16"/>
                <w:szCs w:val="16"/>
                <w:lang w:val="es-CO" w:eastAsia="es-CO"/>
              </w:rPr>
              <w:t>Proyecto de Ley 135 de 2017 Cámara</w:t>
            </w:r>
          </w:p>
        </w:tc>
        <w:tc>
          <w:tcPr>
            <w:tcW w:w="4064"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eastAsia="es-CO"/>
              </w:rPr>
            </w:pPr>
            <w:r w:rsidRPr="00E2319F">
              <w:rPr>
                <w:rFonts w:eastAsia="Times New Roman" w:cs="Arial"/>
                <w:sz w:val="16"/>
                <w:szCs w:val="16"/>
                <w:lang w:val="es-CO" w:eastAsia="es-CO"/>
              </w:rPr>
              <w:t>“Por medio de la cual se eleva la edad a veintiún (21) años para consumo y venta de bebidas embriagantes y se dictan otras disposiciones”.</w:t>
            </w:r>
          </w:p>
        </w:tc>
        <w:tc>
          <w:tcPr>
            <w:tcW w:w="2166" w:type="dxa"/>
          </w:tcPr>
          <w:p w:rsidR="00356E7A" w:rsidRPr="00E2319F" w:rsidRDefault="00356E7A" w:rsidP="005118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rsidTr="00511884">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435" w:type="dxa"/>
          </w:tcPr>
          <w:p w:rsidR="00356E7A" w:rsidRPr="00E2319F" w:rsidRDefault="00356E7A" w:rsidP="00511884">
            <w:pPr>
              <w:spacing w:after="0" w:line="240" w:lineRule="auto"/>
              <w:jc w:val="center"/>
              <w:rPr>
                <w:rFonts w:cs="Arial"/>
                <w:b w:val="0"/>
                <w:sz w:val="16"/>
                <w:szCs w:val="16"/>
              </w:rPr>
            </w:pPr>
            <w:r w:rsidRPr="00E2319F">
              <w:rPr>
                <w:rFonts w:cs="Arial"/>
                <w:b w:val="0"/>
                <w:sz w:val="16"/>
                <w:szCs w:val="16"/>
              </w:rPr>
              <w:t>Oct./2017</w:t>
            </w:r>
          </w:p>
        </w:tc>
        <w:tc>
          <w:tcPr>
            <w:tcW w:w="1740"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2319F">
              <w:rPr>
                <w:rFonts w:eastAsia="Times New Roman" w:cs="Arial"/>
                <w:bCs/>
                <w:sz w:val="16"/>
                <w:szCs w:val="16"/>
                <w:lang w:val="es-CO" w:eastAsia="es-CO"/>
              </w:rPr>
              <w:t>Proyecto de Ley 161 de 2017 Cámara</w:t>
            </w:r>
          </w:p>
        </w:tc>
        <w:tc>
          <w:tcPr>
            <w:tcW w:w="4064"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eastAsia="Times New Roman" w:cs="Arial"/>
                <w:sz w:val="16"/>
                <w:szCs w:val="16"/>
                <w:lang w:val="es-CO" w:eastAsia="es-CO"/>
              </w:rPr>
              <w:t>“Por medio del cual se da un enfoque de salud pública a la problemática del consumo de drogas en Colombia y se dictan otras disposiciones”</w:t>
            </w:r>
          </w:p>
        </w:tc>
        <w:tc>
          <w:tcPr>
            <w:tcW w:w="2166" w:type="dxa"/>
          </w:tcPr>
          <w:p w:rsidR="00356E7A" w:rsidRPr="00E2319F" w:rsidRDefault="00356E7A" w:rsidP="005118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2319F">
              <w:rPr>
                <w:rFonts w:cs="Arial"/>
                <w:sz w:val="16"/>
                <w:szCs w:val="16"/>
              </w:rPr>
              <w:t>SE REALIZA SEGUIMIENTO</w:t>
            </w:r>
          </w:p>
        </w:tc>
      </w:tr>
      <w:tr w:rsidR="00356E7A" w:rsidRPr="00E2319F" w:rsidTr="00511884">
        <w:trPr>
          <w:trHeight w:val="630"/>
        </w:trPr>
        <w:tc>
          <w:tcPr>
            <w:cnfStyle w:val="001000000000" w:firstRow="0" w:lastRow="0" w:firstColumn="1" w:lastColumn="0" w:oddVBand="0" w:evenVBand="0" w:oddHBand="0" w:evenHBand="0" w:firstRowFirstColumn="0" w:firstRowLastColumn="0" w:lastRowFirstColumn="0" w:lastRowLastColumn="0"/>
            <w:tcW w:w="9405" w:type="dxa"/>
            <w:gridSpan w:val="4"/>
            <w:hideMark/>
          </w:tcPr>
          <w:p w:rsidR="00356E7A" w:rsidRPr="00E2319F" w:rsidRDefault="00356E7A" w:rsidP="00511884">
            <w:pPr>
              <w:spacing w:after="0" w:line="240" w:lineRule="auto"/>
              <w:jc w:val="center"/>
              <w:rPr>
                <w:rFonts w:cs="Arial"/>
                <w:b w:val="0"/>
                <w:i/>
                <w:iCs/>
                <w:sz w:val="16"/>
              </w:rPr>
            </w:pPr>
            <w:r w:rsidRPr="00E2319F">
              <w:rPr>
                <w:rFonts w:cs="Arial"/>
                <w:b w:val="0"/>
                <w:i/>
                <w:iCs/>
                <w:sz w:val="16"/>
              </w:rPr>
              <w:t>Fuente: Congreso de la República y Matriz de seguimiento a la agenda legislativa y demás asuntos normativos relevantes de la Oficina Asesora Jurídica.</w:t>
            </w:r>
          </w:p>
        </w:tc>
      </w:tr>
    </w:tbl>
    <w:p w:rsidR="00356E7A" w:rsidRPr="00E2319F" w:rsidRDefault="00356E7A" w:rsidP="00356E7A">
      <w:pPr>
        <w:spacing w:after="0" w:line="240" w:lineRule="auto"/>
        <w:jc w:val="center"/>
        <w:rPr>
          <w:rFonts w:cs="Arial"/>
          <w:b/>
          <w:sz w:val="20"/>
        </w:rPr>
      </w:pPr>
    </w:p>
    <w:p w:rsidR="00356E7A" w:rsidRPr="00966F2E" w:rsidRDefault="00356E7A" w:rsidP="00356E7A">
      <w:pPr>
        <w:rPr>
          <w:rFonts w:asciiTheme="minorHAnsi" w:hAnsiTheme="minorHAnsi" w:cstheme="minorHAnsi"/>
        </w:rPr>
      </w:pPr>
    </w:p>
    <w:sectPr w:rsidR="00356E7A" w:rsidRPr="00966F2E" w:rsidSect="00707A1C">
      <w:headerReference w:type="even" r:id="rId142"/>
      <w:headerReference w:type="default" r:id="rId143"/>
      <w:footerReference w:type="default" r:id="rId144"/>
      <w:headerReference w:type="first" r:id="rId145"/>
      <w:pgSz w:w="12240" w:h="15840" w:code="1"/>
      <w:pgMar w:top="2410" w:right="1134" w:bottom="1560" w:left="1701" w:header="1531" w:footer="9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0283" w:rsidRDefault="000E0283" w:rsidP="009B2507">
      <w:pPr>
        <w:spacing w:after="0" w:line="240" w:lineRule="auto"/>
      </w:pPr>
      <w:r>
        <w:separator/>
      </w:r>
    </w:p>
  </w:endnote>
  <w:endnote w:type="continuationSeparator" w:id="0">
    <w:p w:rsidR="000E0283" w:rsidRDefault="000E0283" w:rsidP="009B2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Utsaah">
    <w:altName w:val="Nirmala UI"/>
    <w:charset w:val="00"/>
    <w:family w:val="swiss"/>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Zurich B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font>
  <w:font w:name="Droid Sans">
    <w:altName w:val="Times New Roman"/>
    <w:charset w:val="00"/>
    <w:family w:val="auto"/>
    <w:pitch w:val="variable"/>
  </w:font>
  <w:font w:name="FreeSans">
    <w:altName w:val="Arial"/>
    <w:charset w:val="00"/>
    <w:family w:val="swiss"/>
    <w:pitch w:val="default"/>
  </w:font>
  <w:font w:name="Times">
    <w:panose1 w:val="0202060306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Yu Gothic"/>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DK Crayon Crumble">
    <w:charset w:val="00"/>
    <w:family w:val="roman"/>
    <w:pitch w:val="variable"/>
    <w:sig w:usb0="80000007" w:usb1="0000000A"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Futura Std">
    <w:altName w:val="Futura St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Grande">
    <w:altName w:val="Arial"/>
    <w:charset w:val="00"/>
    <w:family w:val="auto"/>
    <w:pitch w:val="variable"/>
    <w:sig w:usb0="E1000AEF" w:usb1="5000A1FF" w:usb2="00000000" w:usb3="00000000" w:csb0="000001BF" w:csb1="00000000"/>
  </w:font>
  <w:font w:name="MiRYAD">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935" w:rsidRDefault="006C2935" w:rsidP="000442E9">
    <w:pPr>
      <w:pBdr>
        <w:top w:val="single" w:sz="4" w:space="1" w:color="auto"/>
      </w:pBdr>
      <w:spacing w:after="0" w:line="240" w:lineRule="auto"/>
    </w:pPr>
    <w:r>
      <w:rPr>
        <w:noProof/>
        <w:lang w:val="es-CO" w:eastAsia="es-CO"/>
      </w:rPr>
      <w:drawing>
        <wp:anchor distT="0" distB="0" distL="114300" distR="114300" simplePos="0" relativeHeight="251664896" behindDoc="0" locked="0" layoutInCell="1" allowOverlap="1" wp14:anchorId="6A2C58C7" wp14:editId="6B1B74FA">
          <wp:simplePos x="0" y="0"/>
          <wp:positionH relativeFrom="column">
            <wp:posOffset>3401181</wp:posOffset>
          </wp:positionH>
          <wp:positionV relativeFrom="paragraph">
            <wp:posOffset>178403</wp:posOffset>
          </wp:positionV>
          <wp:extent cx="2267107" cy="406389"/>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7708" cy="411874"/>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CO" w:eastAsia="es-CO"/>
      </w:rPr>
      <mc:AlternateContent>
        <mc:Choice Requires="wps">
          <w:drawing>
            <wp:anchor distT="0" distB="0" distL="114300" distR="114300" simplePos="0" relativeHeight="251653632" behindDoc="0" locked="0" layoutInCell="1" allowOverlap="1" wp14:anchorId="703EA19C" wp14:editId="22E51D6B">
              <wp:simplePos x="0" y="0"/>
              <wp:positionH relativeFrom="column">
                <wp:posOffset>-128905</wp:posOffset>
              </wp:positionH>
              <wp:positionV relativeFrom="paragraph">
                <wp:posOffset>29210</wp:posOffset>
              </wp:positionV>
              <wp:extent cx="3385820" cy="700405"/>
              <wp:effectExtent l="0" t="0" r="5080" b="4445"/>
              <wp:wrapNone/>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700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935" w:rsidRPr="00240C30" w:rsidRDefault="006C2935" w:rsidP="00434ACA">
                          <w:pPr>
                            <w:spacing w:after="0" w:line="240" w:lineRule="auto"/>
                            <w:rPr>
                              <w:rFonts w:cs="Arial"/>
                              <w:sz w:val="20"/>
                            </w:rPr>
                          </w:pPr>
                          <w:r w:rsidRPr="00240C30">
                            <w:rPr>
                              <w:rFonts w:cs="Arial"/>
                              <w:sz w:val="20"/>
                            </w:rPr>
                            <w:t>Sede de la Dirección General</w:t>
                          </w:r>
                        </w:p>
                        <w:p w:rsidR="006C2935" w:rsidRPr="00240C30" w:rsidRDefault="006C2935" w:rsidP="00434ACA">
                          <w:pPr>
                            <w:spacing w:after="0" w:line="240" w:lineRule="auto"/>
                            <w:rPr>
                              <w:rFonts w:cs="Arial"/>
                              <w:color w:val="000000"/>
                              <w:sz w:val="20"/>
                            </w:rPr>
                          </w:pPr>
                          <w:r w:rsidRPr="00240C30">
                            <w:rPr>
                              <w:rFonts w:cs="Arial"/>
                              <w:color w:val="000000"/>
                              <w:sz w:val="20"/>
                            </w:rPr>
                            <w:t>Avenida carrera 68 No. 64c – 75. PBX: 437 76 30</w:t>
                          </w:r>
                        </w:p>
                        <w:p w:rsidR="006C2935" w:rsidRPr="00240C30" w:rsidRDefault="006C2935" w:rsidP="00434ACA">
                          <w:pPr>
                            <w:spacing w:after="0" w:line="240" w:lineRule="auto"/>
                            <w:rPr>
                              <w:rFonts w:cs="Arial"/>
                              <w:sz w:val="20"/>
                            </w:rPr>
                          </w:pPr>
                          <w:r w:rsidRPr="00240C30">
                            <w:rPr>
                              <w:rFonts w:cs="Arial"/>
                              <w:sz w:val="20"/>
                            </w:rPr>
                            <w:t>Línea gratuita nacional ICBF  01 8000 91 8080</w:t>
                          </w:r>
                        </w:p>
                        <w:p w:rsidR="006C2935" w:rsidRPr="009F369B" w:rsidRDefault="006C2935" w:rsidP="00240C30">
                          <w:pPr>
                            <w:spacing w:after="0" w:line="240" w:lineRule="auto"/>
                            <w:rPr>
                              <w:rFonts w:ascii="Times New Roman" w:hAnsi="Times New Roman"/>
                            </w:rPr>
                          </w:pPr>
                          <w:r>
                            <w:rPr>
                              <w:rFonts w:cs="Arial"/>
                              <w:sz w:val="20"/>
                            </w:rPr>
                            <w:t>www.icbf.gov.co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EA19C" id="_x0000_t202" coordsize="21600,21600" o:spt="202" path="m,l,21600r21600,l21600,xe">
              <v:stroke joinstyle="miter"/>
              <v:path gradientshapeok="t" o:connecttype="rect"/>
            </v:shapetype>
            <v:shape id="Text Box 17" o:spid="_x0000_s1031" type="#_x0000_t202" style="position:absolute;margin-left:-10.15pt;margin-top:2.3pt;width:266.6pt;height:55.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" stroked="f">
              <v:textbox>
                <w:txbxContent>
                  <w:p w:rsidR="006C2935" w:rsidRPr="00240C30" w:rsidRDefault="006C2935" w:rsidP="00434ACA">
                    <w:pPr>
                      <w:spacing w:after="0" w:line="240" w:lineRule="auto"/>
                      <w:rPr>
                        <w:rFonts w:cs="Arial"/>
                        <w:sz w:val="20"/>
                      </w:rPr>
                    </w:pPr>
                    <w:r w:rsidRPr="00240C30">
                      <w:rPr>
                        <w:rFonts w:cs="Arial"/>
                        <w:sz w:val="20"/>
                      </w:rPr>
                      <w:t>Sede de la Dirección General</w:t>
                    </w:r>
                  </w:p>
                  <w:p w:rsidR="006C2935" w:rsidRPr="00240C30" w:rsidRDefault="006C2935" w:rsidP="00434ACA">
                    <w:pPr>
                      <w:spacing w:after="0" w:line="240" w:lineRule="auto"/>
                      <w:rPr>
                        <w:rFonts w:cs="Arial"/>
                        <w:color w:val="000000"/>
                        <w:sz w:val="20"/>
                      </w:rPr>
                    </w:pPr>
                    <w:r w:rsidRPr="00240C30">
                      <w:rPr>
                        <w:rFonts w:cs="Arial"/>
                        <w:color w:val="000000"/>
                        <w:sz w:val="20"/>
                      </w:rPr>
                      <w:t>Avenida carrera 68 No. 64c – 75. PBX: 437 76 30</w:t>
                    </w:r>
                  </w:p>
                  <w:p w:rsidR="006C2935" w:rsidRPr="00240C30" w:rsidRDefault="006C2935" w:rsidP="00434ACA">
                    <w:pPr>
                      <w:spacing w:after="0" w:line="240" w:lineRule="auto"/>
                      <w:rPr>
                        <w:rFonts w:cs="Arial"/>
                        <w:sz w:val="20"/>
                      </w:rPr>
                    </w:pPr>
                    <w:r w:rsidRPr="00240C30">
                      <w:rPr>
                        <w:rFonts w:cs="Arial"/>
                        <w:sz w:val="20"/>
                      </w:rPr>
                      <w:t>Línea gratuita nacional ICBF  01 8000 91 8080</w:t>
                    </w:r>
                  </w:p>
                  <w:p w:rsidR="006C2935" w:rsidRPr="009F369B" w:rsidRDefault="006C2935" w:rsidP="00240C30">
                    <w:pPr>
                      <w:spacing w:after="0" w:line="240" w:lineRule="auto"/>
                      <w:rPr>
                        <w:rFonts w:ascii="Times New Roman" w:hAnsi="Times New Roman"/>
                      </w:rPr>
                    </w:pPr>
                    <w:r>
                      <w:rPr>
                        <w:rFonts w:cs="Arial"/>
                        <w:sz w:val="20"/>
                      </w:rPr>
                      <w:t>www.icbf.gov.co</w:t>
                    </w:r>
                  </w:p>
                </w:txbxContent>
              </v:textbox>
            </v:shape>
          </w:pict>
        </mc:Fallback>
      </mc:AlternateContent>
    </w:r>
  </w:p>
  <w:p w:rsidR="006C2935" w:rsidRDefault="006C2935" w:rsidP="00434ACA">
    <w:pPr>
      <w:spacing w:after="0" w:line="240" w:lineRule="auto"/>
    </w:pPr>
  </w:p>
  <w:p w:rsidR="006C2935" w:rsidRPr="00434ACA" w:rsidRDefault="006C2935" w:rsidP="00434A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0283" w:rsidRDefault="000E0283" w:rsidP="009B2507">
      <w:pPr>
        <w:spacing w:after="0" w:line="240" w:lineRule="auto"/>
      </w:pPr>
      <w:r>
        <w:separator/>
      </w:r>
    </w:p>
  </w:footnote>
  <w:footnote w:type="continuationSeparator" w:id="0">
    <w:p w:rsidR="000E0283" w:rsidRDefault="000E0283" w:rsidP="009B2507">
      <w:pPr>
        <w:spacing w:after="0" w:line="240" w:lineRule="auto"/>
      </w:pPr>
      <w:r>
        <w:continuationSeparator/>
      </w:r>
    </w:p>
  </w:footnote>
  <w:footnote w:id="1">
    <w:p w:rsidR="006C2935" w:rsidRPr="00673AB3" w:rsidRDefault="006C2935" w:rsidP="005129EB">
      <w:pPr>
        <w:pStyle w:val="Textonotapie"/>
        <w:rPr>
          <w:rFonts w:ascii="Arial" w:hAnsi="Arial" w:cs="Arial"/>
          <w:sz w:val="14"/>
          <w:szCs w:val="14"/>
        </w:rPr>
      </w:pPr>
      <w:r w:rsidRPr="00673AB3">
        <w:rPr>
          <w:rStyle w:val="Refdenotaalpie"/>
          <w:rFonts w:ascii="Arial" w:hAnsi="Arial" w:cs="Arial"/>
          <w:sz w:val="14"/>
          <w:szCs w:val="14"/>
        </w:rPr>
        <w:footnoteRef/>
      </w:r>
      <w:r w:rsidRPr="00673AB3">
        <w:rPr>
          <w:rFonts w:ascii="Arial" w:hAnsi="Arial" w:cs="Arial"/>
          <w:sz w:val="14"/>
          <w:szCs w:val="14"/>
        </w:rPr>
        <w:t xml:space="preserve"> Regionales con saldo de Reserva Presupuestal al 31 de diciembre de 2017</w:t>
      </w:r>
    </w:p>
  </w:footnote>
  <w:footnote w:id="2">
    <w:p w:rsidR="006C2935" w:rsidRPr="00ED7FD2" w:rsidRDefault="006C2935" w:rsidP="000D29F3">
      <w:pPr>
        <w:pStyle w:val="Textonotapie"/>
        <w:rPr>
          <w:rFonts w:ascii="Arial" w:hAnsi="Arial" w:cs="Arial"/>
          <w:sz w:val="14"/>
          <w:szCs w:val="14"/>
        </w:rPr>
      </w:pPr>
      <w:r w:rsidRPr="00ED7FD2">
        <w:rPr>
          <w:rStyle w:val="Refdenotaalpie"/>
          <w:rFonts w:ascii="Arial" w:hAnsi="Arial" w:cs="Arial"/>
          <w:sz w:val="14"/>
          <w:szCs w:val="14"/>
        </w:rPr>
        <w:footnoteRef/>
      </w:r>
      <w:r w:rsidRPr="00ED7FD2">
        <w:rPr>
          <w:rFonts w:ascii="Arial" w:hAnsi="Arial" w:cs="Arial"/>
          <w:sz w:val="14"/>
          <w:szCs w:val="14"/>
        </w:rPr>
        <w:t>SIM: Sistema de Información Misional</w:t>
      </w:r>
    </w:p>
  </w:footnote>
  <w:footnote w:id="3">
    <w:p w:rsidR="006C2935" w:rsidRPr="00AE4FDA" w:rsidRDefault="006C2935" w:rsidP="000D29F3">
      <w:pPr>
        <w:pStyle w:val="Textonotapie"/>
        <w:jc w:val="both"/>
        <w:rPr>
          <w:rFonts w:ascii="Arial" w:hAnsi="Arial" w:cs="Arial"/>
          <w:color w:val="FF0000"/>
          <w:sz w:val="14"/>
          <w:szCs w:val="14"/>
        </w:rPr>
      </w:pPr>
      <w:r w:rsidRPr="00DA6284">
        <w:rPr>
          <w:rStyle w:val="Refdenotaalpie"/>
          <w:rFonts w:ascii="Arial" w:hAnsi="Arial" w:cs="Arial"/>
          <w:sz w:val="14"/>
          <w:szCs w:val="14"/>
        </w:rPr>
        <w:footnoteRef/>
      </w:r>
      <w:r w:rsidRPr="00DA6284">
        <w:rPr>
          <w:rFonts w:ascii="Arial" w:hAnsi="Arial" w:cs="Arial"/>
          <w:sz w:val="14"/>
          <w:szCs w:val="14"/>
        </w:rPr>
        <w:t xml:space="preserve"> Las cifras reportadas corresponden al reporte preliminar de Metas sociales y financieras, corte diciembre 2017. </w:t>
      </w:r>
    </w:p>
  </w:footnote>
  <w:footnote w:id="4">
    <w:p w:rsidR="006C2935" w:rsidRPr="003E1AA4" w:rsidRDefault="006C2935" w:rsidP="000D29F3">
      <w:pPr>
        <w:pStyle w:val="Textonotapie"/>
        <w:jc w:val="both"/>
        <w:rPr>
          <w:rFonts w:ascii="Arial" w:hAnsi="Arial" w:cs="Arial"/>
          <w:sz w:val="14"/>
          <w:szCs w:val="14"/>
        </w:rPr>
      </w:pPr>
      <w:r w:rsidRPr="003E1AA4">
        <w:rPr>
          <w:rStyle w:val="Refdenotaalpie"/>
          <w:rFonts w:ascii="Arial" w:hAnsi="Arial" w:cs="Arial"/>
          <w:sz w:val="14"/>
          <w:szCs w:val="14"/>
        </w:rPr>
        <w:footnoteRef/>
      </w:r>
      <w:r w:rsidRPr="003E1AA4">
        <w:rPr>
          <w:rFonts w:ascii="Arial" w:hAnsi="Arial" w:cs="Arial"/>
          <w:sz w:val="14"/>
          <w:szCs w:val="14"/>
        </w:rPr>
        <w:t xml:space="preserve"> Las cifras reportadas corresponden a la tercera toma del 2017, en el Sistema de Seguimiento Nutricional de los Servicios de Primera Infancia. </w:t>
      </w:r>
    </w:p>
  </w:footnote>
  <w:footnote w:id="5">
    <w:p w:rsidR="006C2935" w:rsidRPr="00DA0BEE" w:rsidRDefault="006C2935" w:rsidP="000D29F3">
      <w:pPr>
        <w:pStyle w:val="Textonotapie"/>
        <w:jc w:val="both"/>
        <w:rPr>
          <w:rFonts w:ascii="Arial" w:hAnsi="Arial" w:cs="Arial"/>
          <w:sz w:val="16"/>
          <w:szCs w:val="18"/>
        </w:rPr>
      </w:pPr>
      <w:r w:rsidRPr="000C383E">
        <w:rPr>
          <w:rStyle w:val="Refdenotaalpie"/>
          <w:rFonts w:ascii="Arial" w:hAnsi="Arial" w:cs="Arial"/>
          <w:sz w:val="18"/>
          <w:szCs w:val="18"/>
        </w:rPr>
        <w:footnoteRef/>
      </w:r>
      <w:r w:rsidRPr="000C383E">
        <w:rPr>
          <w:rFonts w:ascii="Arial" w:hAnsi="Arial" w:cs="Arial"/>
          <w:sz w:val="18"/>
          <w:szCs w:val="18"/>
        </w:rPr>
        <w:t xml:space="preserve"> </w:t>
      </w:r>
      <w:r w:rsidRPr="00DA0BEE">
        <w:rPr>
          <w:rFonts w:ascii="Arial" w:hAnsi="Arial" w:cs="Arial"/>
          <w:sz w:val="16"/>
          <w:szCs w:val="18"/>
        </w:rPr>
        <w:t>Lo distribuido</w:t>
      </w:r>
      <w:r>
        <w:rPr>
          <w:rFonts w:ascii="Arial" w:hAnsi="Arial" w:cs="Arial"/>
          <w:sz w:val="16"/>
          <w:szCs w:val="18"/>
        </w:rPr>
        <w:t xml:space="preserve"> es mayor a lo producido porque en la </w:t>
      </w:r>
      <w:r w:rsidRPr="00DA0BEE">
        <w:rPr>
          <w:rFonts w:ascii="Arial" w:hAnsi="Arial" w:cs="Arial"/>
          <w:sz w:val="16"/>
          <w:szCs w:val="18"/>
        </w:rPr>
        <w:t xml:space="preserve">vigencia </w:t>
      </w:r>
      <w:r>
        <w:rPr>
          <w:rFonts w:ascii="Arial" w:hAnsi="Arial" w:cs="Arial"/>
          <w:sz w:val="16"/>
          <w:szCs w:val="18"/>
        </w:rPr>
        <w:t>se inició con unos inventarios de Alimentos de Alto Valor Nutricional.</w:t>
      </w:r>
    </w:p>
  </w:footnote>
  <w:footnote w:id="6">
    <w:p w:rsidR="006C2935" w:rsidRPr="00B00CC8" w:rsidRDefault="006C2935" w:rsidP="000D29F3">
      <w:pPr>
        <w:pStyle w:val="Textonotapie"/>
        <w:jc w:val="both"/>
        <w:rPr>
          <w:rFonts w:ascii="Arial" w:hAnsi="Arial" w:cs="Arial"/>
          <w:sz w:val="14"/>
          <w:szCs w:val="14"/>
        </w:rPr>
      </w:pPr>
      <w:r w:rsidRPr="00B00CC8">
        <w:rPr>
          <w:rStyle w:val="Refdenotaalpie"/>
          <w:rFonts w:ascii="Arial" w:hAnsi="Arial" w:cs="Arial"/>
          <w:sz w:val="14"/>
          <w:szCs w:val="14"/>
        </w:rPr>
        <w:footnoteRef/>
      </w:r>
      <w:r w:rsidRPr="00B00CC8">
        <w:rPr>
          <w:rFonts w:ascii="Arial" w:hAnsi="Arial" w:cs="Arial"/>
          <w:sz w:val="14"/>
          <w:szCs w:val="14"/>
        </w:rPr>
        <w:t xml:space="preserve"> Lo producido es mayor a lo distribuido porque en la vigencia se finalizó con unos inventarios de Alimentos de Alto Valor Nutricional.</w:t>
      </w:r>
    </w:p>
  </w:footnote>
  <w:footnote w:id="7">
    <w:p w:rsidR="006C2935" w:rsidRPr="00B00CC8" w:rsidRDefault="006C2935" w:rsidP="000D29F3">
      <w:pPr>
        <w:pStyle w:val="Textonotapie"/>
        <w:rPr>
          <w:rFonts w:ascii="Arial" w:hAnsi="Arial" w:cs="Arial"/>
          <w:sz w:val="14"/>
          <w:szCs w:val="14"/>
        </w:rPr>
      </w:pPr>
      <w:r w:rsidRPr="00B00CC8">
        <w:rPr>
          <w:rStyle w:val="Refdenotaalpie"/>
          <w:rFonts w:ascii="Arial" w:hAnsi="Arial" w:cs="Arial"/>
          <w:sz w:val="14"/>
          <w:szCs w:val="14"/>
        </w:rPr>
        <w:footnoteRef/>
      </w:r>
      <w:r w:rsidRPr="00B00CC8">
        <w:rPr>
          <w:rFonts w:ascii="Arial" w:hAnsi="Arial" w:cs="Arial"/>
          <w:sz w:val="14"/>
          <w:szCs w:val="14"/>
        </w:rPr>
        <w:t xml:space="preserve"> Lo producido es mayor a lo distribuido porque en la vigencia se finalizó con unos inventarios de Alimentos de Alto Valor Nutricional.</w:t>
      </w:r>
    </w:p>
  </w:footnote>
  <w:footnote w:id="8">
    <w:p w:rsidR="006C2935" w:rsidRPr="00030413" w:rsidRDefault="006C2935" w:rsidP="008819AE">
      <w:pPr>
        <w:spacing w:after="0"/>
        <w:jc w:val="both"/>
        <w:rPr>
          <w:rFonts w:cs="Arial"/>
          <w:sz w:val="14"/>
          <w:szCs w:val="14"/>
        </w:rPr>
      </w:pPr>
      <w:r w:rsidRPr="00030413">
        <w:rPr>
          <w:rFonts w:cs="Arial"/>
          <w:sz w:val="14"/>
          <w:szCs w:val="14"/>
        </w:rPr>
        <w:footnoteRef/>
      </w:r>
      <w:r w:rsidRPr="00030413">
        <w:rPr>
          <w:rFonts w:cs="Arial"/>
          <w:sz w:val="14"/>
          <w:szCs w:val="14"/>
        </w:rPr>
        <w:t xml:space="preserve"> Pacto Internacional de Derechos Civiles y Políticos (1966), Pacto Internacional de Derechos Económicos, Sociales y Culturales (1966), Convención Interamericana de Derechos Humanos, el Pacto de San José (1969), la Convención sobre los Derechos del Niño (1989), Convención de los Derechos de las Personas con Discapacidad (2006).</w:t>
      </w:r>
    </w:p>
  </w:footnote>
  <w:footnote w:id="9">
    <w:p w:rsidR="006C2935" w:rsidRPr="00030413" w:rsidRDefault="006C2935" w:rsidP="008819AE">
      <w:pPr>
        <w:spacing w:after="0"/>
        <w:jc w:val="both"/>
        <w:rPr>
          <w:rFonts w:cs="Arial"/>
          <w:sz w:val="14"/>
          <w:szCs w:val="14"/>
        </w:rPr>
      </w:pPr>
      <w:r w:rsidRPr="00030413">
        <w:rPr>
          <w:rFonts w:cs="Arial"/>
          <w:sz w:val="14"/>
          <w:szCs w:val="14"/>
        </w:rPr>
        <w:footnoteRef/>
      </w:r>
      <w:r w:rsidRPr="00030413">
        <w:rPr>
          <w:rFonts w:cs="Arial"/>
          <w:sz w:val="14"/>
          <w:szCs w:val="14"/>
        </w:rPr>
        <w:t xml:space="preserve"> Convenio de La Haya sobre los Aspectos Civiles de la Sustracción Internacional de Menores, la Convención Interamericana sobre Restitución Internacional de Menores, La Convención Sobre la Obtención de Alimentos en el Extranjero suscrito en New York el 20 de Junio de 1956, aprobada mediante la Ley 471 de 1.998; la Convención Interamericana Sobre Obligaciones Alimentarias, aprobada mediante la Ley 449 de1998; y la Convención de Viena sobre Relaciones Consulares aprobada mediante la Ley 17 de 1971.</w:t>
      </w:r>
    </w:p>
  </w:footnote>
  <w:footnote w:id="10">
    <w:p w:rsidR="006C2935" w:rsidRPr="00030413" w:rsidRDefault="006C2935" w:rsidP="008819AE">
      <w:pPr>
        <w:spacing w:after="0"/>
        <w:jc w:val="both"/>
        <w:rPr>
          <w:rFonts w:cs="Arial"/>
          <w:sz w:val="14"/>
          <w:szCs w:val="14"/>
        </w:rPr>
      </w:pPr>
      <w:r w:rsidRPr="00030413">
        <w:rPr>
          <w:rFonts w:cs="Arial"/>
          <w:sz w:val="14"/>
          <w:szCs w:val="14"/>
        </w:rPr>
        <w:footnoteRef/>
      </w:r>
      <w:r w:rsidRPr="00030413">
        <w:rPr>
          <w:rFonts w:cs="Arial"/>
          <w:sz w:val="14"/>
          <w:szCs w:val="14"/>
        </w:rPr>
        <w:t xml:space="preserve"> La Declaración Universal de los Derechos Humanos (1948), la Declaración de los Derechos del Niño de (1959), el las Reglas de Naciones Unidas para la Administración de Justicia – Reglas de Beijing (1990), las Reglas de Naciones Unidas para la Prevención de la Delincuencia Juvenil – Reglas de Riad (1990), las Reglas de Naciones Unidas sobre las Medidas no Privativas de Libertad – Reglas de Tokio (1990), las Reglas de Naciones Unidas para la Protección de Menores Privados de la Libertad – Reglas de La Habana (1990).</w:t>
      </w:r>
    </w:p>
  </w:footnote>
  <w:footnote w:id="11">
    <w:p w:rsidR="006C2935" w:rsidRPr="00163971" w:rsidRDefault="006C2935" w:rsidP="008819AE">
      <w:pPr>
        <w:spacing w:after="0"/>
        <w:jc w:val="both"/>
        <w:rPr>
          <w:rFonts w:asciiTheme="minorHAnsi" w:hAnsiTheme="minorHAnsi" w:cstheme="minorHAnsi"/>
          <w:sz w:val="16"/>
          <w:szCs w:val="16"/>
        </w:rPr>
      </w:pPr>
      <w:r w:rsidRPr="00030413">
        <w:rPr>
          <w:rFonts w:cs="Arial"/>
          <w:sz w:val="14"/>
          <w:szCs w:val="14"/>
        </w:rPr>
        <w:footnoteRef/>
      </w:r>
      <w:r w:rsidRPr="00030413">
        <w:rPr>
          <w:rFonts w:cs="Arial"/>
          <w:sz w:val="14"/>
          <w:szCs w:val="14"/>
        </w:rPr>
        <w:t xml:space="preserve"> Constitución Política Colombiana y el Código de Infancia y Adolescencia, en especial el capítulo II.</w:t>
      </w:r>
    </w:p>
  </w:footnote>
  <w:footnote w:id="12">
    <w:p w:rsidR="006C2935" w:rsidRPr="00163971" w:rsidRDefault="006C2935" w:rsidP="008819AE">
      <w:pPr>
        <w:spacing w:after="0"/>
        <w:jc w:val="both"/>
        <w:rPr>
          <w:rFonts w:asciiTheme="minorHAnsi" w:hAnsiTheme="minorHAnsi"/>
          <w:sz w:val="16"/>
          <w:szCs w:val="16"/>
        </w:rPr>
      </w:pPr>
      <w:r w:rsidRPr="00163971">
        <w:rPr>
          <w:rFonts w:asciiTheme="minorHAnsi" w:hAnsiTheme="minorHAnsi"/>
          <w:sz w:val="16"/>
          <w:szCs w:val="16"/>
        </w:rPr>
        <w:footnoteRef/>
      </w:r>
      <w:r w:rsidRPr="00163971">
        <w:rPr>
          <w:rFonts w:asciiTheme="minorHAnsi" w:hAnsiTheme="minorHAnsi"/>
          <w:sz w:val="16"/>
          <w:szCs w:val="16"/>
        </w:rPr>
        <w:t xml:space="preserve"> Resolución No. 9313 del 12 de septiembre de 2016</w:t>
      </w:r>
    </w:p>
  </w:footnote>
  <w:footnote w:id="13">
    <w:p w:rsidR="006C2935" w:rsidRPr="001C39BB" w:rsidRDefault="006C2935" w:rsidP="008819AE">
      <w:pPr>
        <w:pStyle w:val="Textonotapie"/>
        <w:jc w:val="both"/>
        <w:rPr>
          <w:rFonts w:ascii="Arial" w:hAnsi="Arial" w:cs="Arial"/>
          <w:sz w:val="14"/>
          <w:szCs w:val="14"/>
        </w:rPr>
      </w:pPr>
      <w:r w:rsidRPr="001C39BB">
        <w:rPr>
          <w:rStyle w:val="Refdenotaalpie"/>
          <w:rFonts w:ascii="Arial" w:hAnsi="Arial" w:cs="Arial"/>
          <w:sz w:val="14"/>
          <w:szCs w:val="14"/>
        </w:rPr>
        <w:footnoteRef/>
      </w:r>
      <w:r w:rsidRPr="001C39BB">
        <w:rPr>
          <w:rFonts w:ascii="Arial" w:hAnsi="Arial" w:cs="Arial"/>
          <w:sz w:val="14"/>
          <w:szCs w:val="14"/>
        </w:rPr>
        <w:t xml:space="preserve"> De conformidad con lo establecido en los artículos 57 y 70 de la Ley 1306 de 2009, corresponde al Instituto Colombiano de Bienestar Familiar – ICBF seleccionar mediante la modalidad de licitación pública una Sociedad Fiduciaria que administre los bienes de las personas declaradas en interdicción judicial por discapacidad mental absoluta, cuyo patrimonio exceda de mil (1.000) salarios mínimos mensuales legales vigentes (SMMLV), y que sean puestos a disposición del curador por parte del Juez que declare la condición de discapacidad mental. Señala la ley, que el mismo procedimiento se utilizará en casos de patrimonios inferiores a mil (1.000) SMMLV cuando, a juicio del Juez, la complejidad de los asuntos así lo amerite.</w:t>
      </w:r>
    </w:p>
  </w:footnote>
  <w:footnote w:id="14">
    <w:p w:rsidR="006C2935" w:rsidRPr="00163971" w:rsidRDefault="006C2935" w:rsidP="008819AE">
      <w:pPr>
        <w:spacing w:after="0"/>
        <w:jc w:val="both"/>
        <w:rPr>
          <w:rFonts w:asciiTheme="minorHAnsi" w:hAnsiTheme="minorHAnsi"/>
          <w:sz w:val="16"/>
          <w:szCs w:val="16"/>
        </w:rPr>
      </w:pPr>
      <w:r w:rsidRPr="007D68E7">
        <w:rPr>
          <w:rFonts w:cs="Arial"/>
          <w:sz w:val="14"/>
          <w:szCs w:val="14"/>
        </w:rPr>
        <w:footnoteRef/>
      </w:r>
      <w:r w:rsidRPr="007D68E7">
        <w:rPr>
          <w:rFonts w:cs="Arial"/>
          <w:sz w:val="14"/>
          <w:szCs w:val="14"/>
        </w:rPr>
        <w:t xml:space="preserve"> Línea 1: Estrategias Generales de Prevención que incluye actividades de: Acciones de Comunicación, Movilización social, Sensibilización, Formación. Todas orientadas a la prevención de la explotación sexual de niños, niñas y adolescentes, con enfoque nacional, regional y local. Línea 2: Diseño e implementación de un protocolo de actuación para la repatriación de niños, niñas y adolescentes víctimas de explotación sexual, para Consulados, </w:t>
      </w:r>
      <w:r w:rsidRPr="006B2D87">
        <w:rPr>
          <w:rFonts w:cs="Arial"/>
          <w:sz w:val="14"/>
          <w:szCs w:val="14"/>
        </w:rPr>
        <w:t>Autoridades Migratorias, Autoridades Administrativas, incluido el proceso de monitoreo y evaluación del protocolo. Línea 3: Diseño e implementación de un modelo de atención integral para la atención intersectorial a los niños, niñas y adolescentes víctimas de explotación sexual, incluidas las fases de concertación y establecimiento de compromisos con los sectores que tienen responsabilidad en la atención de la Violencia Sexual y los aspectos administrativos, logísticos y técnicos para la unidad de servicio o centro especializado donde se implementará el proyecto piloto del modelo; adicionalmente se realizará el proceso de monitoreo y evaluación del mismo. Línea 4: Promover la gestión del conocimiento a través de investigaciones y estudios de la dinámica y el fenómeno de la explotación y/o violencia sexual contra los niños, niñas y adolescentes, tanto en el ámbito nacional como territorial</w:t>
      </w:r>
    </w:p>
  </w:footnote>
  <w:footnote w:id="15">
    <w:p w:rsidR="006C2935" w:rsidRPr="00163971" w:rsidRDefault="006C2935" w:rsidP="008819AE">
      <w:pPr>
        <w:spacing w:after="0"/>
        <w:rPr>
          <w:rFonts w:asciiTheme="minorHAnsi" w:hAnsiTheme="minorHAnsi"/>
          <w:sz w:val="16"/>
          <w:szCs w:val="16"/>
        </w:rPr>
      </w:pPr>
      <w:r w:rsidRPr="00163971">
        <w:rPr>
          <w:rFonts w:asciiTheme="minorHAnsi" w:hAnsiTheme="minorHAnsi"/>
          <w:sz w:val="16"/>
          <w:szCs w:val="16"/>
        </w:rPr>
        <w:footnoteRef/>
      </w:r>
      <w:r w:rsidRPr="00163971">
        <w:rPr>
          <w:rFonts w:asciiTheme="minorHAnsi" w:hAnsiTheme="minorHAnsi"/>
          <w:sz w:val="16"/>
          <w:szCs w:val="16"/>
        </w:rPr>
        <w:t xml:space="preserve"> Convenio 1412 OIM-ICBF del julio 26 de 2016.</w:t>
      </w:r>
    </w:p>
  </w:footnote>
  <w:footnote w:id="16">
    <w:p w:rsidR="006C2935" w:rsidRPr="00E14FAF" w:rsidRDefault="006C2935" w:rsidP="008819AE">
      <w:pPr>
        <w:spacing w:after="0"/>
        <w:jc w:val="both"/>
        <w:rPr>
          <w:rFonts w:cs="Arial"/>
          <w:sz w:val="14"/>
          <w:szCs w:val="14"/>
        </w:rPr>
      </w:pPr>
      <w:r w:rsidRPr="00E14FAF">
        <w:rPr>
          <w:rFonts w:cs="Arial"/>
          <w:sz w:val="14"/>
          <w:szCs w:val="14"/>
        </w:rPr>
        <w:footnoteRef/>
      </w:r>
      <w:r w:rsidRPr="00E14FAF">
        <w:rPr>
          <w:rFonts w:cs="Arial"/>
          <w:sz w:val="14"/>
          <w:szCs w:val="14"/>
        </w:rPr>
        <w:t xml:space="preserve"> Por adoptables se entenderá que: Conforme la Ley 1098 de 2006 arts. 63, 66, 73, los niños, niñas y adolescentes son adoptables, cuando: (i) Son declarados en situación de adoptabilidad por el Defensor de Familia o por el Juez de Familia cuando el primero pierde competencia, (ii) La adopción haya sido consentida previamente por parte de quienes ejercen la patria potestad ante el Defensor de Familia y queda en firme una vez ha transcurrido el término ordenado en la ley; (iii) La adopción es autorizada por el Defensor de Familia.</w:t>
      </w:r>
    </w:p>
  </w:footnote>
  <w:footnote w:id="17">
    <w:p w:rsidR="006C2935" w:rsidRPr="00AC0D43" w:rsidRDefault="006C2935" w:rsidP="008819AE">
      <w:pPr>
        <w:spacing w:after="0"/>
        <w:jc w:val="both"/>
        <w:rPr>
          <w:rFonts w:cs="Arial"/>
          <w:sz w:val="14"/>
          <w:szCs w:val="14"/>
        </w:rPr>
      </w:pPr>
      <w:r w:rsidRPr="00AC0D43">
        <w:rPr>
          <w:rFonts w:cs="Arial"/>
          <w:sz w:val="14"/>
          <w:szCs w:val="14"/>
        </w:rPr>
        <w:footnoteRef/>
      </w:r>
      <w:r w:rsidRPr="00AC0D43">
        <w:rPr>
          <w:rFonts w:cs="Arial"/>
          <w:sz w:val="14"/>
          <w:szCs w:val="14"/>
        </w:rPr>
        <w:t xml:space="preserve"> Por adoptables se entenderá que: Conforme la Ley 1098 de 2006 arts. 63, 66, 73, los niños, niñas y adolescentes son adoptables, cuando: (i) Son declarados en situación de adoptabilidad por el Defensor de Familia o por el Juez de Familia cuando el primero pierde competencia, (ii) La adopción haya sido consentida previamente por parte de quienes ejercen la patria potestad ante el Defensor de Familia y queda en firme una vez ha transcurrido el término ordenado en la ley; (iii) La adopción es autorizada por el Defensor de Familia.</w:t>
      </w:r>
    </w:p>
  </w:footnote>
  <w:footnote w:id="18">
    <w:p w:rsidR="006C2935" w:rsidRPr="001C3A4E" w:rsidRDefault="006C2935">
      <w:pPr>
        <w:pStyle w:val="Textonotapie"/>
        <w:rPr>
          <w:rFonts w:ascii="Arial" w:hAnsi="Arial" w:cs="Arial"/>
          <w:sz w:val="14"/>
          <w:szCs w:val="14"/>
        </w:rPr>
      </w:pPr>
      <w:r w:rsidRPr="001C3A4E">
        <w:rPr>
          <w:rStyle w:val="Refdenotaalpie"/>
          <w:rFonts w:ascii="Arial" w:hAnsi="Arial" w:cs="Arial"/>
          <w:sz w:val="14"/>
          <w:szCs w:val="14"/>
        </w:rPr>
        <w:footnoteRef/>
      </w:r>
      <w:r w:rsidRPr="001C3A4E">
        <w:rPr>
          <w:rFonts w:ascii="Arial" w:hAnsi="Arial" w:cs="Arial"/>
          <w:sz w:val="14"/>
          <w:szCs w:val="14"/>
        </w:rPr>
        <w:t xml:space="preserve"> Componente a cargo de la Subdirección General del ICBF</w:t>
      </w:r>
    </w:p>
  </w:footnote>
  <w:footnote w:id="19">
    <w:p w:rsidR="006C2935" w:rsidRPr="003E1AA4" w:rsidRDefault="006C2935" w:rsidP="00D46B4D">
      <w:pPr>
        <w:pStyle w:val="Textonotapie"/>
        <w:rPr>
          <w:rFonts w:ascii="Calibri Light" w:hAnsi="Calibri Light"/>
          <w:sz w:val="14"/>
          <w:szCs w:val="14"/>
        </w:rPr>
      </w:pPr>
      <w:r w:rsidRPr="001C3A4E">
        <w:rPr>
          <w:rStyle w:val="Refdenotaalpie"/>
          <w:rFonts w:ascii="Arial" w:hAnsi="Arial" w:cs="Arial"/>
          <w:sz w:val="14"/>
          <w:szCs w:val="14"/>
        </w:rPr>
        <w:footnoteRef/>
      </w:r>
      <w:r w:rsidRPr="001C3A4E">
        <w:rPr>
          <w:rFonts w:ascii="Arial" w:hAnsi="Arial" w:cs="Arial"/>
          <w:sz w:val="14"/>
          <w:szCs w:val="14"/>
        </w:rPr>
        <w:t xml:space="preserve"> </w:t>
      </w:r>
      <w:r w:rsidRPr="001C3A4E">
        <w:rPr>
          <w:rFonts w:ascii="Arial" w:hAnsi="Arial" w:cs="Arial"/>
          <w:sz w:val="14"/>
          <w:szCs w:val="14"/>
          <w:lang w:eastAsia="es-CO"/>
        </w:rPr>
        <w:t>A las dos últimas actividades asisten delegados de las áreas misionales y de apoyo del ICBF, así como del SNBF.</w:t>
      </w:r>
    </w:p>
  </w:footnote>
  <w:footnote w:id="20">
    <w:p w:rsidR="006C2935" w:rsidRPr="004E21F6" w:rsidRDefault="006C2935" w:rsidP="00D46B4D">
      <w:pPr>
        <w:pStyle w:val="Textonotapie"/>
        <w:rPr>
          <w:rFonts w:ascii="Arial" w:hAnsi="Arial" w:cs="Arial"/>
          <w:sz w:val="14"/>
          <w:szCs w:val="14"/>
          <w:lang w:val="es-ES"/>
        </w:rPr>
      </w:pPr>
      <w:r w:rsidRPr="004E21F6">
        <w:rPr>
          <w:rStyle w:val="Refdenotaalpie"/>
          <w:rFonts w:ascii="Arial" w:hAnsi="Arial" w:cs="Arial"/>
          <w:sz w:val="14"/>
          <w:szCs w:val="14"/>
        </w:rPr>
        <w:footnoteRef/>
      </w:r>
      <w:r w:rsidRPr="004E21F6">
        <w:rPr>
          <w:rFonts w:ascii="Arial" w:hAnsi="Arial" w:cs="Arial"/>
          <w:sz w:val="14"/>
          <w:szCs w:val="14"/>
        </w:rPr>
        <w:t xml:space="preserve"> </w:t>
      </w:r>
      <w:r w:rsidRPr="004E21F6">
        <w:rPr>
          <w:rFonts w:ascii="Arial" w:hAnsi="Arial" w:cs="Arial"/>
          <w:sz w:val="14"/>
          <w:szCs w:val="14"/>
          <w:lang w:val="es-ES"/>
        </w:rPr>
        <w:t>Información suministrada por la Dirección Regional Guajira.</w:t>
      </w:r>
    </w:p>
  </w:footnote>
  <w:footnote w:id="21">
    <w:p w:rsidR="006C2935" w:rsidRPr="003A2FFC" w:rsidRDefault="006C2935" w:rsidP="00D46B4D">
      <w:pPr>
        <w:pStyle w:val="Textonotapie"/>
        <w:rPr>
          <w:rFonts w:ascii="Arial" w:hAnsi="Arial" w:cs="Arial"/>
          <w:sz w:val="16"/>
          <w:szCs w:val="16"/>
        </w:rPr>
      </w:pPr>
      <w:r w:rsidRPr="003A2FFC">
        <w:rPr>
          <w:rStyle w:val="Refdenotaalpie"/>
          <w:rFonts w:ascii="Arial" w:hAnsi="Arial" w:cs="Arial"/>
          <w:sz w:val="16"/>
          <w:szCs w:val="16"/>
        </w:rPr>
        <w:footnoteRef/>
      </w:r>
      <w:r w:rsidRPr="003A2FFC">
        <w:rPr>
          <w:rFonts w:ascii="Arial" w:hAnsi="Arial" w:cs="Arial"/>
          <w:sz w:val="16"/>
          <w:szCs w:val="16"/>
        </w:rPr>
        <w:t xml:space="preserve"> De las 90 familias atendidas 20 se reconocen como Wayúu. (1 familia en Barrancas, 1 familia en Distracción, 1 familia en Fonseca, 2 familias en Maicao, 4 familias en Manaure, 6 familias en Riohacha y 5 en Uribia).</w:t>
      </w:r>
    </w:p>
  </w:footnote>
  <w:footnote w:id="22">
    <w:p w:rsidR="006C2935" w:rsidRPr="003E1AA4" w:rsidRDefault="006C2935" w:rsidP="002C1391">
      <w:pPr>
        <w:pStyle w:val="Textonotapie"/>
        <w:jc w:val="both"/>
        <w:rPr>
          <w:rFonts w:ascii="Arial" w:hAnsi="Arial" w:cs="Arial"/>
          <w:sz w:val="14"/>
          <w:szCs w:val="14"/>
        </w:rPr>
      </w:pPr>
      <w:r w:rsidRPr="003E1AA4">
        <w:rPr>
          <w:rStyle w:val="Refdenotaalpie"/>
          <w:rFonts w:ascii="Arial" w:hAnsi="Arial" w:cs="Arial"/>
          <w:sz w:val="14"/>
          <w:szCs w:val="14"/>
        </w:rPr>
        <w:footnoteRef/>
      </w:r>
      <w:r w:rsidRPr="003E1AA4">
        <w:rPr>
          <w:rFonts w:ascii="Arial" w:hAnsi="Arial" w:cs="Arial"/>
          <w:sz w:val="14"/>
          <w:szCs w:val="14"/>
        </w:rPr>
        <w:t xml:space="preserve"> Esta actividad se enmarca en la facultad de Inspección, Vigilancia y Control otorgada por el artículo 16 de la Ley 1098 de 2006.</w:t>
      </w:r>
    </w:p>
  </w:footnote>
  <w:footnote w:id="23">
    <w:p w:rsidR="006C2935" w:rsidRPr="00BE6A16" w:rsidRDefault="006C2935" w:rsidP="00F26175">
      <w:pPr>
        <w:pStyle w:val="Textonotapie"/>
        <w:rPr>
          <w:rFonts w:ascii="Arial" w:hAnsi="Arial" w:cs="Arial"/>
          <w:sz w:val="14"/>
          <w:szCs w:val="14"/>
        </w:rPr>
      </w:pPr>
      <w:r w:rsidRPr="00BE6A16">
        <w:rPr>
          <w:rStyle w:val="Refdenotaalpie"/>
          <w:rFonts w:ascii="Arial" w:hAnsi="Arial" w:cs="Arial"/>
          <w:sz w:val="14"/>
          <w:szCs w:val="14"/>
        </w:rPr>
        <w:footnoteRef/>
      </w:r>
      <w:r w:rsidRPr="00BE6A16">
        <w:rPr>
          <w:rFonts w:ascii="Arial" w:hAnsi="Arial" w:cs="Arial"/>
          <w:sz w:val="14"/>
          <w:szCs w:val="14"/>
        </w:rPr>
        <w:t xml:space="preserve"> Procedimiento de Actualización de Información del Portafolio Web: </w:t>
      </w:r>
      <w:hyperlink r:id="rId1" w:history="1">
        <w:r w:rsidRPr="00BE6A16">
          <w:rPr>
            <w:rStyle w:val="Hipervnculo"/>
            <w:rFonts w:ascii="Arial" w:hAnsi="Arial" w:cs="Arial"/>
            <w:color w:val="auto"/>
            <w:sz w:val="14"/>
            <w:szCs w:val="14"/>
          </w:rPr>
          <w:t>http://www.icbf.gov.co/portal/page/portal/PortalICBF/procesos/estrategico/comunicacion-estrategica/P6.CE%20Procedimiento%20Actualizaci%C3%B3n%20Portafolio%20Web%20ICBF%20v1.pdf</w:t>
        </w:r>
      </w:hyperlink>
      <w:r w:rsidRPr="00BE6A16">
        <w:rPr>
          <w:rFonts w:ascii="Arial" w:hAnsi="Arial" w:cs="Arial"/>
          <w:sz w:val="14"/>
          <w:szCs w:val="14"/>
        </w:rPr>
        <w:t xml:space="preserve"> </w:t>
      </w:r>
    </w:p>
  </w:footnote>
  <w:footnote w:id="24">
    <w:p w:rsidR="006C2935" w:rsidRPr="003E1AA4" w:rsidRDefault="006C2935" w:rsidP="00F26175">
      <w:pPr>
        <w:pStyle w:val="Textonotapie"/>
        <w:rPr>
          <w:sz w:val="14"/>
          <w:szCs w:val="14"/>
        </w:rPr>
      </w:pPr>
      <w:r w:rsidRPr="00BE6A16">
        <w:rPr>
          <w:rStyle w:val="Refdenotaalpie"/>
          <w:rFonts w:ascii="Arial" w:hAnsi="Arial" w:cs="Arial"/>
          <w:sz w:val="14"/>
          <w:szCs w:val="14"/>
        </w:rPr>
        <w:footnoteRef/>
      </w:r>
      <w:r w:rsidRPr="00BE6A16">
        <w:rPr>
          <w:rFonts w:ascii="Arial" w:hAnsi="Arial" w:cs="Arial"/>
          <w:sz w:val="14"/>
          <w:szCs w:val="14"/>
        </w:rPr>
        <w:t xml:space="preserve"> Guía para la gestión de contenidos en el Portafolio Web del ICBF: </w:t>
      </w:r>
      <w:hyperlink r:id="rId2" w:history="1">
        <w:r w:rsidRPr="00BE6A16">
          <w:rPr>
            <w:rStyle w:val="Hipervnculo"/>
            <w:rFonts w:ascii="Arial" w:hAnsi="Arial" w:cs="Arial"/>
            <w:color w:val="auto"/>
            <w:sz w:val="14"/>
            <w:szCs w:val="14"/>
          </w:rPr>
          <w:t>http://www.icbf.gov.co/portal/page/portal/PortalICBF/LeyTransparencia/Gu%C3%ADa_para_la_gestion_de_contenidos_en_portafolio%20web_ICBF.pdf</w:t>
        </w:r>
      </w:hyperlink>
      <w:r w:rsidRPr="003E1AA4">
        <w:rPr>
          <w:sz w:val="14"/>
          <w:szCs w:val="14"/>
        </w:rPr>
        <w:t xml:space="preserve"> </w:t>
      </w:r>
    </w:p>
  </w:footnote>
  <w:footnote w:id="25">
    <w:p w:rsidR="006C2935" w:rsidRPr="00985A5D" w:rsidRDefault="006C2935" w:rsidP="00831800">
      <w:pPr>
        <w:pStyle w:val="Textonotapie"/>
        <w:jc w:val="both"/>
        <w:rPr>
          <w:rFonts w:ascii="Arial" w:hAnsi="Arial" w:cs="Arial"/>
          <w:sz w:val="14"/>
          <w:szCs w:val="14"/>
        </w:rPr>
      </w:pPr>
      <w:r w:rsidRPr="00985A5D">
        <w:rPr>
          <w:rStyle w:val="Refdenotaalpie"/>
          <w:rFonts w:ascii="Arial" w:hAnsi="Arial" w:cs="Arial"/>
          <w:sz w:val="14"/>
          <w:szCs w:val="14"/>
        </w:rPr>
        <w:footnoteRef/>
      </w:r>
      <w:r w:rsidRPr="00985A5D">
        <w:rPr>
          <w:rFonts w:ascii="Arial" w:hAnsi="Arial" w:cs="Arial"/>
          <w:sz w:val="14"/>
          <w:szCs w:val="14"/>
        </w:rPr>
        <w:t xml:space="preserve"> El plan de incentivos está incluido dentro del Plan de Bienestar, pero se adoptan mediante resoluciones individuales.</w:t>
      </w:r>
    </w:p>
  </w:footnote>
  <w:footnote w:id="26">
    <w:p w:rsidR="006C2935" w:rsidRPr="003E1AA4" w:rsidRDefault="006C2935" w:rsidP="00831800">
      <w:pPr>
        <w:pStyle w:val="Textonotapie"/>
        <w:jc w:val="both"/>
        <w:rPr>
          <w:rFonts w:ascii="Arial" w:hAnsi="Arial" w:cs="Arial"/>
          <w:sz w:val="14"/>
          <w:szCs w:val="14"/>
        </w:rPr>
      </w:pPr>
      <w:r w:rsidRPr="00985A5D">
        <w:rPr>
          <w:rStyle w:val="Refdenotaalpie"/>
          <w:rFonts w:ascii="Arial" w:hAnsi="Arial" w:cs="Arial"/>
          <w:sz w:val="14"/>
          <w:szCs w:val="14"/>
        </w:rPr>
        <w:footnoteRef/>
      </w:r>
      <w:r w:rsidRPr="00985A5D">
        <w:rPr>
          <w:rFonts w:ascii="Arial" w:hAnsi="Arial" w:cs="Arial"/>
          <w:sz w:val="14"/>
          <w:szCs w:val="14"/>
        </w:rPr>
        <w:t xml:space="preserve"> Esta actividad se fundamenta en el Acuerdo 031 de 1975, aclarado por el Acuerdo 039 de 1984, con el que se crea el auxilio escolar para los hijos e hijas de las y los servidores públicos del ICBF. Además, se encuentra reglamentado por las Resoluciones 515 de 2005 y 0568 de 2006, las cuales fueron ajustadas en lo correspondiente al Apoyo Escolar con la Resolución 2398 de 2015, con lo que se amplía este  beneficio para las personas en Planta Temporal; custodios e hijos e hijas con discapacidad.</w:t>
      </w:r>
    </w:p>
  </w:footnote>
  <w:footnote w:id="27">
    <w:p w:rsidR="006C2935" w:rsidRPr="00E2319F" w:rsidRDefault="006C2935" w:rsidP="00831800">
      <w:pPr>
        <w:pStyle w:val="Textonotapie"/>
        <w:rPr>
          <w:rFonts w:ascii="Arial" w:hAnsi="Arial" w:cs="Arial"/>
          <w:sz w:val="14"/>
          <w:szCs w:val="14"/>
        </w:rPr>
      </w:pPr>
      <w:r w:rsidRPr="00E2319F">
        <w:rPr>
          <w:rStyle w:val="Refdenotaalpie"/>
          <w:rFonts w:ascii="Arial" w:hAnsi="Arial" w:cs="Arial"/>
          <w:sz w:val="14"/>
          <w:szCs w:val="14"/>
        </w:rPr>
        <w:footnoteRef/>
      </w:r>
      <w:r w:rsidRPr="00E2319F">
        <w:rPr>
          <w:rFonts w:ascii="Arial" w:hAnsi="Arial" w:cs="Arial"/>
          <w:sz w:val="14"/>
          <w:szCs w:val="14"/>
        </w:rPr>
        <w:t xml:space="preserve"> No se cuenta con el cierre contable de diciembre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935" w:rsidRDefault="000E0283">
    <w:pPr>
      <w:pStyle w:val="Encabezado"/>
    </w:pPr>
    <w:r>
      <w:rPr>
        <w:noProof/>
        <w:lang w:val="es-CO" w:eastAsia="es-CO"/>
      </w:rPr>
      <w:pict w14:anchorId="0BEB6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653016" o:spid="_x0000_s2053" type="#_x0000_t75" style="position:absolute;margin-left:0;margin-top:0;width:469.8pt;height:532.05pt;z-index:-251653632;mso-position-horizontal:center;mso-position-horizontal-relative:margin;mso-position-vertical:center;mso-position-vertical-relative:margin" o:allowincell="f">
          <v:imagedata r:id="rId1" o:title="HOJA" gain="19661f" blacklevel="22938f"/>
          <w10:wrap anchorx="margin" anchory="margin"/>
        </v:shape>
      </w:pict>
    </w:r>
    <w:r w:rsidR="006C2935">
      <w:rPr>
        <w:noProof/>
        <w:lang w:val="es-CO" w:eastAsia="es-CO"/>
      </w:rPr>
      <w:drawing>
        <wp:anchor distT="0" distB="0" distL="114300" distR="114300" simplePos="0" relativeHeight="251660800" behindDoc="1" locked="0" layoutInCell="0" allowOverlap="1" wp14:anchorId="4A401715" wp14:editId="17C25A79">
          <wp:simplePos x="0" y="0"/>
          <wp:positionH relativeFrom="margin">
            <wp:align>center</wp:align>
          </wp:positionH>
          <wp:positionV relativeFrom="margin">
            <wp:align>center</wp:align>
          </wp:positionV>
          <wp:extent cx="5821045" cy="7533640"/>
          <wp:effectExtent l="0" t="0" r="8255" b="0"/>
          <wp:wrapNone/>
          <wp:docPr id="59" name="Imagen 59" descr="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a"/>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821045" cy="75336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935" w:rsidRDefault="000E0283" w:rsidP="00232FC1">
    <w:pPr>
      <w:pStyle w:val="Encabezado"/>
      <w:tabs>
        <w:tab w:val="clear" w:pos="8504"/>
        <w:tab w:val="right" w:pos="9214"/>
      </w:tabs>
      <w:spacing w:after="0"/>
      <w:ind w:right="-567"/>
    </w:pPr>
    <w:r>
      <w:rPr>
        <w:noProof/>
        <w:lang w:val="es-CO" w:eastAsia="es-CO"/>
      </w:rPr>
      <w:pict w14:anchorId="7CFF61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653017" o:spid="_x0000_s2054" type="#_x0000_t75" style="position:absolute;margin-left:0;margin-top:0;width:469.8pt;height:532.05pt;z-index:-251652608;mso-position-horizontal:center;mso-position-horizontal-relative:margin;mso-position-vertical:center;mso-position-vertical-relative:margin" o:allowincell="f">
          <v:imagedata r:id="rId1" o:title="HOJA" gain="19661f" blacklevel="22938f"/>
          <w10:wrap anchorx="margin" anchory="margin"/>
        </v:shape>
      </w:pict>
    </w:r>
    <w:r w:rsidR="006C2935">
      <w:rPr>
        <w:noProof/>
        <w:lang w:val="es-CO" w:eastAsia="es-CO"/>
      </w:rPr>
      <mc:AlternateContent>
        <mc:Choice Requires="wps">
          <w:drawing>
            <wp:anchor distT="0" distB="0" distL="114300" distR="114300" simplePos="0" relativeHeight="251657728" behindDoc="1" locked="0" layoutInCell="0" allowOverlap="1" wp14:anchorId="16157F45" wp14:editId="51C02D18">
              <wp:simplePos x="0" y="0"/>
              <wp:positionH relativeFrom="margin">
                <wp:align>center</wp:align>
              </wp:positionH>
              <wp:positionV relativeFrom="margin">
                <wp:align>center</wp:align>
              </wp:positionV>
              <wp:extent cx="7448550" cy="106680"/>
              <wp:effectExtent l="0" t="0" r="0" b="0"/>
              <wp:wrapNone/>
              <wp:docPr id="23"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855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C2935" w:rsidRDefault="006C2935" w:rsidP="00EF5B33">
                          <w:pPr>
                            <w:pStyle w:val="NormalWeb"/>
                            <w:spacing w:before="0" w:beforeAutospacing="0" w:after="0" w:afterAutospacing="0"/>
                            <w:jc w:val="center"/>
                          </w:pPr>
                          <w:r>
                            <w:rPr>
                              <w:rFonts w:ascii="Calibri" w:hAnsi="Calibri"/>
                              <w:color w:val="C0C0C0"/>
                              <w:sz w:val="2"/>
                              <w:szCs w:val="2"/>
                            </w:rPr>
                            <w:t>DOCUMENTO EN ELABORACIÓN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6157F45" id="_x0000_t202" coordsize="21600,21600" o:spt="202" path="m,l,21600r21600,l21600,xe">
              <v:stroke joinstyle="miter"/>
              <v:path gradientshapeok="t" o:connecttype="rect"/>
            </v:shapetype>
            <v:shape id="WordArt 9" o:spid="_x0000_s1028" type="#_x0000_t202" style="position:absolute;margin-left:0;margin-top:0;width:586.5pt;height:8.4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" o:allowincell="f" filled="f" stroked="f">
              <v:stroke joinstyle="round"/>
              <o:lock v:ext="edit" shapetype="t"/>
              <v:textbox style="mso-fit-shape-to-text:t">
                <w:txbxContent>
                  <w:p w:rsidR="006C2935" w:rsidRDefault="006C2935" w:rsidP="00EF5B33">
                    <w:pPr>
                      <w:pStyle w:val="NormalWeb"/>
                      <w:spacing w:before="0" w:beforeAutospacing="0" w:after="0" w:afterAutospacing="0"/>
                      <w:jc w:val="center"/>
                    </w:pPr>
                    <w:r>
                      <w:rPr>
                        <w:rFonts w:ascii="Calibri" w:hAnsi="Calibri"/>
                        <w:color w:val="C0C0C0"/>
                        <w:sz w:val="2"/>
                        <w:szCs w:val="2"/>
                      </w:rPr>
                      <w:t>DOCUMENTO EN ELABORACIÓN</w:t>
                    </w:r>
                  </w:p>
                </w:txbxContent>
              </v:textbox>
              <w10:wrap anchorx="margin" anchory="margin"/>
            </v:shape>
          </w:pict>
        </mc:Fallback>
      </mc:AlternateContent>
    </w:r>
    <w:r w:rsidR="006C2935">
      <w:rPr>
        <w:noProof/>
        <w:lang w:val="es-CO" w:eastAsia="es-CO"/>
      </w:rPr>
      <mc:AlternateContent>
        <mc:Choice Requires="wps">
          <w:drawing>
            <wp:anchor distT="0" distB="0" distL="114300" distR="114300" simplePos="0" relativeHeight="251659776" behindDoc="0" locked="0" layoutInCell="0" allowOverlap="1" wp14:anchorId="548EBFF1" wp14:editId="036672AC">
              <wp:simplePos x="0" y="0"/>
              <wp:positionH relativeFrom="rightMargin">
                <wp:align>right</wp:align>
              </wp:positionH>
              <wp:positionV relativeFrom="margin">
                <wp:align>center</wp:align>
              </wp:positionV>
              <wp:extent cx="727710" cy="329565"/>
              <wp:effectExtent l="0" t="0" r="0" b="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935" w:rsidRDefault="006C2935">
                          <w:pPr>
                            <w:pBdr>
                              <w:bottom w:val="single" w:sz="4" w:space="1" w:color="auto"/>
                            </w:pBdr>
                          </w:pPr>
                          <w:r>
                            <w:fldChar w:fldCharType="begin"/>
                          </w:r>
                          <w:r>
                            <w:instrText>PAGE   \* MERGEFORMAT</w:instrText>
                          </w:r>
                          <w:r>
                            <w:fldChar w:fldCharType="separate"/>
                          </w:r>
                          <w:r w:rsidR="00DF7186">
                            <w:rPr>
                              <w:noProof/>
                            </w:rPr>
                            <w:t>331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48EBFF1" id="Rectángulo 34" o:spid="_x0000_s1029" style="position:absolute;margin-left:6.1pt;margin-top:0;width:57.3pt;height:25.95pt;z-index:25165977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" o:allowincell="f" stroked="f">
              <v:textbox>
                <w:txbxContent>
                  <w:p w:rsidR="006C2935" w:rsidRDefault="006C2935">
                    <w:pPr>
                      <w:pBdr>
                        <w:bottom w:val="single" w:sz="4" w:space="1" w:color="auto"/>
                      </w:pBdr>
                    </w:pPr>
                    <w:r>
                      <w:fldChar w:fldCharType="begin"/>
                    </w:r>
                    <w:r>
                      <w:instrText>PAGE   \* MERGEFORMAT</w:instrText>
                    </w:r>
                    <w:r>
                      <w:fldChar w:fldCharType="separate"/>
                    </w:r>
                    <w:r w:rsidR="00DF7186">
                      <w:rPr>
                        <w:noProof/>
                      </w:rPr>
                      <w:t>331</w:t>
                    </w:r>
                    <w:r>
                      <w:rPr>
                        <w:noProof/>
                      </w:rPr>
                      <w:fldChar w:fldCharType="end"/>
                    </w:r>
                  </w:p>
                </w:txbxContent>
              </v:textbox>
              <w10:wrap anchorx="margin" anchory="margin"/>
            </v:rect>
          </w:pict>
        </mc:Fallback>
      </mc:AlternateContent>
    </w:r>
    <w:r w:rsidR="006C2935">
      <w:rPr>
        <w:noProof/>
        <w:lang w:val="es-CO" w:eastAsia="es-CO"/>
      </w:rPr>
      <mc:AlternateContent>
        <mc:Choice Requires="wps">
          <w:drawing>
            <wp:anchor distT="0" distB="0" distL="114300" distR="114300" simplePos="0" relativeHeight="251655680" behindDoc="0" locked="0" layoutInCell="1" allowOverlap="1" wp14:anchorId="0C49D61A" wp14:editId="07A75DF8">
              <wp:simplePos x="0" y="0"/>
              <wp:positionH relativeFrom="column">
                <wp:posOffset>1108075</wp:posOffset>
              </wp:positionH>
              <wp:positionV relativeFrom="paragraph">
                <wp:posOffset>-380365</wp:posOffset>
              </wp:positionV>
              <wp:extent cx="3419475" cy="650875"/>
              <wp:effectExtent l="0" t="0" r="9525" b="0"/>
              <wp:wrapNone/>
              <wp:docPr id="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50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935" w:rsidRPr="00051A18" w:rsidRDefault="006C2935" w:rsidP="00E6444E">
                          <w:pPr>
                            <w:autoSpaceDE w:val="0"/>
                            <w:autoSpaceDN w:val="0"/>
                            <w:adjustRightInd w:val="0"/>
                            <w:spacing w:after="0" w:line="240" w:lineRule="auto"/>
                            <w:jc w:val="center"/>
                            <w:rPr>
                              <w:rFonts w:cs="Arial"/>
                              <w:b/>
                            </w:rPr>
                          </w:pPr>
                          <w:r w:rsidRPr="00051A18">
                            <w:rPr>
                              <w:rFonts w:cs="Arial"/>
                              <w:b/>
                            </w:rPr>
                            <w:t>República de Colombia</w:t>
                          </w:r>
                        </w:p>
                        <w:p w:rsidR="006C2935" w:rsidRPr="00051A18" w:rsidRDefault="006C2935" w:rsidP="00E6444E">
                          <w:pPr>
                            <w:autoSpaceDE w:val="0"/>
                            <w:autoSpaceDN w:val="0"/>
                            <w:adjustRightInd w:val="0"/>
                            <w:spacing w:after="0" w:line="240" w:lineRule="auto"/>
                            <w:jc w:val="center"/>
                            <w:rPr>
                              <w:rFonts w:cs="Arial"/>
                              <w:b/>
                            </w:rPr>
                          </w:pPr>
                          <w:r w:rsidRPr="00051A18">
                            <w:rPr>
                              <w:rFonts w:cs="Arial"/>
                              <w:b/>
                            </w:rPr>
                            <w:t>Instituto Colombiano de Bienestar Familiar</w:t>
                          </w:r>
                        </w:p>
                        <w:p w:rsidR="006C2935" w:rsidRPr="00240C30" w:rsidRDefault="006C2935" w:rsidP="00240C30">
                          <w:pPr>
                            <w:autoSpaceDE w:val="0"/>
                            <w:autoSpaceDN w:val="0"/>
                            <w:adjustRightInd w:val="0"/>
                            <w:spacing w:after="0" w:line="240" w:lineRule="auto"/>
                            <w:jc w:val="center"/>
                            <w:rPr>
                              <w:rFonts w:cs="Arial"/>
                              <w:color w:val="808080"/>
                            </w:rPr>
                          </w:pPr>
                          <w:r w:rsidRPr="00051A18">
                            <w:rPr>
                              <w:rFonts w:cs="Arial"/>
                              <w:color w:val="808080"/>
                            </w:rPr>
                            <w:t xml:space="preserve">Cecilia De la Fuente de Lleras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49D61A" id="Text Box 13" o:spid="_x0000_s1030" type="#_x0000_t202" style="position:absolute;margin-left:87.25pt;margin-top:-29.95pt;width:269.25pt;height:5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3r+hQ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" stroked="f">
              <v:textbox>
                <w:txbxContent>
                  <w:p w:rsidR="006C2935" w:rsidRPr="00051A18" w:rsidRDefault="006C2935" w:rsidP="00E6444E">
                    <w:pPr>
                      <w:autoSpaceDE w:val="0"/>
                      <w:autoSpaceDN w:val="0"/>
                      <w:adjustRightInd w:val="0"/>
                      <w:spacing w:after="0" w:line="240" w:lineRule="auto"/>
                      <w:jc w:val="center"/>
                      <w:rPr>
                        <w:rFonts w:cs="Arial"/>
                        <w:b/>
                      </w:rPr>
                    </w:pPr>
                    <w:r w:rsidRPr="00051A18">
                      <w:rPr>
                        <w:rFonts w:cs="Arial"/>
                        <w:b/>
                      </w:rPr>
                      <w:t>República de Colombia</w:t>
                    </w:r>
                  </w:p>
                  <w:p w:rsidR="006C2935" w:rsidRPr="00051A18" w:rsidRDefault="006C2935" w:rsidP="00E6444E">
                    <w:pPr>
                      <w:autoSpaceDE w:val="0"/>
                      <w:autoSpaceDN w:val="0"/>
                      <w:adjustRightInd w:val="0"/>
                      <w:spacing w:after="0" w:line="240" w:lineRule="auto"/>
                      <w:jc w:val="center"/>
                      <w:rPr>
                        <w:rFonts w:cs="Arial"/>
                        <w:b/>
                      </w:rPr>
                    </w:pPr>
                    <w:r w:rsidRPr="00051A18">
                      <w:rPr>
                        <w:rFonts w:cs="Arial"/>
                        <w:b/>
                      </w:rPr>
                      <w:t>Instituto Colombiano de Bienestar Familiar</w:t>
                    </w:r>
                  </w:p>
                  <w:p w:rsidR="006C2935" w:rsidRPr="00240C30" w:rsidRDefault="006C2935" w:rsidP="00240C30">
                    <w:pPr>
                      <w:autoSpaceDE w:val="0"/>
                      <w:autoSpaceDN w:val="0"/>
                      <w:adjustRightInd w:val="0"/>
                      <w:spacing w:after="0" w:line="240" w:lineRule="auto"/>
                      <w:jc w:val="center"/>
                      <w:rPr>
                        <w:rFonts w:cs="Arial"/>
                        <w:color w:val="808080"/>
                      </w:rPr>
                    </w:pPr>
                    <w:r w:rsidRPr="00051A18">
                      <w:rPr>
                        <w:rFonts w:cs="Arial"/>
                        <w:color w:val="808080"/>
                      </w:rPr>
                      <w:t xml:space="preserve">Cecilia De la Fuente de Lleras </w:t>
                    </w:r>
                  </w:p>
                </w:txbxContent>
              </v:textbox>
            </v:shape>
          </w:pict>
        </mc:Fallback>
      </mc:AlternateContent>
    </w:r>
    <w:r w:rsidR="006C2935">
      <w:rPr>
        <w:noProof/>
        <w:lang w:val="es-CO" w:eastAsia="es-CO"/>
      </w:rPr>
      <w:drawing>
        <wp:anchor distT="0" distB="0" distL="114300" distR="114300" simplePos="0" relativeHeight="251656704" behindDoc="1" locked="0" layoutInCell="1" allowOverlap="1" wp14:anchorId="3ACCA140" wp14:editId="5752E9E4">
          <wp:simplePos x="0" y="0"/>
          <wp:positionH relativeFrom="column">
            <wp:posOffset>-19050</wp:posOffset>
          </wp:positionH>
          <wp:positionV relativeFrom="paragraph">
            <wp:posOffset>-573735</wp:posOffset>
          </wp:positionV>
          <wp:extent cx="633095" cy="791845"/>
          <wp:effectExtent l="0" t="0" r="0" b="8255"/>
          <wp:wrapNone/>
          <wp:docPr id="37" name="Imagen 37" descr="LOGO-I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ICB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095" cy="791845"/>
                  </a:xfrm>
                  <a:prstGeom prst="rect">
                    <a:avLst/>
                  </a:prstGeom>
                  <a:noFill/>
                  <a:ln>
                    <a:noFill/>
                  </a:ln>
                </pic:spPr>
              </pic:pic>
            </a:graphicData>
          </a:graphic>
        </wp:anchor>
      </w:drawing>
    </w:r>
    <w:r w:rsidR="006C2935">
      <w:rPr>
        <w:noProof/>
        <w:lang w:val="es-CO" w:eastAsia="es-CO"/>
      </w:rPr>
      <w:drawing>
        <wp:anchor distT="0" distB="0" distL="114300" distR="114300" simplePos="0" relativeHeight="251658752" behindDoc="1" locked="0" layoutInCell="1" allowOverlap="1" wp14:anchorId="22E3C146" wp14:editId="167A4E0F">
          <wp:simplePos x="0" y="0"/>
          <wp:positionH relativeFrom="column">
            <wp:posOffset>4711700</wp:posOffset>
          </wp:positionH>
          <wp:positionV relativeFrom="paragraph">
            <wp:posOffset>-457200</wp:posOffset>
          </wp:positionV>
          <wp:extent cx="1200150" cy="600075"/>
          <wp:effectExtent l="0" t="0" r="0" b="9525"/>
          <wp:wrapNone/>
          <wp:docPr id="38" name="Imagen 38" descr="Captura de pantalla 2014-10-23 a las 14 36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a de pantalla 2014-10-23 a las 14 36 0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600075"/>
                  </a:xfrm>
                  <a:prstGeom prst="rect">
                    <a:avLst/>
                  </a:prstGeom>
                  <a:noFill/>
                  <a:ln>
                    <a:noFill/>
                  </a:ln>
                </pic:spPr>
              </pic:pic>
            </a:graphicData>
          </a:graphic>
        </wp:anchor>
      </w:drawing>
    </w:r>
  </w:p>
  <w:p w:rsidR="006C2935" w:rsidRDefault="006C2935" w:rsidP="000442E9">
    <w:pPr>
      <w:pStyle w:val="Encabezado"/>
      <w:pBdr>
        <w:bottom w:val="single" w:sz="4" w:space="1" w:color="auto"/>
      </w:pBdr>
      <w:tabs>
        <w:tab w:val="clear" w:pos="8504"/>
        <w:tab w:val="right" w:pos="9214"/>
      </w:tabs>
      <w:ind w:right="-56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935" w:rsidRDefault="000E0283">
    <w:pPr>
      <w:pStyle w:val="Encabezado"/>
    </w:pPr>
    <w:r>
      <w:rPr>
        <w:noProof/>
      </w:rPr>
      <w:pict w14:anchorId="6AA98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653015" o:spid="_x0000_s2052" type="#_x0000_t75" style="position:absolute;margin-left:0;margin-top:0;width:469.8pt;height:532.05pt;z-index:-251654656;mso-position-horizontal:center;mso-position-horizontal-relative:margin;mso-position-vertical:center;mso-position-vertical-relative:margin" o:allowincell="f">
          <v:imagedata r:id="rId1" o:title="HOJ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ABEBF9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6"/>
    <w:multiLevelType w:val="multilevel"/>
    <w:tmpl w:val="E488C5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01725E7"/>
    <w:multiLevelType w:val="hybridMultilevel"/>
    <w:tmpl w:val="77185E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02F3EFD"/>
    <w:multiLevelType w:val="hybridMultilevel"/>
    <w:tmpl w:val="5ADE77A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1D32B8D"/>
    <w:multiLevelType w:val="multilevel"/>
    <w:tmpl w:val="48569BE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2385B83"/>
    <w:multiLevelType w:val="hybridMultilevel"/>
    <w:tmpl w:val="18D62E4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29A6CF2"/>
    <w:multiLevelType w:val="hybridMultilevel"/>
    <w:tmpl w:val="802EEE2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02B744B0"/>
    <w:multiLevelType w:val="hybridMultilevel"/>
    <w:tmpl w:val="9C0E33BC"/>
    <w:lvl w:ilvl="0" w:tplc="16AAC24C">
      <w:start w:val="1"/>
      <w:numFmt w:val="bullet"/>
      <w:lvlText w:val=""/>
      <w:lvlJc w:val="left"/>
      <w:pPr>
        <w:ind w:left="1080" w:hanging="720"/>
      </w:pPr>
      <w:rPr>
        <w:rFonts w:ascii="Wingdings" w:hAnsi="Wingding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30167AD"/>
    <w:multiLevelType w:val="multilevel"/>
    <w:tmpl w:val="2ECEDEA2"/>
    <w:lvl w:ilvl="0">
      <w:start w:val="3"/>
      <w:numFmt w:val="decimal"/>
      <w:lvlText w:val="%1."/>
      <w:lvlJc w:val="left"/>
      <w:pPr>
        <w:ind w:left="540" w:hanging="540"/>
      </w:pPr>
      <w:rPr>
        <w:rFonts w:ascii="Arial" w:hAnsi="Arial" w:cstheme="majorBidi" w:hint="default"/>
        <w:b w:val="0"/>
      </w:rPr>
    </w:lvl>
    <w:lvl w:ilvl="1">
      <w:start w:val="1"/>
      <w:numFmt w:val="decimal"/>
      <w:lvlText w:val="%1.%2."/>
      <w:lvlJc w:val="left"/>
      <w:pPr>
        <w:ind w:left="540" w:hanging="540"/>
      </w:pPr>
      <w:rPr>
        <w:rFonts w:ascii="Arial" w:hAnsi="Arial" w:cstheme="majorBidi" w:hint="default"/>
        <w:b w:val="0"/>
      </w:rPr>
    </w:lvl>
    <w:lvl w:ilvl="2">
      <w:start w:val="8"/>
      <w:numFmt w:val="decimal"/>
      <w:lvlText w:val="%1.%2.%3."/>
      <w:lvlJc w:val="left"/>
      <w:pPr>
        <w:ind w:left="720" w:hanging="720"/>
      </w:pPr>
      <w:rPr>
        <w:rFonts w:ascii="Arial" w:hAnsi="Arial" w:cstheme="majorBidi" w:hint="default"/>
        <w:b w:val="0"/>
      </w:rPr>
    </w:lvl>
    <w:lvl w:ilvl="3">
      <w:start w:val="1"/>
      <w:numFmt w:val="decimal"/>
      <w:lvlText w:val="%1.%2.%3.%4."/>
      <w:lvlJc w:val="left"/>
      <w:pPr>
        <w:ind w:left="720" w:hanging="720"/>
      </w:pPr>
      <w:rPr>
        <w:rFonts w:ascii="Arial" w:hAnsi="Arial" w:cstheme="majorBidi" w:hint="default"/>
        <w:b w:val="0"/>
      </w:rPr>
    </w:lvl>
    <w:lvl w:ilvl="4">
      <w:start w:val="1"/>
      <w:numFmt w:val="decimal"/>
      <w:lvlText w:val="%1.%2.%3.%4.%5."/>
      <w:lvlJc w:val="left"/>
      <w:pPr>
        <w:ind w:left="1080" w:hanging="1080"/>
      </w:pPr>
      <w:rPr>
        <w:rFonts w:ascii="Arial" w:hAnsi="Arial" w:cstheme="majorBidi" w:hint="default"/>
        <w:b w:val="0"/>
      </w:rPr>
    </w:lvl>
    <w:lvl w:ilvl="5">
      <w:start w:val="1"/>
      <w:numFmt w:val="decimal"/>
      <w:lvlText w:val="%1.%2.%3.%4.%5.%6."/>
      <w:lvlJc w:val="left"/>
      <w:pPr>
        <w:ind w:left="1080" w:hanging="1080"/>
      </w:pPr>
      <w:rPr>
        <w:rFonts w:ascii="Arial" w:hAnsi="Arial" w:cstheme="majorBidi" w:hint="default"/>
        <w:b w:val="0"/>
      </w:rPr>
    </w:lvl>
    <w:lvl w:ilvl="6">
      <w:start w:val="1"/>
      <w:numFmt w:val="decimal"/>
      <w:lvlText w:val="%1.%2.%3.%4.%5.%6.%7."/>
      <w:lvlJc w:val="left"/>
      <w:pPr>
        <w:ind w:left="1440" w:hanging="1440"/>
      </w:pPr>
      <w:rPr>
        <w:rFonts w:ascii="Arial" w:hAnsi="Arial" w:cstheme="majorBidi" w:hint="default"/>
        <w:b w:val="0"/>
      </w:rPr>
    </w:lvl>
    <w:lvl w:ilvl="7">
      <w:start w:val="1"/>
      <w:numFmt w:val="decimal"/>
      <w:lvlText w:val="%1.%2.%3.%4.%5.%6.%7.%8."/>
      <w:lvlJc w:val="left"/>
      <w:pPr>
        <w:ind w:left="1440" w:hanging="1440"/>
      </w:pPr>
      <w:rPr>
        <w:rFonts w:ascii="Arial" w:hAnsi="Arial" w:cstheme="majorBidi" w:hint="default"/>
        <w:b w:val="0"/>
      </w:rPr>
    </w:lvl>
    <w:lvl w:ilvl="8">
      <w:start w:val="1"/>
      <w:numFmt w:val="decimal"/>
      <w:lvlText w:val="%1.%2.%3.%4.%5.%6.%7.%8.%9."/>
      <w:lvlJc w:val="left"/>
      <w:pPr>
        <w:ind w:left="1800" w:hanging="1800"/>
      </w:pPr>
      <w:rPr>
        <w:rFonts w:ascii="Arial" w:hAnsi="Arial" w:cstheme="majorBidi" w:hint="default"/>
        <w:b w:val="0"/>
      </w:rPr>
    </w:lvl>
  </w:abstractNum>
  <w:abstractNum w:abstractNumId="9" w15:restartNumberingAfterBreak="0">
    <w:nsid w:val="0412465C"/>
    <w:multiLevelType w:val="hybridMultilevel"/>
    <w:tmpl w:val="098A5BD6"/>
    <w:lvl w:ilvl="0" w:tplc="240A0001">
      <w:start w:val="1"/>
      <w:numFmt w:val="bullet"/>
      <w:lvlText w:val=""/>
      <w:lvlJc w:val="left"/>
      <w:pPr>
        <w:ind w:left="720" w:hanging="360"/>
      </w:pPr>
      <w:rPr>
        <w:rFonts w:ascii="Symbol" w:hAnsi="Symbol" w:hint="default"/>
      </w:rPr>
    </w:lvl>
    <w:lvl w:ilvl="1" w:tplc="4DE8547A">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4C23DEE"/>
    <w:multiLevelType w:val="hybridMultilevel"/>
    <w:tmpl w:val="88F470E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05EC5B36"/>
    <w:multiLevelType w:val="hybridMultilevel"/>
    <w:tmpl w:val="EB2A55A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06F9330B"/>
    <w:multiLevelType w:val="hybridMultilevel"/>
    <w:tmpl w:val="44F6218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1">
      <w:start w:val="1"/>
      <w:numFmt w:val="bullet"/>
      <w:lvlText w:val=""/>
      <w:lvlJc w:val="left"/>
      <w:pPr>
        <w:ind w:left="1800" w:hanging="360"/>
      </w:pPr>
      <w:rPr>
        <w:rFonts w:ascii="Symbol" w:hAnsi="Symbol"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084738CE"/>
    <w:multiLevelType w:val="hybridMultilevel"/>
    <w:tmpl w:val="FCB2F3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9937251"/>
    <w:multiLevelType w:val="hybridMultilevel"/>
    <w:tmpl w:val="D20E11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09F7081E"/>
    <w:multiLevelType w:val="hybridMultilevel"/>
    <w:tmpl w:val="25B28EC4"/>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0B044D94"/>
    <w:multiLevelType w:val="hybridMultilevel"/>
    <w:tmpl w:val="CA8C0F88"/>
    <w:lvl w:ilvl="0" w:tplc="240A0001">
      <w:start w:val="1"/>
      <w:numFmt w:val="bullet"/>
      <w:lvlText w:val=""/>
      <w:lvlJc w:val="left"/>
      <w:pPr>
        <w:ind w:left="705" w:hanging="705"/>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0BAF719A"/>
    <w:multiLevelType w:val="hybridMultilevel"/>
    <w:tmpl w:val="EEAE2B1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0CD733A7"/>
    <w:multiLevelType w:val="hybridMultilevel"/>
    <w:tmpl w:val="732CFD48"/>
    <w:lvl w:ilvl="0" w:tplc="5D363C74">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0D727AC8"/>
    <w:multiLevelType w:val="hybridMultilevel"/>
    <w:tmpl w:val="4DEA6D5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0E091AA5"/>
    <w:multiLevelType w:val="hybridMultilevel"/>
    <w:tmpl w:val="E40088E4"/>
    <w:lvl w:ilvl="0" w:tplc="145089D2">
      <w:numFmt w:val="bullet"/>
      <w:lvlText w:val=""/>
      <w:lvlJc w:val="left"/>
      <w:pPr>
        <w:ind w:left="720" w:hanging="360"/>
      </w:pPr>
      <w:rPr>
        <w:rFonts w:ascii="Symbol" w:eastAsia="Calibri" w:hAnsi="Symbol"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0E8A783C"/>
    <w:multiLevelType w:val="hybridMultilevel"/>
    <w:tmpl w:val="CE5E94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0ED66737"/>
    <w:multiLevelType w:val="hybridMultilevel"/>
    <w:tmpl w:val="28386812"/>
    <w:lvl w:ilvl="0" w:tplc="240A0005">
      <w:start w:val="1"/>
      <w:numFmt w:val="bullet"/>
      <w:lvlText w:val=""/>
      <w:lvlJc w:val="left"/>
      <w:pPr>
        <w:ind w:left="360" w:hanging="360"/>
      </w:pPr>
      <w:rPr>
        <w:rFonts w:ascii="Wingdings" w:hAnsi="Wingding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0FFA0B16"/>
    <w:multiLevelType w:val="multilevel"/>
    <w:tmpl w:val="1222238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16202F9"/>
    <w:multiLevelType w:val="hybridMultilevel"/>
    <w:tmpl w:val="3808FA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117A16DB"/>
    <w:multiLevelType w:val="hybridMultilevel"/>
    <w:tmpl w:val="847025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118B3EDA"/>
    <w:multiLevelType w:val="hybridMultilevel"/>
    <w:tmpl w:val="FF423CC0"/>
    <w:lvl w:ilvl="0" w:tplc="240A0001">
      <w:start w:val="1"/>
      <w:numFmt w:val="bullet"/>
      <w:lvlText w:val=""/>
      <w:lvlJc w:val="left"/>
      <w:pPr>
        <w:ind w:left="360" w:hanging="360"/>
      </w:pPr>
      <w:rPr>
        <w:rFonts w:ascii="Symbol" w:hAnsi="Symbol" w:hint="default"/>
        <w:color w:val="auto"/>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11AA52C1"/>
    <w:multiLevelType w:val="hybridMultilevel"/>
    <w:tmpl w:val="8634F2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11CB43FB"/>
    <w:multiLevelType w:val="hybridMultilevel"/>
    <w:tmpl w:val="584CDF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12DA5EEF"/>
    <w:multiLevelType w:val="hybridMultilevel"/>
    <w:tmpl w:val="A508CA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15F9326B"/>
    <w:multiLevelType w:val="hybridMultilevel"/>
    <w:tmpl w:val="E05A76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163A5B68"/>
    <w:multiLevelType w:val="hybridMultilevel"/>
    <w:tmpl w:val="F8EC2706"/>
    <w:lvl w:ilvl="0" w:tplc="CFA6943A">
      <w:numFmt w:val="bullet"/>
      <w:lvlText w:val="•"/>
      <w:lvlJc w:val="left"/>
      <w:pPr>
        <w:ind w:left="645" w:hanging="645"/>
      </w:pPr>
      <w:rPr>
        <w:rFonts w:ascii="Calibri Light" w:eastAsia="Times New Roman" w:hAnsi="Calibri Light" w:cs="Calibri Light"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167E108A"/>
    <w:multiLevelType w:val="hybridMultilevel"/>
    <w:tmpl w:val="49D6087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18300F5A"/>
    <w:multiLevelType w:val="hybridMultilevel"/>
    <w:tmpl w:val="626C605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4" w15:restartNumberingAfterBreak="0">
    <w:nsid w:val="18AE0334"/>
    <w:multiLevelType w:val="multilevel"/>
    <w:tmpl w:val="170A61D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19272BEE"/>
    <w:multiLevelType w:val="hybridMultilevel"/>
    <w:tmpl w:val="19A63E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199C2E03"/>
    <w:multiLevelType w:val="hybridMultilevel"/>
    <w:tmpl w:val="CB38A2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1B6D527E"/>
    <w:multiLevelType w:val="hybridMultilevel"/>
    <w:tmpl w:val="D5BC4C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1B9718E6"/>
    <w:multiLevelType w:val="hybridMultilevel"/>
    <w:tmpl w:val="E4589F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1C731ABC"/>
    <w:multiLevelType w:val="hybridMultilevel"/>
    <w:tmpl w:val="9E386396"/>
    <w:lvl w:ilvl="0" w:tplc="6442BB8C">
      <w:numFmt w:val="bullet"/>
      <w:lvlText w:val="-"/>
      <w:lvlJc w:val="left"/>
      <w:pPr>
        <w:ind w:left="360" w:hanging="360"/>
      </w:pPr>
      <w:rPr>
        <w:rFonts w:ascii="Calibri" w:eastAsiaTheme="minorHAnsi" w:hAnsi="Calibri" w:cstheme="minorBidi"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0" w15:restartNumberingAfterBreak="0">
    <w:nsid w:val="1D352A83"/>
    <w:multiLevelType w:val="hybridMultilevel"/>
    <w:tmpl w:val="60E216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1D533FE1"/>
    <w:multiLevelType w:val="hybridMultilevel"/>
    <w:tmpl w:val="B1EE916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1E584DCD"/>
    <w:multiLevelType w:val="hybridMultilevel"/>
    <w:tmpl w:val="E5602AD0"/>
    <w:lvl w:ilvl="0" w:tplc="13C4994E">
      <w:numFmt w:val="bullet"/>
      <w:lvlText w:val="-"/>
      <w:lvlJc w:val="left"/>
      <w:pPr>
        <w:ind w:left="786" w:hanging="360"/>
      </w:pPr>
      <w:rPr>
        <w:rFonts w:ascii="Calibri Light" w:eastAsia="Calibri" w:hAnsi="Calibri Light" w:cs="Times New Roman"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43" w15:restartNumberingAfterBreak="0">
    <w:nsid w:val="204C4957"/>
    <w:multiLevelType w:val="hybridMultilevel"/>
    <w:tmpl w:val="84C023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219F10F5"/>
    <w:multiLevelType w:val="hybridMultilevel"/>
    <w:tmpl w:val="559E0F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21D4026D"/>
    <w:multiLevelType w:val="hybridMultilevel"/>
    <w:tmpl w:val="640ED08A"/>
    <w:lvl w:ilvl="0" w:tplc="A76098EC">
      <w:start w:val="2"/>
      <w:numFmt w:val="bullet"/>
      <w:lvlText w:val=""/>
      <w:lvlJc w:val="left"/>
      <w:pPr>
        <w:ind w:left="720" w:hanging="360"/>
      </w:pPr>
      <w:rPr>
        <w:rFonts w:ascii="Symbol" w:eastAsia="Calibri" w:hAnsi="Symbol"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21D474D8"/>
    <w:multiLevelType w:val="hybridMultilevel"/>
    <w:tmpl w:val="B260932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15:restartNumberingAfterBreak="0">
    <w:nsid w:val="23EA7380"/>
    <w:multiLevelType w:val="hybridMultilevel"/>
    <w:tmpl w:val="8DDE2320"/>
    <w:lvl w:ilvl="0" w:tplc="6442BB8C">
      <w:numFmt w:val="bullet"/>
      <w:lvlText w:val="-"/>
      <w:lvlJc w:val="left"/>
      <w:pPr>
        <w:ind w:left="720" w:hanging="360"/>
      </w:pPr>
      <w:rPr>
        <w:rFonts w:ascii="Calibri" w:eastAsiaTheme="minorHAnsi" w:hAnsi="Calibri"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8" w15:restartNumberingAfterBreak="0">
    <w:nsid w:val="24092F95"/>
    <w:multiLevelType w:val="hybridMultilevel"/>
    <w:tmpl w:val="59E407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15:restartNumberingAfterBreak="0">
    <w:nsid w:val="269C6A08"/>
    <w:multiLevelType w:val="hybridMultilevel"/>
    <w:tmpl w:val="1FB244E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15:restartNumberingAfterBreak="0">
    <w:nsid w:val="26AB18E6"/>
    <w:multiLevelType w:val="hybridMultilevel"/>
    <w:tmpl w:val="EC6A4B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15:restartNumberingAfterBreak="0">
    <w:nsid w:val="27854682"/>
    <w:multiLevelType w:val="hybridMultilevel"/>
    <w:tmpl w:val="6958B92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2" w15:restartNumberingAfterBreak="0">
    <w:nsid w:val="28EA6635"/>
    <w:multiLevelType w:val="hybridMultilevel"/>
    <w:tmpl w:val="080859A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29013759"/>
    <w:multiLevelType w:val="hybridMultilevel"/>
    <w:tmpl w:val="0FFCAA78"/>
    <w:lvl w:ilvl="0" w:tplc="A76098EC">
      <w:start w:val="2"/>
      <w:numFmt w:val="bullet"/>
      <w:lvlText w:val=""/>
      <w:lvlJc w:val="left"/>
      <w:pPr>
        <w:ind w:left="360" w:hanging="360"/>
      </w:pPr>
      <w:rPr>
        <w:rFonts w:ascii="Symbol" w:eastAsia="Calibri" w:hAnsi="Symbol" w:cstheme="minorHAns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4" w15:restartNumberingAfterBreak="0">
    <w:nsid w:val="2A8F76EC"/>
    <w:multiLevelType w:val="multilevel"/>
    <w:tmpl w:val="880007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2B3C46C7"/>
    <w:multiLevelType w:val="hybridMultilevel"/>
    <w:tmpl w:val="B58E833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2B615BBE"/>
    <w:multiLevelType w:val="hybridMultilevel"/>
    <w:tmpl w:val="92C644E6"/>
    <w:lvl w:ilvl="0" w:tplc="4846F476">
      <w:start w:val="1"/>
      <w:numFmt w:val="bullet"/>
      <w:lvlText w:val="-"/>
      <w:lvlJc w:val="left"/>
      <w:pPr>
        <w:ind w:left="720" w:hanging="360"/>
      </w:pPr>
      <w:rPr>
        <w:rFonts w:ascii="Utsaah" w:hAnsi="Utsaah"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2B621302"/>
    <w:multiLevelType w:val="hybridMultilevel"/>
    <w:tmpl w:val="512801C4"/>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8" w15:restartNumberingAfterBreak="0">
    <w:nsid w:val="2CC70114"/>
    <w:multiLevelType w:val="hybridMultilevel"/>
    <w:tmpl w:val="BBBC96E4"/>
    <w:lvl w:ilvl="0" w:tplc="240A001B">
      <w:start w:val="1"/>
      <w:numFmt w:val="lowerRoman"/>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2E3F5676"/>
    <w:multiLevelType w:val="hybridMultilevel"/>
    <w:tmpl w:val="5EA42F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0" w15:restartNumberingAfterBreak="0">
    <w:nsid w:val="2ED263F7"/>
    <w:multiLevelType w:val="hybridMultilevel"/>
    <w:tmpl w:val="992E1A4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61" w15:restartNumberingAfterBreak="0">
    <w:nsid w:val="303E6785"/>
    <w:multiLevelType w:val="hybridMultilevel"/>
    <w:tmpl w:val="DC6476D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30CC4870"/>
    <w:multiLevelType w:val="hybridMultilevel"/>
    <w:tmpl w:val="6A70AC7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3" w15:restartNumberingAfterBreak="0">
    <w:nsid w:val="328F45B0"/>
    <w:multiLevelType w:val="hybridMultilevel"/>
    <w:tmpl w:val="C74AF4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4" w15:restartNumberingAfterBreak="0">
    <w:nsid w:val="33214376"/>
    <w:multiLevelType w:val="hybridMultilevel"/>
    <w:tmpl w:val="3ED6062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5" w15:restartNumberingAfterBreak="0">
    <w:nsid w:val="33951779"/>
    <w:multiLevelType w:val="hybridMultilevel"/>
    <w:tmpl w:val="D46AA6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33E17201"/>
    <w:multiLevelType w:val="hybridMultilevel"/>
    <w:tmpl w:val="545010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340E31B2"/>
    <w:multiLevelType w:val="hybridMultilevel"/>
    <w:tmpl w:val="738065D8"/>
    <w:lvl w:ilvl="0" w:tplc="2B9C526E">
      <w:start w:val="1"/>
      <w:numFmt w:val="bullet"/>
      <w:lvlText w:val=""/>
      <w:lvlJc w:val="left"/>
      <w:pPr>
        <w:ind w:left="360" w:hanging="360"/>
      </w:pPr>
      <w:rPr>
        <w:rFonts w:ascii="Symbol" w:hAnsi="Symbol" w:hint="default"/>
        <w:b/>
        <w:color w:val="auto"/>
      </w:rPr>
    </w:lvl>
    <w:lvl w:ilvl="1" w:tplc="240A0003" w:tentative="1">
      <w:start w:val="1"/>
      <w:numFmt w:val="bullet"/>
      <w:lvlText w:val="o"/>
      <w:lvlJc w:val="left"/>
      <w:pPr>
        <w:ind w:left="732" w:hanging="360"/>
      </w:pPr>
      <w:rPr>
        <w:rFonts w:ascii="Courier New" w:hAnsi="Courier New" w:cs="Courier New" w:hint="default"/>
      </w:rPr>
    </w:lvl>
    <w:lvl w:ilvl="2" w:tplc="240A0005" w:tentative="1">
      <w:start w:val="1"/>
      <w:numFmt w:val="bullet"/>
      <w:lvlText w:val=""/>
      <w:lvlJc w:val="left"/>
      <w:pPr>
        <w:ind w:left="1452" w:hanging="360"/>
      </w:pPr>
      <w:rPr>
        <w:rFonts w:ascii="Wingdings" w:hAnsi="Wingdings" w:hint="default"/>
      </w:rPr>
    </w:lvl>
    <w:lvl w:ilvl="3" w:tplc="240A0001" w:tentative="1">
      <w:start w:val="1"/>
      <w:numFmt w:val="bullet"/>
      <w:lvlText w:val=""/>
      <w:lvlJc w:val="left"/>
      <w:pPr>
        <w:ind w:left="2172" w:hanging="360"/>
      </w:pPr>
      <w:rPr>
        <w:rFonts w:ascii="Symbol" w:hAnsi="Symbol" w:hint="default"/>
      </w:rPr>
    </w:lvl>
    <w:lvl w:ilvl="4" w:tplc="240A0003" w:tentative="1">
      <w:start w:val="1"/>
      <w:numFmt w:val="bullet"/>
      <w:lvlText w:val="o"/>
      <w:lvlJc w:val="left"/>
      <w:pPr>
        <w:ind w:left="2892" w:hanging="360"/>
      </w:pPr>
      <w:rPr>
        <w:rFonts w:ascii="Courier New" w:hAnsi="Courier New" w:cs="Courier New" w:hint="default"/>
      </w:rPr>
    </w:lvl>
    <w:lvl w:ilvl="5" w:tplc="240A0005" w:tentative="1">
      <w:start w:val="1"/>
      <w:numFmt w:val="bullet"/>
      <w:lvlText w:val=""/>
      <w:lvlJc w:val="left"/>
      <w:pPr>
        <w:ind w:left="3612" w:hanging="360"/>
      </w:pPr>
      <w:rPr>
        <w:rFonts w:ascii="Wingdings" w:hAnsi="Wingdings" w:hint="default"/>
      </w:rPr>
    </w:lvl>
    <w:lvl w:ilvl="6" w:tplc="240A0001" w:tentative="1">
      <w:start w:val="1"/>
      <w:numFmt w:val="bullet"/>
      <w:lvlText w:val=""/>
      <w:lvlJc w:val="left"/>
      <w:pPr>
        <w:ind w:left="4332" w:hanging="360"/>
      </w:pPr>
      <w:rPr>
        <w:rFonts w:ascii="Symbol" w:hAnsi="Symbol" w:hint="default"/>
      </w:rPr>
    </w:lvl>
    <w:lvl w:ilvl="7" w:tplc="240A0003" w:tentative="1">
      <w:start w:val="1"/>
      <w:numFmt w:val="bullet"/>
      <w:lvlText w:val="o"/>
      <w:lvlJc w:val="left"/>
      <w:pPr>
        <w:ind w:left="5052" w:hanging="360"/>
      </w:pPr>
      <w:rPr>
        <w:rFonts w:ascii="Courier New" w:hAnsi="Courier New" w:cs="Courier New" w:hint="default"/>
      </w:rPr>
    </w:lvl>
    <w:lvl w:ilvl="8" w:tplc="240A0005" w:tentative="1">
      <w:start w:val="1"/>
      <w:numFmt w:val="bullet"/>
      <w:lvlText w:val=""/>
      <w:lvlJc w:val="left"/>
      <w:pPr>
        <w:ind w:left="5772" w:hanging="360"/>
      </w:pPr>
      <w:rPr>
        <w:rFonts w:ascii="Wingdings" w:hAnsi="Wingdings" w:hint="default"/>
      </w:rPr>
    </w:lvl>
  </w:abstractNum>
  <w:abstractNum w:abstractNumId="68" w15:restartNumberingAfterBreak="0">
    <w:nsid w:val="34543196"/>
    <w:multiLevelType w:val="hybridMultilevel"/>
    <w:tmpl w:val="27A2C162"/>
    <w:lvl w:ilvl="0" w:tplc="5D363C74">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9" w15:restartNumberingAfterBreak="0">
    <w:nsid w:val="34B660A2"/>
    <w:multiLevelType w:val="hybridMultilevel"/>
    <w:tmpl w:val="B9BAA5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0" w15:restartNumberingAfterBreak="0">
    <w:nsid w:val="352502BD"/>
    <w:multiLevelType w:val="hybridMultilevel"/>
    <w:tmpl w:val="A8EE4B34"/>
    <w:lvl w:ilvl="0" w:tplc="45D0C4A8">
      <w:start w:val="1"/>
      <w:numFmt w:val="bullet"/>
      <w:lvlText w:val="•"/>
      <w:lvlJc w:val="left"/>
      <w:pPr>
        <w:ind w:left="720" w:hanging="360"/>
      </w:pPr>
      <w:rPr>
        <w:rFonts w:ascii="Arial" w:hAnsi="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1919"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35A52F09"/>
    <w:multiLevelType w:val="hybridMultilevel"/>
    <w:tmpl w:val="2FBC9CB4"/>
    <w:lvl w:ilvl="0" w:tplc="23ACCFBE">
      <w:start w:val="1"/>
      <w:numFmt w:val="bullet"/>
      <w:lvlText w:val="o"/>
      <w:lvlJc w:val="left"/>
      <w:pPr>
        <w:ind w:left="360" w:hanging="360"/>
      </w:pPr>
      <w:rPr>
        <w:rFonts w:ascii="Courier New" w:hAnsi="Courier New" w:cs="Courier New"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2" w15:restartNumberingAfterBreak="0">
    <w:nsid w:val="36255BC9"/>
    <w:multiLevelType w:val="hybridMultilevel"/>
    <w:tmpl w:val="DD7EBB9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3" w15:restartNumberingAfterBreak="0">
    <w:nsid w:val="36994304"/>
    <w:multiLevelType w:val="hybridMultilevel"/>
    <w:tmpl w:val="F8E6199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15:restartNumberingAfterBreak="0">
    <w:nsid w:val="36A6405A"/>
    <w:multiLevelType w:val="hybridMultilevel"/>
    <w:tmpl w:val="CD0A8DD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37336A77"/>
    <w:multiLevelType w:val="hybridMultilevel"/>
    <w:tmpl w:val="46CEC9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6" w15:restartNumberingAfterBreak="0">
    <w:nsid w:val="37654DCA"/>
    <w:multiLevelType w:val="hybridMultilevel"/>
    <w:tmpl w:val="2816487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7" w15:restartNumberingAfterBreak="0">
    <w:nsid w:val="37A97DBD"/>
    <w:multiLevelType w:val="hybridMultilevel"/>
    <w:tmpl w:val="21F86C2E"/>
    <w:lvl w:ilvl="0" w:tplc="240A0003">
      <w:start w:val="1"/>
      <w:numFmt w:val="bullet"/>
      <w:lvlText w:val="o"/>
      <w:lvlJc w:val="left"/>
      <w:pPr>
        <w:ind w:left="1077" w:hanging="360"/>
      </w:pPr>
      <w:rPr>
        <w:rFonts w:ascii="Courier New" w:hAnsi="Courier New" w:cs="Courier New" w:hint="default"/>
      </w:rPr>
    </w:lvl>
    <w:lvl w:ilvl="1" w:tplc="240A0003" w:tentative="1">
      <w:start w:val="1"/>
      <w:numFmt w:val="bullet"/>
      <w:lvlText w:val="o"/>
      <w:lvlJc w:val="left"/>
      <w:pPr>
        <w:ind w:left="1797" w:hanging="360"/>
      </w:pPr>
      <w:rPr>
        <w:rFonts w:ascii="Courier New" w:hAnsi="Courier New" w:cs="Courier New" w:hint="default"/>
      </w:rPr>
    </w:lvl>
    <w:lvl w:ilvl="2" w:tplc="240A0005" w:tentative="1">
      <w:start w:val="1"/>
      <w:numFmt w:val="bullet"/>
      <w:lvlText w:val=""/>
      <w:lvlJc w:val="left"/>
      <w:pPr>
        <w:ind w:left="2517" w:hanging="360"/>
      </w:pPr>
      <w:rPr>
        <w:rFonts w:ascii="Wingdings" w:hAnsi="Wingdings" w:hint="default"/>
      </w:rPr>
    </w:lvl>
    <w:lvl w:ilvl="3" w:tplc="240A0001" w:tentative="1">
      <w:start w:val="1"/>
      <w:numFmt w:val="bullet"/>
      <w:lvlText w:val=""/>
      <w:lvlJc w:val="left"/>
      <w:pPr>
        <w:ind w:left="3237" w:hanging="360"/>
      </w:pPr>
      <w:rPr>
        <w:rFonts w:ascii="Symbol" w:hAnsi="Symbol" w:hint="default"/>
      </w:rPr>
    </w:lvl>
    <w:lvl w:ilvl="4" w:tplc="240A0003" w:tentative="1">
      <w:start w:val="1"/>
      <w:numFmt w:val="bullet"/>
      <w:lvlText w:val="o"/>
      <w:lvlJc w:val="left"/>
      <w:pPr>
        <w:ind w:left="3957" w:hanging="360"/>
      </w:pPr>
      <w:rPr>
        <w:rFonts w:ascii="Courier New" w:hAnsi="Courier New" w:cs="Courier New" w:hint="default"/>
      </w:rPr>
    </w:lvl>
    <w:lvl w:ilvl="5" w:tplc="240A0005" w:tentative="1">
      <w:start w:val="1"/>
      <w:numFmt w:val="bullet"/>
      <w:lvlText w:val=""/>
      <w:lvlJc w:val="left"/>
      <w:pPr>
        <w:ind w:left="4677" w:hanging="360"/>
      </w:pPr>
      <w:rPr>
        <w:rFonts w:ascii="Wingdings" w:hAnsi="Wingdings" w:hint="default"/>
      </w:rPr>
    </w:lvl>
    <w:lvl w:ilvl="6" w:tplc="240A0001" w:tentative="1">
      <w:start w:val="1"/>
      <w:numFmt w:val="bullet"/>
      <w:lvlText w:val=""/>
      <w:lvlJc w:val="left"/>
      <w:pPr>
        <w:ind w:left="5397" w:hanging="360"/>
      </w:pPr>
      <w:rPr>
        <w:rFonts w:ascii="Symbol" w:hAnsi="Symbol" w:hint="default"/>
      </w:rPr>
    </w:lvl>
    <w:lvl w:ilvl="7" w:tplc="240A0003" w:tentative="1">
      <w:start w:val="1"/>
      <w:numFmt w:val="bullet"/>
      <w:lvlText w:val="o"/>
      <w:lvlJc w:val="left"/>
      <w:pPr>
        <w:ind w:left="6117" w:hanging="360"/>
      </w:pPr>
      <w:rPr>
        <w:rFonts w:ascii="Courier New" w:hAnsi="Courier New" w:cs="Courier New" w:hint="default"/>
      </w:rPr>
    </w:lvl>
    <w:lvl w:ilvl="8" w:tplc="240A0005" w:tentative="1">
      <w:start w:val="1"/>
      <w:numFmt w:val="bullet"/>
      <w:lvlText w:val=""/>
      <w:lvlJc w:val="left"/>
      <w:pPr>
        <w:ind w:left="6837" w:hanging="360"/>
      </w:pPr>
      <w:rPr>
        <w:rFonts w:ascii="Wingdings" w:hAnsi="Wingdings" w:hint="default"/>
      </w:rPr>
    </w:lvl>
  </w:abstractNum>
  <w:abstractNum w:abstractNumId="78" w15:restartNumberingAfterBreak="0">
    <w:nsid w:val="37AA299D"/>
    <w:multiLevelType w:val="hybridMultilevel"/>
    <w:tmpl w:val="4210AAA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9" w15:restartNumberingAfterBreak="0">
    <w:nsid w:val="37E50BB0"/>
    <w:multiLevelType w:val="hybridMultilevel"/>
    <w:tmpl w:val="403E0C42"/>
    <w:lvl w:ilvl="0" w:tplc="B232DB62">
      <w:numFmt w:val="bullet"/>
      <w:lvlText w:val="-"/>
      <w:lvlJc w:val="left"/>
      <w:pPr>
        <w:ind w:left="2844" w:hanging="360"/>
      </w:pPr>
      <w:rPr>
        <w:rFonts w:ascii="Calibri" w:eastAsia="Calibri" w:hAnsi="Calibri" w:cs="Arial" w:hint="default"/>
        <w:color w:val="auto"/>
      </w:rPr>
    </w:lvl>
    <w:lvl w:ilvl="1" w:tplc="240A0003" w:tentative="1">
      <w:start w:val="1"/>
      <w:numFmt w:val="bullet"/>
      <w:lvlText w:val="o"/>
      <w:lvlJc w:val="left"/>
      <w:pPr>
        <w:ind w:left="3564" w:hanging="360"/>
      </w:pPr>
      <w:rPr>
        <w:rFonts w:ascii="Courier New" w:hAnsi="Courier New" w:cs="Courier New" w:hint="default"/>
      </w:rPr>
    </w:lvl>
    <w:lvl w:ilvl="2" w:tplc="240A0005" w:tentative="1">
      <w:start w:val="1"/>
      <w:numFmt w:val="bullet"/>
      <w:lvlText w:val=""/>
      <w:lvlJc w:val="left"/>
      <w:pPr>
        <w:ind w:left="4284" w:hanging="360"/>
      </w:pPr>
      <w:rPr>
        <w:rFonts w:ascii="Wingdings" w:hAnsi="Wingdings" w:hint="default"/>
      </w:rPr>
    </w:lvl>
    <w:lvl w:ilvl="3" w:tplc="240A0001" w:tentative="1">
      <w:start w:val="1"/>
      <w:numFmt w:val="bullet"/>
      <w:lvlText w:val=""/>
      <w:lvlJc w:val="left"/>
      <w:pPr>
        <w:ind w:left="5004" w:hanging="360"/>
      </w:pPr>
      <w:rPr>
        <w:rFonts w:ascii="Symbol" w:hAnsi="Symbol" w:hint="default"/>
      </w:rPr>
    </w:lvl>
    <w:lvl w:ilvl="4" w:tplc="240A0003" w:tentative="1">
      <w:start w:val="1"/>
      <w:numFmt w:val="bullet"/>
      <w:lvlText w:val="o"/>
      <w:lvlJc w:val="left"/>
      <w:pPr>
        <w:ind w:left="5724" w:hanging="360"/>
      </w:pPr>
      <w:rPr>
        <w:rFonts w:ascii="Courier New" w:hAnsi="Courier New" w:cs="Courier New" w:hint="default"/>
      </w:rPr>
    </w:lvl>
    <w:lvl w:ilvl="5" w:tplc="240A0005" w:tentative="1">
      <w:start w:val="1"/>
      <w:numFmt w:val="bullet"/>
      <w:lvlText w:val=""/>
      <w:lvlJc w:val="left"/>
      <w:pPr>
        <w:ind w:left="6444" w:hanging="360"/>
      </w:pPr>
      <w:rPr>
        <w:rFonts w:ascii="Wingdings" w:hAnsi="Wingdings" w:hint="default"/>
      </w:rPr>
    </w:lvl>
    <w:lvl w:ilvl="6" w:tplc="240A0001" w:tentative="1">
      <w:start w:val="1"/>
      <w:numFmt w:val="bullet"/>
      <w:lvlText w:val=""/>
      <w:lvlJc w:val="left"/>
      <w:pPr>
        <w:ind w:left="7164" w:hanging="360"/>
      </w:pPr>
      <w:rPr>
        <w:rFonts w:ascii="Symbol" w:hAnsi="Symbol" w:hint="default"/>
      </w:rPr>
    </w:lvl>
    <w:lvl w:ilvl="7" w:tplc="240A0003" w:tentative="1">
      <w:start w:val="1"/>
      <w:numFmt w:val="bullet"/>
      <w:lvlText w:val="o"/>
      <w:lvlJc w:val="left"/>
      <w:pPr>
        <w:ind w:left="7884" w:hanging="360"/>
      </w:pPr>
      <w:rPr>
        <w:rFonts w:ascii="Courier New" w:hAnsi="Courier New" w:cs="Courier New" w:hint="default"/>
      </w:rPr>
    </w:lvl>
    <w:lvl w:ilvl="8" w:tplc="240A0005" w:tentative="1">
      <w:start w:val="1"/>
      <w:numFmt w:val="bullet"/>
      <w:lvlText w:val=""/>
      <w:lvlJc w:val="left"/>
      <w:pPr>
        <w:ind w:left="8604" w:hanging="360"/>
      </w:pPr>
      <w:rPr>
        <w:rFonts w:ascii="Wingdings" w:hAnsi="Wingdings" w:hint="default"/>
      </w:rPr>
    </w:lvl>
  </w:abstractNum>
  <w:abstractNum w:abstractNumId="80" w15:restartNumberingAfterBreak="0">
    <w:nsid w:val="381C47D5"/>
    <w:multiLevelType w:val="hybridMultilevel"/>
    <w:tmpl w:val="EF669AD8"/>
    <w:lvl w:ilvl="0" w:tplc="13C4994E">
      <w:numFmt w:val="bullet"/>
      <w:lvlText w:val="-"/>
      <w:lvlJc w:val="left"/>
      <w:pPr>
        <w:ind w:left="360" w:hanging="360"/>
      </w:pPr>
      <w:rPr>
        <w:rFonts w:ascii="Calibri Light" w:eastAsia="Calibri" w:hAnsi="Calibri Light"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1" w15:restartNumberingAfterBreak="0">
    <w:nsid w:val="382D4A00"/>
    <w:multiLevelType w:val="hybridMultilevel"/>
    <w:tmpl w:val="84E237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2" w15:restartNumberingAfterBreak="0">
    <w:nsid w:val="39680CAD"/>
    <w:multiLevelType w:val="hybridMultilevel"/>
    <w:tmpl w:val="E59C1C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39FD620A"/>
    <w:multiLevelType w:val="hybridMultilevel"/>
    <w:tmpl w:val="6052B026"/>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4" w15:restartNumberingAfterBreak="0">
    <w:nsid w:val="3A852D27"/>
    <w:multiLevelType w:val="hybridMultilevel"/>
    <w:tmpl w:val="D75C701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5" w15:restartNumberingAfterBreak="0">
    <w:nsid w:val="3C413DD2"/>
    <w:multiLevelType w:val="multilevel"/>
    <w:tmpl w:val="5678BBA0"/>
    <w:lvl w:ilvl="0">
      <w:start w:val="3"/>
      <w:numFmt w:val="decimal"/>
      <w:lvlText w:val="%1."/>
      <w:lvlJc w:val="left"/>
      <w:pPr>
        <w:ind w:left="495" w:hanging="495"/>
      </w:pPr>
      <w:rPr>
        <w:rFonts w:hint="default"/>
      </w:rPr>
    </w:lvl>
    <w:lvl w:ilvl="1">
      <w:start w:val="4"/>
      <w:numFmt w:val="decimal"/>
      <w:lvlText w:val="%1.%2."/>
      <w:lvlJc w:val="left"/>
      <w:pPr>
        <w:ind w:left="675" w:hanging="49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6" w15:restartNumberingAfterBreak="0">
    <w:nsid w:val="3F5C6E86"/>
    <w:multiLevelType w:val="hybridMultilevel"/>
    <w:tmpl w:val="9A8C6A94"/>
    <w:lvl w:ilvl="0" w:tplc="CFA6943A">
      <w:numFmt w:val="bullet"/>
      <w:lvlText w:val="•"/>
      <w:lvlJc w:val="left"/>
      <w:pPr>
        <w:ind w:left="1005" w:hanging="645"/>
      </w:pPr>
      <w:rPr>
        <w:rFonts w:ascii="Calibri Light" w:eastAsia="Times New Roman"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40082B0A"/>
    <w:multiLevelType w:val="hybridMultilevel"/>
    <w:tmpl w:val="8E3884BA"/>
    <w:lvl w:ilvl="0" w:tplc="5D363C74">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8" w15:restartNumberingAfterBreak="0">
    <w:nsid w:val="428241F2"/>
    <w:multiLevelType w:val="hybridMultilevel"/>
    <w:tmpl w:val="4318570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9" w15:restartNumberingAfterBreak="0">
    <w:nsid w:val="43F0204D"/>
    <w:multiLevelType w:val="hybridMultilevel"/>
    <w:tmpl w:val="B9441260"/>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0" w15:restartNumberingAfterBreak="0">
    <w:nsid w:val="444B2A98"/>
    <w:multiLevelType w:val="hybridMultilevel"/>
    <w:tmpl w:val="9B1C2F00"/>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469E6A1E"/>
    <w:multiLevelType w:val="hybridMultilevel"/>
    <w:tmpl w:val="B42ED754"/>
    <w:lvl w:ilvl="0" w:tplc="240A0001">
      <w:start w:val="1"/>
      <w:numFmt w:val="bullet"/>
      <w:lvlText w:val=""/>
      <w:lvlJc w:val="left"/>
      <w:pPr>
        <w:ind w:left="-2" w:hanging="360"/>
      </w:pPr>
      <w:rPr>
        <w:rFonts w:ascii="Symbol" w:hAnsi="Symbol" w:hint="default"/>
      </w:rPr>
    </w:lvl>
    <w:lvl w:ilvl="1" w:tplc="240A0003" w:tentative="1">
      <w:start w:val="1"/>
      <w:numFmt w:val="bullet"/>
      <w:lvlText w:val="o"/>
      <w:lvlJc w:val="left"/>
      <w:pPr>
        <w:ind w:left="718" w:hanging="360"/>
      </w:pPr>
      <w:rPr>
        <w:rFonts w:ascii="Courier New" w:hAnsi="Courier New" w:cs="Courier New" w:hint="default"/>
      </w:rPr>
    </w:lvl>
    <w:lvl w:ilvl="2" w:tplc="240A0005" w:tentative="1">
      <w:start w:val="1"/>
      <w:numFmt w:val="bullet"/>
      <w:lvlText w:val=""/>
      <w:lvlJc w:val="left"/>
      <w:pPr>
        <w:ind w:left="1438" w:hanging="360"/>
      </w:pPr>
      <w:rPr>
        <w:rFonts w:ascii="Wingdings" w:hAnsi="Wingdings" w:hint="default"/>
      </w:rPr>
    </w:lvl>
    <w:lvl w:ilvl="3" w:tplc="240A0001" w:tentative="1">
      <w:start w:val="1"/>
      <w:numFmt w:val="bullet"/>
      <w:lvlText w:val=""/>
      <w:lvlJc w:val="left"/>
      <w:pPr>
        <w:ind w:left="2158" w:hanging="360"/>
      </w:pPr>
      <w:rPr>
        <w:rFonts w:ascii="Symbol" w:hAnsi="Symbol" w:hint="default"/>
      </w:rPr>
    </w:lvl>
    <w:lvl w:ilvl="4" w:tplc="240A0003" w:tentative="1">
      <w:start w:val="1"/>
      <w:numFmt w:val="bullet"/>
      <w:lvlText w:val="o"/>
      <w:lvlJc w:val="left"/>
      <w:pPr>
        <w:ind w:left="2878" w:hanging="360"/>
      </w:pPr>
      <w:rPr>
        <w:rFonts w:ascii="Courier New" w:hAnsi="Courier New" w:cs="Courier New" w:hint="default"/>
      </w:rPr>
    </w:lvl>
    <w:lvl w:ilvl="5" w:tplc="240A0005" w:tentative="1">
      <w:start w:val="1"/>
      <w:numFmt w:val="bullet"/>
      <w:lvlText w:val=""/>
      <w:lvlJc w:val="left"/>
      <w:pPr>
        <w:ind w:left="3598" w:hanging="360"/>
      </w:pPr>
      <w:rPr>
        <w:rFonts w:ascii="Wingdings" w:hAnsi="Wingdings" w:hint="default"/>
      </w:rPr>
    </w:lvl>
    <w:lvl w:ilvl="6" w:tplc="240A0001" w:tentative="1">
      <w:start w:val="1"/>
      <w:numFmt w:val="bullet"/>
      <w:lvlText w:val=""/>
      <w:lvlJc w:val="left"/>
      <w:pPr>
        <w:ind w:left="4318" w:hanging="360"/>
      </w:pPr>
      <w:rPr>
        <w:rFonts w:ascii="Symbol" w:hAnsi="Symbol" w:hint="default"/>
      </w:rPr>
    </w:lvl>
    <w:lvl w:ilvl="7" w:tplc="240A0003" w:tentative="1">
      <w:start w:val="1"/>
      <w:numFmt w:val="bullet"/>
      <w:lvlText w:val="o"/>
      <w:lvlJc w:val="left"/>
      <w:pPr>
        <w:ind w:left="5038" w:hanging="360"/>
      </w:pPr>
      <w:rPr>
        <w:rFonts w:ascii="Courier New" w:hAnsi="Courier New" w:cs="Courier New" w:hint="default"/>
      </w:rPr>
    </w:lvl>
    <w:lvl w:ilvl="8" w:tplc="240A0005" w:tentative="1">
      <w:start w:val="1"/>
      <w:numFmt w:val="bullet"/>
      <w:lvlText w:val=""/>
      <w:lvlJc w:val="left"/>
      <w:pPr>
        <w:ind w:left="5758" w:hanging="360"/>
      </w:pPr>
      <w:rPr>
        <w:rFonts w:ascii="Wingdings" w:hAnsi="Wingdings" w:hint="default"/>
      </w:rPr>
    </w:lvl>
  </w:abstractNum>
  <w:abstractNum w:abstractNumId="92" w15:restartNumberingAfterBreak="0">
    <w:nsid w:val="482A3692"/>
    <w:multiLevelType w:val="hybridMultilevel"/>
    <w:tmpl w:val="85BCF242"/>
    <w:lvl w:ilvl="0" w:tplc="4846F476">
      <w:start w:val="1"/>
      <w:numFmt w:val="bullet"/>
      <w:lvlText w:val="-"/>
      <w:lvlJc w:val="left"/>
      <w:pPr>
        <w:ind w:left="720" w:hanging="360"/>
      </w:pPr>
      <w:rPr>
        <w:rFonts w:ascii="Utsaah" w:hAnsi="Utsaah"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15:restartNumberingAfterBreak="0">
    <w:nsid w:val="48687405"/>
    <w:multiLevelType w:val="hybridMultilevel"/>
    <w:tmpl w:val="8110B100"/>
    <w:lvl w:ilvl="0" w:tplc="CF768918">
      <w:start w:val="1"/>
      <w:numFmt w:val="decimal"/>
      <w:lvlText w:val="%1."/>
      <w:lvlJc w:val="left"/>
      <w:pPr>
        <w:tabs>
          <w:tab w:val="num" w:pos="360"/>
        </w:tabs>
        <w:ind w:left="360" w:hanging="360"/>
      </w:pPr>
    </w:lvl>
    <w:lvl w:ilvl="1" w:tplc="F8AEBBF8" w:tentative="1">
      <w:start w:val="1"/>
      <w:numFmt w:val="decimal"/>
      <w:lvlText w:val="%2."/>
      <w:lvlJc w:val="left"/>
      <w:pPr>
        <w:tabs>
          <w:tab w:val="num" w:pos="1080"/>
        </w:tabs>
        <w:ind w:left="1080" w:hanging="360"/>
      </w:pPr>
    </w:lvl>
    <w:lvl w:ilvl="2" w:tplc="90520578" w:tentative="1">
      <w:start w:val="1"/>
      <w:numFmt w:val="decimal"/>
      <w:lvlText w:val="%3."/>
      <w:lvlJc w:val="left"/>
      <w:pPr>
        <w:tabs>
          <w:tab w:val="num" w:pos="1800"/>
        </w:tabs>
        <w:ind w:left="1800" w:hanging="360"/>
      </w:pPr>
    </w:lvl>
    <w:lvl w:ilvl="3" w:tplc="50380036" w:tentative="1">
      <w:start w:val="1"/>
      <w:numFmt w:val="decimal"/>
      <w:lvlText w:val="%4."/>
      <w:lvlJc w:val="left"/>
      <w:pPr>
        <w:tabs>
          <w:tab w:val="num" w:pos="2520"/>
        </w:tabs>
        <w:ind w:left="2520" w:hanging="360"/>
      </w:pPr>
    </w:lvl>
    <w:lvl w:ilvl="4" w:tplc="916098C2" w:tentative="1">
      <w:start w:val="1"/>
      <w:numFmt w:val="decimal"/>
      <w:lvlText w:val="%5."/>
      <w:lvlJc w:val="left"/>
      <w:pPr>
        <w:tabs>
          <w:tab w:val="num" w:pos="3240"/>
        </w:tabs>
        <w:ind w:left="3240" w:hanging="360"/>
      </w:pPr>
    </w:lvl>
    <w:lvl w:ilvl="5" w:tplc="E0F0086A" w:tentative="1">
      <w:start w:val="1"/>
      <w:numFmt w:val="decimal"/>
      <w:lvlText w:val="%6."/>
      <w:lvlJc w:val="left"/>
      <w:pPr>
        <w:tabs>
          <w:tab w:val="num" w:pos="3960"/>
        </w:tabs>
        <w:ind w:left="3960" w:hanging="360"/>
      </w:pPr>
    </w:lvl>
    <w:lvl w:ilvl="6" w:tplc="3D5A2D26" w:tentative="1">
      <w:start w:val="1"/>
      <w:numFmt w:val="decimal"/>
      <w:lvlText w:val="%7."/>
      <w:lvlJc w:val="left"/>
      <w:pPr>
        <w:tabs>
          <w:tab w:val="num" w:pos="4680"/>
        </w:tabs>
        <w:ind w:left="4680" w:hanging="360"/>
      </w:pPr>
    </w:lvl>
    <w:lvl w:ilvl="7" w:tplc="9A985D1A" w:tentative="1">
      <w:start w:val="1"/>
      <w:numFmt w:val="decimal"/>
      <w:lvlText w:val="%8."/>
      <w:lvlJc w:val="left"/>
      <w:pPr>
        <w:tabs>
          <w:tab w:val="num" w:pos="5400"/>
        </w:tabs>
        <w:ind w:left="5400" w:hanging="360"/>
      </w:pPr>
    </w:lvl>
    <w:lvl w:ilvl="8" w:tplc="0860A700" w:tentative="1">
      <w:start w:val="1"/>
      <w:numFmt w:val="decimal"/>
      <w:lvlText w:val="%9."/>
      <w:lvlJc w:val="left"/>
      <w:pPr>
        <w:tabs>
          <w:tab w:val="num" w:pos="6120"/>
        </w:tabs>
        <w:ind w:left="6120" w:hanging="360"/>
      </w:pPr>
    </w:lvl>
  </w:abstractNum>
  <w:abstractNum w:abstractNumId="94" w15:restartNumberingAfterBreak="0">
    <w:nsid w:val="49120922"/>
    <w:multiLevelType w:val="hybridMultilevel"/>
    <w:tmpl w:val="EA2AD4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4A684A19"/>
    <w:multiLevelType w:val="hybridMultilevel"/>
    <w:tmpl w:val="C792DA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6" w15:restartNumberingAfterBreak="0">
    <w:nsid w:val="4A794580"/>
    <w:multiLevelType w:val="hybridMultilevel"/>
    <w:tmpl w:val="40D8EC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7" w15:restartNumberingAfterBreak="0">
    <w:nsid w:val="4B6A5E2E"/>
    <w:multiLevelType w:val="hybridMultilevel"/>
    <w:tmpl w:val="92E4DD48"/>
    <w:lvl w:ilvl="0" w:tplc="23ACCFBE">
      <w:start w:val="1"/>
      <w:numFmt w:val="bullet"/>
      <w:lvlText w:val="o"/>
      <w:lvlJc w:val="left"/>
      <w:pPr>
        <w:ind w:left="720" w:hanging="360"/>
      </w:pPr>
      <w:rPr>
        <w:rFonts w:ascii="Courier New" w:hAnsi="Courier New" w:cs="Courier New"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15:restartNumberingAfterBreak="0">
    <w:nsid w:val="4C5A6662"/>
    <w:multiLevelType w:val="hybridMultilevel"/>
    <w:tmpl w:val="12AE142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9" w15:restartNumberingAfterBreak="0">
    <w:nsid w:val="4CC6155F"/>
    <w:multiLevelType w:val="hybridMultilevel"/>
    <w:tmpl w:val="F0BCDAA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0" w15:restartNumberingAfterBreak="0">
    <w:nsid w:val="4CF04EC4"/>
    <w:multiLevelType w:val="hybridMultilevel"/>
    <w:tmpl w:val="635C2DA4"/>
    <w:lvl w:ilvl="0" w:tplc="75CA5096">
      <w:start w:val="1"/>
      <w:numFmt w:val="bullet"/>
      <w:lvlText w:val=""/>
      <w:lvlJc w:val="left"/>
      <w:pPr>
        <w:ind w:left="360" w:hanging="360"/>
      </w:pPr>
      <w:rPr>
        <w:rFonts w:ascii="Symbol" w:hAnsi="Symbol" w:hint="default"/>
        <w:color w:val="auto"/>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1" w15:restartNumberingAfterBreak="0">
    <w:nsid w:val="4E2A642A"/>
    <w:multiLevelType w:val="hybridMultilevel"/>
    <w:tmpl w:val="1C9E3A88"/>
    <w:lvl w:ilvl="0" w:tplc="6442BB8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15:restartNumberingAfterBreak="0">
    <w:nsid w:val="4F2B6241"/>
    <w:multiLevelType w:val="hybridMultilevel"/>
    <w:tmpl w:val="2BD6FD1A"/>
    <w:styleLink w:val="Vietagrande"/>
    <w:lvl w:ilvl="0" w:tplc="080A0019">
      <w:start w:val="1"/>
      <w:numFmt w:val="lowerLetter"/>
      <w:lvlText w:val="%1."/>
      <w:lvlJc w:val="left"/>
      <w:pPr>
        <w:ind w:left="1440" w:hanging="360"/>
      </w:pPr>
    </w:lvl>
    <w:lvl w:ilvl="1" w:tplc="240A0019" w:tentative="1">
      <w:start w:val="1"/>
      <w:numFmt w:val="lowerLetter"/>
      <w:lvlText w:val="%2."/>
      <w:lvlJc w:val="left"/>
      <w:pPr>
        <w:ind w:left="1528" w:hanging="360"/>
      </w:pPr>
    </w:lvl>
    <w:lvl w:ilvl="2" w:tplc="240A001B" w:tentative="1">
      <w:start w:val="1"/>
      <w:numFmt w:val="lowerRoman"/>
      <w:lvlText w:val="%3."/>
      <w:lvlJc w:val="right"/>
      <w:pPr>
        <w:ind w:left="2248" w:hanging="180"/>
      </w:pPr>
    </w:lvl>
    <w:lvl w:ilvl="3" w:tplc="240A000F" w:tentative="1">
      <w:start w:val="1"/>
      <w:numFmt w:val="decimal"/>
      <w:lvlText w:val="%4."/>
      <w:lvlJc w:val="left"/>
      <w:pPr>
        <w:ind w:left="2968" w:hanging="360"/>
      </w:pPr>
    </w:lvl>
    <w:lvl w:ilvl="4" w:tplc="240A0019" w:tentative="1">
      <w:start w:val="1"/>
      <w:numFmt w:val="lowerLetter"/>
      <w:lvlText w:val="%5."/>
      <w:lvlJc w:val="left"/>
      <w:pPr>
        <w:ind w:left="3688" w:hanging="360"/>
      </w:pPr>
    </w:lvl>
    <w:lvl w:ilvl="5" w:tplc="240A001B" w:tentative="1">
      <w:start w:val="1"/>
      <w:numFmt w:val="lowerRoman"/>
      <w:lvlText w:val="%6."/>
      <w:lvlJc w:val="right"/>
      <w:pPr>
        <w:ind w:left="4408" w:hanging="180"/>
      </w:pPr>
    </w:lvl>
    <w:lvl w:ilvl="6" w:tplc="240A000F" w:tentative="1">
      <w:start w:val="1"/>
      <w:numFmt w:val="decimal"/>
      <w:lvlText w:val="%7."/>
      <w:lvlJc w:val="left"/>
      <w:pPr>
        <w:ind w:left="5128" w:hanging="360"/>
      </w:pPr>
    </w:lvl>
    <w:lvl w:ilvl="7" w:tplc="240A0019" w:tentative="1">
      <w:start w:val="1"/>
      <w:numFmt w:val="lowerLetter"/>
      <w:lvlText w:val="%8."/>
      <w:lvlJc w:val="left"/>
      <w:pPr>
        <w:ind w:left="5848" w:hanging="360"/>
      </w:pPr>
    </w:lvl>
    <w:lvl w:ilvl="8" w:tplc="240A001B" w:tentative="1">
      <w:start w:val="1"/>
      <w:numFmt w:val="lowerRoman"/>
      <w:lvlText w:val="%9."/>
      <w:lvlJc w:val="right"/>
      <w:pPr>
        <w:ind w:left="6568" w:hanging="180"/>
      </w:pPr>
    </w:lvl>
  </w:abstractNum>
  <w:abstractNum w:abstractNumId="103" w15:restartNumberingAfterBreak="0">
    <w:nsid w:val="4F954F6E"/>
    <w:multiLevelType w:val="hybridMultilevel"/>
    <w:tmpl w:val="CA92B8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4" w15:restartNumberingAfterBreak="0">
    <w:nsid w:val="4FFA02B7"/>
    <w:multiLevelType w:val="hybridMultilevel"/>
    <w:tmpl w:val="988CA61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5" w15:restartNumberingAfterBreak="0">
    <w:nsid w:val="51DF3113"/>
    <w:multiLevelType w:val="hybridMultilevel"/>
    <w:tmpl w:val="47BA14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6" w15:restartNumberingAfterBreak="0">
    <w:nsid w:val="5255401B"/>
    <w:multiLevelType w:val="hybridMultilevel"/>
    <w:tmpl w:val="12F2501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7" w15:restartNumberingAfterBreak="0">
    <w:nsid w:val="5302302E"/>
    <w:multiLevelType w:val="hybridMultilevel"/>
    <w:tmpl w:val="1048DC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8" w15:restartNumberingAfterBreak="0">
    <w:nsid w:val="54050228"/>
    <w:multiLevelType w:val="hybridMultilevel"/>
    <w:tmpl w:val="1DFC914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9" w15:restartNumberingAfterBreak="0">
    <w:nsid w:val="567A5F49"/>
    <w:multiLevelType w:val="hybridMultilevel"/>
    <w:tmpl w:val="FA7CF142"/>
    <w:lvl w:ilvl="0" w:tplc="CFA6943A">
      <w:numFmt w:val="bullet"/>
      <w:lvlText w:val="•"/>
      <w:lvlJc w:val="left"/>
      <w:pPr>
        <w:ind w:left="1005" w:hanging="645"/>
      </w:pPr>
      <w:rPr>
        <w:rFonts w:ascii="Calibri Light" w:eastAsia="Times New Roman"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15:restartNumberingAfterBreak="0">
    <w:nsid w:val="57755D5D"/>
    <w:multiLevelType w:val="hybridMultilevel"/>
    <w:tmpl w:val="03DED4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1" w15:restartNumberingAfterBreak="0">
    <w:nsid w:val="57AA4F92"/>
    <w:multiLevelType w:val="hybridMultilevel"/>
    <w:tmpl w:val="BE6238DC"/>
    <w:lvl w:ilvl="0" w:tplc="23ACCFBE">
      <w:start w:val="1"/>
      <w:numFmt w:val="bullet"/>
      <w:lvlText w:val="o"/>
      <w:lvlJc w:val="left"/>
      <w:pPr>
        <w:ind w:left="720" w:hanging="360"/>
      </w:pPr>
      <w:rPr>
        <w:rFonts w:ascii="Courier New" w:hAnsi="Courier New" w:cs="Courier New"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2" w15:restartNumberingAfterBreak="0">
    <w:nsid w:val="57AA512F"/>
    <w:multiLevelType w:val="hybridMultilevel"/>
    <w:tmpl w:val="5B02BDAC"/>
    <w:lvl w:ilvl="0" w:tplc="240A0001">
      <w:start w:val="1"/>
      <w:numFmt w:val="bullet"/>
      <w:lvlText w:val=""/>
      <w:lvlJc w:val="left"/>
      <w:pPr>
        <w:ind w:left="357" w:hanging="360"/>
      </w:pPr>
      <w:rPr>
        <w:rFonts w:ascii="Symbol" w:hAnsi="Symbol" w:hint="default"/>
      </w:rPr>
    </w:lvl>
    <w:lvl w:ilvl="1" w:tplc="240A0003" w:tentative="1">
      <w:start w:val="1"/>
      <w:numFmt w:val="bullet"/>
      <w:lvlText w:val="o"/>
      <w:lvlJc w:val="left"/>
      <w:pPr>
        <w:ind w:left="1077" w:hanging="360"/>
      </w:pPr>
      <w:rPr>
        <w:rFonts w:ascii="Courier New" w:hAnsi="Courier New" w:cs="Courier New" w:hint="default"/>
      </w:rPr>
    </w:lvl>
    <w:lvl w:ilvl="2" w:tplc="240A0005" w:tentative="1">
      <w:start w:val="1"/>
      <w:numFmt w:val="bullet"/>
      <w:lvlText w:val=""/>
      <w:lvlJc w:val="left"/>
      <w:pPr>
        <w:ind w:left="1797" w:hanging="360"/>
      </w:pPr>
      <w:rPr>
        <w:rFonts w:ascii="Wingdings" w:hAnsi="Wingdings" w:hint="default"/>
      </w:rPr>
    </w:lvl>
    <w:lvl w:ilvl="3" w:tplc="240A0001" w:tentative="1">
      <w:start w:val="1"/>
      <w:numFmt w:val="bullet"/>
      <w:lvlText w:val=""/>
      <w:lvlJc w:val="left"/>
      <w:pPr>
        <w:ind w:left="2517" w:hanging="360"/>
      </w:pPr>
      <w:rPr>
        <w:rFonts w:ascii="Symbol" w:hAnsi="Symbol" w:hint="default"/>
      </w:rPr>
    </w:lvl>
    <w:lvl w:ilvl="4" w:tplc="240A0003" w:tentative="1">
      <w:start w:val="1"/>
      <w:numFmt w:val="bullet"/>
      <w:lvlText w:val="o"/>
      <w:lvlJc w:val="left"/>
      <w:pPr>
        <w:ind w:left="3237" w:hanging="360"/>
      </w:pPr>
      <w:rPr>
        <w:rFonts w:ascii="Courier New" w:hAnsi="Courier New" w:cs="Courier New" w:hint="default"/>
      </w:rPr>
    </w:lvl>
    <w:lvl w:ilvl="5" w:tplc="240A0005" w:tentative="1">
      <w:start w:val="1"/>
      <w:numFmt w:val="bullet"/>
      <w:lvlText w:val=""/>
      <w:lvlJc w:val="left"/>
      <w:pPr>
        <w:ind w:left="3957" w:hanging="360"/>
      </w:pPr>
      <w:rPr>
        <w:rFonts w:ascii="Wingdings" w:hAnsi="Wingdings" w:hint="default"/>
      </w:rPr>
    </w:lvl>
    <w:lvl w:ilvl="6" w:tplc="240A0001" w:tentative="1">
      <w:start w:val="1"/>
      <w:numFmt w:val="bullet"/>
      <w:lvlText w:val=""/>
      <w:lvlJc w:val="left"/>
      <w:pPr>
        <w:ind w:left="4677" w:hanging="360"/>
      </w:pPr>
      <w:rPr>
        <w:rFonts w:ascii="Symbol" w:hAnsi="Symbol" w:hint="default"/>
      </w:rPr>
    </w:lvl>
    <w:lvl w:ilvl="7" w:tplc="240A0003" w:tentative="1">
      <w:start w:val="1"/>
      <w:numFmt w:val="bullet"/>
      <w:lvlText w:val="o"/>
      <w:lvlJc w:val="left"/>
      <w:pPr>
        <w:ind w:left="5397" w:hanging="360"/>
      </w:pPr>
      <w:rPr>
        <w:rFonts w:ascii="Courier New" w:hAnsi="Courier New" w:cs="Courier New" w:hint="default"/>
      </w:rPr>
    </w:lvl>
    <w:lvl w:ilvl="8" w:tplc="240A0005" w:tentative="1">
      <w:start w:val="1"/>
      <w:numFmt w:val="bullet"/>
      <w:lvlText w:val=""/>
      <w:lvlJc w:val="left"/>
      <w:pPr>
        <w:ind w:left="6117" w:hanging="360"/>
      </w:pPr>
      <w:rPr>
        <w:rFonts w:ascii="Wingdings" w:hAnsi="Wingdings" w:hint="default"/>
      </w:rPr>
    </w:lvl>
  </w:abstractNum>
  <w:abstractNum w:abstractNumId="113" w15:restartNumberingAfterBreak="0">
    <w:nsid w:val="57BE4C97"/>
    <w:multiLevelType w:val="hybridMultilevel"/>
    <w:tmpl w:val="F0B04538"/>
    <w:lvl w:ilvl="0" w:tplc="240A000F">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4" w15:restartNumberingAfterBreak="0">
    <w:nsid w:val="584930C4"/>
    <w:multiLevelType w:val="hybridMultilevel"/>
    <w:tmpl w:val="F3CC5D5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5" w15:restartNumberingAfterBreak="0">
    <w:nsid w:val="5952765C"/>
    <w:multiLevelType w:val="hybridMultilevel"/>
    <w:tmpl w:val="FD1CDC7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6" w15:restartNumberingAfterBreak="0">
    <w:nsid w:val="5A343995"/>
    <w:multiLevelType w:val="hybridMultilevel"/>
    <w:tmpl w:val="B4A0F678"/>
    <w:lvl w:ilvl="0" w:tplc="5D363C74">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7" w15:restartNumberingAfterBreak="0">
    <w:nsid w:val="5AB462D5"/>
    <w:multiLevelType w:val="hybridMultilevel"/>
    <w:tmpl w:val="C08C57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15:restartNumberingAfterBreak="0">
    <w:nsid w:val="5BD846FC"/>
    <w:multiLevelType w:val="hybridMultilevel"/>
    <w:tmpl w:val="E8DE19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9" w15:restartNumberingAfterBreak="0">
    <w:nsid w:val="5DFB3F2E"/>
    <w:multiLevelType w:val="multilevel"/>
    <w:tmpl w:val="D0D4FD64"/>
    <w:lvl w:ilvl="0">
      <w:start w:val="1"/>
      <w:numFmt w:val="decimal"/>
      <w:pStyle w:val="Ttulo1"/>
      <w:lvlText w:val="%1"/>
      <w:lvlJc w:val="left"/>
      <w:pPr>
        <w:ind w:left="432" w:hanging="432"/>
      </w:pPr>
    </w:lvl>
    <w:lvl w:ilvl="1">
      <w:start w:val="1"/>
      <w:numFmt w:val="decimal"/>
      <w:pStyle w:val="Ttulo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0" w15:restartNumberingAfterBreak="0">
    <w:nsid w:val="5F9E7787"/>
    <w:multiLevelType w:val="hybridMultilevel"/>
    <w:tmpl w:val="9EF0D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1" w15:restartNumberingAfterBreak="0">
    <w:nsid w:val="620478DD"/>
    <w:multiLevelType w:val="hybridMultilevel"/>
    <w:tmpl w:val="EBA849A4"/>
    <w:lvl w:ilvl="0" w:tplc="BDD8B9F4">
      <w:start w:val="1"/>
      <w:numFmt w:val="bullet"/>
      <w:lvlText w:val=""/>
      <w:lvlJc w:val="left"/>
      <w:pPr>
        <w:ind w:left="1068" w:hanging="360"/>
      </w:pPr>
      <w:rPr>
        <w:rFonts w:ascii="Wingdings" w:hAnsi="Wingdings" w:hint="default"/>
        <w:color w:val="767171"/>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22" w15:restartNumberingAfterBreak="0">
    <w:nsid w:val="627C7CBA"/>
    <w:multiLevelType w:val="hybridMultilevel"/>
    <w:tmpl w:val="86CE23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3" w15:restartNumberingAfterBreak="0">
    <w:nsid w:val="62CE326F"/>
    <w:multiLevelType w:val="hybridMultilevel"/>
    <w:tmpl w:val="773E11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4" w15:restartNumberingAfterBreak="0">
    <w:nsid w:val="63016858"/>
    <w:multiLevelType w:val="hybridMultilevel"/>
    <w:tmpl w:val="87C0597E"/>
    <w:lvl w:ilvl="0" w:tplc="A76098EC">
      <w:start w:val="2"/>
      <w:numFmt w:val="bullet"/>
      <w:lvlText w:val=""/>
      <w:lvlJc w:val="left"/>
      <w:pPr>
        <w:ind w:left="720" w:hanging="360"/>
      </w:pPr>
      <w:rPr>
        <w:rFonts w:ascii="Symbol" w:eastAsia="Calibri" w:hAnsi="Symbol"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5" w15:restartNumberingAfterBreak="0">
    <w:nsid w:val="634E7CA1"/>
    <w:multiLevelType w:val="hybridMultilevel"/>
    <w:tmpl w:val="1CC4EE34"/>
    <w:lvl w:ilvl="0" w:tplc="5D363C74">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6" w15:restartNumberingAfterBreak="0">
    <w:nsid w:val="63667D2B"/>
    <w:multiLevelType w:val="hybridMultilevel"/>
    <w:tmpl w:val="5C7EAB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7" w15:restartNumberingAfterBreak="0">
    <w:nsid w:val="64060FCD"/>
    <w:multiLevelType w:val="hybridMultilevel"/>
    <w:tmpl w:val="30E4F4CA"/>
    <w:lvl w:ilvl="0" w:tplc="A76098EC">
      <w:start w:val="2"/>
      <w:numFmt w:val="bullet"/>
      <w:lvlText w:val=""/>
      <w:lvlJc w:val="left"/>
      <w:pPr>
        <w:ind w:left="360" w:hanging="360"/>
      </w:pPr>
      <w:rPr>
        <w:rFonts w:ascii="Symbol" w:eastAsia="Calibri" w:hAnsi="Symbol" w:cstheme="minorHAns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8" w15:restartNumberingAfterBreak="0">
    <w:nsid w:val="64171DF6"/>
    <w:multiLevelType w:val="hybridMultilevel"/>
    <w:tmpl w:val="4B58F0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9" w15:restartNumberingAfterBreak="0">
    <w:nsid w:val="65007536"/>
    <w:multiLevelType w:val="hybridMultilevel"/>
    <w:tmpl w:val="F404CAA8"/>
    <w:lvl w:ilvl="0" w:tplc="5D363C74">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0" w15:restartNumberingAfterBreak="0">
    <w:nsid w:val="662A17BD"/>
    <w:multiLevelType w:val="hybridMultilevel"/>
    <w:tmpl w:val="BC40764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1" w15:restartNumberingAfterBreak="0">
    <w:nsid w:val="664A6D41"/>
    <w:multiLevelType w:val="hybridMultilevel"/>
    <w:tmpl w:val="9842B9F6"/>
    <w:lvl w:ilvl="0" w:tplc="13C4994E">
      <w:numFmt w:val="bullet"/>
      <w:lvlText w:val="-"/>
      <w:lvlJc w:val="left"/>
      <w:pPr>
        <w:ind w:left="360" w:hanging="360"/>
      </w:pPr>
      <w:rPr>
        <w:rFonts w:ascii="Calibri Light" w:eastAsia="Calibri" w:hAnsi="Calibri Light" w:cs="Times New Roman"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2" w15:restartNumberingAfterBreak="0">
    <w:nsid w:val="669F2606"/>
    <w:multiLevelType w:val="hybridMultilevel"/>
    <w:tmpl w:val="D1788B1C"/>
    <w:lvl w:ilvl="0" w:tplc="23ACCFBE">
      <w:start w:val="1"/>
      <w:numFmt w:val="bullet"/>
      <w:lvlText w:val="o"/>
      <w:lvlJc w:val="left"/>
      <w:pPr>
        <w:ind w:left="720" w:hanging="360"/>
      </w:pPr>
      <w:rPr>
        <w:rFonts w:ascii="Courier New" w:hAnsi="Courier New" w:cs="Courier New"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3" w15:restartNumberingAfterBreak="0">
    <w:nsid w:val="66E65F33"/>
    <w:multiLevelType w:val="hybridMultilevel"/>
    <w:tmpl w:val="8F6A76B2"/>
    <w:lvl w:ilvl="0" w:tplc="A76098EC">
      <w:start w:val="2"/>
      <w:numFmt w:val="bullet"/>
      <w:lvlText w:val=""/>
      <w:lvlJc w:val="left"/>
      <w:pPr>
        <w:ind w:left="360" w:hanging="360"/>
      </w:pPr>
      <w:rPr>
        <w:rFonts w:ascii="Symbol" w:eastAsia="Calibri" w:hAnsi="Symbol" w:cstheme="minorHAns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4" w15:restartNumberingAfterBreak="0">
    <w:nsid w:val="68E72D4D"/>
    <w:multiLevelType w:val="hybridMultilevel"/>
    <w:tmpl w:val="3BD81EF0"/>
    <w:lvl w:ilvl="0" w:tplc="A76098EC">
      <w:start w:val="2"/>
      <w:numFmt w:val="bullet"/>
      <w:lvlText w:val=""/>
      <w:lvlJc w:val="left"/>
      <w:pPr>
        <w:ind w:left="720" w:hanging="360"/>
      </w:pPr>
      <w:rPr>
        <w:rFonts w:ascii="Symbol" w:eastAsia="Calibri" w:hAnsi="Symbol"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5" w15:restartNumberingAfterBreak="0">
    <w:nsid w:val="699A0A3F"/>
    <w:multiLevelType w:val="hybridMultilevel"/>
    <w:tmpl w:val="A022E7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6" w15:restartNumberingAfterBreak="0">
    <w:nsid w:val="6B1F48F1"/>
    <w:multiLevelType w:val="hybridMultilevel"/>
    <w:tmpl w:val="CD0CBA94"/>
    <w:lvl w:ilvl="0" w:tplc="240A0001">
      <w:start w:val="1"/>
      <w:numFmt w:val="bullet"/>
      <w:lvlText w:val=""/>
      <w:lvlJc w:val="left"/>
      <w:pPr>
        <w:ind w:left="720" w:hanging="360"/>
      </w:pPr>
      <w:rPr>
        <w:rFonts w:ascii="Symbol" w:hAnsi="Symbol" w:hint="default"/>
        <w:b w:val="0"/>
      </w:rPr>
    </w:lvl>
    <w:lvl w:ilvl="1" w:tplc="09401AF0">
      <w:numFmt w:val="bullet"/>
      <w:lvlText w:val="•"/>
      <w:lvlJc w:val="left"/>
      <w:pPr>
        <w:ind w:left="1785" w:hanging="705"/>
      </w:pPr>
      <w:rPr>
        <w:rFonts w:ascii="Arial" w:eastAsia="Calibr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7" w15:restartNumberingAfterBreak="0">
    <w:nsid w:val="6C4F53CA"/>
    <w:multiLevelType w:val="hybridMultilevel"/>
    <w:tmpl w:val="603C46F6"/>
    <w:lvl w:ilvl="0" w:tplc="240A0001">
      <w:start w:val="1"/>
      <w:numFmt w:val="bullet"/>
      <w:lvlText w:val=""/>
      <w:lvlJc w:val="left"/>
      <w:pPr>
        <w:tabs>
          <w:tab w:val="num" w:pos="-918"/>
        </w:tabs>
        <w:ind w:left="-918" w:hanging="360"/>
      </w:pPr>
      <w:rPr>
        <w:rFonts w:ascii="Symbol" w:hAnsi="Symbol" w:hint="default"/>
      </w:rPr>
    </w:lvl>
    <w:lvl w:ilvl="1" w:tplc="58ECE518">
      <w:start w:val="1"/>
      <w:numFmt w:val="bullet"/>
      <w:lvlText w:val="•"/>
      <w:lvlJc w:val="left"/>
      <w:pPr>
        <w:tabs>
          <w:tab w:val="num" w:pos="-198"/>
        </w:tabs>
        <w:ind w:left="-198" w:hanging="360"/>
      </w:pPr>
      <w:rPr>
        <w:rFonts w:ascii="Arial" w:hAnsi="Arial" w:cs="Times New Roman" w:hint="default"/>
      </w:rPr>
    </w:lvl>
    <w:lvl w:ilvl="2" w:tplc="4BB600F6">
      <w:start w:val="1"/>
      <w:numFmt w:val="bullet"/>
      <w:lvlText w:val="•"/>
      <w:lvlJc w:val="left"/>
      <w:pPr>
        <w:tabs>
          <w:tab w:val="num" w:pos="522"/>
        </w:tabs>
        <w:ind w:left="522" w:hanging="360"/>
      </w:pPr>
      <w:rPr>
        <w:rFonts w:ascii="Arial" w:hAnsi="Arial" w:cs="Times New Roman" w:hint="default"/>
      </w:rPr>
    </w:lvl>
    <w:lvl w:ilvl="3" w:tplc="54C0DAAE">
      <w:start w:val="1"/>
      <w:numFmt w:val="bullet"/>
      <w:lvlText w:val="•"/>
      <w:lvlJc w:val="left"/>
      <w:pPr>
        <w:tabs>
          <w:tab w:val="num" w:pos="1242"/>
        </w:tabs>
        <w:ind w:left="1242" w:hanging="360"/>
      </w:pPr>
      <w:rPr>
        <w:rFonts w:ascii="Arial" w:hAnsi="Arial" w:cs="Times New Roman" w:hint="default"/>
      </w:rPr>
    </w:lvl>
    <w:lvl w:ilvl="4" w:tplc="03B0F37C">
      <w:start w:val="1"/>
      <w:numFmt w:val="bullet"/>
      <w:lvlText w:val="•"/>
      <w:lvlJc w:val="left"/>
      <w:pPr>
        <w:tabs>
          <w:tab w:val="num" w:pos="1962"/>
        </w:tabs>
        <w:ind w:left="1962" w:hanging="360"/>
      </w:pPr>
      <w:rPr>
        <w:rFonts w:ascii="Arial" w:hAnsi="Arial" w:cs="Times New Roman" w:hint="default"/>
      </w:rPr>
    </w:lvl>
    <w:lvl w:ilvl="5" w:tplc="97BEEE72">
      <w:start w:val="1"/>
      <w:numFmt w:val="bullet"/>
      <w:lvlText w:val="•"/>
      <w:lvlJc w:val="left"/>
      <w:pPr>
        <w:tabs>
          <w:tab w:val="num" w:pos="2682"/>
        </w:tabs>
        <w:ind w:left="2682" w:hanging="360"/>
      </w:pPr>
      <w:rPr>
        <w:rFonts w:ascii="Arial" w:hAnsi="Arial" w:cs="Times New Roman" w:hint="default"/>
      </w:rPr>
    </w:lvl>
    <w:lvl w:ilvl="6" w:tplc="3886D6EE">
      <w:start w:val="1"/>
      <w:numFmt w:val="bullet"/>
      <w:lvlText w:val="•"/>
      <w:lvlJc w:val="left"/>
      <w:pPr>
        <w:tabs>
          <w:tab w:val="num" w:pos="3402"/>
        </w:tabs>
        <w:ind w:left="3402" w:hanging="360"/>
      </w:pPr>
      <w:rPr>
        <w:rFonts w:ascii="Arial" w:hAnsi="Arial" w:cs="Times New Roman" w:hint="default"/>
      </w:rPr>
    </w:lvl>
    <w:lvl w:ilvl="7" w:tplc="FCC49274">
      <w:start w:val="1"/>
      <w:numFmt w:val="bullet"/>
      <w:lvlText w:val="•"/>
      <w:lvlJc w:val="left"/>
      <w:pPr>
        <w:tabs>
          <w:tab w:val="num" w:pos="4122"/>
        </w:tabs>
        <w:ind w:left="4122" w:hanging="360"/>
      </w:pPr>
      <w:rPr>
        <w:rFonts w:ascii="Arial" w:hAnsi="Arial" w:cs="Times New Roman" w:hint="default"/>
      </w:rPr>
    </w:lvl>
    <w:lvl w:ilvl="8" w:tplc="D374ABDC">
      <w:start w:val="1"/>
      <w:numFmt w:val="bullet"/>
      <w:lvlText w:val="•"/>
      <w:lvlJc w:val="left"/>
      <w:pPr>
        <w:tabs>
          <w:tab w:val="num" w:pos="4842"/>
        </w:tabs>
        <w:ind w:left="4842" w:hanging="360"/>
      </w:pPr>
      <w:rPr>
        <w:rFonts w:ascii="Arial" w:hAnsi="Arial" w:cs="Times New Roman" w:hint="default"/>
      </w:rPr>
    </w:lvl>
  </w:abstractNum>
  <w:abstractNum w:abstractNumId="138" w15:restartNumberingAfterBreak="0">
    <w:nsid w:val="6CB350CE"/>
    <w:multiLevelType w:val="hybridMultilevel"/>
    <w:tmpl w:val="763C68A2"/>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9" w15:restartNumberingAfterBreak="0">
    <w:nsid w:val="6CBA5A6B"/>
    <w:multiLevelType w:val="hybridMultilevel"/>
    <w:tmpl w:val="2492519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0" w15:restartNumberingAfterBreak="0">
    <w:nsid w:val="6CED0B71"/>
    <w:multiLevelType w:val="hybridMultilevel"/>
    <w:tmpl w:val="5D423E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1" w15:restartNumberingAfterBreak="0">
    <w:nsid w:val="6EA50847"/>
    <w:multiLevelType w:val="multilevel"/>
    <w:tmpl w:val="87703D7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15:restartNumberingAfterBreak="0">
    <w:nsid w:val="6EE46784"/>
    <w:multiLevelType w:val="multilevel"/>
    <w:tmpl w:val="50A09B08"/>
    <w:lvl w:ilvl="0">
      <w:start w:val="1"/>
      <w:numFmt w:val="decimal"/>
      <w:pStyle w:val="Estilo1"/>
      <w:lvlText w:val="%1."/>
      <w:lvlJc w:val="left"/>
      <w:pPr>
        <w:ind w:left="720" w:hanging="360"/>
      </w:pPr>
      <w:rPr>
        <w:rFonts w:hint="default"/>
        <w:sz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43" w15:restartNumberingAfterBreak="0">
    <w:nsid w:val="6FCA6929"/>
    <w:multiLevelType w:val="hybridMultilevel"/>
    <w:tmpl w:val="1C2E70D4"/>
    <w:lvl w:ilvl="0" w:tplc="A76098EC">
      <w:start w:val="2"/>
      <w:numFmt w:val="bullet"/>
      <w:lvlText w:val=""/>
      <w:lvlJc w:val="left"/>
      <w:pPr>
        <w:ind w:left="720" w:hanging="360"/>
      </w:pPr>
      <w:rPr>
        <w:rFonts w:ascii="Symbol" w:eastAsia="Calibri" w:hAnsi="Symbol"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4" w15:restartNumberingAfterBreak="0">
    <w:nsid w:val="6FCA7958"/>
    <w:multiLevelType w:val="hybridMultilevel"/>
    <w:tmpl w:val="1436C2F2"/>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5" w15:restartNumberingAfterBreak="0">
    <w:nsid w:val="70803785"/>
    <w:multiLevelType w:val="hybridMultilevel"/>
    <w:tmpl w:val="43EC403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46" w15:restartNumberingAfterBreak="0">
    <w:nsid w:val="71767A5A"/>
    <w:multiLevelType w:val="hybridMultilevel"/>
    <w:tmpl w:val="1FD6D8E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7" w15:restartNumberingAfterBreak="0">
    <w:nsid w:val="71790DB7"/>
    <w:multiLevelType w:val="hybridMultilevel"/>
    <w:tmpl w:val="874C181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8" w15:restartNumberingAfterBreak="0">
    <w:nsid w:val="72D93139"/>
    <w:multiLevelType w:val="multilevel"/>
    <w:tmpl w:val="24CE7118"/>
    <w:lvl w:ilvl="0">
      <w:start w:val="3"/>
      <w:numFmt w:val="decimal"/>
      <w:lvlText w:val="%1."/>
      <w:lvlJc w:val="left"/>
      <w:pPr>
        <w:ind w:left="495" w:hanging="495"/>
      </w:pPr>
      <w:rPr>
        <w:rFonts w:hint="default"/>
      </w:rPr>
    </w:lvl>
    <w:lvl w:ilvl="1">
      <w:start w:val="3"/>
      <w:numFmt w:val="decimal"/>
      <w:lvlText w:val="%1.%2."/>
      <w:lvlJc w:val="left"/>
      <w:pPr>
        <w:ind w:left="675" w:hanging="495"/>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9" w15:restartNumberingAfterBreak="0">
    <w:nsid w:val="741F1303"/>
    <w:multiLevelType w:val="hybridMultilevel"/>
    <w:tmpl w:val="53A6A1A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0" w15:restartNumberingAfterBreak="0">
    <w:nsid w:val="746B6C7D"/>
    <w:multiLevelType w:val="hybridMultilevel"/>
    <w:tmpl w:val="97DEA1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1" w15:restartNumberingAfterBreak="0">
    <w:nsid w:val="75516BA9"/>
    <w:multiLevelType w:val="hybridMultilevel"/>
    <w:tmpl w:val="DC9E1E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2" w15:restartNumberingAfterBreak="0">
    <w:nsid w:val="774F6543"/>
    <w:multiLevelType w:val="hybridMultilevel"/>
    <w:tmpl w:val="4BF215D2"/>
    <w:lvl w:ilvl="0" w:tplc="240A0001">
      <w:start w:val="1"/>
      <w:numFmt w:val="bullet"/>
      <w:lvlText w:val=""/>
      <w:lvlJc w:val="left"/>
      <w:pPr>
        <w:ind w:left="1220" w:hanging="360"/>
      </w:pPr>
      <w:rPr>
        <w:rFonts w:ascii="Symbol" w:hAnsi="Symbol" w:hint="default"/>
      </w:rPr>
    </w:lvl>
    <w:lvl w:ilvl="1" w:tplc="240A0003" w:tentative="1">
      <w:start w:val="1"/>
      <w:numFmt w:val="bullet"/>
      <w:lvlText w:val="o"/>
      <w:lvlJc w:val="left"/>
      <w:pPr>
        <w:ind w:left="1940" w:hanging="360"/>
      </w:pPr>
      <w:rPr>
        <w:rFonts w:ascii="Courier New" w:hAnsi="Courier New" w:cs="Courier New" w:hint="default"/>
      </w:rPr>
    </w:lvl>
    <w:lvl w:ilvl="2" w:tplc="240A0005" w:tentative="1">
      <w:start w:val="1"/>
      <w:numFmt w:val="bullet"/>
      <w:lvlText w:val=""/>
      <w:lvlJc w:val="left"/>
      <w:pPr>
        <w:ind w:left="2660" w:hanging="360"/>
      </w:pPr>
      <w:rPr>
        <w:rFonts w:ascii="Wingdings" w:hAnsi="Wingdings" w:hint="default"/>
      </w:rPr>
    </w:lvl>
    <w:lvl w:ilvl="3" w:tplc="240A0001" w:tentative="1">
      <w:start w:val="1"/>
      <w:numFmt w:val="bullet"/>
      <w:lvlText w:val=""/>
      <w:lvlJc w:val="left"/>
      <w:pPr>
        <w:ind w:left="3380" w:hanging="360"/>
      </w:pPr>
      <w:rPr>
        <w:rFonts w:ascii="Symbol" w:hAnsi="Symbol" w:hint="default"/>
      </w:rPr>
    </w:lvl>
    <w:lvl w:ilvl="4" w:tplc="240A0003" w:tentative="1">
      <w:start w:val="1"/>
      <w:numFmt w:val="bullet"/>
      <w:lvlText w:val="o"/>
      <w:lvlJc w:val="left"/>
      <w:pPr>
        <w:ind w:left="4100" w:hanging="360"/>
      </w:pPr>
      <w:rPr>
        <w:rFonts w:ascii="Courier New" w:hAnsi="Courier New" w:cs="Courier New" w:hint="default"/>
      </w:rPr>
    </w:lvl>
    <w:lvl w:ilvl="5" w:tplc="240A0005" w:tentative="1">
      <w:start w:val="1"/>
      <w:numFmt w:val="bullet"/>
      <w:lvlText w:val=""/>
      <w:lvlJc w:val="left"/>
      <w:pPr>
        <w:ind w:left="4820" w:hanging="360"/>
      </w:pPr>
      <w:rPr>
        <w:rFonts w:ascii="Wingdings" w:hAnsi="Wingdings" w:hint="default"/>
      </w:rPr>
    </w:lvl>
    <w:lvl w:ilvl="6" w:tplc="240A0001" w:tentative="1">
      <w:start w:val="1"/>
      <w:numFmt w:val="bullet"/>
      <w:lvlText w:val=""/>
      <w:lvlJc w:val="left"/>
      <w:pPr>
        <w:ind w:left="5540" w:hanging="360"/>
      </w:pPr>
      <w:rPr>
        <w:rFonts w:ascii="Symbol" w:hAnsi="Symbol" w:hint="default"/>
      </w:rPr>
    </w:lvl>
    <w:lvl w:ilvl="7" w:tplc="240A0003" w:tentative="1">
      <w:start w:val="1"/>
      <w:numFmt w:val="bullet"/>
      <w:lvlText w:val="o"/>
      <w:lvlJc w:val="left"/>
      <w:pPr>
        <w:ind w:left="6260" w:hanging="360"/>
      </w:pPr>
      <w:rPr>
        <w:rFonts w:ascii="Courier New" w:hAnsi="Courier New" w:cs="Courier New" w:hint="default"/>
      </w:rPr>
    </w:lvl>
    <w:lvl w:ilvl="8" w:tplc="240A0005" w:tentative="1">
      <w:start w:val="1"/>
      <w:numFmt w:val="bullet"/>
      <w:lvlText w:val=""/>
      <w:lvlJc w:val="left"/>
      <w:pPr>
        <w:ind w:left="6980" w:hanging="360"/>
      </w:pPr>
      <w:rPr>
        <w:rFonts w:ascii="Wingdings" w:hAnsi="Wingdings" w:hint="default"/>
      </w:rPr>
    </w:lvl>
  </w:abstractNum>
  <w:abstractNum w:abstractNumId="153" w15:restartNumberingAfterBreak="0">
    <w:nsid w:val="77530258"/>
    <w:multiLevelType w:val="multilevel"/>
    <w:tmpl w:val="892E361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4" w15:restartNumberingAfterBreak="0">
    <w:nsid w:val="79033AB3"/>
    <w:multiLevelType w:val="hybridMultilevel"/>
    <w:tmpl w:val="2D22C5C6"/>
    <w:lvl w:ilvl="0" w:tplc="A76098EC">
      <w:start w:val="2"/>
      <w:numFmt w:val="bullet"/>
      <w:lvlText w:val=""/>
      <w:lvlJc w:val="left"/>
      <w:pPr>
        <w:ind w:left="360" w:hanging="360"/>
      </w:pPr>
      <w:rPr>
        <w:rFonts w:ascii="Symbol" w:eastAsia="Calibri" w:hAnsi="Symbol" w:cstheme="minorHAns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5" w15:restartNumberingAfterBreak="0">
    <w:nsid w:val="7A8D5773"/>
    <w:multiLevelType w:val="multilevel"/>
    <w:tmpl w:val="3C34273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6" w15:restartNumberingAfterBreak="0">
    <w:nsid w:val="7BAA0DF2"/>
    <w:multiLevelType w:val="hybridMultilevel"/>
    <w:tmpl w:val="5BD2F3E8"/>
    <w:lvl w:ilvl="0" w:tplc="A76098EC">
      <w:start w:val="2"/>
      <w:numFmt w:val="bullet"/>
      <w:lvlText w:val=""/>
      <w:lvlJc w:val="left"/>
      <w:pPr>
        <w:ind w:left="720" w:hanging="360"/>
      </w:pPr>
      <w:rPr>
        <w:rFonts w:ascii="Symbol" w:eastAsia="Calibri" w:hAnsi="Symbol"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7" w15:restartNumberingAfterBreak="0">
    <w:nsid w:val="7BFA0A98"/>
    <w:multiLevelType w:val="multilevel"/>
    <w:tmpl w:val="240E6F66"/>
    <w:lvl w:ilvl="0">
      <w:start w:val="1"/>
      <w:numFmt w:val="bullet"/>
      <w:lvlText w:val=""/>
      <w:lvlJc w:val="left"/>
      <w:pPr>
        <w:ind w:left="495" w:hanging="495"/>
      </w:pPr>
      <w:rPr>
        <w:rFonts w:ascii="Symbol" w:hAnsi="Symbol" w:hint="default"/>
      </w:rPr>
    </w:lvl>
    <w:lvl w:ilvl="1">
      <w:start w:val="7"/>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8" w15:restartNumberingAfterBreak="0">
    <w:nsid w:val="7CBE564E"/>
    <w:multiLevelType w:val="hybridMultilevel"/>
    <w:tmpl w:val="7DDE10B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9" w15:restartNumberingAfterBreak="0">
    <w:nsid w:val="7EF016FD"/>
    <w:multiLevelType w:val="hybridMultilevel"/>
    <w:tmpl w:val="F50EB18C"/>
    <w:lvl w:ilvl="0" w:tplc="A76098EC">
      <w:start w:val="2"/>
      <w:numFmt w:val="bullet"/>
      <w:lvlText w:val=""/>
      <w:lvlJc w:val="left"/>
      <w:pPr>
        <w:ind w:left="720" w:hanging="360"/>
      </w:pPr>
      <w:rPr>
        <w:rFonts w:ascii="Symbol" w:eastAsia="Calibri" w:hAnsi="Symbol"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0" w15:restartNumberingAfterBreak="0">
    <w:nsid w:val="7FAB117B"/>
    <w:multiLevelType w:val="hybridMultilevel"/>
    <w:tmpl w:val="BB309CD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4"/>
  </w:num>
  <w:num w:numId="2">
    <w:abstractNumId w:val="34"/>
  </w:num>
  <w:num w:numId="3">
    <w:abstractNumId w:val="12"/>
  </w:num>
  <w:num w:numId="4">
    <w:abstractNumId w:val="27"/>
  </w:num>
  <w:num w:numId="5">
    <w:abstractNumId w:val="0"/>
  </w:num>
  <w:num w:numId="6">
    <w:abstractNumId w:val="51"/>
  </w:num>
  <w:num w:numId="7">
    <w:abstractNumId w:val="16"/>
  </w:num>
  <w:num w:numId="8">
    <w:abstractNumId w:val="42"/>
  </w:num>
  <w:num w:numId="9">
    <w:abstractNumId w:val="152"/>
  </w:num>
  <w:num w:numId="10">
    <w:abstractNumId w:val="147"/>
  </w:num>
  <w:num w:numId="11">
    <w:abstractNumId w:val="65"/>
  </w:num>
  <w:num w:numId="12">
    <w:abstractNumId w:val="123"/>
  </w:num>
  <w:num w:numId="13">
    <w:abstractNumId w:val="142"/>
  </w:num>
  <w:num w:numId="14">
    <w:abstractNumId w:val="102"/>
  </w:num>
  <w:num w:numId="15">
    <w:abstractNumId w:val="119"/>
  </w:num>
  <w:num w:numId="16">
    <w:abstractNumId w:val="145"/>
  </w:num>
  <w:num w:numId="17">
    <w:abstractNumId w:val="100"/>
  </w:num>
  <w:num w:numId="18">
    <w:abstractNumId w:val="132"/>
  </w:num>
  <w:num w:numId="19">
    <w:abstractNumId w:val="20"/>
  </w:num>
  <w:num w:numId="20">
    <w:abstractNumId w:val="137"/>
  </w:num>
  <w:num w:numId="21">
    <w:abstractNumId w:val="61"/>
  </w:num>
  <w:num w:numId="22">
    <w:abstractNumId w:val="90"/>
  </w:num>
  <w:num w:numId="23">
    <w:abstractNumId w:val="73"/>
  </w:num>
  <w:num w:numId="24">
    <w:abstractNumId w:val="67"/>
  </w:num>
  <w:num w:numId="25">
    <w:abstractNumId w:val="57"/>
  </w:num>
  <w:num w:numId="26">
    <w:abstractNumId w:val="117"/>
  </w:num>
  <w:num w:numId="27">
    <w:abstractNumId w:val="109"/>
  </w:num>
  <w:num w:numId="28">
    <w:abstractNumId w:val="86"/>
  </w:num>
  <w:num w:numId="29">
    <w:abstractNumId w:val="31"/>
  </w:num>
  <w:num w:numId="30">
    <w:abstractNumId w:val="74"/>
  </w:num>
  <w:num w:numId="31">
    <w:abstractNumId w:val="36"/>
  </w:num>
  <w:num w:numId="32">
    <w:abstractNumId w:val="82"/>
  </w:num>
  <w:num w:numId="33">
    <w:abstractNumId w:val="160"/>
  </w:num>
  <w:num w:numId="34">
    <w:abstractNumId w:val="88"/>
  </w:num>
  <w:num w:numId="35">
    <w:abstractNumId w:val="43"/>
  </w:num>
  <w:num w:numId="36">
    <w:abstractNumId w:val="4"/>
  </w:num>
  <w:num w:numId="37">
    <w:abstractNumId w:val="136"/>
  </w:num>
  <w:num w:numId="38">
    <w:abstractNumId w:val="2"/>
  </w:num>
  <w:num w:numId="39">
    <w:abstractNumId w:val="101"/>
  </w:num>
  <w:num w:numId="40">
    <w:abstractNumId w:val="79"/>
  </w:num>
  <w:num w:numId="41">
    <w:abstractNumId w:val="70"/>
  </w:num>
  <w:num w:numId="42">
    <w:abstractNumId w:val="58"/>
  </w:num>
  <w:num w:numId="43">
    <w:abstractNumId w:val="39"/>
  </w:num>
  <w:num w:numId="44">
    <w:abstractNumId w:val="47"/>
  </w:num>
  <w:num w:numId="45">
    <w:abstractNumId w:val="94"/>
  </w:num>
  <w:num w:numId="46">
    <w:abstractNumId w:val="33"/>
  </w:num>
  <w:num w:numId="47">
    <w:abstractNumId w:val="104"/>
  </w:num>
  <w:num w:numId="48">
    <w:abstractNumId w:val="153"/>
  </w:num>
  <w:num w:numId="49">
    <w:abstractNumId w:val="37"/>
  </w:num>
  <w:num w:numId="50">
    <w:abstractNumId w:val="155"/>
  </w:num>
  <w:num w:numId="51">
    <w:abstractNumId w:val="146"/>
  </w:num>
  <w:num w:numId="52">
    <w:abstractNumId w:val="66"/>
  </w:num>
  <w:num w:numId="53">
    <w:abstractNumId w:val="122"/>
  </w:num>
  <w:num w:numId="54">
    <w:abstractNumId w:val="48"/>
  </w:num>
  <w:num w:numId="55">
    <w:abstractNumId w:val="72"/>
  </w:num>
  <w:num w:numId="56">
    <w:abstractNumId w:val="92"/>
  </w:num>
  <w:num w:numId="57">
    <w:abstractNumId w:val="121"/>
  </w:num>
  <w:num w:numId="58">
    <w:abstractNumId w:val="118"/>
  </w:num>
  <w:num w:numId="59">
    <w:abstractNumId w:val="24"/>
  </w:num>
  <w:num w:numId="60">
    <w:abstractNumId w:val="8"/>
  </w:num>
  <w:num w:numId="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0"/>
  </w:num>
  <w:num w:numId="63">
    <w:abstractNumId w:val="22"/>
  </w:num>
  <w:num w:numId="64">
    <w:abstractNumId w:val="14"/>
  </w:num>
  <w:num w:numId="65">
    <w:abstractNumId w:val="52"/>
  </w:num>
  <w:num w:numId="66">
    <w:abstractNumId w:val="10"/>
  </w:num>
  <w:num w:numId="67">
    <w:abstractNumId w:val="38"/>
  </w:num>
  <w:num w:numId="68">
    <w:abstractNumId w:val="13"/>
  </w:num>
  <w:num w:numId="69">
    <w:abstractNumId w:val="115"/>
  </w:num>
  <w:num w:numId="70">
    <w:abstractNumId w:val="131"/>
  </w:num>
  <w:num w:numId="71">
    <w:abstractNumId w:val="99"/>
  </w:num>
  <w:num w:numId="72">
    <w:abstractNumId w:val="149"/>
  </w:num>
  <w:num w:numId="73">
    <w:abstractNumId w:val="96"/>
  </w:num>
  <w:num w:numId="74">
    <w:abstractNumId w:val="114"/>
  </w:num>
  <w:num w:numId="75">
    <w:abstractNumId w:val="106"/>
  </w:num>
  <w:num w:numId="76">
    <w:abstractNumId w:val="81"/>
  </w:num>
  <w:num w:numId="77">
    <w:abstractNumId w:val="64"/>
  </w:num>
  <w:num w:numId="78">
    <w:abstractNumId w:val="91"/>
  </w:num>
  <w:num w:numId="79">
    <w:abstractNumId w:val="44"/>
  </w:num>
  <w:num w:numId="80">
    <w:abstractNumId w:val="157"/>
  </w:num>
  <w:num w:numId="81">
    <w:abstractNumId w:val="83"/>
  </w:num>
  <w:num w:numId="82">
    <w:abstractNumId w:val="128"/>
  </w:num>
  <w:num w:numId="83">
    <w:abstractNumId w:val="138"/>
  </w:num>
  <w:num w:numId="84">
    <w:abstractNumId w:val="116"/>
  </w:num>
  <w:num w:numId="85">
    <w:abstractNumId w:val="69"/>
  </w:num>
  <w:num w:numId="86">
    <w:abstractNumId w:val="125"/>
  </w:num>
  <w:num w:numId="87">
    <w:abstractNumId w:val="144"/>
  </w:num>
  <w:num w:numId="88">
    <w:abstractNumId w:val="89"/>
  </w:num>
  <w:num w:numId="89">
    <w:abstractNumId w:val="18"/>
  </w:num>
  <w:num w:numId="90">
    <w:abstractNumId w:val="68"/>
  </w:num>
  <w:num w:numId="91">
    <w:abstractNumId w:val="87"/>
  </w:num>
  <w:num w:numId="92">
    <w:abstractNumId w:val="78"/>
  </w:num>
  <w:num w:numId="93">
    <w:abstractNumId w:val="49"/>
  </w:num>
  <w:num w:numId="94">
    <w:abstractNumId w:val="40"/>
  </w:num>
  <w:num w:numId="95">
    <w:abstractNumId w:val="55"/>
  </w:num>
  <w:num w:numId="96">
    <w:abstractNumId w:val="93"/>
  </w:num>
  <w:num w:numId="97">
    <w:abstractNumId w:val="80"/>
  </w:num>
  <w:num w:numId="98">
    <w:abstractNumId w:val="60"/>
  </w:num>
  <w:num w:numId="99">
    <w:abstractNumId w:val="108"/>
  </w:num>
  <w:num w:numId="100">
    <w:abstractNumId w:val="50"/>
  </w:num>
  <w:num w:numId="101">
    <w:abstractNumId w:val="19"/>
  </w:num>
  <w:num w:numId="102">
    <w:abstractNumId w:val="113"/>
  </w:num>
  <w:num w:numId="103">
    <w:abstractNumId w:val="129"/>
  </w:num>
  <w:num w:numId="104">
    <w:abstractNumId w:val="25"/>
  </w:num>
  <w:num w:numId="105">
    <w:abstractNumId w:val="76"/>
  </w:num>
  <w:num w:numId="106">
    <w:abstractNumId w:val="11"/>
  </w:num>
  <w:num w:numId="107">
    <w:abstractNumId w:val="15"/>
  </w:num>
  <w:num w:numId="108">
    <w:abstractNumId w:val="105"/>
  </w:num>
  <w:num w:numId="109">
    <w:abstractNumId w:val="135"/>
  </w:num>
  <w:num w:numId="110">
    <w:abstractNumId w:val="127"/>
  </w:num>
  <w:num w:numId="111">
    <w:abstractNumId w:val="143"/>
  </w:num>
  <w:num w:numId="112">
    <w:abstractNumId w:val="124"/>
  </w:num>
  <w:num w:numId="113">
    <w:abstractNumId w:val="133"/>
  </w:num>
  <w:num w:numId="114">
    <w:abstractNumId w:val="53"/>
  </w:num>
  <w:num w:numId="115">
    <w:abstractNumId w:val="134"/>
  </w:num>
  <w:num w:numId="116">
    <w:abstractNumId w:val="45"/>
  </w:num>
  <w:num w:numId="117">
    <w:abstractNumId w:val="159"/>
  </w:num>
  <w:num w:numId="118">
    <w:abstractNumId w:val="154"/>
  </w:num>
  <w:num w:numId="119">
    <w:abstractNumId w:val="156"/>
  </w:num>
  <w:num w:numId="120">
    <w:abstractNumId w:val="112"/>
  </w:num>
  <w:num w:numId="121">
    <w:abstractNumId w:val="130"/>
  </w:num>
  <w:num w:numId="122">
    <w:abstractNumId w:val="110"/>
  </w:num>
  <w:num w:numId="123">
    <w:abstractNumId w:val="3"/>
  </w:num>
  <w:num w:numId="124">
    <w:abstractNumId w:val="41"/>
  </w:num>
  <w:num w:numId="125">
    <w:abstractNumId w:val="17"/>
  </w:num>
  <w:num w:numId="126">
    <w:abstractNumId w:val="126"/>
  </w:num>
  <w:num w:numId="127">
    <w:abstractNumId w:val="63"/>
  </w:num>
  <w:num w:numId="128">
    <w:abstractNumId w:val="139"/>
  </w:num>
  <w:num w:numId="129">
    <w:abstractNumId w:val="84"/>
  </w:num>
  <w:num w:numId="130">
    <w:abstractNumId w:val="62"/>
  </w:num>
  <w:num w:numId="131">
    <w:abstractNumId w:val="158"/>
  </w:num>
  <w:num w:numId="132">
    <w:abstractNumId w:val="107"/>
  </w:num>
  <w:num w:numId="133">
    <w:abstractNumId w:val="140"/>
  </w:num>
  <w:num w:numId="134">
    <w:abstractNumId w:val="32"/>
  </w:num>
  <w:num w:numId="135">
    <w:abstractNumId w:val="5"/>
  </w:num>
  <w:num w:numId="136">
    <w:abstractNumId w:val="29"/>
  </w:num>
  <w:num w:numId="137">
    <w:abstractNumId w:val="59"/>
  </w:num>
  <w:num w:numId="138">
    <w:abstractNumId w:val="151"/>
  </w:num>
  <w:num w:numId="139">
    <w:abstractNumId w:val="141"/>
  </w:num>
  <w:num w:numId="140">
    <w:abstractNumId w:val="21"/>
  </w:num>
  <w:num w:numId="141">
    <w:abstractNumId w:val="98"/>
  </w:num>
  <w:num w:numId="142">
    <w:abstractNumId w:val="148"/>
  </w:num>
  <w:num w:numId="143">
    <w:abstractNumId w:val="9"/>
  </w:num>
  <w:num w:numId="144">
    <w:abstractNumId w:val="7"/>
  </w:num>
  <w:num w:numId="145">
    <w:abstractNumId w:val="56"/>
  </w:num>
  <w:num w:numId="146">
    <w:abstractNumId w:val="26"/>
  </w:num>
  <w:num w:numId="147">
    <w:abstractNumId w:val="103"/>
  </w:num>
  <w:num w:numId="148">
    <w:abstractNumId w:val="97"/>
  </w:num>
  <w:num w:numId="149">
    <w:abstractNumId w:val="71"/>
  </w:num>
  <w:num w:numId="150">
    <w:abstractNumId w:val="111"/>
  </w:num>
  <w:num w:numId="151">
    <w:abstractNumId w:val="120"/>
  </w:num>
  <w:num w:numId="152">
    <w:abstractNumId w:val="75"/>
  </w:num>
  <w:num w:numId="153">
    <w:abstractNumId w:val="35"/>
  </w:num>
  <w:num w:numId="154">
    <w:abstractNumId w:val="95"/>
  </w:num>
  <w:num w:numId="155">
    <w:abstractNumId w:val="6"/>
  </w:num>
  <w:num w:numId="156">
    <w:abstractNumId w:val="150"/>
  </w:num>
  <w:num w:numId="157">
    <w:abstractNumId w:val="28"/>
  </w:num>
  <w:num w:numId="158">
    <w:abstractNumId w:val="77"/>
  </w:num>
  <w:num w:numId="159">
    <w:abstractNumId w:val="46"/>
  </w:num>
  <w:num w:numId="160">
    <w:abstractNumId w:val="85"/>
  </w:num>
  <w:num w:numId="161">
    <w:abstractNumId w:val="23"/>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isplayBackgroundShape/>
  <w:defaultTabStop w:val="708"/>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507"/>
    <w:rsid w:val="00000302"/>
    <w:rsid w:val="00001153"/>
    <w:rsid w:val="00001571"/>
    <w:rsid w:val="00001F08"/>
    <w:rsid w:val="00001F68"/>
    <w:rsid w:val="000034B2"/>
    <w:rsid w:val="000034CB"/>
    <w:rsid w:val="00003A5E"/>
    <w:rsid w:val="00003A84"/>
    <w:rsid w:val="00003FC5"/>
    <w:rsid w:val="00004156"/>
    <w:rsid w:val="0000428A"/>
    <w:rsid w:val="0000446F"/>
    <w:rsid w:val="0000502B"/>
    <w:rsid w:val="000050AA"/>
    <w:rsid w:val="000050D4"/>
    <w:rsid w:val="0000582B"/>
    <w:rsid w:val="00005B02"/>
    <w:rsid w:val="00006018"/>
    <w:rsid w:val="00006807"/>
    <w:rsid w:val="000069C6"/>
    <w:rsid w:val="00006E15"/>
    <w:rsid w:val="0000751D"/>
    <w:rsid w:val="000078D6"/>
    <w:rsid w:val="00007C34"/>
    <w:rsid w:val="000102A4"/>
    <w:rsid w:val="00010C2E"/>
    <w:rsid w:val="00010DFC"/>
    <w:rsid w:val="00010F88"/>
    <w:rsid w:val="0001112C"/>
    <w:rsid w:val="000125C8"/>
    <w:rsid w:val="00013124"/>
    <w:rsid w:val="00013529"/>
    <w:rsid w:val="00014A32"/>
    <w:rsid w:val="000151A2"/>
    <w:rsid w:val="00015699"/>
    <w:rsid w:val="00015C71"/>
    <w:rsid w:val="00015F65"/>
    <w:rsid w:val="0001654F"/>
    <w:rsid w:val="00017139"/>
    <w:rsid w:val="0001732A"/>
    <w:rsid w:val="0001766F"/>
    <w:rsid w:val="0002123A"/>
    <w:rsid w:val="00021AD2"/>
    <w:rsid w:val="000226D0"/>
    <w:rsid w:val="00022F3B"/>
    <w:rsid w:val="00023111"/>
    <w:rsid w:val="000236DF"/>
    <w:rsid w:val="00023EE2"/>
    <w:rsid w:val="00024108"/>
    <w:rsid w:val="00024E22"/>
    <w:rsid w:val="00025EE9"/>
    <w:rsid w:val="000264C1"/>
    <w:rsid w:val="000265A7"/>
    <w:rsid w:val="00026ED3"/>
    <w:rsid w:val="0002706B"/>
    <w:rsid w:val="00027521"/>
    <w:rsid w:val="0002790E"/>
    <w:rsid w:val="00027D03"/>
    <w:rsid w:val="000302F1"/>
    <w:rsid w:val="00030413"/>
    <w:rsid w:val="000317BA"/>
    <w:rsid w:val="000318C5"/>
    <w:rsid w:val="00031FDB"/>
    <w:rsid w:val="00033C78"/>
    <w:rsid w:val="00034717"/>
    <w:rsid w:val="000348D0"/>
    <w:rsid w:val="00034E87"/>
    <w:rsid w:val="00035132"/>
    <w:rsid w:val="000353AE"/>
    <w:rsid w:val="00035AD3"/>
    <w:rsid w:val="00035B34"/>
    <w:rsid w:val="000361B5"/>
    <w:rsid w:val="00036700"/>
    <w:rsid w:val="0003725F"/>
    <w:rsid w:val="0003729D"/>
    <w:rsid w:val="00037CD9"/>
    <w:rsid w:val="0004047E"/>
    <w:rsid w:val="0004142E"/>
    <w:rsid w:val="0004244B"/>
    <w:rsid w:val="00042F29"/>
    <w:rsid w:val="000432E9"/>
    <w:rsid w:val="00043D48"/>
    <w:rsid w:val="00044120"/>
    <w:rsid w:val="000442E9"/>
    <w:rsid w:val="000456E1"/>
    <w:rsid w:val="00045FE1"/>
    <w:rsid w:val="00046442"/>
    <w:rsid w:val="00047676"/>
    <w:rsid w:val="00047D3A"/>
    <w:rsid w:val="00050548"/>
    <w:rsid w:val="000506C4"/>
    <w:rsid w:val="000517AA"/>
    <w:rsid w:val="00052592"/>
    <w:rsid w:val="000525EA"/>
    <w:rsid w:val="00052AC7"/>
    <w:rsid w:val="00052CB2"/>
    <w:rsid w:val="000530B3"/>
    <w:rsid w:val="0005370E"/>
    <w:rsid w:val="00053E50"/>
    <w:rsid w:val="00054328"/>
    <w:rsid w:val="00054899"/>
    <w:rsid w:val="000551E4"/>
    <w:rsid w:val="00055581"/>
    <w:rsid w:val="000555A2"/>
    <w:rsid w:val="00055613"/>
    <w:rsid w:val="00056050"/>
    <w:rsid w:val="00056E8B"/>
    <w:rsid w:val="00057976"/>
    <w:rsid w:val="00057FDD"/>
    <w:rsid w:val="000601F8"/>
    <w:rsid w:val="00060F9F"/>
    <w:rsid w:val="00061055"/>
    <w:rsid w:val="000610E9"/>
    <w:rsid w:val="00061A54"/>
    <w:rsid w:val="0006208F"/>
    <w:rsid w:val="000622CC"/>
    <w:rsid w:val="00063463"/>
    <w:rsid w:val="00063FA2"/>
    <w:rsid w:val="000648D9"/>
    <w:rsid w:val="00064D1A"/>
    <w:rsid w:val="0006534C"/>
    <w:rsid w:val="00065379"/>
    <w:rsid w:val="00066E0A"/>
    <w:rsid w:val="000677B2"/>
    <w:rsid w:val="00067EC1"/>
    <w:rsid w:val="0007078A"/>
    <w:rsid w:val="00072420"/>
    <w:rsid w:val="00072CBA"/>
    <w:rsid w:val="00072D3F"/>
    <w:rsid w:val="00072D6F"/>
    <w:rsid w:val="00073D34"/>
    <w:rsid w:val="00074BB9"/>
    <w:rsid w:val="00075F62"/>
    <w:rsid w:val="00076E7C"/>
    <w:rsid w:val="000779A9"/>
    <w:rsid w:val="00077B44"/>
    <w:rsid w:val="000803AA"/>
    <w:rsid w:val="0008110E"/>
    <w:rsid w:val="00081703"/>
    <w:rsid w:val="00081AD5"/>
    <w:rsid w:val="000824E5"/>
    <w:rsid w:val="00082575"/>
    <w:rsid w:val="00082A80"/>
    <w:rsid w:val="000838F2"/>
    <w:rsid w:val="00083AAD"/>
    <w:rsid w:val="00083DE8"/>
    <w:rsid w:val="000840F2"/>
    <w:rsid w:val="000841E1"/>
    <w:rsid w:val="00084397"/>
    <w:rsid w:val="00084BD6"/>
    <w:rsid w:val="00084C6B"/>
    <w:rsid w:val="000858AB"/>
    <w:rsid w:val="00085F64"/>
    <w:rsid w:val="00086073"/>
    <w:rsid w:val="000862E9"/>
    <w:rsid w:val="000869C3"/>
    <w:rsid w:val="00091171"/>
    <w:rsid w:val="000911D6"/>
    <w:rsid w:val="00091909"/>
    <w:rsid w:val="00091D51"/>
    <w:rsid w:val="00091F49"/>
    <w:rsid w:val="00093AD3"/>
    <w:rsid w:val="000946CC"/>
    <w:rsid w:val="000950CB"/>
    <w:rsid w:val="00095654"/>
    <w:rsid w:val="00095813"/>
    <w:rsid w:val="00096195"/>
    <w:rsid w:val="00097164"/>
    <w:rsid w:val="000972C2"/>
    <w:rsid w:val="00097758"/>
    <w:rsid w:val="00097886"/>
    <w:rsid w:val="00097CEF"/>
    <w:rsid w:val="000A03EC"/>
    <w:rsid w:val="000A1554"/>
    <w:rsid w:val="000A21AE"/>
    <w:rsid w:val="000A2A1D"/>
    <w:rsid w:val="000A2D1A"/>
    <w:rsid w:val="000A310C"/>
    <w:rsid w:val="000A516D"/>
    <w:rsid w:val="000A56C7"/>
    <w:rsid w:val="000A5B46"/>
    <w:rsid w:val="000A5F09"/>
    <w:rsid w:val="000A5F75"/>
    <w:rsid w:val="000A6664"/>
    <w:rsid w:val="000B02C4"/>
    <w:rsid w:val="000B03D6"/>
    <w:rsid w:val="000B067E"/>
    <w:rsid w:val="000B18BB"/>
    <w:rsid w:val="000B2111"/>
    <w:rsid w:val="000B28FC"/>
    <w:rsid w:val="000B405E"/>
    <w:rsid w:val="000B6724"/>
    <w:rsid w:val="000B723C"/>
    <w:rsid w:val="000B7428"/>
    <w:rsid w:val="000B75C0"/>
    <w:rsid w:val="000B79A6"/>
    <w:rsid w:val="000C00D1"/>
    <w:rsid w:val="000C1D61"/>
    <w:rsid w:val="000C1EBF"/>
    <w:rsid w:val="000C2558"/>
    <w:rsid w:val="000C27E1"/>
    <w:rsid w:val="000C2FCF"/>
    <w:rsid w:val="000C409D"/>
    <w:rsid w:val="000C40B1"/>
    <w:rsid w:val="000C5404"/>
    <w:rsid w:val="000C5B6D"/>
    <w:rsid w:val="000C65A1"/>
    <w:rsid w:val="000C6B4D"/>
    <w:rsid w:val="000C6D03"/>
    <w:rsid w:val="000D036A"/>
    <w:rsid w:val="000D0DF1"/>
    <w:rsid w:val="000D1893"/>
    <w:rsid w:val="000D253E"/>
    <w:rsid w:val="000D27E9"/>
    <w:rsid w:val="000D29F3"/>
    <w:rsid w:val="000D44EC"/>
    <w:rsid w:val="000D4E4B"/>
    <w:rsid w:val="000D652E"/>
    <w:rsid w:val="000D668D"/>
    <w:rsid w:val="000D6ACA"/>
    <w:rsid w:val="000D6E44"/>
    <w:rsid w:val="000D715A"/>
    <w:rsid w:val="000E0283"/>
    <w:rsid w:val="000E0416"/>
    <w:rsid w:val="000E0900"/>
    <w:rsid w:val="000E0BE2"/>
    <w:rsid w:val="000E131C"/>
    <w:rsid w:val="000E13E9"/>
    <w:rsid w:val="000E156C"/>
    <w:rsid w:val="000E18A5"/>
    <w:rsid w:val="000E1BAF"/>
    <w:rsid w:val="000E265E"/>
    <w:rsid w:val="000E293B"/>
    <w:rsid w:val="000E2EAE"/>
    <w:rsid w:val="000E385F"/>
    <w:rsid w:val="000E4454"/>
    <w:rsid w:val="000E4EEA"/>
    <w:rsid w:val="000E50D8"/>
    <w:rsid w:val="000E5A92"/>
    <w:rsid w:val="000E620D"/>
    <w:rsid w:val="000E62FC"/>
    <w:rsid w:val="000E63BA"/>
    <w:rsid w:val="000E66BB"/>
    <w:rsid w:val="000E6A91"/>
    <w:rsid w:val="000E70C6"/>
    <w:rsid w:val="000E733E"/>
    <w:rsid w:val="000E7580"/>
    <w:rsid w:val="000F042D"/>
    <w:rsid w:val="000F0850"/>
    <w:rsid w:val="000F090D"/>
    <w:rsid w:val="000F0A46"/>
    <w:rsid w:val="000F1759"/>
    <w:rsid w:val="000F1DFE"/>
    <w:rsid w:val="000F4D65"/>
    <w:rsid w:val="000F5219"/>
    <w:rsid w:val="000F5C62"/>
    <w:rsid w:val="000F60CE"/>
    <w:rsid w:val="000F6A6A"/>
    <w:rsid w:val="0010031F"/>
    <w:rsid w:val="00100612"/>
    <w:rsid w:val="00101548"/>
    <w:rsid w:val="001019AF"/>
    <w:rsid w:val="001024EE"/>
    <w:rsid w:val="00103128"/>
    <w:rsid w:val="0010429D"/>
    <w:rsid w:val="00104C58"/>
    <w:rsid w:val="0010522A"/>
    <w:rsid w:val="00106047"/>
    <w:rsid w:val="001068E6"/>
    <w:rsid w:val="00106E09"/>
    <w:rsid w:val="00106E9F"/>
    <w:rsid w:val="0010710F"/>
    <w:rsid w:val="001100BD"/>
    <w:rsid w:val="001111DD"/>
    <w:rsid w:val="0011179A"/>
    <w:rsid w:val="00112A7B"/>
    <w:rsid w:val="0011497E"/>
    <w:rsid w:val="001157CF"/>
    <w:rsid w:val="001158CA"/>
    <w:rsid w:val="00116702"/>
    <w:rsid w:val="00116B20"/>
    <w:rsid w:val="001175FA"/>
    <w:rsid w:val="00120C74"/>
    <w:rsid w:val="00120EC4"/>
    <w:rsid w:val="0012175B"/>
    <w:rsid w:val="00121C13"/>
    <w:rsid w:val="00122160"/>
    <w:rsid w:val="00122358"/>
    <w:rsid w:val="001231F3"/>
    <w:rsid w:val="0012366F"/>
    <w:rsid w:val="00123794"/>
    <w:rsid w:val="00124C40"/>
    <w:rsid w:val="00125AFB"/>
    <w:rsid w:val="00126341"/>
    <w:rsid w:val="0012681B"/>
    <w:rsid w:val="00126A3E"/>
    <w:rsid w:val="00130575"/>
    <w:rsid w:val="00130622"/>
    <w:rsid w:val="001314DE"/>
    <w:rsid w:val="001317D3"/>
    <w:rsid w:val="00131FB7"/>
    <w:rsid w:val="00132BD5"/>
    <w:rsid w:val="00132E80"/>
    <w:rsid w:val="001346B6"/>
    <w:rsid w:val="00134CFA"/>
    <w:rsid w:val="001350BE"/>
    <w:rsid w:val="00135757"/>
    <w:rsid w:val="0013587C"/>
    <w:rsid w:val="00135BE5"/>
    <w:rsid w:val="00136A65"/>
    <w:rsid w:val="00136C09"/>
    <w:rsid w:val="00137203"/>
    <w:rsid w:val="0014017E"/>
    <w:rsid w:val="001410B4"/>
    <w:rsid w:val="00141EF5"/>
    <w:rsid w:val="00142549"/>
    <w:rsid w:val="0014289B"/>
    <w:rsid w:val="0014316E"/>
    <w:rsid w:val="00143E78"/>
    <w:rsid w:val="00144141"/>
    <w:rsid w:val="00144609"/>
    <w:rsid w:val="00144984"/>
    <w:rsid w:val="00144D01"/>
    <w:rsid w:val="001450C6"/>
    <w:rsid w:val="0014526A"/>
    <w:rsid w:val="001454B6"/>
    <w:rsid w:val="00145B3C"/>
    <w:rsid w:val="00145CCF"/>
    <w:rsid w:val="00146092"/>
    <w:rsid w:val="00146FA9"/>
    <w:rsid w:val="001473C9"/>
    <w:rsid w:val="00147955"/>
    <w:rsid w:val="00147C5F"/>
    <w:rsid w:val="001509FE"/>
    <w:rsid w:val="00150D2E"/>
    <w:rsid w:val="00152E55"/>
    <w:rsid w:val="00152ECC"/>
    <w:rsid w:val="00153EED"/>
    <w:rsid w:val="001546A5"/>
    <w:rsid w:val="001559BE"/>
    <w:rsid w:val="00155A1C"/>
    <w:rsid w:val="0015616B"/>
    <w:rsid w:val="00156EDE"/>
    <w:rsid w:val="00160AE5"/>
    <w:rsid w:val="00160FF6"/>
    <w:rsid w:val="0016163A"/>
    <w:rsid w:val="001617A4"/>
    <w:rsid w:val="0016210C"/>
    <w:rsid w:val="001626D1"/>
    <w:rsid w:val="00162987"/>
    <w:rsid w:val="00163BA6"/>
    <w:rsid w:val="00163BE2"/>
    <w:rsid w:val="00164061"/>
    <w:rsid w:val="001640B9"/>
    <w:rsid w:val="0016455E"/>
    <w:rsid w:val="0016575E"/>
    <w:rsid w:val="00165C6B"/>
    <w:rsid w:val="00166380"/>
    <w:rsid w:val="00166F95"/>
    <w:rsid w:val="00167A1D"/>
    <w:rsid w:val="00167BC2"/>
    <w:rsid w:val="00167D15"/>
    <w:rsid w:val="001706BB"/>
    <w:rsid w:val="00170C38"/>
    <w:rsid w:val="00170F5C"/>
    <w:rsid w:val="00171997"/>
    <w:rsid w:val="00172FF7"/>
    <w:rsid w:val="001735D8"/>
    <w:rsid w:val="001736EA"/>
    <w:rsid w:val="00173B2F"/>
    <w:rsid w:val="001740E4"/>
    <w:rsid w:val="001747DE"/>
    <w:rsid w:val="00175109"/>
    <w:rsid w:val="00175632"/>
    <w:rsid w:val="001767CE"/>
    <w:rsid w:val="00176B90"/>
    <w:rsid w:val="001778EA"/>
    <w:rsid w:val="001804E1"/>
    <w:rsid w:val="0018084B"/>
    <w:rsid w:val="00180F9F"/>
    <w:rsid w:val="0018107F"/>
    <w:rsid w:val="00181328"/>
    <w:rsid w:val="0018269C"/>
    <w:rsid w:val="00182D89"/>
    <w:rsid w:val="00183145"/>
    <w:rsid w:val="0018359E"/>
    <w:rsid w:val="00183E0C"/>
    <w:rsid w:val="00183EC5"/>
    <w:rsid w:val="00184967"/>
    <w:rsid w:val="00185C85"/>
    <w:rsid w:val="00186150"/>
    <w:rsid w:val="0018657C"/>
    <w:rsid w:val="001865EA"/>
    <w:rsid w:val="00187134"/>
    <w:rsid w:val="00187D96"/>
    <w:rsid w:val="00187F47"/>
    <w:rsid w:val="00187F4F"/>
    <w:rsid w:val="0019073B"/>
    <w:rsid w:val="001907DF"/>
    <w:rsid w:val="001907EC"/>
    <w:rsid w:val="00190FB3"/>
    <w:rsid w:val="00191342"/>
    <w:rsid w:val="001915AA"/>
    <w:rsid w:val="0019167F"/>
    <w:rsid w:val="001925F5"/>
    <w:rsid w:val="00192F6D"/>
    <w:rsid w:val="00194669"/>
    <w:rsid w:val="00194772"/>
    <w:rsid w:val="001949BB"/>
    <w:rsid w:val="00194D4C"/>
    <w:rsid w:val="0019538B"/>
    <w:rsid w:val="00195537"/>
    <w:rsid w:val="00195AFB"/>
    <w:rsid w:val="00195D0B"/>
    <w:rsid w:val="0019668E"/>
    <w:rsid w:val="00196AEB"/>
    <w:rsid w:val="00196FA4"/>
    <w:rsid w:val="001A05F8"/>
    <w:rsid w:val="001A0938"/>
    <w:rsid w:val="001A14F2"/>
    <w:rsid w:val="001A244D"/>
    <w:rsid w:val="001A28D0"/>
    <w:rsid w:val="001A2BE5"/>
    <w:rsid w:val="001A3334"/>
    <w:rsid w:val="001A3BDE"/>
    <w:rsid w:val="001A3F01"/>
    <w:rsid w:val="001A3F7F"/>
    <w:rsid w:val="001A47F7"/>
    <w:rsid w:val="001A5AD3"/>
    <w:rsid w:val="001A6EEA"/>
    <w:rsid w:val="001A6FF6"/>
    <w:rsid w:val="001B073E"/>
    <w:rsid w:val="001B0821"/>
    <w:rsid w:val="001B1357"/>
    <w:rsid w:val="001B13BC"/>
    <w:rsid w:val="001B14BF"/>
    <w:rsid w:val="001B204D"/>
    <w:rsid w:val="001B2F85"/>
    <w:rsid w:val="001B3143"/>
    <w:rsid w:val="001B3455"/>
    <w:rsid w:val="001B3629"/>
    <w:rsid w:val="001B3642"/>
    <w:rsid w:val="001B3BD8"/>
    <w:rsid w:val="001B3D0D"/>
    <w:rsid w:val="001B3E52"/>
    <w:rsid w:val="001B46E5"/>
    <w:rsid w:val="001B5587"/>
    <w:rsid w:val="001B5805"/>
    <w:rsid w:val="001B5976"/>
    <w:rsid w:val="001B5E11"/>
    <w:rsid w:val="001B6805"/>
    <w:rsid w:val="001B6BB0"/>
    <w:rsid w:val="001B6E6B"/>
    <w:rsid w:val="001B70D1"/>
    <w:rsid w:val="001B7403"/>
    <w:rsid w:val="001B79E4"/>
    <w:rsid w:val="001B7C7C"/>
    <w:rsid w:val="001C023D"/>
    <w:rsid w:val="001C065A"/>
    <w:rsid w:val="001C0EB3"/>
    <w:rsid w:val="001C333E"/>
    <w:rsid w:val="001C38C2"/>
    <w:rsid w:val="001C39BB"/>
    <w:rsid w:val="001C3A4E"/>
    <w:rsid w:val="001C3C24"/>
    <w:rsid w:val="001C3F19"/>
    <w:rsid w:val="001C43B4"/>
    <w:rsid w:val="001C451C"/>
    <w:rsid w:val="001C452C"/>
    <w:rsid w:val="001C4750"/>
    <w:rsid w:val="001C4BB3"/>
    <w:rsid w:val="001C4BE1"/>
    <w:rsid w:val="001C504B"/>
    <w:rsid w:val="001C63D5"/>
    <w:rsid w:val="001C6DAE"/>
    <w:rsid w:val="001C712B"/>
    <w:rsid w:val="001D018F"/>
    <w:rsid w:val="001D1BEB"/>
    <w:rsid w:val="001D1C4B"/>
    <w:rsid w:val="001D2C0A"/>
    <w:rsid w:val="001D2F70"/>
    <w:rsid w:val="001D30EA"/>
    <w:rsid w:val="001D31A9"/>
    <w:rsid w:val="001D3F33"/>
    <w:rsid w:val="001D41D2"/>
    <w:rsid w:val="001D45CB"/>
    <w:rsid w:val="001D4704"/>
    <w:rsid w:val="001D4F12"/>
    <w:rsid w:val="001D4FA1"/>
    <w:rsid w:val="001D64B5"/>
    <w:rsid w:val="001D6679"/>
    <w:rsid w:val="001E13B1"/>
    <w:rsid w:val="001E20E2"/>
    <w:rsid w:val="001E23FB"/>
    <w:rsid w:val="001E2560"/>
    <w:rsid w:val="001E30AC"/>
    <w:rsid w:val="001E3B12"/>
    <w:rsid w:val="001E401A"/>
    <w:rsid w:val="001E47A1"/>
    <w:rsid w:val="001E4A55"/>
    <w:rsid w:val="001E4C38"/>
    <w:rsid w:val="001E4C56"/>
    <w:rsid w:val="001E4C8E"/>
    <w:rsid w:val="001E50FB"/>
    <w:rsid w:val="001E5BD5"/>
    <w:rsid w:val="001E60E1"/>
    <w:rsid w:val="001E654F"/>
    <w:rsid w:val="001E6C22"/>
    <w:rsid w:val="001E7321"/>
    <w:rsid w:val="001E7475"/>
    <w:rsid w:val="001F04F4"/>
    <w:rsid w:val="001F061F"/>
    <w:rsid w:val="001F0A10"/>
    <w:rsid w:val="001F0F91"/>
    <w:rsid w:val="001F0F9A"/>
    <w:rsid w:val="001F13A6"/>
    <w:rsid w:val="001F163C"/>
    <w:rsid w:val="001F2248"/>
    <w:rsid w:val="001F2601"/>
    <w:rsid w:val="001F26E0"/>
    <w:rsid w:val="001F27C0"/>
    <w:rsid w:val="001F2DB6"/>
    <w:rsid w:val="001F3030"/>
    <w:rsid w:val="001F39BE"/>
    <w:rsid w:val="001F444B"/>
    <w:rsid w:val="001F4A47"/>
    <w:rsid w:val="001F5A77"/>
    <w:rsid w:val="001F5B0A"/>
    <w:rsid w:val="001F6354"/>
    <w:rsid w:val="001F686A"/>
    <w:rsid w:val="001F737A"/>
    <w:rsid w:val="001F77E1"/>
    <w:rsid w:val="00200284"/>
    <w:rsid w:val="0020109B"/>
    <w:rsid w:val="002010ED"/>
    <w:rsid w:val="0020136F"/>
    <w:rsid w:val="00201492"/>
    <w:rsid w:val="00201618"/>
    <w:rsid w:val="0020180F"/>
    <w:rsid w:val="00201A87"/>
    <w:rsid w:val="00201B35"/>
    <w:rsid w:val="00201E3F"/>
    <w:rsid w:val="00201EEE"/>
    <w:rsid w:val="0020322C"/>
    <w:rsid w:val="00203A72"/>
    <w:rsid w:val="00204612"/>
    <w:rsid w:val="00205257"/>
    <w:rsid w:val="00207C8A"/>
    <w:rsid w:val="00207E8C"/>
    <w:rsid w:val="002118B4"/>
    <w:rsid w:val="00211B1D"/>
    <w:rsid w:val="00212957"/>
    <w:rsid w:val="00212EB6"/>
    <w:rsid w:val="002130EA"/>
    <w:rsid w:val="00213D90"/>
    <w:rsid w:val="0021510F"/>
    <w:rsid w:val="0021566D"/>
    <w:rsid w:val="0021574B"/>
    <w:rsid w:val="00215BA2"/>
    <w:rsid w:val="00216C56"/>
    <w:rsid w:val="00216DF3"/>
    <w:rsid w:val="002170AA"/>
    <w:rsid w:val="00217275"/>
    <w:rsid w:val="002179C5"/>
    <w:rsid w:val="00217E34"/>
    <w:rsid w:val="002202BB"/>
    <w:rsid w:val="00220470"/>
    <w:rsid w:val="00220A24"/>
    <w:rsid w:val="00220FED"/>
    <w:rsid w:val="002223C3"/>
    <w:rsid w:val="00222510"/>
    <w:rsid w:val="00222695"/>
    <w:rsid w:val="0022351A"/>
    <w:rsid w:val="00223E8D"/>
    <w:rsid w:val="00224408"/>
    <w:rsid w:val="00224B73"/>
    <w:rsid w:val="00225408"/>
    <w:rsid w:val="0022547D"/>
    <w:rsid w:val="00225C93"/>
    <w:rsid w:val="002267EE"/>
    <w:rsid w:val="0022684E"/>
    <w:rsid w:val="002311A3"/>
    <w:rsid w:val="0023152D"/>
    <w:rsid w:val="00231F97"/>
    <w:rsid w:val="00232FC1"/>
    <w:rsid w:val="002331E4"/>
    <w:rsid w:val="00233C91"/>
    <w:rsid w:val="002352D4"/>
    <w:rsid w:val="00235C99"/>
    <w:rsid w:val="002366BC"/>
    <w:rsid w:val="002369F1"/>
    <w:rsid w:val="00236F44"/>
    <w:rsid w:val="002376E6"/>
    <w:rsid w:val="00240C30"/>
    <w:rsid w:val="00240E09"/>
    <w:rsid w:val="00241137"/>
    <w:rsid w:val="002411F3"/>
    <w:rsid w:val="00241D99"/>
    <w:rsid w:val="00241EB6"/>
    <w:rsid w:val="00242C3D"/>
    <w:rsid w:val="00242CF5"/>
    <w:rsid w:val="00243D96"/>
    <w:rsid w:val="002449EA"/>
    <w:rsid w:val="002450E4"/>
    <w:rsid w:val="00245ED5"/>
    <w:rsid w:val="00247AFF"/>
    <w:rsid w:val="00250965"/>
    <w:rsid w:val="00250C27"/>
    <w:rsid w:val="00250DBB"/>
    <w:rsid w:val="002514A7"/>
    <w:rsid w:val="00251D0F"/>
    <w:rsid w:val="00251F05"/>
    <w:rsid w:val="0025204B"/>
    <w:rsid w:val="00252864"/>
    <w:rsid w:val="00252F12"/>
    <w:rsid w:val="00253256"/>
    <w:rsid w:val="002537A8"/>
    <w:rsid w:val="002544D4"/>
    <w:rsid w:val="0025463D"/>
    <w:rsid w:val="00255EC0"/>
    <w:rsid w:val="00256036"/>
    <w:rsid w:val="0025692F"/>
    <w:rsid w:val="00256A85"/>
    <w:rsid w:val="002571F7"/>
    <w:rsid w:val="002577C3"/>
    <w:rsid w:val="00260528"/>
    <w:rsid w:val="00260737"/>
    <w:rsid w:val="00260BA8"/>
    <w:rsid w:val="00260D02"/>
    <w:rsid w:val="00260F2C"/>
    <w:rsid w:val="00261C60"/>
    <w:rsid w:val="0026273D"/>
    <w:rsid w:val="00262B9E"/>
    <w:rsid w:val="002633A3"/>
    <w:rsid w:val="002638B7"/>
    <w:rsid w:val="00263AB1"/>
    <w:rsid w:val="00264D55"/>
    <w:rsid w:val="002653EA"/>
    <w:rsid w:val="0026637B"/>
    <w:rsid w:val="002666BD"/>
    <w:rsid w:val="0026705F"/>
    <w:rsid w:val="00270D03"/>
    <w:rsid w:val="00271CDE"/>
    <w:rsid w:val="002722F1"/>
    <w:rsid w:val="00272737"/>
    <w:rsid w:val="00272E00"/>
    <w:rsid w:val="00273302"/>
    <w:rsid w:val="00273434"/>
    <w:rsid w:val="002741B1"/>
    <w:rsid w:val="0027484B"/>
    <w:rsid w:val="00274E3A"/>
    <w:rsid w:val="00275A9E"/>
    <w:rsid w:val="00275F6C"/>
    <w:rsid w:val="00276FA4"/>
    <w:rsid w:val="002779BB"/>
    <w:rsid w:val="00280760"/>
    <w:rsid w:val="00281251"/>
    <w:rsid w:val="00283245"/>
    <w:rsid w:val="00283792"/>
    <w:rsid w:val="00283D9D"/>
    <w:rsid w:val="00285641"/>
    <w:rsid w:val="00285F78"/>
    <w:rsid w:val="00286E92"/>
    <w:rsid w:val="00287674"/>
    <w:rsid w:val="00287B0D"/>
    <w:rsid w:val="002905E2"/>
    <w:rsid w:val="00290A99"/>
    <w:rsid w:val="00290DBD"/>
    <w:rsid w:val="0029145C"/>
    <w:rsid w:val="0029172F"/>
    <w:rsid w:val="00292625"/>
    <w:rsid w:val="002929D9"/>
    <w:rsid w:val="00293887"/>
    <w:rsid w:val="00293F1E"/>
    <w:rsid w:val="00294162"/>
    <w:rsid w:val="00294DB9"/>
    <w:rsid w:val="0029514B"/>
    <w:rsid w:val="00295174"/>
    <w:rsid w:val="00295869"/>
    <w:rsid w:val="00296265"/>
    <w:rsid w:val="00296D58"/>
    <w:rsid w:val="00296E31"/>
    <w:rsid w:val="002977DA"/>
    <w:rsid w:val="00297C25"/>
    <w:rsid w:val="00297EA6"/>
    <w:rsid w:val="00297EE0"/>
    <w:rsid w:val="002A0057"/>
    <w:rsid w:val="002A01A7"/>
    <w:rsid w:val="002A13FA"/>
    <w:rsid w:val="002A18EC"/>
    <w:rsid w:val="002A1DF8"/>
    <w:rsid w:val="002A2234"/>
    <w:rsid w:val="002A24DF"/>
    <w:rsid w:val="002A256A"/>
    <w:rsid w:val="002A35AD"/>
    <w:rsid w:val="002A3803"/>
    <w:rsid w:val="002A3D26"/>
    <w:rsid w:val="002A44BA"/>
    <w:rsid w:val="002A4B49"/>
    <w:rsid w:val="002A4BFA"/>
    <w:rsid w:val="002A4C45"/>
    <w:rsid w:val="002A4E75"/>
    <w:rsid w:val="002A50D3"/>
    <w:rsid w:val="002A52BA"/>
    <w:rsid w:val="002A5538"/>
    <w:rsid w:val="002A55C4"/>
    <w:rsid w:val="002A55D5"/>
    <w:rsid w:val="002A6FBE"/>
    <w:rsid w:val="002A7053"/>
    <w:rsid w:val="002A7156"/>
    <w:rsid w:val="002A7557"/>
    <w:rsid w:val="002A75D0"/>
    <w:rsid w:val="002A7F86"/>
    <w:rsid w:val="002B17B3"/>
    <w:rsid w:val="002B2244"/>
    <w:rsid w:val="002B22AD"/>
    <w:rsid w:val="002B2AA5"/>
    <w:rsid w:val="002B2E24"/>
    <w:rsid w:val="002B3B6E"/>
    <w:rsid w:val="002B3F50"/>
    <w:rsid w:val="002B45F7"/>
    <w:rsid w:val="002B4718"/>
    <w:rsid w:val="002B568A"/>
    <w:rsid w:val="002B578E"/>
    <w:rsid w:val="002B5985"/>
    <w:rsid w:val="002B599B"/>
    <w:rsid w:val="002B631F"/>
    <w:rsid w:val="002B6C51"/>
    <w:rsid w:val="002B7F8B"/>
    <w:rsid w:val="002C1391"/>
    <w:rsid w:val="002C1A70"/>
    <w:rsid w:val="002C4902"/>
    <w:rsid w:val="002C5847"/>
    <w:rsid w:val="002C627B"/>
    <w:rsid w:val="002C62DD"/>
    <w:rsid w:val="002C75B2"/>
    <w:rsid w:val="002D07F2"/>
    <w:rsid w:val="002D0AAB"/>
    <w:rsid w:val="002D10B2"/>
    <w:rsid w:val="002D174A"/>
    <w:rsid w:val="002D1754"/>
    <w:rsid w:val="002D2615"/>
    <w:rsid w:val="002D2A43"/>
    <w:rsid w:val="002D2AA5"/>
    <w:rsid w:val="002D2D91"/>
    <w:rsid w:val="002D36CF"/>
    <w:rsid w:val="002D3717"/>
    <w:rsid w:val="002D37C7"/>
    <w:rsid w:val="002D52E7"/>
    <w:rsid w:val="002D5EFE"/>
    <w:rsid w:val="002D6396"/>
    <w:rsid w:val="002D7F8C"/>
    <w:rsid w:val="002E069B"/>
    <w:rsid w:val="002E0D04"/>
    <w:rsid w:val="002E2441"/>
    <w:rsid w:val="002E27B3"/>
    <w:rsid w:val="002E2F6A"/>
    <w:rsid w:val="002E38F6"/>
    <w:rsid w:val="002E4CFF"/>
    <w:rsid w:val="002E4FDF"/>
    <w:rsid w:val="002E55CD"/>
    <w:rsid w:val="002E5653"/>
    <w:rsid w:val="002E5B6A"/>
    <w:rsid w:val="002E5EB7"/>
    <w:rsid w:val="002E6532"/>
    <w:rsid w:val="002E6595"/>
    <w:rsid w:val="002E6615"/>
    <w:rsid w:val="002E6BC7"/>
    <w:rsid w:val="002E6F49"/>
    <w:rsid w:val="002E78AF"/>
    <w:rsid w:val="002E78C4"/>
    <w:rsid w:val="002F05FE"/>
    <w:rsid w:val="002F08B1"/>
    <w:rsid w:val="002F09E7"/>
    <w:rsid w:val="002F29F6"/>
    <w:rsid w:val="002F3319"/>
    <w:rsid w:val="002F35EE"/>
    <w:rsid w:val="002F3DA4"/>
    <w:rsid w:val="002F40E3"/>
    <w:rsid w:val="002F4157"/>
    <w:rsid w:val="002F4309"/>
    <w:rsid w:val="002F43B1"/>
    <w:rsid w:val="002F458A"/>
    <w:rsid w:val="002F55FB"/>
    <w:rsid w:val="002F58C8"/>
    <w:rsid w:val="002F5B34"/>
    <w:rsid w:val="002F77AC"/>
    <w:rsid w:val="002F7E19"/>
    <w:rsid w:val="002F7F1A"/>
    <w:rsid w:val="00300121"/>
    <w:rsid w:val="003001F6"/>
    <w:rsid w:val="00300AAF"/>
    <w:rsid w:val="00300E7F"/>
    <w:rsid w:val="00301451"/>
    <w:rsid w:val="00301A87"/>
    <w:rsid w:val="00302DE4"/>
    <w:rsid w:val="00302F86"/>
    <w:rsid w:val="0030349B"/>
    <w:rsid w:val="0030390F"/>
    <w:rsid w:val="00304235"/>
    <w:rsid w:val="00304335"/>
    <w:rsid w:val="00305343"/>
    <w:rsid w:val="003060EC"/>
    <w:rsid w:val="00306328"/>
    <w:rsid w:val="003068C8"/>
    <w:rsid w:val="00306BEC"/>
    <w:rsid w:val="00307791"/>
    <w:rsid w:val="00307AC9"/>
    <w:rsid w:val="003103D7"/>
    <w:rsid w:val="00310B21"/>
    <w:rsid w:val="003114FF"/>
    <w:rsid w:val="00311707"/>
    <w:rsid w:val="003126B2"/>
    <w:rsid w:val="0031423F"/>
    <w:rsid w:val="0031431B"/>
    <w:rsid w:val="00314C76"/>
    <w:rsid w:val="003154FA"/>
    <w:rsid w:val="00315580"/>
    <w:rsid w:val="0031681E"/>
    <w:rsid w:val="003170DF"/>
    <w:rsid w:val="00317B2F"/>
    <w:rsid w:val="00317C17"/>
    <w:rsid w:val="00317DEC"/>
    <w:rsid w:val="0032013C"/>
    <w:rsid w:val="0032073C"/>
    <w:rsid w:val="00320D86"/>
    <w:rsid w:val="00320F3C"/>
    <w:rsid w:val="00321A72"/>
    <w:rsid w:val="00322D73"/>
    <w:rsid w:val="00322FD8"/>
    <w:rsid w:val="00323E4C"/>
    <w:rsid w:val="0032432D"/>
    <w:rsid w:val="00324594"/>
    <w:rsid w:val="00325060"/>
    <w:rsid w:val="00326F38"/>
    <w:rsid w:val="0032784A"/>
    <w:rsid w:val="0033042D"/>
    <w:rsid w:val="003305AE"/>
    <w:rsid w:val="00330A68"/>
    <w:rsid w:val="00330AA1"/>
    <w:rsid w:val="00332516"/>
    <w:rsid w:val="00332A11"/>
    <w:rsid w:val="00332BE3"/>
    <w:rsid w:val="00333193"/>
    <w:rsid w:val="00333F64"/>
    <w:rsid w:val="003340AA"/>
    <w:rsid w:val="00334373"/>
    <w:rsid w:val="0033439C"/>
    <w:rsid w:val="003349F9"/>
    <w:rsid w:val="00334E27"/>
    <w:rsid w:val="00335504"/>
    <w:rsid w:val="003355A2"/>
    <w:rsid w:val="0033659A"/>
    <w:rsid w:val="00336E24"/>
    <w:rsid w:val="00337348"/>
    <w:rsid w:val="00337806"/>
    <w:rsid w:val="00340F6A"/>
    <w:rsid w:val="00340FF1"/>
    <w:rsid w:val="003410F3"/>
    <w:rsid w:val="00341530"/>
    <w:rsid w:val="00341589"/>
    <w:rsid w:val="00341C9B"/>
    <w:rsid w:val="00342EF8"/>
    <w:rsid w:val="003432DA"/>
    <w:rsid w:val="003436B8"/>
    <w:rsid w:val="00344A3B"/>
    <w:rsid w:val="00345299"/>
    <w:rsid w:val="003465A8"/>
    <w:rsid w:val="00346FFE"/>
    <w:rsid w:val="003472F2"/>
    <w:rsid w:val="003475D5"/>
    <w:rsid w:val="00347AFE"/>
    <w:rsid w:val="00350559"/>
    <w:rsid w:val="00350FBC"/>
    <w:rsid w:val="003510D1"/>
    <w:rsid w:val="003512FF"/>
    <w:rsid w:val="00352567"/>
    <w:rsid w:val="00352DF8"/>
    <w:rsid w:val="003537D6"/>
    <w:rsid w:val="00353D52"/>
    <w:rsid w:val="00353D8B"/>
    <w:rsid w:val="00354594"/>
    <w:rsid w:val="00354851"/>
    <w:rsid w:val="0035511F"/>
    <w:rsid w:val="00355923"/>
    <w:rsid w:val="00355F65"/>
    <w:rsid w:val="00356D0D"/>
    <w:rsid w:val="00356E7A"/>
    <w:rsid w:val="00356FC3"/>
    <w:rsid w:val="003603CA"/>
    <w:rsid w:val="0036075E"/>
    <w:rsid w:val="0036093B"/>
    <w:rsid w:val="003609FA"/>
    <w:rsid w:val="00360E6B"/>
    <w:rsid w:val="00360F25"/>
    <w:rsid w:val="003612CB"/>
    <w:rsid w:val="00361C01"/>
    <w:rsid w:val="00362B48"/>
    <w:rsid w:val="00362BE5"/>
    <w:rsid w:val="00363781"/>
    <w:rsid w:val="00363860"/>
    <w:rsid w:val="00364050"/>
    <w:rsid w:val="00365259"/>
    <w:rsid w:val="003653DB"/>
    <w:rsid w:val="00365555"/>
    <w:rsid w:val="003655E5"/>
    <w:rsid w:val="00366943"/>
    <w:rsid w:val="0036729A"/>
    <w:rsid w:val="003677C8"/>
    <w:rsid w:val="0036799A"/>
    <w:rsid w:val="00367A13"/>
    <w:rsid w:val="00371CBE"/>
    <w:rsid w:val="0037226A"/>
    <w:rsid w:val="0037232D"/>
    <w:rsid w:val="00372656"/>
    <w:rsid w:val="00372C30"/>
    <w:rsid w:val="00372DDB"/>
    <w:rsid w:val="0037390E"/>
    <w:rsid w:val="003739E1"/>
    <w:rsid w:val="00373BD8"/>
    <w:rsid w:val="00373C11"/>
    <w:rsid w:val="00374384"/>
    <w:rsid w:val="003754D2"/>
    <w:rsid w:val="0037592E"/>
    <w:rsid w:val="00375B6B"/>
    <w:rsid w:val="00376A88"/>
    <w:rsid w:val="00376C7E"/>
    <w:rsid w:val="00377271"/>
    <w:rsid w:val="00377471"/>
    <w:rsid w:val="0037747B"/>
    <w:rsid w:val="00380EE7"/>
    <w:rsid w:val="00380F8D"/>
    <w:rsid w:val="00381352"/>
    <w:rsid w:val="003814C7"/>
    <w:rsid w:val="00381C98"/>
    <w:rsid w:val="0038309F"/>
    <w:rsid w:val="00383620"/>
    <w:rsid w:val="00383637"/>
    <w:rsid w:val="003837A1"/>
    <w:rsid w:val="003851B5"/>
    <w:rsid w:val="003859A6"/>
    <w:rsid w:val="00385DBF"/>
    <w:rsid w:val="0038642B"/>
    <w:rsid w:val="003864FD"/>
    <w:rsid w:val="003865C0"/>
    <w:rsid w:val="00386E88"/>
    <w:rsid w:val="0038793B"/>
    <w:rsid w:val="00390541"/>
    <w:rsid w:val="003907FF"/>
    <w:rsid w:val="00391933"/>
    <w:rsid w:val="003920C5"/>
    <w:rsid w:val="00392DB1"/>
    <w:rsid w:val="00393A7B"/>
    <w:rsid w:val="00393E5D"/>
    <w:rsid w:val="0039416C"/>
    <w:rsid w:val="00394BEA"/>
    <w:rsid w:val="00394D43"/>
    <w:rsid w:val="00394DED"/>
    <w:rsid w:val="00394EB6"/>
    <w:rsid w:val="00395666"/>
    <w:rsid w:val="00395CF8"/>
    <w:rsid w:val="00395DDF"/>
    <w:rsid w:val="00396A5C"/>
    <w:rsid w:val="00396F7D"/>
    <w:rsid w:val="00397BA2"/>
    <w:rsid w:val="003A0010"/>
    <w:rsid w:val="003A0380"/>
    <w:rsid w:val="003A0576"/>
    <w:rsid w:val="003A07E5"/>
    <w:rsid w:val="003A1CB9"/>
    <w:rsid w:val="003A2992"/>
    <w:rsid w:val="003A299F"/>
    <w:rsid w:val="003A2F0D"/>
    <w:rsid w:val="003A2FFC"/>
    <w:rsid w:val="003A3063"/>
    <w:rsid w:val="003A312D"/>
    <w:rsid w:val="003A317B"/>
    <w:rsid w:val="003A34E5"/>
    <w:rsid w:val="003A41E1"/>
    <w:rsid w:val="003A423E"/>
    <w:rsid w:val="003A4875"/>
    <w:rsid w:val="003A5059"/>
    <w:rsid w:val="003A57DF"/>
    <w:rsid w:val="003A5960"/>
    <w:rsid w:val="003A5EB9"/>
    <w:rsid w:val="003A62DC"/>
    <w:rsid w:val="003A693D"/>
    <w:rsid w:val="003A6C2E"/>
    <w:rsid w:val="003A6D83"/>
    <w:rsid w:val="003A6E6F"/>
    <w:rsid w:val="003A7037"/>
    <w:rsid w:val="003A70D3"/>
    <w:rsid w:val="003A7413"/>
    <w:rsid w:val="003B08AD"/>
    <w:rsid w:val="003B27AF"/>
    <w:rsid w:val="003B27BB"/>
    <w:rsid w:val="003B2CAE"/>
    <w:rsid w:val="003B2E68"/>
    <w:rsid w:val="003B3135"/>
    <w:rsid w:val="003B3413"/>
    <w:rsid w:val="003B37F1"/>
    <w:rsid w:val="003B3B94"/>
    <w:rsid w:val="003B3DF3"/>
    <w:rsid w:val="003B41A1"/>
    <w:rsid w:val="003B454C"/>
    <w:rsid w:val="003B52D6"/>
    <w:rsid w:val="003B5B68"/>
    <w:rsid w:val="003B6151"/>
    <w:rsid w:val="003B69B5"/>
    <w:rsid w:val="003B6B60"/>
    <w:rsid w:val="003B6FFB"/>
    <w:rsid w:val="003B749A"/>
    <w:rsid w:val="003B7C88"/>
    <w:rsid w:val="003B7EC9"/>
    <w:rsid w:val="003C1051"/>
    <w:rsid w:val="003C1615"/>
    <w:rsid w:val="003C162C"/>
    <w:rsid w:val="003C1FB8"/>
    <w:rsid w:val="003C1FF4"/>
    <w:rsid w:val="003C22E0"/>
    <w:rsid w:val="003C2712"/>
    <w:rsid w:val="003C28E0"/>
    <w:rsid w:val="003C2AF1"/>
    <w:rsid w:val="003C3BAC"/>
    <w:rsid w:val="003C3D5B"/>
    <w:rsid w:val="003C3E25"/>
    <w:rsid w:val="003C4B43"/>
    <w:rsid w:val="003C4C0B"/>
    <w:rsid w:val="003C4F39"/>
    <w:rsid w:val="003C5374"/>
    <w:rsid w:val="003C55FC"/>
    <w:rsid w:val="003C5AFA"/>
    <w:rsid w:val="003C5F94"/>
    <w:rsid w:val="003C6663"/>
    <w:rsid w:val="003D08A6"/>
    <w:rsid w:val="003D19F7"/>
    <w:rsid w:val="003D2745"/>
    <w:rsid w:val="003D32A1"/>
    <w:rsid w:val="003D41DE"/>
    <w:rsid w:val="003D47C2"/>
    <w:rsid w:val="003D4932"/>
    <w:rsid w:val="003D4F41"/>
    <w:rsid w:val="003D54A9"/>
    <w:rsid w:val="003D6A26"/>
    <w:rsid w:val="003D6F87"/>
    <w:rsid w:val="003D7F3C"/>
    <w:rsid w:val="003E036F"/>
    <w:rsid w:val="003E04DE"/>
    <w:rsid w:val="003E16C0"/>
    <w:rsid w:val="003E19FA"/>
    <w:rsid w:val="003E1AA4"/>
    <w:rsid w:val="003E1FAD"/>
    <w:rsid w:val="003E21D6"/>
    <w:rsid w:val="003E29FC"/>
    <w:rsid w:val="003E2CEC"/>
    <w:rsid w:val="003E3230"/>
    <w:rsid w:val="003E3D6B"/>
    <w:rsid w:val="003E3E00"/>
    <w:rsid w:val="003E3EB7"/>
    <w:rsid w:val="003E3F37"/>
    <w:rsid w:val="003E4876"/>
    <w:rsid w:val="003E4EAD"/>
    <w:rsid w:val="003E547D"/>
    <w:rsid w:val="003E6680"/>
    <w:rsid w:val="003E778D"/>
    <w:rsid w:val="003F0133"/>
    <w:rsid w:val="003F022B"/>
    <w:rsid w:val="003F03DB"/>
    <w:rsid w:val="003F04E9"/>
    <w:rsid w:val="003F07D1"/>
    <w:rsid w:val="003F1BDC"/>
    <w:rsid w:val="003F1CFC"/>
    <w:rsid w:val="003F2A7E"/>
    <w:rsid w:val="003F3EEA"/>
    <w:rsid w:val="003F4354"/>
    <w:rsid w:val="003F4933"/>
    <w:rsid w:val="003F4AE2"/>
    <w:rsid w:val="003F4B0B"/>
    <w:rsid w:val="003F5394"/>
    <w:rsid w:val="003F54E5"/>
    <w:rsid w:val="003F63DF"/>
    <w:rsid w:val="003F6676"/>
    <w:rsid w:val="003F6A04"/>
    <w:rsid w:val="003F732C"/>
    <w:rsid w:val="003F79A8"/>
    <w:rsid w:val="003F7DC0"/>
    <w:rsid w:val="00400030"/>
    <w:rsid w:val="004002CD"/>
    <w:rsid w:val="004005A3"/>
    <w:rsid w:val="004016FD"/>
    <w:rsid w:val="004039FA"/>
    <w:rsid w:val="00404602"/>
    <w:rsid w:val="004047B4"/>
    <w:rsid w:val="00405835"/>
    <w:rsid w:val="00406209"/>
    <w:rsid w:val="004064A3"/>
    <w:rsid w:val="00407F83"/>
    <w:rsid w:val="004106A9"/>
    <w:rsid w:val="00410B29"/>
    <w:rsid w:val="00411918"/>
    <w:rsid w:val="004119E6"/>
    <w:rsid w:val="004122B6"/>
    <w:rsid w:val="004122D9"/>
    <w:rsid w:val="004132AF"/>
    <w:rsid w:val="00413932"/>
    <w:rsid w:val="00413C0C"/>
    <w:rsid w:val="00413DB4"/>
    <w:rsid w:val="004146E3"/>
    <w:rsid w:val="00414BD2"/>
    <w:rsid w:val="00414E87"/>
    <w:rsid w:val="004153E8"/>
    <w:rsid w:val="00415D35"/>
    <w:rsid w:val="004165C5"/>
    <w:rsid w:val="00416A20"/>
    <w:rsid w:val="00416D67"/>
    <w:rsid w:val="00416DD5"/>
    <w:rsid w:val="004177E3"/>
    <w:rsid w:val="00417C20"/>
    <w:rsid w:val="004206A3"/>
    <w:rsid w:val="00420700"/>
    <w:rsid w:val="00421F9D"/>
    <w:rsid w:val="00422027"/>
    <w:rsid w:val="0042206C"/>
    <w:rsid w:val="0042259F"/>
    <w:rsid w:val="00422C3D"/>
    <w:rsid w:val="00423174"/>
    <w:rsid w:val="00424482"/>
    <w:rsid w:val="00424D19"/>
    <w:rsid w:val="00425A08"/>
    <w:rsid w:val="0042633F"/>
    <w:rsid w:val="00426A6C"/>
    <w:rsid w:val="00427253"/>
    <w:rsid w:val="00427718"/>
    <w:rsid w:val="00427CC9"/>
    <w:rsid w:val="0043038B"/>
    <w:rsid w:val="00430487"/>
    <w:rsid w:val="004304ED"/>
    <w:rsid w:val="00430519"/>
    <w:rsid w:val="0043054A"/>
    <w:rsid w:val="004307F9"/>
    <w:rsid w:val="004309E4"/>
    <w:rsid w:val="00431425"/>
    <w:rsid w:val="00431B89"/>
    <w:rsid w:val="00431D1F"/>
    <w:rsid w:val="00431F31"/>
    <w:rsid w:val="0043288E"/>
    <w:rsid w:val="0043347B"/>
    <w:rsid w:val="004338E0"/>
    <w:rsid w:val="0043445F"/>
    <w:rsid w:val="004348AC"/>
    <w:rsid w:val="00434ACA"/>
    <w:rsid w:val="00434F2F"/>
    <w:rsid w:val="00435AA2"/>
    <w:rsid w:val="00435B1D"/>
    <w:rsid w:val="00435D64"/>
    <w:rsid w:val="0043785F"/>
    <w:rsid w:val="00437A87"/>
    <w:rsid w:val="00440737"/>
    <w:rsid w:val="00440CBF"/>
    <w:rsid w:val="00441572"/>
    <w:rsid w:val="00441905"/>
    <w:rsid w:val="00442B72"/>
    <w:rsid w:val="00442EAD"/>
    <w:rsid w:val="00443635"/>
    <w:rsid w:val="00443DD7"/>
    <w:rsid w:val="00444015"/>
    <w:rsid w:val="004442FF"/>
    <w:rsid w:val="004444FA"/>
    <w:rsid w:val="00444D10"/>
    <w:rsid w:val="00445A03"/>
    <w:rsid w:val="00446264"/>
    <w:rsid w:val="004467B6"/>
    <w:rsid w:val="00447025"/>
    <w:rsid w:val="00447128"/>
    <w:rsid w:val="00447A58"/>
    <w:rsid w:val="00447E96"/>
    <w:rsid w:val="0045049C"/>
    <w:rsid w:val="004507E7"/>
    <w:rsid w:val="004524E3"/>
    <w:rsid w:val="00452AAC"/>
    <w:rsid w:val="0045373B"/>
    <w:rsid w:val="0045435C"/>
    <w:rsid w:val="0045453A"/>
    <w:rsid w:val="004547A8"/>
    <w:rsid w:val="0045596A"/>
    <w:rsid w:val="00455DFC"/>
    <w:rsid w:val="004567B8"/>
    <w:rsid w:val="00457A24"/>
    <w:rsid w:val="00457C67"/>
    <w:rsid w:val="00457D92"/>
    <w:rsid w:val="004602F8"/>
    <w:rsid w:val="00460813"/>
    <w:rsid w:val="00460B54"/>
    <w:rsid w:val="00461237"/>
    <w:rsid w:val="0046157E"/>
    <w:rsid w:val="00461A5D"/>
    <w:rsid w:val="004627C0"/>
    <w:rsid w:val="00462F26"/>
    <w:rsid w:val="0046336F"/>
    <w:rsid w:val="00463E4C"/>
    <w:rsid w:val="004644E8"/>
    <w:rsid w:val="00464AA6"/>
    <w:rsid w:val="004652A6"/>
    <w:rsid w:val="004658B5"/>
    <w:rsid w:val="00466541"/>
    <w:rsid w:val="00466EC4"/>
    <w:rsid w:val="0046746E"/>
    <w:rsid w:val="004709B5"/>
    <w:rsid w:val="00470C36"/>
    <w:rsid w:val="00470DCA"/>
    <w:rsid w:val="004711C4"/>
    <w:rsid w:val="004712AD"/>
    <w:rsid w:val="00471E42"/>
    <w:rsid w:val="0047207F"/>
    <w:rsid w:val="00472148"/>
    <w:rsid w:val="00472276"/>
    <w:rsid w:val="004724F7"/>
    <w:rsid w:val="004736E1"/>
    <w:rsid w:val="00473D1F"/>
    <w:rsid w:val="00473D4F"/>
    <w:rsid w:val="004748CC"/>
    <w:rsid w:val="00474E97"/>
    <w:rsid w:val="0047574E"/>
    <w:rsid w:val="0047578A"/>
    <w:rsid w:val="00475D22"/>
    <w:rsid w:val="00476120"/>
    <w:rsid w:val="004769AD"/>
    <w:rsid w:val="00476BA6"/>
    <w:rsid w:val="00476EF8"/>
    <w:rsid w:val="00477AE1"/>
    <w:rsid w:val="00477DC7"/>
    <w:rsid w:val="0048081D"/>
    <w:rsid w:val="00480880"/>
    <w:rsid w:val="004810EF"/>
    <w:rsid w:val="0048172F"/>
    <w:rsid w:val="004818A1"/>
    <w:rsid w:val="00481C4E"/>
    <w:rsid w:val="004826D0"/>
    <w:rsid w:val="00483A7F"/>
    <w:rsid w:val="00483FFA"/>
    <w:rsid w:val="0048487D"/>
    <w:rsid w:val="00485552"/>
    <w:rsid w:val="0048559F"/>
    <w:rsid w:val="00485A77"/>
    <w:rsid w:val="00485C3C"/>
    <w:rsid w:val="004861B4"/>
    <w:rsid w:val="0048623B"/>
    <w:rsid w:val="004871FC"/>
    <w:rsid w:val="00487648"/>
    <w:rsid w:val="004876A9"/>
    <w:rsid w:val="004877AB"/>
    <w:rsid w:val="0048784A"/>
    <w:rsid w:val="0048793B"/>
    <w:rsid w:val="00487DDE"/>
    <w:rsid w:val="00490806"/>
    <w:rsid w:val="00491286"/>
    <w:rsid w:val="00491555"/>
    <w:rsid w:val="00493164"/>
    <w:rsid w:val="00493258"/>
    <w:rsid w:val="00494271"/>
    <w:rsid w:val="004944FB"/>
    <w:rsid w:val="004947A2"/>
    <w:rsid w:val="00494D4E"/>
    <w:rsid w:val="004950B9"/>
    <w:rsid w:val="00495EF2"/>
    <w:rsid w:val="00496211"/>
    <w:rsid w:val="004963A9"/>
    <w:rsid w:val="00496419"/>
    <w:rsid w:val="0049702C"/>
    <w:rsid w:val="004974FA"/>
    <w:rsid w:val="00497927"/>
    <w:rsid w:val="004A01FC"/>
    <w:rsid w:val="004A0DE3"/>
    <w:rsid w:val="004A18A5"/>
    <w:rsid w:val="004A1C50"/>
    <w:rsid w:val="004A63E4"/>
    <w:rsid w:val="004A68E1"/>
    <w:rsid w:val="004A6BEB"/>
    <w:rsid w:val="004A79F3"/>
    <w:rsid w:val="004B01A2"/>
    <w:rsid w:val="004B0AE0"/>
    <w:rsid w:val="004B0C7F"/>
    <w:rsid w:val="004B176F"/>
    <w:rsid w:val="004B1BA7"/>
    <w:rsid w:val="004B1D1D"/>
    <w:rsid w:val="004B2390"/>
    <w:rsid w:val="004B3577"/>
    <w:rsid w:val="004B48C8"/>
    <w:rsid w:val="004B48FF"/>
    <w:rsid w:val="004B4BEF"/>
    <w:rsid w:val="004B4F8E"/>
    <w:rsid w:val="004B525C"/>
    <w:rsid w:val="004B5901"/>
    <w:rsid w:val="004B5B3D"/>
    <w:rsid w:val="004B662A"/>
    <w:rsid w:val="004B6943"/>
    <w:rsid w:val="004B69AB"/>
    <w:rsid w:val="004B6F90"/>
    <w:rsid w:val="004B6FD4"/>
    <w:rsid w:val="004B715F"/>
    <w:rsid w:val="004B7B7F"/>
    <w:rsid w:val="004C045E"/>
    <w:rsid w:val="004C0D6D"/>
    <w:rsid w:val="004C10CE"/>
    <w:rsid w:val="004C18B3"/>
    <w:rsid w:val="004C1996"/>
    <w:rsid w:val="004C1D3A"/>
    <w:rsid w:val="004C2307"/>
    <w:rsid w:val="004C2816"/>
    <w:rsid w:val="004C2C0C"/>
    <w:rsid w:val="004C35AF"/>
    <w:rsid w:val="004C3ED0"/>
    <w:rsid w:val="004C691D"/>
    <w:rsid w:val="004C6AA0"/>
    <w:rsid w:val="004C6E70"/>
    <w:rsid w:val="004C7179"/>
    <w:rsid w:val="004C7539"/>
    <w:rsid w:val="004C7657"/>
    <w:rsid w:val="004C782F"/>
    <w:rsid w:val="004D0349"/>
    <w:rsid w:val="004D096C"/>
    <w:rsid w:val="004D09B2"/>
    <w:rsid w:val="004D0D1E"/>
    <w:rsid w:val="004D126A"/>
    <w:rsid w:val="004D173B"/>
    <w:rsid w:val="004D2AC8"/>
    <w:rsid w:val="004D3C28"/>
    <w:rsid w:val="004D4562"/>
    <w:rsid w:val="004D47F1"/>
    <w:rsid w:val="004D4C0A"/>
    <w:rsid w:val="004D50CA"/>
    <w:rsid w:val="004D5D73"/>
    <w:rsid w:val="004D60B9"/>
    <w:rsid w:val="004D61D6"/>
    <w:rsid w:val="004D6BC9"/>
    <w:rsid w:val="004D6E21"/>
    <w:rsid w:val="004D772D"/>
    <w:rsid w:val="004D7C88"/>
    <w:rsid w:val="004E04BF"/>
    <w:rsid w:val="004E0E32"/>
    <w:rsid w:val="004E1779"/>
    <w:rsid w:val="004E21F6"/>
    <w:rsid w:val="004E2C27"/>
    <w:rsid w:val="004E302A"/>
    <w:rsid w:val="004E37DF"/>
    <w:rsid w:val="004E3918"/>
    <w:rsid w:val="004E44FF"/>
    <w:rsid w:val="004E45E4"/>
    <w:rsid w:val="004E467D"/>
    <w:rsid w:val="004E5449"/>
    <w:rsid w:val="004E5AC2"/>
    <w:rsid w:val="004E5BB7"/>
    <w:rsid w:val="004E5E59"/>
    <w:rsid w:val="004E75A3"/>
    <w:rsid w:val="004E774C"/>
    <w:rsid w:val="004F02A2"/>
    <w:rsid w:val="004F0A89"/>
    <w:rsid w:val="004F1342"/>
    <w:rsid w:val="004F2563"/>
    <w:rsid w:val="004F489F"/>
    <w:rsid w:val="004F4DD7"/>
    <w:rsid w:val="004F51B8"/>
    <w:rsid w:val="004F549C"/>
    <w:rsid w:val="004F57B0"/>
    <w:rsid w:val="004F63FB"/>
    <w:rsid w:val="004F65D2"/>
    <w:rsid w:val="004F76F2"/>
    <w:rsid w:val="004F7DFC"/>
    <w:rsid w:val="004F7FDF"/>
    <w:rsid w:val="00501288"/>
    <w:rsid w:val="00501C47"/>
    <w:rsid w:val="00502E54"/>
    <w:rsid w:val="00503BB4"/>
    <w:rsid w:val="005044B5"/>
    <w:rsid w:val="005045EF"/>
    <w:rsid w:val="00504875"/>
    <w:rsid w:val="00504E72"/>
    <w:rsid w:val="00505160"/>
    <w:rsid w:val="00505653"/>
    <w:rsid w:val="00505A2F"/>
    <w:rsid w:val="0050787E"/>
    <w:rsid w:val="00507FE1"/>
    <w:rsid w:val="0051038F"/>
    <w:rsid w:val="0051070D"/>
    <w:rsid w:val="005112F4"/>
    <w:rsid w:val="005113D0"/>
    <w:rsid w:val="00511884"/>
    <w:rsid w:val="00511D44"/>
    <w:rsid w:val="005129EB"/>
    <w:rsid w:val="0051339A"/>
    <w:rsid w:val="00513526"/>
    <w:rsid w:val="00513B72"/>
    <w:rsid w:val="00513FE0"/>
    <w:rsid w:val="0051404C"/>
    <w:rsid w:val="00514201"/>
    <w:rsid w:val="005152B4"/>
    <w:rsid w:val="005161D7"/>
    <w:rsid w:val="00516340"/>
    <w:rsid w:val="00516926"/>
    <w:rsid w:val="00516AF9"/>
    <w:rsid w:val="00516ED8"/>
    <w:rsid w:val="00516F0B"/>
    <w:rsid w:val="005174D0"/>
    <w:rsid w:val="00517B68"/>
    <w:rsid w:val="00517C43"/>
    <w:rsid w:val="00517EA7"/>
    <w:rsid w:val="00521C27"/>
    <w:rsid w:val="00522164"/>
    <w:rsid w:val="00522644"/>
    <w:rsid w:val="0052410D"/>
    <w:rsid w:val="005244A3"/>
    <w:rsid w:val="0052546C"/>
    <w:rsid w:val="00525626"/>
    <w:rsid w:val="0052589C"/>
    <w:rsid w:val="005263A8"/>
    <w:rsid w:val="0052653A"/>
    <w:rsid w:val="00530C5E"/>
    <w:rsid w:val="00530CEC"/>
    <w:rsid w:val="0053131E"/>
    <w:rsid w:val="005329BC"/>
    <w:rsid w:val="005332A2"/>
    <w:rsid w:val="00533E26"/>
    <w:rsid w:val="00533EA4"/>
    <w:rsid w:val="005355B3"/>
    <w:rsid w:val="005358B7"/>
    <w:rsid w:val="00535ECA"/>
    <w:rsid w:val="00535F65"/>
    <w:rsid w:val="00536176"/>
    <w:rsid w:val="00536387"/>
    <w:rsid w:val="005364BE"/>
    <w:rsid w:val="00536E30"/>
    <w:rsid w:val="00537201"/>
    <w:rsid w:val="00537437"/>
    <w:rsid w:val="00537665"/>
    <w:rsid w:val="00537746"/>
    <w:rsid w:val="00537CAB"/>
    <w:rsid w:val="00540E04"/>
    <w:rsid w:val="00540F07"/>
    <w:rsid w:val="005428D4"/>
    <w:rsid w:val="00542F44"/>
    <w:rsid w:val="00543956"/>
    <w:rsid w:val="00544765"/>
    <w:rsid w:val="00545218"/>
    <w:rsid w:val="00545652"/>
    <w:rsid w:val="005456C4"/>
    <w:rsid w:val="00545BBD"/>
    <w:rsid w:val="005476EF"/>
    <w:rsid w:val="00547D82"/>
    <w:rsid w:val="005508B6"/>
    <w:rsid w:val="00551351"/>
    <w:rsid w:val="00551813"/>
    <w:rsid w:val="005518FF"/>
    <w:rsid w:val="00552356"/>
    <w:rsid w:val="0055289B"/>
    <w:rsid w:val="00552C17"/>
    <w:rsid w:val="00552C4D"/>
    <w:rsid w:val="00552C51"/>
    <w:rsid w:val="00552DFD"/>
    <w:rsid w:val="005538D3"/>
    <w:rsid w:val="00553A18"/>
    <w:rsid w:val="005549F8"/>
    <w:rsid w:val="00554E35"/>
    <w:rsid w:val="00555398"/>
    <w:rsid w:val="005555FF"/>
    <w:rsid w:val="0055562E"/>
    <w:rsid w:val="005558F6"/>
    <w:rsid w:val="00555CF8"/>
    <w:rsid w:val="00555F3C"/>
    <w:rsid w:val="00556D97"/>
    <w:rsid w:val="00560202"/>
    <w:rsid w:val="00560D97"/>
    <w:rsid w:val="0056136A"/>
    <w:rsid w:val="00561A62"/>
    <w:rsid w:val="005639EF"/>
    <w:rsid w:val="00563A42"/>
    <w:rsid w:val="00563FFC"/>
    <w:rsid w:val="00564F49"/>
    <w:rsid w:val="005651FA"/>
    <w:rsid w:val="00565298"/>
    <w:rsid w:val="00565734"/>
    <w:rsid w:val="00565C70"/>
    <w:rsid w:val="00566264"/>
    <w:rsid w:val="005662D1"/>
    <w:rsid w:val="00566C5D"/>
    <w:rsid w:val="00566D75"/>
    <w:rsid w:val="00567B11"/>
    <w:rsid w:val="005700ED"/>
    <w:rsid w:val="005703BA"/>
    <w:rsid w:val="005704BD"/>
    <w:rsid w:val="0057097D"/>
    <w:rsid w:val="00570B79"/>
    <w:rsid w:val="00570F45"/>
    <w:rsid w:val="00571454"/>
    <w:rsid w:val="00571A30"/>
    <w:rsid w:val="00571A97"/>
    <w:rsid w:val="00571CE9"/>
    <w:rsid w:val="00572111"/>
    <w:rsid w:val="005732FA"/>
    <w:rsid w:val="00573FA4"/>
    <w:rsid w:val="00573FAF"/>
    <w:rsid w:val="00574349"/>
    <w:rsid w:val="00574449"/>
    <w:rsid w:val="00575A9C"/>
    <w:rsid w:val="00575CB1"/>
    <w:rsid w:val="00575D7E"/>
    <w:rsid w:val="005762C8"/>
    <w:rsid w:val="005763B6"/>
    <w:rsid w:val="00576998"/>
    <w:rsid w:val="0057706B"/>
    <w:rsid w:val="00580335"/>
    <w:rsid w:val="00580B1A"/>
    <w:rsid w:val="0058119B"/>
    <w:rsid w:val="005812EA"/>
    <w:rsid w:val="00581A21"/>
    <w:rsid w:val="00581C48"/>
    <w:rsid w:val="00582042"/>
    <w:rsid w:val="0058267F"/>
    <w:rsid w:val="005829E0"/>
    <w:rsid w:val="00583174"/>
    <w:rsid w:val="005831C4"/>
    <w:rsid w:val="00583FD8"/>
    <w:rsid w:val="0058436F"/>
    <w:rsid w:val="005851C3"/>
    <w:rsid w:val="00585C2D"/>
    <w:rsid w:val="00585DDF"/>
    <w:rsid w:val="00585F6A"/>
    <w:rsid w:val="005865CA"/>
    <w:rsid w:val="00586A46"/>
    <w:rsid w:val="005900DC"/>
    <w:rsid w:val="00590880"/>
    <w:rsid w:val="00590C55"/>
    <w:rsid w:val="00590D11"/>
    <w:rsid w:val="00591602"/>
    <w:rsid w:val="0059176F"/>
    <w:rsid w:val="00591DC2"/>
    <w:rsid w:val="00591E4F"/>
    <w:rsid w:val="00592832"/>
    <w:rsid w:val="0059595D"/>
    <w:rsid w:val="00595FBC"/>
    <w:rsid w:val="00596201"/>
    <w:rsid w:val="00596A9F"/>
    <w:rsid w:val="005A0021"/>
    <w:rsid w:val="005A035D"/>
    <w:rsid w:val="005A06DD"/>
    <w:rsid w:val="005A0A4D"/>
    <w:rsid w:val="005A0D8A"/>
    <w:rsid w:val="005A102E"/>
    <w:rsid w:val="005A1B55"/>
    <w:rsid w:val="005A1E73"/>
    <w:rsid w:val="005A2495"/>
    <w:rsid w:val="005A2633"/>
    <w:rsid w:val="005A3244"/>
    <w:rsid w:val="005A33F9"/>
    <w:rsid w:val="005A376D"/>
    <w:rsid w:val="005A3C7D"/>
    <w:rsid w:val="005A48CB"/>
    <w:rsid w:val="005A5870"/>
    <w:rsid w:val="005A632F"/>
    <w:rsid w:val="005A709D"/>
    <w:rsid w:val="005B02CC"/>
    <w:rsid w:val="005B060D"/>
    <w:rsid w:val="005B078C"/>
    <w:rsid w:val="005B0D81"/>
    <w:rsid w:val="005B1932"/>
    <w:rsid w:val="005B2716"/>
    <w:rsid w:val="005B2A2D"/>
    <w:rsid w:val="005B2A99"/>
    <w:rsid w:val="005B2AF2"/>
    <w:rsid w:val="005B2B05"/>
    <w:rsid w:val="005B32F2"/>
    <w:rsid w:val="005B4AE5"/>
    <w:rsid w:val="005B58FF"/>
    <w:rsid w:val="005B59C5"/>
    <w:rsid w:val="005B62FD"/>
    <w:rsid w:val="005C0029"/>
    <w:rsid w:val="005C00C5"/>
    <w:rsid w:val="005C08B7"/>
    <w:rsid w:val="005C173A"/>
    <w:rsid w:val="005C19DE"/>
    <w:rsid w:val="005C1DAB"/>
    <w:rsid w:val="005C2735"/>
    <w:rsid w:val="005C2A74"/>
    <w:rsid w:val="005C2ED8"/>
    <w:rsid w:val="005C5B36"/>
    <w:rsid w:val="005C5CEE"/>
    <w:rsid w:val="005C6B4B"/>
    <w:rsid w:val="005C6C21"/>
    <w:rsid w:val="005C6E5D"/>
    <w:rsid w:val="005C7541"/>
    <w:rsid w:val="005C7B91"/>
    <w:rsid w:val="005C7C7E"/>
    <w:rsid w:val="005D0787"/>
    <w:rsid w:val="005D0F66"/>
    <w:rsid w:val="005D1F67"/>
    <w:rsid w:val="005D225A"/>
    <w:rsid w:val="005D2611"/>
    <w:rsid w:val="005D2693"/>
    <w:rsid w:val="005D27D9"/>
    <w:rsid w:val="005D2A5C"/>
    <w:rsid w:val="005D33A6"/>
    <w:rsid w:val="005D3841"/>
    <w:rsid w:val="005D43A4"/>
    <w:rsid w:val="005D44D1"/>
    <w:rsid w:val="005D4580"/>
    <w:rsid w:val="005D4A37"/>
    <w:rsid w:val="005D58B3"/>
    <w:rsid w:val="005D5A5E"/>
    <w:rsid w:val="005D715A"/>
    <w:rsid w:val="005D7178"/>
    <w:rsid w:val="005D74D8"/>
    <w:rsid w:val="005D7657"/>
    <w:rsid w:val="005D782E"/>
    <w:rsid w:val="005D7AE9"/>
    <w:rsid w:val="005D7BA8"/>
    <w:rsid w:val="005E0639"/>
    <w:rsid w:val="005E2501"/>
    <w:rsid w:val="005E2599"/>
    <w:rsid w:val="005E2625"/>
    <w:rsid w:val="005E28BE"/>
    <w:rsid w:val="005E44A8"/>
    <w:rsid w:val="005E473B"/>
    <w:rsid w:val="005E48CA"/>
    <w:rsid w:val="005E4FC5"/>
    <w:rsid w:val="005E510A"/>
    <w:rsid w:val="005E53C3"/>
    <w:rsid w:val="005E608A"/>
    <w:rsid w:val="005E60A2"/>
    <w:rsid w:val="005E61E3"/>
    <w:rsid w:val="005E653A"/>
    <w:rsid w:val="005E6A22"/>
    <w:rsid w:val="005E6D9D"/>
    <w:rsid w:val="005E731D"/>
    <w:rsid w:val="005E7413"/>
    <w:rsid w:val="005F0190"/>
    <w:rsid w:val="005F046A"/>
    <w:rsid w:val="005F0C7E"/>
    <w:rsid w:val="005F2F76"/>
    <w:rsid w:val="005F3334"/>
    <w:rsid w:val="005F336B"/>
    <w:rsid w:val="005F39B6"/>
    <w:rsid w:val="005F3AB4"/>
    <w:rsid w:val="005F3D2B"/>
    <w:rsid w:val="005F53CD"/>
    <w:rsid w:val="005F5AF7"/>
    <w:rsid w:val="005F5C13"/>
    <w:rsid w:val="005F66BD"/>
    <w:rsid w:val="005F6FBA"/>
    <w:rsid w:val="005F70EA"/>
    <w:rsid w:val="005F777D"/>
    <w:rsid w:val="00600C50"/>
    <w:rsid w:val="00600CF8"/>
    <w:rsid w:val="00600DBD"/>
    <w:rsid w:val="00601351"/>
    <w:rsid w:val="006014CF"/>
    <w:rsid w:val="006014F5"/>
    <w:rsid w:val="006022EC"/>
    <w:rsid w:val="00602556"/>
    <w:rsid w:val="00602EC7"/>
    <w:rsid w:val="00602F32"/>
    <w:rsid w:val="006035A1"/>
    <w:rsid w:val="00603A11"/>
    <w:rsid w:val="00603BCF"/>
    <w:rsid w:val="00603BFC"/>
    <w:rsid w:val="00603FA6"/>
    <w:rsid w:val="00604C26"/>
    <w:rsid w:val="00604C2C"/>
    <w:rsid w:val="00604EA3"/>
    <w:rsid w:val="006051CB"/>
    <w:rsid w:val="006057EA"/>
    <w:rsid w:val="006068D6"/>
    <w:rsid w:val="00607268"/>
    <w:rsid w:val="006107F3"/>
    <w:rsid w:val="006110F9"/>
    <w:rsid w:val="006124EB"/>
    <w:rsid w:val="006134CE"/>
    <w:rsid w:val="00613FAC"/>
    <w:rsid w:val="006145BA"/>
    <w:rsid w:val="006146A1"/>
    <w:rsid w:val="0061531B"/>
    <w:rsid w:val="006165B7"/>
    <w:rsid w:val="00616895"/>
    <w:rsid w:val="00616930"/>
    <w:rsid w:val="00617401"/>
    <w:rsid w:val="00620927"/>
    <w:rsid w:val="00620D26"/>
    <w:rsid w:val="00621038"/>
    <w:rsid w:val="006212FE"/>
    <w:rsid w:val="00621E51"/>
    <w:rsid w:val="00621FC9"/>
    <w:rsid w:val="006223B0"/>
    <w:rsid w:val="00622518"/>
    <w:rsid w:val="0062263A"/>
    <w:rsid w:val="0062276F"/>
    <w:rsid w:val="00622A9C"/>
    <w:rsid w:val="00622F24"/>
    <w:rsid w:val="00622F3F"/>
    <w:rsid w:val="00623C0A"/>
    <w:rsid w:val="0062409A"/>
    <w:rsid w:val="00624468"/>
    <w:rsid w:val="006245AB"/>
    <w:rsid w:val="00624E8E"/>
    <w:rsid w:val="006257CE"/>
    <w:rsid w:val="00625FE0"/>
    <w:rsid w:val="0062601E"/>
    <w:rsid w:val="00626B6B"/>
    <w:rsid w:val="00626BA6"/>
    <w:rsid w:val="00626CD7"/>
    <w:rsid w:val="00627BBC"/>
    <w:rsid w:val="00630064"/>
    <w:rsid w:val="006300DB"/>
    <w:rsid w:val="00630807"/>
    <w:rsid w:val="00630BE7"/>
    <w:rsid w:val="00630DC2"/>
    <w:rsid w:val="006312AF"/>
    <w:rsid w:val="0063133D"/>
    <w:rsid w:val="006338D6"/>
    <w:rsid w:val="006339A3"/>
    <w:rsid w:val="00633C82"/>
    <w:rsid w:val="00633E6B"/>
    <w:rsid w:val="00634869"/>
    <w:rsid w:val="0063489E"/>
    <w:rsid w:val="00634AFA"/>
    <w:rsid w:val="00634B70"/>
    <w:rsid w:val="0063537D"/>
    <w:rsid w:val="0063584B"/>
    <w:rsid w:val="00635C53"/>
    <w:rsid w:val="00636DA5"/>
    <w:rsid w:val="00636F20"/>
    <w:rsid w:val="00637537"/>
    <w:rsid w:val="00637B20"/>
    <w:rsid w:val="00637D3D"/>
    <w:rsid w:val="00640255"/>
    <w:rsid w:val="00641198"/>
    <w:rsid w:val="006417E7"/>
    <w:rsid w:val="00641CEA"/>
    <w:rsid w:val="00643B51"/>
    <w:rsid w:val="00644181"/>
    <w:rsid w:val="0064476E"/>
    <w:rsid w:val="0064501C"/>
    <w:rsid w:val="00646D3D"/>
    <w:rsid w:val="00646E2B"/>
    <w:rsid w:val="006472B5"/>
    <w:rsid w:val="00647375"/>
    <w:rsid w:val="00647ACF"/>
    <w:rsid w:val="00647DE7"/>
    <w:rsid w:val="006502DB"/>
    <w:rsid w:val="00650E34"/>
    <w:rsid w:val="00651128"/>
    <w:rsid w:val="0065115C"/>
    <w:rsid w:val="00652067"/>
    <w:rsid w:val="00652304"/>
    <w:rsid w:val="00652F6B"/>
    <w:rsid w:val="00654207"/>
    <w:rsid w:val="00654570"/>
    <w:rsid w:val="006546E4"/>
    <w:rsid w:val="00655511"/>
    <w:rsid w:val="006557A4"/>
    <w:rsid w:val="00655F7C"/>
    <w:rsid w:val="00656353"/>
    <w:rsid w:val="00656429"/>
    <w:rsid w:val="0065661F"/>
    <w:rsid w:val="0065674B"/>
    <w:rsid w:val="00656E7F"/>
    <w:rsid w:val="0065773A"/>
    <w:rsid w:val="00660068"/>
    <w:rsid w:val="00660698"/>
    <w:rsid w:val="00661BCB"/>
    <w:rsid w:val="00662412"/>
    <w:rsid w:val="00662534"/>
    <w:rsid w:val="00662A61"/>
    <w:rsid w:val="00662DB9"/>
    <w:rsid w:val="00663C38"/>
    <w:rsid w:val="00663ED0"/>
    <w:rsid w:val="006644BC"/>
    <w:rsid w:val="00664F0A"/>
    <w:rsid w:val="00665057"/>
    <w:rsid w:val="00665903"/>
    <w:rsid w:val="00665D6A"/>
    <w:rsid w:val="00666241"/>
    <w:rsid w:val="0066635B"/>
    <w:rsid w:val="0066661B"/>
    <w:rsid w:val="00666674"/>
    <w:rsid w:val="00666E68"/>
    <w:rsid w:val="00670925"/>
    <w:rsid w:val="00671A88"/>
    <w:rsid w:val="00672A25"/>
    <w:rsid w:val="006737FB"/>
    <w:rsid w:val="00673AB3"/>
    <w:rsid w:val="006744A8"/>
    <w:rsid w:val="00674C7F"/>
    <w:rsid w:val="0067597D"/>
    <w:rsid w:val="00676101"/>
    <w:rsid w:val="00676D6D"/>
    <w:rsid w:val="00676DB7"/>
    <w:rsid w:val="006774C8"/>
    <w:rsid w:val="00677C9E"/>
    <w:rsid w:val="00677F8E"/>
    <w:rsid w:val="006801BA"/>
    <w:rsid w:val="00680C47"/>
    <w:rsid w:val="00681825"/>
    <w:rsid w:val="00681CA7"/>
    <w:rsid w:val="00681D6C"/>
    <w:rsid w:val="00681EE8"/>
    <w:rsid w:val="00682648"/>
    <w:rsid w:val="00682778"/>
    <w:rsid w:val="00683E52"/>
    <w:rsid w:val="00684443"/>
    <w:rsid w:val="00684FF3"/>
    <w:rsid w:val="00685B5D"/>
    <w:rsid w:val="0068695F"/>
    <w:rsid w:val="0068721E"/>
    <w:rsid w:val="006875D0"/>
    <w:rsid w:val="006875E2"/>
    <w:rsid w:val="00690FF5"/>
    <w:rsid w:val="0069156B"/>
    <w:rsid w:val="006920A5"/>
    <w:rsid w:val="00693757"/>
    <w:rsid w:val="006938A6"/>
    <w:rsid w:val="00693B6A"/>
    <w:rsid w:val="00693D3B"/>
    <w:rsid w:val="006941D0"/>
    <w:rsid w:val="0069488B"/>
    <w:rsid w:val="00694AF6"/>
    <w:rsid w:val="006957EA"/>
    <w:rsid w:val="00695857"/>
    <w:rsid w:val="00695F49"/>
    <w:rsid w:val="00696146"/>
    <w:rsid w:val="006976CF"/>
    <w:rsid w:val="00697D36"/>
    <w:rsid w:val="00697EB4"/>
    <w:rsid w:val="006A028F"/>
    <w:rsid w:val="006A3A3C"/>
    <w:rsid w:val="006A4506"/>
    <w:rsid w:val="006A4925"/>
    <w:rsid w:val="006A4C06"/>
    <w:rsid w:val="006A5617"/>
    <w:rsid w:val="006A58FB"/>
    <w:rsid w:val="006A5D59"/>
    <w:rsid w:val="006A78D0"/>
    <w:rsid w:val="006A7A7E"/>
    <w:rsid w:val="006A7B32"/>
    <w:rsid w:val="006B077C"/>
    <w:rsid w:val="006B08A7"/>
    <w:rsid w:val="006B097D"/>
    <w:rsid w:val="006B1456"/>
    <w:rsid w:val="006B1C65"/>
    <w:rsid w:val="006B2D87"/>
    <w:rsid w:val="006B320D"/>
    <w:rsid w:val="006B464C"/>
    <w:rsid w:val="006B485A"/>
    <w:rsid w:val="006B51C1"/>
    <w:rsid w:val="006B5265"/>
    <w:rsid w:val="006B5673"/>
    <w:rsid w:val="006B6230"/>
    <w:rsid w:val="006B6CFD"/>
    <w:rsid w:val="006B7B50"/>
    <w:rsid w:val="006C03BD"/>
    <w:rsid w:val="006C082B"/>
    <w:rsid w:val="006C0868"/>
    <w:rsid w:val="006C12A2"/>
    <w:rsid w:val="006C1990"/>
    <w:rsid w:val="006C2935"/>
    <w:rsid w:val="006C2CE8"/>
    <w:rsid w:val="006C2CF1"/>
    <w:rsid w:val="006C363A"/>
    <w:rsid w:val="006C36A2"/>
    <w:rsid w:val="006C3D3A"/>
    <w:rsid w:val="006C3FE1"/>
    <w:rsid w:val="006C4626"/>
    <w:rsid w:val="006C5219"/>
    <w:rsid w:val="006C54B1"/>
    <w:rsid w:val="006C57C5"/>
    <w:rsid w:val="006C6426"/>
    <w:rsid w:val="006C7787"/>
    <w:rsid w:val="006C7C33"/>
    <w:rsid w:val="006D107A"/>
    <w:rsid w:val="006D2F3E"/>
    <w:rsid w:val="006D3138"/>
    <w:rsid w:val="006D4357"/>
    <w:rsid w:val="006D4C4F"/>
    <w:rsid w:val="006D51B5"/>
    <w:rsid w:val="006D5327"/>
    <w:rsid w:val="006D5E33"/>
    <w:rsid w:val="006D6A2B"/>
    <w:rsid w:val="006D6BAE"/>
    <w:rsid w:val="006D7CA6"/>
    <w:rsid w:val="006E0427"/>
    <w:rsid w:val="006E072F"/>
    <w:rsid w:val="006E0EB6"/>
    <w:rsid w:val="006E10CE"/>
    <w:rsid w:val="006E1CC6"/>
    <w:rsid w:val="006E2CBF"/>
    <w:rsid w:val="006E3145"/>
    <w:rsid w:val="006E3F9C"/>
    <w:rsid w:val="006E4615"/>
    <w:rsid w:val="006E4C64"/>
    <w:rsid w:val="006E4E85"/>
    <w:rsid w:val="006E5BA0"/>
    <w:rsid w:val="006E60E3"/>
    <w:rsid w:val="006E6274"/>
    <w:rsid w:val="006E67C2"/>
    <w:rsid w:val="006E6905"/>
    <w:rsid w:val="006E6FE5"/>
    <w:rsid w:val="006E7484"/>
    <w:rsid w:val="006E7E8A"/>
    <w:rsid w:val="006F0AF4"/>
    <w:rsid w:val="006F1343"/>
    <w:rsid w:val="006F2591"/>
    <w:rsid w:val="006F2BC7"/>
    <w:rsid w:val="006F30BB"/>
    <w:rsid w:val="006F45F7"/>
    <w:rsid w:val="006F6A6B"/>
    <w:rsid w:val="006F6F89"/>
    <w:rsid w:val="006F6FF3"/>
    <w:rsid w:val="006F7073"/>
    <w:rsid w:val="006F7841"/>
    <w:rsid w:val="0070053E"/>
    <w:rsid w:val="00700929"/>
    <w:rsid w:val="00700951"/>
    <w:rsid w:val="0070298D"/>
    <w:rsid w:val="00702AD2"/>
    <w:rsid w:val="00702F5C"/>
    <w:rsid w:val="00704B1E"/>
    <w:rsid w:val="00704EB0"/>
    <w:rsid w:val="00704F29"/>
    <w:rsid w:val="007051FF"/>
    <w:rsid w:val="0070697F"/>
    <w:rsid w:val="00706C42"/>
    <w:rsid w:val="00706F74"/>
    <w:rsid w:val="00707913"/>
    <w:rsid w:val="00707A1C"/>
    <w:rsid w:val="00707F90"/>
    <w:rsid w:val="0071034B"/>
    <w:rsid w:val="00710C18"/>
    <w:rsid w:val="00711121"/>
    <w:rsid w:val="00711B38"/>
    <w:rsid w:val="00711EDE"/>
    <w:rsid w:val="007126CC"/>
    <w:rsid w:val="007133BD"/>
    <w:rsid w:val="007148DC"/>
    <w:rsid w:val="00714BDC"/>
    <w:rsid w:val="00715678"/>
    <w:rsid w:val="0071594E"/>
    <w:rsid w:val="00715FF5"/>
    <w:rsid w:val="00717DE1"/>
    <w:rsid w:val="0072033F"/>
    <w:rsid w:val="00720889"/>
    <w:rsid w:val="00721422"/>
    <w:rsid w:val="00722C87"/>
    <w:rsid w:val="00723812"/>
    <w:rsid w:val="00723970"/>
    <w:rsid w:val="00723AA9"/>
    <w:rsid w:val="007241D3"/>
    <w:rsid w:val="007244C9"/>
    <w:rsid w:val="00726FD5"/>
    <w:rsid w:val="00730476"/>
    <w:rsid w:val="00730D76"/>
    <w:rsid w:val="00733068"/>
    <w:rsid w:val="00733A0A"/>
    <w:rsid w:val="007342BC"/>
    <w:rsid w:val="007342CF"/>
    <w:rsid w:val="007348AA"/>
    <w:rsid w:val="00734E47"/>
    <w:rsid w:val="00734FD4"/>
    <w:rsid w:val="0073575F"/>
    <w:rsid w:val="00735A0C"/>
    <w:rsid w:val="00736513"/>
    <w:rsid w:val="00736808"/>
    <w:rsid w:val="0073693D"/>
    <w:rsid w:val="00736EC9"/>
    <w:rsid w:val="00736FD0"/>
    <w:rsid w:val="007373AE"/>
    <w:rsid w:val="007377BC"/>
    <w:rsid w:val="00743709"/>
    <w:rsid w:val="00743DF1"/>
    <w:rsid w:val="00744924"/>
    <w:rsid w:val="00744D9D"/>
    <w:rsid w:val="0074533B"/>
    <w:rsid w:val="007456F4"/>
    <w:rsid w:val="00745812"/>
    <w:rsid w:val="00746292"/>
    <w:rsid w:val="00747191"/>
    <w:rsid w:val="0074739F"/>
    <w:rsid w:val="00747F2F"/>
    <w:rsid w:val="00750238"/>
    <w:rsid w:val="00750624"/>
    <w:rsid w:val="007509AA"/>
    <w:rsid w:val="00750B12"/>
    <w:rsid w:val="00751035"/>
    <w:rsid w:val="00751FE1"/>
    <w:rsid w:val="00751FFF"/>
    <w:rsid w:val="00752B3F"/>
    <w:rsid w:val="00752D1C"/>
    <w:rsid w:val="00753446"/>
    <w:rsid w:val="007535CA"/>
    <w:rsid w:val="00754B87"/>
    <w:rsid w:val="00756A12"/>
    <w:rsid w:val="00756B28"/>
    <w:rsid w:val="00757517"/>
    <w:rsid w:val="00757B3C"/>
    <w:rsid w:val="00757C4B"/>
    <w:rsid w:val="00760378"/>
    <w:rsid w:val="007608C2"/>
    <w:rsid w:val="0076158C"/>
    <w:rsid w:val="007615BF"/>
    <w:rsid w:val="00761BC5"/>
    <w:rsid w:val="00762218"/>
    <w:rsid w:val="007635B7"/>
    <w:rsid w:val="0076362B"/>
    <w:rsid w:val="0076495A"/>
    <w:rsid w:val="00764A58"/>
    <w:rsid w:val="00764C76"/>
    <w:rsid w:val="00764ECE"/>
    <w:rsid w:val="00765331"/>
    <w:rsid w:val="007664EF"/>
    <w:rsid w:val="007708B3"/>
    <w:rsid w:val="0077099A"/>
    <w:rsid w:val="00770E0D"/>
    <w:rsid w:val="00771A47"/>
    <w:rsid w:val="00772B3C"/>
    <w:rsid w:val="00772DDA"/>
    <w:rsid w:val="00773021"/>
    <w:rsid w:val="0077310E"/>
    <w:rsid w:val="007734E2"/>
    <w:rsid w:val="00774B87"/>
    <w:rsid w:val="00776415"/>
    <w:rsid w:val="0077664A"/>
    <w:rsid w:val="00776F22"/>
    <w:rsid w:val="007774F2"/>
    <w:rsid w:val="00777792"/>
    <w:rsid w:val="00777796"/>
    <w:rsid w:val="00777A4E"/>
    <w:rsid w:val="00780341"/>
    <w:rsid w:val="00780C6E"/>
    <w:rsid w:val="007817DB"/>
    <w:rsid w:val="00782521"/>
    <w:rsid w:val="00782CED"/>
    <w:rsid w:val="0078301C"/>
    <w:rsid w:val="007833DA"/>
    <w:rsid w:val="007833F6"/>
    <w:rsid w:val="00783ECA"/>
    <w:rsid w:val="00784417"/>
    <w:rsid w:val="00784F2D"/>
    <w:rsid w:val="007857D3"/>
    <w:rsid w:val="007861D1"/>
    <w:rsid w:val="007865E3"/>
    <w:rsid w:val="00786CB6"/>
    <w:rsid w:val="007871A3"/>
    <w:rsid w:val="00790255"/>
    <w:rsid w:val="00790ADA"/>
    <w:rsid w:val="00790C45"/>
    <w:rsid w:val="00791887"/>
    <w:rsid w:val="0079192F"/>
    <w:rsid w:val="00791B30"/>
    <w:rsid w:val="00791B3E"/>
    <w:rsid w:val="007929CF"/>
    <w:rsid w:val="00793F2B"/>
    <w:rsid w:val="00794719"/>
    <w:rsid w:val="007953A7"/>
    <w:rsid w:val="00795A4E"/>
    <w:rsid w:val="00795FA3"/>
    <w:rsid w:val="00796B06"/>
    <w:rsid w:val="0079742C"/>
    <w:rsid w:val="00797BDA"/>
    <w:rsid w:val="007A1371"/>
    <w:rsid w:val="007A1603"/>
    <w:rsid w:val="007A1C62"/>
    <w:rsid w:val="007A1CAB"/>
    <w:rsid w:val="007A313B"/>
    <w:rsid w:val="007A31D5"/>
    <w:rsid w:val="007A4171"/>
    <w:rsid w:val="007A4CE7"/>
    <w:rsid w:val="007A5460"/>
    <w:rsid w:val="007A6289"/>
    <w:rsid w:val="007A6E95"/>
    <w:rsid w:val="007A7711"/>
    <w:rsid w:val="007A79F8"/>
    <w:rsid w:val="007B01E0"/>
    <w:rsid w:val="007B12FA"/>
    <w:rsid w:val="007B13B7"/>
    <w:rsid w:val="007B179D"/>
    <w:rsid w:val="007B188D"/>
    <w:rsid w:val="007B1F82"/>
    <w:rsid w:val="007B2425"/>
    <w:rsid w:val="007B2B40"/>
    <w:rsid w:val="007B3FEB"/>
    <w:rsid w:val="007B41C6"/>
    <w:rsid w:val="007B51A4"/>
    <w:rsid w:val="007B5666"/>
    <w:rsid w:val="007B61F6"/>
    <w:rsid w:val="007B6353"/>
    <w:rsid w:val="007B6477"/>
    <w:rsid w:val="007B6EB0"/>
    <w:rsid w:val="007B7B21"/>
    <w:rsid w:val="007B7F11"/>
    <w:rsid w:val="007C12DA"/>
    <w:rsid w:val="007C1999"/>
    <w:rsid w:val="007C1E4E"/>
    <w:rsid w:val="007C20E7"/>
    <w:rsid w:val="007C21A8"/>
    <w:rsid w:val="007C2CBC"/>
    <w:rsid w:val="007C2F4B"/>
    <w:rsid w:val="007C4665"/>
    <w:rsid w:val="007C4C5E"/>
    <w:rsid w:val="007C502E"/>
    <w:rsid w:val="007C6F36"/>
    <w:rsid w:val="007D1127"/>
    <w:rsid w:val="007D287C"/>
    <w:rsid w:val="007D33DD"/>
    <w:rsid w:val="007D364A"/>
    <w:rsid w:val="007D38C8"/>
    <w:rsid w:val="007D3AC8"/>
    <w:rsid w:val="007D426A"/>
    <w:rsid w:val="007D46D4"/>
    <w:rsid w:val="007D4783"/>
    <w:rsid w:val="007D544E"/>
    <w:rsid w:val="007D54C7"/>
    <w:rsid w:val="007D56A4"/>
    <w:rsid w:val="007D578F"/>
    <w:rsid w:val="007D6551"/>
    <w:rsid w:val="007D68E7"/>
    <w:rsid w:val="007D6D9A"/>
    <w:rsid w:val="007D71B4"/>
    <w:rsid w:val="007D7A71"/>
    <w:rsid w:val="007D7A8C"/>
    <w:rsid w:val="007E04CB"/>
    <w:rsid w:val="007E0C2B"/>
    <w:rsid w:val="007E1627"/>
    <w:rsid w:val="007E1A7A"/>
    <w:rsid w:val="007E1E34"/>
    <w:rsid w:val="007E242E"/>
    <w:rsid w:val="007E37FC"/>
    <w:rsid w:val="007E463E"/>
    <w:rsid w:val="007E4FCE"/>
    <w:rsid w:val="007E51C3"/>
    <w:rsid w:val="007E54AB"/>
    <w:rsid w:val="007E57F9"/>
    <w:rsid w:val="007E6170"/>
    <w:rsid w:val="007E6183"/>
    <w:rsid w:val="007E6364"/>
    <w:rsid w:val="007E64AB"/>
    <w:rsid w:val="007E6559"/>
    <w:rsid w:val="007E687D"/>
    <w:rsid w:val="007E7064"/>
    <w:rsid w:val="007E7E95"/>
    <w:rsid w:val="007F01FA"/>
    <w:rsid w:val="007F093B"/>
    <w:rsid w:val="007F0B5F"/>
    <w:rsid w:val="007F0E02"/>
    <w:rsid w:val="007F28D0"/>
    <w:rsid w:val="007F39D7"/>
    <w:rsid w:val="007F3B58"/>
    <w:rsid w:val="007F4845"/>
    <w:rsid w:val="007F4A90"/>
    <w:rsid w:val="007F56F1"/>
    <w:rsid w:val="007F63FA"/>
    <w:rsid w:val="007F6DF9"/>
    <w:rsid w:val="007F6FA5"/>
    <w:rsid w:val="007F741B"/>
    <w:rsid w:val="007F77CB"/>
    <w:rsid w:val="007F7B77"/>
    <w:rsid w:val="0080047D"/>
    <w:rsid w:val="00800645"/>
    <w:rsid w:val="00801DEF"/>
    <w:rsid w:val="00802120"/>
    <w:rsid w:val="008021EE"/>
    <w:rsid w:val="0080357B"/>
    <w:rsid w:val="00803BF4"/>
    <w:rsid w:val="0080446B"/>
    <w:rsid w:val="00804E4F"/>
    <w:rsid w:val="0080575E"/>
    <w:rsid w:val="00805822"/>
    <w:rsid w:val="00805DEA"/>
    <w:rsid w:val="00807961"/>
    <w:rsid w:val="0081077D"/>
    <w:rsid w:val="008109DD"/>
    <w:rsid w:val="00810C0C"/>
    <w:rsid w:val="00810FEE"/>
    <w:rsid w:val="00811631"/>
    <w:rsid w:val="008117B9"/>
    <w:rsid w:val="008124A4"/>
    <w:rsid w:val="008129D9"/>
    <w:rsid w:val="00812DE2"/>
    <w:rsid w:val="00812F23"/>
    <w:rsid w:val="008137EA"/>
    <w:rsid w:val="0081395D"/>
    <w:rsid w:val="00813B7A"/>
    <w:rsid w:val="008140DD"/>
    <w:rsid w:val="00814737"/>
    <w:rsid w:val="00814FEB"/>
    <w:rsid w:val="00815148"/>
    <w:rsid w:val="008159DD"/>
    <w:rsid w:val="00815BC0"/>
    <w:rsid w:val="00815CE8"/>
    <w:rsid w:val="00815D64"/>
    <w:rsid w:val="0081616B"/>
    <w:rsid w:val="00816348"/>
    <w:rsid w:val="00817252"/>
    <w:rsid w:val="00817E2C"/>
    <w:rsid w:val="00817F8B"/>
    <w:rsid w:val="00820718"/>
    <w:rsid w:val="00821612"/>
    <w:rsid w:val="008221BC"/>
    <w:rsid w:val="008223DF"/>
    <w:rsid w:val="00822E85"/>
    <w:rsid w:val="00823292"/>
    <w:rsid w:val="00823561"/>
    <w:rsid w:val="0082375B"/>
    <w:rsid w:val="00823A36"/>
    <w:rsid w:val="00823E83"/>
    <w:rsid w:val="0082446B"/>
    <w:rsid w:val="00825312"/>
    <w:rsid w:val="00825729"/>
    <w:rsid w:val="008263C9"/>
    <w:rsid w:val="00826517"/>
    <w:rsid w:val="0082655A"/>
    <w:rsid w:val="00826A08"/>
    <w:rsid w:val="008278EC"/>
    <w:rsid w:val="00831205"/>
    <w:rsid w:val="00831800"/>
    <w:rsid w:val="00831C91"/>
    <w:rsid w:val="008320CC"/>
    <w:rsid w:val="00833C2D"/>
    <w:rsid w:val="00833DB0"/>
    <w:rsid w:val="008353D8"/>
    <w:rsid w:val="00835C22"/>
    <w:rsid w:val="00835CAD"/>
    <w:rsid w:val="008362DF"/>
    <w:rsid w:val="008369A1"/>
    <w:rsid w:val="00837033"/>
    <w:rsid w:val="00837081"/>
    <w:rsid w:val="0084038B"/>
    <w:rsid w:val="008409A0"/>
    <w:rsid w:val="00840A3A"/>
    <w:rsid w:val="0084155F"/>
    <w:rsid w:val="00841AAC"/>
    <w:rsid w:val="00841DF1"/>
    <w:rsid w:val="0084221B"/>
    <w:rsid w:val="008424A1"/>
    <w:rsid w:val="00843AFC"/>
    <w:rsid w:val="0084426C"/>
    <w:rsid w:val="00844CED"/>
    <w:rsid w:val="00844DFA"/>
    <w:rsid w:val="00844E01"/>
    <w:rsid w:val="008455E2"/>
    <w:rsid w:val="00845FA5"/>
    <w:rsid w:val="0084680F"/>
    <w:rsid w:val="00846C4B"/>
    <w:rsid w:val="0084763C"/>
    <w:rsid w:val="00847930"/>
    <w:rsid w:val="00847981"/>
    <w:rsid w:val="008502A3"/>
    <w:rsid w:val="00850B90"/>
    <w:rsid w:val="00850BF8"/>
    <w:rsid w:val="00850C7F"/>
    <w:rsid w:val="00851720"/>
    <w:rsid w:val="00853C82"/>
    <w:rsid w:val="008543DE"/>
    <w:rsid w:val="008543E2"/>
    <w:rsid w:val="00854E9F"/>
    <w:rsid w:val="0085598E"/>
    <w:rsid w:val="00855F99"/>
    <w:rsid w:val="00855FFD"/>
    <w:rsid w:val="0085632B"/>
    <w:rsid w:val="00856345"/>
    <w:rsid w:val="0085667C"/>
    <w:rsid w:val="00856D1D"/>
    <w:rsid w:val="00856ED7"/>
    <w:rsid w:val="0085705E"/>
    <w:rsid w:val="00857086"/>
    <w:rsid w:val="008570DB"/>
    <w:rsid w:val="00857430"/>
    <w:rsid w:val="00857F73"/>
    <w:rsid w:val="00860083"/>
    <w:rsid w:val="00860402"/>
    <w:rsid w:val="00860D02"/>
    <w:rsid w:val="008612AD"/>
    <w:rsid w:val="008616DD"/>
    <w:rsid w:val="00861C04"/>
    <w:rsid w:val="00862679"/>
    <w:rsid w:val="0086330D"/>
    <w:rsid w:val="00863E11"/>
    <w:rsid w:val="00864376"/>
    <w:rsid w:val="0086444E"/>
    <w:rsid w:val="00864A9F"/>
    <w:rsid w:val="00864D20"/>
    <w:rsid w:val="008651C3"/>
    <w:rsid w:val="00865462"/>
    <w:rsid w:val="00867042"/>
    <w:rsid w:val="008678CB"/>
    <w:rsid w:val="008701D5"/>
    <w:rsid w:val="00870462"/>
    <w:rsid w:val="00870864"/>
    <w:rsid w:val="008714B1"/>
    <w:rsid w:val="00871BD6"/>
    <w:rsid w:val="008729F3"/>
    <w:rsid w:val="00872A46"/>
    <w:rsid w:val="00873A41"/>
    <w:rsid w:val="00874D83"/>
    <w:rsid w:val="00874DEC"/>
    <w:rsid w:val="0087513D"/>
    <w:rsid w:val="008751C6"/>
    <w:rsid w:val="008752F4"/>
    <w:rsid w:val="00875CF5"/>
    <w:rsid w:val="008768C1"/>
    <w:rsid w:val="00876F5B"/>
    <w:rsid w:val="0087719E"/>
    <w:rsid w:val="00877C82"/>
    <w:rsid w:val="00877DA1"/>
    <w:rsid w:val="00880EE1"/>
    <w:rsid w:val="00881556"/>
    <w:rsid w:val="008819AE"/>
    <w:rsid w:val="00881C96"/>
    <w:rsid w:val="00881F36"/>
    <w:rsid w:val="00882CD3"/>
    <w:rsid w:val="00882E05"/>
    <w:rsid w:val="00883152"/>
    <w:rsid w:val="00885379"/>
    <w:rsid w:val="0088543D"/>
    <w:rsid w:val="00885943"/>
    <w:rsid w:val="00887DA7"/>
    <w:rsid w:val="00887DAE"/>
    <w:rsid w:val="008901D3"/>
    <w:rsid w:val="0089022B"/>
    <w:rsid w:val="00890890"/>
    <w:rsid w:val="00891F5D"/>
    <w:rsid w:val="0089253D"/>
    <w:rsid w:val="00893AC7"/>
    <w:rsid w:val="00893DC2"/>
    <w:rsid w:val="008945C5"/>
    <w:rsid w:val="00894A46"/>
    <w:rsid w:val="00896B7B"/>
    <w:rsid w:val="00896FCC"/>
    <w:rsid w:val="00897000"/>
    <w:rsid w:val="00897FFC"/>
    <w:rsid w:val="008A1166"/>
    <w:rsid w:val="008A11D4"/>
    <w:rsid w:val="008A255F"/>
    <w:rsid w:val="008A2A9F"/>
    <w:rsid w:val="008A3198"/>
    <w:rsid w:val="008A32F5"/>
    <w:rsid w:val="008A4675"/>
    <w:rsid w:val="008A49FE"/>
    <w:rsid w:val="008A4AB8"/>
    <w:rsid w:val="008A4C85"/>
    <w:rsid w:val="008A4E29"/>
    <w:rsid w:val="008A56FD"/>
    <w:rsid w:val="008A61AB"/>
    <w:rsid w:val="008A6507"/>
    <w:rsid w:val="008A7608"/>
    <w:rsid w:val="008B0569"/>
    <w:rsid w:val="008B0A07"/>
    <w:rsid w:val="008B0DDC"/>
    <w:rsid w:val="008B1584"/>
    <w:rsid w:val="008B1A95"/>
    <w:rsid w:val="008B1C60"/>
    <w:rsid w:val="008B21E4"/>
    <w:rsid w:val="008B224E"/>
    <w:rsid w:val="008B2953"/>
    <w:rsid w:val="008B2D2F"/>
    <w:rsid w:val="008B3017"/>
    <w:rsid w:val="008B349E"/>
    <w:rsid w:val="008B37B1"/>
    <w:rsid w:val="008B4217"/>
    <w:rsid w:val="008B5680"/>
    <w:rsid w:val="008B5D5B"/>
    <w:rsid w:val="008B5D89"/>
    <w:rsid w:val="008B5E2B"/>
    <w:rsid w:val="008B6520"/>
    <w:rsid w:val="008B68CB"/>
    <w:rsid w:val="008B7471"/>
    <w:rsid w:val="008B7AE5"/>
    <w:rsid w:val="008B7B06"/>
    <w:rsid w:val="008C006E"/>
    <w:rsid w:val="008C02DD"/>
    <w:rsid w:val="008C08DE"/>
    <w:rsid w:val="008C099D"/>
    <w:rsid w:val="008C19D2"/>
    <w:rsid w:val="008C1EE7"/>
    <w:rsid w:val="008C1F46"/>
    <w:rsid w:val="008C2F85"/>
    <w:rsid w:val="008C3DEF"/>
    <w:rsid w:val="008C3F88"/>
    <w:rsid w:val="008C56BB"/>
    <w:rsid w:val="008C56C5"/>
    <w:rsid w:val="008C6800"/>
    <w:rsid w:val="008C6C2B"/>
    <w:rsid w:val="008D0117"/>
    <w:rsid w:val="008D031A"/>
    <w:rsid w:val="008D1595"/>
    <w:rsid w:val="008D160D"/>
    <w:rsid w:val="008D1A5F"/>
    <w:rsid w:val="008D3050"/>
    <w:rsid w:val="008D369C"/>
    <w:rsid w:val="008D4EBD"/>
    <w:rsid w:val="008D4FF8"/>
    <w:rsid w:val="008D5CDA"/>
    <w:rsid w:val="008D617C"/>
    <w:rsid w:val="008D6497"/>
    <w:rsid w:val="008D77D1"/>
    <w:rsid w:val="008D7C76"/>
    <w:rsid w:val="008E05E9"/>
    <w:rsid w:val="008E15E3"/>
    <w:rsid w:val="008E18FA"/>
    <w:rsid w:val="008E2623"/>
    <w:rsid w:val="008E383D"/>
    <w:rsid w:val="008E40BA"/>
    <w:rsid w:val="008E4490"/>
    <w:rsid w:val="008E4789"/>
    <w:rsid w:val="008E4C08"/>
    <w:rsid w:val="008E503D"/>
    <w:rsid w:val="008E5100"/>
    <w:rsid w:val="008E5D1B"/>
    <w:rsid w:val="008E6467"/>
    <w:rsid w:val="008E664D"/>
    <w:rsid w:val="008E72E4"/>
    <w:rsid w:val="008F003F"/>
    <w:rsid w:val="008F0414"/>
    <w:rsid w:val="008F049F"/>
    <w:rsid w:val="008F0B24"/>
    <w:rsid w:val="008F1446"/>
    <w:rsid w:val="008F18E1"/>
    <w:rsid w:val="008F1B00"/>
    <w:rsid w:val="008F1EEB"/>
    <w:rsid w:val="008F2AC0"/>
    <w:rsid w:val="008F35A5"/>
    <w:rsid w:val="008F35D9"/>
    <w:rsid w:val="008F38B8"/>
    <w:rsid w:val="008F449E"/>
    <w:rsid w:val="008F5479"/>
    <w:rsid w:val="008F5970"/>
    <w:rsid w:val="008F6610"/>
    <w:rsid w:val="008F6C96"/>
    <w:rsid w:val="008F6F08"/>
    <w:rsid w:val="008F7F88"/>
    <w:rsid w:val="009002E5"/>
    <w:rsid w:val="00900347"/>
    <w:rsid w:val="00900383"/>
    <w:rsid w:val="00900778"/>
    <w:rsid w:val="00901F64"/>
    <w:rsid w:val="009035B3"/>
    <w:rsid w:val="009037B6"/>
    <w:rsid w:val="009039B8"/>
    <w:rsid w:val="00903B80"/>
    <w:rsid w:val="00903C4B"/>
    <w:rsid w:val="0090436C"/>
    <w:rsid w:val="0090582C"/>
    <w:rsid w:val="009059C6"/>
    <w:rsid w:val="00905EDE"/>
    <w:rsid w:val="00906014"/>
    <w:rsid w:val="00907BBA"/>
    <w:rsid w:val="009100B1"/>
    <w:rsid w:val="00910116"/>
    <w:rsid w:val="0091016C"/>
    <w:rsid w:val="00910BBE"/>
    <w:rsid w:val="00911653"/>
    <w:rsid w:val="009127C2"/>
    <w:rsid w:val="009129B3"/>
    <w:rsid w:val="00912C8A"/>
    <w:rsid w:val="009131BA"/>
    <w:rsid w:val="00913451"/>
    <w:rsid w:val="00913948"/>
    <w:rsid w:val="00913E88"/>
    <w:rsid w:val="00914114"/>
    <w:rsid w:val="009142E6"/>
    <w:rsid w:val="00915402"/>
    <w:rsid w:val="00916504"/>
    <w:rsid w:val="009176EC"/>
    <w:rsid w:val="00920C73"/>
    <w:rsid w:val="0092112D"/>
    <w:rsid w:val="00922734"/>
    <w:rsid w:val="00923629"/>
    <w:rsid w:val="009239D0"/>
    <w:rsid w:val="009242B9"/>
    <w:rsid w:val="00924848"/>
    <w:rsid w:val="00924D24"/>
    <w:rsid w:val="00925043"/>
    <w:rsid w:val="009255E2"/>
    <w:rsid w:val="00926676"/>
    <w:rsid w:val="0092686D"/>
    <w:rsid w:val="00926D7B"/>
    <w:rsid w:val="009301FB"/>
    <w:rsid w:val="0093032D"/>
    <w:rsid w:val="00930A73"/>
    <w:rsid w:val="00931AD4"/>
    <w:rsid w:val="00932367"/>
    <w:rsid w:val="00932465"/>
    <w:rsid w:val="00933E10"/>
    <w:rsid w:val="00934499"/>
    <w:rsid w:val="009352BF"/>
    <w:rsid w:val="009357ED"/>
    <w:rsid w:val="009362A9"/>
    <w:rsid w:val="00936C85"/>
    <w:rsid w:val="00936E48"/>
    <w:rsid w:val="00940247"/>
    <w:rsid w:val="00940986"/>
    <w:rsid w:val="00940C7B"/>
    <w:rsid w:val="009419DC"/>
    <w:rsid w:val="00942989"/>
    <w:rsid w:val="00942AC9"/>
    <w:rsid w:val="0094330C"/>
    <w:rsid w:val="009434F4"/>
    <w:rsid w:val="00943824"/>
    <w:rsid w:val="00943A31"/>
    <w:rsid w:val="009442D6"/>
    <w:rsid w:val="00944CF1"/>
    <w:rsid w:val="0094570D"/>
    <w:rsid w:val="0094595E"/>
    <w:rsid w:val="00945CD5"/>
    <w:rsid w:val="00946A35"/>
    <w:rsid w:val="00946AFE"/>
    <w:rsid w:val="00946B9B"/>
    <w:rsid w:val="00946C2A"/>
    <w:rsid w:val="00947F31"/>
    <w:rsid w:val="00950675"/>
    <w:rsid w:val="00950906"/>
    <w:rsid w:val="00950FB0"/>
    <w:rsid w:val="00951044"/>
    <w:rsid w:val="00953023"/>
    <w:rsid w:val="009533DD"/>
    <w:rsid w:val="0095378B"/>
    <w:rsid w:val="00954082"/>
    <w:rsid w:val="00954505"/>
    <w:rsid w:val="00954BDA"/>
    <w:rsid w:val="009559CB"/>
    <w:rsid w:val="00955D31"/>
    <w:rsid w:val="009578A5"/>
    <w:rsid w:val="00957AC3"/>
    <w:rsid w:val="00957F5F"/>
    <w:rsid w:val="0096007E"/>
    <w:rsid w:val="0096031A"/>
    <w:rsid w:val="009609E4"/>
    <w:rsid w:val="00960F84"/>
    <w:rsid w:val="009610A6"/>
    <w:rsid w:val="00961CF4"/>
    <w:rsid w:val="00962BFF"/>
    <w:rsid w:val="00962CBE"/>
    <w:rsid w:val="00963B14"/>
    <w:rsid w:val="00963CE7"/>
    <w:rsid w:val="00965584"/>
    <w:rsid w:val="009659A0"/>
    <w:rsid w:val="009665C1"/>
    <w:rsid w:val="00966975"/>
    <w:rsid w:val="00966C39"/>
    <w:rsid w:val="00966F2E"/>
    <w:rsid w:val="0097118F"/>
    <w:rsid w:val="009715D6"/>
    <w:rsid w:val="00972972"/>
    <w:rsid w:val="00972BC8"/>
    <w:rsid w:val="00972FB2"/>
    <w:rsid w:val="009737F2"/>
    <w:rsid w:val="00974553"/>
    <w:rsid w:val="00974AF4"/>
    <w:rsid w:val="00975287"/>
    <w:rsid w:val="00975B71"/>
    <w:rsid w:val="00975DC5"/>
    <w:rsid w:val="00975F73"/>
    <w:rsid w:val="009763FC"/>
    <w:rsid w:val="009764A1"/>
    <w:rsid w:val="00977489"/>
    <w:rsid w:val="00977A4E"/>
    <w:rsid w:val="00977F9E"/>
    <w:rsid w:val="00980998"/>
    <w:rsid w:val="00980D87"/>
    <w:rsid w:val="0098100A"/>
    <w:rsid w:val="00981456"/>
    <w:rsid w:val="0098234C"/>
    <w:rsid w:val="00982883"/>
    <w:rsid w:val="00982FCE"/>
    <w:rsid w:val="009836F3"/>
    <w:rsid w:val="0098385F"/>
    <w:rsid w:val="0098479B"/>
    <w:rsid w:val="00985769"/>
    <w:rsid w:val="0098590A"/>
    <w:rsid w:val="00985A5D"/>
    <w:rsid w:val="00985DD9"/>
    <w:rsid w:val="00985F06"/>
    <w:rsid w:val="009867E7"/>
    <w:rsid w:val="00986850"/>
    <w:rsid w:val="0098752B"/>
    <w:rsid w:val="0098764E"/>
    <w:rsid w:val="009878BF"/>
    <w:rsid w:val="00987BEF"/>
    <w:rsid w:val="00990714"/>
    <w:rsid w:val="00990DE2"/>
    <w:rsid w:val="009917E0"/>
    <w:rsid w:val="00991B5B"/>
    <w:rsid w:val="00991ED2"/>
    <w:rsid w:val="009921F3"/>
    <w:rsid w:val="0099317C"/>
    <w:rsid w:val="00993C9E"/>
    <w:rsid w:val="00994797"/>
    <w:rsid w:val="00995048"/>
    <w:rsid w:val="009951F3"/>
    <w:rsid w:val="00995214"/>
    <w:rsid w:val="00995761"/>
    <w:rsid w:val="00995CA7"/>
    <w:rsid w:val="00996617"/>
    <w:rsid w:val="009975C8"/>
    <w:rsid w:val="009A0258"/>
    <w:rsid w:val="009A02EF"/>
    <w:rsid w:val="009A14E0"/>
    <w:rsid w:val="009A1CDF"/>
    <w:rsid w:val="009A239B"/>
    <w:rsid w:val="009A23E0"/>
    <w:rsid w:val="009A351E"/>
    <w:rsid w:val="009A3CC4"/>
    <w:rsid w:val="009A405A"/>
    <w:rsid w:val="009A460E"/>
    <w:rsid w:val="009A490D"/>
    <w:rsid w:val="009A4C7C"/>
    <w:rsid w:val="009A69D7"/>
    <w:rsid w:val="009A7E1D"/>
    <w:rsid w:val="009B01F4"/>
    <w:rsid w:val="009B07D0"/>
    <w:rsid w:val="009B0FD9"/>
    <w:rsid w:val="009B11C5"/>
    <w:rsid w:val="009B1AC5"/>
    <w:rsid w:val="009B1FA0"/>
    <w:rsid w:val="009B2507"/>
    <w:rsid w:val="009B2F44"/>
    <w:rsid w:val="009B308B"/>
    <w:rsid w:val="009B37A4"/>
    <w:rsid w:val="009B3B6F"/>
    <w:rsid w:val="009B5EBC"/>
    <w:rsid w:val="009B6230"/>
    <w:rsid w:val="009B6577"/>
    <w:rsid w:val="009B6BC9"/>
    <w:rsid w:val="009B7965"/>
    <w:rsid w:val="009C06FE"/>
    <w:rsid w:val="009C0CAF"/>
    <w:rsid w:val="009C13CD"/>
    <w:rsid w:val="009C1756"/>
    <w:rsid w:val="009C1C18"/>
    <w:rsid w:val="009C207E"/>
    <w:rsid w:val="009C2348"/>
    <w:rsid w:val="009C25F2"/>
    <w:rsid w:val="009C3354"/>
    <w:rsid w:val="009C388F"/>
    <w:rsid w:val="009C4958"/>
    <w:rsid w:val="009C5313"/>
    <w:rsid w:val="009C5FF3"/>
    <w:rsid w:val="009C6198"/>
    <w:rsid w:val="009C6473"/>
    <w:rsid w:val="009C6A2C"/>
    <w:rsid w:val="009C6DCB"/>
    <w:rsid w:val="009C6E80"/>
    <w:rsid w:val="009C6F86"/>
    <w:rsid w:val="009C720E"/>
    <w:rsid w:val="009C7223"/>
    <w:rsid w:val="009C72CD"/>
    <w:rsid w:val="009C78BD"/>
    <w:rsid w:val="009D0E72"/>
    <w:rsid w:val="009D261C"/>
    <w:rsid w:val="009D2648"/>
    <w:rsid w:val="009D27A0"/>
    <w:rsid w:val="009D2924"/>
    <w:rsid w:val="009D2983"/>
    <w:rsid w:val="009D2B28"/>
    <w:rsid w:val="009D3362"/>
    <w:rsid w:val="009D3DAA"/>
    <w:rsid w:val="009D410C"/>
    <w:rsid w:val="009D4130"/>
    <w:rsid w:val="009D479A"/>
    <w:rsid w:val="009D492F"/>
    <w:rsid w:val="009D5AF9"/>
    <w:rsid w:val="009D5DCD"/>
    <w:rsid w:val="009D60B6"/>
    <w:rsid w:val="009D6A08"/>
    <w:rsid w:val="009D700D"/>
    <w:rsid w:val="009D70E2"/>
    <w:rsid w:val="009D7A71"/>
    <w:rsid w:val="009E026C"/>
    <w:rsid w:val="009E0FAB"/>
    <w:rsid w:val="009E1415"/>
    <w:rsid w:val="009E186A"/>
    <w:rsid w:val="009E1DE3"/>
    <w:rsid w:val="009E291A"/>
    <w:rsid w:val="009E33D4"/>
    <w:rsid w:val="009E3564"/>
    <w:rsid w:val="009E3E2D"/>
    <w:rsid w:val="009E43EA"/>
    <w:rsid w:val="009E5370"/>
    <w:rsid w:val="009E55A5"/>
    <w:rsid w:val="009E56CA"/>
    <w:rsid w:val="009E57B5"/>
    <w:rsid w:val="009E58F8"/>
    <w:rsid w:val="009E59A5"/>
    <w:rsid w:val="009E5F3D"/>
    <w:rsid w:val="009E6716"/>
    <w:rsid w:val="009E7042"/>
    <w:rsid w:val="009E7311"/>
    <w:rsid w:val="009E7475"/>
    <w:rsid w:val="009E7E80"/>
    <w:rsid w:val="009F0653"/>
    <w:rsid w:val="009F07BA"/>
    <w:rsid w:val="009F0E21"/>
    <w:rsid w:val="009F1189"/>
    <w:rsid w:val="009F1E34"/>
    <w:rsid w:val="009F2748"/>
    <w:rsid w:val="009F294E"/>
    <w:rsid w:val="009F2F33"/>
    <w:rsid w:val="009F3380"/>
    <w:rsid w:val="009F369B"/>
    <w:rsid w:val="009F3864"/>
    <w:rsid w:val="009F3EB3"/>
    <w:rsid w:val="009F45C8"/>
    <w:rsid w:val="009F4892"/>
    <w:rsid w:val="009F4DA5"/>
    <w:rsid w:val="009F5371"/>
    <w:rsid w:val="009F60D1"/>
    <w:rsid w:val="009F6B9E"/>
    <w:rsid w:val="009F7167"/>
    <w:rsid w:val="009F7DAC"/>
    <w:rsid w:val="009F7E9A"/>
    <w:rsid w:val="00A005A2"/>
    <w:rsid w:val="00A005AB"/>
    <w:rsid w:val="00A006C9"/>
    <w:rsid w:val="00A01093"/>
    <w:rsid w:val="00A01556"/>
    <w:rsid w:val="00A02174"/>
    <w:rsid w:val="00A02245"/>
    <w:rsid w:val="00A03F17"/>
    <w:rsid w:val="00A04E73"/>
    <w:rsid w:val="00A04F16"/>
    <w:rsid w:val="00A050A9"/>
    <w:rsid w:val="00A05A48"/>
    <w:rsid w:val="00A05AC5"/>
    <w:rsid w:val="00A06F7E"/>
    <w:rsid w:val="00A0765B"/>
    <w:rsid w:val="00A07C6A"/>
    <w:rsid w:val="00A10102"/>
    <w:rsid w:val="00A10357"/>
    <w:rsid w:val="00A103B9"/>
    <w:rsid w:val="00A10610"/>
    <w:rsid w:val="00A10C3F"/>
    <w:rsid w:val="00A11163"/>
    <w:rsid w:val="00A1209F"/>
    <w:rsid w:val="00A1269F"/>
    <w:rsid w:val="00A12C59"/>
    <w:rsid w:val="00A13B7C"/>
    <w:rsid w:val="00A142A5"/>
    <w:rsid w:val="00A14CCE"/>
    <w:rsid w:val="00A1537C"/>
    <w:rsid w:val="00A154E9"/>
    <w:rsid w:val="00A172F5"/>
    <w:rsid w:val="00A173E4"/>
    <w:rsid w:val="00A17E73"/>
    <w:rsid w:val="00A201CA"/>
    <w:rsid w:val="00A20289"/>
    <w:rsid w:val="00A2042B"/>
    <w:rsid w:val="00A21433"/>
    <w:rsid w:val="00A23001"/>
    <w:rsid w:val="00A236A9"/>
    <w:rsid w:val="00A23B12"/>
    <w:rsid w:val="00A24A2E"/>
    <w:rsid w:val="00A24D71"/>
    <w:rsid w:val="00A258A3"/>
    <w:rsid w:val="00A25EBB"/>
    <w:rsid w:val="00A2698C"/>
    <w:rsid w:val="00A26D43"/>
    <w:rsid w:val="00A2739C"/>
    <w:rsid w:val="00A27D3E"/>
    <w:rsid w:val="00A27DBD"/>
    <w:rsid w:val="00A30042"/>
    <w:rsid w:val="00A30D85"/>
    <w:rsid w:val="00A30E90"/>
    <w:rsid w:val="00A32437"/>
    <w:rsid w:val="00A3303E"/>
    <w:rsid w:val="00A33353"/>
    <w:rsid w:val="00A33A34"/>
    <w:rsid w:val="00A33D4E"/>
    <w:rsid w:val="00A348B7"/>
    <w:rsid w:val="00A365F0"/>
    <w:rsid w:val="00A36784"/>
    <w:rsid w:val="00A36899"/>
    <w:rsid w:val="00A3720A"/>
    <w:rsid w:val="00A37518"/>
    <w:rsid w:val="00A37CBC"/>
    <w:rsid w:val="00A40204"/>
    <w:rsid w:val="00A41C41"/>
    <w:rsid w:val="00A420C2"/>
    <w:rsid w:val="00A426E9"/>
    <w:rsid w:val="00A447C5"/>
    <w:rsid w:val="00A44A2B"/>
    <w:rsid w:val="00A4540C"/>
    <w:rsid w:val="00A45AE9"/>
    <w:rsid w:val="00A46062"/>
    <w:rsid w:val="00A464D7"/>
    <w:rsid w:val="00A46690"/>
    <w:rsid w:val="00A46C16"/>
    <w:rsid w:val="00A46EBB"/>
    <w:rsid w:val="00A47930"/>
    <w:rsid w:val="00A511ED"/>
    <w:rsid w:val="00A5131B"/>
    <w:rsid w:val="00A513C2"/>
    <w:rsid w:val="00A519DC"/>
    <w:rsid w:val="00A52727"/>
    <w:rsid w:val="00A53C14"/>
    <w:rsid w:val="00A53F50"/>
    <w:rsid w:val="00A5423F"/>
    <w:rsid w:val="00A556BD"/>
    <w:rsid w:val="00A55A2D"/>
    <w:rsid w:val="00A55EDC"/>
    <w:rsid w:val="00A57021"/>
    <w:rsid w:val="00A57795"/>
    <w:rsid w:val="00A57E28"/>
    <w:rsid w:val="00A57ED9"/>
    <w:rsid w:val="00A60280"/>
    <w:rsid w:val="00A60C11"/>
    <w:rsid w:val="00A60C5C"/>
    <w:rsid w:val="00A60CF4"/>
    <w:rsid w:val="00A612EB"/>
    <w:rsid w:val="00A6201A"/>
    <w:rsid w:val="00A62248"/>
    <w:rsid w:val="00A628EC"/>
    <w:rsid w:val="00A629E2"/>
    <w:rsid w:val="00A64465"/>
    <w:rsid w:val="00A65A2F"/>
    <w:rsid w:val="00A661E5"/>
    <w:rsid w:val="00A66333"/>
    <w:rsid w:val="00A66AD4"/>
    <w:rsid w:val="00A66AE3"/>
    <w:rsid w:val="00A67B96"/>
    <w:rsid w:val="00A70058"/>
    <w:rsid w:val="00A7089F"/>
    <w:rsid w:val="00A70D0D"/>
    <w:rsid w:val="00A71F8D"/>
    <w:rsid w:val="00A7226B"/>
    <w:rsid w:val="00A723CE"/>
    <w:rsid w:val="00A72865"/>
    <w:rsid w:val="00A72E40"/>
    <w:rsid w:val="00A73635"/>
    <w:rsid w:val="00A73639"/>
    <w:rsid w:val="00A73CA9"/>
    <w:rsid w:val="00A73E18"/>
    <w:rsid w:val="00A74E3F"/>
    <w:rsid w:val="00A7516C"/>
    <w:rsid w:val="00A76A15"/>
    <w:rsid w:val="00A76ABB"/>
    <w:rsid w:val="00A76ECC"/>
    <w:rsid w:val="00A772BF"/>
    <w:rsid w:val="00A77B2B"/>
    <w:rsid w:val="00A80094"/>
    <w:rsid w:val="00A800C4"/>
    <w:rsid w:val="00A800F8"/>
    <w:rsid w:val="00A825E6"/>
    <w:rsid w:val="00A828E0"/>
    <w:rsid w:val="00A8308B"/>
    <w:rsid w:val="00A83FC0"/>
    <w:rsid w:val="00A847CC"/>
    <w:rsid w:val="00A8496E"/>
    <w:rsid w:val="00A84D65"/>
    <w:rsid w:val="00A855D4"/>
    <w:rsid w:val="00A858DB"/>
    <w:rsid w:val="00A863C6"/>
    <w:rsid w:val="00A8677E"/>
    <w:rsid w:val="00A867B4"/>
    <w:rsid w:val="00A8696F"/>
    <w:rsid w:val="00A86B61"/>
    <w:rsid w:val="00A86EEB"/>
    <w:rsid w:val="00A871EC"/>
    <w:rsid w:val="00A879B0"/>
    <w:rsid w:val="00A87B8C"/>
    <w:rsid w:val="00A9027E"/>
    <w:rsid w:val="00A910E4"/>
    <w:rsid w:val="00A91754"/>
    <w:rsid w:val="00A9282C"/>
    <w:rsid w:val="00A93659"/>
    <w:rsid w:val="00A94721"/>
    <w:rsid w:val="00A9555A"/>
    <w:rsid w:val="00A973DB"/>
    <w:rsid w:val="00A97664"/>
    <w:rsid w:val="00A97781"/>
    <w:rsid w:val="00A979D1"/>
    <w:rsid w:val="00AA0FA4"/>
    <w:rsid w:val="00AA1750"/>
    <w:rsid w:val="00AA1A4D"/>
    <w:rsid w:val="00AA1E28"/>
    <w:rsid w:val="00AA1EBC"/>
    <w:rsid w:val="00AA20B3"/>
    <w:rsid w:val="00AA259C"/>
    <w:rsid w:val="00AA2B74"/>
    <w:rsid w:val="00AA3878"/>
    <w:rsid w:val="00AA3AB7"/>
    <w:rsid w:val="00AA48BB"/>
    <w:rsid w:val="00AA55E0"/>
    <w:rsid w:val="00AA5612"/>
    <w:rsid w:val="00AA5BD5"/>
    <w:rsid w:val="00AA5DEF"/>
    <w:rsid w:val="00AA685F"/>
    <w:rsid w:val="00AA713B"/>
    <w:rsid w:val="00AA71D1"/>
    <w:rsid w:val="00AB00BC"/>
    <w:rsid w:val="00AB0879"/>
    <w:rsid w:val="00AB150A"/>
    <w:rsid w:val="00AB19A5"/>
    <w:rsid w:val="00AB247B"/>
    <w:rsid w:val="00AB253D"/>
    <w:rsid w:val="00AB2C03"/>
    <w:rsid w:val="00AB39B2"/>
    <w:rsid w:val="00AB3ED2"/>
    <w:rsid w:val="00AB40EE"/>
    <w:rsid w:val="00AB4CBE"/>
    <w:rsid w:val="00AB6213"/>
    <w:rsid w:val="00AB6408"/>
    <w:rsid w:val="00AB6478"/>
    <w:rsid w:val="00AB716C"/>
    <w:rsid w:val="00AB754C"/>
    <w:rsid w:val="00AB7D16"/>
    <w:rsid w:val="00AB7DA3"/>
    <w:rsid w:val="00AB7F54"/>
    <w:rsid w:val="00AC043C"/>
    <w:rsid w:val="00AC0D43"/>
    <w:rsid w:val="00AC1561"/>
    <w:rsid w:val="00AC16AB"/>
    <w:rsid w:val="00AC1A66"/>
    <w:rsid w:val="00AC1E22"/>
    <w:rsid w:val="00AC20F2"/>
    <w:rsid w:val="00AC24B0"/>
    <w:rsid w:val="00AC27B8"/>
    <w:rsid w:val="00AC2A55"/>
    <w:rsid w:val="00AC2C57"/>
    <w:rsid w:val="00AC2FA9"/>
    <w:rsid w:val="00AC41B0"/>
    <w:rsid w:val="00AC480D"/>
    <w:rsid w:val="00AC4B08"/>
    <w:rsid w:val="00AC508B"/>
    <w:rsid w:val="00AC671B"/>
    <w:rsid w:val="00AC7655"/>
    <w:rsid w:val="00AC76B7"/>
    <w:rsid w:val="00AC79F0"/>
    <w:rsid w:val="00AD027E"/>
    <w:rsid w:val="00AD11BD"/>
    <w:rsid w:val="00AD182A"/>
    <w:rsid w:val="00AD19CF"/>
    <w:rsid w:val="00AD1AD3"/>
    <w:rsid w:val="00AD319A"/>
    <w:rsid w:val="00AD4038"/>
    <w:rsid w:val="00AD453C"/>
    <w:rsid w:val="00AD55AB"/>
    <w:rsid w:val="00AD60CF"/>
    <w:rsid w:val="00AD70CC"/>
    <w:rsid w:val="00AD7B23"/>
    <w:rsid w:val="00AE0058"/>
    <w:rsid w:val="00AE05FE"/>
    <w:rsid w:val="00AE13F5"/>
    <w:rsid w:val="00AE1AD3"/>
    <w:rsid w:val="00AE1F84"/>
    <w:rsid w:val="00AE3066"/>
    <w:rsid w:val="00AE3602"/>
    <w:rsid w:val="00AE5385"/>
    <w:rsid w:val="00AE5AB4"/>
    <w:rsid w:val="00AE6028"/>
    <w:rsid w:val="00AE6B92"/>
    <w:rsid w:val="00AE6B9D"/>
    <w:rsid w:val="00AE6BBF"/>
    <w:rsid w:val="00AE6E04"/>
    <w:rsid w:val="00AE7E32"/>
    <w:rsid w:val="00AF0345"/>
    <w:rsid w:val="00AF0398"/>
    <w:rsid w:val="00AF07C0"/>
    <w:rsid w:val="00AF1726"/>
    <w:rsid w:val="00AF1BF9"/>
    <w:rsid w:val="00AF30D8"/>
    <w:rsid w:val="00AF3176"/>
    <w:rsid w:val="00AF3BA3"/>
    <w:rsid w:val="00AF425A"/>
    <w:rsid w:val="00AF4958"/>
    <w:rsid w:val="00AF4CDA"/>
    <w:rsid w:val="00AF4D81"/>
    <w:rsid w:val="00AF5159"/>
    <w:rsid w:val="00AF5253"/>
    <w:rsid w:val="00AF6507"/>
    <w:rsid w:val="00AF6668"/>
    <w:rsid w:val="00AF698D"/>
    <w:rsid w:val="00AF6DF9"/>
    <w:rsid w:val="00AF7B89"/>
    <w:rsid w:val="00B0038D"/>
    <w:rsid w:val="00B006FF"/>
    <w:rsid w:val="00B00CC8"/>
    <w:rsid w:val="00B0138D"/>
    <w:rsid w:val="00B01BDB"/>
    <w:rsid w:val="00B01DAC"/>
    <w:rsid w:val="00B01E28"/>
    <w:rsid w:val="00B01EE8"/>
    <w:rsid w:val="00B02195"/>
    <w:rsid w:val="00B027D5"/>
    <w:rsid w:val="00B028FF"/>
    <w:rsid w:val="00B02A6A"/>
    <w:rsid w:val="00B03FBF"/>
    <w:rsid w:val="00B04CC3"/>
    <w:rsid w:val="00B056F5"/>
    <w:rsid w:val="00B0588C"/>
    <w:rsid w:val="00B05D5E"/>
    <w:rsid w:val="00B05DE9"/>
    <w:rsid w:val="00B066BC"/>
    <w:rsid w:val="00B0678A"/>
    <w:rsid w:val="00B07356"/>
    <w:rsid w:val="00B07B8D"/>
    <w:rsid w:val="00B07D27"/>
    <w:rsid w:val="00B10226"/>
    <w:rsid w:val="00B10F29"/>
    <w:rsid w:val="00B10F48"/>
    <w:rsid w:val="00B11CDE"/>
    <w:rsid w:val="00B120A2"/>
    <w:rsid w:val="00B12C10"/>
    <w:rsid w:val="00B1331F"/>
    <w:rsid w:val="00B145DB"/>
    <w:rsid w:val="00B14D2B"/>
    <w:rsid w:val="00B14FF7"/>
    <w:rsid w:val="00B157B7"/>
    <w:rsid w:val="00B15893"/>
    <w:rsid w:val="00B164A9"/>
    <w:rsid w:val="00B164C1"/>
    <w:rsid w:val="00B1662B"/>
    <w:rsid w:val="00B16D41"/>
    <w:rsid w:val="00B16EF4"/>
    <w:rsid w:val="00B1700D"/>
    <w:rsid w:val="00B17A94"/>
    <w:rsid w:val="00B20882"/>
    <w:rsid w:val="00B2191D"/>
    <w:rsid w:val="00B21F13"/>
    <w:rsid w:val="00B21F77"/>
    <w:rsid w:val="00B2240F"/>
    <w:rsid w:val="00B22471"/>
    <w:rsid w:val="00B23774"/>
    <w:rsid w:val="00B23D7E"/>
    <w:rsid w:val="00B23D92"/>
    <w:rsid w:val="00B23F84"/>
    <w:rsid w:val="00B2449D"/>
    <w:rsid w:val="00B2542C"/>
    <w:rsid w:val="00B25961"/>
    <w:rsid w:val="00B25B81"/>
    <w:rsid w:val="00B25F45"/>
    <w:rsid w:val="00B263F0"/>
    <w:rsid w:val="00B26E10"/>
    <w:rsid w:val="00B26FEC"/>
    <w:rsid w:val="00B304DD"/>
    <w:rsid w:val="00B30940"/>
    <w:rsid w:val="00B30B28"/>
    <w:rsid w:val="00B31C5F"/>
    <w:rsid w:val="00B32297"/>
    <w:rsid w:val="00B324B9"/>
    <w:rsid w:val="00B36AC3"/>
    <w:rsid w:val="00B36D3E"/>
    <w:rsid w:val="00B36DE3"/>
    <w:rsid w:val="00B37CD4"/>
    <w:rsid w:val="00B37D42"/>
    <w:rsid w:val="00B40596"/>
    <w:rsid w:val="00B4122C"/>
    <w:rsid w:val="00B412EF"/>
    <w:rsid w:val="00B4152B"/>
    <w:rsid w:val="00B429AA"/>
    <w:rsid w:val="00B42B35"/>
    <w:rsid w:val="00B42C01"/>
    <w:rsid w:val="00B432C1"/>
    <w:rsid w:val="00B4373F"/>
    <w:rsid w:val="00B44196"/>
    <w:rsid w:val="00B4428F"/>
    <w:rsid w:val="00B44755"/>
    <w:rsid w:val="00B44892"/>
    <w:rsid w:val="00B44AE9"/>
    <w:rsid w:val="00B45892"/>
    <w:rsid w:val="00B45C82"/>
    <w:rsid w:val="00B45E2D"/>
    <w:rsid w:val="00B47559"/>
    <w:rsid w:val="00B4766C"/>
    <w:rsid w:val="00B500B9"/>
    <w:rsid w:val="00B50275"/>
    <w:rsid w:val="00B512A3"/>
    <w:rsid w:val="00B522F5"/>
    <w:rsid w:val="00B523D8"/>
    <w:rsid w:val="00B524DF"/>
    <w:rsid w:val="00B53797"/>
    <w:rsid w:val="00B53ACF"/>
    <w:rsid w:val="00B55817"/>
    <w:rsid w:val="00B5598E"/>
    <w:rsid w:val="00B55A9E"/>
    <w:rsid w:val="00B55F61"/>
    <w:rsid w:val="00B5667A"/>
    <w:rsid w:val="00B567E9"/>
    <w:rsid w:val="00B5708F"/>
    <w:rsid w:val="00B5766B"/>
    <w:rsid w:val="00B57EFC"/>
    <w:rsid w:val="00B604F9"/>
    <w:rsid w:val="00B614FD"/>
    <w:rsid w:val="00B61D06"/>
    <w:rsid w:val="00B61E9F"/>
    <w:rsid w:val="00B621A0"/>
    <w:rsid w:val="00B62496"/>
    <w:rsid w:val="00B62898"/>
    <w:rsid w:val="00B630BB"/>
    <w:rsid w:val="00B6457A"/>
    <w:rsid w:val="00B656A9"/>
    <w:rsid w:val="00B65C26"/>
    <w:rsid w:val="00B66888"/>
    <w:rsid w:val="00B66973"/>
    <w:rsid w:val="00B66E28"/>
    <w:rsid w:val="00B66E4A"/>
    <w:rsid w:val="00B6781E"/>
    <w:rsid w:val="00B70D99"/>
    <w:rsid w:val="00B716E4"/>
    <w:rsid w:val="00B71849"/>
    <w:rsid w:val="00B71C1C"/>
    <w:rsid w:val="00B72E69"/>
    <w:rsid w:val="00B733D5"/>
    <w:rsid w:val="00B73BD2"/>
    <w:rsid w:val="00B7454E"/>
    <w:rsid w:val="00B75FB8"/>
    <w:rsid w:val="00B760A7"/>
    <w:rsid w:val="00B76691"/>
    <w:rsid w:val="00B76D25"/>
    <w:rsid w:val="00B7734D"/>
    <w:rsid w:val="00B77C02"/>
    <w:rsid w:val="00B80A0B"/>
    <w:rsid w:val="00B80F2D"/>
    <w:rsid w:val="00B81484"/>
    <w:rsid w:val="00B82210"/>
    <w:rsid w:val="00B8352E"/>
    <w:rsid w:val="00B83A50"/>
    <w:rsid w:val="00B83E4F"/>
    <w:rsid w:val="00B84373"/>
    <w:rsid w:val="00B8479F"/>
    <w:rsid w:val="00B848A3"/>
    <w:rsid w:val="00B84943"/>
    <w:rsid w:val="00B84E79"/>
    <w:rsid w:val="00B8532B"/>
    <w:rsid w:val="00B85444"/>
    <w:rsid w:val="00B85470"/>
    <w:rsid w:val="00B8577A"/>
    <w:rsid w:val="00B857B8"/>
    <w:rsid w:val="00B85B9A"/>
    <w:rsid w:val="00B85EF8"/>
    <w:rsid w:val="00B860A6"/>
    <w:rsid w:val="00B869F7"/>
    <w:rsid w:val="00B86F06"/>
    <w:rsid w:val="00B876F4"/>
    <w:rsid w:val="00B878DF"/>
    <w:rsid w:val="00B87941"/>
    <w:rsid w:val="00B87FEB"/>
    <w:rsid w:val="00B90E21"/>
    <w:rsid w:val="00B918CB"/>
    <w:rsid w:val="00B91E14"/>
    <w:rsid w:val="00B92011"/>
    <w:rsid w:val="00B92089"/>
    <w:rsid w:val="00B9284B"/>
    <w:rsid w:val="00B92A4B"/>
    <w:rsid w:val="00B93809"/>
    <w:rsid w:val="00B93A80"/>
    <w:rsid w:val="00B93FA0"/>
    <w:rsid w:val="00B940A0"/>
    <w:rsid w:val="00B9495D"/>
    <w:rsid w:val="00B95837"/>
    <w:rsid w:val="00B964F9"/>
    <w:rsid w:val="00B965A5"/>
    <w:rsid w:val="00B968CE"/>
    <w:rsid w:val="00B969F3"/>
    <w:rsid w:val="00B96BEC"/>
    <w:rsid w:val="00B96D1F"/>
    <w:rsid w:val="00B96E7E"/>
    <w:rsid w:val="00BA0220"/>
    <w:rsid w:val="00BA19BC"/>
    <w:rsid w:val="00BA2E15"/>
    <w:rsid w:val="00BA38E9"/>
    <w:rsid w:val="00BA3EEC"/>
    <w:rsid w:val="00BA48E3"/>
    <w:rsid w:val="00BA4E93"/>
    <w:rsid w:val="00BA54E2"/>
    <w:rsid w:val="00BA5FAE"/>
    <w:rsid w:val="00BB000C"/>
    <w:rsid w:val="00BB069F"/>
    <w:rsid w:val="00BB0F89"/>
    <w:rsid w:val="00BB1CE9"/>
    <w:rsid w:val="00BB213A"/>
    <w:rsid w:val="00BB2C20"/>
    <w:rsid w:val="00BB30D5"/>
    <w:rsid w:val="00BB3595"/>
    <w:rsid w:val="00BB4476"/>
    <w:rsid w:val="00BB6C13"/>
    <w:rsid w:val="00BB7D93"/>
    <w:rsid w:val="00BC0A51"/>
    <w:rsid w:val="00BC12F5"/>
    <w:rsid w:val="00BC1722"/>
    <w:rsid w:val="00BC20AE"/>
    <w:rsid w:val="00BC21DF"/>
    <w:rsid w:val="00BC2684"/>
    <w:rsid w:val="00BC27AF"/>
    <w:rsid w:val="00BC2936"/>
    <w:rsid w:val="00BC2B28"/>
    <w:rsid w:val="00BC2B64"/>
    <w:rsid w:val="00BC2DD8"/>
    <w:rsid w:val="00BC3009"/>
    <w:rsid w:val="00BC366A"/>
    <w:rsid w:val="00BC3D7E"/>
    <w:rsid w:val="00BC45D9"/>
    <w:rsid w:val="00BC484B"/>
    <w:rsid w:val="00BC51A0"/>
    <w:rsid w:val="00BC520A"/>
    <w:rsid w:val="00BC521A"/>
    <w:rsid w:val="00BC52C4"/>
    <w:rsid w:val="00BC5394"/>
    <w:rsid w:val="00BC58F3"/>
    <w:rsid w:val="00BC5AB6"/>
    <w:rsid w:val="00BC70E0"/>
    <w:rsid w:val="00BC75CB"/>
    <w:rsid w:val="00BD0135"/>
    <w:rsid w:val="00BD0A60"/>
    <w:rsid w:val="00BD0B81"/>
    <w:rsid w:val="00BD13DC"/>
    <w:rsid w:val="00BD1CF2"/>
    <w:rsid w:val="00BD21C4"/>
    <w:rsid w:val="00BD2A48"/>
    <w:rsid w:val="00BD2E80"/>
    <w:rsid w:val="00BD3295"/>
    <w:rsid w:val="00BD3331"/>
    <w:rsid w:val="00BD3BBA"/>
    <w:rsid w:val="00BD4335"/>
    <w:rsid w:val="00BD4454"/>
    <w:rsid w:val="00BD48DC"/>
    <w:rsid w:val="00BD4AF6"/>
    <w:rsid w:val="00BD581C"/>
    <w:rsid w:val="00BD6661"/>
    <w:rsid w:val="00BD6969"/>
    <w:rsid w:val="00BD6FB1"/>
    <w:rsid w:val="00BD7126"/>
    <w:rsid w:val="00BD7C93"/>
    <w:rsid w:val="00BE0C1A"/>
    <w:rsid w:val="00BE103C"/>
    <w:rsid w:val="00BE132D"/>
    <w:rsid w:val="00BE14AF"/>
    <w:rsid w:val="00BE170C"/>
    <w:rsid w:val="00BE17B4"/>
    <w:rsid w:val="00BE1AF7"/>
    <w:rsid w:val="00BE2007"/>
    <w:rsid w:val="00BE26C5"/>
    <w:rsid w:val="00BE301C"/>
    <w:rsid w:val="00BE42CF"/>
    <w:rsid w:val="00BE4C3C"/>
    <w:rsid w:val="00BE644A"/>
    <w:rsid w:val="00BE6A16"/>
    <w:rsid w:val="00BE6DF3"/>
    <w:rsid w:val="00BE76A9"/>
    <w:rsid w:val="00BE783F"/>
    <w:rsid w:val="00BE7E0F"/>
    <w:rsid w:val="00BF305D"/>
    <w:rsid w:val="00BF31DC"/>
    <w:rsid w:val="00BF3FFA"/>
    <w:rsid w:val="00BF4416"/>
    <w:rsid w:val="00BF5B93"/>
    <w:rsid w:val="00BF5D27"/>
    <w:rsid w:val="00BF6448"/>
    <w:rsid w:val="00BF6FB3"/>
    <w:rsid w:val="00BF7F66"/>
    <w:rsid w:val="00C00ACE"/>
    <w:rsid w:val="00C01166"/>
    <w:rsid w:val="00C015E3"/>
    <w:rsid w:val="00C01E1D"/>
    <w:rsid w:val="00C02398"/>
    <w:rsid w:val="00C02E05"/>
    <w:rsid w:val="00C033F1"/>
    <w:rsid w:val="00C03506"/>
    <w:rsid w:val="00C0389D"/>
    <w:rsid w:val="00C05270"/>
    <w:rsid w:val="00C05488"/>
    <w:rsid w:val="00C05DCA"/>
    <w:rsid w:val="00C068B1"/>
    <w:rsid w:val="00C06B49"/>
    <w:rsid w:val="00C06D4C"/>
    <w:rsid w:val="00C07E2D"/>
    <w:rsid w:val="00C07FFB"/>
    <w:rsid w:val="00C104A5"/>
    <w:rsid w:val="00C10755"/>
    <w:rsid w:val="00C10E09"/>
    <w:rsid w:val="00C112BE"/>
    <w:rsid w:val="00C117C8"/>
    <w:rsid w:val="00C11813"/>
    <w:rsid w:val="00C11CFA"/>
    <w:rsid w:val="00C12355"/>
    <w:rsid w:val="00C12827"/>
    <w:rsid w:val="00C1378E"/>
    <w:rsid w:val="00C139F3"/>
    <w:rsid w:val="00C13C5E"/>
    <w:rsid w:val="00C145F1"/>
    <w:rsid w:val="00C15CA8"/>
    <w:rsid w:val="00C15CC6"/>
    <w:rsid w:val="00C15DAD"/>
    <w:rsid w:val="00C16669"/>
    <w:rsid w:val="00C174D8"/>
    <w:rsid w:val="00C17779"/>
    <w:rsid w:val="00C2007E"/>
    <w:rsid w:val="00C20D85"/>
    <w:rsid w:val="00C21CCB"/>
    <w:rsid w:val="00C21FE0"/>
    <w:rsid w:val="00C2364D"/>
    <w:rsid w:val="00C23940"/>
    <w:rsid w:val="00C23AD7"/>
    <w:rsid w:val="00C23E76"/>
    <w:rsid w:val="00C243B5"/>
    <w:rsid w:val="00C24B3C"/>
    <w:rsid w:val="00C24F77"/>
    <w:rsid w:val="00C265AA"/>
    <w:rsid w:val="00C26C86"/>
    <w:rsid w:val="00C27E72"/>
    <w:rsid w:val="00C30194"/>
    <w:rsid w:val="00C3231F"/>
    <w:rsid w:val="00C33B89"/>
    <w:rsid w:val="00C342C4"/>
    <w:rsid w:val="00C3544D"/>
    <w:rsid w:val="00C35DA8"/>
    <w:rsid w:val="00C374BE"/>
    <w:rsid w:val="00C37AFD"/>
    <w:rsid w:val="00C401F0"/>
    <w:rsid w:val="00C403F6"/>
    <w:rsid w:val="00C4082B"/>
    <w:rsid w:val="00C40A31"/>
    <w:rsid w:val="00C42788"/>
    <w:rsid w:val="00C4293A"/>
    <w:rsid w:val="00C4295D"/>
    <w:rsid w:val="00C42B34"/>
    <w:rsid w:val="00C430D4"/>
    <w:rsid w:val="00C43157"/>
    <w:rsid w:val="00C43651"/>
    <w:rsid w:val="00C43B8D"/>
    <w:rsid w:val="00C440B6"/>
    <w:rsid w:val="00C44403"/>
    <w:rsid w:val="00C44C5C"/>
    <w:rsid w:val="00C452C8"/>
    <w:rsid w:val="00C45511"/>
    <w:rsid w:val="00C4603A"/>
    <w:rsid w:val="00C47DCF"/>
    <w:rsid w:val="00C5003C"/>
    <w:rsid w:val="00C50114"/>
    <w:rsid w:val="00C515E8"/>
    <w:rsid w:val="00C51928"/>
    <w:rsid w:val="00C51ADD"/>
    <w:rsid w:val="00C5252A"/>
    <w:rsid w:val="00C52E76"/>
    <w:rsid w:val="00C5318F"/>
    <w:rsid w:val="00C54559"/>
    <w:rsid w:val="00C54C19"/>
    <w:rsid w:val="00C553D8"/>
    <w:rsid w:val="00C558C5"/>
    <w:rsid w:val="00C562F5"/>
    <w:rsid w:val="00C568F0"/>
    <w:rsid w:val="00C61441"/>
    <w:rsid w:val="00C6156B"/>
    <w:rsid w:val="00C61D7D"/>
    <w:rsid w:val="00C626D5"/>
    <w:rsid w:val="00C628F7"/>
    <w:rsid w:val="00C62B49"/>
    <w:rsid w:val="00C633DB"/>
    <w:rsid w:val="00C63B5F"/>
    <w:rsid w:val="00C64AF6"/>
    <w:rsid w:val="00C64C93"/>
    <w:rsid w:val="00C64E2C"/>
    <w:rsid w:val="00C65253"/>
    <w:rsid w:val="00C65FF3"/>
    <w:rsid w:val="00C6659C"/>
    <w:rsid w:val="00C66FAD"/>
    <w:rsid w:val="00C66FFC"/>
    <w:rsid w:val="00C671A9"/>
    <w:rsid w:val="00C6759F"/>
    <w:rsid w:val="00C67B1E"/>
    <w:rsid w:val="00C70320"/>
    <w:rsid w:val="00C70C0C"/>
    <w:rsid w:val="00C725C9"/>
    <w:rsid w:val="00C73C1C"/>
    <w:rsid w:val="00C73FCC"/>
    <w:rsid w:val="00C740E4"/>
    <w:rsid w:val="00C74727"/>
    <w:rsid w:val="00C74751"/>
    <w:rsid w:val="00C75C1D"/>
    <w:rsid w:val="00C75C7F"/>
    <w:rsid w:val="00C75DB9"/>
    <w:rsid w:val="00C75E40"/>
    <w:rsid w:val="00C75F2E"/>
    <w:rsid w:val="00C76DA4"/>
    <w:rsid w:val="00C771B4"/>
    <w:rsid w:val="00C77799"/>
    <w:rsid w:val="00C77E2F"/>
    <w:rsid w:val="00C80BA8"/>
    <w:rsid w:val="00C80F86"/>
    <w:rsid w:val="00C81223"/>
    <w:rsid w:val="00C8211E"/>
    <w:rsid w:val="00C823DE"/>
    <w:rsid w:val="00C82876"/>
    <w:rsid w:val="00C82911"/>
    <w:rsid w:val="00C838A6"/>
    <w:rsid w:val="00C842DD"/>
    <w:rsid w:val="00C84355"/>
    <w:rsid w:val="00C84967"/>
    <w:rsid w:val="00C849F8"/>
    <w:rsid w:val="00C857CF"/>
    <w:rsid w:val="00C86BCA"/>
    <w:rsid w:val="00C86C08"/>
    <w:rsid w:val="00C86DE2"/>
    <w:rsid w:val="00C878FD"/>
    <w:rsid w:val="00C87B05"/>
    <w:rsid w:val="00C87D35"/>
    <w:rsid w:val="00C9029C"/>
    <w:rsid w:val="00C909A3"/>
    <w:rsid w:val="00C90C22"/>
    <w:rsid w:val="00C90D4E"/>
    <w:rsid w:val="00C90F71"/>
    <w:rsid w:val="00C917F2"/>
    <w:rsid w:val="00C92672"/>
    <w:rsid w:val="00C92A9A"/>
    <w:rsid w:val="00C92AEE"/>
    <w:rsid w:val="00C92F14"/>
    <w:rsid w:val="00C933AB"/>
    <w:rsid w:val="00C93DC6"/>
    <w:rsid w:val="00C943B0"/>
    <w:rsid w:val="00C94CC7"/>
    <w:rsid w:val="00C94E68"/>
    <w:rsid w:val="00C9572F"/>
    <w:rsid w:val="00C95DD8"/>
    <w:rsid w:val="00C966AE"/>
    <w:rsid w:val="00C96750"/>
    <w:rsid w:val="00C968EC"/>
    <w:rsid w:val="00C969F5"/>
    <w:rsid w:val="00C96CEF"/>
    <w:rsid w:val="00C97328"/>
    <w:rsid w:val="00C97CED"/>
    <w:rsid w:val="00CA0969"/>
    <w:rsid w:val="00CA0B77"/>
    <w:rsid w:val="00CA16B2"/>
    <w:rsid w:val="00CA1EC8"/>
    <w:rsid w:val="00CA23EF"/>
    <w:rsid w:val="00CA2C70"/>
    <w:rsid w:val="00CA324C"/>
    <w:rsid w:val="00CA3321"/>
    <w:rsid w:val="00CA390A"/>
    <w:rsid w:val="00CA3D53"/>
    <w:rsid w:val="00CA4C46"/>
    <w:rsid w:val="00CA4E9E"/>
    <w:rsid w:val="00CA4F96"/>
    <w:rsid w:val="00CA541A"/>
    <w:rsid w:val="00CA547B"/>
    <w:rsid w:val="00CA58C9"/>
    <w:rsid w:val="00CA5B6D"/>
    <w:rsid w:val="00CA6A35"/>
    <w:rsid w:val="00CA6A70"/>
    <w:rsid w:val="00CA707D"/>
    <w:rsid w:val="00CA756C"/>
    <w:rsid w:val="00CA787E"/>
    <w:rsid w:val="00CA7E87"/>
    <w:rsid w:val="00CB0461"/>
    <w:rsid w:val="00CB1168"/>
    <w:rsid w:val="00CB1750"/>
    <w:rsid w:val="00CB2663"/>
    <w:rsid w:val="00CB37D8"/>
    <w:rsid w:val="00CB4B66"/>
    <w:rsid w:val="00CB5828"/>
    <w:rsid w:val="00CB5A11"/>
    <w:rsid w:val="00CB5CA1"/>
    <w:rsid w:val="00CB60ED"/>
    <w:rsid w:val="00CB647A"/>
    <w:rsid w:val="00CB6738"/>
    <w:rsid w:val="00CB6C7D"/>
    <w:rsid w:val="00CC037E"/>
    <w:rsid w:val="00CC2941"/>
    <w:rsid w:val="00CC2CE3"/>
    <w:rsid w:val="00CC2E94"/>
    <w:rsid w:val="00CC3043"/>
    <w:rsid w:val="00CC3734"/>
    <w:rsid w:val="00CC38B4"/>
    <w:rsid w:val="00CC3BA6"/>
    <w:rsid w:val="00CC4BFE"/>
    <w:rsid w:val="00CC4EC4"/>
    <w:rsid w:val="00CC5F11"/>
    <w:rsid w:val="00CC6AE8"/>
    <w:rsid w:val="00CC6F70"/>
    <w:rsid w:val="00CC707B"/>
    <w:rsid w:val="00CC7DC2"/>
    <w:rsid w:val="00CD0E45"/>
    <w:rsid w:val="00CD0FF5"/>
    <w:rsid w:val="00CD14FA"/>
    <w:rsid w:val="00CD167A"/>
    <w:rsid w:val="00CD397E"/>
    <w:rsid w:val="00CD399F"/>
    <w:rsid w:val="00CD5233"/>
    <w:rsid w:val="00CD54BF"/>
    <w:rsid w:val="00CD7160"/>
    <w:rsid w:val="00CD7455"/>
    <w:rsid w:val="00CE07C9"/>
    <w:rsid w:val="00CE0CAC"/>
    <w:rsid w:val="00CE14EC"/>
    <w:rsid w:val="00CE14FF"/>
    <w:rsid w:val="00CE1F4D"/>
    <w:rsid w:val="00CE222C"/>
    <w:rsid w:val="00CE2417"/>
    <w:rsid w:val="00CE2C5C"/>
    <w:rsid w:val="00CE358E"/>
    <w:rsid w:val="00CE3874"/>
    <w:rsid w:val="00CE5257"/>
    <w:rsid w:val="00CE59D7"/>
    <w:rsid w:val="00CE5CAE"/>
    <w:rsid w:val="00CE70DD"/>
    <w:rsid w:val="00CE7930"/>
    <w:rsid w:val="00CE79D8"/>
    <w:rsid w:val="00CF04EB"/>
    <w:rsid w:val="00CF06A0"/>
    <w:rsid w:val="00CF0980"/>
    <w:rsid w:val="00CF1674"/>
    <w:rsid w:val="00CF1721"/>
    <w:rsid w:val="00CF1D68"/>
    <w:rsid w:val="00CF20D6"/>
    <w:rsid w:val="00CF3206"/>
    <w:rsid w:val="00CF3626"/>
    <w:rsid w:val="00CF378E"/>
    <w:rsid w:val="00CF41C5"/>
    <w:rsid w:val="00CF422A"/>
    <w:rsid w:val="00CF515A"/>
    <w:rsid w:val="00CF51A2"/>
    <w:rsid w:val="00CF6443"/>
    <w:rsid w:val="00CF6668"/>
    <w:rsid w:val="00CF694D"/>
    <w:rsid w:val="00CF69C2"/>
    <w:rsid w:val="00CF69E3"/>
    <w:rsid w:val="00CF702C"/>
    <w:rsid w:val="00CF77CE"/>
    <w:rsid w:val="00D0082A"/>
    <w:rsid w:val="00D00D04"/>
    <w:rsid w:val="00D013C5"/>
    <w:rsid w:val="00D01AD0"/>
    <w:rsid w:val="00D024AC"/>
    <w:rsid w:val="00D030DD"/>
    <w:rsid w:val="00D0324F"/>
    <w:rsid w:val="00D03B7C"/>
    <w:rsid w:val="00D0411B"/>
    <w:rsid w:val="00D04473"/>
    <w:rsid w:val="00D04AF1"/>
    <w:rsid w:val="00D0516F"/>
    <w:rsid w:val="00D05385"/>
    <w:rsid w:val="00D055CF"/>
    <w:rsid w:val="00D05791"/>
    <w:rsid w:val="00D06596"/>
    <w:rsid w:val="00D06C24"/>
    <w:rsid w:val="00D07353"/>
    <w:rsid w:val="00D078DC"/>
    <w:rsid w:val="00D07D2C"/>
    <w:rsid w:val="00D07D4E"/>
    <w:rsid w:val="00D07DA1"/>
    <w:rsid w:val="00D106C7"/>
    <w:rsid w:val="00D10FF2"/>
    <w:rsid w:val="00D1114C"/>
    <w:rsid w:val="00D112B8"/>
    <w:rsid w:val="00D125C1"/>
    <w:rsid w:val="00D12E57"/>
    <w:rsid w:val="00D1378D"/>
    <w:rsid w:val="00D148DF"/>
    <w:rsid w:val="00D15368"/>
    <w:rsid w:val="00D15C6F"/>
    <w:rsid w:val="00D1629A"/>
    <w:rsid w:val="00D16691"/>
    <w:rsid w:val="00D168F6"/>
    <w:rsid w:val="00D1715F"/>
    <w:rsid w:val="00D17348"/>
    <w:rsid w:val="00D17EB0"/>
    <w:rsid w:val="00D20669"/>
    <w:rsid w:val="00D2086C"/>
    <w:rsid w:val="00D20970"/>
    <w:rsid w:val="00D21160"/>
    <w:rsid w:val="00D21D99"/>
    <w:rsid w:val="00D22218"/>
    <w:rsid w:val="00D2225B"/>
    <w:rsid w:val="00D222ED"/>
    <w:rsid w:val="00D22908"/>
    <w:rsid w:val="00D23A7B"/>
    <w:rsid w:val="00D23FA4"/>
    <w:rsid w:val="00D25118"/>
    <w:rsid w:val="00D25262"/>
    <w:rsid w:val="00D255A6"/>
    <w:rsid w:val="00D266A4"/>
    <w:rsid w:val="00D2691C"/>
    <w:rsid w:val="00D26BF0"/>
    <w:rsid w:val="00D274E9"/>
    <w:rsid w:val="00D303DB"/>
    <w:rsid w:val="00D3080D"/>
    <w:rsid w:val="00D30EF1"/>
    <w:rsid w:val="00D30F9B"/>
    <w:rsid w:val="00D3124D"/>
    <w:rsid w:val="00D313B9"/>
    <w:rsid w:val="00D316A8"/>
    <w:rsid w:val="00D31A84"/>
    <w:rsid w:val="00D31DC2"/>
    <w:rsid w:val="00D32028"/>
    <w:rsid w:val="00D32438"/>
    <w:rsid w:val="00D324DC"/>
    <w:rsid w:val="00D32BDF"/>
    <w:rsid w:val="00D32F4B"/>
    <w:rsid w:val="00D330D0"/>
    <w:rsid w:val="00D33905"/>
    <w:rsid w:val="00D34297"/>
    <w:rsid w:val="00D34373"/>
    <w:rsid w:val="00D35939"/>
    <w:rsid w:val="00D35A3F"/>
    <w:rsid w:val="00D35BA5"/>
    <w:rsid w:val="00D36105"/>
    <w:rsid w:val="00D371D9"/>
    <w:rsid w:val="00D4077C"/>
    <w:rsid w:val="00D409B5"/>
    <w:rsid w:val="00D4291B"/>
    <w:rsid w:val="00D44052"/>
    <w:rsid w:val="00D4557A"/>
    <w:rsid w:val="00D4584E"/>
    <w:rsid w:val="00D4584F"/>
    <w:rsid w:val="00D46783"/>
    <w:rsid w:val="00D46B4D"/>
    <w:rsid w:val="00D47B15"/>
    <w:rsid w:val="00D47C71"/>
    <w:rsid w:val="00D50D3A"/>
    <w:rsid w:val="00D5174A"/>
    <w:rsid w:val="00D52240"/>
    <w:rsid w:val="00D530ED"/>
    <w:rsid w:val="00D534CF"/>
    <w:rsid w:val="00D538EF"/>
    <w:rsid w:val="00D54527"/>
    <w:rsid w:val="00D5490E"/>
    <w:rsid w:val="00D55625"/>
    <w:rsid w:val="00D55C87"/>
    <w:rsid w:val="00D60865"/>
    <w:rsid w:val="00D61DAB"/>
    <w:rsid w:val="00D62855"/>
    <w:rsid w:val="00D62929"/>
    <w:rsid w:val="00D6296D"/>
    <w:rsid w:val="00D62A02"/>
    <w:rsid w:val="00D62C15"/>
    <w:rsid w:val="00D63166"/>
    <w:rsid w:val="00D632CA"/>
    <w:rsid w:val="00D6359A"/>
    <w:rsid w:val="00D635FC"/>
    <w:rsid w:val="00D63790"/>
    <w:rsid w:val="00D64383"/>
    <w:rsid w:val="00D643E4"/>
    <w:rsid w:val="00D6774B"/>
    <w:rsid w:val="00D703F6"/>
    <w:rsid w:val="00D70A2A"/>
    <w:rsid w:val="00D712DC"/>
    <w:rsid w:val="00D7159A"/>
    <w:rsid w:val="00D72984"/>
    <w:rsid w:val="00D72AFE"/>
    <w:rsid w:val="00D7414F"/>
    <w:rsid w:val="00D74993"/>
    <w:rsid w:val="00D74A73"/>
    <w:rsid w:val="00D7629A"/>
    <w:rsid w:val="00D76A82"/>
    <w:rsid w:val="00D77083"/>
    <w:rsid w:val="00D77213"/>
    <w:rsid w:val="00D7733E"/>
    <w:rsid w:val="00D774C7"/>
    <w:rsid w:val="00D778A1"/>
    <w:rsid w:val="00D80365"/>
    <w:rsid w:val="00D808AA"/>
    <w:rsid w:val="00D81E95"/>
    <w:rsid w:val="00D81F04"/>
    <w:rsid w:val="00D81F21"/>
    <w:rsid w:val="00D8377E"/>
    <w:rsid w:val="00D8384B"/>
    <w:rsid w:val="00D8405E"/>
    <w:rsid w:val="00D8410E"/>
    <w:rsid w:val="00D845A7"/>
    <w:rsid w:val="00D8515C"/>
    <w:rsid w:val="00D855FC"/>
    <w:rsid w:val="00D85ADA"/>
    <w:rsid w:val="00D85FAA"/>
    <w:rsid w:val="00D86782"/>
    <w:rsid w:val="00D86CE7"/>
    <w:rsid w:val="00D8710A"/>
    <w:rsid w:val="00D8741D"/>
    <w:rsid w:val="00D87780"/>
    <w:rsid w:val="00D87BD1"/>
    <w:rsid w:val="00D87C26"/>
    <w:rsid w:val="00D87F13"/>
    <w:rsid w:val="00D90397"/>
    <w:rsid w:val="00D90BC3"/>
    <w:rsid w:val="00D91A54"/>
    <w:rsid w:val="00D91D33"/>
    <w:rsid w:val="00D92169"/>
    <w:rsid w:val="00D92182"/>
    <w:rsid w:val="00D92A19"/>
    <w:rsid w:val="00D92C0A"/>
    <w:rsid w:val="00D92EC7"/>
    <w:rsid w:val="00D934CC"/>
    <w:rsid w:val="00D93D1D"/>
    <w:rsid w:val="00D9440A"/>
    <w:rsid w:val="00D94C86"/>
    <w:rsid w:val="00D95640"/>
    <w:rsid w:val="00D95A8B"/>
    <w:rsid w:val="00D95FF8"/>
    <w:rsid w:val="00D960D6"/>
    <w:rsid w:val="00D96262"/>
    <w:rsid w:val="00D966F0"/>
    <w:rsid w:val="00D96A6F"/>
    <w:rsid w:val="00D96B9A"/>
    <w:rsid w:val="00D97B35"/>
    <w:rsid w:val="00DA0302"/>
    <w:rsid w:val="00DA05D2"/>
    <w:rsid w:val="00DA0697"/>
    <w:rsid w:val="00DA0BEE"/>
    <w:rsid w:val="00DA23A4"/>
    <w:rsid w:val="00DA244A"/>
    <w:rsid w:val="00DA2ADC"/>
    <w:rsid w:val="00DA2D7E"/>
    <w:rsid w:val="00DA313B"/>
    <w:rsid w:val="00DA34A2"/>
    <w:rsid w:val="00DA37D8"/>
    <w:rsid w:val="00DA4019"/>
    <w:rsid w:val="00DA4720"/>
    <w:rsid w:val="00DA4E0C"/>
    <w:rsid w:val="00DA54E3"/>
    <w:rsid w:val="00DA54E8"/>
    <w:rsid w:val="00DA6284"/>
    <w:rsid w:val="00DA65FD"/>
    <w:rsid w:val="00DA66A4"/>
    <w:rsid w:val="00DA6859"/>
    <w:rsid w:val="00DA6D43"/>
    <w:rsid w:val="00DA7A84"/>
    <w:rsid w:val="00DB0538"/>
    <w:rsid w:val="00DB0560"/>
    <w:rsid w:val="00DB071F"/>
    <w:rsid w:val="00DB0792"/>
    <w:rsid w:val="00DB0D72"/>
    <w:rsid w:val="00DB1559"/>
    <w:rsid w:val="00DB169E"/>
    <w:rsid w:val="00DB26EC"/>
    <w:rsid w:val="00DB2AC8"/>
    <w:rsid w:val="00DB4109"/>
    <w:rsid w:val="00DB4493"/>
    <w:rsid w:val="00DB4A13"/>
    <w:rsid w:val="00DB5677"/>
    <w:rsid w:val="00DB5CB1"/>
    <w:rsid w:val="00DB611F"/>
    <w:rsid w:val="00DB61CD"/>
    <w:rsid w:val="00DB6601"/>
    <w:rsid w:val="00DB6731"/>
    <w:rsid w:val="00DB6C07"/>
    <w:rsid w:val="00DC037A"/>
    <w:rsid w:val="00DC0BEF"/>
    <w:rsid w:val="00DC1381"/>
    <w:rsid w:val="00DC152A"/>
    <w:rsid w:val="00DC22AF"/>
    <w:rsid w:val="00DC2688"/>
    <w:rsid w:val="00DC2A96"/>
    <w:rsid w:val="00DC2C35"/>
    <w:rsid w:val="00DC3486"/>
    <w:rsid w:val="00DC4A8E"/>
    <w:rsid w:val="00DC4AE9"/>
    <w:rsid w:val="00DC54B9"/>
    <w:rsid w:val="00DC57D8"/>
    <w:rsid w:val="00DC57EA"/>
    <w:rsid w:val="00DC6068"/>
    <w:rsid w:val="00DC729B"/>
    <w:rsid w:val="00DC7595"/>
    <w:rsid w:val="00DD023E"/>
    <w:rsid w:val="00DD0446"/>
    <w:rsid w:val="00DD06B2"/>
    <w:rsid w:val="00DD0747"/>
    <w:rsid w:val="00DD0B9C"/>
    <w:rsid w:val="00DD1B0B"/>
    <w:rsid w:val="00DD1BEF"/>
    <w:rsid w:val="00DD1F4D"/>
    <w:rsid w:val="00DD2A28"/>
    <w:rsid w:val="00DD2A39"/>
    <w:rsid w:val="00DD3137"/>
    <w:rsid w:val="00DD350F"/>
    <w:rsid w:val="00DD40EE"/>
    <w:rsid w:val="00DD574D"/>
    <w:rsid w:val="00DD5B7D"/>
    <w:rsid w:val="00DD645A"/>
    <w:rsid w:val="00DD673A"/>
    <w:rsid w:val="00DD6AA3"/>
    <w:rsid w:val="00DD6C5A"/>
    <w:rsid w:val="00DD6F67"/>
    <w:rsid w:val="00DD76CF"/>
    <w:rsid w:val="00DD7D3F"/>
    <w:rsid w:val="00DE0AF8"/>
    <w:rsid w:val="00DE1705"/>
    <w:rsid w:val="00DE1D2B"/>
    <w:rsid w:val="00DE239D"/>
    <w:rsid w:val="00DE2B2A"/>
    <w:rsid w:val="00DE3EB5"/>
    <w:rsid w:val="00DE4B4A"/>
    <w:rsid w:val="00DE5042"/>
    <w:rsid w:val="00DE5916"/>
    <w:rsid w:val="00DE6A2C"/>
    <w:rsid w:val="00DF04CD"/>
    <w:rsid w:val="00DF0D43"/>
    <w:rsid w:val="00DF1AC4"/>
    <w:rsid w:val="00DF2121"/>
    <w:rsid w:val="00DF5D9D"/>
    <w:rsid w:val="00DF5E0D"/>
    <w:rsid w:val="00DF601A"/>
    <w:rsid w:val="00DF68AC"/>
    <w:rsid w:val="00DF6F1D"/>
    <w:rsid w:val="00DF7061"/>
    <w:rsid w:val="00DF7186"/>
    <w:rsid w:val="00DF735F"/>
    <w:rsid w:val="00DF79A4"/>
    <w:rsid w:val="00DF7EE7"/>
    <w:rsid w:val="00E00AF7"/>
    <w:rsid w:val="00E00C5B"/>
    <w:rsid w:val="00E0173F"/>
    <w:rsid w:val="00E01F13"/>
    <w:rsid w:val="00E01FA6"/>
    <w:rsid w:val="00E025CD"/>
    <w:rsid w:val="00E0282B"/>
    <w:rsid w:val="00E02AFB"/>
    <w:rsid w:val="00E02BD8"/>
    <w:rsid w:val="00E05204"/>
    <w:rsid w:val="00E05E47"/>
    <w:rsid w:val="00E06AD1"/>
    <w:rsid w:val="00E06EC1"/>
    <w:rsid w:val="00E07128"/>
    <w:rsid w:val="00E073B2"/>
    <w:rsid w:val="00E10946"/>
    <w:rsid w:val="00E10C92"/>
    <w:rsid w:val="00E10CC5"/>
    <w:rsid w:val="00E10D43"/>
    <w:rsid w:val="00E10F1C"/>
    <w:rsid w:val="00E12B6F"/>
    <w:rsid w:val="00E12C13"/>
    <w:rsid w:val="00E1444D"/>
    <w:rsid w:val="00E1469E"/>
    <w:rsid w:val="00E14882"/>
    <w:rsid w:val="00E14FAF"/>
    <w:rsid w:val="00E15299"/>
    <w:rsid w:val="00E1553E"/>
    <w:rsid w:val="00E15883"/>
    <w:rsid w:val="00E1593A"/>
    <w:rsid w:val="00E1646A"/>
    <w:rsid w:val="00E16F5F"/>
    <w:rsid w:val="00E1711F"/>
    <w:rsid w:val="00E177F2"/>
    <w:rsid w:val="00E201A6"/>
    <w:rsid w:val="00E20897"/>
    <w:rsid w:val="00E2117C"/>
    <w:rsid w:val="00E21A40"/>
    <w:rsid w:val="00E21FD5"/>
    <w:rsid w:val="00E22321"/>
    <w:rsid w:val="00E2319F"/>
    <w:rsid w:val="00E236EB"/>
    <w:rsid w:val="00E24270"/>
    <w:rsid w:val="00E24689"/>
    <w:rsid w:val="00E2490B"/>
    <w:rsid w:val="00E24A36"/>
    <w:rsid w:val="00E25177"/>
    <w:rsid w:val="00E25454"/>
    <w:rsid w:val="00E25B1D"/>
    <w:rsid w:val="00E273F4"/>
    <w:rsid w:val="00E27885"/>
    <w:rsid w:val="00E27B5D"/>
    <w:rsid w:val="00E27C35"/>
    <w:rsid w:val="00E308C2"/>
    <w:rsid w:val="00E30A26"/>
    <w:rsid w:val="00E31A93"/>
    <w:rsid w:val="00E31AE6"/>
    <w:rsid w:val="00E31DD5"/>
    <w:rsid w:val="00E32071"/>
    <w:rsid w:val="00E32178"/>
    <w:rsid w:val="00E3292C"/>
    <w:rsid w:val="00E32DEB"/>
    <w:rsid w:val="00E3312B"/>
    <w:rsid w:val="00E332B0"/>
    <w:rsid w:val="00E33361"/>
    <w:rsid w:val="00E3383C"/>
    <w:rsid w:val="00E34DEB"/>
    <w:rsid w:val="00E35164"/>
    <w:rsid w:val="00E36BCB"/>
    <w:rsid w:val="00E37DAE"/>
    <w:rsid w:val="00E40230"/>
    <w:rsid w:val="00E404CC"/>
    <w:rsid w:val="00E4149F"/>
    <w:rsid w:val="00E4233E"/>
    <w:rsid w:val="00E42C1F"/>
    <w:rsid w:val="00E42D5A"/>
    <w:rsid w:val="00E4340D"/>
    <w:rsid w:val="00E435A0"/>
    <w:rsid w:val="00E43708"/>
    <w:rsid w:val="00E43AFC"/>
    <w:rsid w:val="00E43B95"/>
    <w:rsid w:val="00E445CB"/>
    <w:rsid w:val="00E45212"/>
    <w:rsid w:val="00E45313"/>
    <w:rsid w:val="00E45489"/>
    <w:rsid w:val="00E454B0"/>
    <w:rsid w:val="00E454EA"/>
    <w:rsid w:val="00E45572"/>
    <w:rsid w:val="00E45EF1"/>
    <w:rsid w:val="00E4627B"/>
    <w:rsid w:val="00E467DE"/>
    <w:rsid w:val="00E46852"/>
    <w:rsid w:val="00E46D45"/>
    <w:rsid w:val="00E47235"/>
    <w:rsid w:val="00E47499"/>
    <w:rsid w:val="00E47DE4"/>
    <w:rsid w:val="00E50049"/>
    <w:rsid w:val="00E50157"/>
    <w:rsid w:val="00E501F6"/>
    <w:rsid w:val="00E51156"/>
    <w:rsid w:val="00E513C2"/>
    <w:rsid w:val="00E5144B"/>
    <w:rsid w:val="00E5219B"/>
    <w:rsid w:val="00E523AD"/>
    <w:rsid w:val="00E534B0"/>
    <w:rsid w:val="00E535A0"/>
    <w:rsid w:val="00E53DF2"/>
    <w:rsid w:val="00E54A5C"/>
    <w:rsid w:val="00E54B0B"/>
    <w:rsid w:val="00E54BE1"/>
    <w:rsid w:val="00E555C5"/>
    <w:rsid w:val="00E55F87"/>
    <w:rsid w:val="00E563D9"/>
    <w:rsid w:val="00E56801"/>
    <w:rsid w:val="00E577E9"/>
    <w:rsid w:val="00E57C86"/>
    <w:rsid w:val="00E6054C"/>
    <w:rsid w:val="00E60C8C"/>
    <w:rsid w:val="00E60C8E"/>
    <w:rsid w:val="00E61B22"/>
    <w:rsid w:val="00E61C3A"/>
    <w:rsid w:val="00E6230C"/>
    <w:rsid w:val="00E62492"/>
    <w:rsid w:val="00E629A5"/>
    <w:rsid w:val="00E62CFD"/>
    <w:rsid w:val="00E64403"/>
    <w:rsid w:val="00E6444E"/>
    <w:rsid w:val="00E64AF5"/>
    <w:rsid w:val="00E701E5"/>
    <w:rsid w:val="00E70882"/>
    <w:rsid w:val="00E708F9"/>
    <w:rsid w:val="00E7091B"/>
    <w:rsid w:val="00E7092F"/>
    <w:rsid w:val="00E70FAE"/>
    <w:rsid w:val="00E71A17"/>
    <w:rsid w:val="00E728ED"/>
    <w:rsid w:val="00E72E11"/>
    <w:rsid w:val="00E72EEC"/>
    <w:rsid w:val="00E72F7C"/>
    <w:rsid w:val="00E7372F"/>
    <w:rsid w:val="00E738D1"/>
    <w:rsid w:val="00E74DC4"/>
    <w:rsid w:val="00E75106"/>
    <w:rsid w:val="00E755C3"/>
    <w:rsid w:val="00E75BF2"/>
    <w:rsid w:val="00E75DF5"/>
    <w:rsid w:val="00E76D77"/>
    <w:rsid w:val="00E76E03"/>
    <w:rsid w:val="00E76E71"/>
    <w:rsid w:val="00E76FCC"/>
    <w:rsid w:val="00E77DEC"/>
    <w:rsid w:val="00E8095F"/>
    <w:rsid w:val="00E81A77"/>
    <w:rsid w:val="00E82275"/>
    <w:rsid w:val="00E8245F"/>
    <w:rsid w:val="00E825F3"/>
    <w:rsid w:val="00E82E60"/>
    <w:rsid w:val="00E84C78"/>
    <w:rsid w:val="00E85130"/>
    <w:rsid w:val="00E87309"/>
    <w:rsid w:val="00E87612"/>
    <w:rsid w:val="00E9010B"/>
    <w:rsid w:val="00E903FA"/>
    <w:rsid w:val="00E91168"/>
    <w:rsid w:val="00E9143E"/>
    <w:rsid w:val="00E9291D"/>
    <w:rsid w:val="00E930F5"/>
    <w:rsid w:val="00E9310F"/>
    <w:rsid w:val="00E9326C"/>
    <w:rsid w:val="00E93CCE"/>
    <w:rsid w:val="00E94278"/>
    <w:rsid w:val="00E96B59"/>
    <w:rsid w:val="00E973E3"/>
    <w:rsid w:val="00EA0A29"/>
    <w:rsid w:val="00EA0FB7"/>
    <w:rsid w:val="00EA158C"/>
    <w:rsid w:val="00EA215A"/>
    <w:rsid w:val="00EA2C44"/>
    <w:rsid w:val="00EA4F52"/>
    <w:rsid w:val="00EA4FB0"/>
    <w:rsid w:val="00EA5186"/>
    <w:rsid w:val="00EA5486"/>
    <w:rsid w:val="00EA5612"/>
    <w:rsid w:val="00EA581E"/>
    <w:rsid w:val="00EA58B9"/>
    <w:rsid w:val="00EA5B7A"/>
    <w:rsid w:val="00EA61A1"/>
    <w:rsid w:val="00EA61C1"/>
    <w:rsid w:val="00EA62A8"/>
    <w:rsid w:val="00EA742A"/>
    <w:rsid w:val="00EA749B"/>
    <w:rsid w:val="00EA79B6"/>
    <w:rsid w:val="00EA7AE3"/>
    <w:rsid w:val="00EB044A"/>
    <w:rsid w:val="00EB09D0"/>
    <w:rsid w:val="00EB0FE3"/>
    <w:rsid w:val="00EB152F"/>
    <w:rsid w:val="00EB19AF"/>
    <w:rsid w:val="00EB1FD0"/>
    <w:rsid w:val="00EB2851"/>
    <w:rsid w:val="00EB29A4"/>
    <w:rsid w:val="00EB3E96"/>
    <w:rsid w:val="00EB4110"/>
    <w:rsid w:val="00EB5B85"/>
    <w:rsid w:val="00EB606C"/>
    <w:rsid w:val="00EB60E9"/>
    <w:rsid w:val="00EB7CF9"/>
    <w:rsid w:val="00EC0D2B"/>
    <w:rsid w:val="00EC0FC1"/>
    <w:rsid w:val="00EC18B3"/>
    <w:rsid w:val="00EC1D93"/>
    <w:rsid w:val="00EC2216"/>
    <w:rsid w:val="00EC249F"/>
    <w:rsid w:val="00EC2676"/>
    <w:rsid w:val="00EC2F75"/>
    <w:rsid w:val="00EC309A"/>
    <w:rsid w:val="00EC3849"/>
    <w:rsid w:val="00EC44B5"/>
    <w:rsid w:val="00EC4A35"/>
    <w:rsid w:val="00EC53D3"/>
    <w:rsid w:val="00EC5A0D"/>
    <w:rsid w:val="00EC6213"/>
    <w:rsid w:val="00EC6288"/>
    <w:rsid w:val="00EC697A"/>
    <w:rsid w:val="00EC69F8"/>
    <w:rsid w:val="00EC70CF"/>
    <w:rsid w:val="00EC740B"/>
    <w:rsid w:val="00EC7949"/>
    <w:rsid w:val="00EC7CA4"/>
    <w:rsid w:val="00ED0E96"/>
    <w:rsid w:val="00ED163B"/>
    <w:rsid w:val="00ED18A3"/>
    <w:rsid w:val="00ED221A"/>
    <w:rsid w:val="00ED25D1"/>
    <w:rsid w:val="00ED2986"/>
    <w:rsid w:val="00ED335C"/>
    <w:rsid w:val="00ED41A0"/>
    <w:rsid w:val="00ED4373"/>
    <w:rsid w:val="00ED43F5"/>
    <w:rsid w:val="00ED4B2C"/>
    <w:rsid w:val="00ED4CE9"/>
    <w:rsid w:val="00ED60C1"/>
    <w:rsid w:val="00ED6846"/>
    <w:rsid w:val="00ED72C3"/>
    <w:rsid w:val="00ED7FD2"/>
    <w:rsid w:val="00EE0821"/>
    <w:rsid w:val="00EE0BBC"/>
    <w:rsid w:val="00EE0F91"/>
    <w:rsid w:val="00EE1542"/>
    <w:rsid w:val="00EE1FC2"/>
    <w:rsid w:val="00EE21D7"/>
    <w:rsid w:val="00EE28B5"/>
    <w:rsid w:val="00EE3297"/>
    <w:rsid w:val="00EE3C3F"/>
    <w:rsid w:val="00EE43A5"/>
    <w:rsid w:val="00EE4566"/>
    <w:rsid w:val="00EE4FC0"/>
    <w:rsid w:val="00EE504C"/>
    <w:rsid w:val="00EE50F0"/>
    <w:rsid w:val="00EE67FF"/>
    <w:rsid w:val="00EE7F0E"/>
    <w:rsid w:val="00EF0969"/>
    <w:rsid w:val="00EF1006"/>
    <w:rsid w:val="00EF2715"/>
    <w:rsid w:val="00EF3ABF"/>
    <w:rsid w:val="00EF4186"/>
    <w:rsid w:val="00EF4A29"/>
    <w:rsid w:val="00EF4DB9"/>
    <w:rsid w:val="00EF5280"/>
    <w:rsid w:val="00EF5393"/>
    <w:rsid w:val="00EF5B33"/>
    <w:rsid w:val="00EF5C3B"/>
    <w:rsid w:val="00EF6210"/>
    <w:rsid w:val="00EF6EB9"/>
    <w:rsid w:val="00EF72EC"/>
    <w:rsid w:val="00EF7303"/>
    <w:rsid w:val="00EF73D7"/>
    <w:rsid w:val="00EF7EE7"/>
    <w:rsid w:val="00F0031F"/>
    <w:rsid w:val="00F02219"/>
    <w:rsid w:val="00F02943"/>
    <w:rsid w:val="00F02A13"/>
    <w:rsid w:val="00F02D07"/>
    <w:rsid w:val="00F03001"/>
    <w:rsid w:val="00F0341A"/>
    <w:rsid w:val="00F03B76"/>
    <w:rsid w:val="00F042F3"/>
    <w:rsid w:val="00F0446E"/>
    <w:rsid w:val="00F04D94"/>
    <w:rsid w:val="00F04E7E"/>
    <w:rsid w:val="00F079C8"/>
    <w:rsid w:val="00F1077D"/>
    <w:rsid w:val="00F108DF"/>
    <w:rsid w:val="00F11092"/>
    <w:rsid w:val="00F11B54"/>
    <w:rsid w:val="00F11E7E"/>
    <w:rsid w:val="00F1275B"/>
    <w:rsid w:val="00F12871"/>
    <w:rsid w:val="00F12C6E"/>
    <w:rsid w:val="00F13291"/>
    <w:rsid w:val="00F13454"/>
    <w:rsid w:val="00F13AA9"/>
    <w:rsid w:val="00F13BBE"/>
    <w:rsid w:val="00F13E3D"/>
    <w:rsid w:val="00F15CFE"/>
    <w:rsid w:val="00F16AE4"/>
    <w:rsid w:val="00F17F02"/>
    <w:rsid w:val="00F203BB"/>
    <w:rsid w:val="00F2118B"/>
    <w:rsid w:val="00F21209"/>
    <w:rsid w:val="00F22318"/>
    <w:rsid w:val="00F23C70"/>
    <w:rsid w:val="00F241F9"/>
    <w:rsid w:val="00F245F2"/>
    <w:rsid w:val="00F25CAB"/>
    <w:rsid w:val="00F26175"/>
    <w:rsid w:val="00F26904"/>
    <w:rsid w:val="00F26932"/>
    <w:rsid w:val="00F27E6C"/>
    <w:rsid w:val="00F30B10"/>
    <w:rsid w:val="00F3143E"/>
    <w:rsid w:val="00F316F5"/>
    <w:rsid w:val="00F3226E"/>
    <w:rsid w:val="00F32A7B"/>
    <w:rsid w:val="00F33074"/>
    <w:rsid w:val="00F33975"/>
    <w:rsid w:val="00F33E4A"/>
    <w:rsid w:val="00F34091"/>
    <w:rsid w:val="00F34101"/>
    <w:rsid w:val="00F34CA7"/>
    <w:rsid w:val="00F351F6"/>
    <w:rsid w:val="00F358FC"/>
    <w:rsid w:val="00F35CD6"/>
    <w:rsid w:val="00F36170"/>
    <w:rsid w:val="00F36761"/>
    <w:rsid w:val="00F36BFE"/>
    <w:rsid w:val="00F37226"/>
    <w:rsid w:val="00F37CFA"/>
    <w:rsid w:val="00F37EAA"/>
    <w:rsid w:val="00F406C5"/>
    <w:rsid w:val="00F40BF7"/>
    <w:rsid w:val="00F40D29"/>
    <w:rsid w:val="00F4114B"/>
    <w:rsid w:val="00F41CAA"/>
    <w:rsid w:val="00F420DA"/>
    <w:rsid w:val="00F42AAE"/>
    <w:rsid w:val="00F42F41"/>
    <w:rsid w:val="00F43535"/>
    <w:rsid w:val="00F43DF9"/>
    <w:rsid w:val="00F4491E"/>
    <w:rsid w:val="00F45237"/>
    <w:rsid w:val="00F45933"/>
    <w:rsid w:val="00F461E5"/>
    <w:rsid w:val="00F462CC"/>
    <w:rsid w:val="00F475ED"/>
    <w:rsid w:val="00F47D9F"/>
    <w:rsid w:val="00F503A3"/>
    <w:rsid w:val="00F51868"/>
    <w:rsid w:val="00F51897"/>
    <w:rsid w:val="00F51961"/>
    <w:rsid w:val="00F51C47"/>
    <w:rsid w:val="00F51FDB"/>
    <w:rsid w:val="00F524FF"/>
    <w:rsid w:val="00F5259C"/>
    <w:rsid w:val="00F52B49"/>
    <w:rsid w:val="00F5327E"/>
    <w:rsid w:val="00F5374E"/>
    <w:rsid w:val="00F537C1"/>
    <w:rsid w:val="00F54779"/>
    <w:rsid w:val="00F54902"/>
    <w:rsid w:val="00F54A67"/>
    <w:rsid w:val="00F55AE8"/>
    <w:rsid w:val="00F55E17"/>
    <w:rsid w:val="00F561EF"/>
    <w:rsid w:val="00F5664C"/>
    <w:rsid w:val="00F5687E"/>
    <w:rsid w:val="00F56A24"/>
    <w:rsid w:val="00F578B0"/>
    <w:rsid w:val="00F57D8C"/>
    <w:rsid w:val="00F57E0F"/>
    <w:rsid w:val="00F57F1B"/>
    <w:rsid w:val="00F60894"/>
    <w:rsid w:val="00F608BE"/>
    <w:rsid w:val="00F60B0F"/>
    <w:rsid w:val="00F60EE5"/>
    <w:rsid w:val="00F6181C"/>
    <w:rsid w:val="00F61DC5"/>
    <w:rsid w:val="00F62066"/>
    <w:rsid w:val="00F62AFB"/>
    <w:rsid w:val="00F62BA9"/>
    <w:rsid w:val="00F62EE8"/>
    <w:rsid w:val="00F6362F"/>
    <w:rsid w:val="00F63CA7"/>
    <w:rsid w:val="00F63D4A"/>
    <w:rsid w:val="00F646E8"/>
    <w:rsid w:val="00F64C47"/>
    <w:rsid w:val="00F64EFD"/>
    <w:rsid w:val="00F655E0"/>
    <w:rsid w:val="00F660CB"/>
    <w:rsid w:val="00F66265"/>
    <w:rsid w:val="00F6651F"/>
    <w:rsid w:val="00F66D4E"/>
    <w:rsid w:val="00F67D89"/>
    <w:rsid w:val="00F67E1B"/>
    <w:rsid w:val="00F67F49"/>
    <w:rsid w:val="00F67FB6"/>
    <w:rsid w:val="00F70545"/>
    <w:rsid w:val="00F70703"/>
    <w:rsid w:val="00F70A70"/>
    <w:rsid w:val="00F70DDB"/>
    <w:rsid w:val="00F71332"/>
    <w:rsid w:val="00F716BB"/>
    <w:rsid w:val="00F71E9E"/>
    <w:rsid w:val="00F71F58"/>
    <w:rsid w:val="00F725DE"/>
    <w:rsid w:val="00F72D76"/>
    <w:rsid w:val="00F7316B"/>
    <w:rsid w:val="00F73B4E"/>
    <w:rsid w:val="00F74F8D"/>
    <w:rsid w:val="00F75009"/>
    <w:rsid w:val="00F760AC"/>
    <w:rsid w:val="00F76A12"/>
    <w:rsid w:val="00F76F4D"/>
    <w:rsid w:val="00F770BF"/>
    <w:rsid w:val="00F77E35"/>
    <w:rsid w:val="00F805B4"/>
    <w:rsid w:val="00F824A1"/>
    <w:rsid w:val="00F82527"/>
    <w:rsid w:val="00F825D4"/>
    <w:rsid w:val="00F8340B"/>
    <w:rsid w:val="00F83A3C"/>
    <w:rsid w:val="00F842B8"/>
    <w:rsid w:val="00F8438F"/>
    <w:rsid w:val="00F84B3C"/>
    <w:rsid w:val="00F85636"/>
    <w:rsid w:val="00F85D22"/>
    <w:rsid w:val="00F85DF2"/>
    <w:rsid w:val="00F85E94"/>
    <w:rsid w:val="00F86AA6"/>
    <w:rsid w:val="00F870EE"/>
    <w:rsid w:val="00F878CF"/>
    <w:rsid w:val="00F87CC6"/>
    <w:rsid w:val="00F90A18"/>
    <w:rsid w:val="00F90C0C"/>
    <w:rsid w:val="00F91F43"/>
    <w:rsid w:val="00F92747"/>
    <w:rsid w:val="00F92A5C"/>
    <w:rsid w:val="00F92C00"/>
    <w:rsid w:val="00F92DA9"/>
    <w:rsid w:val="00F93107"/>
    <w:rsid w:val="00F9482F"/>
    <w:rsid w:val="00F94EE7"/>
    <w:rsid w:val="00F9662B"/>
    <w:rsid w:val="00F971E7"/>
    <w:rsid w:val="00F97491"/>
    <w:rsid w:val="00F976E1"/>
    <w:rsid w:val="00F979EC"/>
    <w:rsid w:val="00FA05ED"/>
    <w:rsid w:val="00FA122A"/>
    <w:rsid w:val="00FA19E9"/>
    <w:rsid w:val="00FA1A50"/>
    <w:rsid w:val="00FA1DB0"/>
    <w:rsid w:val="00FA2D75"/>
    <w:rsid w:val="00FA2EB5"/>
    <w:rsid w:val="00FA54AE"/>
    <w:rsid w:val="00FA63D0"/>
    <w:rsid w:val="00FA70DB"/>
    <w:rsid w:val="00FB007B"/>
    <w:rsid w:val="00FB0298"/>
    <w:rsid w:val="00FB03CD"/>
    <w:rsid w:val="00FB096F"/>
    <w:rsid w:val="00FB0F92"/>
    <w:rsid w:val="00FB2352"/>
    <w:rsid w:val="00FB2439"/>
    <w:rsid w:val="00FB3402"/>
    <w:rsid w:val="00FB35BF"/>
    <w:rsid w:val="00FB3ECC"/>
    <w:rsid w:val="00FB4C04"/>
    <w:rsid w:val="00FB519D"/>
    <w:rsid w:val="00FB5271"/>
    <w:rsid w:val="00FB5B6D"/>
    <w:rsid w:val="00FB5C16"/>
    <w:rsid w:val="00FB5D51"/>
    <w:rsid w:val="00FB650E"/>
    <w:rsid w:val="00FB6CF6"/>
    <w:rsid w:val="00FB71D5"/>
    <w:rsid w:val="00FC1AAF"/>
    <w:rsid w:val="00FC25B7"/>
    <w:rsid w:val="00FC2A5D"/>
    <w:rsid w:val="00FC47EF"/>
    <w:rsid w:val="00FC498C"/>
    <w:rsid w:val="00FC4C17"/>
    <w:rsid w:val="00FC562F"/>
    <w:rsid w:val="00FC6E5F"/>
    <w:rsid w:val="00FC6E71"/>
    <w:rsid w:val="00FC72E4"/>
    <w:rsid w:val="00FC7DA0"/>
    <w:rsid w:val="00FD09C7"/>
    <w:rsid w:val="00FD1806"/>
    <w:rsid w:val="00FD1990"/>
    <w:rsid w:val="00FD2188"/>
    <w:rsid w:val="00FD29EF"/>
    <w:rsid w:val="00FD2E87"/>
    <w:rsid w:val="00FD2F39"/>
    <w:rsid w:val="00FD31FF"/>
    <w:rsid w:val="00FD32E4"/>
    <w:rsid w:val="00FD468A"/>
    <w:rsid w:val="00FD4C56"/>
    <w:rsid w:val="00FD4D57"/>
    <w:rsid w:val="00FD5CC3"/>
    <w:rsid w:val="00FD5F72"/>
    <w:rsid w:val="00FD61FF"/>
    <w:rsid w:val="00FD63D3"/>
    <w:rsid w:val="00FD6985"/>
    <w:rsid w:val="00FD6B28"/>
    <w:rsid w:val="00FD74E1"/>
    <w:rsid w:val="00FD7747"/>
    <w:rsid w:val="00FD7E15"/>
    <w:rsid w:val="00FE07DF"/>
    <w:rsid w:val="00FE1570"/>
    <w:rsid w:val="00FE168B"/>
    <w:rsid w:val="00FE1694"/>
    <w:rsid w:val="00FE17D6"/>
    <w:rsid w:val="00FE231E"/>
    <w:rsid w:val="00FE2731"/>
    <w:rsid w:val="00FE3415"/>
    <w:rsid w:val="00FE434F"/>
    <w:rsid w:val="00FE489A"/>
    <w:rsid w:val="00FE5081"/>
    <w:rsid w:val="00FE5179"/>
    <w:rsid w:val="00FE59FF"/>
    <w:rsid w:val="00FE691E"/>
    <w:rsid w:val="00FE6F26"/>
    <w:rsid w:val="00FE75E9"/>
    <w:rsid w:val="00FE7CAE"/>
    <w:rsid w:val="00FF0180"/>
    <w:rsid w:val="00FF1ADB"/>
    <w:rsid w:val="00FF1D46"/>
    <w:rsid w:val="00FF1DE0"/>
    <w:rsid w:val="00FF2645"/>
    <w:rsid w:val="00FF269B"/>
    <w:rsid w:val="00FF2DA4"/>
    <w:rsid w:val="00FF3133"/>
    <w:rsid w:val="00FF39C7"/>
    <w:rsid w:val="00FF3EE8"/>
    <w:rsid w:val="00FF4007"/>
    <w:rsid w:val="00FF57DC"/>
    <w:rsid w:val="00FF6190"/>
    <w:rsid w:val="00FF6F58"/>
    <w:rsid w:val="00FF76CD"/>
    <w:rsid w:val="00FF7844"/>
    <w:rsid w:val="00FF78CA"/>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5:docId w15:val="{C5B760FB-901E-4100-813C-CF7BA6839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1"/>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7"/>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A19E9"/>
    <w:pPr>
      <w:spacing w:after="200" w:line="276" w:lineRule="auto"/>
    </w:pPr>
    <w:rPr>
      <w:rFonts w:ascii="Arial" w:hAnsi="Arial"/>
      <w:sz w:val="22"/>
      <w:szCs w:val="22"/>
      <w:lang w:val="es-ES" w:eastAsia="en-US"/>
    </w:rPr>
  </w:style>
  <w:style w:type="paragraph" w:styleId="Ttulo1">
    <w:name w:val="heading 1"/>
    <w:basedOn w:val="Normal"/>
    <w:next w:val="Normal"/>
    <w:link w:val="Ttulo1Car"/>
    <w:qFormat/>
    <w:rsid w:val="00EB0FE3"/>
    <w:pPr>
      <w:keepNext/>
      <w:numPr>
        <w:numId w:val="15"/>
      </w:numPr>
      <w:spacing w:after="0" w:line="240" w:lineRule="auto"/>
      <w:outlineLvl w:val="0"/>
    </w:pPr>
    <w:rPr>
      <w:rFonts w:eastAsia="Times New Roman"/>
      <w:b/>
      <w:bCs/>
      <w:kern w:val="32"/>
      <w:szCs w:val="32"/>
    </w:rPr>
  </w:style>
  <w:style w:type="paragraph" w:styleId="Ttulo2">
    <w:name w:val="heading 2"/>
    <w:basedOn w:val="Normal"/>
    <w:next w:val="Normal"/>
    <w:link w:val="Ttulo2Car"/>
    <w:unhideWhenUsed/>
    <w:qFormat/>
    <w:rsid w:val="003F4933"/>
    <w:pPr>
      <w:keepNext/>
      <w:keepLines/>
      <w:numPr>
        <w:ilvl w:val="1"/>
        <w:numId w:val="15"/>
      </w:numPr>
      <w:spacing w:before="40" w:after="0"/>
      <w:outlineLvl w:val="1"/>
    </w:pPr>
    <w:rPr>
      <w:rFonts w:eastAsiaTheme="majorEastAsia" w:cstheme="majorBidi"/>
      <w:szCs w:val="26"/>
    </w:rPr>
  </w:style>
  <w:style w:type="paragraph" w:styleId="Ttulo3">
    <w:name w:val="heading 3"/>
    <w:basedOn w:val="Normal"/>
    <w:next w:val="Normal"/>
    <w:link w:val="Ttulo3Car"/>
    <w:uiPriority w:val="9"/>
    <w:qFormat/>
    <w:rsid w:val="00EB0FE3"/>
    <w:pPr>
      <w:keepNext/>
      <w:numPr>
        <w:ilvl w:val="2"/>
        <w:numId w:val="15"/>
      </w:numPr>
      <w:tabs>
        <w:tab w:val="left" w:pos="4395"/>
      </w:tabs>
      <w:spacing w:after="0" w:line="240" w:lineRule="auto"/>
      <w:outlineLvl w:val="2"/>
    </w:pPr>
    <w:rPr>
      <w:rFonts w:eastAsia="Times New Roman"/>
      <w:b/>
      <w:szCs w:val="20"/>
      <w:lang w:eastAsia="es-ES"/>
    </w:rPr>
  </w:style>
  <w:style w:type="paragraph" w:styleId="Ttulo4">
    <w:name w:val="heading 4"/>
    <w:basedOn w:val="Normal"/>
    <w:next w:val="Normal"/>
    <w:link w:val="Ttulo4Car"/>
    <w:uiPriority w:val="9"/>
    <w:qFormat/>
    <w:rsid w:val="00A66AE3"/>
    <w:pPr>
      <w:keepNext/>
      <w:numPr>
        <w:ilvl w:val="3"/>
        <w:numId w:val="15"/>
      </w:numPr>
      <w:spacing w:after="0" w:line="240" w:lineRule="auto"/>
      <w:jc w:val="both"/>
      <w:outlineLvl w:val="3"/>
    </w:pPr>
    <w:rPr>
      <w:rFonts w:ascii="Verdana" w:eastAsia="Times New Roman" w:hAnsi="Verdana"/>
      <w:b/>
      <w:bCs/>
      <w:i/>
      <w:sz w:val="20"/>
      <w:szCs w:val="28"/>
      <w:lang w:eastAsia="es-ES"/>
    </w:rPr>
  </w:style>
  <w:style w:type="paragraph" w:styleId="Ttulo5">
    <w:name w:val="heading 5"/>
    <w:basedOn w:val="Normal"/>
    <w:next w:val="Normal"/>
    <w:link w:val="Ttulo5Car"/>
    <w:uiPriority w:val="9"/>
    <w:unhideWhenUsed/>
    <w:qFormat/>
    <w:rsid w:val="00DA66A4"/>
    <w:pPr>
      <w:keepNext/>
      <w:keepLines/>
      <w:numPr>
        <w:ilvl w:val="4"/>
        <w:numId w:val="15"/>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qFormat/>
    <w:rsid w:val="00A66AE3"/>
    <w:pPr>
      <w:numPr>
        <w:ilvl w:val="5"/>
        <w:numId w:val="15"/>
      </w:numPr>
      <w:spacing w:before="240" w:after="60" w:line="240" w:lineRule="auto"/>
      <w:jc w:val="both"/>
      <w:outlineLvl w:val="5"/>
    </w:pPr>
    <w:rPr>
      <w:rFonts w:ascii="Verdana" w:eastAsia="Times New Roman" w:hAnsi="Verdana"/>
      <w:b/>
      <w:bCs/>
      <w:i/>
      <w:sz w:val="20"/>
      <w:lang w:eastAsia="es-ES"/>
    </w:rPr>
  </w:style>
  <w:style w:type="paragraph" w:styleId="Ttulo7">
    <w:name w:val="heading 7"/>
    <w:basedOn w:val="Normal"/>
    <w:next w:val="Normal"/>
    <w:link w:val="Ttulo7Car"/>
    <w:uiPriority w:val="9"/>
    <w:qFormat/>
    <w:rsid w:val="00A66AE3"/>
    <w:pPr>
      <w:numPr>
        <w:ilvl w:val="6"/>
        <w:numId w:val="15"/>
      </w:numPr>
      <w:spacing w:before="240" w:after="60" w:line="240" w:lineRule="auto"/>
      <w:jc w:val="both"/>
      <w:outlineLvl w:val="6"/>
    </w:pPr>
    <w:rPr>
      <w:rFonts w:ascii="Verdana" w:eastAsia="Times New Roman" w:hAnsi="Verdana"/>
      <w:sz w:val="20"/>
      <w:szCs w:val="24"/>
      <w:lang w:eastAsia="es-ES"/>
    </w:rPr>
  </w:style>
  <w:style w:type="paragraph" w:styleId="Ttulo8">
    <w:name w:val="heading 8"/>
    <w:basedOn w:val="Normal"/>
    <w:next w:val="Normal"/>
    <w:link w:val="Ttulo8Car"/>
    <w:uiPriority w:val="9"/>
    <w:qFormat/>
    <w:rsid w:val="00A66AE3"/>
    <w:pPr>
      <w:numPr>
        <w:ilvl w:val="7"/>
        <w:numId w:val="15"/>
      </w:numPr>
      <w:spacing w:before="240" w:after="60" w:line="240" w:lineRule="auto"/>
      <w:jc w:val="both"/>
      <w:outlineLvl w:val="7"/>
    </w:pPr>
    <w:rPr>
      <w:rFonts w:ascii="Verdana" w:eastAsia="Times New Roman" w:hAnsi="Verdana"/>
      <w:i/>
      <w:iCs/>
      <w:sz w:val="20"/>
      <w:szCs w:val="24"/>
      <w:lang w:eastAsia="es-ES"/>
    </w:rPr>
  </w:style>
  <w:style w:type="paragraph" w:styleId="Ttulo9">
    <w:name w:val="heading 9"/>
    <w:basedOn w:val="Normal"/>
    <w:next w:val="Normal"/>
    <w:link w:val="Ttulo9Car"/>
    <w:qFormat/>
    <w:rsid w:val="00A66AE3"/>
    <w:pPr>
      <w:numPr>
        <w:ilvl w:val="8"/>
        <w:numId w:val="15"/>
      </w:numPr>
      <w:spacing w:before="240" w:after="60" w:line="240" w:lineRule="auto"/>
      <w:jc w:val="both"/>
      <w:outlineLvl w:val="8"/>
    </w:pPr>
    <w:rPr>
      <w:rFonts w:eastAsia="Times New Roman"/>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B0FE3"/>
    <w:rPr>
      <w:rFonts w:ascii="Arial" w:eastAsia="Times New Roman" w:hAnsi="Arial"/>
      <w:b/>
      <w:bCs/>
      <w:kern w:val="32"/>
      <w:sz w:val="22"/>
      <w:szCs w:val="32"/>
      <w:lang w:val="es-ES" w:eastAsia="en-US"/>
    </w:rPr>
  </w:style>
  <w:style w:type="character" w:customStyle="1" w:styleId="Ttulo2Car">
    <w:name w:val="Título 2 Car"/>
    <w:basedOn w:val="Fuentedeprrafopredeter"/>
    <w:link w:val="Ttulo2"/>
    <w:rsid w:val="003F4933"/>
    <w:rPr>
      <w:rFonts w:ascii="Arial" w:eastAsiaTheme="majorEastAsia" w:hAnsi="Arial" w:cstheme="majorBidi"/>
      <w:sz w:val="22"/>
      <w:szCs w:val="26"/>
      <w:lang w:val="es-ES" w:eastAsia="en-US"/>
    </w:rPr>
  </w:style>
  <w:style w:type="character" w:customStyle="1" w:styleId="Ttulo3Car">
    <w:name w:val="Título 3 Car"/>
    <w:basedOn w:val="Fuentedeprrafopredeter"/>
    <w:link w:val="Ttulo3"/>
    <w:uiPriority w:val="9"/>
    <w:rsid w:val="00EB0FE3"/>
    <w:rPr>
      <w:rFonts w:ascii="Arial" w:eastAsia="Times New Roman" w:hAnsi="Arial"/>
      <w:b/>
      <w:sz w:val="22"/>
      <w:lang w:val="es-ES" w:eastAsia="es-ES"/>
    </w:rPr>
  </w:style>
  <w:style w:type="character" w:customStyle="1" w:styleId="Ttulo5Car">
    <w:name w:val="Título 5 Car"/>
    <w:basedOn w:val="Fuentedeprrafopredeter"/>
    <w:link w:val="Ttulo5"/>
    <w:uiPriority w:val="9"/>
    <w:rsid w:val="00DA66A4"/>
    <w:rPr>
      <w:rFonts w:asciiTheme="majorHAnsi" w:eastAsiaTheme="majorEastAsia" w:hAnsiTheme="majorHAnsi" w:cstheme="majorBidi"/>
      <w:color w:val="365F91" w:themeColor="accent1" w:themeShade="BF"/>
      <w:sz w:val="22"/>
      <w:szCs w:val="22"/>
      <w:lang w:val="es-ES" w:eastAsia="en-US"/>
    </w:rPr>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aliases w:val="Rodapé1"/>
    <w:basedOn w:val="Normal"/>
    <w:link w:val="PiedepginaCar"/>
    <w:uiPriority w:val="99"/>
    <w:unhideWhenUsed/>
    <w:rsid w:val="009B2507"/>
    <w:pPr>
      <w:tabs>
        <w:tab w:val="center" w:pos="4252"/>
        <w:tab w:val="right" w:pos="8504"/>
      </w:tabs>
    </w:pPr>
  </w:style>
  <w:style w:type="character" w:customStyle="1" w:styleId="PiedepginaCar">
    <w:name w:val="Pie de página Car"/>
    <w:aliases w:val="Rodapé1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Sinespaciado">
    <w:name w:val="No Spacing"/>
    <w:basedOn w:val="Normal"/>
    <w:link w:val="SinespaciadoCar"/>
    <w:uiPriority w:val="1"/>
    <w:qFormat/>
    <w:rsid w:val="00485A77"/>
    <w:pPr>
      <w:spacing w:after="0" w:line="240" w:lineRule="auto"/>
    </w:pPr>
    <w:rPr>
      <w:lang w:eastAsia="es-ES"/>
    </w:rPr>
  </w:style>
  <w:style w:type="character" w:customStyle="1" w:styleId="SinespaciadoCar">
    <w:name w:val="Sin espaciado Car"/>
    <w:link w:val="Sinespaciado"/>
    <w:uiPriority w:val="1"/>
    <w:rsid w:val="0029145C"/>
    <w:rPr>
      <w:sz w:val="22"/>
      <w:szCs w:val="22"/>
      <w:lang w:val="es-ES" w:eastAsia="es-ES"/>
    </w:rPr>
  </w:style>
  <w:style w:type="paragraph" w:styleId="Textoindependiente">
    <w:name w:val="Body Text"/>
    <w:aliases w:val="body text,bt,body tesx,contents,Subsection Body Text,Texto independiente Car Car,Inicio,Texto independiente Car Car Car Car Car Car,Texto independiente Car Car Car Car,Texto independiente Car Car Car Car Car"/>
    <w:basedOn w:val="Normal"/>
    <w:link w:val="TextoindependienteCar"/>
    <w:rsid w:val="00A142A5"/>
    <w:pPr>
      <w:spacing w:after="0" w:line="240" w:lineRule="auto"/>
      <w:jc w:val="both"/>
    </w:pPr>
    <w:rPr>
      <w:rFonts w:ascii="Times New Roman" w:eastAsia="Times New Roman" w:hAnsi="Times New Roman"/>
      <w:sz w:val="24"/>
      <w:szCs w:val="24"/>
      <w:lang w:eastAsia="es-ES"/>
    </w:rPr>
  </w:style>
  <w:style w:type="character" w:customStyle="1" w:styleId="TextoindependienteCar">
    <w:name w:val="Texto independiente Car"/>
    <w:aliases w:val="body text Car,bt Car,body tesx Car,contents Car,Subsection Body Text Car,Texto independiente Car Car Car,Inicio Car,Texto independiente Car Car Car Car Car Car Car,Texto independiente Car Car Car Car Car1"/>
    <w:link w:val="Textoindependiente"/>
    <w:rsid w:val="00A142A5"/>
    <w:rPr>
      <w:rFonts w:ascii="Times New Roman" w:eastAsia="Times New Roman" w:hAnsi="Times New Roman"/>
      <w:sz w:val="24"/>
      <w:szCs w:val="24"/>
      <w:lang w:eastAsia="es-ES"/>
    </w:rPr>
  </w:style>
  <w:style w:type="paragraph" w:styleId="Prrafodelista">
    <w:name w:val="List Paragraph"/>
    <w:aliases w:val="Ha,titulo 3,List,Bullets,Fluvial1,Cuadrícula clara - Énfasis 31,Normal. Viñetas,HOJA,Bolita,Párrafo de lista4,BOLADEF,Párrafo de lista3,Párrafo de lista21,BOLA,Nivel 1 OS,Lista vistosa - Énfasis 11,List Paragraph,列出段落,Bullet List,number"/>
    <w:basedOn w:val="Normal"/>
    <w:link w:val="PrrafodelistaCar"/>
    <w:uiPriority w:val="34"/>
    <w:qFormat/>
    <w:rsid w:val="00D72AFE"/>
    <w:pPr>
      <w:ind w:left="708"/>
    </w:pPr>
  </w:style>
  <w:style w:type="character" w:customStyle="1" w:styleId="PrrafodelistaCar">
    <w:name w:val="Párrafo de lista Car"/>
    <w:aliases w:val="Ha Car,titulo 3 Car,List Car,Bullets Car,Fluvial1 Car,Cuadrícula clara - Énfasis 31 Car,Normal. Viñetas Car,HOJA Car,Bolita Car,Párrafo de lista4 Car,BOLADEF Car,Párrafo de lista3 Car,Párrafo de lista21 Car,BOLA Car,Nivel 1 OS Car"/>
    <w:link w:val="Prrafodelista"/>
    <w:uiPriority w:val="34"/>
    <w:qFormat/>
    <w:rsid w:val="00420700"/>
    <w:rPr>
      <w:sz w:val="22"/>
      <w:szCs w:val="22"/>
      <w:lang w:val="es-ES" w:eastAsia="en-US"/>
    </w:rPr>
  </w:style>
  <w:style w:type="paragraph" w:styleId="NormalWeb">
    <w:name w:val="Normal (Web)"/>
    <w:basedOn w:val="Normal"/>
    <w:uiPriority w:val="99"/>
    <w:unhideWhenUsed/>
    <w:rsid w:val="00307AC9"/>
    <w:pPr>
      <w:spacing w:before="100" w:beforeAutospacing="1" w:after="100" w:afterAutospacing="1" w:line="240" w:lineRule="auto"/>
    </w:pPr>
    <w:rPr>
      <w:rFonts w:ascii="Times New Roman" w:eastAsia="Times New Roman" w:hAnsi="Times New Roman"/>
      <w:sz w:val="24"/>
      <w:szCs w:val="24"/>
      <w:lang w:val="es-CO" w:eastAsia="es-CO"/>
    </w:rPr>
  </w:style>
  <w:style w:type="paragraph" w:styleId="Textoindependiente2">
    <w:name w:val="Body Text 2"/>
    <w:basedOn w:val="Normal"/>
    <w:link w:val="Textoindependiente2Car"/>
    <w:uiPriority w:val="99"/>
    <w:unhideWhenUsed/>
    <w:rsid w:val="00B77C02"/>
    <w:pPr>
      <w:spacing w:after="120" w:line="480" w:lineRule="auto"/>
    </w:pPr>
  </w:style>
  <w:style w:type="character" w:customStyle="1" w:styleId="Textoindependiente2Car">
    <w:name w:val="Texto independiente 2 Car"/>
    <w:link w:val="Textoindependiente2"/>
    <w:uiPriority w:val="99"/>
    <w:rsid w:val="00B77C02"/>
    <w:rPr>
      <w:sz w:val="22"/>
      <w:szCs w:val="22"/>
      <w:lang w:val="es-ES" w:eastAsia="en-US"/>
    </w:rPr>
  </w:style>
  <w:style w:type="paragraph" w:customStyle="1" w:styleId="Default">
    <w:name w:val="Default"/>
    <w:link w:val="DefaultCar"/>
    <w:rsid w:val="003114FF"/>
    <w:pPr>
      <w:autoSpaceDE w:val="0"/>
      <w:autoSpaceDN w:val="0"/>
      <w:adjustRightInd w:val="0"/>
    </w:pPr>
    <w:rPr>
      <w:rFonts w:ascii="Verdana" w:hAnsi="Verdana" w:cs="Verdana"/>
      <w:color w:val="000000"/>
      <w:sz w:val="24"/>
      <w:szCs w:val="24"/>
    </w:rPr>
  </w:style>
  <w:style w:type="character" w:customStyle="1" w:styleId="DefaultCar">
    <w:name w:val="Default Car"/>
    <w:link w:val="Default"/>
    <w:rsid w:val="000D6ACA"/>
    <w:rPr>
      <w:rFonts w:ascii="Verdana" w:hAnsi="Verdana" w:cs="Verdana"/>
      <w:color w:val="000000"/>
      <w:sz w:val="24"/>
      <w:szCs w:val="24"/>
    </w:rPr>
  </w:style>
  <w:style w:type="paragraph" w:styleId="Textonotapie">
    <w:name w:val="footnote text"/>
    <w:aliases w:val="ft,single space,Footnote Text Char Char Char Char Char Char Char Char Char Char,Footnote Text Char Char Char Char Char Char Char Char Char Char Char Char,Footnote Text2,ft2,FA Fu,Footnote Text Char Char Char Char Char,fn,footnote text,C"/>
    <w:basedOn w:val="Normal"/>
    <w:link w:val="TextonotapieCar"/>
    <w:uiPriority w:val="99"/>
    <w:unhideWhenUsed/>
    <w:qFormat/>
    <w:rsid w:val="00932465"/>
    <w:pPr>
      <w:spacing w:after="0" w:line="240" w:lineRule="auto"/>
    </w:pPr>
    <w:rPr>
      <w:rFonts w:asciiTheme="minorHAnsi" w:eastAsiaTheme="minorHAnsi" w:hAnsiTheme="minorHAnsi" w:cstheme="minorBidi"/>
      <w:sz w:val="20"/>
      <w:szCs w:val="20"/>
      <w:lang w:val="es-CO"/>
    </w:rPr>
  </w:style>
  <w:style w:type="character" w:customStyle="1" w:styleId="TextonotapieCar">
    <w:name w:val="Texto nota pie Car"/>
    <w:aliases w:val="ft Car,single space Car,Footnote Text Char Char Char Char Char Char Char Char Char Char Car,Footnote Text Char Char Char Char Char Char Char Char Char Char Char Char Car,Footnote Text2 Car,ft2 Car,FA Fu Car,fn Car,footnote text Car"/>
    <w:basedOn w:val="Fuentedeprrafopredeter"/>
    <w:link w:val="Textonotapie"/>
    <w:uiPriority w:val="99"/>
    <w:rsid w:val="00932465"/>
    <w:rPr>
      <w:rFonts w:asciiTheme="minorHAnsi" w:eastAsiaTheme="minorHAnsi" w:hAnsiTheme="minorHAnsi" w:cstheme="minorBidi"/>
      <w:lang w:eastAsia="en-US"/>
    </w:rPr>
  </w:style>
  <w:style w:type="character" w:styleId="Refdenotaalpie">
    <w:name w:val="footnote reference"/>
    <w:aliases w:val="referencia nota al pie,Referencia nota al pie,BVI fnr,BVI fnr Car Car,BVI fnr Car,BVI fnr Car Car Car Car,Texto de nota al pie,Nota de pie,Texto nota al pie,Appel note de bas de page,Ref. de nota al pie2,Ref,de nota al pie,Footnote,f"/>
    <w:basedOn w:val="Fuentedeprrafopredeter"/>
    <w:uiPriority w:val="99"/>
    <w:unhideWhenUsed/>
    <w:rsid w:val="00932465"/>
    <w:rPr>
      <w:vertAlign w:val="superscript"/>
    </w:rPr>
  </w:style>
  <w:style w:type="character" w:customStyle="1" w:styleId="apple-converted-space">
    <w:name w:val="apple-converted-space"/>
    <w:basedOn w:val="Fuentedeprrafopredeter"/>
    <w:rsid w:val="00D63790"/>
  </w:style>
  <w:style w:type="paragraph" w:customStyle="1" w:styleId="vietas">
    <w:name w:val="vietas"/>
    <w:basedOn w:val="Normal"/>
    <w:rsid w:val="0080047D"/>
    <w:pPr>
      <w:spacing w:after="0" w:line="240" w:lineRule="auto"/>
      <w:ind w:left="360" w:hanging="360"/>
      <w:jc w:val="both"/>
    </w:pPr>
    <w:rPr>
      <w:rFonts w:eastAsia="Times New Roman" w:cs="Arial"/>
      <w:sz w:val="20"/>
      <w:szCs w:val="20"/>
      <w:lang w:val="es-CO" w:eastAsia="es-CO"/>
    </w:rPr>
  </w:style>
  <w:style w:type="paragraph" w:customStyle="1" w:styleId="textosmorados">
    <w:name w:val="textosmorados"/>
    <w:basedOn w:val="Normal"/>
    <w:rsid w:val="00C917F2"/>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A5">
    <w:name w:val="A5"/>
    <w:uiPriority w:val="99"/>
    <w:rsid w:val="00891F5D"/>
    <w:rPr>
      <w:rFonts w:cs="Zurich BT"/>
      <w:color w:val="000000"/>
      <w:sz w:val="12"/>
      <w:szCs w:val="12"/>
    </w:rPr>
  </w:style>
  <w:style w:type="character" w:customStyle="1" w:styleId="A7">
    <w:name w:val="A7"/>
    <w:uiPriority w:val="99"/>
    <w:rsid w:val="00891F5D"/>
    <w:rPr>
      <w:rFonts w:cs="Zurich BT"/>
      <w:color w:val="000000"/>
      <w:sz w:val="12"/>
      <w:szCs w:val="12"/>
    </w:rPr>
  </w:style>
  <w:style w:type="paragraph" w:customStyle="1" w:styleId="Arialsinespacio">
    <w:name w:val="Arial sin espacio"/>
    <w:basedOn w:val="Sinespaciado"/>
    <w:link w:val="ArialsinespacioCar"/>
    <w:qFormat/>
    <w:rsid w:val="00EB0FE3"/>
    <w:rPr>
      <w:rFonts w:eastAsia="Times New Roman"/>
      <w:szCs w:val="20"/>
    </w:rPr>
  </w:style>
  <w:style w:type="character" w:customStyle="1" w:styleId="ArialsinespacioCar">
    <w:name w:val="Arial sin espacio Car"/>
    <w:link w:val="Arialsinespacio"/>
    <w:rsid w:val="00EB0FE3"/>
    <w:rPr>
      <w:rFonts w:ascii="Arial" w:eastAsia="Times New Roman" w:hAnsi="Arial"/>
      <w:sz w:val="22"/>
      <w:lang w:val="es-ES" w:eastAsia="es-ES"/>
    </w:rPr>
  </w:style>
  <w:style w:type="character" w:styleId="Ttulodellibro">
    <w:name w:val="Book Title"/>
    <w:basedOn w:val="Fuentedeprrafopredeter"/>
    <w:uiPriority w:val="33"/>
    <w:qFormat/>
    <w:rsid w:val="00334E27"/>
    <w:rPr>
      <w:b/>
      <w:bCs/>
      <w:smallCaps/>
      <w:spacing w:val="5"/>
    </w:rPr>
  </w:style>
  <w:style w:type="paragraph" w:styleId="Textocomentario">
    <w:name w:val="annotation text"/>
    <w:basedOn w:val="Normal"/>
    <w:link w:val="TextocomentarioCar"/>
    <w:uiPriority w:val="99"/>
    <w:unhideWhenUsed/>
    <w:rsid w:val="00D31A84"/>
    <w:pPr>
      <w:spacing w:line="240" w:lineRule="auto"/>
    </w:pPr>
    <w:rPr>
      <w:sz w:val="20"/>
      <w:szCs w:val="20"/>
    </w:rPr>
  </w:style>
  <w:style w:type="character" w:customStyle="1" w:styleId="TextocomentarioCar">
    <w:name w:val="Texto comentario Car"/>
    <w:basedOn w:val="Fuentedeprrafopredeter"/>
    <w:link w:val="Textocomentario"/>
    <w:uiPriority w:val="99"/>
    <w:rsid w:val="00D31A84"/>
    <w:rPr>
      <w:lang w:val="es-ES" w:eastAsia="en-US"/>
    </w:rPr>
  </w:style>
  <w:style w:type="character" w:styleId="Textoennegrita">
    <w:name w:val="Strong"/>
    <w:basedOn w:val="Fuentedeprrafopredeter"/>
    <w:uiPriority w:val="22"/>
    <w:qFormat/>
    <w:rsid w:val="005C2A74"/>
    <w:rPr>
      <w:b/>
      <w:bCs/>
    </w:rPr>
  </w:style>
  <w:style w:type="character" w:styleId="Nmerodepgina">
    <w:name w:val="page number"/>
    <w:basedOn w:val="Fuentedeprrafopredeter"/>
    <w:uiPriority w:val="99"/>
    <w:unhideWhenUsed/>
    <w:rsid w:val="007A1CAB"/>
  </w:style>
  <w:style w:type="character" w:styleId="Refdecomentario">
    <w:name w:val="annotation reference"/>
    <w:basedOn w:val="Fuentedeprrafopredeter"/>
    <w:uiPriority w:val="99"/>
    <w:unhideWhenUsed/>
    <w:rsid w:val="00055581"/>
    <w:rPr>
      <w:sz w:val="16"/>
      <w:szCs w:val="16"/>
    </w:rPr>
  </w:style>
  <w:style w:type="paragraph" w:styleId="Asuntodelcomentario">
    <w:name w:val="annotation subject"/>
    <w:basedOn w:val="Textocomentario"/>
    <w:next w:val="Textocomentario"/>
    <w:link w:val="AsuntodelcomentarioCar"/>
    <w:uiPriority w:val="99"/>
    <w:unhideWhenUsed/>
    <w:rsid w:val="00055581"/>
    <w:rPr>
      <w:b/>
      <w:bCs/>
    </w:rPr>
  </w:style>
  <w:style w:type="character" w:customStyle="1" w:styleId="AsuntodelcomentarioCar">
    <w:name w:val="Asunto del comentario Car"/>
    <w:basedOn w:val="TextocomentarioCar"/>
    <w:link w:val="Asuntodelcomentario"/>
    <w:uiPriority w:val="99"/>
    <w:rsid w:val="00055581"/>
    <w:rPr>
      <w:b/>
      <w:bCs/>
      <w:lang w:val="es-ES" w:eastAsia="en-US"/>
    </w:rPr>
  </w:style>
  <w:style w:type="paragraph" w:customStyle="1" w:styleId="Titulo2">
    <w:name w:val="Titulo 2"/>
    <w:basedOn w:val="Normal"/>
    <w:link w:val="Titulo2Car"/>
    <w:qFormat/>
    <w:rsid w:val="008C6800"/>
    <w:pPr>
      <w:jc w:val="both"/>
    </w:pPr>
    <w:rPr>
      <w:rFonts w:cs="Arial"/>
      <w:color w:val="FFFFFF" w:themeColor="background1"/>
      <w:sz w:val="28"/>
      <w:lang w:val="es-CO"/>
    </w:rPr>
  </w:style>
  <w:style w:type="character" w:customStyle="1" w:styleId="Titulo2Car">
    <w:name w:val="Titulo 2 Car"/>
    <w:basedOn w:val="Fuentedeprrafopredeter"/>
    <w:link w:val="Titulo2"/>
    <w:rsid w:val="008C6800"/>
    <w:rPr>
      <w:rFonts w:ascii="Arial" w:hAnsi="Arial" w:cs="Arial"/>
      <w:color w:val="FFFFFF" w:themeColor="background1"/>
      <w:sz w:val="28"/>
      <w:szCs w:val="22"/>
      <w:lang w:eastAsia="en-US"/>
    </w:rPr>
  </w:style>
  <w:style w:type="paragraph" w:customStyle="1" w:styleId="Prrafodelista1">
    <w:name w:val="Párrafo de lista1"/>
    <w:basedOn w:val="Normal"/>
    <w:link w:val="ListParagraphChar"/>
    <w:qFormat/>
    <w:rsid w:val="0029145C"/>
    <w:pPr>
      <w:spacing w:after="0" w:line="240" w:lineRule="auto"/>
      <w:ind w:left="708"/>
    </w:pPr>
    <w:rPr>
      <w:rFonts w:ascii="Times New Roman" w:eastAsia="Times New Roman" w:hAnsi="Times New Roman"/>
      <w:sz w:val="24"/>
      <w:szCs w:val="24"/>
      <w:lang w:eastAsia="es-ES"/>
    </w:rPr>
  </w:style>
  <w:style w:type="character" w:customStyle="1" w:styleId="ListParagraphChar">
    <w:name w:val="List Paragraph Char"/>
    <w:link w:val="Prrafodelista1"/>
    <w:uiPriority w:val="99"/>
    <w:locked/>
    <w:rsid w:val="0029145C"/>
    <w:rPr>
      <w:rFonts w:ascii="Times New Roman" w:eastAsia="Times New Roman" w:hAnsi="Times New Roman"/>
      <w:sz w:val="24"/>
      <w:szCs w:val="24"/>
      <w:lang w:val="es-ES" w:eastAsia="es-ES"/>
    </w:rPr>
  </w:style>
  <w:style w:type="character" w:styleId="nfasis">
    <w:name w:val="Emphasis"/>
    <w:uiPriority w:val="20"/>
    <w:qFormat/>
    <w:rsid w:val="000D6ACA"/>
    <w:rPr>
      <w:i/>
      <w:iCs/>
    </w:rPr>
  </w:style>
  <w:style w:type="paragraph" w:customStyle="1" w:styleId="Niveldenota12">
    <w:name w:val="Nivel de nota 12"/>
    <w:basedOn w:val="Normal"/>
    <w:uiPriority w:val="99"/>
    <w:unhideWhenUsed/>
    <w:rsid w:val="00C90F71"/>
    <w:pPr>
      <w:keepNext/>
      <w:tabs>
        <w:tab w:val="num" w:pos="0"/>
      </w:tabs>
      <w:spacing w:after="0" w:line="240" w:lineRule="auto"/>
      <w:contextualSpacing/>
      <w:jc w:val="both"/>
      <w:outlineLvl w:val="0"/>
    </w:pPr>
    <w:rPr>
      <w:rFonts w:ascii="Verdana" w:hAnsi="Verdana"/>
    </w:rPr>
  </w:style>
  <w:style w:type="paragraph" w:customStyle="1" w:styleId="Cuadrculamedia21">
    <w:name w:val="Cuadrícula media 21"/>
    <w:uiPriority w:val="1"/>
    <w:qFormat/>
    <w:rsid w:val="00B429AA"/>
    <w:rPr>
      <w:sz w:val="22"/>
      <w:szCs w:val="22"/>
      <w:lang w:val="es-ES" w:eastAsia="en-US"/>
    </w:rPr>
  </w:style>
  <w:style w:type="character" w:customStyle="1" w:styleId="texto1">
    <w:name w:val="texto1"/>
    <w:rsid w:val="00DA66A4"/>
    <w:rPr>
      <w:rFonts w:ascii="Verdana" w:hAnsi="Verdana" w:cs="Times New Roman"/>
      <w:color w:val="000099"/>
      <w:sz w:val="22"/>
      <w:szCs w:val="22"/>
    </w:rPr>
  </w:style>
  <w:style w:type="table" w:customStyle="1" w:styleId="Tabladecuadrcula2-nfasis31">
    <w:name w:val="Tabla de cuadrícula 2 - Énfasis 31"/>
    <w:basedOn w:val="Tablanormal"/>
    <w:uiPriority w:val="47"/>
    <w:rsid w:val="00DA66A4"/>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11">
    <w:name w:val="Tabla de cuadrícula 2 - Énfasis 311"/>
    <w:basedOn w:val="Tablanormal"/>
    <w:uiPriority w:val="47"/>
    <w:rsid w:val="00DA66A4"/>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61">
    <w:name w:val="Tabla de cuadrícula 1 clara - Énfasis 61"/>
    <w:basedOn w:val="Tablanormal"/>
    <w:uiPriority w:val="46"/>
    <w:rsid w:val="00DA66A4"/>
    <w:rPr>
      <w:rFonts w:asciiTheme="minorHAnsi" w:eastAsiaTheme="minorHAnsi" w:hAnsiTheme="minorHAnsi" w:cstheme="minorBidi"/>
      <w:sz w:val="22"/>
      <w:szCs w:val="22"/>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A0">
    <w:name w:val="A0"/>
    <w:uiPriority w:val="99"/>
    <w:rsid w:val="00DA66A4"/>
    <w:rPr>
      <w:rFonts w:cs="Arial Narrow"/>
      <w:color w:val="000000"/>
    </w:rPr>
  </w:style>
  <w:style w:type="paragraph" w:customStyle="1" w:styleId="Pa1">
    <w:name w:val="Pa1"/>
    <w:basedOn w:val="Normal"/>
    <w:next w:val="Normal"/>
    <w:uiPriority w:val="99"/>
    <w:rsid w:val="00DA66A4"/>
    <w:pPr>
      <w:autoSpaceDE w:val="0"/>
      <w:autoSpaceDN w:val="0"/>
      <w:adjustRightInd w:val="0"/>
      <w:spacing w:after="0" w:line="241" w:lineRule="atLeast"/>
    </w:pPr>
    <w:rPr>
      <w:rFonts w:ascii="Arial Narrow" w:hAnsi="Arial Narrow"/>
      <w:sz w:val="24"/>
      <w:szCs w:val="24"/>
      <w:lang w:val="es-MX" w:eastAsia="es-CO"/>
    </w:rPr>
  </w:style>
  <w:style w:type="table" w:customStyle="1" w:styleId="Tabladecuadrcula4-nfasis61">
    <w:name w:val="Tabla de cuadrícula 4 - Énfasis 61"/>
    <w:basedOn w:val="Tablanormal"/>
    <w:uiPriority w:val="49"/>
    <w:rsid w:val="00DA66A4"/>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32">
    <w:name w:val="Tabla de cuadrícula 2 - Énfasis 32"/>
    <w:basedOn w:val="Tablanormal"/>
    <w:uiPriority w:val="47"/>
    <w:rsid w:val="001F0F91"/>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21">
    <w:name w:val="Tabla de cuadrícula 2 - Énfasis 321"/>
    <w:basedOn w:val="Tablanormal"/>
    <w:uiPriority w:val="47"/>
    <w:rsid w:val="001F0F91"/>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tandard">
    <w:name w:val="Standard"/>
    <w:uiPriority w:val="99"/>
    <w:rsid w:val="001F0F91"/>
    <w:pPr>
      <w:widowControl w:val="0"/>
      <w:suppressAutoHyphens/>
      <w:autoSpaceDN w:val="0"/>
      <w:textAlignment w:val="baseline"/>
    </w:pPr>
    <w:rPr>
      <w:rFonts w:ascii="Liberation Serif" w:eastAsia="Droid Sans" w:hAnsi="Liberation Serif" w:cs="FreeSans"/>
      <w:kern w:val="3"/>
      <w:sz w:val="24"/>
      <w:szCs w:val="24"/>
      <w:lang w:eastAsia="zh-CN" w:bidi="hi-IN"/>
    </w:rPr>
  </w:style>
  <w:style w:type="paragraph" w:customStyle="1" w:styleId="BodyText21">
    <w:name w:val="Body Text 21"/>
    <w:basedOn w:val="Normal"/>
    <w:rsid w:val="001F0F91"/>
    <w:pPr>
      <w:widowControl w:val="0"/>
      <w:spacing w:after="0" w:line="240" w:lineRule="auto"/>
      <w:jc w:val="center"/>
    </w:pPr>
    <w:rPr>
      <w:rFonts w:ascii="Courier New" w:eastAsia="Times New Roman" w:hAnsi="Courier New" w:cs="Courier New"/>
      <w:b/>
      <w:bCs/>
      <w:sz w:val="32"/>
      <w:szCs w:val="32"/>
      <w:lang w:val="es-CO" w:eastAsia="es-CO"/>
    </w:rPr>
  </w:style>
  <w:style w:type="table" w:customStyle="1" w:styleId="Tabladelista3-nfasis11">
    <w:name w:val="Tabla de lista 3 - Énfasis 11"/>
    <w:basedOn w:val="Tablanormal"/>
    <w:uiPriority w:val="48"/>
    <w:rsid w:val="001F0F91"/>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cuadrcula1clara-nfasis11">
    <w:name w:val="Tabla de cuadrícula 1 clara - Énfasis 11"/>
    <w:basedOn w:val="Tablanormal"/>
    <w:uiPriority w:val="46"/>
    <w:rsid w:val="001F0F9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2-nfasis61">
    <w:name w:val="Tabla de cuadrícula 2 - Énfasis 61"/>
    <w:basedOn w:val="Tablanormal"/>
    <w:uiPriority w:val="47"/>
    <w:rsid w:val="001F0F91"/>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list0020paragraph">
    <w:name w:val="list_0020paragraph"/>
    <w:basedOn w:val="Normal"/>
    <w:rsid w:val="001F0F91"/>
    <w:pPr>
      <w:spacing w:before="100" w:beforeAutospacing="1" w:after="100" w:afterAutospacing="1" w:line="240" w:lineRule="auto"/>
    </w:pPr>
    <w:rPr>
      <w:rFonts w:ascii="Times" w:hAnsi="Times"/>
      <w:sz w:val="20"/>
      <w:szCs w:val="20"/>
      <w:lang w:val="es-CO" w:eastAsia="es-ES"/>
    </w:rPr>
  </w:style>
  <w:style w:type="character" w:customStyle="1" w:styleId="list0020paragraphchar">
    <w:name w:val="list_0020paragraph__char"/>
    <w:rsid w:val="001F0F91"/>
  </w:style>
  <w:style w:type="paragraph" w:customStyle="1" w:styleId="Textonormal">
    <w:name w:val="Texto normal"/>
    <w:basedOn w:val="Normal"/>
    <w:rsid w:val="001F0F91"/>
    <w:pPr>
      <w:spacing w:after="0" w:line="240" w:lineRule="auto"/>
    </w:pPr>
    <w:rPr>
      <w:rFonts w:ascii="Tahoma" w:eastAsia="Batang" w:hAnsi="Tahoma"/>
      <w:sz w:val="24"/>
      <w:szCs w:val="20"/>
      <w:lang w:val="es-MX" w:eastAsia="es-CO"/>
    </w:rPr>
  </w:style>
  <w:style w:type="paragraph" w:customStyle="1" w:styleId="Sinespaciado1">
    <w:name w:val="Sin espaciado1"/>
    <w:uiPriority w:val="1"/>
    <w:qFormat/>
    <w:rsid w:val="001F0F91"/>
    <w:rPr>
      <w:rFonts w:ascii="Times New Roman" w:eastAsia="Times New Roman" w:hAnsi="Times New Roman"/>
      <w:sz w:val="24"/>
      <w:szCs w:val="24"/>
      <w:lang w:val="es-ES" w:eastAsia="es-ES"/>
    </w:rPr>
  </w:style>
  <w:style w:type="character" w:customStyle="1" w:styleId="CharacterStyle1">
    <w:name w:val="Character Style 1"/>
    <w:uiPriority w:val="99"/>
    <w:rsid w:val="001F0F91"/>
    <w:rPr>
      <w:sz w:val="20"/>
      <w:szCs w:val="20"/>
    </w:rPr>
  </w:style>
  <w:style w:type="paragraph" w:styleId="TtuloTDC">
    <w:name w:val="TOC Heading"/>
    <w:basedOn w:val="Ttulo1"/>
    <w:next w:val="Normal"/>
    <w:uiPriority w:val="39"/>
    <w:unhideWhenUsed/>
    <w:qFormat/>
    <w:rsid w:val="001F0F91"/>
    <w:pPr>
      <w:keepLines/>
      <w:numPr>
        <w:numId w:val="0"/>
      </w:numPr>
      <w:spacing w:before="240" w:line="259" w:lineRule="auto"/>
      <w:outlineLvl w:val="9"/>
    </w:pPr>
    <w:rPr>
      <w:rFonts w:asciiTheme="majorHAnsi" w:eastAsiaTheme="majorEastAsia" w:hAnsiTheme="majorHAnsi" w:cstheme="majorBidi"/>
      <w:b w:val="0"/>
      <w:bCs w:val="0"/>
      <w:color w:val="365F91" w:themeColor="accent1" w:themeShade="BF"/>
      <w:kern w:val="0"/>
      <w:sz w:val="32"/>
      <w:lang w:val="es-CO" w:eastAsia="es-CO"/>
    </w:rPr>
  </w:style>
  <w:style w:type="paragraph" w:styleId="TDC3">
    <w:name w:val="toc 3"/>
    <w:basedOn w:val="Normal"/>
    <w:next w:val="Normal"/>
    <w:autoRedefine/>
    <w:uiPriority w:val="39"/>
    <w:unhideWhenUsed/>
    <w:qFormat/>
    <w:rsid w:val="001F0F91"/>
    <w:pPr>
      <w:spacing w:after="100"/>
      <w:ind w:left="440"/>
    </w:pPr>
  </w:style>
  <w:style w:type="paragraph" w:styleId="TDC1">
    <w:name w:val="toc 1"/>
    <w:basedOn w:val="Normal"/>
    <w:next w:val="Normal"/>
    <w:autoRedefine/>
    <w:uiPriority w:val="39"/>
    <w:unhideWhenUsed/>
    <w:qFormat/>
    <w:rsid w:val="008409A0"/>
    <w:pPr>
      <w:tabs>
        <w:tab w:val="left" w:pos="660"/>
        <w:tab w:val="right" w:leader="dot" w:pos="9395"/>
      </w:tabs>
      <w:spacing w:after="100"/>
    </w:pPr>
    <w:rPr>
      <w:rFonts w:eastAsia="Times New Roman" w:cs="Arial"/>
      <w:bCs/>
      <w:noProof/>
      <w:kern w:val="32"/>
    </w:rPr>
  </w:style>
  <w:style w:type="paragraph" w:styleId="TDC2">
    <w:name w:val="toc 2"/>
    <w:basedOn w:val="Normal"/>
    <w:next w:val="Normal"/>
    <w:autoRedefine/>
    <w:uiPriority w:val="39"/>
    <w:unhideWhenUsed/>
    <w:qFormat/>
    <w:rsid w:val="00676DB7"/>
    <w:pPr>
      <w:spacing w:after="100"/>
      <w:ind w:left="220"/>
    </w:pPr>
  </w:style>
  <w:style w:type="table" w:styleId="Listaclara-nfasis6">
    <w:name w:val="Light List Accent 6"/>
    <w:basedOn w:val="Tablanormal"/>
    <w:uiPriority w:val="61"/>
    <w:rsid w:val="00946A35"/>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Ttulo4Car">
    <w:name w:val="Título 4 Car"/>
    <w:basedOn w:val="Fuentedeprrafopredeter"/>
    <w:link w:val="Ttulo4"/>
    <w:uiPriority w:val="9"/>
    <w:rsid w:val="00A66AE3"/>
    <w:rPr>
      <w:rFonts w:ascii="Verdana" w:eastAsia="Times New Roman" w:hAnsi="Verdana"/>
      <w:b/>
      <w:bCs/>
      <w:i/>
      <w:szCs w:val="28"/>
      <w:lang w:val="es-ES" w:eastAsia="es-ES"/>
    </w:rPr>
  </w:style>
  <w:style w:type="character" w:customStyle="1" w:styleId="Ttulo6Car">
    <w:name w:val="Título 6 Car"/>
    <w:basedOn w:val="Fuentedeprrafopredeter"/>
    <w:link w:val="Ttulo6"/>
    <w:uiPriority w:val="9"/>
    <w:rsid w:val="00A66AE3"/>
    <w:rPr>
      <w:rFonts w:ascii="Verdana" w:eastAsia="Times New Roman" w:hAnsi="Verdana"/>
      <w:b/>
      <w:bCs/>
      <w:i/>
      <w:szCs w:val="22"/>
      <w:lang w:val="es-ES" w:eastAsia="es-ES"/>
    </w:rPr>
  </w:style>
  <w:style w:type="character" w:customStyle="1" w:styleId="Ttulo7Car">
    <w:name w:val="Título 7 Car"/>
    <w:basedOn w:val="Fuentedeprrafopredeter"/>
    <w:link w:val="Ttulo7"/>
    <w:uiPriority w:val="9"/>
    <w:rsid w:val="00A66AE3"/>
    <w:rPr>
      <w:rFonts w:ascii="Verdana" w:eastAsia="Times New Roman" w:hAnsi="Verdana"/>
      <w:szCs w:val="24"/>
      <w:lang w:val="es-ES" w:eastAsia="es-ES"/>
    </w:rPr>
  </w:style>
  <w:style w:type="character" w:customStyle="1" w:styleId="Ttulo8Car">
    <w:name w:val="Título 8 Car"/>
    <w:basedOn w:val="Fuentedeprrafopredeter"/>
    <w:link w:val="Ttulo8"/>
    <w:uiPriority w:val="9"/>
    <w:rsid w:val="00A66AE3"/>
    <w:rPr>
      <w:rFonts w:ascii="Verdana" w:eastAsia="Times New Roman" w:hAnsi="Verdana"/>
      <w:i/>
      <w:iCs/>
      <w:szCs w:val="24"/>
      <w:lang w:val="es-ES" w:eastAsia="es-ES"/>
    </w:rPr>
  </w:style>
  <w:style w:type="character" w:customStyle="1" w:styleId="Ttulo9Car">
    <w:name w:val="Título 9 Car"/>
    <w:basedOn w:val="Fuentedeprrafopredeter"/>
    <w:link w:val="Ttulo9"/>
    <w:rsid w:val="00A66AE3"/>
    <w:rPr>
      <w:rFonts w:ascii="Arial" w:eastAsia="Times New Roman" w:hAnsi="Arial"/>
      <w:sz w:val="22"/>
      <w:szCs w:val="22"/>
      <w:lang w:val="es-ES" w:eastAsia="es-ES"/>
    </w:rPr>
  </w:style>
  <w:style w:type="paragraph" w:styleId="TDC4">
    <w:name w:val="toc 4"/>
    <w:basedOn w:val="Normal"/>
    <w:next w:val="Normal"/>
    <w:autoRedefine/>
    <w:uiPriority w:val="39"/>
    <w:unhideWhenUsed/>
    <w:rsid w:val="003068C8"/>
    <w:pPr>
      <w:spacing w:after="100" w:line="259" w:lineRule="auto"/>
      <w:ind w:left="660"/>
    </w:pPr>
    <w:rPr>
      <w:rFonts w:asciiTheme="minorHAnsi" w:eastAsiaTheme="minorEastAsia" w:hAnsiTheme="minorHAnsi" w:cstheme="minorBidi"/>
      <w:lang w:val="es-CO" w:eastAsia="es-CO"/>
    </w:rPr>
  </w:style>
  <w:style w:type="paragraph" w:styleId="TDC5">
    <w:name w:val="toc 5"/>
    <w:basedOn w:val="Normal"/>
    <w:next w:val="Normal"/>
    <w:autoRedefine/>
    <w:uiPriority w:val="39"/>
    <w:unhideWhenUsed/>
    <w:rsid w:val="003068C8"/>
    <w:pPr>
      <w:spacing w:after="100" w:line="259" w:lineRule="auto"/>
      <w:ind w:left="880"/>
    </w:pPr>
    <w:rPr>
      <w:rFonts w:asciiTheme="minorHAnsi" w:eastAsiaTheme="minorEastAsia" w:hAnsiTheme="minorHAnsi" w:cstheme="minorBidi"/>
      <w:lang w:val="es-CO" w:eastAsia="es-CO"/>
    </w:rPr>
  </w:style>
  <w:style w:type="paragraph" w:styleId="TDC6">
    <w:name w:val="toc 6"/>
    <w:basedOn w:val="Normal"/>
    <w:next w:val="Normal"/>
    <w:autoRedefine/>
    <w:uiPriority w:val="39"/>
    <w:unhideWhenUsed/>
    <w:rsid w:val="003068C8"/>
    <w:pPr>
      <w:spacing w:after="100" w:line="259" w:lineRule="auto"/>
      <w:ind w:left="1100"/>
    </w:pPr>
    <w:rPr>
      <w:rFonts w:asciiTheme="minorHAnsi" w:eastAsiaTheme="minorEastAsia" w:hAnsiTheme="minorHAnsi" w:cstheme="minorBidi"/>
      <w:lang w:val="es-CO" w:eastAsia="es-CO"/>
    </w:rPr>
  </w:style>
  <w:style w:type="paragraph" w:styleId="TDC7">
    <w:name w:val="toc 7"/>
    <w:basedOn w:val="Normal"/>
    <w:next w:val="Normal"/>
    <w:autoRedefine/>
    <w:uiPriority w:val="39"/>
    <w:unhideWhenUsed/>
    <w:rsid w:val="003068C8"/>
    <w:pPr>
      <w:spacing w:after="100" w:line="259" w:lineRule="auto"/>
      <w:ind w:left="1320"/>
    </w:pPr>
    <w:rPr>
      <w:rFonts w:asciiTheme="minorHAnsi" w:eastAsiaTheme="minorEastAsia" w:hAnsiTheme="minorHAnsi" w:cstheme="minorBidi"/>
      <w:lang w:val="es-CO" w:eastAsia="es-CO"/>
    </w:rPr>
  </w:style>
  <w:style w:type="paragraph" w:styleId="TDC8">
    <w:name w:val="toc 8"/>
    <w:basedOn w:val="Normal"/>
    <w:next w:val="Normal"/>
    <w:autoRedefine/>
    <w:uiPriority w:val="39"/>
    <w:unhideWhenUsed/>
    <w:rsid w:val="003068C8"/>
    <w:pPr>
      <w:spacing w:after="100" w:line="259" w:lineRule="auto"/>
      <w:ind w:left="1540"/>
    </w:pPr>
    <w:rPr>
      <w:rFonts w:asciiTheme="minorHAnsi" w:eastAsiaTheme="minorEastAsia" w:hAnsiTheme="minorHAnsi" w:cstheme="minorBidi"/>
      <w:lang w:val="es-CO" w:eastAsia="es-CO"/>
    </w:rPr>
  </w:style>
  <w:style w:type="paragraph" w:styleId="TDC9">
    <w:name w:val="toc 9"/>
    <w:basedOn w:val="Normal"/>
    <w:next w:val="Normal"/>
    <w:autoRedefine/>
    <w:uiPriority w:val="39"/>
    <w:unhideWhenUsed/>
    <w:rsid w:val="003068C8"/>
    <w:pPr>
      <w:spacing w:after="100" w:line="259" w:lineRule="auto"/>
      <w:ind w:left="1760"/>
    </w:pPr>
    <w:rPr>
      <w:rFonts w:asciiTheme="minorHAnsi" w:eastAsiaTheme="minorEastAsia" w:hAnsiTheme="minorHAnsi" w:cstheme="minorBidi"/>
      <w:lang w:val="es-CO" w:eastAsia="es-CO"/>
    </w:rPr>
  </w:style>
  <w:style w:type="character" w:styleId="Hipervnculovisitado">
    <w:name w:val="FollowedHyperlink"/>
    <w:basedOn w:val="Fuentedeprrafopredeter"/>
    <w:uiPriority w:val="99"/>
    <w:semiHidden/>
    <w:unhideWhenUsed/>
    <w:rsid w:val="00F979EC"/>
    <w:rPr>
      <w:color w:val="800080" w:themeColor="followedHyperlink"/>
      <w:u w:val="single"/>
    </w:rPr>
  </w:style>
  <w:style w:type="paragraph" w:customStyle="1" w:styleId="LauraCuerpoInforme">
    <w:name w:val="Laura Cuerpo Informe"/>
    <w:basedOn w:val="Normal"/>
    <w:link w:val="LauraCuerpoInformeCar"/>
    <w:qFormat/>
    <w:rsid w:val="00F979EC"/>
    <w:pPr>
      <w:spacing w:after="0" w:line="240" w:lineRule="auto"/>
      <w:ind w:left="3905" w:hanging="360"/>
      <w:jc w:val="both"/>
    </w:pPr>
    <w:rPr>
      <w:rFonts w:cs="Arial"/>
      <w:b/>
      <w:color w:val="000000"/>
      <w:lang w:eastAsia="es-ES"/>
    </w:rPr>
  </w:style>
  <w:style w:type="character" w:customStyle="1" w:styleId="LauraCuerpoInformeCar">
    <w:name w:val="Laura Cuerpo Informe Car"/>
    <w:link w:val="LauraCuerpoInforme"/>
    <w:rsid w:val="00F979EC"/>
    <w:rPr>
      <w:rFonts w:ascii="Arial" w:hAnsi="Arial" w:cs="Arial"/>
      <w:b/>
      <w:color w:val="000000"/>
      <w:sz w:val="22"/>
      <w:szCs w:val="22"/>
      <w:lang w:val="es-ES" w:eastAsia="es-ES"/>
    </w:rPr>
  </w:style>
  <w:style w:type="paragraph" w:styleId="Listaconvietas">
    <w:name w:val="List Bullet"/>
    <w:basedOn w:val="Normal"/>
    <w:uiPriority w:val="99"/>
    <w:unhideWhenUsed/>
    <w:rsid w:val="00435AA2"/>
    <w:pPr>
      <w:numPr>
        <w:numId w:val="5"/>
      </w:numPr>
      <w:contextualSpacing/>
    </w:pPr>
  </w:style>
  <w:style w:type="table" w:styleId="Listaclara-nfasis1">
    <w:name w:val="Light List Accent 1"/>
    <w:basedOn w:val="Tablanormal"/>
    <w:uiPriority w:val="61"/>
    <w:rsid w:val="0002123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ueve">
    <w:name w:val="Nueve"/>
    <w:rsid w:val="00BC2936"/>
    <w:pPr>
      <w:widowControl w:val="0"/>
      <w:autoSpaceDE w:val="0"/>
      <w:autoSpaceDN w:val="0"/>
      <w:adjustRightInd w:val="0"/>
      <w:spacing w:before="113"/>
      <w:ind w:firstLine="283"/>
      <w:jc w:val="both"/>
    </w:pPr>
    <w:rPr>
      <w:rFonts w:ascii="Arial" w:eastAsia="Times New Roman" w:hAnsi="Arial" w:cs="Arial"/>
      <w:color w:val="000000"/>
      <w:sz w:val="24"/>
      <w:szCs w:val="24"/>
      <w:lang w:val="es-ES" w:eastAsia="es-ES"/>
    </w:rPr>
  </w:style>
  <w:style w:type="paragraph" w:styleId="Descripcin">
    <w:name w:val="caption"/>
    <w:aliases w:val="Car,Tablas,Figs y tabs,Título tabla/gráfica,Geomatica_Epígrafe,Epígrafe Car1,Epígrafe Car2,Epígrafe Car3,Epígrafe Car4,Epígrafe Car5,Epígrafe Car6,Epígrafe Car7,Epígrafe Car8,Epígrafe Car9,Epígrafe Car11,Epígrafe Car21,Epígrafe Car31"/>
    <w:basedOn w:val="Normal"/>
    <w:next w:val="Normal"/>
    <w:link w:val="DescripcinCar"/>
    <w:uiPriority w:val="35"/>
    <w:unhideWhenUsed/>
    <w:qFormat/>
    <w:rsid w:val="005A035D"/>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5A035D"/>
    <w:pPr>
      <w:spacing w:after="0"/>
    </w:pPr>
  </w:style>
  <w:style w:type="table" w:customStyle="1" w:styleId="Tabladecuadrcula3-nfasis31">
    <w:name w:val="Tabla de cuadrícula 3 - Énfasis 31"/>
    <w:basedOn w:val="Tablanormal"/>
    <w:uiPriority w:val="48"/>
    <w:rsid w:val="006557A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
    <w:name w:val="Tabla de cuadrícula 5 oscura - Énfasis 11"/>
    <w:basedOn w:val="Tablanormal"/>
    <w:uiPriority w:val="50"/>
    <w:rsid w:val="002254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Cuadrculamedia3-nfasis3">
    <w:name w:val="Medium Grid 3 Accent 3"/>
    <w:basedOn w:val="Tablanormal"/>
    <w:uiPriority w:val="69"/>
    <w:rsid w:val="001A6EEA"/>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clara-nfasis3">
    <w:name w:val="Light Grid Accent 3"/>
    <w:basedOn w:val="Tablanormal"/>
    <w:uiPriority w:val="62"/>
    <w:rsid w:val="001A6EEA"/>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
    <w:name w:val="Light Shading"/>
    <w:basedOn w:val="Tablanormal"/>
    <w:uiPriority w:val="60"/>
    <w:rsid w:val="00242CF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decuadrcula3-nfasis311">
    <w:name w:val="Tabla de cuadrícula 3 - Énfasis 311"/>
    <w:basedOn w:val="Tablanormal"/>
    <w:uiPriority w:val="48"/>
    <w:rsid w:val="0012366F"/>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1">
    <w:name w:val="Tabla de cuadrícula 5 oscura - Énfasis 111"/>
    <w:basedOn w:val="Tablanormal"/>
    <w:uiPriority w:val="50"/>
    <w:rsid w:val="0012366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n">
    <w:name w:val="Revision"/>
    <w:hidden/>
    <w:uiPriority w:val="99"/>
    <w:semiHidden/>
    <w:rsid w:val="006A78D0"/>
    <w:rPr>
      <w:rFonts w:ascii="Arial" w:hAnsi="Arial"/>
      <w:sz w:val="22"/>
      <w:szCs w:val="22"/>
      <w:lang w:val="es-ES" w:eastAsia="en-US"/>
    </w:rPr>
  </w:style>
  <w:style w:type="table" w:customStyle="1" w:styleId="Tabladecuadrcula4-nfasis62">
    <w:name w:val="Tabla de cuadrícula 4 - Énfasis 62"/>
    <w:basedOn w:val="Tablanormal"/>
    <w:uiPriority w:val="49"/>
    <w:rsid w:val="00B716E4"/>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Cuadrculamedia1-nfasis3">
    <w:name w:val="Medium Grid 1 Accent 3"/>
    <w:basedOn w:val="Tablanormal"/>
    <w:uiPriority w:val="67"/>
    <w:rsid w:val="0096558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numbering" w:customStyle="1" w:styleId="Sinlista1">
    <w:name w:val="Sin lista1"/>
    <w:next w:val="Sinlista"/>
    <w:uiPriority w:val="99"/>
    <w:semiHidden/>
    <w:unhideWhenUsed/>
    <w:rsid w:val="00975DC5"/>
  </w:style>
  <w:style w:type="paragraph" w:styleId="Subttulo">
    <w:name w:val="Subtitle"/>
    <w:basedOn w:val="Normal"/>
    <w:next w:val="Normal"/>
    <w:link w:val="SubttuloCar"/>
    <w:uiPriority w:val="11"/>
    <w:qFormat/>
    <w:rsid w:val="0062601E"/>
    <w:pPr>
      <w:numPr>
        <w:ilvl w:val="1"/>
      </w:numPr>
      <w:spacing w:after="160" w:line="259" w:lineRule="auto"/>
    </w:pPr>
    <w:rPr>
      <w:rFonts w:ascii="Calibri" w:eastAsia="Times New Roman" w:hAnsi="Calibri"/>
      <w:color w:val="5A5A5A"/>
      <w:spacing w:val="15"/>
      <w:lang w:val="es-CO"/>
    </w:rPr>
  </w:style>
  <w:style w:type="character" w:customStyle="1" w:styleId="SubttuloCar">
    <w:name w:val="Subtítulo Car"/>
    <w:basedOn w:val="Fuentedeprrafopredeter"/>
    <w:link w:val="Subttulo"/>
    <w:uiPriority w:val="11"/>
    <w:rsid w:val="0062601E"/>
    <w:rPr>
      <w:rFonts w:eastAsia="Times New Roman"/>
      <w:color w:val="5A5A5A"/>
      <w:spacing w:val="15"/>
      <w:sz w:val="22"/>
      <w:szCs w:val="22"/>
      <w:lang w:eastAsia="en-US"/>
    </w:rPr>
  </w:style>
  <w:style w:type="character" w:styleId="nfasisintenso">
    <w:name w:val="Intense Emphasis"/>
    <w:uiPriority w:val="21"/>
    <w:qFormat/>
    <w:rsid w:val="0062601E"/>
    <w:rPr>
      <w:i/>
      <w:iCs/>
      <w:color w:val="5B9BD5"/>
    </w:rPr>
  </w:style>
  <w:style w:type="table" w:customStyle="1" w:styleId="Tabladecuadrcula4-nfasis31">
    <w:name w:val="Tabla de cuadrícula 4 - Énfasis 31"/>
    <w:basedOn w:val="Tablanormal"/>
    <w:uiPriority w:val="49"/>
    <w:rsid w:val="0062601E"/>
    <w:rPr>
      <w:lang w:eastAsia="es-ES_tradn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Bibliografa">
    <w:name w:val="Bibliography"/>
    <w:basedOn w:val="Normal"/>
    <w:next w:val="Normal"/>
    <w:uiPriority w:val="37"/>
    <w:unhideWhenUsed/>
    <w:rsid w:val="0062601E"/>
    <w:rPr>
      <w:rFonts w:ascii="Calibri" w:hAnsi="Calibri"/>
    </w:rPr>
  </w:style>
  <w:style w:type="table" w:customStyle="1" w:styleId="Tablanormal31">
    <w:name w:val="Tabla normal 31"/>
    <w:basedOn w:val="Tablanormal"/>
    <w:uiPriority w:val="43"/>
    <w:rsid w:val="0062601E"/>
    <w:rPr>
      <w:lang w:eastAsia="es-ES_tradn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21">
    <w:name w:val="Tabla normal 21"/>
    <w:basedOn w:val="Tablanormal"/>
    <w:uiPriority w:val="42"/>
    <w:rsid w:val="0062601E"/>
    <w:rPr>
      <w:lang w:eastAsia="es-ES_tradn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21">
    <w:name w:val="Tabla de cuadrícula 21"/>
    <w:basedOn w:val="Tablanormal"/>
    <w:uiPriority w:val="47"/>
    <w:rsid w:val="0062601E"/>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Listavistosa-nfasis1Car">
    <w:name w:val="Lista vistosa - Énfasis 1 Car"/>
    <w:aliases w:val="列出段落 Car"/>
    <w:link w:val="Listavistosa-nfasis1"/>
    <w:uiPriority w:val="34"/>
    <w:locked/>
    <w:rsid w:val="0062601E"/>
    <w:rPr>
      <w:sz w:val="22"/>
      <w:szCs w:val="22"/>
      <w:lang w:val="es-MX" w:eastAsia="en-US"/>
    </w:rPr>
  </w:style>
  <w:style w:type="table" w:styleId="Listavistosa-nfasis1">
    <w:name w:val="Colorful List Accent 1"/>
    <w:basedOn w:val="Tablanormal"/>
    <w:link w:val="Listavistosa-nfasis1Car"/>
    <w:uiPriority w:val="34"/>
    <w:unhideWhenUsed/>
    <w:rsid w:val="0062601E"/>
    <w:rPr>
      <w:sz w:val="22"/>
      <w:szCs w:val="22"/>
      <w:lang w:val="es-MX"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adelista1clara1">
    <w:name w:val="Tabla de lista 1 clara1"/>
    <w:basedOn w:val="Tablanormal"/>
    <w:uiPriority w:val="46"/>
    <w:rsid w:val="0062601E"/>
    <w:rPr>
      <w:lang w:eastAsia="es-ES_trad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
    <w:name w:val="Tabla de cuadrícula 6 con colores1"/>
    <w:basedOn w:val="Tablanormal"/>
    <w:uiPriority w:val="51"/>
    <w:rsid w:val="0062601E"/>
    <w:rPr>
      <w:color w:val="000000" w:themeColor="text1"/>
      <w:lang w:eastAsia="es-ES_trad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sinformato">
    <w:name w:val="Plain Text"/>
    <w:basedOn w:val="Normal"/>
    <w:link w:val="TextosinformatoCar"/>
    <w:uiPriority w:val="99"/>
    <w:unhideWhenUsed/>
    <w:rsid w:val="0062601E"/>
    <w:pPr>
      <w:spacing w:after="0" w:line="240" w:lineRule="auto"/>
    </w:pPr>
    <w:rPr>
      <w:rFonts w:ascii="Calibri" w:hAnsi="Calibri"/>
      <w:szCs w:val="21"/>
      <w:lang w:val="es-CO"/>
    </w:rPr>
  </w:style>
  <w:style w:type="character" w:customStyle="1" w:styleId="TextosinformatoCar">
    <w:name w:val="Texto sin formato Car"/>
    <w:basedOn w:val="Fuentedeprrafopredeter"/>
    <w:link w:val="Textosinformato"/>
    <w:uiPriority w:val="99"/>
    <w:rsid w:val="0062601E"/>
    <w:rPr>
      <w:sz w:val="22"/>
      <w:szCs w:val="21"/>
      <w:lang w:eastAsia="en-US"/>
    </w:rPr>
  </w:style>
  <w:style w:type="table" w:styleId="Listaclara-nfasis3">
    <w:name w:val="Light List Accent 3"/>
    <w:basedOn w:val="Tablanormal"/>
    <w:uiPriority w:val="61"/>
    <w:rsid w:val="00A37CB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delista3-nfasis31">
    <w:name w:val="Tabla de lista 3 - Énfasis 31"/>
    <w:basedOn w:val="Tablanormal"/>
    <w:uiPriority w:val="48"/>
    <w:rsid w:val="00A37CBC"/>
    <w:rPr>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6concolores-nfasis31">
    <w:name w:val="Tabla de cuadrícula 6 con colores - Énfasis 31"/>
    <w:basedOn w:val="Tablanormal"/>
    <w:uiPriority w:val="51"/>
    <w:rsid w:val="00A37CBC"/>
    <w:rPr>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gc">
    <w:name w:val="_tgc"/>
    <w:basedOn w:val="Fuentedeprrafopredeter"/>
    <w:rsid w:val="00A37CBC"/>
  </w:style>
  <w:style w:type="paragraph" w:styleId="Textonotaalfinal">
    <w:name w:val="endnote text"/>
    <w:basedOn w:val="Normal"/>
    <w:link w:val="TextonotaalfinalCar"/>
    <w:uiPriority w:val="99"/>
    <w:unhideWhenUsed/>
    <w:rsid w:val="00B522F5"/>
    <w:pPr>
      <w:spacing w:after="0" w:line="240" w:lineRule="auto"/>
    </w:pPr>
    <w:rPr>
      <w:rFonts w:ascii="Calibri" w:hAnsi="Calibri"/>
      <w:sz w:val="20"/>
      <w:szCs w:val="20"/>
      <w:lang w:val="es-CO"/>
    </w:rPr>
  </w:style>
  <w:style w:type="character" w:customStyle="1" w:styleId="TextonotaalfinalCar">
    <w:name w:val="Texto nota al final Car"/>
    <w:basedOn w:val="Fuentedeprrafopredeter"/>
    <w:link w:val="Textonotaalfinal"/>
    <w:uiPriority w:val="99"/>
    <w:rsid w:val="00B522F5"/>
    <w:rPr>
      <w:lang w:eastAsia="en-US"/>
    </w:rPr>
  </w:style>
  <w:style w:type="table" w:styleId="Cuadrculamedia1-nfasis5">
    <w:name w:val="Medium Grid 1 Accent 5"/>
    <w:basedOn w:val="Tablanormal"/>
    <w:uiPriority w:val="67"/>
    <w:rsid w:val="00B522F5"/>
    <w:rPr>
      <w:rFonts w:asciiTheme="minorHAnsi" w:eastAsiaTheme="minorEastAsia" w:hAnsiTheme="minorHAnsi" w:cstheme="minorBidi"/>
      <w:sz w:val="24"/>
      <w:szCs w:val="24"/>
      <w:lang w:val="es-ES_tradnl" w:eastAsia="es-E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ombreadomedio1-nfasis4">
    <w:name w:val="Medium Shading 1 Accent 4"/>
    <w:basedOn w:val="Tablanormal"/>
    <w:uiPriority w:val="63"/>
    <w:rsid w:val="00B522F5"/>
    <w:rPr>
      <w:rFonts w:asciiTheme="minorHAnsi" w:eastAsiaTheme="minorEastAsia" w:hAnsiTheme="minorHAnsi" w:cstheme="minorBidi"/>
      <w:sz w:val="24"/>
      <w:szCs w:val="24"/>
      <w:lang w:val="es-ES_tradnl" w:eastAsia="es-E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B522F5"/>
    <w:rPr>
      <w:rFonts w:asciiTheme="minorHAnsi" w:eastAsiaTheme="minorEastAsia" w:hAnsiTheme="minorHAnsi" w:cstheme="minorBidi"/>
      <w:sz w:val="24"/>
      <w:szCs w:val="24"/>
      <w:lang w:val="es-ES_tradnl" w:eastAsia="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clara">
    <w:name w:val="Light List"/>
    <w:basedOn w:val="Tablanormal"/>
    <w:uiPriority w:val="61"/>
    <w:rsid w:val="00B522F5"/>
    <w:rPr>
      <w:rFonts w:asciiTheme="minorHAnsi" w:eastAsiaTheme="minorEastAsia" w:hAnsiTheme="minorHAnsi" w:cstheme="minorBidi"/>
      <w:sz w:val="24"/>
      <w:szCs w:val="24"/>
      <w:lang w:val="es-ES_tradnl"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4-nfasis32">
    <w:name w:val="Tabla de cuadrícula 4 - Énfasis 32"/>
    <w:basedOn w:val="Tablanormal"/>
    <w:uiPriority w:val="49"/>
    <w:rsid w:val="00332BE3"/>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lauraCuerpoinformeCar0">
    <w:name w:val="laura Cuerpo informe Car"/>
    <w:rsid w:val="00243D96"/>
    <w:rPr>
      <w:rFonts w:ascii="Arial" w:hAnsi="Arial" w:cs="Arial"/>
      <w:color w:val="000000"/>
      <w:sz w:val="22"/>
      <w:szCs w:val="22"/>
      <w:lang w:val="es-ES" w:eastAsia="es-ES"/>
    </w:rPr>
  </w:style>
  <w:style w:type="character" w:customStyle="1" w:styleId="MSGENFONTSTYLENAMETEMPLATEROLEMSGENFONTSTYLENAMEBYROLETEXT">
    <w:name w:val="MSG_EN_FONT_STYLE_NAME_TEMPLATE_ROLE MSG_EN_FONT_STYLE_NAME_BY_ROLE_TEXT_"/>
    <w:link w:val="MSGENFONTSTYLENAMETEMPLATEROLEMSGENFONTSTYLENAMEBYROLETEXT1"/>
    <w:uiPriority w:val="99"/>
    <w:rsid w:val="003F1CFC"/>
    <w:rPr>
      <w:rFonts w:ascii="Arial" w:hAnsi="Arial" w:cs="Arial"/>
      <w:sz w:val="18"/>
      <w:szCs w:val="18"/>
      <w:shd w:val="clear" w:color="auto" w:fill="FFFFFF"/>
    </w:rPr>
  </w:style>
  <w:style w:type="paragraph" w:customStyle="1" w:styleId="MSGENFONTSTYLENAMETEMPLATEROLEMSGENFONTSTYLENAMEBYROLETEXT1">
    <w:name w:val="MSG_EN_FONT_STYLE_NAME_TEMPLATE_ROLE MSG_EN_FONT_STYLE_NAME_BY_ROLE_TEXT1"/>
    <w:basedOn w:val="Normal"/>
    <w:link w:val="MSGENFONTSTYLENAMETEMPLATEROLEMSGENFONTSTYLENAMEBYROLETEXT"/>
    <w:uiPriority w:val="99"/>
    <w:rsid w:val="003F1CFC"/>
    <w:pPr>
      <w:widowControl w:val="0"/>
      <w:shd w:val="clear" w:color="auto" w:fill="FFFFFF"/>
      <w:spacing w:before="300" w:after="300" w:line="230" w:lineRule="exact"/>
      <w:ind w:hanging="720"/>
      <w:jc w:val="both"/>
    </w:pPr>
    <w:rPr>
      <w:rFonts w:cs="Arial"/>
      <w:sz w:val="18"/>
      <w:szCs w:val="18"/>
      <w:lang w:val="es-CO" w:eastAsia="es-CO"/>
    </w:rPr>
  </w:style>
  <w:style w:type="paragraph" w:styleId="Textoindependiente3">
    <w:name w:val="Body Text 3"/>
    <w:basedOn w:val="Normal"/>
    <w:link w:val="Textoindependiente3Car"/>
    <w:uiPriority w:val="99"/>
    <w:unhideWhenUsed/>
    <w:rsid w:val="003F1CFC"/>
    <w:pPr>
      <w:spacing w:after="120"/>
    </w:pPr>
    <w:rPr>
      <w:rFonts w:ascii="Calibri" w:eastAsia="Times New Roman" w:hAnsi="Calibri"/>
      <w:sz w:val="16"/>
      <w:szCs w:val="16"/>
      <w:lang w:val="es-CO" w:eastAsia="es-CO"/>
    </w:rPr>
  </w:style>
  <w:style w:type="character" w:customStyle="1" w:styleId="Textoindependiente3Car">
    <w:name w:val="Texto independiente 3 Car"/>
    <w:basedOn w:val="Fuentedeprrafopredeter"/>
    <w:link w:val="Textoindependiente3"/>
    <w:uiPriority w:val="99"/>
    <w:rsid w:val="003F1CFC"/>
    <w:rPr>
      <w:rFonts w:eastAsia="Times New Roman"/>
      <w:sz w:val="16"/>
      <w:szCs w:val="16"/>
    </w:rPr>
  </w:style>
  <w:style w:type="character" w:customStyle="1" w:styleId="texto-pequeno1">
    <w:name w:val="texto-pequeno1"/>
    <w:rsid w:val="003F1CFC"/>
    <w:rPr>
      <w:b w:val="0"/>
      <w:bCs w:val="0"/>
      <w:strike w:val="0"/>
      <w:dstrike w:val="0"/>
      <w:color w:val="666666"/>
      <w:sz w:val="17"/>
      <w:szCs w:val="17"/>
      <w:u w:val="none"/>
      <w:effect w:val="none"/>
    </w:rPr>
  </w:style>
  <w:style w:type="paragraph" w:customStyle="1" w:styleId="xl205">
    <w:name w:val="xl205"/>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center"/>
      <w:textAlignment w:val="center"/>
    </w:pPr>
    <w:rPr>
      <w:rFonts w:ascii="Arial Narrow" w:eastAsia="Times New Roman" w:hAnsi="Arial Narrow"/>
      <w:b/>
      <w:bCs/>
      <w:sz w:val="24"/>
      <w:szCs w:val="24"/>
      <w:lang w:val="es-CO" w:eastAsia="es-CO"/>
    </w:rPr>
  </w:style>
  <w:style w:type="paragraph" w:customStyle="1" w:styleId="xl206">
    <w:name w:val="xl206"/>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center"/>
      <w:textAlignment w:val="center"/>
    </w:pPr>
    <w:rPr>
      <w:rFonts w:ascii="Arial Narrow" w:eastAsia="Times New Roman" w:hAnsi="Arial Narrow"/>
      <w:b/>
      <w:bCs/>
      <w:sz w:val="24"/>
      <w:szCs w:val="24"/>
      <w:lang w:val="es-CO" w:eastAsia="es-CO"/>
    </w:rPr>
  </w:style>
  <w:style w:type="paragraph" w:customStyle="1" w:styleId="xl207">
    <w:name w:val="xl207"/>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center"/>
      <w:textAlignment w:val="center"/>
    </w:pPr>
    <w:rPr>
      <w:rFonts w:ascii="Arial Narrow" w:eastAsia="Times New Roman" w:hAnsi="Arial Narrow"/>
      <w:b/>
      <w:bCs/>
      <w:sz w:val="24"/>
      <w:szCs w:val="24"/>
      <w:lang w:val="es-CO" w:eastAsia="es-CO"/>
    </w:rPr>
  </w:style>
  <w:style w:type="paragraph" w:customStyle="1" w:styleId="xl208">
    <w:name w:val="xl208"/>
    <w:basedOn w:val="Normal"/>
    <w:rsid w:val="003F1CFC"/>
    <w:pPr>
      <w:spacing w:beforeAutospacing="1" w:after="100" w:afterAutospacing="1" w:line="240" w:lineRule="auto"/>
      <w:jc w:val="both"/>
    </w:pPr>
    <w:rPr>
      <w:rFonts w:ascii="Times New Roman" w:eastAsia="Times New Roman" w:hAnsi="Times New Roman"/>
      <w:sz w:val="24"/>
      <w:szCs w:val="24"/>
      <w:lang w:val="es-CO" w:eastAsia="es-CO"/>
    </w:rPr>
  </w:style>
  <w:style w:type="paragraph" w:customStyle="1" w:styleId="xl209">
    <w:name w:val="xl209"/>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both"/>
    </w:pPr>
    <w:rPr>
      <w:rFonts w:ascii="Arial Narrow" w:eastAsia="Times New Roman" w:hAnsi="Arial Narrow"/>
      <w:b/>
      <w:bCs/>
      <w:sz w:val="24"/>
      <w:szCs w:val="24"/>
      <w:lang w:val="es-CO" w:eastAsia="es-CO"/>
    </w:rPr>
  </w:style>
  <w:style w:type="paragraph" w:customStyle="1" w:styleId="xl210">
    <w:name w:val="xl210"/>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center"/>
    </w:pPr>
    <w:rPr>
      <w:rFonts w:ascii="Arial Narrow" w:eastAsia="Times New Roman" w:hAnsi="Arial Narrow"/>
      <w:b/>
      <w:bCs/>
      <w:sz w:val="24"/>
      <w:szCs w:val="24"/>
      <w:lang w:val="es-CO" w:eastAsia="es-CO"/>
    </w:rPr>
  </w:style>
  <w:style w:type="paragraph" w:customStyle="1" w:styleId="xl211">
    <w:name w:val="xl211"/>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both"/>
    </w:pPr>
    <w:rPr>
      <w:rFonts w:ascii="Arial Narrow" w:eastAsia="Times New Roman" w:hAnsi="Arial Narrow"/>
      <w:b/>
      <w:bCs/>
      <w:sz w:val="24"/>
      <w:szCs w:val="24"/>
      <w:lang w:val="es-CO" w:eastAsia="es-CO"/>
    </w:rPr>
  </w:style>
  <w:style w:type="paragraph" w:customStyle="1" w:styleId="xl212">
    <w:name w:val="xl212"/>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right"/>
    </w:pPr>
    <w:rPr>
      <w:rFonts w:ascii="Arial Narrow" w:eastAsia="Times New Roman" w:hAnsi="Arial Narrow"/>
      <w:b/>
      <w:bCs/>
      <w:sz w:val="24"/>
      <w:szCs w:val="24"/>
      <w:lang w:val="es-CO" w:eastAsia="es-CO"/>
    </w:rPr>
  </w:style>
  <w:style w:type="paragraph" w:customStyle="1" w:styleId="xl213">
    <w:name w:val="xl213"/>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both"/>
    </w:pPr>
    <w:rPr>
      <w:rFonts w:ascii="Arial Narrow" w:eastAsia="Times New Roman" w:hAnsi="Arial Narrow"/>
      <w:sz w:val="24"/>
      <w:szCs w:val="24"/>
      <w:lang w:val="es-CO" w:eastAsia="es-CO"/>
    </w:rPr>
  </w:style>
  <w:style w:type="paragraph" w:customStyle="1" w:styleId="xl214">
    <w:name w:val="xl214"/>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center"/>
    </w:pPr>
    <w:rPr>
      <w:rFonts w:ascii="Arial Narrow" w:eastAsia="Times New Roman" w:hAnsi="Arial Narrow"/>
      <w:sz w:val="24"/>
      <w:szCs w:val="24"/>
      <w:lang w:val="es-CO" w:eastAsia="es-CO"/>
    </w:rPr>
  </w:style>
  <w:style w:type="paragraph" w:customStyle="1" w:styleId="xl215">
    <w:name w:val="xl215"/>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both"/>
    </w:pPr>
    <w:rPr>
      <w:rFonts w:ascii="Arial Narrow" w:eastAsia="Times New Roman" w:hAnsi="Arial Narrow"/>
      <w:sz w:val="24"/>
      <w:szCs w:val="24"/>
      <w:lang w:val="es-CO" w:eastAsia="es-CO"/>
    </w:rPr>
  </w:style>
  <w:style w:type="paragraph" w:customStyle="1" w:styleId="xl216">
    <w:name w:val="xl216"/>
    <w:basedOn w:val="Normal"/>
    <w:rsid w:val="003F1CFC"/>
    <w:pPr>
      <w:pBdr>
        <w:top w:val="single" w:sz="4" w:space="0" w:color="948A54"/>
        <w:left w:val="single" w:sz="4" w:space="0" w:color="948A54"/>
        <w:bottom w:val="single" w:sz="4" w:space="0" w:color="948A54"/>
        <w:right w:val="single" w:sz="4" w:space="0" w:color="948A54"/>
      </w:pBdr>
      <w:shd w:val="clear" w:color="000000" w:fill="EBF1DE"/>
      <w:spacing w:beforeAutospacing="1" w:after="100" w:afterAutospacing="1" w:line="240" w:lineRule="auto"/>
      <w:jc w:val="right"/>
    </w:pPr>
    <w:rPr>
      <w:rFonts w:ascii="Arial Narrow" w:eastAsia="Times New Roman" w:hAnsi="Arial Narrow"/>
      <w:sz w:val="24"/>
      <w:szCs w:val="24"/>
      <w:lang w:val="es-CO" w:eastAsia="es-CO"/>
    </w:rPr>
  </w:style>
  <w:style w:type="paragraph" w:customStyle="1" w:styleId="xl217">
    <w:name w:val="xl217"/>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both"/>
    </w:pPr>
    <w:rPr>
      <w:rFonts w:ascii="Arial Narrow" w:eastAsia="Times New Roman" w:hAnsi="Arial Narrow"/>
      <w:b/>
      <w:bCs/>
      <w:sz w:val="24"/>
      <w:szCs w:val="24"/>
      <w:lang w:val="es-CO" w:eastAsia="es-CO"/>
    </w:rPr>
  </w:style>
  <w:style w:type="paragraph" w:customStyle="1" w:styleId="xl218">
    <w:name w:val="xl218"/>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center"/>
    </w:pPr>
    <w:rPr>
      <w:rFonts w:ascii="Arial Narrow" w:eastAsia="Times New Roman" w:hAnsi="Arial Narrow"/>
      <w:b/>
      <w:bCs/>
      <w:sz w:val="24"/>
      <w:szCs w:val="24"/>
      <w:lang w:val="es-CO" w:eastAsia="es-CO"/>
    </w:rPr>
  </w:style>
  <w:style w:type="paragraph" w:customStyle="1" w:styleId="xl219">
    <w:name w:val="xl219"/>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both"/>
    </w:pPr>
    <w:rPr>
      <w:rFonts w:ascii="Arial Narrow" w:eastAsia="Times New Roman" w:hAnsi="Arial Narrow"/>
      <w:b/>
      <w:bCs/>
      <w:sz w:val="24"/>
      <w:szCs w:val="24"/>
      <w:lang w:val="es-CO" w:eastAsia="es-CO"/>
    </w:rPr>
  </w:style>
  <w:style w:type="paragraph" w:customStyle="1" w:styleId="xl220">
    <w:name w:val="xl220"/>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right"/>
    </w:pPr>
    <w:rPr>
      <w:rFonts w:ascii="Arial Narrow" w:eastAsia="Times New Roman" w:hAnsi="Arial Narrow"/>
      <w:b/>
      <w:bCs/>
      <w:sz w:val="24"/>
      <w:szCs w:val="24"/>
      <w:lang w:val="es-CO" w:eastAsia="es-CO"/>
    </w:rPr>
  </w:style>
  <w:style w:type="paragraph" w:customStyle="1" w:styleId="xl221">
    <w:name w:val="xl221"/>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both"/>
    </w:pPr>
    <w:rPr>
      <w:rFonts w:ascii="Arial Narrow" w:eastAsia="Times New Roman" w:hAnsi="Arial Narrow"/>
      <w:sz w:val="24"/>
      <w:szCs w:val="24"/>
      <w:lang w:val="es-CO" w:eastAsia="es-CO"/>
    </w:rPr>
  </w:style>
  <w:style w:type="paragraph" w:customStyle="1" w:styleId="xl222">
    <w:name w:val="xl222"/>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center"/>
    </w:pPr>
    <w:rPr>
      <w:rFonts w:ascii="Arial Narrow" w:eastAsia="Times New Roman" w:hAnsi="Arial Narrow"/>
      <w:sz w:val="24"/>
      <w:szCs w:val="24"/>
      <w:lang w:val="es-CO" w:eastAsia="es-CO"/>
    </w:rPr>
  </w:style>
  <w:style w:type="paragraph" w:customStyle="1" w:styleId="xl223">
    <w:name w:val="xl223"/>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both"/>
    </w:pPr>
    <w:rPr>
      <w:rFonts w:ascii="Arial Narrow" w:eastAsia="Times New Roman" w:hAnsi="Arial Narrow"/>
      <w:sz w:val="24"/>
      <w:szCs w:val="24"/>
      <w:lang w:val="es-CO" w:eastAsia="es-CO"/>
    </w:rPr>
  </w:style>
  <w:style w:type="paragraph" w:customStyle="1" w:styleId="xl224">
    <w:name w:val="xl224"/>
    <w:basedOn w:val="Normal"/>
    <w:rsid w:val="003F1CFC"/>
    <w:pPr>
      <w:pBdr>
        <w:top w:val="single" w:sz="4" w:space="0" w:color="948A54"/>
        <w:left w:val="single" w:sz="4" w:space="0" w:color="948A54"/>
        <w:bottom w:val="single" w:sz="4" w:space="0" w:color="948A54"/>
        <w:right w:val="single" w:sz="4" w:space="0" w:color="948A54"/>
      </w:pBdr>
      <w:spacing w:beforeAutospacing="1" w:after="100" w:afterAutospacing="1" w:line="240" w:lineRule="auto"/>
      <w:jc w:val="right"/>
    </w:pPr>
    <w:rPr>
      <w:rFonts w:ascii="Arial Narrow" w:eastAsia="Times New Roman" w:hAnsi="Arial Narrow"/>
      <w:sz w:val="24"/>
      <w:szCs w:val="24"/>
      <w:lang w:val="es-CO" w:eastAsia="es-CO"/>
    </w:rPr>
  </w:style>
  <w:style w:type="paragraph" w:customStyle="1" w:styleId="xl225">
    <w:name w:val="xl225"/>
    <w:basedOn w:val="Normal"/>
    <w:rsid w:val="003F1CFC"/>
    <w:pPr>
      <w:spacing w:beforeAutospacing="1" w:after="100" w:afterAutospacing="1" w:line="240" w:lineRule="auto"/>
      <w:jc w:val="both"/>
    </w:pPr>
    <w:rPr>
      <w:rFonts w:ascii="Arial Narrow" w:eastAsia="Times New Roman" w:hAnsi="Arial Narrow"/>
      <w:sz w:val="24"/>
      <w:szCs w:val="24"/>
      <w:lang w:val="es-CO" w:eastAsia="es-CO"/>
    </w:rPr>
  </w:style>
  <w:style w:type="paragraph" w:customStyle="1" w:styleId="xl226">
    <w:name w:val="xl226"/>
    <w:basedOn w:val="Normal"/>
    <w:rsid w:val="003F1CFC"/>
    <w:pPr>
      <w:spacing w:beforeAutospacing="1" w:after="100" w:afterAutospacing="1" w:line="240" w:lineRule="auto"/>
      <w:jc w:val="both"/>
    </w:pPr>
    <w:rPr>
      <w:rFonts w:ascii="Arial Narrow" w:eastAsia="Times New Roman" w:hAnsi="Arial Narrow"/>
      <w:sz w:val="24"/>
      <w:szCs w:val="24"/>
      <w:lang w:val="es-CO" w:eastAsia="es-CO"/>
    </w:rPr>
  </w:style>
  <w:style w:type="table" w:styleId="Sombreadomedio2-nfasis3">
    <w:name w:val="Medium Shading 2 Accent 3"/>
    <w:basedOn w:val="Tablanormal"/>
    <w:uiPriority w:val="64"/>
    <w:rsid w:val="003F1CFC"/>
    <w:rPr>
      <w:rFonts w:ascii="Arial" w:eastAsia="Times New Roman" w:hAnsi="Arial"/>
      <w:lang w:val="es-ES_trad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tulo">
    <w:name w:val="Title"/>
    <w:basedOn w:val="Normal"/>
    <w:next w:val="Normal"/>
    <w:link w:val="TtuloCar"/>
    <w:uiPriority w:val="10"/>
    <w:qFormat/>
    <w:rsid w:val="003F1CFC"/>
    <w:pPr>
      <w:spacing w:after="0" w:line="240" w:lineRule="auto"/>
      <w:contextualSpacing/>
    </w:pPr>
    <w:rPr>
      <w:rFonts w:ascii="Calibri Light" w:eastAsia="SimSun" w:hAnsi="Calibri Light"/>
      <w:color w:val="262626"/>
      <w:sz w:val="96"/>
      <w:szCs w:val="96"/>
      <w:lang w:val="es-CO" w:eastAsia="es-CO"/>
    </w:rPr>
  </w:style>
  <w:style w:type="character" w:customStyle="1" w:styleId="TtuloCar">
    <w:name w:val="Título Car"/>
    <w:basedOn w:val="Fuentedeprrafopredeter"/>
    <w:link w:val="Ttulo"/>
    <w:uiPriority w:val="10"/>
    <w:rsid w:val="003F1CFC"/>
    <w:rPr>
      <w:rFonts w:ascii="Calibri Light" w:eastAsia="SimSun" w:hAnsi="Calibri Light"/>
      <w:color w:val="262626"/>
      <w:sz w:val="96"/>
      <w:szCs w:val="96"/>
    </w:rPr>
  </w:style>
  <w:style w:type="paragraph" w:styleId="Sangradetextonormal">
    <w:name w:val="Body Text Indent"/>
    <w:basedOn w:val="Normal"/>
    <w:link w:val="SangradetextonormalCar"/>
    <w:uiPriority w:val="99"/>
    <w:rsid w:val="003F1CFC"/>
    <w:pPr>
      <w:spacing w:after="0" w:line="240" w:lineRule="auto"/>
      <w:ind w:left="426"/>
    </w:pPr>
    <w:rPr>
      <w:rFonts w:eastAsia="Times New Roman"/>
      <w:b/>
      <w:bCs/>
      <w:sz w:val="21"/>
      <w:szCs w:val="21"/>
      <w:lang w:val="es-CO" w:eastAsia="x-none"/>
    </w:rPr>
  </w:style>
  <w:style w:type="character" w:customStyle="1" w:styleId="SangradetextonormalCar">
    <w:name w:val="Sangría de texto normal Car"/>
    <w:basedOn w:val="Fuentedeprrafopredeter"/>
    <w:link w:val="Sangradetextonormal"/>
    <w:uiPriority w:val="99"/>
    <w:rsid w:val="003F1CFC"/>
    <w:rPr>
      <w:rFonts w:ascii="Arial" w:eastAsia="Times New Roman" w:hAnsi="Arial"/>
      <w:b/>
      <w:bCs/>
      <w:sz w:val="21"/>
      <w:szCs w:val="21"/>
      <w:lang w:eastAsia="x-none"/>
    </w:rPr>
  </w:style>
  <w:style w:type="paragraph" w:customStyle="1" w:styleId="Estilo1">
    <w:name w:val="Estilo1"/>
    <w:basedOn w:val="Normal"/>
    <w:link w:val="Estilo1Car"/>
    <w:rsid w:val="003F1CFC"/>
    <w:pPr>
      <w:numPr>
        <w:numId w:val="13"/>
      </w:numPr>
      <w:spacing w:after="0" w:line="240" w:lineRule="auto"/>
      <w:ind w:left="284" w:hanging="284"/>
    </w:pPr>
    <w:rPr>
      <w:rFonts w:ascii="Arial Narrow" w:eastAsia="Times New Roman" w:hAnsi="Arial Narrow"/>
      <w:b/>
      <w:sz w:val="24"/>
      <w:szCs w:val="24"/>
      <w:lang w:val="es-CO" w:eastAsia="es-CO"/>
    </w:rPr>
  </w:style>
  <w:style w:type="character" w:customStyle="1" w:styleId="Estilo1Car">
    <w:name w:val="Estilo1 Car"/>
    <w:link w:val="Estilo1"/>
    <w:rsid w:val="003F1CFC"/>
    <w:rPr>
      <w:rFonts w:ascii="Arial Narrow" w:eastAsia="Times New Roman" w:hAnsi="Arial Narrow"/>
      <w:b/>
      <w:sz w:val="24"/>
      <w:szCs w:val="24"/>
    </w:rPr>
  </w:style>
  <w:style w:type="paragraph" w:customStyle="1" w:styleId="font5">
    <w:name w:val="font5"/>
    <w:basedOn w:val="Normal"/>
    <w:rsid w:val="003F1CFC"/>
    <w:pPr>
      <w:spacing w:beforeAutospacing="1" w:after="100" w:afterAutospacing="1" w:line="240" w:lineRule="auto"/>
    </w:pPr>
    <w:rPr>
      <w:rFonts w:eastAsia="Times New Roman" w:cs="Arial"/>
      <w:color w:val="000000"/>
      <w:sz w:val="18"/>
      <w:szCs w:val="18"/>
      <w:lang w:val="es-CO" w:eastAsia="es-CO"/>
    </w:rPr>
  </w:style>
  <w:style w:type="paragraph" w:customStyle="1" w:styleId="xl64">
    <w:name w:val="xl64"/>
    <w:basedOn w:val="Normal"/>
    <w:rsid w:val="003F1CFC"/>
    <w:pPr>
      <w:pBdr>
        <w:top w:val="single" w:sz="4" w:space="0" w:color="auto"/>
        <w:left w:val="single" w:sz="4" w:space="0" w:color="auto"/>
        <w:bottom w:val="single" w:sz="4" w:space="0" w:color="auto"/>
        <w:right w:val="single" w:sz="4" w:space="0" w:color="auto"/>
      </w:pBdr>
      <w:shd w:val="clear" w:color="000000" w:fill="8DB4E3"/>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65">
    <w:name w:val="xl65"/>
    <w:basedOn w:val="Normal"/>
    <w:rsid w:val="003F1CFC"/>
    <w:pPr>
      <w:pBdr>
        <w:top w:val="single" w:sz="4" w:space="0" w:color="auto"/>
        <w:left w:val="single" w:sz="4" w:space="0" w:color="auto"/>
        <w:bottom w:val="single" w:sz="4" w:space="0" w:color="auto"/>
        <w:right w:val="single" w:sz="4" w:space="0" w:color="auto"/>
      </w:pBdr>
      <w:shd w:val="clear" w:color="000000" w:fill="8DB4E3"/>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66">
    <w:name w:val="xl66"/>
    <w:basedOn w:val="Normal"/>
    <w:rsid w:val="003F1CFC"/>
    <w:pPr>
      <w:pBdr>
        <w:top w:val="single" w:sz="4" w:space="0" w:color="auto"/>
        <w:left w:val="single" w:sz="4" w:space="0" w:color="auto"/>
        <w:bottom w:val="single" w:sz="4" w:space="0" w:color="auto"/>
        <w:right w:val="single" w:sz="4" w:space="0" w:color="auto"/>
      </w:pBdr>
      <w:shd w:val="clear" w:color="000000" w:fill="8DB4E3"/>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67">
    <w:name w:val="xl67"/>
    <w:basedOn w:val="Normal"/>
    <w:rsid w:val="003F1CFC"/>
    <w:pPr>
      <w:spacing w:beforeAutospacing="1" w:after="100" w:afterAutospacing="1" w:line="240" w:lineRule="auto"/>
    </w:pPr>
    <w:rPr>
      <w:rFonts w:ascii="Times New Roman" w:eastAsia="Times New Roman" w:hAnsi="Times New Roman"/>
      <w:sz w:val="18"/>
      <w:szCs w:val="18"/>
      <w:lang w:val="es-CO" w:eastAsia="es-CO"/>
    </w:rPr>
  </w:style>
  <w:style w:type="paragraph" w:customStyle="1" w:styleId="xl68">
    <w:name w:val="xl68"/>
    <w:basedOn w:val="Normal"/>
    <w:rsid w:val="003F1CFC"/>
    <w:pPr>
      <w:pBdr>
        <w:top w:val="single" w:sz="4" w:space="0" w:color="auto"/>
        <w:left w:val="single" w:sz="4" w:space="0" w:color="auto"/>
        <w:bottom w:val="single" w:sz="4" w:space="0" w:color="auto"/>
        <w:right w:val="single" w:sz="4" w:space="0" w:color="auto"/>
      </w:pBdr>
      <w:shd w:val="clear" w:color="DBE5F1" w:fill="FFFFFF"/>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69">
    <w:name w:val="xl69"/>
    <w:basedOn w:val="Normal"/>
    <w:rsid w:val="003F1CFC"/>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0">
    <w:name w:val="xl70"/>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1">
    <w:name w:val="xl71"/>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2">
    <w:name w:val="xl72"/>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3">
    <w:name w:val="xl73"/>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4">
    <w:name w:val="xl74"/>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Times New Roman" w:eastAsia="Times New Roman" w:hAnsi="Times New Roman"/>
      <w:sz w:val="18"/>
      <w:szCs w:val="18"/>
      <w:lang w:val="es-CO" w:eastAsia="es-CO"/>
    </w:rPr>
  </w:style>
  <w:style w:type="paragraph" w:customStyle="1" w:styleId="xl75">
    <w:name w:val="xl75"/>
    <w:basedOn w:val="Normal"/>
    <w:rsid w:val="003F1CFC"/>
    <w:pPr>
      <w:pBdr>
        <w:top w:val="single" w:sz="4" w:space="0" w:color="auto"/>
        <w:left w:val="single" w:sz="4" w:space="0" w:color="auto"/>
        <w:bottom w:val="single" w:sz="4" w:space="0" w:color="auto"/>
        <w:right w:val="single" w:sz="4" w:space="0" w:color="auto"/>
      </w:pBdr>
      <w:shd w:val="clear" w:color="B8CCE4" w:fill="FFFFFF"/>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6">
    <w:name w:val="xl76"/>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eastAsia="Times New Roman" w:cs="Arial"/>
      <w:sz w:val="18"/>
      <w:szCs w:val="18"/>
      <w:lang w:val="es-CO" w:eastAsia="es-CO"/>
    </w:rPr>
  </w:style>
  <w:style w:type="paragraph" w:customStyle="1" w:styleId="xl77">
    <w:name w:val="xl77"/>
    <w:basedOn w:val="Normal"/>
    <w:rsid w:val="003F1CFC"/>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8">
    <w:name w:val="xl78"/>
    <w:basedOn w:val="Normal"/>
    <w:rsid w:val="003F1CFC"/>
    <w:pPr>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xl79">
    <w:name w:val="xl79"/>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Times New Roman" w:eastAsia="Times New Roman" w:hAnsi="Times New Roman"/>
      <w:color w:val="000000"/>
      <w:sz w:val="18"/>
      <w:szCs w:val="18"/>
      <w:lang w:val="es-CO" w:eastAsia="es-CO"/>
    </w:rPr>
  </w:style>
  <w:style w:type="paragraph" w:customStyle="1" w:styleId="xl80">
    <w:name w:val="xl80"/>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Times New Roman" w:eastAsia="Times New Roman" w:hAnsi="Times New Roman"/>
      <w:color w:val="000000"/>
      <w:sz w:val="18"/>
      <w:szCs w:val="18"/>
      <w:lang w:val="es-CO" w:eastAsia="es-CO"/>
    </w:rPr>
  </w:style>
  <w:style w:type="paragraph" w:customStyle="1" w:styleId="xl81">
    <w:name w:val="xl81"/>
    <w:basedOn w:val="Normal"/>
    <w:rsid w:val="003F1CFC"/>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Times New Roman" w:eastAsia="Times New Roman" w:hAnsi="Times New Roman"/>
      <w:sz w:val="18"/>
      <w:szCs w:val="18"/>
      <w:lang w:val="es-CO" w:eastAsia="es-CO"/>
    </w:rPr>
  </w:style>
  <w:style w:type="paragraph" w:customStyle="1" w:styleId="xl82">
    <w:name w:val="xl82"/>
    <w:basedOn w:val="Normal"/>
    <w:rsid w:val="003F1CFC"/>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center"/>
    </w:pPr>
    <w:rPr>
      <w:rFonts w:ascii="Times New Roman" w:eastAsia="Times New Roman" w:hAnsi="Times New Roman"/>
      <w:color w:val="000000"/>
      <w:sz w:val="18"/>
      <w:szCs w:val="18"/>
      <w:lang w:val="es-CO" w:eastAsia="es-CO"/>
    </w:rPr>
  </w:style>
  <w:style w:type="paragraph" w:customStyle="1" w:styleId="xl83">
    <w:name w:val="xl83"/>
    <w:basedOn w:val="Normal"/>
    <w:rsid w:val="003F1CFC"/>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center"/>
    </w:pPr>
    <w:rPr>
      <w:rFonts w:ascii="Times New Roman" w:eastAsia="Times New Roman" w:hAnsi="Times New Roman"/>
      <w:sz w:val="18"/>
      <w:szCs w:val="18"/>
      <w:lang w:val="es-CO" w:eastAsia="es-CO"/>
    </w:rPr>
  </w:style>
  <w:style w:type="paragraph" w:customStyle="1" w:styleId="CM34">
    <w:name w:val="CM34"/>
    <w:basedOn w:val="Default"/>
    <w:next w:val="Default"/>
    <w:uiPriority w:val="99"/>
    <w:rsid w:val="003F1CFC"/>
    <w:pPr>
      <w:spacing w:before="100" w:after="200" w:line="276" w:lineRule="auto"/>
    </w:pPr>
    <w:rPr>
      <w:rFonts w:ascii="Arial" w:eastAsia="Times New Roman" w:hAnsi="Arial" w:cs="Arial"/>
      <w:color w:val="auto"/>
      <w:lang w:val="es-ES" w:eastAsia="en-US"/>
    </w:rPr>
  </w:style>
  <w:style w:type="table" w:customStyle="1" w:styleId="Listamedia11">
    <w:name w:val="Lista media 11"/>
    <w:basedOn w:val="Tablanormal"/>
    <w:uiPriority w:val="65"/>
    <w:rsid w:val="003F1CFC"/>
    <w:rPr>
      <w:rFonts w:ascii="Arial" w:eastAsia="Times New Roman" w:hAnsi="Arial"/>
      <w:color w:val="000000"/>
      <w:lang w:val="es-ES_tradnl"/>
    </w:rPr>
    <w:tblPr>
      <w:tblStyleRowBandSize w:val="1"/>
      <w:tblStyleColBandSize w:val="1"/>
      <w:tblBorders>
        <w:top w:val="single" w:sz="8" w:space="0" w:color="000000"/>
        <w:bottom w:val="single" w:sz="8" w:space="0" w:color="000000"/>
      </w:tblBorders>
    </w:tblPr>
    <w:tblStylePr w:type="firstRow">
      <w:rPr>
        <w:rFonts w:ascii="Cambria Math" w:eastAsia="Times New Roman" w:hAnsi="Cambria Math"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Textopredeterminado">
    <w:name w:val="Texto predeterminado"/>
    <w:basedOn w:val="Normal"/>
    <w:rsid w:val="003F1CFC"/>
    <w:pPr>
      <w:autoSpaceDE w:val="0"/>
      <w:autoSpaceDN w:val="0"/>
      <w:adjustRightInd w:val="0"/>
      <w:spacing w:after="0" w:line="240" w:lineRule="auto"/>
      <w:jc w:val="both"/>
    </w:pPr>
    <w:rPr>
      <w:rFonts w:eastAsia="Times New Roman"/>
      <w:sz w:val="24"/>
      <w:szCs w:val="21"/>
      <w:lang w:val="en-US" w:eastAsia="es-CO"/>
    </w:rPr>
  </w:style>
  <w:style w:type="paragraph" w:customStyle="1" w:styleId="CM10">
    <w:name w:val="CM10"/>
    <w:basedOn w:val="Normal"/>
    <w:next w:val="Normal"/>
    <w:uiPriority w:val="99"/>
    <w:rsid w:val="003F1CFC"/>
    <w:pPr>
      <w:autoSpaceDE w:val="0"/>
      <w:autoSpaceDN w:val="0"/>
      <w:adjustRightInd w:val="0"/>
      <w:spacing w:after="0" w:line="240" w:lineRule="auto"/>
    </w:pPr>
    <w:rPr>
      <w:rFonts w:cs="Arial"/>
      <w:sz w:val="24"/>
      <w:szCs w:val="24"/>
      <w:lang w:val="es-CO" w:eastAsia="es-CO"/>
    </w:rPr>
  </w:style>
  <w:style w:type="paragraph" w:customStyle="1" w:styleId="CM12">
    <w:name w:val="CM12"/>
    <w:basedOn w:val="Normal"/>
    <w:next w:val="Normal"/>
    <w:uiPriority w:val="99"/>
    <w:rsid w:val="003F1CFC"/>
    <w:pPr>
      <w:autoSpaceDE w:val="0"/>
      <w:autoSpaceDN w:val="0"/>
      <w:adjustRightInd w:val="0"/>
      <w:spacing w:after="0" w:line="240" w:lineRule="auto"/>
    </w:pPr>
    <w:rPr>
      <w:rFonts w:cs="Arial"/>
      <w:sz w:val="24"/>
      <w:szCs w:val="24"/>
      <w:lang w:val="es-CO" w:eastAsia="es-CO"/>
    </w:rPr>
  </w:style>
  <w:style w:type="table" w:customStyle="1" w:styleId="Tabladelista6concolores1">
    <w:name w:val="Tabla de lista 6 con colores1"/>
    <w:basedOn w:val="Tablanormal"/>
    <w:uiPriority w:val="51"/>
    <w:rsid w:val="003F1CFC"/>
    <w:rPr>
      <w:rFonts w:eastAsia="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Cita">
    <w:name w:val="Quote"/>
    <w:basedOn w:val="Normal"/>
    <w:next w:val="Normal"/>
    <w:link w:val="CitaCar"/>
    <w:uiPriority w:val="29"/>
    <w:qFormat/>
    <w:rsid w:val="003F1CFC"/>
    <w:pPr>
      <w:spacing w:before="160" w:after="160"/>
      <w:ind w:left="720" w:right="720"/>
      <w:jc w:val="center"/>
    </w:pPr>
    <w:rPr>
      <w:rFonts w:ascii="Calibri Light" w:eastAsia="SimSun" w:hAnsi="Calibri Light"/>
      <w:color w:val="000000"/>
      <w:sz w:val="24"/>
      <w:szCs w:val="24"/>
      <w:lang w:val="es-CO" w:eastAsia="es-CO"/>
    </w:rPr>
  </w:style>
  <w:style w:type="character" w:customStyle="1" w:styleId="CitaCar">
    <w:name w:val="Cita Car"/>
    <w:basedOn w:val="Fuentedeprrafopredeter"/>
    <w:link w:val="Cita"/>
    <w:uiPriority w:val="29"/>
    <w:rsid w:val="003F1CFC"/>
    <w:rPr>
      <w:rFonts w:ascii="Calibri Light" w:eastAsia="SimSun" w:hAnsi="Calibri Light"/>
      <w:color w:val="000000"/>
      <w:sz w:val="24"/>
      <w:szCs w:val="24"/>
    </w:rPr>
  </w:style>
  <w:style w:type="paragraph" w:styleId="Citadestacada">
    <w:name w:val="Intense Quote"/>
    <w:basedOn w:val="Normal"/>
    <w:next w:val="Normal"/>
    <w:link w:val="CitadestacadaCar"/>
    <w:uiPriority w:val="30"/>
    <w:qFormat/>
    <w:rsid w:val="003F1CFC"/>
    <w:pPr>
      <w:pBdr>
        <w:top w:val="single" w:sz="24" w:space="4" w:color="ED7D31"/>
      </w:pBdr>
      <w:spacing w:before="240" w:after="240" w:line="240" w:lineRule="auto"/>
      <w:ind w:left="936" w:right="936"/>
      <w:jc w:val="center"/>
    </w:pPr>
    <w:rPr>
      <w:rFonts w:ascii="Calibri Light" w:eastAsia="SimSun" w:hAnsi="Calibri Light"/>
      <w:sz w:val="24"/>
      <w:szCs w:val="24"/>
      <w:lang w:val="es-CO" w:eastAsia="es-CO"/>
    </w:rPr>
  </w:style>
  <w:style w:type="character" w:customStyle="1" w:styleId="CitadestacadaCar">
    <w:name w:val="Cita destacada Car"/>
    <w:basedOn w:val="Fuentedeprrafopredeter"/>
    <w:link w:val="Citadestacada"/>
    <w:uiPriority w:val="30"/>
    <w:rsid w:val="003F1CFC"/>
    <w:rPr>
      <w:rFonts w:ascii="Calibri Light" w:eastAsia="SimSun" w:hAnsi="Calibri Light"/>
      <w:sz w:val="24"/>
      <w:szCs w:val="24"/>
    </w:rPr>
  </w:style>
  <w:style w:type="character" w:styleId="nfasissutil">
    <w:name w:val="Subtle Emphasis"/>
    <w:uiPriority w:val="19"/>
    <w:qFormat/>
    <w:rsid w:val="003F1CFC"/>
    <w:rPr>
      <w:i/>
      <w:iCs/>
      <w:color w:val="595959"/>
    </w:rPr>
  </w:style>
  <w:style w:type="character" w:styleId="Referenciasutil">
    <w:name w:val="Subtle Reference"/>
    <w:uiPriority w:val="31"/>
    <w:qFormat/>
    <w:rsid w:val="003F1CFC"/>
    <w:rPr>
      <w:caps w:val="0"/>
      <w:smallCaps/>
      <w:color w:val="404040"/>
      <w:spacing w:val="0"/>
      <w:u w:val="single" w:color="7F7F7F"/>
    </w:rPr>
  </w:style>
  <w:style w:type="character" w:styleId="Referenciaintensa">
    <w:name w:val="Intense Reference"/>
    <w:uiPriority w:val="32"/>
    <w:qFormat/>
    <w:rsid w:val="003F1CFC"/>
    <w:rPr>
      <w:b/>
      <w:bCs/>
      <w:caps w:val="0"/>
      <w:smallCaps/>
      <w:color w:val="auto"/>
      <w:spacing w:val="0"/>
      <w:u w:val="single"/>
    </w:rPr>
  </w:style>
  <w:style w:type="table" w:customStyle="1" w:styleId="Tablaconcuadrcula1">
    <w:name w:val="Tabla con cuadrícula1"/>
    <w:basedOn w:val="Tablanormal"/>
    <w:next w:val="Tablaconcuadrcula"/>
    <w:uiPriority w:val="59"/>
    <w:rsid w:val="003F1C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uiPriority w:val="99"/>
    <w:semiHidden/>
    <w:unhideWhenUsed/>
    <w:rsid w:val="003F1CFC"/>
  </w:style>
  <w:style w:type="paragraph" w:customStyle="1" w:styleId="pa6">
    <w:name w:val="pa6"/>
    <w:basedOn w:val="Normal"/>
    <w:rsid w:val="003F1CFC"/>
    <w:pPr>
      <w:spacing w:beforeAutospacing="1" w:after="100" w:afterAutospacing="1" w:line="240" w:lineRule="auto"/>
    </w:pPr>
    <w:rPr>
      <w:rFonts w:ascii="Times New Roman" w:hAnsi="Times New Roman"/>
      <w:sz w:val="24"/>
      <w:szCs w:val="24"/>
      <w:lang w:val="es-CO" w:eastAsia="es-CO"/>
    </w:rPr>
  </w:style>
  <w:style w:type="table" w:customStyle="1" w:styleId="Tabladelista7concolores-nfasis61">
    <w:name w:val="Tabla de lista 7 con colores - Énfasis 61"/>
    <w:basedOn w:val="Tablanormal"/>
    <w:uiPriority w:val="52"/>
    <w:rsid w:val="003F1CFC"/>
    <w:rPr>
      <w:rFonts w:eastAsia="Times New Roman"/>
      <w:color w:val="08A4EE"/>
    </w:rPr>
    <w:tblPr>
      <w:tblStyleRowBandSize w:val="1"/>
      <w:tblStyleColBandSize w:val="1"/>
    </w:tblPr>
    <w:tblStylePr w:type="firstRow">
      <w:rPr>
        <w:rFonts w:ascii="DK Crayon Crumble" w:eastAsia="Times New Roman" w:hAnsi="DK Crayon Crumble" w:cs="Times New Roman"/>
        <w:i/>
        <w:iCs/>
        <w:sz w:val="26"/>
      </w:rPr>
      <w:tblPr/>
      <w:tcPr>
        <w:tcBorders>
          <w:bottom w:val="single" w:sz="4" w:space="0" w:color="51C3F9"/>
        </w:tcBorders>
        <w:shd w:val="clear" w:color="auto" w:fill="FFFFFF"/>
      </w:tcPr>
    </w:tblStylePr>
    <w:tblStylePr w:type="lastRow">
      <w:rPr>
        <w:rFonts w:ascii="DK Crayon Crumble" w:eastAsia="Times New Roman" w:hAnsi="DK Crayon Crumble" w:cs="Times New Roman"/>
        <w:i/>
        <w:iCs/>
        <w:sz w:val="26"/>
      </w:rPr>
      <w:tblPr/>
      <w:tcPr>
        <w:tcBorders>
          <w:top w:val="single" w:sz="4" w:space="0" w:color="51C3F9"/>
        </w:tcBorders>
        <w:shd w:val="clear" w:color="auto" w:fill="FFFFFF"/>
      </w:tcPr>
    </w:tblStylePr>
    <w:tblStylePr w:type="firstCol">
      <w:pPr>
        <w:jc w:val="right"/>
      </w:pPr>
      <w:rPr>
        <w:rFonts w:ascii="DK Crayon Crumble" w:eastAsia="Times New Roman" w:hAnsi="DK Crayon Crumble" w:cs="Times New Roman"/>
        <w:i/>
        <w:iCs/>
        <w:sz w:val="26"/>
      </w:rPr>
      <w:tblPr/>
      <w:tcPr>
        <w:tcBorders>
          <w:right w:val="single" w:sz="4" w:space="0" w:color="51C3F9"/>
        </w:tcBorders>
        <w:shd w:val="clear" w:color="auto" w:fill="FFFFFF"/>
      </w:tcPr>
    </w:tblStylePr>
    <w:tblStylePr w:type="lastCol">
      <w:rPr>
        <w:rFonts w:ascii="DK Crayon Crumble" w:eastAsia="Times New Roman" w:hAnsi="DK Crayon Crumbl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fasisintenso1">
    <w:name w:val="Énfasis intenso1"/>
    <w:uiPriority w:val="21"/>
    <w:qFormat/>
    <w:rsid w:val="003F1CFC"/>
    <w:rPr>
      <w:b/>
      <w:bCs/>
      <w:i/>
      <w:iCs/>
      <w:color w:val="4F81BD"/>
    </w:rPr>
  </w:style>
  <w:style w:type="paragraph" w:customStyle="1" w:styleId="Titulos">
    <w:name w:val="Titulos"/>
    <w:basedOn w:val="Normal"/>
    <w:link w:val="TitulosCar"/>
    <w:qFormat/>
    <w:rsid w:val="003F1CFC"/>
    <w:pPr>
      <w:spacing w:after="0" w:line="240" w:lineRule="auto"/>
      <w:jc w:val="center"/>
    </w:pPr>
    <w:rPr>
      <w:rFonts w:ascii="Arial Narrow" w:eastAsia="Times New Roman" w:hAnsi="Arial Narrow"/>
      <w:b/>
      <w:sz w:val="24"/>
      <w:szCs w:val="24"/>
      <w:lang w:val="es-CO" w:eastAsia="es-CO"/>
    </w:rPr>
  </w:style>
  <w:style w:type="character" w:customStyle="1" w:styleId="TitulosCar">
    <w:name w:val="Titulos Car"/>
    <w:link w:val="Titulos"/>
    <w:rsid w:val="003F1CFC"/>
    <w:rPr>
      <w:rFonts w:ascii="Arial Narrow" w:eastAsia="Times New Roman" w:hAnsi="Arial Narrow"/>
      <w:b/>
      <w:sz w:val="24"/>
      <w:szCs w:val="24"/>
    </w:rPr>
  </w:style>
  <w:style w:type="paragraph" w:customStyle="1" w:styleId="Listavistosa-nfasis11">
    <w:name w:val="Lista vistosa-Énfasis 11"/>
    <w:basedOn w:val="Normal"/>
    <w:link w:val="Listavistosa-nfasis1Car0"/>
    <w:uiPriority w:val="34"/>
    <w:qFormat/>
    <w:rsid w:val="003F1CFC"/>
    <w:pPr>
      <w:spacing w:after="0" w:line="240" w:lineRule="auto"/>
      <w:ind w:left="708"/>
    </w:pPr>
    <w:rPr>
      <w:rFonts w:ascii="Arial Narrow" w:eastAsia="Times New Roman" w:hAnsi="Arial Narrow"/>
      <w:sz w:val="24"/>
      <w:szCs w:val="24"/>
      <w:lang w:val="es-CO" w:eastAsia="es-CO"/>
    </w:rPr>
  </w:style>
  <w:style w:type="character" w:customStyle="1" w:styleId="Listavistosa-nfasis1Car0">
    <w:name w:val="Lista vistosa-Énfasis 1 Car"/>
    <w:link w:val="Listavistosa-nfasis11"/>
    <w:uiPriority w:val="34"/>
    <w:locked/>
    <w:rsid w:val="003F1CFC"/>
    <w:rPr>
      <w:rFonts w:ascii="Arial Narrow" w:eastAsia="Times New Roman" w:hAnsi="Arial Narrow"/>
      <w:sz w:val="24"/>
      <w:szCs w:val="24"/>
    </w:rPr>
  </w:style>
  <w:style w:type="table" w:customStyle="1" w:styleId="Tabladecuadrcula1Claro-nfasis21">
    <w:name w:val="Tabla de cuadrícula 1 Claro-Énfasis 21"/>
    <w:basedOn w:val="Tablanormal"/>
    <w:uiPriority w:val="46"/>
    <w:rsid w:val="003F1CFC"/>
    <w:rPr>
      <w:sz w:val="22"/>
      <w:szCs w:val="22"/>
      <w:lang w:eastAsia="en-US"/>
    </w:rPr>
    <w:tblPr>
      <w:tblStyleRowBandSize w:val="1"/>
      <w:tblStyleColBandSize w:val="1"/>
      <w:tblBorders>
        <w:top w:val="single" w:sz="4" w:space="0" w:color="BFE2A8"/>
        <w:left w:val="single" w:sz="4" w:space="0" w:color="BFE2A8"/>
        <w:bottom w:val="single" w:sz="4" w:space="0" w:color="BFE2A8"/>
        <w:right w:val="single" w:sz="4" w:space="0" w:color="BFE2A8"/>
        <w:insideH w:val="single" w:sz="4" w:space="0" w:color="BFE2A8"/>
        <w:insideV w:val="single" w:sz="4" w:space="0" w:color="BFE2A8"/>
      </w:tblBorders>
    </w:tblPr>
    <w:tblStylePr w:type="firstRow">
      <w:rPr>
        <w:b/>
        <w:bCs/>
      </w:rPr>
      <w:tblPr/>
      <w:tcPr>
        <w:tcBorders>
          <w:bottom w:val="single" w:sz="12" w:space="0" w:color="9FD37C"/>
        </w:tcBorders>
      </w:tcPr>
    </w:tblStylePr>
    <w:tblStylePr w:type="lastRow">
      <w:rPr>
        <w:b/>
        <w:bCs/>
      </w:rPr>
      <w:tblPr/>
      <w:tcPr>
        <w:tcBorders>
          <w:top w:val="double" w:sz="2" w:space="0" w:color="9FD37C"/>
        </w:tcBorders>
      </w:tcPr>
    </w:tblStylePr>
    <w:tblStylePr w:type="firstCol">
      <w:rPr>
        <w:b/>
        <w:bCs/>
      </w:rPr>
    </w:tblStylePr>
    <w:tblStylePr w:type="lastCol">
      <w:rPr>
        <w:b/>
        <w:bCs/>
      </w:rPr>
    </w:tblStylePr>
  </w:style>
  <w:style w:type="table" w:customStyle="1" w:styleId="Tabladecuadrcula1clara-nfasis610">
    <w:name w:val="Tabla de cuadrícula 1 clara-Énfasis 61"/>
    <w:basedOn w:val="Tablanormal"/>
    <w:uiPriority w:val="46"/>
    <w:rsid w:val="003F1CFC"/>
    <w:rPr>
      <w:sz w:val="22"/>
      <w:szCs w:val="22"/>
      <w:lang w:eastAsia="en-US"/>
    </w:rPr>
    <w:tblPr>
      <w:tblStyleRowBandSize w:val="1"/>
      <w:tblStyleColBandSize w:val="1"/>
      <w:tblBorders>
        <w:top w:val="single" w:sz="4" w:space="0" w:color="B9E7FC"/>
        <w:left w:val="single" w:sz="4" w:space="0" w:color="B9E7FC"/>
        <w:bottom w:val="single" w:sz="4" w:space="0" w:color="B9E7FC"/>
        <w:right w:val="single" w:sz="4" w:space="0" w:color="B9E7FC"/>
        <w:insideH w:val="single" w:sz="4" w:space="0" w:color="B9E7FC"/>
        <w:insideV w:val="single" w:sz="4" w:space="0" w:color="B9E7FC"/>
      </w:tblBorders>
    </w:tblPr>
    <w:tblStylePr w:type="firstRow">
      <w:rPr>
        <w:b/>
        <w:bCs/>
      </w:rPr>
      <w:tblPr/>
      <w:tcPr>
        <w:tcBorders>
          <w:bottom w:val="single" w:sz="12" w:space="0" w:color="96DBFB"/>
        </w:tcBorders>
      </w:tcPr>
    </w:tblStylePr>
    <w:tblStylePr w:type="lastRow">
      <w:rPr>
        <w:b/>
        <w:bCs/>
      </w:rPr>
      <w:tblPr/>
      <w:tcPr>
        <w:tcBorders>
          <w:top w:val="double" w:sz="2" w:space="0" w:color="96DBFB"/>
        </w:tcBorders>
      </w:tcPr>
    </w:tblStylePr>
    <w:tblStylePr w:type="firstCol">
      <w:rPr>
        <w:b/>
        <w:bCs/>
      </w:rPr>
    </w:tblStylePr>
    <w:tblStylePr w:type="lastCol">
      <w:rPr>
        <w:b/>
        <w:bCs/>
      </w:rPr>
    </w:tblStylePr>
  </w:style>
  <w:style w:type="table" w:customStyle="1" w:styleId="Tabladecuadrcula4-nfasis610">
    <w:name w:val="Tabla de cuadrícula 4-Énfasis 61"/>
    <w:basedOn w:val="Tablanormal"/>
    <w:uiPriority w:val="49"/>
    <w:rsid w:val="003F1CFC"/>
    <w:rPr>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color w:val="FFFFFF"/>
      </w:rPr>
      <w:tblPr/>
      <w:tcPr>
        <w:tcBorders>
          <w:top w:val="single" w:sz="4" w:space="0" w:color="51C3F9"/>
          <w:left w:val="single" w:sz="4" w:space="0" w:color="51C3F9"/>
          <w:bottom w:val="single" w:sz="4" w:space="0" w:color="51C3F9"/>
          <w:right w:val="single" w:sz="4" w:space="0" w:color="51C3F9"/>
          <w:insideH w:val="nil"/>
          <w:insideV w:val="nil"/>
        </w:tcBorders>
        <w:shd w:val="clear" w:color="auto" w:fill="51C3F9"/>
      </w:tcPr>
    </w:tblStylePr>
    <w:tblStylePr w:type="lastRow">
      <w:rPr>
        <w:b/>
        <w:bCs/>
      </w:rPr>
      <w:tblPr/>
      <w:tcPr>
        <w:tcBorders>
          <w:top w:val="double" w:sz="4" w:space="0" w:color="51C3F9"/>
        </w:tcBorders>
      </w:tcPr>
    </w:tblStylePr>
    <w:tblStylePr w:type="firstCol">
      <w:rPr>
        <w:b/>
        <w:bCs/>
      </w:rPr>
    </w:tblStylePr>
    <w:tblStylePr w:type="lastCol">
      <w:rPr>
        <w:b/>
        <w:bCs/>
      </w:rPr>
    </w:tblStylePr>
    <w:tblStylePr w:type="band1Vert">
      <w:tblPr/>
      <w:tcPr>
        <w:shd w:val="clear" w:color="auto" w:fill="DCF3FD"/>
      </w:tcPr>
    </w:tblStylePr>
    <w:tblStylePr w:type="band1Horz">
      <w:tblPr/>
      <w:tcPr>
        <w:shd w:val="clear" w:color="auto" w:fill="DCF3FD"/>
      </w:tcPr>
    </w:tblStylePr>
  </w:style>
  <w:style w:type="character" w:customStyle="1" w:styleId="DescripcinCar">
    <w:name w:val="Descripción Car"/>
    <w:aliases w:val="Car Car,Tablas Car,Figs y tabs Car,Título tabla/gráfica Car,Geomatica_Epígrafe Car,Epígrafe Car1 Car,Epígrafe Car2 Car,Epígrafe Car3 Car,Epígrafe Car4 Car,Epígrafe Car5 Car,Epígrafe Car6 Car,Epígrafe Car7 Car,Epígrafe Car8 Car"/>
    <w:link w:val="Descripcin"/>
    <w:uiPriority w:val="35"/>
    <w:locked/>
    <w:rsid w:val="003F1CFC"/>
    <w:rPr>
      <w:rFonts w:ascii="Arial" w:hAnsi="Arial"/>
      <w:b/>
      <w:bCs/>
      <w:color w:val="4F81BD" w:themeColor="accent1"/>
      <w:sz w:val="18"/>
      <w:szCs w:val="18"/>
      <w:lang w:val="es-ES" w:eastAsia="en-US"/>
    </w:rPr>
  </w:style>
  <w:style w:type="table" w:customStyle="1" w:styleId="Tabladecuadrcula3-nfasis61">
    <w:name w:val="Tabla de cuadrícula 3 - Énfasis 61"/>
    <w:basedOn w:val="Tablanormal"/>
    <w:uiPriority w:val="48"/>
    <w:rsid w:val="003F1CFC"/>
    <w:rPr>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bottom w:val="single" w:sz="4" w:space="0" w:color="96DBFB"/>
        </w:tcBorders>
      </w:tcPr>
    </w:tblStylePr>
    <w:tblStylePr w:type="nwCell">
      <w:tblPr/>
      <w:tcPr>
        <w:tcBorders>
          <w:bottom w:val="single" w:sz="4" w:space="0" w:color="96DBFB"/>
        </w:tcBorders>
      </w:tcPr>
    </w:tblStylePr>
    <w:tblStylePr w:type="seCell">
      <w:tblPr/>
      <w:tcPr>
        <w:tcBorders>
          <w:top w:val="single" w:sz="4" w:space="0" w:color="96DBFB"/>
        </w:tcBorders>
      </w:tcPr>
    </w:tblStylePr>
    <w:tblStylePr w:type="swCell">
      <w:tblPr/>
      <w:tcPr>
        <w:tcBorders>
          <w:top w:val="single" w:sz="4" w:space="0" w:color="96DBFB"/>
        </w:tcBorders>
      </w:tcPr>
    </w:tblStylePr>
  </w:style>
  <w:style w:type="paragraph" w:customStyle="1" w:styleId="Cuerpo">
    <w:name w:val="Cuerpo"/>
    <w:rsid w:val="003F1CFC"/>
    <w:pPr>
      <w:pBdr>
        <w:top w:val="nil"/>
        <w:left w:val="nil"/>
        <w:bottom w:val="nil"/>
        <w:right w:val="nil"/>
        <w:between w:val="nil"/>
        <w:bar w:val="nil"/>
      </w:pBdr>
      <w:spacing w:after="200" w:line="276" w:lineRule="auto"/>
    </w:pPr>
    <w:rPr>
      <w:rFonts w:cs="Calibri"/>
      <w:color w:val="000000"/>
      <w:sz w:val="22"/>
      <w:szCs w:val="22"/>
      <w:u w:color="000000"/>
      <w:bdr w:val="nil"/>
      <w:lang w:val="es-ES_tradnl" w:eastAsia="es-MX"/>
    </w:rPr>
  </w:style>
  <w:style w:type="numbering" w:customStyle="1" w:styleId="Vietagrande">
    <w:name w:val="Viñeta grande"/>
    <w:rsid w:val="003F1CFC"/>
    <w:pPr>
      <w:numPr>
        <w:numId w:val="14"/>
      </w:numPr>
    </w:pPr>
  </w:style>
  <w:style w:type="table" w:styleId="Cuadrculaclara-nfasis4">
    <w:name w:val="Light Grid Accent 4"/>
    <w:basedOn w:val="Tablanormal"/>
    <w:uiPriority w:val="62"/>
    <w:rsid w:val="003F1CFC"/>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DK Crayon Crumble" w:eastAsia="Times New Roman" w:hAnsi="DK Crayon Crumble"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DK Crayon Crumble" w:eastAsia="Times New Roman" w:hAnsi="DK Crayon Crumble"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DK Crayon Crumble" w:eastAsia="Times New Roman" w:hAnsi="DK Crayon Crumble" w:cs="Times New Roman"/>
        <w:b/>
        <w:bCs/>
      </w:rPr>
    </w:tblStylePr>
    <w:tblStylePr w:type="lastCol">
      <w:rPr>
        <w:rFonts w:ascii="DK Crayon Crumble" w:eastAsia="Times New Roman" w:hAnsi="DK Crayon Crumble"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cuadrcula7concolores-nfasis61">
    <w:name w:val="Tabla de cuadrícula 7 con colores - Énfasis 61"/>
    <w:basedOn w:val="Tablanormal"/>
    <w:uiPriority w:val="52"/>
    <w:rsid w:val="003F1CFC"/>
    <w:rPr>
      <w:color w:val="08A4EE"/>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bottom w:val="single" w:sz="4" w:space="0" w:color="96DBFB"/>
        </w:tcBorders>
      </w:tcPr>
    </w:tblStylePr>
    <w:tblStylePr w:type="nwCell">
      <w:tblPr/>
      <w:tcPr>
        <w:tcBorders>
          <w:bottom w:val="single" w:sz="4" w:space="0" w:color="96DBFB"/>
        </w:tcBorders>
      </w:tcPr>
    </w:tblStylePr>
    <w:tblStylePr w:type="seCell">
      <w:tblPr/>
      <w:tcPr>
        <w:tcBorders>
          <w:top w:val="single" w:sz="4" w:space="0" w:color="96DBFB"/>
        </w:tcBorders>
      </w:tcPr>
    </w:tblStylePr>
    <w:tblStylePr w:type="swCell">
      <w:tblPr/>
      <w:tcPr>
        <w:tcBorders>
          <w:top w:val="single" w:sz="4" w:space="0" w:color="96DBFB"/>
        </w:tcBorders>
      </w:tcPr>
    </w:tblStylePr>
  </w:style>
  <w:style w:type="table" w:customStyle="1" w:styleId="Tabladecuadrcula1clara-nfasis12">
    <w:name w:val="Tabla de cuadrícula 1 clara - Énfasis 12"/>
    <w:basedOn w:val="Tablanormal"/>
    <w:uiPriority w:val="46"/>
    <w:rsid w:val="003F1CFC"/>
    <w:rPr>
      <w:sz w:val="22"/>
      <w:szCs w:val="22"/>
      <w:lang w:eastAsia="en-US"/>
    </w:rPr>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customStyle="1" w:styleId="Tabladecuadrcula5oscura-nfasis12">
    <w:name w:val="Tabla de cuadrícula 5 oscura - Énfasis 12"/>
    <w:basedOn w:val="Tablanormal"/>
    <w:uiPriority w:val="50"/>
    <w:rsid w:val="003F1CF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4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tblPr/>
      <w:tcPr>
        <w:shd w:val="clear" w:color="auto" w:fill="D6EAAF"/>
      </w:tcPr>
    </w:tblStylePr>
    <w:tblStylePr w:type="band1Horz">
      <w:tblPr/>
      <w:tcPr>
        <w:shd w:val="clear" w:color="auto" w:fill="D6EAAF"/>
      </w:tcPr>
    </w:tblStylePr>
  </w:style>
  <w:style w:type="paragraph" w:customStyle="1" w:styleId="PiedeFoto">
    <w:name w:val="Pie de Foto"/>
    <w:basedOn w:val="Prrafodelista"/>
    <w:link w:val="PiedeFotoCar"/>
    <w:qFormat/>
    <w:rsid w:val="003F1CFC"/>
    <w:pPr>
      <w:framePr w:hSpace="141" w:wrap="around" w:vAnchor="text" w:hAnchor="margin" w:y="-40"/>
      <w:spacing w:before="120" w:after="0" w:line="240" w:lineRule="auto"/>
      <w:ind w:left="0"/>
      <w:contextualSpacing/>
      <w:jc w:val="center"/>
    </w:pPr>
    <w:rPr>
      <w:rFonts w:eastAsia="Times New Roman" w:cs="Arial"/>
      <w:sz w:val="16"/>
      <w:szCs w:val="18"/>
      <w:lang w:val="es-CO" w:eastAsia="es-CO"/>
    </w:rPr>
  </w:style>
  <w:style w:type="character" w:customStyle="1" w:styleId="PiedeFotoCar">
    <w:name w:val="Pie de Foto Car"/>
    <w:link w:val="PiedeFoto"/>
    <w:rsid w:val="003F1CFC"/>
    <w:rPr>
      <w:rFonts w:ascii="Arial" w:eastAsia="Times New Roman" w:hAnsi="Arial" w:cs="Arial"/>
      <w:sz w:val="16"/>
      <w:szCs w:val="18"/>
    </w:rPr>
  </w:style>
  <w:style w:type="character" w:customStyle="1" w:styleId="apple-style-span">
    <w:name w:val="apple-style-span"/>
    <w:basedOn w:val="Fuentedeprrafopredeter"/>
    <w:rsid w:val="003F1CFC"/>
  </w:style>
  <w:style w:type="table" w:customStyle="1" w:styleId="Tabladecuadrcula5oscura-nfasis61">
    <w:name w:val="Tabla de cuadrícula 5 oscura - Énfasis 61"/>
    <w:basedOn w:val="Tablanormal"/>
    <w:uiPriority w:val="50"/>
    <w:rsid w:val="003F1CFC"/>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customStyle="1" w:styleId="textoarticulocompletop">
    <w:name w:val="textoarticulocompletop"/>
    <w:basedOn w:val="Normal"/>
    <w:rsid w:val="003F1CFC"/>
    <w:pPr>
      <w:spacing w:beforeAutospacing="1" w:after="100" w:afterAutospacing="1" w:line="240" w:lineRule="auto"/>
    </w:pPr>
    <w:rPr>
      <w:rFonts w:ascii="Times New Roman" w:eastAsia="Times New Roman" w:hAnsi="Times New Roman"/>
      <w:sz w:val="24"/>
      <w:szCs w:val="24"/>
      <w:lang w:val="es-CO" w:eastAsia="es-CO"/>
    </w:rPr>
  </w:style>
  <w:style w:type="table" w:customStyle="1" w:styleId="Tabladecuadrcula4-nfasis63">
    <w:name w:val="Tabla de cuadrícula 4 - Énfasis 63"/>
    <w:basedOn w:val="Tablanormal"/>
    <w:uiPriority w:val="49"/>
    <w:rsid w:val="003F1CFC"/>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3F1CFC"/>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paragraph" w:customStyle="1" w:styleId="xl84">
    <w:name w:val="xl84"/>
    <w:basedOn w:val="Normal"/>
    <w:rsid w:val="003F1CFC"/>
    <w:pPr>
      <w:spacing w:before="100" w:beforeAutospacing="1" w:after="100" w:afterAutospacing="1" w:line="240" w:lineRule="auto"/>
      <w:jc w:val="right"/>
    </w:pPr>
    <w:rPr>
      <w:rFonts w:ascii="Times New Roman" w:eastAsia="Times New Roman" w:hAnsi="Times New Roman"/>
      <w:sz w:val="24"/>
      <w:szCs w:val="24"/>
      <w:lang w:val="es-CO" w:eastAsia="es-CO"/>
    </w:rPr>
  </w:style>
  <w:style w:type="paragraph" w:customStyle="1" w:styleId="xl85">
    <w:name w:val="xl85"/>
    <w:basedOn w:val="Normal"/>
    <w:rsid w:val="003F1CFC"/>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b/>
      <w:bCs/>
      <w:sz w:val="24"/>
      <w:szCs w:val="24"/>
      <w:lang w:val="es-CO" w:eastAsia="es-CO"/>
    </w:rPr>
  </w:style>
  <w:style w:type="paragraph" w:customStyle="1" w:styleId="xl86">
    <w:name w:val="xl86"/>
    <w:basedOn w:val="Normal"/>
    <w:rsid w:val="003F1CFC"/>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b/>
      <w:bCs/>
      <w:sz w:val="24"/>
      <w:szCs w:val="24"/>
      <w:lang w:val="es-CO" w:eastAsia="es-CO"/>
    </w:rPr>
  </w:style>
  <w:style w:type="paragraph" w:customStyle="1" w:styleId="xl87">
    <w:name w:val="xl87"/>
    <w:basedOn w:val="Normal"/>
    <w:rsid w:val="003F1CFC"/>
    <w:pPr>
      <w:pBdr>
        <w:top w:val="single" w:sz="8" w:space="0" w:color="auto"/>
        <w:left w:val="single" w:sz="4" w:space="0" w:color="auto"/>
        <w:right w:val="single" w:sz="8" w:space="0" w:color="auto"/>
      </w:pBdr>
      <w:shd w:val="clear" w:color="000000" w:fill="D8E4BC"/>
      <w:spacing w:before="100" w:beforeAutospacing="1" w:after="100" w:afterAutospacing="1" w:line="240" w:lineRule="auto"/>
      <w:jc w:val="center"/>
    </w:pPr>
    <w:rPr>
      <w:rFonts w:ascii="Times New Roman" w:eastAsia="Times New Roman" w:hAnsi="Times New Roman"/>
      <w:b/>
      <w:bCs/>
      <w:sz w:val="24"/>
      <w:szCs w:val="24"/>
      <w:lang w:val="es-CO" w:eastAsia="es-CO"/>
    </w:rPr>
  </w:style>
  <w:style w:type="paragraph" w:customStyle="1" w:styleId="xl88">
    <w:name w:val="xl88"/>
    <w:basedOn w:val="Normal"/>
    <w:rsid w:val="003F1CF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89">
    <w:name w:val="xl89"/>
    <w:basedOn w:val="Normal"/>
    <w:rsid w:val="003F1CF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90">
    <w:name w:val="xl90"/>
    <w:basedOn w:val="Normal"/>
    <w:rsid w:val="003F1CF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4"/>
      <w:szCs w:val="24"/>
      <w:lang w:val="es-CO" w:eastAsia="es-CO"/>
    </w:rPr>
  </w:style>
  <w:style w:type="paragraph" w:customStyle="1" w:styleId="xl91">
    <w:name w:val="xl91"/>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4"/>
      <w:szCs w:val="24"/>
      <w:lang w:val="es-CO" w:eastAsia="es-CO"/>
    </w:rPr>
  </w:style>
  <w:style w:type="paragraph" w:customStyle="1" w:styleId="xl92">
    <w:name w:val="xl92"/>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93">
    <w:name w:val="xl93"/>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94">
    <w:name w:val="xl94"/>
    <w:basedOn w:val="Normal"/>
    <w:rsid w:val="003F1CF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95">
    <w:name w:val="xl95"/>
    <w:basedOn w:val="Normal"/>
    <w:rsid w:val="003F1CF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96">
    <w:name w:val="xl96"/>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97">
    <w:name w:val="xl97"/>
    <w:basedOn w:val="Normal"/>
    <w:rsid w:val="003F1CF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98">
    <w:name w:val="xl98"/>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99">
    <w:name w:val="xl99"/>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s-CO" w:eastAsia="es-CO"/>
    </w:rPr>
  </w:style>
  <w:style w:type="paragraph" w:customStyle="1" w:styleId="xl100">
    <w:name w:val="xl100"/>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01">
    <w:name w:val="xl101"/>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02">
    <w:name w:val="xl102"/>
    <w:basedOn w:val="Normal"/>
    <w:rsid w:val="003F1CFC"/>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paragraph" w:customStyle="1" w:styleId="xl103">
    <w:name w:val="xl103"/>
    <w:basedOn w:val="Normal"/>
    <w:rsid w:val="003F1CFC"/>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paragraph" w:customStyle="1" w:styleId="xl104">
    <w:name w:val="xl104"/>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05">
    <w:name w:val="xl105"/>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06">
    <w:name w:val="xl106"/>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07">
    <w:name w:val="xl107"/>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08">
    <w:name w:val="xl108"/>
    <w:basedOn w:val="Normal"/>
    <w:rsid w:val="003F1CFC"/>
    <w:pPr>
      <w:spacing w:before="100" w:beforeAutospacing="1" w:after="100" w:afterAutospacing="1" w:line="240" w:lineRule="auto"/>
      <w:jc w:val="center"/>
    </w:pPr>
    <w:rPr>
      <w:rFonts w:ascii="Arial Narrow" w:eastAsia="Times New Roman" w:hAnsi="Arial Narrow"/>
      <w:sz w:val="24"/>
      <w:szCs w:val="24"/>
      <w:lang w:val="es-CO" w:eastAsia="es-CO"/>
    </w:rPr>
  </w:style>
  <w:style w:type="paragraph" w:customStyle="1" w:styleId="xl109">
    <w:name w:val="xl109"/>
    <w:basedOn w:val="Normal"/>
    <w:rsid w:val="003F1CFC"/>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110">
    <w:name w:val="xl110"/>
    <w:basedOn w:val="Normal"/>
    <w:rsid w:val="003F1CFC"/>
    <w:pP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11">
    <w:name w:val="xl111"/>
    <w:basedOn w:val="Normal"/>
    <w:rsid w:val="003F1CF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12">
    <w:name w:val="xl112"/>
    <w:basedOn w:val="Normal"/>
    <w:rsid w:val="003F1CFC"/>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113">
    <w:name w:val="xl113"/>
    <w:basedOn w:val="Normal"/>
    <w:rsid w:val="003F1CF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14">
    <w:name w:val="xl114"/>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15">
    <w:name w:val="xl115"/>
    <w:basedOn w:val="Normal"/>
    <w:rsid w:val="003F1CF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16">
    <w:name w:val="xl116"/>
    <w:basedOn w:val="Normal"/>
    <w:rsid w:val="003F1CF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17">
    <w:name w:val="xl117"/>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118">
    <w:name w:val="xl118"/>
    <w:basedOn w:val="Normal"/>
    <w:rsid w:val="003F1CF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19">
    <w:name w:val="xl119"/>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20">
    <w:name w:val="xl120"/>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21">
    <w:name w:val="xl121"/>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22">
    <w:name w:val="xl122"/>
    <w:basedOn w:val="Normal"/>
    <w:rsid w:val="003F1CFC"/>
    <w:pPr>
      <w:spacing w:before="100" w:beforeAutospacing="1" w:after="100" w:afterAutospacing="1" w:line="240" w:lineRule="auto"/>
      <w:jc w:val="center"/>
    </w:pPr>
    <w:rPr>
      <w:rFonts w:eastAsia="Times New Roman" w:cs="Arial"/>
      <w:sz w:val="20"/>
      <w:szCs w:val="20"/>
      <w:lang w:val="es-CO" w:eastAsia="es-CO"/>
    </w:rPr>
  </w:style>
  <w:style w:type="paragraph" w:customStyle="1" w:styleId="xl123">
    <w:name w:val="xl123"/>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0"/>
      <w:szCs w:val="20"/>
      <w:lang w:val="es-CO" w:eastAsia="es-CO"/>
    </w:rPr>
  </w:style>
  <w:style w:type="paragraph" w:customStyle="1" w:styleId="xl124">
    <w:name w:val="xl124"/>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0"/>
      <w:szCs w:val="20"/>
      <w:lang w:val="es-CO" w:eastAsia="es-CO"/>
    </w:rPr>
  </w:style>
  <w:style w:type="paragraph" w:customStyle="1" w:styleId="xl125">
    <w:name w:val="xl125"/>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26">
    <w:name w:val="xl126"/>
    <w:basedOn w:val="Normal"/>
    <w:rsid w:val="003F1CFC"/>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0"/>
      <w:szCs w:val="20"/>
      <w:lang w:val="es-CO" w:eastAsia="es-CO"/>
    </w:rPr>
  </w:style>
  <w:style w:type="paragraph" w:customStyle="1" w:styleId="xl127">
    <w:name w:val="xl127"/>
    <w:basedOn w:val="Normal"/>
    <w:rsid w:val="003F1CFC"/>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0"/>
      <w:szCs w:val="20"/>
      <w:lang w:val="es-CO" w:eastAsia="es-CO"/>
    </w:rPr>
  </w:style>
  <w:style w:type="paragraph" w:customStyle="1" w:styleId="xl128">
    <w:name w:val="xl128"/>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29">
    <w:name w:val="xl129"/>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30">
    <w:name w:val="xl130"/>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31">
    <w:name w:val="xl131"/>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32">
    <w:name w:val="xl132"/>
    <w:basedOn w:val="Normal"/>
    <w:rsid w:val="003F1CF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Times New Roman" w:cs="Arial"/>
      <w:sz w:val="20"/>
      <w:szCs w:val="20"/>
      <w:lang w:val="es-CO" w:eastAsia="es-CO"/>
    </w:rPr>
  </w:style>
  <w:style w:type="paragraph" w:customStyle="1" w:styleId="xl133">
    <w:name w:val="xl133"/>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Arial"/>
      <w:sz w:val="20"/>
      <w:szCs w:val="20"/>
      <w:lang w:val="es-CO" w:eastAsia="es-CO"/>
    </w:rPr>
  </w:style>
  <w:style w:type="paragraph" w:customStyle="1" w:styleId="xl134">
    <w:name w:val="xl134"/>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135">
    <w:name w:val="xl135"/>
    <w:basedOn w:val="Normal"/>
    <w:rsid w:val="003F1CF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136">
    <w:name w:val="xl136"/>
    <w:basedOn w:val="Normal"/>
    <w:rsid w:val="003F1CFC"/>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b/>
      <w:bCs/>
      <w:sz w:val="20"/>
      <w:szCs w:val="20"/>
      <w:lang w:val="es-CO" w:eastAsia="es-CO"/>
    </w:rPr>
  </w:style>
  <w:style w:type="paragraph" w:customStyle="1" w:styleId="xl137">
    <w:name w:val="xl137"/>
    <w:basedOn w:val="Normal"/>
    <w:rsid w:val="003F1CFC"/>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b/>
      <w:bCs/>
      <w:sz w:val="20"/>
      <w:szCs w:val="20"/>
      <w:lang w:val="es-CO" w:eastAsia="es-CO"/>
    </w:rPr>
  </w:style>
  <w:style w:type="paragraph" w:customStyle="1" w:styleId="xl138">
    <w:name w:val="xl138"/>
    <w:basedOn w:val="Normal"/>
    <w:rsid w:val="003F1CFC"/>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pPr>
    <w:rPr>
      <w:rFonts w:ascii="Times New Roman" w:eastAsia="Times New Roman" w:hAnsi="Times New Roman"/>
      <w:b/>
      <w:bCs/>
      <w:sz w:val="20"/>
      <w:szCs w:val="20"/>
      <w:lang w:val="es-CO" w:eastAsia="es-CO"/>
    </w:rPr>
  </w:style>
  <w:style w:type="paragraph" w:customStyle="1" w:styleId="xl139">
    <w:name w:val="xl139"/>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140">
    <w:name w:val="xl140"/>
    <w:basedOn w:val="Normal"/>
    <w:rsid w:val="003F1CF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0"/>
      <w:szCs w:val="20"/>
      <w:lang w:val="es-CO" w:eastAsia="es-CO"/>
    </w:rPr>
  </w:style>
  <w:style w:type="paragraph" w:customStyle="1" w:styleId="xl141">
    <w:name w:val="xl141"/>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42">
    <w:name w:val="xl142"/>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43">
    <w:name w:val="xl143"/>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sz w:val="20"/>
      <w:szCs w:val="20"/>
      <w:lang w:val="es-CO" w:eastAsia="es-CO"/>
    </w:rPr>
  </w:style>
  <w:style w:type="paragraph" w:customStyle="1" w:styleId="xl144">
    <w:name w:val="xl144"/>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145">
    <w:name w:val="xl145"/>
    <w:basedOn w:val="Normal"/>
    <w:rsid w:val="003F1CFC"/>
    <w:pPr>
      <w:spacing w:before="100" w:beforeAutospacing="1" w:after="100" w:afterAutospacing="1" w:line="240" w:lineRule="auto"/>
      <w:jc w:val="center"/>
      <w:textAlignment w:val="center"/>
    </w:pPr>
    <w:rPr>
      <w:rFonts w:eastAsia="Times New Roman" w:cs="Arial"/>
      <w:sz w:val="20"/>
      <w:szCs w:val="20"/>
      <w:lang w:val="es-CO" w:eastAsia="es-CO"/>
    </w:rPr>
  </w:style>
  <w:style w:type="paragraph" w:customStyle="1" w:styleId="xl146">
    <w:name w:val="xl146"/>
    <w:basedOn w:val="Normal"/>
    <w:rsid w:val="003F1CFC"/>
    <w:pP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47">
    <w:name w:val="xl147"/>
    <w:basedOn w:val="Normal"/>
    <w:rsid w:val="003F1CFC"/>
    <w:pP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48">
    <w:name w:val="xl148"/>
    <w:basedOn w:val="Normal"/>
    <w:rsid w:val="003F1CFC"/>
    <w:pP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49">
    <w:name w:val="xl149"/>
    <w:basedOn w:val="Normal"/>
    <w:rsid w:val="003F1CF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sz w:val="20"/>
      <w:szCs w:val="20"/>
      <w:lang w:val="es-CO" w:eastAsia="es-CO"/>
    </w:rPr>
  </w:style>
  <w:style w:type="paragraph" w:customStyle="1" w:styleId="xl150">
    <w:name w:val="xl150"/>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51">
    <w:name w:val="xl151"/>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52">
    <w:name w:val="xl152"/>
    <w:basedOn w:val="Normal"/>
    <w:rsid w:val="003F1CFC"/>
    <w:pP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53">
    <w:name w:val="xl153"/>
    <w:basedOn w:val="Normal"/>
    <w:rsid w:val="003F1CFC"/>
    <w:pP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55">
    <w:name w:val="xl155"/>
    <w:basedOn w:val="Normal"/>
    <w:rsid w:val="003F1CF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56">
    <w:name w:val="xl156"/>
    <w:basedOn w:val="Normal"/>
    <w:rsid w:val="003F1C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57">
    <w:name w:val="xl157"/>
    <w:basedOn w:val="Normal"/>
    <w:rsid w:val="003F1CF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58">
    <w:name w:val="xl158"/>
    <w:basedOn w:val="Normal"/>
    <w:rsid w:val="003F1CFC"/>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159">
    <w:name w:val="xl159"/>
    <w:basedOn w:val="Normal"/>
    <w:rsid w:val="003F1C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60">
    <w:name w:val="xl160"/>
    <w:basedOn w:val="Normal"/>
    <w:rsid w:val="003F1CF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161">
    <w:name w:val="xl161"/>
    <w:basedOn w:val="Normal"/>
    <w:rsid w:val="003F1CF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62">
    <w:name w:val="xl162"/>
    <w:basedOn w:val="Normal"/>
    <w:rsid w:val="003F1CF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val="es-CO" w:eastAsia="es-CO"/>
    </w:rPr>
  </w:style>
  <w:style w:type="paragraph" w:customStyle="1" w:styleId="xl163">
    <w:name w:val="xl163"/>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val="es-CO" w:eastAsia="es-CO"/>
    </w:rPr>
  </w:style>
  <w:style w:type="paragraph" w:customStyle="1" w:styleId="xl164">
    <w:name w:val="xl164"/>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val="es-CO" w:eastAsia="es-CO"/>
    </w:rPr>
  </w:style>
  <w:style w:type="paragraph" w:customStyle="1" w:styleId="xl165">
    <w:name w:val="xl165"/>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s-CO" w:eastAsia="es-CO"/>
    </w:rPr>
  </w:style>
  <w:style w:type="paragraph" w:customStyle="1" w:styleId="xl166">
    <w:name w:val="xl166"/>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val="es-CO" w:eastAsia="es-CO"/>
    </w:rPr>
  </w:style>
  <w:style w:type="paragraph" w:customStyle="1" w:styleId="xl167">
    <w:name w:val="xl167"/>
    <w:basedOn w:val="Normal"/>
    <w:rsid w:val="003F1CF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val="es-CO" w:eastAsia="es-CO"/>
    </w:rPr>
  </w:style>
  <w:style w:type="paragraph" w:customStyle="1" w:styleId="xl168">
    <w:name w:val="xl168"/>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val="es-CO" w:eastAsia="es-CO"/>
    </w:rPr>
  </w:style>
  <w:style w:type="paragraph" w:customStyle="1" w:styleId="xl169">
    <w:name w:val="xl169"/>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val="es-CO" w:eastAsia="es-CO"/>
    </w:rPr>
  </w:style>
  <w:style w:type="paragraph" w:customStyle="1" w:styleId="xl170">
    <w:name w:val="xl170"/>
    <w:basedOn w:val="Normal"/>
    <w:rsid w:val="003F1CFC"/>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paragraph" w:customStyle="1" w:styleId="xl171">
    <w:name w:val="xl171"/>
    <w:basedOn w:val="Normal"/>
    <w:rsid w:val="003F1CFC"/>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paragraph" w:customStyle="1" w:styleId="xl172">
    <w:name w:val="xl172"/>
    <w:basedOn w:val="Normal"/>
    <w:rsid w:val="003F1CFC"/>
    <w:pPr>
      <w:pBdr>
        <w:top w:val="single" w:sz="8" w:space="0" w:color="auto"/>
        <w:left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paragraph" w:customStyle="1" w:styleId="xl173">
    <w:name w:val="xl173"/>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val="es-CO" w:eastAsia="es-CO"/>
    </w:rPr>
  </w:style>
  <w:style w:type="paragraph" w:customStyle="1" w:styleId="xl174">
    <w:name w:val="xl174"/>
    <w:basedOn w:val="Normal"/>
    <w:rsid w:val="003F1CFC"/>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175">
    <w:name w:val="xl175"/>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76">
    <w:name w:val="xl176"/>
    <w:basedOn w:val="Normal"/>
    <w:rsid w:val="003F1C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77">
    <w:name w:val="xl177"/>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s-CO" w:eastAsia="es-CO"/>
    </w:rPr>
  </w:style>
  <w:style w:type="paragraph" w:customStyle="1" w:styleId="xl178">
    <w:name w:val="xl178"/>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s-CO" w:eastAsia="es-CO"/>
    </w:rPr>
  </w:style>
  <w:style w:type="paragraph" w:customStyle="1" w:styleId="xl179">
    <w:name w:val="xl179"/>
    <w:basedOn w:val="Normal"/>
    <w:rsid w:val="003F1C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80">
    <w:name w:val="xl180"/>
    <w:basedOn w:val="Normal"/>
    <w:rsid w:val="003F1CFC"/>
    <w:pPr>
      <w:spacing w:before="100" w:beforeAutospacing="1" w:after="100" w:afterAutospacing="1" w:line="240" w:lineRule="auto"/>
      <w:jc w:val="center"/>
    </w:pPr>
    <w:rPr>
      <w:rFonts w:ascii="Times New Roman" w:eastAsia="Times New Roman" w:hAnsi="Times New Roman"/>
      <w:b/>
      <w:bCs/>
      <w:sz w:val="24"/>
      <w:szCs w:val="24"/>
      <w:lang w:val="es-CO" w:eastAsia="es-CO"/>
    </w:rPr>
  </w:style>
  <w:style w:type="paragraph" w:customStyle="1" w:styleId="xl181">
    <w:name w:val="xl181"/>
    <w:basedOn w:val="Normal"/>
    <w:rsid w:val="003F1CFC"/>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paragraph" w:customStyle="1" w:styleId="xl182">
    <w:name w:val="xl182"/>
    <w:basedOn w:val="Normal"/>
    <w:rsid w:val="003F1C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83">
    <w:name w:val="xl183"/>
    <w:basedOn w:val="Normal"/>
    <w:rsid w:val="003F1CFC"/>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84">
    <w:name w:val="xl184"/>
    <w:basedOn w:val="Normal"/>
    <w:rsid w:val="003F1CFC"/>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0"/>
      <w:szCs w:val="20"/>
      <w:lang w:val="es-CO" w:eastAsia="es-CO"/>
    </w:rPr>
  </w:style>
  <w:style w:type="paragraph" w:customStyle="1" w:styleId="xl185">
    <w:name w:val="xl185"/>
    <w:basedOn w:val="Normal"/>
    <w:rsid w:val="003F1C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86">
    <w:name w:val="xl186"/>
    <w:basedOn w:val="Normal"/>
    <w:rsid w:val="003F1CFC"/>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187">
    <w:name w:val="xl187"/>
    <w:basedOn w:val="Normal"/>
    <w:rsid w:val="003F1CFC"/>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pPr>
    <w:rPr>
      <w:rFonts w:ascii="Times New Roman" w:eastAsia="Times New Roman" w:hAnsi="Times New Roman"/>
      <w:b/>
      <w:bCs/>
      <w:sz w:val="20"/>
      <w:szCs w:val="20"/>
      <w:lang w:val="es-CO" w:eastAsia="es-CO"/>
    </w:rPr>
  </w:style>
  <w:style w:type="paragraph" w:customStyle="1" w:styleId="xl188">
    <w:name w:val="xl188"/>
    <w:basedOn w:val="Normal"/>
    <w:rsid w:val="003F1CFC"/>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189">
    <w:name w:val="xl189"/>
    <w:basedOn w:val="Normal"/>
    <w:rsid w:val="003F1CF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90">
    <w:name w:val="xl190"/>
    <w:basedOn w:val="Normal"/>
    <w:rsid w:val="003F1CF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s-CO" w:eastAsia="es-CO"/>
    </w:rPr>
  </w:style>
  <w:style w:type="paragraph" w:customStyle="1" w:styleId="xl191">
    <w:name w:val="xl191"/>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s-CO" w:eastAsia="es-CO"/>
    </w:rPr>
  </w:style>
  <w:style w:type="paragraph" w:customStyle="1" w:styleId="xl192">
    <w:name w:val="xl192"/>
    <w:basedOn w:val="Normal"/>
    <w:rsid w:val="003F1CFC"/>
    <w:pPr>
      <w:pBdr>
        <w:bottom w:val="single" w:sz="8" w:space="0" w:color="auto"/>
      </w:pBdr>
      <w:spacing w:before="100" w:beforeAutospacing="1" w:after="100" w:afterAutospacing="1" w:line="240" w:lineRule="auto"/>
    </w:pPr>
    <w:rPr>
      <w:rFonts w:ascii="Times New Roman" w:eastAsia="Times New Roman" w:hAnsi="Times New Roman"/>
      <w:b/>
      <w:bCs/>
      <w:sz w:val="24"/>
      <w:szCs w:val="24"/>
      <w:lang w:val="es-CO" w:eastAsia="es-CO"/>
    </w:rPr>
  </w:style>
  <w:style w:type="paragraph" w:customStyle="1" w:styleId="xl193">
    <w:name w:val="xl193"/>
    <w:basedOn w:val="Normal"/>
    <w:rsid w:val="003F1CFC"/>
    <w:pPr>
      <w:spacing w:before="100" w:beforeAutospacing="1" w:after="100" w:afterAutospacing="1" w:line="240" w:lineRule="auto"/>
    </w:pPr>
    <w:rPr>
      <w:rFonts w:ascii="Times New Roman" w:eastAsia="Times New Roman" w:hAnsi="Times New Roman"/>
      <w:b/>
      <w:bCs/>
      <w:sz w:val="24"/>
      <w:szCs w:val="24"/>
      <w:lang w:val="es-CO" w:eastAsia="es-CO"/>
    </w:rPr>
  </w:style>
  <w:style w:type="paragraph" w:customStyle="1" w:styleId="xl194">
    <w:name w:val="xl194"/>
    <w:basedOn w:val="Normal"/>
    <w:rsid w:val="003F1CFC"/>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195">
    <w:name w:val="xl195"/>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s-CO" w:eastAsia="es-CO"/>
    </w:rPr>
  </w:style>
  <w:style w:type="paragraph" w:customStyle="1" w:styleId="xl196">
    <w:name w:val="xl196"/>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s-CO" w:eastAsia="es-CO"/>
    </w:rPr>
  </w:style>
  <w:style w:type="paragraph" w:customStyle="1" w:styleId="xl197">
    <w:name w:val="xl197"/>
    <w:basedOn w:val="Normal"/>
    <w:rsid w:val="003F1CFC"/>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98">
    <w:name w:val="xl198"/>
    <w:basedOn w:val="Normal"/>
    <w:rsid w:val="003F1CF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199">
    <w:name w:val="xl199"/>
    <w:basedOn w:val="Normal"/>
    <w:rsid w:val="003F1CF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200">
    <w:name w:val="xl200"/>
    <w:basedOn w:val="Normal"/>
    <w:rsid w:val="003F1CF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201">
    <w:name w:val="xl201"/>
    <w:basedOn w:val="Normal"/>
    <w:rsid w:val="003F1CFC"/>
    <w:pPr>
      <w:pBdr>
        <w:bottom w:val="single" w:sz="8" w:space="0" w:color="auto"/>
      </w:pBdr>
      <w:spacing w:before="100" w:beforeAutospacing="1" w:after="100" w:afterAutospacing="1" w:line="240" w:lineRule="auto"/>
      <w:jc w:val="center"/>
    </w:pPr>
    <w:rPr>
      <w:rFonts w:eastAsia="Times New Roman" w:cs="Arial"/>
      <w:sz w:val="20"/>
      <w:szCs w:val="20"/>
      <w:lang w:val="es-CO" w:eastAsia="es-CO"/>
    </w:rPr>
  </w:style>
  <w:style w:type="paragraph" w:customStyle="1" w:styleId="xl202">
    <w:name w:val="xl202"/>
    <w:basedOn w:val="Normal"/>
    <w:rsid w:val="003F1CF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203">
    <w:name w:val="xl203"/>
    <w:basedOn w:val="Normal"/>
    <w:rsid w:val="003F1CFC"/>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204">
    <w:name w:val="xl204"/>
    <w:basedOn w:val="Normal"/>
    <w:rsid w:val="003F1CF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227">
    <w:name w:val="xl227"/>
    <w:basedOn w:val="Normal"/>
    <w:rsid w:val="003F1CF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s-CO" w:eastAsia="es-CO"/>
    </w:rPr>
  </w:style>
  <w:style w:type="paragraph" w:customStyle="1" w:styleId="xl228">
    <w:name w:val="xl228"/>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s-CO" w:eastAsia="es-CO"/>
    </w:rPr>
  </w:style>
  <w:style w:type="paragraph" w:customStyle="1" w:styleId="xl229">
    <w:name w:val="xl229"/>
    <w:basedOn w:val="Normal"/>
    <w:rsid w:val="003F1C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230">
    <w:name w:val="xl230"/>
    <w:basedOn w:val="Normal"/>
    <w:rsid w:val="003F1CFC"/>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231">
    <w:name w:val="xl231"/>
    <w:basedOn w:val="Normal"/>
    <w:rsid w:val="003F1CFC"/>
    <w:pPr>
      <w:pBdr>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0"/>
      <w:szCs w:val="20"/>
      <w:lang w:val="es-CO" w:eastAsia="es-CO"/>
    </w:rPr>
  </w:style>
  <w:style w:type="paragraph" w:customStyle="1" w:styleId="xl232">
    <w:name w:val="xl232"/>
    <w:basedOn w:val="Normal"/>
    <w:rsid w:val="003F1CFC"/>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0"/>
      <w:szCs w:val="20"/>
      <w:lang w:val="es-CO" w:eastAsia="es-CO"/>
    </w:rPr>
  </w:style>
  <w:style w:type="paragraph" w:customStyle="1" w:styleId="xl233">
    <w:name w:val="xl233"/>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234">
    <w:name w:val="xl234"/>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235">
    <w:name w:val="xl235"/>
    <w:basedOn w:val="Normal"/>
    <w:rsid w:val="003F1CFC"/>
    <w:pPr>
      <w:pBdr>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val="es-CO" w:eastAsia="es-CO"/>
    </w:rPr>
  </w:style>
  <w:style w:type="paragraph" w:customStyle="1" w:styleId="xl239">
    <w:name w:val="xl239"/>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240">
    <w:name w:val="xl240"/>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241">
    <w:name w:val="xl241"/>
    <w:basedOn w:val="Normal"/>
    <w:rsid w:val="003F1CFC"/>
    <w:pPr>
      <w:spacing w:before="100" w:beforeAutospacing="1" w:after="100" w:afterAutospacing="1" w:line="240" w:lineRule="auto"/>
      <w:jc w:val="center"/>
      <w:textAlignment w:val="center"/>
    </w:pPr>
    <w:rPr>
      <w:rFonts w:ascii="Times New Roman" w:eastAsia="Times New Roman" w:hAnsi="Times New Roman"/>
      <w:sz w:val="24"/>
      <w:szCs w:val="24"/>
      <w:lang w:val="es-CO" w:eastAsia="es-CO"/>
    </w:rPr>
  </w:style>
  <w:style w:type="paragraph" w:customStyle="1" w:styleId="xl242">
    <w:name w:val="xl242"/>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val="es-CO" w:eastAsia="es-CO"/>
    </w:rPr>
  </w:style>
  <w:style w:type="paragraph" w:customStyle="1" w:styleId="xl243">
    <w:name w:val="xl243"/>
    <w:basedOn w:val="Normal"/>
    <w:rsid w:val="003F1C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val="es-CO" w:eastAsia="es-CO"/>
    </w:rPr>
  </w:style>
  <w:style w:type="table" w:customStyle="1" w:styleId="Tabladecuadrcula2-nfasis62">
    <w:name w:val="Tabla de cuadrícula 2 - Énfasis 62"/>
    <w:basedOn w:val="Tablanormal"/>
    <w:uiPriority w:val="47"/>
    <w:rsid w:val="003F1CFC"/>
    <w:rPr>
      <w:rFonts w:eastAsia="Times New Roma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6concolores-nfasis61">
    <w:name w:val="Tabla de lista 6 con colores - Énfasis 61"/>
    <w:basedOn w:val="Tablanormal"/>
    <w:uiPriority w:val="51"/>
    <w:rsid w:val="003F1CFC"/>
    <w:rPr>
      <w:rFonts w:eastAsia="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font6">
    <w:name w:val="font6"/>
    <w:basedOn w:val="Normal"/>
    <w:rsid w:val="003F1CFC"/>
    <w:pPr>
      <w:spacing w:before="100" w:beforeAutospacing="1" w:after="100" w:afterAutospacing="1" w:line="240" w:lineRule="auto"/>
    </w:pPr>
    <w:rPr>
      <w:rFonts w:eastAsia="Times New Roman" w:cs="Arial"/>
      <w:color w:val="000000"/>
      <w:sz w:val="16"/>
      <w:szCs w:val="16"/>
      <w:lang w:val="es-CO" w:eastAsia="es-CO"/>
    </w:rPr>
  </w:style>
  <w:style w:type="paragraph" w:customStyle="1" w:styleId="font7">
    <w:name w:val="font7"/>
    <w:basedOn w:val="Normal"/>
    <w:rsid w:val="003F1CFC"/>
    <w:pPr>
      <w:spacing w:before="100" w:beforeAutospacing="1" w:after="100" w:afterAutospacing="1" w:line="240" w:lineRule="auto"/>
    </w:pPr>
    <w:rPr>
      <w:rFonts w:eastAsia="Times New Roman" w:cs="Arial"/>
      <w:sz w:val="16"/>
      <w:szCs w:val="16"/>
      <w:lang w:val="es-CO" w:eastAsia="es-CO"/>
    </w:rPr>
  </w:style>
  <w:style w:type="paragraph" w:customStyle="1" w:styleId="font8">
    <w:name w:val="font8"/>
    <w:basedOn w:val="Normal"/>
    <w:rsid w:val="003F1CFC"/>
    <w:pPr>
      <w:spacing w:before="100" w:beforeAutospacing="1" w:after="100" w:afterAutospacing="1" w:line="240" w:lineRule="auto"/>
    </w:pPr>
    <w:rPr>
      <w:rFonts w:eastAsia="Times New Roman" w:cs="Arial"/>
      <w:b/>
      <w:bCs/>
      <w:color w:val="000000"/>
      <w:sz w:val="16"/>
      <w:szCs w:val="16"/>
      <w:lang w:val="es-CO" w:eastAsia="es-CO"/>
    </w:rPr>
  </w:style>
  <w:style w:type="paragraph" w:customStyle="1" w:styleId="font9">
    <w:name w:val="font9"/>
    <w:basedOn w:val="Normal"/>
    <w:rsid w:val="003F1CFC"/>
    <w:pPr>
      <w:spacing w:before="100" w:beforeAutospacing="1" w:after="100" w:afterAutospacing="1" w:line="240" w:lineRule="auto"/>
    </w:pPr>
    <w:rPr>
      <w:rFonts w:eastAsia="Times New Roman" w:cs="Arial"/>
      <w:color w:val="000000"/>
      <w:sz w:val="16"/>
      <w:szCs w:val="16"/>
      <w:lang w:val="es-CO" w:eastAsia="es-CO"/>
    </w:rPr>
  </w:style>
  <w:style w:type="paragraph" w:customStyle="1" w:styleId="xl154">
    <w:name w:val="xl154"/>
    <w:basedOn w:val="Normal"/>
    <w:rsid w:val="003F1C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CO" w:eastAsia="es-CO"/>
    </w:rPr>
  </w:style>
  <w:style w:type="paragraph" w:customStyle="1" w:styleId="Text">
    <w:name w:val="Text"/>
    <w:basedOn w:val="Normal"/>
    <w:rsid w:val="00EF73D7"/>
    <w:pPr>
      <w:spacing w:after="0" w:line="240" w:lineRule="auto"/>
    </w:pPr>
    <w:rPr>
      <w:rFonts w:ascii="Times New Roman" w:eastAsia="Times New Roman" w:hAnsi="Times New Roman"/>
      <w:sz w:val="24"/>
      <w:szCs w:val="20"/>
      <w:lang w:val="es-HN"/>
    </w:rPr>
  </w:style>
  <w:style w:type="paragraph" w:customStyle="1" w:styleId="Pa18">
    <w:name w:val="Pa18"/>
    <w:basedOn w:val="Default"/>
    <w:next w:val="Default"/>
    <w:uiPriority w:val="99"/>
    <w:rsid w:val="00EF73D7"/>
    <w:pPr>
      <w:spacing w:line="221" w:lineRule="atLeast"/>
    </w:pPr>
    <w:rPr>
      <w:rFonts w:ascii="Palatino Linotype" w:hAnsi="Palatino Linotype" w:cs="Times New Roman"/>
      <w:color w:val="auto"/>
      <w:lang w:eastAsia="en-US"/>
    </w:rPr>
  </w:style>
  <w:style w:type="paragraph" w:customStyle="1" w:styleId="Pa22">
    <w:name w:val="Pa22"/>
    <w:basedOn w:val="Default"/>
    <w:next w:val="Default"/>
    <w:uiPriority w:val="99"/>
    <w:rsid w:val="00EF73D7"/>
    <w:pPr>
      <w:spacing w:line="221" w:lineRule="atLeast"/>
    </w:pPr>
    <w:rPr>
      <w:rFonts w:ascii="Palatino Linotype" w:hAnsi="Palatino Linotype" w:cs="Times New Roman"/>
      <w:color w:val="auto"/>
      <w:lang w:eastAsia="en-US"/>
    </w:rPr>
  </w:style>
  <w:style w:type="paragraph" w:customStyle="1" w:styleId="Pa0">
    <w:name w:val="Pa0"/>
    <w:basedOn w:val="Default"/>
    <w:next w:val="Default"/>
    <w:uiPriority w:val="99"/>
    <w:rsid w:val="00EF73D7"/>
    <w:pPr>
      <w:spacing w:line="241" w:lineRule="atLeast"/>
    </w:pPr>
    <w:rPr>
      <w:rFonts w:ascii="Arial" w:hAnsi="Arial" w:cs="Arial"/>
      <w:color w:val="auto"/>
      <w:lang w:eastAsia="en-US"/>
    </w:rPr>
  </w:style>
  <w:style w:type="paragraph" w:customStyle="1" w:styleId="Pa57">
    <w:name w:val="Pa57"/>
    <w:basedOn w:val="Default"/>
    <w:next w:val="Default"/>
    <w:uiPriority w:val="99"/>
    <w:rsid w:val="00EF73D7"/>
    <w:pPr>
      <w:spacing w:line="141" w:lineRule="atLeast"/>
    </w:pPr>
    <w:rPr>
      <w:rFonts w:ascii="Futura Std" w:hAnsi="Futura Std" w:cs="Times New Roman"/>
      <w:color w:val="auto"/>
      <w:lang w:eastAsia="en-US"/>
    </w:rPr>
  </w:style>
  <w:style w:type="character" w:customStyle="1" w:styleId="descriptionid23624382siteid781">
    <w:name w:val="descriptionid23624382siteid781"/>
    <w:rsid w:val="00EF73D7"/>
    <w:rPr>
      <w:rFonts w:ascii="Arial" w:hAnsi="Arial" w:cs="Arial" w:hint="default"/>
      <w:color w:val="333333"/>
      <w:sz w:val="20"/>
      <w:szCs w:val="20"/>
    </w:rPr>
  </w:style>
  <w:style w:type="paragraph" w:customStyle="1" w:styleId="centrado">
    <w:name w:val="centrado"/>
    <w:basedOn w:val="Normal"/>
    <w:rsid w:val="00EF73D7"/>
    <w:pPr>
      <w:spacing w:before="100" w:beforeAutospacing="1" w:after="100" w:afterAutospacing="1" w:line="240" w:lineRule="auto"/>
      <w:jc w:val="center"/>
    </w:pPr>
    <w:rPr>
      <w:rFonts w:eastAsia="Times New Roman" w:cs="Arial"/>
      <w:sz w:val="24"/>
      <w:szCs w:val="24"/>
      <w:lang w:val="es-CO" w:eastAsia="es-CO"/>
    </w:rPr>
  </w:style>
  <w:style w:type="character" w:customStyle="1" w:styleId="baj1">
    <w:name w:val="b_aj1"/>
    <w:rsid w:val="00EF73D7"/>
    <w:rPr>
      <w:b/>
      <w:bCs/>
      <w:color w:val="244700"/>
    </w:rPr>
  </w:style>
  <w:style w:type="character" w:customStyle="1" w:styleId="TextoindependienteCar1">
    <w:name w:val="Texto independiente Car1"/>
    <w:uiPriority w:val="99"/>
    <w:semiHidden/>
    <w:rsid w:val="00EF73D7"/>
    <w:rPr>
      <w:sz w:val="22"/>
      <w:szCs w:val="22"/>
      <w:lang w:val="es-ES" w:eastAsia="en-US"/>
    </w:rPr>
  </w:style>
  <w:style w:type="paragraph" w:customStyle="1" w:styleId="CM13">
    <w:name w:val="CM13"/>
    <w:basedOn w:val="Default"/>
    <w:next w:val="Default"/>
    <w:uiPriority w:val="99"/>
    <w:rsid w:val="00EF73D7"/>
    <w:rPr>
      <w:rFonts w:ascii="Arial" w:hAnsi="Arial" w:cs="Arial"/>
      <w:color w:val="auto"/>
    </w:rPr>
  </w:style>
  <w:style w:type="paragraph" w:customStyle="1" w:styleId="xl63">
    <w:name w:val="xl63"/>
    <w:basedOn w:val="Normal"/>
    <w:rsid w:val="00EF73D7"/>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b/>
      <w:bCs/>
      <w:sz w:val="24"/>
      <w:szCs w:val="24"/>
      <w:lang w:val="es-CO" w:eastAsia="es-CO"/>
    </w:rPr>
  </w:style>
  <w:style w:type="table" w:customStyle="1" w:styleId="Tabladecuadrcula4-nfasis321">
    <w:name w:val="Tabla de cuadrícula 4 - Énfasis 321"/>
    <w:basedOn w:val="Tablanormal"/>
    <w:uiPriority w:val="49"/>
    <w:rsid w:val="00015C7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6concolores11">
    <w:name w:val="Tabla de lista 6 con colores11"/>
    <w:basedOn w:val="Tablanormal"/>
    <w:uiPriority w:val="51"/>
    <w:rsid w:val="00015C71"/>
    <w:rPr>
      <w:rFonts w:eastAsia="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7concolores-nfasis611">
    <w:name w:val="Tabla de lista 7 con colores - Énfasis 611"/>
    <w:basedOn w:val="Tablanormal"/>
    <w:uiPriority w:val="52"/>
    <w:rsid w:val="00015C71"/>
    <w:rPr>
      <w:rFonts w:eastAsia="Times New Roman"/>
      <w:color w:val="08A4EE"/>
    </w:rPr>
    <w:tblPr>
      <w:tblStyleRowBandSize w:val="1"/>
      <w:tblStyleColBandSize w:val="1"/>
    </w:tblPr>
    <w:tblStylePr w:type="firstRow">
      <w:rPr>
        <w:rFonts w:ascii="DK Crayon Crumble" w:eastAsia="Times New Roman" w:hAnsi="DK Crayon Crumble" w:cs="Times New Roman"/>
        <w:i/>
        <w:iCs/>
        <w:sz w:val="26"/>
      </w:rPr>
      <w:tblPr/>
      <w:tcPr>
        <w:tcBorders>
          <w:bottom w:val="single" w:sz="4" w:space="0" w:color="51C3F9"/>
        </w:tcBorders>
        <w:shd w:val="clear" w:color="auto" w:fill="FFFFFF"/>
      </w:tcPr>
    </w:tblStylePr>
    <w:tblStylePr w:type="lastRow">
      <w:rPr>
        <w:rFonts w:ascii="DK Crayon Crumble" w:eastAsia="Times New Roman" w:hAnsi="DK Crayon Crumble" w:cs="Times New Roman"/>
        <w:i/>
        <w:iCs/>
        <w:sz w:val="26"/>
      </w:rPr>
      <w:tblPr/>
      <w:tcPr>
        <w:tcBorders>
          <w:top w:val="single" w:sz="4" w:space="0" w:color="51C3F9"/>
        </w:tcBorders>
        <w:shd w:val="clear" w:color="auto" w:fill="FFFFFF"/>
      </w:tcPr>
    </w:tblStylePr>
    <w:tblStylePr w:type="firstCol">
      <w:pPr>
        <w:jc w:val="right"/>
      </w:pPr>
      <w:rPr>
        <w:rFonts w:ascii="DK Crayon Crumble" w:eastAsia="Times New Roman" w:hAnsi="DK Crayon Crumble" w:cs="Times New Roman"/>
        <w:i/>
        <w:iCs/>
        <w:sz w:val="26"/>
      </w:rPr>
      <w:tblPr/>
      <w:tcPr>
        <w:tcBorders>
          <w:right w:val="single" w:sz="4" w:space="0" w:color="51C3F9"/>
        </w:tcBorders>
        <w:shd w:val="clear" w:color="auto" w:fill="FFFFFF"/>
      </w:tcPr>
    </w:tblStylePr>
    <w:tblStylePr w:type="lastCol">
      <w:rPr>
        <w:rFonts w:ascii="DK Crayon Crumble" w:eastAsia="Times New Roman" w:hAnsi="DK Crayon Crumbl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a-nfasis121">
    <w:name w:val="Tabla de cuadrícula 1 clara - Énfasis 121"/>
    <w:basedOn w:val="Tablanormal"/>
    <w:uiPriority w:val="46"/>
    <w:rsid w:val="00015C71"/>
    <w:rPr>
      <w:sz w:val="22"/>
      <w:szCs w:val="22"/>
      <w:lang w:eastAsia="en-US"/>
    </w:rPr>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customStyle="1" w:styleId="Tabladecuadrcula5oscura-nfasis121">
    <w:name w:val="Tabla de cuadrícula 5 oscura - Énfasis 121"/>
    <w:basedOn w:val="Tablanormal"/>
    <w:uiPriority w:val="50"/>
    <w:rsid w:val="00015C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4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tblPr/>
      <w:tcPr>
        <w:shd w:val="clear" w:color="auto" w:fill="D6EAAF"/>
      </w:tcPr>
    </w:tblStylePr>
    <w:tblStylePr w:type="band1Horz">
      <w:tblPr/>
      <w:tcPr>
        <w:shd w:val="clear" w:color="auto" w:fill="D6EAAF"/>
      </w:tcPr>
    </w:tblStylePr>
  </w:style>
  <w:style w:type="table" w:customStyle="1" w:styleId="Tabladecuadrcula5oscura-nfasis611">
    <w:name w:val="Tabla de cuadrícula 5 oscura - Énfasis 611"/>
    <w:basedOn w:val="Tablanormal"/>
    <w:uiPriority w:val="50"/>
    <w:rsid w:val="00015C71"/>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4-nfasis631">
    <w:name w:val="Tabla de cuadrícula 4 - Énfasis 631"/>
    <w:basedOn w:val="Tablanormal"/>
    <w:uiPriority w:val="49"/>
    <w:rsid w:val="00015C71"/>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2">
    <w:name w:val="Tabla de lista 3 - Énfasis 612"/>
    <w:basedOn w:val="Tablanormal"/>
    <w:uiPriority w:val="48"/>
    <w:rsid w:val="00015C71"/>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2-nfasis621">
    <w:name w:val="Tabla de cuadrícula 2 - Énfasis 621"/>
    <w:basedOn w:val="Tablanormal"/>
    <w:uiPriority w:val="47"/>
    <w:rsid w:val="00015C71"/>
    <w:rPr>
      <w:rFonts w:eastAsia="Times New Roma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6concolores-nfasis611">
    <w:name w:val="Tabla de lista 6 con colores - Énfasis 611"/>
    <w:basedOn w:val="Tablanormal"/>
    <w:uiPriority w:val="51"/>
    <w:rsid w:val="00015C71"/>
    <w:rPr>
      <w:rFonts w:eastAsia="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gmail-msonormal">
    <w:name w:val="gmail-msonormal"/>
    <w:basedOn w:val="Normal"/>
    <w:rsid w:val="00622F24"/>
    <w:pPr>
      <w:spacing w:before="100" w:beforeAutospacing="1" w:after="100" w:afterAutospacing="1" w:line="240" w:lineRule="auto"/>
    </w:pPr>
    <w:rPr>
      <w:rFonts w:ascii="Times New Roman" w:eastAsiaTheme="minorHAnsi" w:hAnsi="Times New Roman"/>
      <w:sz w:val="24"/>
      <w:szCs w:val="24"/>
      <w:lang w:eastAsia="es-ES"/>
    </w:rPr>
  </w:style>
  <w:style w:type="table" w:customStyle="1" w:styleId="Tabladelista4-nfasis61">
    <w:name w:val="Tabla de lista 4 - Énfasis 61"/>
    <w:basedOn w:val="Tablanormal"/>
    <w:uiPriority w:val="49"/>
    <w:rsid w:val="00BB069F"/>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
    <w:name w:val="Tabla con cuadrícula2"/>
    <w:basedOn w:val="Tablanormal"/>
    <w:next w:val="Tablaconcuadrcula"/>
    <w:uiPriority w:val="59"/>
    <w:rsid w:val="00D359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3-nfasis611">
    <w:name w:val="Tabla de lista 3 - Énfasis 611"/>
    <w:basedOn w:val="Tablanormal"/>
    <w:uiPriority w:val="48"/>
    <w:rsid w:val="00D35939"/>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Sinlista2">
    <w:name w:val="Sin lista2"/>
    <w:next w:val="Sinlista"/>
    <w:uiPriority w:val="99"/>
    <w:semiHidden/>
    <w:unhideWhenUsed/>
    <w:rsid w:val="008221BC"/>
  </w:style>
  <w:style w:type="table" w:customStyle="1" w:styleId="Tablaconcuadrcula3">
    <w:name w:val="Tabla con cuadrícula3"/>
    <w:basedOn w:val="Tablanormal"/>
    <w:next w:val="Tablaconcuadrcula"/>
    <w:uiPriority w:val="59"/>
    <w:rsid w:val="008221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2-nfasis312">
    <w:name w:val="Tabla de cuadrícula 2 - Énfasis 312"/>
    <w:basedOn w:val="Tablanormal"/>
    <w:uiPriority w:val="47"/>
    <w:rsid w:val="008221BC"/>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111">
    <w:name w:val="Tabla de cuadrícula 2 - Énfasis 3111"/>
    <w:basedOn w:val="Tablanormal"/>
    <w:uiPriority w:val="47"/>
    <w:rsid w:val="008221BC"/>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611">
    <w:name w:val="Tabla de cuadrícula 1 clara - Énfasis 611"/>
    <w:basedOn w:val="Tablanormal"/>
    <w:uiPriority w:val="46"/>
    <w:rsid w:val="008221BC"/>
    <w:rPr>
      <w:rFonts w:asciiTheme="minorHAnsi" w:eastAsiaTheme="minorHAnsi" w:hAnsiTheme="minorHAnsi" w:cstheme="minorBidi"/>
      <w:sz w:val="22"/>
      <w:szCs w:val="22"/>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4-nfasis611">
    <w:name w:val="Tabla de cuadrícula 4 - Énfasis 611"/>
    <w:basedOn w:val="Tablanormal"/>
    <w:uiPriority w:val="49"/>
    <w:rsid w:val="008221BC"/>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322">
    <w:name w:val="Tabla de cuadrícula 2 - Énfasis 322"/>
    <w:basedOn w:val="Tablanormal"/>
    <w:uiPriority w:val="47"/>
    <w:rsid w:val="008221BC"/>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211">
    <w:name w:val="Tabla de cuadrícula 2 - Énfasis 3211"/>
    <w:basedOn w:val="Tablanormal"/>
    <w:uiPriority w:val="47"/>
    <w:rsid w:val="008221BC"/>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3-nfasis111">
    <w:name w:val="Tabla de lista 3 - Énfasis 111"/>
    <w:basedOn w:val="Tablanormal"/>
    <w:uiPriority w:val="48"/>
    <w:rsid w:val="008221BC"/>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cuadrcula1clara-nfasis111">
    <w:name w:val="Tabla de cuadrícula 1 clara - Énfasis 111"/>
    <w:basedOn w:val="Tablanormal"/>
    <w:uiPriority w:val="46"/>
    <w:rsid w:val="008221B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2-nfasis611">
    <w:name w:val="Tabla de cuadrícula 2 - Énfasis 611"/>
    <w:basedOn w:val="Tablanormal"/>
    <w:uiPriority w:val="47"/>
    <w:rsid w:val="008221BC"/>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aclara-nfasis61">
    <w:name w:val="Lista clara - Énfasis 61"/>
    <w:basedOn w:val="Tablanormal"/>
    <w:next w:val="Listaclara-nfasis6"/>
    <w:uiPriority w:val="61"/>
    <w:rsid w:val="008221BC"/>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staclara-nfasis11">
    <w:name w:val="Lista clara - Énfasis 11"/>
    <w:basedOn w:val="Tablanormal"/>
    <w:next w:val="Listaclara-nfasis1"/>
    <w:uiPriority w:val="61"/>
    <w:rsid w:val="008221B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adecuadrcula3-nfasis312">
    <w:name w:val="Tabla de cuadrícula 3 - Énfasis 312"/>
    <w:basedOn w:val="Tablanormal"/>
    <w:uiPriority w:val="48"/>
    <w:rsid w:val="008221B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2">
    <w:name w:val="Tabla de cuadrícula 5 oscura - Énfasis 112"/>
    <w:basedOn w:val="Tablanormal"/>
    <w:uiPriority w:val="50"/>
    <w:rsid w:val="008221B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Cuadrculamedia3-nfasis31">
    <w:name w:val="Cuadrícula media 3 - Énfasis 31"/>
    <w:basedOn w:val="Tablanormal"/>
    <w:next w:val="Cuadrculamedia3-nfasis3"/>
    <w:uiPriority w:val="69"/>
    <w:rsid w:val="008221BC"/>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Cuadrculaclara-nfasis32">
    <w:name w:val="Cuadrícula clara - Énfasis 32"/>
    <w:basedOn w:val="Tablanormal"/>
    <w:next w:val="Cuadrculaclara-nfasis3"/>
    <w:uiPriority w:val="62"/>
    <w:rsid w:val="008221BC"/>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claro1">
    <w:name w:val="Sombreado claro1"/>
    <w:basedOn w:val="Tablanormal"/>
    <w:next w:val="Sombreadoclaro"/>
    <w:uiPriority w:val="60"/>
    <w:rsid w:val="008221BC"/>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decuadrcula3-nfasis3111">
    <w:name w:val="Tabla de cuadrícula 3 - Énfasis 3111"/>
    <w:basedOn w:val="Tablanormal"/>
    <w:uiPriority w:val="48"/>
    <w:rsid w:val="008221B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11">
    <w:name w:val="Tabla de cuadrícula 5 oscura - Énfasis 1111"/>
    <w:basedOn w:val="Tablanormal"/>
    <w:uiPriority w:val="50"/>
    <w:rsid w:val="008221B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4-nfasis621">
    <w:name w:val="Tabla de cuadrícula 4 - Énfasis 621"/>
    <w:basedOn w:val="Tablanormal"/>
    <w:uiPriority w:val="49"/>
    <w:rsid w:val="008221BC"/>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Cuadrculamedia1-nfasis31">
    <w:name w:val="Cuadrícula media 1 - Énfasis 31"/>
    <w:basedOn w:val="Tablanormal"/>
    <w:next w:val="Cuadrculamedia1-nfasis3"/>
    <w:uiPriority w:val="67"/>
    <w:rsid w:val="008221BC"/>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numbering" w:customStyle="1" w:styleId="Sinlista11">
    <w:name w:val="Sin lista11"/>
    <w:next w:val="Sinlista"/>
    <w:uiPriority w:val="99"/>
    <w:semiHidden/>
    <w:unhideWhenUsed/>
    <w:rsid w:val="008221BC"/>
  </w:style>
  <w:style w:type="table" w:customStyle="1" w:styleId="Tabladecuadrcula4-nfasis311">
    <w:name w:val="Tabla de cuadrícula 4 - Énfasis 311"/>
    <w:basedOn w:val="Tablanormal"/>
    <w:uiPriority w:val="49"/>
    <w:rsid w:val="008221BC"/>
    <w:rPr>
      <w:lang w:eastAsia="es-ES_tradn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311">
    <w:name w:val="Tabla normal 311"/>
    <w:basedOn w:val="Tablanormal"/>
    <w:uiPriority w:val="43"/>
    <w:rsid w:val="008221BC"/>
    <w:rPr>
      <w:lang w:eastAsia="es-ES_tradn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211">
    <w:name w:val="Tabla normal 211"/>
    <w:basedOn w:val="Tablanormal"/>
    <w:uiPriority w:val="42"/>
    <w:rsid w:val="008221BC"/>
    <w:rPr>
      <w:lang w:eastAsia="es-ES_tradn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211">
    <w:name w:val="Tabla de cuadrícula 211"/>
    <w:basedOn w:val="Tablanormal"/>
    <w:uiPriority w:val="47"/>
    <w:rsid w:val="008221BC"/>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vistosa-nfasis12">
    <w:name w:val="Lista vistosa - Énfasis 12"/>
    <w:basedOn w:val="Tablanormal"/>
    <w:next w:val="Listavistosa-nfasis1"/>
    <w:uiPriority w:val="34"/>
    <w:unhideWhenUsed/>
    <w:rsid w:val="008221BC"/>
    <w:rPr>
      <w:sz w:val="22"/>
      <w:szCs w:val="22"/>
      <w:lang w:val="es-MX"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adelista1clara11">
    <w:name w:val="Tabla de lista 1 clara11"/>
    <w:basedOn w:val="Tablanormal"/>
    <w:uiPriority w:val="46"/>
    <w:rsid w:val="008221BC"/>
    <w:rPr>
      <w:lang w:eastAsia="es-ES_trad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uiPriority w:val="51"/>
    <w:rsid w:val="008221BC"/>
    <w:rPr>
      <w:color w:val="000000" w:themeColor="text1"/>
      <w:lang w:eastAsia="es-ES_trad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aclara-nfasis31">
    <w:name w:val="Lista clara - Énfasis 31"/>
    <w:basedOn w:val="Tablanormal"/>
    <w:next w:val="Listaclara-nfasis3"/>
    <w:uiPriority w:val="61"/>
    <w:rsid w:val="008221B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delista3-nfasis311">
    <w:name w:val="Tabla de lista 3 - Énfasis 311"/>
    <w:basedOn w:val="Tablanormal"/>
    <w:uiPriority w:val="48"/>
    <w:rsid w:val="008221BC"/>
    <w:rPr>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6concolores-nfasis311">
    <w:name w:val="Tabla de cuadrícula 6 con colores - Énfasis 311"/>
    <w:basedOn w:val="Tablanormal"/>
    <w:uiPriority w:val="51"/>
    <w:rsid w:val="008221BC"/>
    <w:rPr>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Cuadrculamedia1-nfasis51">
    <w:name w:val="Cuadrícula media 1 - Énfasis 51"/>
    <w:basedOn w:val="Tablanormal"/>
    <w:next w:val="Cuadrculamedia1-nfasis5"/>
    <w:uiPriority w:val="67"/>
    <w:rsid w:val="008221BC"/>
    <w:rPr>
      <w:rFonts w:asciiTheme="minorHAnsi" w:eastAsiaTheme="minorEastAsia" w:hAnsiTheme="minorHAnsi" w:cstheme="minorBidi"/>
      <w:sz w:val="24"/>
      <w:szCs w:val="24"/>
      <w:lang w:val="es-ES_tradnl" w:eastAsia="es-E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Sombreadomedio1-nfasis41">
    <w:name w:val="Sombreado medio 1 - Énfasis 41"/>
    <w:basedOn w:val="Tablanormal"/>
    <w:next w:val="Sombreadomedio1-nfasis4"/>
    <w:uiPriority w:val="63"/>
    <w:rsid w:val="008221BC"/>
    <w:rPr>
      <w:rFonts w:asciiTheme="minorHAnsi" w:eastAsiaTheme="minorEastAsia" w:hAnsiTheme="minorHAnsi" w:cstheme="minorBidi"/>
      <w:sz w:val="24"/>
      <w:szCs w:val="24"/>
      <w:lang w:val="es-ES_tradnl" w:eastAsia="es-E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Sombreadomedio1-nfasis61">
    <w:name w:val="Sombreado medio 1 - Énfasis 61"/>
    <w:basedOn w:val="Tablanormal"/>
    <w:next w:val="Sombreadomedio1-nfasis6"/>
    <w:uiPriority w:val="63"/>
    <w:rsid w:val="008221BC"/>
    <w:rPr>
      <w:rFonts w:asciiTheme="minorHAnsi" w:eastAsiaTheme="minorEastAsia" w:hAnsiTheme="minorHAnsi" w:cstheme="minorBidi"/>
      <w:sz w:val="24"/>
      <w:szCs w:val="24"/>
      <w:lang w:val="es-ES_tradnl" w:eastAsia="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Listaclara1">
    <w:name w:val="Lista clara1"/>
    <w:basedOn w:val="Tablanormal"/>
    <w:next w:val="Listaclara"/>
    <w:uiPriority w:val="61"/>
    <w:rsid w:val="008221BC"/>
    <w:rPr>
      <w:rFonts w:asciiTheme="minorHAnsi" w:eastAsiaTheme="minorEastAsia" w:hAnsiTheme="minorHAnsi" w:cstheme="minorBidi"/>
      <w:sz w:val="24"/>
      <w:szCs w:val="24"/>
      <w:lang w:val="es-ES_tradnl"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4-nfasis322">
    <w:name w:val="Tabla de cuadrícula 4 - Énfasis 322"/>
    <w:basedOn w:val="Tablanormal"/>
    <w:uiPriority w:val="49"/>
    <w:rsid w:val="008221B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Sombreadomedio2-nfasis31">
    <w:name w:val="Sombreado medio 2 - Énfasis 31"/>
    <w:basedOn w:val="Tablanormal"/>
    <w:next w:val="Sombreadomedio2-nfasis3"/>
    <w:uiPriority w:val="64"/>
    <w:rsid w:val="008221BC"/>
    <w:rPr>
      <w:rFonts w:ascii="Arial" w:eastAsia="Times New Roman" w:hAnsi="Arial"/>
      <w:lang w:val="es-ES_trad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
    <w:name w:val="Lista media 111"/>
    <w:basedOn w:val="Tablanormal"/>
    <w:uiPriority w:val="65"/>
    <w:rsid w:val="008221BC"/>
    <w:rPr>
      <w:rFonts w:ascii="Arial" w:eastAsia="Times New Roman" w:hAnsi="Arial"/>
      <w:color w:val="000000"/>
      <w:lang w:val="es-ES_tradnl"/>
    </w:rPr>
    <w:tblPr>
      <w:tblStyleRowBandSize w:val="1"/>
      <w:tblStyleColBandSize w:val="1"/>
      <w:tblBorders>
        <w:top w:val="single" w:sz="8" w:space="0" w:color="000000"/>
        <w:bottom w:val="single" w:sz="8" w:space="0" w:color="000000"/>
      </w:tblBorders>
    </w:tblPr>
    <w:tblStylePr w:type="firstRow">
      <w:rPr>
        <w:rFonts w:ascii="Cambria Math" w:eastAsia="Times New Roman" w:hAnsi="Cambria Math"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adelista6concolores12">
    <w:name w:val="Tabla de lista 6 con colores12"/>
    <w:basedOn w:val="Tablanormal"/>
    <w:uiPriority w:val="51"/>
    <w:rsid w:val="008221BC"/>
    <w:rPr>
      <w:rFonts w:eastAsia="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1">
    <w:name w:val="Tabla con cuadrícula11"/>
    <w:basedOn w:val="Tablanormal"/>
    <w:next w:val="Tablaconcuadrcula"/>
    <w:uiPriority w:val="59"/>
    <w:rsid w:val="008221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612">
    <w:name w:val="Tabla de lista 7 con colores - Énfasis 612"/>
    <w:basedOn w:val="Tablanormal"/>
    <w:uiPriority w:val="52"/>
    <w:rsid w:val="008221BC"/>
    <w:rPr>
      <w:rFonts w:eastAsia="Times New Roman"/>
      <w:color w:val="08A4EE"/>
    </w:rPr>
    <w:tblPr>
      <w:tblStyleRowBandSize w:val="1"/>
      <w:tblStyleColBandSize w:val="1"/>
    </w:tblPr>
    <w:tblStylePr w:type="firstRow">
      <w:rPr>
        <w:rFonts w:ascii="DK Crayon Crumble" w:eastAsia="Times New Roman" w:hAnsi="DK Crayon Crumble" w:cs="Times New Roman"/>
        <w:i/>
        <w:iCs/>
        <w:sz w:val="26"/>
      </w:rPr>
      <w:tblPr/>
      <w:tcPr>
        <w:tcBorders>
          <w:bottom w:val="single" w:sz="4" w:space="0" w:color="51C3F9"/>
        </w:tcBorders>
        <w:shd w:val="clear" w:color="auto" w:fill="FFFFFF"/>
      </w:tcPr>
    </w:tblStylePr>
    <w:tblStylePr w:type="lastRow">
      <w:rPr>
        <w:rFonts w:ascii="DK Crayon Crumble" w:eastAsia="Times New Roman" w:hAnsi="DK Crayon Crumble" w:cs="Times New Roman"/>
        <w:i/>
        <w:iCs/>
        <w:sz w:val="26"/>
      </w:rPr>
      <w:tblPr/>
      <w:tcPr>
        <w:tcBorders>
          <w:top w:val="single" w:sz="4" w:space="0" w:color="51C3F9"/>
        </w:tcBorders>
        <w:shd w:val="clear" w:color="auto" w:fill="FFFFFF"/>
      </w:tcPr>
    </w:tblStylePr>
    <w:tblStylePr w:type="firstCol">
      <w:pPr>
        <w:jc w:val="right"/>
      </w:pPr>
      <w:rPr>
        <w:rFonts w:ascii="DK Crayon Crumble" w:eastAsia="Times New Roman" w:hAnsi="DK Crayon Crumble" w:cs="Times New Roman"/>
        <w:i/>
        <w:iCs/>
        <w:sz w:val="26"/>
      </w:rPr>
      <w:tblPr/>
      <w:tcPr>
        <w:tcBorders>
          <w:right w:val="single" w:sz="4" w:space="0" w:color="51C3F9"/>
        </w:tcBorders>
        <w:shd w:val="clear" w:color="auto" w:fill="FFFFFF"/>
      </w:tcPr>
    </w:tblStylePr>
    <w:tblStylePr w:type="lastCol">
      <w:rPr>
        <w:rFonts w:ascii="DK Crayon Crumble" w:eastAsia="Times New Roman" w:hAnsi="DK Crayon Crumbl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o-nfasis211">
    <w:name w:val="Tabla de cuadrícula 1 Claro-Énfasis 211"/>
    <w:basedOn w:val="Tablanormal"/>
    <w:uiPriority w:val="46"/>
    <w:rsid w:val="008221BC"/>
    <w:rPr>
      <w:sz w:val="22"/>
      <w:szCs w:val="22"/>
      <w:lang w:eastAsia="en-US"/>
    </w:rPr>
    <w:tblPr>
      <w:tblStyleRowBandSize w:val="1"/>
      <w:tblStyleColBandSize w:val="1"/>
      <w:tblBorders>
        <w:top w:val="single" w:sz="4" w:space="0" w:color="BFE2A8"/>
        <w:left w:val="single" w:sz="4" w:space="0" w:color="BFE2A8"/>
        <w:bottom w:val="single" w:sz="4" w:space="0" w:color="BFE2A8"/>
        <w:right w:val="single" w:sz="4" w:space="0" w:color="BFE2A8"/>
        <w:insideH w:val="single" w:sz="4" w:space="0" w:color="BFE2A8"/>
        <w:insideV w:val="single" w:sz="4" w:space="0" w:color="BFE2A8"/>
      </w:tblBorders>
    </w:tblPr>
    <w:tblStylePr w:type="firstRow">
      <w:rPr>
        <w:b/>
        <w:bCs/>
      </w:rPr>
      <w:tblPr/>
      <w:tcPr>
        <w:tcBorders>
          <w:bottom w:val="single" w:sz="12" w:space="0" w:color="9FD37C"/>
        </w:tcBorders>
      </w:tcPr>
    </w:tblStylePr>
    <w:tblStylePr w:type="lastRow">
      <w:rPr>
        <w:b/>
        <w:bCs/>
      </w:rPr>
      <w:tblPr/>
      <w:tcPr>
        <w:tcBorders>
          <w:top w:val="double" w:sz="2" w:space="0" w:color="9FD37C"/>
        </w:tcBorders>
      </w:tcPr>
    </w:tblStylePr>
    <w:tblStylePr w:type="firstCol">
      <w:rPr>
        <w:b/>
        <w:bCs/>
      </w:rPr>
    </w:tblStylePr>
    <w:tblStylePr w:type="lastCol">
      <w:rPr>
        <w:b/>
        <w:bCs/>
      </w:rPr>
    </w:tblStylePr>
  </w:style>
  <w:style w:type="table" w:customStyle="1" w:styleId="Tabladecuadrcula1clara-nfasis6110">
    <w:name w:val="Tabla de cuadrícula 1 clara-Énfasis 611"/>
    <w:basedOn w:val="Tablanormal"/>
    <w:uiPriority w:val="46"/>
    <w:rsid w:val="008221BC"/>
    <w:rPr>
      <w:sz w:val="22"/>
      <w:szCs w:val="22"/>
      <w:lang w:eastAsia="en-US"/>
    </w:rPr>
    <w:tblPr>
      <w:tblStyleRowBandSize w:val="1"/>
      <w:tblStyleColBandSize w:val="1"/>
      <w:tblBorders>
        <w:top w:val="single" w:sz="4" w:space="0" w:color="B9E7FC"/>
        <w:left w:val="single" w:sz="4" w:space="0" w:color="B9E7FC"/>
        <w:bottom w:val="single" w:sz="4" w:space="0" w:color="B9E7FC"/>
        <w:right w:val="single" w:sz="4" w:space="0" w:color="B9E7FC"/>
        <w:insideH w:val="single" w:sz="4" w:space="0" w:color="B9E7FC"/>
        <w:insideV w:val="single" w:sz="4" w:space="0" w:color="B9E7FC"/>
      </w:tblBorders>
    </w:tblPr>
    <w:tblStylePr w:type="firstRow">
      <w:rPr>
        <w:b/>
        <w:bCs/>
      </w:rPr>
      <w:tblPr/>
      <w:tcPr>
        <w:tcBorders>
          <w:bottom w:val="single" w:sz="12" w:space="0" w:color="96DBFB"/>
        </w:tcBorders>
      </w:tcPr>
    </w:tblStylePr>
    <w:tblStylePr w:type="lastRow">
      <w:rPr>
        <w:b/>
        <w:bCs/>
      </w:rPr>
      <w:tblPr/>
      <w:tcPr>
        <w:tcBorders>
          <w:top w:val="double" w:sz="2" w:space="0" w:color="96DBFB"/>
        </w:tcBorders>
      </w:tcPr>
    </w:tblStylePr>
    <w:tblStylePr w:type="firstCol">
      <w:rPr>
        <w:b/>
        <w:bCs/>
      </w:rPr>
    </w:tblStylePr>
    <w:tblStylePr w:type="lastCol">
      <w:rPr>
        <w:b/>
        <w:bCs/>
      </w:rPr>
    </w:tblStylePr>
  </w:style>
  <w:style w:type="table" w:customStyle="1" w:styleId="Tabladecuadrcula4-nfasis6110">
    <w:name w:val="Tabla de cuadrícula 4-Énfasis 611"/>
    <w:basedOn w:val="Tablanormal"/>
    <w:uiPriority w:val="49"/>
    <w:rsid w:val="008221BC"/>
    <w:rPr>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color w:val="FFFFFF"/>
      </w:rPr>
      <w:tblPr/>
      <w:tcPr>
        <w:tcBorders>
          <w:top w:val="single" w:sz="4" w:space="0" w:color="51C3F9"/>
          <w:left w:val="single" w:sz="4" w:space="0" w:color="51C3F9"/>
          <w:bottom w:val="single" w:sz="4" w:space="0" w:color="51C3F9"/>
          <w:right w:val="single" w:sz="4" w:space="0" w:color="51C3F9"/>
          <w:insideH w:val="nil"/>
          <w:insideV w:val="nil"/>
        </w:tcBorders>
        <w:shd w:val="clear" w:color="auto" w:fill="51C3F9"/>
      </w:tcPr>
    </w:tblStylePr>
    <w:tblStylePr w:type="lastRow">
      <w:rPr>
        <w:b/>
        <w:bCs/>
      </w:rPr>
      <w:tblPr/>
      <w:tcPr>
        <w:tcBorders>
          <w:top w:val="double" w:sz="4" w:space="0" w:color="51C3F9"/>
        </w:tcBorders>
      </w:tcPr>
    </w:tblStylePr>
    <w:tblStylePr w:type="firstCol">
      <w:rPr>
        <w:b/>
        <w:bCs/>
      </w:rPr>
    </w:tblStylePr>
    <w:tblStylePr w:type="lastCol">
      <w:rPr>
        <w:b/>
        <w:bCs/>
      </w:rPr>
    </w:tblStylePr>
    <w:tblStylePr w:type="band1Vert">
      <w:tblPr/>
      <w:tcPr>
        <w:shd w:val="clear" w:color="auto" w:fill="DCF3FD"/>
      </w:tcPr>
    </w:tblStylePr>
    <w:tblStylePr w:type="band1Horz">
      <w:tblPr/>
      <w:tcPr>
        <w:shd w:val="clear" w:color="auto" w:fill="DCF3FD"/>
      </w:tcPr>
    </w:tblStylePr>
  </w:style>
  <w:style w:type="table" w:customStyle="1" w:styleId="Tabladecuadrcula3-nfasis611">
    <w:name w:val="Tabla de cuadrícula 3 - Énfasis 611"/>
    <w:basedOn w:val="Tablanormal"/>
    <w:uiPriority w:val="48"/>
    <w:rsid w:val="008221BC"/>
    <w:rPr>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bottom w:val="single" w:sz="4" w:space="0" w:color="96DBFB"/>
        </w:tcBorders>
      </w:tcPr>
    </w:tblStylePr>
    <w:tblStylePr w:type="nwCell">
      <w:tblPr/>
      <w:tcPr>
        <w:tcBorders>
          <w:bottom w:val="single" w:sz="4" w:space="0" w:color="96DBFB"/>
        </w:tcBorders>
      </w:tcPr>
    </w:tblStylePr>
    <w:tblStylePr w:type="seCell">
      <w:tblPr/>
      <w:tcPr>
        <w:tcBorders>
          <w:top w:val="single" w:sz="4" w:space="0" w:color="96DBFB"/>
        </w:tcBorders>
      </w:tcPr>
    </w:tblStylePr>
    <w:tblStylePr w:type="swCell">
      <w:tblPr/>
      <w:tcPr>
        <w:tcBorders>
          <w:top w:val="single" w:sz="4" w:space="0" w:color="96DBFB"/>
        </w:tcBorders>
      </w:tcPr>
    </w:tblStylePr>
  </w:style>
  <w:style w:type="table" w:customStyle="1" w:styleId="Cuadrculaclara-nfasis41">
    <w:name w:val="Cuadrícula clara - Énfasis 41"/>
    <w:basedOn w:val="Tablanormal"/>
    <w:next w:val="Cuadrculaclara-nfasis4"/>
    <w:uiPriority w:val="62"/>
    <w:rsid w:val="008221BC"/>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DK Crayon Crumble" w:eastAsia="Times New Roman" w:hAnsi="DK Crayon Crumble"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DK Crayon Crumble" w:eastAsia="Times New Roman" w:hAnsi="DK Crayon Crumble"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DK Crayon Crumble" w:eastAsia="Times New Roman" w:hAnsi="DK Crayon Crumble" w:cs="Times New Roman"/>
        <w:b/>
        <w:bCs/>
      </w:rPr>
    </w:tblStylePr>
    <w:tblStylePr w:type="lastCol">
      <w:rPr>
        <w:rFonts w:ascii="DK Crayon Crumble" w:eastAsia="Times New Roman" w:hAnsi="DK Crayon Crumble"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cuadrcula7concolores-nfasis611">
    <w:name w:val="Tabla de cuadrícula 7 con colores - Énfasis 611"/>
    <w:basedOn w:val="Tablanormal"/>
    <w:uiPriority w:val="52"/>
    <w:rsid w:val="008221BC"/>
    <w:rPr>
      <w:color w:val="08A4EE"/>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bottom w:val="single" w:sz="4" w:space="0" w:color="96DBFB"/>
        </w:tcBorders>
      </w:tcPr>
    </w:tblStylePr>
    <w:tblStylePr w:type="nwCell">
      <w:tblPr/>
      <w:tcPr>
        <w:tcBorders>
          <w:bottom w:val="single" w:sz="4" w:space="0" w:color="96DBFB"/>
        </w:tcBorders>
      </w:tcPr>
    </w:tblStylePr>
    <w:tblStylePr w:type="seCell">
      <w:tblPr/>
      <w:tcPr>
        <w:tcBorders>
          <w:top w:val="single" w:sz="4" w:space="0" w:color="96DBFB"/>
        </w:tcBorders>
      </w:tcPr>
    </w:tblStylePr>
    <w:tblStylePr w:type="swCell">
      <w:tblPr/>
      <w:tcPr>
        <w:tcBorders>
          <w:top w:val="single" w:sz="4" w:space="0" w:color="96DBFB"/>
        </w:tcBorders>
      </w:tcPr>
    </w:tblStylePr>
  </w:style>
  <w:style w:type="table" w:customStyle="1" w:styleId="Tabladecuadrcula1clara-nfasis122">
    <w:name w:val="Tabla de cuadrícula 1 clara - Énfasis 122"/>
    <w:basedOn w:val="Tablanormal"/>
    <w:uiPriority w:val="46"/>
    <w:rsid w:val="008221BC"/>
    <w:rPr>
      <w:sz w:val="22"/>
      <w:szCs w:val="22"/>
      <w:lang w:eastAsia="en-US"/>
    </w:rPr>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customStyle="1" w:styleId="Tabladecuadrcula5oscura-nfasis122">
    <w:name w:val="Tabla de cuadrícula 5 oscura - Énfasis 122"/>
    <w:basedOn w:val="Tablanormal"/>
    <w:uiPriority w:val="50"/>
    <w:rsid w:val="008221B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4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tblPr/>
      <w:tcPr>
        <w:shd w:val="clear" w:color="auto" w:fill="D6EAAF"/>
      </w:tcPr>
    </w:tblStylePr>
    <w:tblStylePr w:type="band1Horz">
      <w:tblPr/>
      <w:tcPr>
        <w:shd w:val="clear" w:color="auto" w:fill="D6EAAF"/>
      </w:tcPr>
    </w:tblStylePr>
  </w:style>
  <w:style w:type="table" w:customStyle="1" w:styleId="Tabladecuadrcula5oscura-nfasis612">
    <w:name w:val="Tabla de cuadrícula 5 oscura - Énfasis 612"/>
    <w:basedOn w:val="Tablanormal"/>
    <w:uiPriority w:val="50"/>
    <w:rsid w:val="008221BC"/>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4-nfasis632">
    <w:name w:val="Tabla de cuadrícula 4 - Énfasis 632"/>
    <w:basedOn w:val="Tablanormal"/>
    <w:uiPriority w:val="49"/>
    <w:rsid w:val="008221BC"/>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3">
    <w:name w:val="Tabla de lista 3 - Énfasis 613"/>
    <w:basedOn w:val="Tablanormal"/>
    <w:uiPriority w:val="48"/>
    <w:rsid w:val="008221BC"/>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2-nfasis622">
    <w:name w:val="Tabla de cuadrícula 2 - Énfasis 622"/>
    <w:basedOn w:val="Tablanormal"/>
    <w:uiPriority w:val="47"/>
    <w:rsid w:val="008221BC"/>
    <w:rPr>
      <w:rFonts w:eastAsia="Times New Roma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6concolores-nfasis612">
    <w:name w:val="Tabla de lista 6 con colores - Énfasis 612"/>
    <w:basedOn w:val="Tablanormal"/>
    <w:uiPriority w:val="51"/>
    <w:rsid w:val="008221BC"/>
    <w:rPr>
      <w:rFonts w:eastAsia="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3211">
    <w:name w:val="Tabla de cuadrícula 4 - Énfasis 3211"/>
    <w:basedOn w:val="Tablanormal"/>
    <w:uiPriority w:val="49"/>
    <w:rsid w:val="008221B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6concolores111">
    <w:name w:val="Tabla de lista 6 con colores111"/>
    <w:basedOn w:val="Tablanormal"/>
    <w:uiPriority w:val="51"/>
    <w:rsid w:val="008221BC"/>
    <w:rPr>
      <w:rFonts w:eastAsia="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7concolores-nfasis6111">
    <w:name w:val="Tabla de lista 7 con colores - Énfasis 6111"/>
    <w:basedOn w:val="Tablanormal"/>
    <w:uiPriority w:val="52"/>
    <w:rsid w:val="008221BC"/>
    <w:rPr>
      <w:rFonts w:eastAsia="Times New Roman"/>
      <w:color w:val="08A4EE"/>
    </w:rPr>
    <w:tblPr>
      <w:tblStyleRowBandSize w:val="1"/>
      <w:tblStyleColBandSize w:val="1"/>
    </w:tblPr>
    <w:tblStylePr w:type="firstRow">
      <w:rPr>
        <w:rFonts w:ascii="DK Crayon Crumble" w:eastAsia="Times New Roman" w:hAnsi="DK Crayon Crumble" w:cs="Times New Roman"/>
        <w:i/>
        <w:iCs/>
        <w:sz w:val="26"/>
      </w:rPr>
      <w:tblPr/>
      <w:tcPr>
        <w:tcBorders>
          <w:bottom w:val="single" w:sz="4" w:space="0" w:color="51C3F9"/>
        </w:tcBorders>
        <w:shd w:val="clear" w:color="auto" w:fill="FFFFFF"/>
      </w:tcPr>
    </w:tblStylePr>
    <w:tblStylePr w:type="lastRow">
      <w:rPr>
        <w:rFonts w:ascii="DK Crayon Crumble" w:eastAsia="Times New Roman" w:hAnsi="DK Crayon Crumble" w:cs="Times New Roman"/>
        <w:i/>
        <w:iCs/>
        <w:sz w:val="26"/>
      </w:rPr>
      <w:tblPr/>
      <w:tcPr>
        <w:tcBorders>
          <w:top w:val="single" w:sz="4" w:space="0" w:color="51C3F9"/>
        </w:tcBorders>
        <w:shd w:val="clear" w:color="auto" w:fill="FFFFFF"/>
      </w:tcPr>
    </w:tblStylePr>
    <w:tblStylePr w:type="firstCol">
      <w:pPr>
        <w:jc w:val="right"/>
      </w:pPr>
      <w:rPr>
        <w:rFonts w:ascii="DK Crayon Crumble" w:eastAsia="Times New Roman" w:hAnsi="DK Crayon Crumble" w:cs="Times New Roman"/>
        <w:i/>
        <w:iCs/>
        <w:sz w:val="26"/>
      </w:rPr>
      <w:tblPr/>
      <w:tcPr>
        <w:tcBorders>
          <w:right w:val="single" w:sz="4" w:space="0" w:color="51C3F9"/>
        </w:tcBorders>
        <w:shd w:val="clear" w:color="auto" w:fill="FFFFFF"/>
      </w:tcPr>
    </w:tblStylePr>
    <w:tblStylePr w:type="lastCol">
      <w:rPr>
        <w:rFonts w:ascii="DK Crayon Crumble" w:eastAsia="Times New Roman" w:hAnsi="DK Crayon Crumbl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a-nfasis1211">
    <w:name w:val="Tabla de cuadrícula 1 clara - Énfasis 1211"/>
    <w:basedOn w:val="Tablanormal"/>
    <w:uiPriority w:val="46"/>
    <w:rsid w:val="008221BC"/>
    <w:rPr>
      <w:sz w:val="22"/>
      <w:szCs w:val="22"/>
      <w:lang w:eastAsia="en-US"/>
    </w:rPr>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customStyle="1" w:styleId="Tabladecuadrcula5oscura-nfasis1211">
    <w:name w:val="Tabla de cuadrícula 5 oscura - Énfasis 1211"/>
    <w:basedOn w:val="Tablanormal"/>
    <w:uiPriority w:val="50"/>
    <w:rsid w:val="008221B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4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tblPr/>
      <w:tcPr>
        <w:shd w:val="clear" w:color="auto" w:fill="D6EAAF"/>
      </w:tcPr>
    </w:tblStylePr>
    <w:tblStylePr w:type="band1Horz">
      <w:tblPr/>
      <w:tcPr>
        <w:shd w:val="clear" w:color="auto" w:fill="D6EAAF"/>
      </w:tcPr>
    </w:tblStylePr>
  </w:style>
  <w:style w:type="table" w:customStyle="1" w:styleId="Tabladecuadrcula5oscura-nfasis6111">
    <w:name w:val="Tabla de cuadrícula 5 oscura - Énfasis 6111"/>
    <w:basedOn w:val="Tablanormal"/>
    <w:uiPriority w:val="50"/>
    <w:rsid w:val="008221BC"/>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4-nfasis6311">
    <w:name w:val="Tabla de cuadrícula 4 - Énfasis 6311"/>
    <w:basedOn w:val="Tablanormal"/>
    <w:uiPriority w:val="49"/>
    <w:rsid w:val="008221BC"/>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21">
    <w:name w:val="Tabla de lista 3 - Énfasis 6121"/>
    <w:basedOn w:val="Tablanormal"/>
    <w:uiPriority w:val="48"/>
    <w:rsid w:val="008221BC"/>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2-nfasis6211">
    <w:name w:val="Tabla de cuadrícula 2 - Énfasis 6211"/>
    <w:basedOn w:val="Tablanormal"/>
    <w:uiPriority w:val="47"/>
    <w:rsid w:val="008221BC"/>
    <w:rPr>
      <w:rFonts w:eastAsia="Times New Roma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6concolores-nfasis6111">
    <w:name w:val="Tabla de lista 6 con colores - Énfasis 6111"/>
    <w:basedOn w:val="Tablanormal"/>
    <w:uiPriority w:val="51"/>
    <w:rsid w:val="008221BC"/>
    <w:rPr>
      <w:rFonts w:eastAsia="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4-nfasis611">
    <w:name w:val="Tabla de lista 4 - Énfasis 611"/>
    <w:basedOn w:val="Tablanormal"/>
    <w:uiPriority w:val="49"/>
    <w:rsid w:val="008221BC"/>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1">
    <w:name w:val="Tabla con cuadrícula21"/>
    <w:basedOn w:val="Tablanormal"/>
    <w:next w:val="Tablaconcuadrcula"/>
    <w:uiPriority w:val="59"/>
    <w:rsid w:val="008221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3-nfasis6111">
    <w:name w:val="Tabla de lista 3 - Énfasis 6111"/>
    <w:basedOn w:val="Tablanormal"/>
    <w:uiPriority w:val="48"/>
    <w:rsid w:val="008221BC"/>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highlight">
    <w:name w:val="highlight"/>
    <w:basedOn w:val="Fuentedeprrafopredeter"/>
    <w:rsid w:val="008221BC"/>
  </w:style>
  <w:style w:type="table" w:customStyle="1" w:styleId="Tabladelista7concolores-nfasis613">
    <w:name w:val="Tabla de lista 7 con colores - Énfasis 613"/>
    <w:basedOn w:val="Tablanormal"/>
    <w:uiPriority w:val="52"/>
    <w:rsid w:val="00656E7F"/>
    <w:rPr>
      <w:rFonts w:eastAsia="Times New Roman"/>
      <w:color w:val="08A4EE"/>
    </w:rPr>
    <w:tblPr>
      <w:tblStyleRowBandSize w:val="1"/>
      <w:tblStyleColBandSize w:val="1"/>
    </w:tblPr>
    <w:tblStylePr w:type="firstRow">
      <w:rPr>
        <w:rFonts w:ascii="FreeSans" w:eastAsia="Times New Roman" w:hAnsi="FreeSans" w:cs="Times New Roman"/>
        <w:i/>
        <w:iCs/>
        <w:sz w:val="26"/>
      </w:rPr>
      <w:tblPr/>
      <w:tcPr>
        <w:tcBorders>
          <w:bottom w:val="single" w:sz="4" w:space="0" w:color="51C3F9"/>
        </w:tcBorders>
        <w:shd w:val="clear" w:color="auto" w:fill="FFFFFF"/>
      </w:tcPr>
    </w:tblStylePr>
    <w:tblStylePr w:type="lastRow">
      <w:rPr>
        <w:rFonts w:ascii="FreeSans" w:eastAsia="Times New Roman" w:hAnsi="FreeSans" w:cs="Times New Roman"/>
        <w:i/>
        <w:iCs/>
        <w:sz w:val="26"/>
      </w:rPr>
      <w:tblPr/>
      <w:tcPr>
        <w:tcBorders>
          <w:top w:val="single" w:sz="4" w:space="0" w:color="51C3F9"/>
        </w:tcBorders>
        <w:shd w:val="clear" w:color="auto" w:fill="FFFFFF"/>
      </w:tcPr>
    </w:tblStylePr>
    <w:tblStylePr w:type="firstCol">
      <w:pPr>
        <w:jc w:val="right"/>
      </w:pPr>
      <w:rPr>
        <w:rFonts w:ascii="FreeSans" w:eastAsia="Times New Roman" w:hAnsi="FreeSans" w:cs="Times New Roman"/>
        <w:i/>
        <w:iCs/>
        <w:sz w:val="26"/>
      </w:rPr>
      <w:tblPr/>
      <w:tcPr>
        <w:tcBorders>
          <w:right w:val="single" w:sz="4" w:space="0" w:color="51C3F9"/>
        </w:tcBorders>
        <w:shd w:val="clear" w:color="auto" w:fill="FFFFFF"/>
      </w:tcPr>
    </w:tblStylePr>
    <w:tblStylePr w:type="lastCol">
      <w:rPr>
        <w:rFonts w:ascii="FreeSans" w:eastAsia="Times New Roman" w:hAnsi="FreeSans"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clara-nfasis42">
    <w:name w:val="Cuadrícula clara - Énfasis 42"/>
    <w:basedOn w:val="Tablanormal"/>
    <w:next w:val="Cuadrculaclara-nfasis4"/>
    <w:uiPriority w:val="62"/>
    <w:rsid w:val="00656E7F"/>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FreeSans" w:eastAsia="Times New Roman" w:hAnsi="FreeSans"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FreeSans" w:eastAsia="Times New Roman" w:hAnsi="FreeSans"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FreeSans" w:eastAsia="Times New Roman" w:hAnsi="FreeSans" w:cs="Times New Roman"/>
        <w:b/>
        <w:bCs/>
      </w:rPr>
    </w:tblStylePr>
    <w:tblStylePr w:type="lastCol">
      <w:rPr>
        <w:rFonts w:ascii="FreeSans" w:eastAsia="Times New Roman" w:hAnsi="FreeSans"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lista7concolores-nfasis614">
    <w:name w:val="Tabla de lista 7 con colores - Énfasis 614"/>
    <w:basedOn w:val="Tablanormal"/>
    <w:uiPriority w:val="52"/>
    <w:rsid w:val="00656E7F"/>
    <w:rPr>
      <w:rFonts w:eastAsia="Times New Roman"/>
      <w:color w:val="08A4EE"/>
    </w:rPr>
    <w:tblPr>
      <w:tblStyleRowBandSize w:val="1"/>
      <w:tblStyleColBandSize w:val="1"/>
    </w:tblPr>
    <w:tblStylePr w:type="firstRow">
      <w:rPr>
        <w:rFonts w:ascii="FreeSans" w:eastAsia="Times New Roman" w:hAnsi="FreeSans" w:cs="Times New Roman"/>
        <w:i/>
        <w:iCs/>
        <w:sz w:val="26"/>
      </w:rPr>
      <w:tblPr/>
      <w:tcPr>
        <w:tcBorders>
          <w:bottom w:val="single" w:sz="4" w:space="0" w:color="51C3F9"/>
        </w:tcBorders>
        <w:shd w:val="clear" w:color="auto" w:fill="FFFFFF"/>
      </w:tcPr>
    </w:tblStylePr>
    <w:tblStylePr w:type="lastRow">
      <w:rPr>
        <w:rFonts w:ascii="FreeSans" w:eastAsia="Times New Roman" w:hAnsi="FreeSans" w:cs="Times New Roman"/>
        <w:i/>
        <w:iCs/>
        <w:sz w:val="26"/>
      </w:rPr>
      <w:tblPr/>
      <w:tcPr>
        <w:tcBorders>
          <w:top w:val="single" w:sz="4" w:space="0" w:color="51C3F9"/>
        </w:tcBorders>
        <w:shd w:val="clear" w:color="auto" w:fill="FFFFFF"/>
      </w:tcPr>
    </w:tblStylePr>
    <w:tblStylePr w:type="firstCol">
      <w:pPr>
        <w:jc w:val="right"/>
      </w:pPr>
      <w:rPr>
        <w:rFonts w:ascii="FreeSans" w:eastAsia="Times New Roman" w:hAnsi="FreeSans" w:cs="Times New Roman"/>
        <w:i/>
        <w:iCs/>
        <w:sz w:val="26"/>
      </w:rPr>
      <w:tblPr/>
      <w:tcPr>
        <w:tcBorders>
          <w:right w:val="single" w:sz="4" w:space="0" w:color="51C3F9"/>
        </w:tcBorders>
        <w:shd w:val="clear" w:color="auto" w:fill="FFFFFF"/>
      </w:tcPr>
    </w:tblStylePr>
    <w:tblStylePr w:type="lastCol">
      <w:rPr>
        <w:rFonts w:ascii="FreeSans" w:eastAsia="Times New Roman" w:hAnsi="FreeSans"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2-nfasis3">
    <w:name w:val="Grid Table 2 Accent 3"/>
    <w:basedOn w:val="Tablanormal"/>
    <w:uiPriority w:val="47"/>
    <w:rsid w:val="00201EEE"/>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1clara-nfasis3">
    <w:name w:val="Grid Table 1 Light Accent 3"/>
    <w:basedOn w:val="Tablanormal"/>
    <w:uiPriority w:val="46"/>
    <w:rsid w:val="00201EEE"/>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lista7concolores-nfasis615">
    <w:name w:val="Tabla de lista 7 con colores - Énfasis 615"/>
    <w:basedOn w:val="Tablanormal"/>
    <w:uiPriority w:val="52"/>
    <w:rsid w:val="003653DB"/>
    <w:rPr>
      <w:rFonts w:eastAsia="Times New Roman"/>
      <w:color w:val="08A4EE"/>
    </w:rPr>
    <w:tblPr>
      <w:tblStyleRowBandSize w:val="1"/>
      <w:tblStyleColBandSize w:val="1"/>
    </w:tblPr>
    <w:tblStylePr w:type="firstRow">
      <w:rPr>
        <w:rFonts w:ascii="FreeSans" w:eastAsia="Times New Roman" w:hAnsi="FreeSans" w:cs="Times New Roman"/>
        <w:i/>
        <w:iCs/>
        <w:sz w:val="26"/>
      </w:rPr>
      <w:tblPr/>
      <w:tcPr>
        <w:tcBorders>
          <w:bottom w:val="single" w:sz="4" w:space="0" w:color="51C3F9"/>
        </w:tcBorders>
        <w:shd w:val="clear" w:color="auto" w:fill="FFFFFF"/>
      </w:tcPr>
    </w:tblStylePr>
    <w:tblStylePr w:type="lastRow">
      <w:rPr>
        <w:rFonts w:ascii="FreeSans" w:eastAsia="Times New Roman" w:hAnsi="FreeSans" w:cs="Times New Roman"/>
        <w:i/>
        <w:iCs/>
        <w:sz w:val="26"/>
      </w:rPr>
      <w:tblPr/>
      <w:tcPr>
        <w:tcBorders>
          <w:top w:val="single" w:sz="4" w:space="0" w:color="51C3F9"/>
        </w:tcBorders>
        <w:shd w:val="clear" w:color="auto" w:fill="FFFFFF"/>
      </w:tcPr>
    </w:tblStylePr>
    <w:tblStylePr w:type="firstCol">
      <w:pPr>
        <w:jc w:val="right"/>
      </w:pPr>
      <w:rPr>
        <w:rFonts w:ascii="FreeSans" w:eastAsia="Times New Roman" w:hAnsi="FreeSans" w:cs="Times New Roman"/>
        <w:i/>
        <w:iCs/>
        <w:sz w:val="26"/>
      </w:rPr>
      <w:tblPr/>
      <w:tcPr>
        <w:tcBorders>
          <w:right w:val="single" w:sz="4" w:space="0" w:color="51C3F9"/>
        </w:tcBorders>
        <w:shd w:val="clear" w:color="auto" w:fill="FFFFFF"/>
      </w:tcPr>
    </w:tblStylePr>
    <w:tblStylePr w:type="lastCol">
      <w:rPr>
        <w:rFonts w:ascii="FreeSans" w:eastAsia="Times New Roman" w:hAnsi="FreeSans"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clara-nfasis43">
    <w:name w:val="Cuadrícula clara - Énfasis 43"/>
    <w:basedOn w:val="Tablanormal"/>
    <w:next w:val="Cuadrculaclara-nfasis4"/>
    <w:uiPriority w:val="62"/>
    <w:rsid w:val="003653DB"/>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FreeSans" w:eastAsia="Times New Roman" w:hAnsi="FreeSans"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FreeSans" w:eastAsia="Times New Roman" w:hAnsi="FreeSans"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FreeSans" w:eastAsia="Times New Roman" w:hAnsi="FreeSans" w:cs="Times New Roman"/>
        <w:b/>
        <w:bCs/>
      </w:rPr>
    </w:tblStylePr>
    <w:tblStylePr w:type="lastCol">
      <w:rPr>
        <w:rFonts w:ascii="FreeSans" w:eastAsia="Times New Roman" w:hAnsi="FreeSans"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lista7concolores-nfasis6112">
    <w:name w:val="Tabla de lista 7 con colores - Énfasis 6112"/>
    <w:basedOn w:val="Tablanormal"/>
    <w:uiPriority w:val="52"/>
    <w:rsid w:val="003653DB"/>
    <w:rPr>
      <w:rFonts w:eastAsia="Times New Roman"/>
      <w:color w:val="08A4EE"/>
    </w:rPr>
    <w:tblPr>
      <w:tblStyleRowBandSize w:val="1"/>
      <w:tblStyleColBandSize w:val="1"/>
    </w:tblPr>
    <w:tblStylePr w:type="firstRow">
      <w:rPr>
        <w:rFonts w:ascii="FreeSans" w:eastAsia="Times New Roman" w:hAnsi="FreeSans" w:cs="Times New Roman"/>
        <w:i/>
        <w:iCs/>
        <w:sz w:val="26"/>
      </w:rPr>
      <w:tblPr/>
      <w:tcPr>
        <w:tcBorders>
          <w:bottom w:val="single" w:sz="4" w:space="0" w:color="51C3F9"/>
        </w:tcBorders>
        <w:shd w:val="clear" w:color="auto" w:fill="FFFFFF"/>
      </w:tcPr>
    </w:tblStylePr>
    <w:tblStylePr w:type="lastRow">
      <w:rPr>
        <w:rFonts w:ascii="FreeSans" w:eastAsia="Times New Roman" w:hAnsi="FreeSans" w:cs="Times New Roman"/>
        <w:i/>
        <w:iCs/>
        <w:sz w:val="26"/>
      </w:rPr>
      <w:tblPr/>
      <w:tcPr>
        <w:tcBorders>
          <w:top w:val="single" w:sz="4" w:space="0" w:color="51C3F9"/>
        </w:tcBorders>
        <w:shd w:val="clear" w:color="auto" w:fill="FFFFFF"/>
      </w:tcPr>
    </w:tblStylePr>
    <w:tblStylePr w:type="firstCol">
      <w:pPr>
        <w:jc w:val="right"/>
      </w:pPr>
      <w:rPr>
        <w:rFonts w:ascii="FreeSans" w:eastAsia="Times New Roman" w:hAnsi="FreeSans" w:cs="Times New Roman"/>
        <w:i/>
        <w:iCs/>
        <w:sz w:val="26"/>
      </w:rPr>
      <w:tblPr/>
      <w:tcPr>
        <w:tcBorders>
          <w:right w:val="single" w:sz="4" w:space="0" w:color="51C3F9"/>
        </w:tcBorders>
        <w:shd w:val="clear" w:color="auto" w:fill="FFFFFF"/>
      </w:tcPr>
    </w:tblStylePr>
    <w:tblStylePr w:type="lastCol">
      <w:rPr>
        <w:rFonts w:ascii="FreeSans" w:eastAsia="Times New Roman" w:hAnsi="FreeSans"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gmail-m4593304421922134921msolistparagraph">
    <w:name w:val="gmail-m_4593304421922134921msolistparagraph"/>
    <w:basedOn w:val="Normal"/>
    <w:uiPriority w:val="99"/>
    <w:rsid w:val="00856D1D"/>
    <w:pPr>
      <w:spacing w:before="100" w:beforeAutospacing="1" w:after="100" w:afterAutospacing="1" w:line="240" w:lineRule="auto"/>
    </w:pPr>
    <w:rPr>
      <w:rFonts w:ascii="Times New Roman" w:eastAsiaTheme="minorHAnsi" w:hAnsi="Times New Roman"/>
      <w:sz w:val="24"/>
      <w:szCs w:val="24"/>
      <w:lang w:val="es-CO" w:eastAsia="es-CO"/>
    </w:rPr>
  </w:style>
  <w:style w:type="paragraph" w:customStyle="1" w:styleId="Tabla">
    <w:name w:val="Tabla"/>
    <w:basedOn w:val="Estilo1"/>
    <w:link w:val="TablaCar"/>
    <w:autoRedefine/>
    <w:qFormat/>
    <w:rsid w:val="00E47235"/>
    <w:pPr>
      <w:keepNext/>
      <w:numPr>
        <w:numId w:val="0"/>
      </w:numPr>
      <w:ind w:left="1440"/>
    </w:pPr>
    <w:rPr>
      <w:rFonts w:ascii="Calibri" w:hAnsi="Calibri"/>
      <w:b w:val="0"/>
      <w:bCs/>
      <w:color w:val="000000"/>
      <w:sz w:val="18"/>
      <w:szCs w:val="18"/>
      <w:lang w:val="es-ES" w:eastAsia="en-US"/>
    </w:rPr>
  </w:style>
  <w:style w:type="character" w:customStyle="1" w:styleId="TablaCar">
    <w:name w:val="Tabla Car"/>
    <w:link w:val="Tabla"/>
    <w:rsid w:val="00E47235"/>
    <w:rPr>
      <w:rFonts w:eastAsia="Times New Roman"/>
      <w:bCs/>
      <w:color w:val="000000"/>
      <w:sz w:val="18"/>
      <w:szCs w:val="18"/>
      <w:lang w:val="es-ES" w:eastAsia="en-US"/>
    </w:rPr>
  </w:style>
  <w:style w:type="table" w:styleId="Tabladecuadrcula1clara">
    <w:name w:val="Grid Table 1 Light"/>
    <w:basedOn w:val="Tablanormal"/>
    <w:uiPriority w:val="46"/>
    <w:rsid w:val="00592832"/>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ombreadoclaro-nfasis6">
    <w:name w:val="Light Shading Accent 6"/>
    <w:basedOn w:val="Tablanormal"/>
    <w:uiPriority w:val="60"/>
    <w:rsid w:val="003060EC"/>
    <w:rPr>
      <w:rFonts w:asciiTheme="minorHAnsi" w:eastAsiaTheme="minorHAnsi" w:hAnsiTheme="minorHAnsi" w:cstheme="minorBidi"/>
      <w:color w:val="E36C0A" w:themeColor="accent6" w:themeShade="BF"/>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medio2-nfasis6">
    <w:name w:val="Medium Shading 2 Accent 6"/>
    <w:basedOn w:val="Tablanormal"/>
    <w:uiPriority w:val="64"/>
    <w:rsid w:val="003060EC"/>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6">
    <w:name w:val="Medium List 2 Accent 6"/>
    <w:basedOn w:val="Tablanormal"/>
    <w:uiPriority w:val="66"/>
    <w:rsid w:val="003060EC"/>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3">
    <w:name w:val="Light Shading Accent 3"/>
    <w:basedOn w:val="Tablanormal"/>
    <w:uiPriority w:val="60"/>
    <w:rsid w:val="003060EC"/>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6">
    <w:name w:val="Light Grid Accent 6"/>
    <w:basedOn w:val="Tablanormal"/>
    <w:uiPriority w:val="62"/>
    <w:rsid w:val="003060EC"/>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claro-nfasis1">
    <w:name w:val="Light Shading Accent 1"/>
    <w:basedOn w:val="Tablanormal"/>
    <w:uiPriority w:val="60"/>
    <w:rsid w:val="003060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media2-nfasis1">
    <w:name w:val="Medium List 2 Accent 1"/>
    <w:basedOn w:val="Tablanormal"/>
    <w:uiPriority w:val="66"/>
    <w:rsid w:val="003060EC"/>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nfasis1">
    <w:name w:val="Medium Shading 1 Accent 1"/>
    <w:basedOn w:val="Tablanormal"/>
    <w:uiPriority w:val="63"/>
    <w:rsid w:val="003060EC"/>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1">
    <w:name w:val="Light Grid Accent 1"/>
    <w:basedOn w:val="Tablanormal"/>
    <w:uiPriority w:val="62"/>
    <w:rsid w:val="003060EC"/>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media1-nfasis1">
    <w:name w:val="Medium List 1 Accent 1"/>
    <w:basedOn w:val="Tablanormal"/>
    <w:uiPriority w:val="65"/>
    <w:rsid w:val="003060EC"/>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ombreadomedio2-nfasis1">
    <w:name w:val="Medium Shading 2 Accent 1"/>
    <w:basedOn w:val="Tablanormal"/>
    <w:uiPriority w:val="64"/>
    <w:rsid w:val="003060EC"/>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adecuadrcula4-nfasis11">
    <w:name w:val="Tabla de cuadrícula 4 - Énfasis 11"/>
    <w:basedOn w:val="Tablanormal"/>
    <w:uiPriority w:val="49"/>
    <w:rsid w:val="003060EC"/>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pPr>
        <w:jc w:val="center"/>
      </w:pPr>
      <w:rPr>
        <w:rFonts w:ascii="Century Gothic" w:hAnsi="Century Gothic"/>
        <w:b/>
        <w:bCs/>
        <w:color w:val="000000" w:themeColor="text1"/>
      </w:rPr>
      <w:tblPr/>
      <w:tcPr>
        <w:tcBorders>
          <w:top w:val="nil"/>
          <w:left w:val="nil"/>
          <w:bottom w:val="nil"/>
          <w:right w:val="nil"/>
          <w:insideH w:val="nil"/>
          <w:insideV w:val="nil"/>
          <w:tl2br w:val="nil"/>
          <w:tr2bl w:val="nil"/>
        </w:tcBorders>
        <w:shd w:val="clear" w:color="auto" w:fill="4F81BD" w:themeFill="accent1"/>
        <w:vAlign w:val="center"/>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Saludo">
    <w:name w:val="Salutation"/>
    <w:basedOn w:val="Normal"/>
    <w:next w:val="Normal"/>
    <w:link w:val="SaludoCar"/>
    <w:uiPriority w:val="99"/>
    <w:unhideWhenUsed/>
    <w:rsid w:val="003060EC"/>
    <w:pPr>
      <w:spacing w:after="160" w:line="259" w:lineRule="auto"/>
    </w:pPr>
    <w:rPr>
      <w:rFonts w:asciiTheme="minorHAnsi" w:eastAsiaTheme="minorHAnsi" w:hAnsiTheme="minorHAnsi" w:cstheme="minorBidi"/>
      <w:lang w:val="es-CO"/>
    </w:rPr>
  </w:style>
  <w:style w:type="character" w:customStyle="1" w:styleId="SaludoCar">
    <w:name w:val="Saludo Car"/>
    <w:basedOn w:val="Fuentedeprrafopredeter"/>
    <w:link w:val="Saludo"/>
    <w:uiPriority w:val="99"/>
    <w:rsid w:val="003060EC"/>
    <w:rPr>
      <w:rFonts w:asciiTheme="minorHAnsi" w:eastAsiaTheme="minorHAnsi" w:hAnsiTheme="minorHAnsi" w:cstheme="minorBidi"/>
      <w:sz w:val="22"/>
      <w:szCs w:val="22"/>
      <w:lang w:eastAsia="en-US"/>
    </w:rPr>
  </w:style>
  <w:style w:type="table" w:customStyle="1" w:styleId="Tabladecuadrcula4-nfasis12">
    <w:name w:val="Tabla de cuadrícula 4 - Énfasis 12"/>
    <w:basedOn w:val="Tablanormal"/>
    <w:uiPriority w:val="49"/>
    <w:rsid w:val="003060EC"/>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pPr>
        <w:jc w:val="center"/>
      </w:pPr>
      <w:rPr>
        <w:rFonts w:ascii="Century Gothic" w:hAnsi="Century Gothic"/>
        <w:b/>
        <w:bCs/>
        <w:color w:val="000000" w:themeColor="text1"/>
      </w:rPr>
      <w:tblPr/>
      <w:tcPr>
        <w:tcBorders>
          <w:top w:val="nil"/>
          <w:left w:val="nil"/>
          <w:bottom w:val="nil"/>
          <w:right w:val="nil"/>
          <w:insideH w:val="nil"/>
          <w:insideV w:val="nil"/>
          <w:tl2br w:val="nil"/>
          <w:tr2bl w:val="nil"/>
        </w:tcBorders>
        <w:shd w:val="clear" w:color="auto" w:fill="4F81BD" w:themeFill="accent1"/>
        <w:vAlign w:val="center"/>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2-nfasis2">
    <w:name w:val="Grid Table 2 Accent 2"/>
    <w:basedOn w:val="Tablanormal"/>
    <w:uiPriority w:val="47"/>
    <w:rsid w:val="003060EC"/>
    <w:rPr>
      <w:rFonts w:asciiTheme="minorHAnsi" w:eastAsiaTheme="minorHAnsi" w:hAnsiTheme="minorHAnsi" w:cstheme="minorBidi"/>
      <w:sz w:val="22"/>
      <w:szCs w:val="22"/>
      <w:lang w:eastAsia="en-US"/>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2">
    <w:name w:val="Grid Table 2"/>
    <w:basedOn w:val="Tablanormal"/>
    <w:uiPriority w:val="47"/>
    <w:rsid w:val="003060EC"/>
    <w:rPr>
      <w:rFonts w:asciiTheme="minorHAnsi" w:eastAsiaTheme="minorHAnsi" w:hAnsiTheme="minorHAnsi" w:cstheme="minorBidi"/>
      <w:sz w:val="22"/>
      <w:szCs w:val="22"/>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Sinlista3">
    <w:name w:val="Sin lista3"/>
    <w:next w:val="Sinlista"/>
    <w:uiPriority w:val="99"/>
    <w:semiHidden/>
    <w:unhideWhenUsed/>
    <w:rsid w:val="00304335"/>
  </w:style>
  <w:style w:type="table" w:customStyle="1" w:styleId="Tablaconcuadrcula4">
    <w:name w:val="Tabla con cuadrícula4"/>
    <w:basedOn w:val="Tablanormal"/>
    <w:next w:val="Tablaconcuadrcula"/>
    <w:uiPriority w:val="59"/>
    <w:rsid w:val="003043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2-nfasis313">
    <w:name w:val="Tabla de cuadrícula 2 - Énfasis 313"/>
    <w:basedOn w:val="Tablanormal"/>
    <w:uiPriority w:val="47"/>
    <w:rsid w:val="00304335"/>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112">
    <w:name w:val="Tabla de cuadrícula 2 - Énfasis 3112"/>
    <w:basedOn w:val="Tablanormal"/>
    <w:uiPriority w:val="47"/>
    <w:rsid w:val="00304335"/>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612">
    <w:name w:val="Tabla de cuadrícula 1 clara - Énfasis 612"/>
    <w:basedOn w:val="Tablanormal"/>
    <w:uiPriority w:val="46"/>
    <w:rsid w:val="00304335"/>
    <w:rPr>
      <w:rFonts w:asciiTheme="minorHAnsi" w:eastAsiaTheme="minorHAnsi" w:hAnsiTheme="minorHAnsi" w:cstheme="minorBidi"/>
      <w:sz w:val="22"/>
      <w:szCs w:val="22"/>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4-nfasis612">
    <w:name w:val="Tabla de cuadrícula 4 - Énfasis 612"/>
    <w:basedOn w:val="Tablanormal"/>
    <w:uiPriority w:val="49"/>
    <w:rsid w:val="00304335"/>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323">
    <w:name w:val="Tabla de cuadrícula 2 - Énfasis 323"/>
    <w:basedOn w:val="Tablanormal"/>
    <w:uiPriority w:val="47"/>
    <w:rsid w:val="00304335"/>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212">
    <w:name w:val="Tabla de cuadrícula 2 - Énfasis 3212"/>
    <w:basedOn w:val="Tablanormal"/>
    <w:uiPriority w:val="47"/>
    <w:rsid w:val="00304335"/>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3-nfasis112">
    <w:name w:val="Tabla de lista 3 - Énfasis 112"/>
    <w:basedOn w:val="Tablanormal"/>
    <w:uiPriority w:val="48"/>
    <w:rsid w:val="00304335"/>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cuadrcula1clara-nfasis112">
    <w:name w:val="Tabla de cuadrícula 1 clara - Énfasis 112"/>
    <w:basedOn w:val="Tablanormal"/>
    <w:uiPriority w:val="46"/>
    <w:rsid w:val="0030433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2-nfasis612">
    <w:name w:val="Tabla de cuadrícula 2 - Énfasis 612"/>
    <w:basedOn w:val="Tablanormal"/>
    <w:uiPriority w:val="47"/>
    <w:rsid w:val="00304335"/>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aclara-nfasis62">
    <w:name w:val="Lista clara - Énfasis 62"/>
    <w:basedOn w:val="Tablanormal"/>
    <w:next w:val="Listaclara-nfasis6"/>
    <w:uiPriority w:val="61"/>
    <w:rsid w:val="00304335"/>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staclara-nfasis12">
    <w:name w:val="Lista clara - Énfasis 12"/>
    <w:basedOn w:val="Tablanormal"/>
    <w:next w:val="Listaclara-nfasis1"/>
    <w:uiPriority w:val="61"/>
    <w:rsid w:val="0030433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adecuadrcula3-nfasis313">
    <w:name w:val="Tabla de cuadrícula 3 - Énfasis 313"/>
    <w:basedOn w:val="Tablanormal"/>
    <w:uiPriority w:val="48"/>
    <w:rsid w:val="0030433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3">
    <w:name w:val="Tabla de cuadrícula 5 oscura - Énfasis 113"/>
    <w:basedOn w:val="Tablanormal"/>
    <w:uiPriority w:val="50"/>
    <w:rsid w:val="003043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Cuadrculamedia3-nfasis32">
    <w:name w:val="Cuadrícula media 3 - Énfasis 32"/>
    <w:basedOn w:val="Tablanormal"/>
    <w:next w:val="Cuadrculamedia3-nfasis3"/>
    <w:uiPriority w:val="69"/>
    <w:rsid w:val="00304335"/>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Cuadrculaclara-nfasis33">
    <w:name w:val="Cuadrícula clara - Énfasis 33"/>
    <w:basedOn w:val="Tablanormal"/>
    <w:next w:val="Cuadrculaclara-nfasis3"/>
    <w:uiPriority w:val="62"/>
    <w:rsid w:val="00304335"/>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claro2">
    <w:name w:val="Sombreado claro2"/>
    <w:basedOn w:val="Tablanormal"/>
    <w:next w:val="Sombreadoclaro"/>
    <w:uiPriority w:val="60"/>
    <w:rsid w:val="0030433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decuadrcula3-nfasis3112">
    <w:name w:val="Tabla de cuadrícula 3 - Énfasis 3112"/>
    <w:basedOn w:val="Tablanormal"/>
    <w:uiPriority w:val="48"/>
    <w:rsid w:val="0030433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12">
    <w:name w:val="Tabla de cuadrícula 5 oscura - Énfasis 1112"/>
    <w:basedOn w:val="Tablanormal"/>
    <w:uiPriority w:val="50"/>
    <w:rsid w:val="003043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4-nfasis622">
    <w:name w:val="Tabla de cuadrícula 4 - Énfasis 622"/>
    <w:basedOn w:val="Tablanormal"/>
    <w:uiPriority w:val="49"/>
    <w:rsid w:val="00304335"/>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Cuadrculamedia1-nfasis32">
    <w:name w:val="Cuadrícula media 1 - Énfasis 32"/>
    <w:basedOn w:val="Tablanormal"/>
    <w:next w:val="Cuadrculamedia1-nfasis3"/>
    <w:uiPriority w:val="67"/>
    <w:rsid w:val="0030433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numbering" w:customStyle="1" w:styleId="Sinlista12">
    <w:name w:val="Sin lista12"/>
    <w:next w:val="Sinlista"/>
    <w:uiPriority w:val="99"/>
    <w:semiHidden/>
    <w:unhideWhenUsed/>
    <w:rsid w:val="00304335"/>
  </w:style>
  <w:style w:type="table" w:customStyle="1" w:styleId="Tabladecuadrcula4-nfasis312">
    <w:name w:val="Tabla de cuadrícula 4 - Énfasis 312"/>
    <w:basedOn w:val="Tablanormal"/>
    <w:uiPriority w:val="49"/>
    <w:rsid w:val="00304335"/>
    <w:rPr>
      <w:lang w:eastAsia="es-ES_tradn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312">
    <w:name w:val="Tabla normal 312"/>
    <w:basedOn w:val="Tablanormal"/>
    <w:uiPriority w:val="43"/>
    <w:rsid w:val="00304335"/>
    <w:rPr>
      <w:lang w:eastAsia="es-ES_tradn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212">
    <w:name w:val="Tabla normal 212"/>
    <w:basedOn w:val="Tablanormal"/>
    <w:uiPriority w:val="42"/>
    <w:rsid w:val="00304335"/>
    <w:rPr>
      <w:lang w:eastAsia="es-ES_tradn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212">
    <w:name w:val="Tabla de cuadrícula 212"/>
    <w:basedOn w:val="Tablanormal"/>
    <w:uiPriority w:val="47"/>
    <w:rsid w:val="00304335"/>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vistosa-nfasis13">
    <w:name w:val="Lista vistosa - Énfasis 13"/>
    <w:basedOn w:val="Tablanormal"/>
    <w:next w:val="Listavistosa-nfasis1"/>
    <w:uiPriority w:val="34"/>
    <w:unhideWhenUsed/>
    <w:rsid w:val="00304335"/>
    <w:rPr>
      <w:sz w:val="22"/>
      <w:szCs w:val="22"/>
      <w:lang w:val="es-MX"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adelista1clara12">
    <w:name w:val="Tabla de lista 1 clara12"/>
    <w:basedOn w:val="Tablanormal"/>
    <w:uiPriority w:val="46"/>
    <w:rsid w:val="00304335"/>
    <w:rPr>
      <w:lang w:eastAsia="es-ES_trad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2">
    <w:name w:val="Tabla de cuadrícula 6 con colores12"/>
    <w:basedOn w:val="Tablanormal"/>
    <w:uiPriority w:val="51"/>
    <w:rsid w:val="00304335"/>
    <w:rPr>
      <w:color w:val="000000" w:themeColor="text1"/>
      <w:lang w:eastAsia="es-ES_trad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aclara-nfasis32">
    <w:name w:val="Lista clara - Énfasis 32"/>
    <w:basedOn w:val="Tablanormal"/>
    <w:next w:val="Listaclara-nfasis3"/>
    <w:uiPriority w:val="61"/>
    <w:rsid w:val="0030433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delista3-nfasis312">
    <w:name w:val="Tabla de lista 3 - Énfasis 312"/>
    <w:basedOn w:val="Tablanormal"/>
    <w:uiPriority w:val="48"/>
    <w:rsid w:val="00304335"/>
    <w:rPr>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6concolores-nfasis312">
    <w:name w:val="Tabla de cuadrícula 6 con colores - Énfasis 312"/>
    <w:basedOn w:val="Tablanormal"/>
    <w:uiPriority w:val="51"/>
    <w:rsid w:val="00304335"/>
    <w:rPr>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Cuadrculamedia1-nfasis52">
    <w:name w:val="Cuadrícula media 1 - Énfasis 52"/>
    <w:basedOn w:val="Tablanormal"/>
    <w:next w:val="Cuadrculamedia1-nfasis5"/>
    <w:uiPriority w:val="67"/>
    <w:rsid w:val="00304335"/>
    <w:rPr>
      <w:rFonts w:asciiTheme="minorHAnsi" w:eastAsiaTheme="minorEastAsia" w:hAnsiTheme="minorHAnsi" w:cstheme="minorBidi"/>
      <w:sz w:val="24"/>
      <w:szCs w:val="24"/>
      <w:lang w:val="es-ES_tradnl" w:eastAsia="es-E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Sombreadomedio1-nfasis42">
    <w:name w:val="Sombreado medio 1 - Énfasis 42"/>
    <w:basedOn w:val="Tablanormal"/>
    <w:next w:val="Sombreadomedio1-nfasis4"/>
    <w:uiPriority w:val="63"/>
    <w:rsid w:val="00304335"/>
    <w:rPr>
      <w:rFonts w:asciiTheme="minorHAnsi" w:eastAsiaTheme="minorEastAsia" w:hAnsiTheme="minorHAnsi" w:cstheme="minorBidi"/>
      <w:sz w:val="24"/>
      <w:szCs w:val="24"/>
      <w:lang w:val="es-ES_tradnl" w:eastAsia="es-E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Sombreadomedio1-nfasis62">
    <w:name w:val="Sombreado medio 1 - Énfasis 62"/>
    <w:basedOn w:val="Tablanormal"/>
    <w:next w:val="Sombreadomedio1-nfasis6"/>
    <w:uiPriority w:val="63"/>
    <w:rsid w:val="00304335"/>
    <w:rPr>
      <w:rFonts w:asciiTheme="minorHAnsi" w:eastAsiaTheme="minorEastAsia" w:hAnsiTheme="minorHAnsi" w:cstheme="minorBidi"/>
      <w:sz w:val="24"/>
      <w:szCs w:val="24"/>
      <w:lang w:val="es-ES_tradnl" w:eastAsia="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Listaclara2">
    <w:name w:val="Lista clara2"/>
    <w:basedOn w:val="Tablanormal"/>
    <w:next w:val="Listaclara"/>
    <w:uiPriority w:val="61"/>
    <w:rsid w:val="00304335"/>
    <w:rPr>
      <w:rFonts w:asciiTheme="minorHAnsi" w:eastAsiaTheme="minorEastAsia" w:hAnsiTheme="minorHAnsi" w:cstheme="minorBidi"/>
      <w:sz w:val="24"/>
      <w:szCs w:val="24"/>
      <w:lang w:val="es-ES_tradnl"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4-nfasis323">
    <w:name w:val="Tabla de cuadrícula 4 - Énfasis 323"/>
    <w:basedOn w:val="Tablanormal"/>
    <w:uiPriority w:val="49"/>
    <w:rsid w:val="0030433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Sombreadomedio2-nfasis32">
    <w:name w:val="Sombreado medio 2 - Énfasis 32"/>
    <w:basedOn w:val="Tablanormal"/>
    <w:next w:val="Sombreadomedio2-nfasis3"/>
    <w:uiPriority w:val="64"/>
    <w:rsid w:val="00304335"/>
    <w:rPr>
      <w:rFonts w:ascii="Arial" w:eastAsia="Times New Roman" w:hAnsi="Arial"/>
      <w:lang w:val="es-ES_trad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2">
    <w:name w:val="Lista media 112"/>
    <w:basedOn w:val="Tablanormal"/>
    <w:uiPriority w:val="65"/>
    <w:rsid w:val="00304335"/>
    <w:rPr>
      <w:rFonts w:ascii="Arial" w:eastAsia="Times New Roman" w:hAnsi="Arial"/>
      <w:color w:val="000000"/>
      <w:lang w:val="es-ES_tradnl"/>
    </w:rPr>
    <w:tblPr>
      <w:tblStyleRowBandSize w:val="1"/>
      <w:tblStyleColBandSize w:val="1"/>
      <w:tblBorders>
        <w:top w:val="single" w:sz="8" w:space="0" w:color="000000"/>
        <w:bottom w:val="single" w:sz="8" w:space="0" w:color="000000"/>
      </w:tblBorders>
    </w:tblPr>
    <w:tblStylePr w:type="firstRow">
      <w:rPr>
        <w:rFonts w:ascii="Cambria Math" w:eastAsia="Times New Roman" w:hAnsi="Cambria Math"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adelista6concolores13">
    <w:name w:val="Tabla de lista 6 con colores13"/>
    <w:basedOn w:val="Tablanormal"/>
    <w:uiPriority w:val="51"/>
    <w:rsid w:val="00304335"/>
    <w:rPr>
      <w:rFonts w:eastAsia="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2">
    <w:name w:val="Tabla con cuadrícula12"/>
    <w:basedOn w:val="Tablanormal"/>
    <w:next w:val="Tablaconcuadrcula"/>
    <w:uiPriority w:val="59"/>
    <w:rsid w:val="0030433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616">
    <w:name w:val="Tabla de lista 7 con colores - Énfasis 616"/>
    <w:basedOn w:val="Tablanormal"/>
    <w:uiPriority w:val="52"/>
    <w:rsid w:val="00304335"/>
    <w:rPr>
      <w:rFonts w:eastAsia="Times New Roman"/>
      <w:color w:val="08A4EE"/>
    </w:rPr>
    <w:tblPr>
      <w:tblStyleRowBandSize w:val="1"/>
      <w:tblStyleColBandSize w:val="1"/>
    </w:tblPr>
    <w:tblStylePr w:type="firstRow">
      <w:rPr>
        <w:rFonts w:ascii="DK Crayon Crumble" w:eastAsia="Times New Roman" w:hAnsi="DK Crayon Crumble" w:cs="Times New Roman"/>
        <w:i/>
        <w:iCs/>
        <w:sz w:val="26"/>
      </w:rPr>
      <w:tblPr/>
      <w:tcPr>
        <w:tcBorders>
          <w:bottom w:val="single" w:sz="4" w:space="0" w:color="51C3F9"/>
        </w:tcBorders>
        <w:shd w:val="clear" w:color="auto" w:fill="FFFFFF"/>
      </w:tcPr>
    </w:tblStylePr>
    <w:tblStylePr w:type="lastRow">
      <w:rPr>
        <w:rFonts w:ascii="DK Crayon Crumble" w:eastAsia="Times New Roman" w:hAnsi="DK Crayon Crumble" w:cs="Times New Roman"/>
        <w:i/>
        <w:iCs/>
        <w:sz w:val="26"/>
      </w:rPr>
      <w:tblPr/>
      <w:tcPr>
        <w:tcBorders>
          <w:top w:val="single" w:sz="4" w:space="0" w:color="51C3F9"/>
        </w:tcBorders>
        <w:shd w:val="clear" w:color="auto" w:fill="FFFFFF"/>
      </w:tcPr>
    </w:tblStylePr>
    <w:tblStylePr w:type="firstCol">
      <w:pPr>
        <w:jc w:val="right"/>
      </w:pPr>
      <w:rPr>
        <w:rFonts w:ascii="DK Crayon Crumble" w:eastAsia="Times New Roman" w:hAnsi="DK Crayon Crumble" w:cs="Times New Roman"/>
        <w:i/>
        <w:iCs/>
        <w:sz w:val="26"/>
      </w:rPr>
      <w:tblPr/>
      <w:tcPr>
        <w:tcBorders>
          <w:right w:val="single" w:sz="4" w:space="0" w:color="51C3F9"/>
        </w:tcBorders>
        <w:shd w:val="clear" w:color="auto" w:fill="FFFFFF"/>
      </w:tcPr>
    </w:tblStylePr>
    <w:tblStylePr w:type="lastCol">
      <w:rPr>
        <w:rFonts w:ascii="DK Crayon Crumble" w:eastAsia="Times New Roman" w:hAnsi="DK Crayon Crumbl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o-nfasis212">
    <w:name w:val="Tabla de cuadrícula 1 Claro-Énfasis 212"/>
    <w:basedOn w:val="Tablanormal"/>
    <w:uiPriority w:val="46"/>
    <w:rsid w:val="00304335"/>
    <w:rPr>
      <w:sz w:val="22"/>
      <w:szCs w:val="22"/>
      <w:lang w:eastAsia="en-US"/>
    </w:rPr>
    <w:tblPr>
      <w:tblStyleRowBandSize w:val="1"/>
      <w:tblStyleColBandSize w:val="1"/>
      <w:tblBorders>
        <w:top w:val="single" w:sz="4" w:space="0" w:color="BFE2A8"/>
        <w:left w:val="single" w:sz="4" w:space="0" w:color="BFE2A8"/>
        <w:bottom w:val="single" w:sz="4" w:space="0" w:color="BFE2A8"/>
        <w:right w:val="single" w:sz="4" w:space="0" w:color="BFE2A8"/>
        <w:insideH w:val="single" w:sz="4" w:space="0" w:color="BFE2A8"/>
        <w:insideV w:val="single" w:sz="4" w:space="0" w:color="BFE2A8"/>
      </w:tblBorders>
    </w:tblPr>
    <w:tblStylePr w:type="firstRow">
      <w:rPr>
        <w:b/>
        <w:bCs/>
      </w:rPr>
      <w:tblPr/>
      <w:tcPr>
        <w:tcBorders>
          <w:bottom w:val="single" w:sz="12" w:space="0" w:color="9FD37C"/>
        </w:tcBorders>
      </w:tcPr>
    </w:tblStylePr>
    <w:tblStylePr w:type="lastRow">
      <w:rPr>
        <w:b/>
        <w:bCs/>
      </w:rPr>
      <w:tblPr/>
      <w:tcPr>
        <w:tcBorders>
          <w:top w:val="double" w:sz="2" w:space="0" w:color="9FD37C"/>
        </w:tcBorders>
      </w:tcPr>
    </w:tblStylePr>
    <w:tblStylePr w:type="firstCol">
      <w:rPr>
        <w:b/>
        <w:bCs/>
      </w:rPr>
    </w:tblStylePr>
    <w:tblStylePr w:type="lastCol">
      <w:rPr>
        <w:b/>
        <w:bCs/>
      </w:rPr>
    </w:tblStylePr>
  </w:style>
  <w:style w:type="table" w:customStyle="1" w:styleId="Tabladecuadrcula1clara-nfasis6120">
    <w:name w:val="Tabla de cuadrícula 1 clara-Énfasis 612"/>
    <w:basedOn w:val="Tablanormal"/>
    <w:uiPriority w:val="46"/>
    <w:rsid w:val="00304335"/>
    <w:rPr>
      <w:sz w:val="22"/>
      <w:szCs w:val="22"/>
      <w:lang w:eastAsia="en-US"/>
    </w:rPr>
    <w:tblPr>
      <w:tblStyleRowBandSize w:val="1"/>
      <w:tblStyleColBandSize w:val="1"/>
      <w:tblBorders>
        <w:top w:val="single" w:sz="4" w:space="0" w:color="B9E7FC"/>
        <w:left w:val="single" w:sz="4" w:space="0" w:color="B9E7FC"/>
        <w:bottom w:val="single" w:sz="4" w:space="0" w:color="B9E7FC"/>
        <w:right w:val="single" w:sz="4" w:space="0" w:color="B9E7FC"/>
        <w:insideH w:val="single" w:sz="4" w:space="0" w:color="B9E7FC"/>
        <w:insideV w:val="single" w:sz="4" w:space="0" w:color="B9E7FC"/>
      </w:tblBorders>
    </w:tblPr>
    <w:tblStylePr w:type="firstRow">
      <w:rPr>
        <w:b/>
        <w:bCs/>
      </w:rPr>
      <w:tblPr/>
      <w:tcPr>
        <w:tcBorders>
          <w:bottom w:val="single" w:sz="12" w:space="0" w:color="96DBFB"/>
        </w:tcBorders>
      </w:tcPr>
    </w:tblStylePr>
    <w:tblStylePr w:type="lastRow">
      <w:rPr>
        <w:b/>
        <w:bCs/>
      </w:rPr>
      <w:tblPr/>
      <w:tcPr>
        <w:tcBorders>
          <w:top w:val="double" w:sz="2" w:space="0" w:color="96DBFB"/>
        </w:tcBorders>
      </w:tcPr>
    </w:tblStylePr>
    <w:tblStylePr w:type="firstCol">
      <w:rPr>
        <w:b/>
        <w:bCs/>
      </w:rPr>
    </w:tblStylePr>
    <w:tblStylePr w:type="lastCol">
      <w:rPr>
        <w:b/>
        <w:bCs/>
      </w:rPr>
    </w:tblStylePr>
  </w:style>
  <w:style w:type="table" w:customStyle="1" w:styleId="Tabladecuadrcula4-nfasis6120">
    <w:name w:val="Tabla de cuadrícula 4-Énfasis 612"/>
    <w:basedOn w:val="Tablanormal"/>
    <w:uiPriority w:val="49"/>
    <w:rsid w:val="00304335"/>
    <w:rPr>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color w:val="FFFFFF"/>
      </w:rPr>
      <w:tblPr/>
      <w:tcPr>
        <w:tcBorders>
          <w:top w:val="single" w:sz="4" w:space="0" w:color="51C3F9"/>
          <w:left w:val="single" w:sz="4" w:space="0" w:color="51C3F9"/>
          <w:bottom w:val="single" w:sz="4" w:space="0" w:color="51C3F9"/>
          <w:right w:val="single" w:sz="4" w:space="0" w:color="51C3F9"/>
          <w:insideH w:val="nil"/>
          <w:insideV w:val="nil"/>
        </w:tcBorders>
        <w:shd w:val="clear" w:color="auto" w:fill="51C3F9"/>
      </w:tcPr>
    </w:tblStylePr>
    <w:tblStylePr w:type="lastRow">
      <w:rPr>
        <w:b/>
        <w:bCs/>
      </w:rPr>
      <w:tblPr/>
      <w:tcPr>
        <w:tcBorders>
          <w:top w:val="double" w:sz="4" w:space="0" w:color="51C3F9"/>
        </w:tcBorders>
      </w:tcPr>
    </w:tblStylePr>
    <w:tblStylePr w:type="firstCol">
      <w:rPr>
        <w:b/>
        <w:bCs/>
      </w:rPr>
    </w:tblStylePr>
    <w:tblStylePr w:type="lastCol">
      <w:rPr>
        <w:b/>
        <w:bCs/>
      </w:rPr>
    </w:tblStylePr>
    <w:tblStylePr w:type="band1Vert">
      <w:tblPr/>
      <w:tcPr>
        <w:shd w:val="clear" w:color="auto" w:fill="DCF3FD"/>
      </w:tcPr>
    </w:tblStylePr>
    <w:tblStylePr w:type="band1Horz">
      <w:tblPr/>
      <w:tcPr>
        <w:shd w:val="clear" w:color="auto" w:fill="DCF3FD"/>
      </w:tcPr>
    </w:tblStylePr>
  </w:style>
  <w:style w:type="table" w:customStyle="1" w:styleId="Tabladecuadrcula3-nfasis612">
    <w:name w:val="Tabla de cuadrícula 3 - Énfasis 612"/>
    <w:basedOn w:val="Tablanormal"/>
    <w:uiPriority w:val="48"/>
    <w:rsid w:val="00304335"/>
    <w:rPr>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bottom w:val="single" w:sz="4" w:space="0" w:color="96DBFB"/>
        </w:tcBorders>
      </w:tcPr>
    </w:tblStylePr>
    <w:tblStylePr w:type="nwCell">
      <w:tblPr/>
      <w:tcPr>
        <w:tcBorders>
          <w:bottom w:val="single" w:sz="4" w:space="0" w:color="96DBFB"/>
        </w:tcBorders>
      </w:tcPr>
    </w:tblStylePr>
    <w:tblStylePr w:type="seCell">
      <w:tblPr/>
      <w:tcPr>
        <w:tcBorders>
          <w:top w:val="single" w:sz="4" w:space="0" w:color="96DBFB"/>
        </w:tcBorders>
      </w:tcPr>
    </w:tblStylePr>
    <w:tblStylePr w:type="swCell">
      <w:tblPr/>
      <w:tcPr>
        <w:tcBorders>
          <w:top w:val="single" w:sz="4" w:space="0" w:color="96DBFB"/>
        </w:tcBorders>
      </w:tcPr>
    </w:tblStylePr>
  </w:style>
  <w:style w:type="table" w:customStyle="1" w:styleId="Cuadrculaclara-nfasis44">
    <w:name w:val="Cuadrícula clara - Énfasis 44"/>
    <w:basedOn w:val="Tablanormal"/>
    <w:next w:val="Cuadrculaclara-nfasis4"/>
    <w:uiPriority w:val="62"/>
    <w:rsid w:val="00304335"/>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DK Crayon Crumble" w:eastAsia="Times New Roman" w:hAnsi="DK Crayon Crumble"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DK Crayon Crumble" w:eastAsia="Times New Roman" w:hAnsi="DK Crayon Crumble"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DK Crayon Crumble" w:eastAsia="Times New Roman" w:hAnsi="DK Crayon Crumble" w:cs="Times New Roman"/>
        <w:b/>
        <w:bCs/>
      </w:rPr>
    </w:tblStylePr>
    <w:tblStylePr w:type="lastCol">
      <w:rPr>
        <w:rFonts w:ascii="DK Crayon Crumble" w:eastAsia="Times New Roman" w:hAnsi="DK Crayon Crumble"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cuadrcula7concolores-nfasis612">
    <w:name w:val="Tabla de cuadrícula 7 con colores - Énfasis 612"/>
    <w:basedOn w:val="Tablanormal"/>
    <w:uiPriority w:val="52"/>
    <w:rsid w:val="00304335"/>
    <w:rPr>
      <w:color w:val="08A4EE"/>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bottom w:val="single" w:sz="4" w:space="0" w:color="96DBFB"/>
        </w:tcBorders>
      </w:tcPr>
    </w:tblStylePr>
    <w:tblStylePr w:type="nwCell">
      <w:tblPr/>
      <w:tcPr>
        <w:tcBorders>
          <w:bottom w:val="single" w:sz="4" w:space="0" w:color="96DBFB"/>
        </w:tcBorders>
      </w:tcPr>
    </w:tblStylePr>
    <w:tblStylePr w:type="seCell">
      <w:tblPr/>
      <w:tcPr>
        <w:tcBorders>
          <w:top w:val="single" w:sz="4" w:space="0" w:color="96DBFB"/>
        </w:tcBorders>
      </w:tcPr>
    </w:tblStylePr>
    <w:tblStylePr w:type="swCell">
      <w:tblPr/>
      <w:tcPr>
        <w:tcBorders>
          <w:top w:val="single" w:sz="4" w:space="0" w:color="96DBFB"/>
        </w:tcBorders>
      </w:tcPr>
    </w:tblStylePr>
  </w:style>
  <w:style w:type="table" w:customStyle="1" w:styleId="Tabladecuadrcula1clara-nfasis123">
    <w:name w:val="Tabla de cuadrícula 1 clara - Énfasis 123"/>
    <w:basedOn w:val="Tablanormal"/>
    <w:uiPriority w:val="46"/>
    <w:rsid w:val="00304335"/>
    <w:rPr>
      <w:sz w:val="22"/>
      <w:szCs w:val="22"/>
      <w:lang w:eastAsia="en-US"/>
    </w:rPr>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customStyle="1" w:styleId="Tabladecuadrcula5oscura-nfasis123">
    <w:name w:val="Tabla de cuadrícula 5 oscura - Énfasis 123"/>
    <w:basedOn w:val="Tablanormal"/>
    <w:uiPriority w:val="50"/>
    <w:rsid w:val="00304335"/>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4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tblPr/>
      <w:tcPr>
        <w:shd w:val="clear" w:color="auto" w:fill="D6EAAF"/>
      </w:tcPr>
    </w:tblStylePr>
    <w:tblStylePr w:type="band1Horz">
      <w:tblPr/>
      <w:tcPr>
        <w:shd w:val="clear" w:color="auto" w:fill="D6EAAF"/>
      </w:tcPr>
    </w:tblStylePr>
  </w:style>
  <w:style w:type="table" w:customStyle="1" w:styleId="Tabladecuadrcula5oscura-nfasis613">
    <w:name w:val="Tabla de cuadrícula 5 oscura - Énfasis 613"/>
    <w:basedOn w:val="Tablanormal"/>
    <w:uiPriority w:val="50"/>
    <w:rsid w:val="00304335"/>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4-nfasis633">
    <w:name w:val="Tabla de cuadrícula 4 - Énfasis 633"/>
    <w:basedOn w:val="Tablanormal"/>
    <w:uiPriority w:val="49"/>
    <w:rsid w:val="00304335"/>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4">
    <w:name w:val="Tabla de lista 3 - Énfasis 614"/>
    <w:basedOn w:val="Tablanormal"/>
    <w:uiPriority w:val="48"/>
    <w:rsid w:val="00304335"/>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2-nfasis623">
    <w:name w:val="Tabla de cuadrícula 2 - Énfasis 623"/>
    <w:basedOn w:val="Tablanormal"/>
    <w:uiPriority w:val="47"/>
    <w:rsid w:val="00304335"/>
    <w:rPr>
      <w:rFonts w:eastAsia="Times New Roma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6concolores-nfasis613">
    <w:name w:val="Tabla de lista 6 con colores - Énfasis 613"/>
    <w:basedOn w:val="Tablanormal"/>
    <w:uiPriority w:val="51"/>
    <w:rsid w:val="00304335"/>
    <w:rPr>
      <w:rFonts w:eastAsia="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3212">
    <w:name w:val="Tabla de cuadrícula 4 - Énfasis 3212"/>
    <w:basedOn w:val="Tablanormal"/>
    <w:uiPriority w:val="49"/>
    <w:rsid w:val="0030433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6concolores112">
    <w:name w:val="Tabla de lista 6 con colores112"/>
    <w:basedOn w:val="Tablanormal"/>
    <w:uiPriority w:val="51"/>
    <w:rsid w:val="00304335"/>
    <w:rPr>
      <w:rFonts w:eastAsia="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7concolores-nfasis6113">
    <w:name w:val="Tabla de lista 7 con colores - Énfasis 6113"/>
    <w:basedOn w:val="Tablanormal"/>
    <w:uiPriority w:val="52"/>
    <w:rsid w:val="00304335"/>
    <w:rPr>
      <w:rFonts w:eastAsia="Times New Roman"/>
      <w:color w:val="08A4EE"/>
    </w:rPr>
    <w:tblPr>
      <w:tblStyleRowBandSize w:val="1"/>
      <w:tblStyleColBandSize w:val="1"/>
    </w:tblPr>
    <w:tblStylePr w:type="firstRow">
      <w:rPr>
        <w:rFonts w:ascii="DK Crayon Crumble" w:eastAsia="Times New Roman" w:hAnsi="DK Crayon Crumble" w:cs="Times New Roman"/>
        <w:i/>
        <w:iCs/>
        <w:sz w:val="26"/>
      </w:rPr>
      <w:tblPr/>
      <w:tcPr>
        <w:tcBorders>
          <w:bottom w:val="single" w:sz="4" w:space="0" w:color="51C3F9"/>
        </w:tcBorders>
        <w:shd w:val="clear" w:color="auto" w:fill="FFFFFF"/>
      </w:tcPr>
    </w:tblStylePr>
    <w:tblStylePr w:type="lastRow">
      <w:rPr>
        <w:rFonts w:ascii="DK Crayon Crumble" w:eastAsia="Times New Roman" w:hAnsi="DK Crayon Crumble" w:cs="Times New Roman"/>
        <w:i/>
        <w:iCs/>
        <w:sz w:val="26"/>
      </w:rPr>
      <w:tblPr/>
      <w:tcPr>
        <w:tcBorders>
          <w:top w:val="single" w:sz="4" w:space="0" w:color="51C3F9"/>
        </w:tcBorders>
        <w:shd w:val="clear" w:color="auto" w:fill="FFFFFF"/>
      </w:tcPr>
    </w:tblStylePr>
    <w:tblStylePr w:type="firstCol">
      <w:pPr>
        <w:jc w:val="right"/>
      </w:pPr>
      <w:rPr>
        <w:rFonts w:ascii="DK Crayon Crumble" w:eastAsia="Times New Roman" w:hAnsi="DK Crayon Crumble" w:cs="Times New Roman"/>
        <w:i/>
        <w:iCs/>
        <w:sz w:val="26"/>
      </w:rPr>
      <w:tblPr/>
      <w:tcPr>
        <w:tcBorders>
          <w:right w:val="single" w:sz="4" w:space="0" w:color="51C3F9"/>
        </w:tcBorders>
        <w:shd w:val="clear" w:color="auto" w:fill="FFFFFF"/>
      </w:tcPr>
    </w:tblStylePr>
    <w:tblStylePr w:type="lastCol">
      <w:rPr>
        <w:rFonts w:ascii="DK Crayon Crumble" w:eastAsia="Times New Roman" w:hAnsi="DK Crayon Crumbl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a-nfasis1212">
    <w:name w:val="Tabla de cuadrícula 1 clara - Énfasis 1212"/>
    <w:basedOn w:val="Tablanormal"/>
    <w:uiPriority w:val="46"/>
    <w:rsid w:val="00304335"/>
    <w:rPr>
      <w:sz w:val="22"/>
      <w:szCs w:val="22"/>
      <w:lang w:eastAsia="en-US"/>
    </w:rPr>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customStyle="1" w:styleId="Tabladecuadrcula5oscura-nfasis1212">
    <w:name w:val="Tabla de cuadrícula 5 oscura - Énfasis 1212"/>
    <w:basedOn w:val="Tablanormal"/>
    <w:uiPriority w:val="50"/>
    <w:rsid w:val="00304335"/>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4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tblPr/>
      <w:tcPr>
        <w:shd w:val="clear" w:color="auto" w:fill="D6EAAF"/>
      </w:tcPr>
    </w:tblStylePr>
    <w:tblStylePr w:type="band1Horz">
      <w:tblPr/>
      <w:tcPr>
        <w:shd w:val="clear" w:color="auto" w:fill="D6EAAF"/>
      </w:tcPr>
    </w:tblStylePr>
  </w:style>
  <w:style w:type="table" w:customStyle="1" w:styleId="Tabladecuadrcula5oscura-nfasis6112">
    <w:name w:val="Tabla de cuadrícula 5 oscura - Énfasis 6112"/>
    <w:basedOn w:val="Tablanormal"/>
    <w:uiPriority w:val="50"/>
    <w:rsid w:val="00304335"/>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4-nfasis6312">
    <w:name w:val="Tabla de cuadrícula 4 - Énfasis 6312"/>
    <w:basedOn w:val="Tablanormal"/>
    <w:uiPriority w:val="49"/>
    <w:rsid w:val="00304335"/>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22">
    <w:name w:val="Tabla de lista 3 - Énfasis 6122"/>
    <w:basedOn w:val="Tablanormal"/>
    <w:uiPriority w:val="48"/>
    <w:rsid w:val="00304335"/>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2-nfasis6212">
    <w:name w:val="Tabla de cuadrícula 2 - Énfasis 6212"/>
    <w:basedOn w:val="Tablanormal"/>
    <w:uiPriority w:val="47"/>
    <w:rsid w:val="00304335"/>
    <w:rPr>
      <w:rFonts w:eastAsia="Times New Roma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6concolores-nfasis6112">
    <w:name w:val="Tabla de lista 6 con colores - Énfasis 6112"/>
    <w:basedOn w:val="Tablanormal"/>
    <w:uiPriority w:val="51"/>
    <w:rsid w:val="00304335"/>
    <w:rPr>
      <w:rFonts w:eastAsia="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4-nfasis612">
    <w:name w:val="Tabla de lista 4 - Énfasis 612"/>
    <w:basedOn w:val="Tablanormal"/>
    <w:uiPriority w:val="49"/>
    <w:rsid w:val="00304335"/>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2">
    <w:name w:val="Tabla con cuadrícula22"/>
    <w:basedOn w:val="Tablanormal"/>
    <w:next w:val="Tablaconcuadrcula"/>
    <w:uiPriority w:val="39"/>
    <w:rsid w:val="003043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3-nfasis6112">
    <w:name w:val="Tabla de lista 3 - Énfasis 6112"/>
    <w:basedOn w:val="Tablanormal"/>
    <w:uiPriority w:val="48"/>
    <w:rsid w:val="00304335"/>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Sinlista21">
    <w:name w:val="Sin lista21"/>
    <w:next w:val="Sinlista"/>
    <w:uiPriority w:val="99"/>
    <w:semiHidden/>
    <w:unhideWhenUsed/>
    <w:rsid w:val="00304335"/>
  </w:style>
  <w:style w:type="table" w:customStyle="1" w:styleId="Tablaconcuadrcula31">
    <w:name w:val="Tabla con cuadrícula31"/>
    <w:basedOn w:val="Tablanormal"/>
    <w:next w:val="Tablaconcuadrcula"/>
    <w:uiPriority w:val="59"/>
    <w:rsid w:val="003043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2-nfasis3121">
    <w:name w:val="Tabla de cuadrícula 2 - Énfasis 3121"/>
    <w:basedOn w:val="Tablanormal"/>
    <w:uiPriority w:val="47"/>
    <w:rsid w:val="00304335"/>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1111">
    <w:name w:val="Tabla de cuadrícula 2 - Énfasis 31111"/>
    <w:basedOn w:val="Tablanormal"/>
    <w:uiPriority w:val="47"/>
    <w:rsid w:val="00304335"/>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6111">
    <w:name w:val="Tabla de cuadrícula 1 clara - Énfasis 6111"/>
    <w:basedOn w:val="Tablanormal"/>
    <w:uiPriority w:val="46"/>
    <w:rsid w:val="00304335"/>
    <w:rPr>
      <w:rFonts w:asciiTheme="minorHAnsi" w:eastAsiaTheme="minorHAnsi" w:hAnsiTheme="minorHAnsi" w:cstheme="minorBidi"/>
      <w:sz w:val="22"/>
      <w:szCs w:val="22"/>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4-nfasis6111">
    <w:name w:val="Tabla de cuadrícula 4 - Énfasis 6111"/>
    <w:basedOn w:val="Tablanormal"/>
    <w:uiPriority w:val="49"/>
    <w:rsid w:val="00304335"/>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3221">
    <w:name w:val="Tabla de cuadrícula 2 - Énfasis 3221"/>
    <w:basedOn w:val="Tablanormal"/>
    <w:uiPriority w:val="47"/>
    <w:rsid w:val="00304335"/>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2111">
    <w:name w:val="Tabla de cuadrícula 2 - Énfasis 32111"/>
    <w:basedOn w:val="Tablanormal"/>
    <w:uiPriority w:val="47"/>
    <w:rsid w:val="00304335"/>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3-nfasis1111">
    <w:name w:val="Tabla de lista 3 - Énfasis 1111"/>
    <w:basedOn w:val="Tablanormal"/>
    <w:uiPriority w:val="48"/>
    <w:rsid w:val="00304335"/>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cuadrcula1clara-nfasis1111">
    <w:name w:val="Tabla de cuadrícula 1 clara - Énfasis 1111"/>
    <w:basedOn w:val="Tablanormal"/>
    <w:uiPriority w:val="46"/>
    <w:rsid w:val="0030433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2-nfasis6111">
    <w:name w:val="Tabla de cuadrícula 2 - Énfasis 6111"/>
    <w:basedOn w:val="Tablanormal"/>
    <w:uiPriority w:val="47"/>
    <w:rsid w:val="00304335"/>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aclara-nfasis611">
    <w:name w:val="Lista clara - Énfasis 611"/>
    <w:basedOn w:val="Tablanormal"/>
    <w:next w:val="Listaclara-nfasis6"/>
    <w:uiPriority w:val="61"/>
    <w:rsid w:val="00304335"/>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staclara-nfasis111">
    <w:name w:val="Lista clara - Énfasis 111"/>
    <w:basedOn w:val="Tablanormal"/>
    <w:next w:val="Listaclara-nfasis1"/>
    <w:uiPriority w:val="61"/>
    <w:rsid w:val="0030433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adecuadrcula3-nfasis3121">
    <w:name w:val="Tabla de cuadrícula 3 - Énfasis 3121"/>
    <w:basedOn w:val="Tablanormal"/>
    <w:uiPriority w:val="48"/>
    <w:rsid w:val="0030433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21">
    <w:name w:val="Tabla de cuadrícula 5 oscura - Énfasis 1121"/>
    <w:basedOn w:val="Tablanormal"/>
    <w:uiPriority w:val="50"/>
    <w:rsid w:val="003043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Cuadrculamedia3-nfasis311">
    <w:name w:val="Cuadrícula media 3 - Énfasis 311"/>
    <w:basedOn w:val="Tablanormal"/>
    <w:next w:val="Cuadrculamedia3-nfasis3"/>
    <w:uiPriority w:val="69"/>
    <w:rsid w:val="00304335"/>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Cuadrculaclara-nfasis321">
    <w:name w:val="Cuadrícula clara - Énfasis 321"/>
    <w:basedOn w:val="Tablanormal"/>
    <w:next w:val="Cuadrculaclara-nfasis3"/>
    <w:uiPriority w:val="62"/>
    <w:rsid w:val="00304335"/>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claro11">
    <w:name w:val="Sombreado claro11"/>
    <w:basedOn w:val="Tablanormal"/>
    <w:next w:val="Sombreadoclaro"/>
    <w:uiPriority w:val="60"/>
    <w:rsid w:val="0030433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decuadrcula3-nfasis31111">
    <w:name w:val="Tabla de cuadrícula 3 - Énfasis 31111"/>
    <w:basedOn w:val="Tablanormal"/>
    <w:uiPriority w:val="48"/>
    <w:rsid w:val="0030433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111">
    <w:name w:val="Tabla de cuadrícula 5 oscura - Énfasis 11111"/>
    <w:basedOn w:val="Tablanormal"/>
    <w:uiPriority w:val="50"/>
    <w:rsid w:val="003043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4-nfasis6211">
    <w:name w:val="Tabla de cuadrícula 4 - Énfasis 6211"/>
    <w:basedOn w:val="Tablanormal"/>
    <w:uiPriority w:val="49"/>
    <w:rsid w:val="00304335"/>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Cuadrculamedia1-nfasis311">
    <w:name w:val="Cuadrícula media 1 - Énfasis 311"/>
    <w:basedOn w:val="Tablanormal"/>
    <w:next w:val="Cuadrculamedia1-nfasis3"/>
    <w:uiPriority w:val="67"/>
    <w:rsid w:val="0030433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numbering" w:customStyle="1" w:styleId="Sinlista111">
    <w:name w:val="Sin lista111"/>
    <w:next w:val="Sinlista"/>
    <w:uiPriority w:val="99"/>
    <w:semiHidden/>
    <w:unhideWhenUsed/>
    <w:rsid w:val="00304335"/>
  </w:style>
  <w:style w:type="table" w:customStyle="1" w:styleId="Tabladecuadrcula4-nfasis3111">
    <w:name w:val="Tabla de cuadrícula 4 - Énfasis 3111"/>
    <w:basedOn w:val="Tablanormal"/>
    <w:uiPriority w:val="49"/>
    <w:rsid w:val="00304335"/>
    <w:rPr>
      <w:lang w:eastAsia="es-ES_tradn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3111">
    <w:name w:val="Tabla normal 3111"/>
    <w:basedOn w:val="Tablanormal"/>
    <w:uiPriority w:val="43"/>
    <w:rsid w:val="00304335"/>
    <w:rPr>
      <w:lang w:eastAsia="es-ES_tradn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2111">
    <w:name w:val="Tabla normal 2111"/>
    <w:basedOn w:val="Tablanormal"/>
    <w:uiPriority w:val="42"/>
    <w:rsid w:val="00304335"/>
    <w:rPr>
      <w:lang w:eastAsia="es-ES_tradn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2111">
    <w:name w:val="Tabla de cuadrícula 2111"/>
    <w:basedOn w:val="Tablanormal"/>
    <w:uiPriority w:val="47"/>
    <w:rsid w:val="00304335"/>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vistosa-nfasis121">
    <w:name w:val="Lista vistosa - Énfasis 121"/>
    <w:basedOn w:val="Tablanormal"/>
    <w:next w:val="Listavistosa-nfasis1"/>
    <w:uiPriority w:val="34"/>
    <w:unhideWhenUsed/>
    <w:rsid w:val="00304335"/>
    <w:rPr>
      <w:sz w:val="22"/>
      <w:szCs w:val="22"/>
      <w:lang w:val="es-MX"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adelista1clara111">
    <w:name w:val="Tabla de lista 1 clara111"/>
    <w:basedOn w:val="Tablanormal"/>
    <w:uiPriority w:val="46"/>
    <w:rsid w:val="00304335"/>
    <w:rPr>
      <w:lang w:eastAsia="es-ES_trad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1">
    <w:name w:val="Tabla de cuadrícula 6 con colores111"/>
    <w:basedOn w:val="Tablanormal"/>
    <w:uiPriority w:val="51"/>
    <w:rsid w:val="00304335"/>
    <w:rPr>
      <w:color w:val="000000" w:themeColor="text1"/>
      <w:lang w:eastAsia="es-ES_trad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aclara-nfasis311">
    <w:name w:val="Lista clara - Énfasis 311"/>
    <w:basedOn w:val="Tablanormal"/>
    <w:next w:val="Listaclara-nfasis3"/>
    <w:uiPriority w:val="61"/>
    <w:rsid w:val="0030433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delista3-nfasis3111">
    <w:name w:val="Tabla de lista 3 - Énfasis 3111"/>
    <w:basedOn w:val="Tablanormal"/>
    <w:uiPriority w:val="48"/>
    <w:rsid w:val="00304335"/>
    <w:rPr>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6concolores-nfasis3111">
    <w:name w:val="Tabla de cuadrícula 6 con colores - Énfasis 3111"/>
    <w:basedOn w:val="Tablanormal"/>
    <w:uiPriority w:val="51"/>
    <w:rsid w:val="00304335"/>
    <w:rPr>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Cuadrculamedia1-nfasis511">
    <w:name w:val="Cuadrícula media 1 - Énfasis 511"/>
    <w:basedOn w:val="Tablanormal"/>
    <w:next w:val="Cuadrculamedia1-nfasis5"/>
    <w:uiPriority w:val="67"/>
    <w:rsid w:val="00304335"/>
    <w:rPr>
      <w:rFonts w:asciiTheme="minorHAnsi" w:eastAsiaTheme="minorEastAsia" w:hAnsiTheme="minorHAnsi" w:cstheme="minorBidi"/>
      <w:sz w:val="24"/>
      <w:szCs w:val="24"/>
      <w:lang w:val="es-ES_tradnl" w:eastAsia="es-E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Sombreadomedio1-nfasis411">
    <w:name w:val="Sombreado medio 1 - Énfasis 411"/>
    <w:basedOn w:val="Tablanormal"/>
    <w:next w:val="Sombreadomedio1-nfasis4"/>
    <w:uiPriority w:val="63"/>
    <w:rsid w:val="00304335"/>
    <w:rPr>
      <w:rFonts w:asciiTheme="minorHAnsi" w:eastAsiaTheme="minorEastAsia" w:hAnsiTheme="minorHAnsi" w:cstheme="minorBidi"/>
      <w:sz w:val="24"/>
      <w:szCs w:val="24"/>
      <w:lang w:val="es-ES_tradnl" w:eastAsia="es-E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Sombreadomedio1-nfasis611">
    <w:name w:val="Sombreado medio 1 - Énfasis 611"/>
    <w:basedOn w:val="Tablanormal"/>
    <w:next w:val="Sombreadomedio1-nfasis6"/>
    <w:uiPriority w:val="63"/>
    <w:rsid w:val="00304335"/>
    <w:rPr>
      <w:rFonts w:asciiTheme="minorHAnsi" w:eastAsiaTheme="minorEastAsia" w:hAnsiTheme="minorHAnsi" w:cstheme="minorBidi"/>
      <w:sz w:val="24"/>
      <w:szCs w:val="24"/>
      <w:lang w:val="es-ES_tradnl" w:eastAsia="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Listaclara11">
    <w:name w:val="Lista clara11"/>
    <w:basedOn w:val="Tablanormal"/>
    <w:next w:val="Listaclara"/>
    <w:uiPriority w:val="61"/>
    <w:rsid w:val="00304335"/>
    <w:rPr>
      <w:rFonts w:asciiTheme="minorHAnsi" w:eastAsiaTheme="minorEastAsia" w:hAnsiTheme="minorHAnsi" w:cstheme="minorBidi"/>
      <w:sz w:val="24"/>
      <w:szCs w:val="24"/>
      <w:lang w:val="es-ES_tradnl"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4-nfasis3221">
    <w:name w:val="Tabla de cuadrícula 4 - Énfasis 3221"/>
    <w:basedOn w:val="Tablanormal"/>
    <w:uiPriority w:val="49"/>
    <w:rsid w:val="0030433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Sombreadomedio2-nfasis311">
    <w:name w:val="Sombreado medio 2 - Énfasis 311"/>
    <w:basedOn w:val="Tablanormal"/>
    <w:next w:val="Sombreadomedio2-nfasis3"/>
    <w:uiPriority w:val="64"/>
    <w:rsid w:val="00304335"/>
    <w:rPr>
      <w:rFonts w:ascii="Arial" w:eastAsia="Times New Roman" w:hAnsi="Arial"/>
      <w:lang w:val="es-ES_trad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1">
    <w:name w:val="Lista media 1111"/>
    <w:basedOn w:val="Tablanormal"/>
    <w:uiPriority w:val="65"/>
    <w:rsid w:val="00304335"/>
    <w:rPr>
      <w:rFonts w:ascii="Arial" w:eastAsia="Times New Roman" w:hAnsi="Arial"/>
      <w:color w:val="000000"/>
      <w:lang w:val="es-ES_tradnl"/>
    </w:rPr>
    <w:tblPr>
      <w:tblStyleRowBandSize w:val="1"/>
      <w:tblStyleColBandSize w:val="1"/>
      <w:tblBorders>
        <w:top w:val="single" w:sz="8" w:space="0" w:color="000000"/>
        <w:bottom w:val="single" w:sz="8" w:space="0" w:color="000000"/>
      </w:tblBorders>
    </w:tblPr>
    <w:tblStylePr w:type="firstRow">
      <w:rPr>
        <w:rFonts w:ascii="Cambria Math" w:eastAsia="Times New Roman" w:hAnsi="Cambria Math"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adelista6concolores121">
    <w:name w:val="Tabla de lista 6 con colores121"/>
    <w:basedOn w:val="Tablanormal"/>
    <w:uiPriority w:val="51"/>
    <w:rsid w:val="00304335"/>
    <w:rPr>
      <w:rFonts w:eastAsia="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11">
    <w:name w:val="Tabla con cuadrícula111"/>
    <w:basedOn w:val="Tablanormal"/>
    <w:next w:val="Tablaconcuadrcula"/>
    <w:uiPriority w:val="59"/>
    <w:rsid w:val="0030433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6121">
    <w:name w:val="Tabla de lista 7 con colores - Énfasis 6121"/>
    <w:basedOn w:val="Tablanormal"/>
    <w:uiPriority w:val="52"/>
    <w:rsid w:val="00304335"/>
    <w:rPr>
      <w:rFonts w:eastAsia="Times New Roman"/>
      <w:color w:val="08A4EE"/>
    </w:rPr>
    <w:tblPr>
      <w:tblStyleRowBandSize w:val="1"/>
      <w:tblStyleColBandSize w:val="1"/>
    </w:tblPr>
    <w:tblStylePr w:type="firstRow">
      <w:rPr>
        <w:rFonts w:ascii="DK Crayon Crumble" w:eastAsia="Times New Roman" w:hAnsi="DK Crayon Crumble" w:cs="Times New Roman"/>
        <w:i/>
        <w:iCs/>
        <w:sz w:val="26"/>
      </w:rPr>
      <w:tblPr/>
      <w:tcPr>
        <w:tcBorders>
          <w:bottom w:val="single" w:sz="4" w:space="0" w:color="51C3F9"/>
        </w:tcBorders>
        <w:shd w:val="clear" w:color="auto" w:fill="FFFFFF"/>
      </w:tcPr>
    </w:tblStylePr>
    <w:tblStylePr w:type="lastRow">
      <w:rPr>
        <w:rFonts w:ascii="DK Crayon Crumble" w:eastAsia="Times New Roman" w:hAnsi="DK Crayon Crumble" w:cs="Times New Roman"/>
        <w:i/>
        <w:iCs/>
        <w:sz w:val="26"/>
      </w:rPr>
      <w:tblPr/>
      <w:tcPr>
        <w:tcBorders>
          <w:top w:val="single" w:sz="4" w:space="0" w:color="51C3F9"/>
        </w:tcBorders>
        <w:shd w:val="clear" w:color="auto" w:fill="FFFFFF"/>
      </w:tcPr>
    </w:tblStylePr>
    <w:tblStylePr w:type="firstCol">
      <w:pPr>
        <w:jc w:val="right"/>
      </w:pPr>
      <w:rPr>
        <w:rFonts w:ascii="DK Crayon Crumble" w:eastAsia="Times New Roman" w:hAnsi="DK Crayon Crumble" w:cs="Times New Roman"/>
        <w:i/>
        <w:iCs/>
        <w:sz w:val="26"/>
      </w:rPr>
      <w:tblPr/>
      <w:tcPr>
        <w:tcBorders>
          <w:right w:val="single" w:sz="4" w:space="0" w:color="51C3F9"/>
        </w:tcBorders>
        <w:shd w:val="clear" w:color="auto" w:fill="FFFFFF"/>
      </w:tcPr>
    </w:tblStylePr>
    <w:tblStylePr w:type="lastCol">
      <w:rPr>
        <w:rFonts w:ascii="DK Crayon Crumble" w:eastAsia="Times New Roman" w:hAnsi="DK Crayon Crumbl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o-nfasis2111">
    <w:name w:val="Tabla de cuadrícula 1 Claro-Énfasis 2111"/>
    <w:basedOn w:val="Tablanormal"/>
    <w:uiPriority w:val="46"/>
    <w:rsid w:val="00304335"/>
    <w:rPr>
      <w:sz w:val="22"/>
      <w:szCs w:val="22"/>
      <w:lang w:eastAsia="en-US"/>
    </w:rPr>
    <w:tblPr>
      <w:tblStyleRowBandSize w:val="1"/>
      <w:tblStyleColBandSize w:val="1"/>
      <w:tblBorders>
        <w:top w:val="single" w:sz="4" w:space="0" w:color="BFE2A8"/>
        <w:left w:val="single" w:sz="4" w:space="0" w:color="BFE2A8"/>
        <w:bottom w:val="single" w:sz="4" w:space="0" w:color="BFE2A8"/>
        <w:right w:val="single" w:sz="4" w:space="0" w:color="BFE2A8"/>
        <w:insideH w:val="single" w:sz="4" w:space="0" w:color="BFE2A8"/>
        <w:insideV w:val="single" w:sz="4" w:space="0" w:color="BFE2A8"/>
      </w:tblBorders>
    </w:tblPr>
    <w:tblStylePr w:type="firstRow">
      <w:rPr>
        <w:b/>
        <w:bCs/>
      </w:rPr>
      <w:tblPr/>
      <w:tcPr>
        <w:tcBorders>
          <w:bottom w:val="single" w:sz="12" w:space="0" w:color="9FD37C"/>
        </w:tcBorders>
      </w:tcPr>
    </w:tblStylePr>
    <w:tblStylePr w:type="lastRow">
      <w:rPr>
        <w:b/>
        <w:bCs/>
      </w:rPr>
      <w:tblPr/>
      <w:tcPr>
        <w:tcBorders>
          <w:top w:val="double" w:sz="2" w:space="0" w:color="9FD37C"/>
        </w:tcBorders>
      </w:tcPr>
    </w:tblStylePr>
    <w:tblStylePr w:type="firstCol">
      <w:rPr>
        <w:b/>
        <w:bCs/>
      </w:rPr>
    </w:tblStylePr>
    <w:tblStylePr w:type="lastCol">
      <w:rPr>
        <w:b/>
        <w:bCs/>
      </w:rPr>
    </w:tblStylePr>
  </w:style>
  <w:style w:type="table" w:customStyle="1" w:styleId="Tabladecuadrcula1clara-nfasis61110">
    <w:name w:val="Tabla de cuadrícula 1 clara-Énfasis 6111"/>
    <w:basedOn w:val="Tablanormal"/>
    <w:uiPriority w:val="46"/>
    <w:rsid w:val="00304335"/>
    <w:rPr>
      <w:sz w:val="22"/>
      <w:szCs w:val="22"/>
      <w:lang w:eastAsia="en-US"/>
    </w:rPr>
    <w:tblPr>
      <w:tblStyleRowBandSize w:val="1"/>
      <w:tblStyleColBandSize w:val="1"/>
      <w:tblBorders>
        <w:top w:val="single" w:sz="4" w:space="0" w:color="B9E7FC"/>
        <w:left w:val="single" w:sz="4" w:space="0" w:color="B9E7FC"/>
        <w:bottom w:val="single" w:sz="4" w:space="0" w:color="B9E7FC"/>
        <w:right w:val="single" w:sz="4" w:space="0" w:color="B9E7FC"/>
        <w:insideH w:val="single" w:sz="4" w:space="0" w:color="B9E7FC"/>
        <w:insideV w:val="single" w:sz="4" w:space="0" w:color="B9E7FC"/>
      </w:tblBorders>
    </w:tblPr>
    <w:tblStylePr w:type="firstRow">
      <w:rPr>
        <w:b/>
        <w:bCs/>
      </w:rPr>
      <w:tblPr/>
      <w:tcPr>
        <w:tcBorders>
          <w:bottom w:val="single" w:sz="12" w:space="0" w:color="96DBFB"/>
        </w:tcBorders>
      </w:tcPr>
    </w:tblStylePr>
    <w:tblStylePr w:type="lastRow">
      <w:rPr>
        <w:b/>
        <w:bCs/>
      </w:rPr>
      <w:tblPr/>
      <w:tcPr>
        <w:tcBorders>
          <w:top w:val="double" w:sz="2" w:space="0" w:color="96DBFB"/>
        </w:tcBorders>
      </w:tcPr>
    </w:tblStylePr>
    <w:tblStylePr w:type="firstCol">
      <w:rPr>
        <w:b/>
        <w:bCs/>
      </w:rPr>
    </w:tblStylePr>
    <w:tblStylePr w:type="lastCol">
      <w:rPr>
        <w:b/>
        <w:bCs/>
      </w:rPr>
    </w:tblStylePr>
  </w:style>
  <w:style w:type="table" w:customStyle="1" w:styleId="Tabladecuadrcula4-nfasis61110">
    <w:name w:val="Tabla de cuadrícula 4-Énfasis 6111"/>
    <w:basedOn w:val="Tablanormal"/>
    <w:uiPriority w:val="49"/>
    <w:rsid w:val="00304335"/>
    <w:rPr>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color w:val="FFFFFF"/>
      </w:rPr>
      <w:tblPr/>
      <w:tcPr>
        <w:tcBorders>
          <w:top w:val="single" w:sz="4" w:space="0" w:color="51C3F9"/>
          <w:left w:val="single" w:sz="4" w:space="0" w:color="51C3F9"/>
          <w:bottom w:val="single" w:sz="4" w:space="0" w:color="51C3F9"/>
          <w:right w:val="single" w:sz="4" w:space="0" w:color="51C3F9"/>
          <w:insideH w:val="nil"/>
          <w:insideV w:val="nil"/>
        </w:tcBorders>
        <w:shd w:val="clear" w:color="auto" w:fill="51C3F9"/>
      </w:tcPr>
    </w:tblStylePr>
    <w:tblStylePr w:type="lastRow">
      <w:rPr>
        <w:b/>
        <w:bCs/>
      </w:rPr>
      <w:tblPr/>
      <w:tcPr>
        <w:tcBorders>
          <w:top w:val="double" w:sz="4" w:space="0" w:color="51C3F9"/>
        </w:tcBorders>
      </w:tcPr>
    </w:tblStylePr>
    <w:tblStylePr w:type="firstCol">
      <w:rPr>
        <w:b/>
        <w:bCs/>
      </w:rPr>
    </w:tblStylePr>
    <w:tblStylePr w:type="lastCol">
      <w:rPr>
        <w:b/>
        <w:bCs/>
      </w:rPr>
    </w:tblStylePr>
    <w:tblStylePr w:type="band1Vert">
      <w:tblPr/>
      <w:tcPr>
        <w:shd w:val="clear" w:color="auto" w:fill="DCF3FD"/>
      </w:tcPr>
    </w:tblStylePr>
    <w:tblStylePr w:type="band1Horz">
      <w:tblPr/>
      <w:tcPr>
        <w:shd w:val="clear" w:color="auto" w:fill="DCF3FD"/>
      </w:tcPr>
    </w:tblStylePr>
  </w:style>
  <w:style w:type="table" w:customStyle="1" w:styleId="Tabladecuadrcula3-nfasis6111">
    <w:name w:val="Tabla de cuadrícula 3 - Énfasis 6111"/>
    <w:basedOn w:val="Tablanormal"/>
    <w:uiPriority w:val="48"/>
    <w:rsid w:val="00304335"/>
    <w:rPr>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bottom w:val="single" w:sz="4" w:space="0" w:color="96DBFB"/>
        </w:tcBorders>
      </w:tcPr>
    </w:tblStylePr>
    <w:tblStylePr w:type="nwCell">
      <w:tblPr/>
      <w:tcPr>
        <w:tcBorders>
          <w:bottom w:val="single" w:sz="4" w:space="0" w:color="96DBFB"/>
        </w:tcBorders>
      </w:tcPr>
    </w:tblStylePr>
    <w:tblStylePr w:type="seCell">
      <w:tblPr/>
      <w:tcPr>
        <w:tcBorders>
          <w:top w:val="single" w:sz="4" w:space="0" w:color="96DBFB"/>
        </w:tcBorders>
      </w:tcPr>
    </w:tblStylePr>
    <w:tblStylePr w:type="swCell">
      <w:tblPr/>
      <w:tcPr>
        <w:tcBorders>
          <w:top w:val="single" w:sz="4" w:space="0" w:color="96DBFB"/>
        </w:tcBorders>
      </w:tcPr>
    </w:tblStylePr>
  </w:style>
  <w:style w:type="table" w:customStyle="1" w:styleId="Cuadrculaclara-nfasis411">
    <w:name w:val="Cuadrícula clara - Énfasis 411"/>
    <w:basedOn w:val="Tablanormal"/>
    <w:next w:val="Cuadrculaclara-nfasis4"/>
    <w:uiPriority w:val="62"/>
    <w:rsid w:val="00304335"/>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DK Crayon Crumble" w:eastAsia="Times New Roman" w:hAnsi="DK Crayon Crumble"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DK Crayon Crumble" w:eastAsia="Times New Roman" w:hAnsi="DK Crayon Crumble"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DK Crayon Crumble" w:eastAsia="Times New Roman" w:hAnsi="DK Crayon Crumble" w:cs="Times New Roman"/>
        <w:b/>
        <w:bCs/>
      </w:rPr>
    </w:tblStylePr>
    <w:tblStylePr w:type="lastCol">
      <w:rPr>
        <w:rFonts w:ascii="DK Crayon Crumble" w:eastAsia="Times New Roman" w:hAnsi="DK Crayon Crumble"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cuadrcula7concolores-nfasis6111">
    <w:name w:val="Tabla de cuadrícula 7 con colores - Énfasis 6111"/>
    <w:basedOn w:val="Tablanormal"/>
    <w:uiPriority w:val="52"/>
    <w:rsid w:val="00304335"/>
    <w:rPr>
      <w:color w:val="08A4EE"/>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bottom w:val="single" w:sz="4" w:space="0" w:color="96DBFB"/>
        </w:tcBorders>
      </w:tcPr>
    </w:tblStylePr>
    <w:tblStylePr w:type="nwCell">
      <w:tblPr/>
      <w:tcPr>
        <w:tcBorders>
          <w:bottom w:val="single" w:sz="4" w:space="0" w:color="96DBFB"/>
        </w:tcBorders>
      </w:tcPr>
    </w:tblStylePr>
    <w:tblStylePr w:type="seCell">
      <w:tblPr/>
      <w:tcPr>
        <w:tcBorders>
          <w:top w:val="single" w:sz="4" w:space="0" w:color="96DBFB"/>
        </w:tcBorders>
      </w:tcPr>
    </w:tblStylePr>
    <w:tblStylePr w:type="swCell">
      <w:tblPr/>
      <w:tcPr>
        <w:tcBorders>
          <w:top w:val="single" w:sz="4" w:space="0" w:color="96DBFB"/>
        </w:tcBorders>
      </w:tcPr>
    </w:tblStylePr>
  </w:style>
  <w:style w:type="table" w:customStyle="1" w:styleId="Tabladecuadrcula1clara-nfasis1221">
    <w:name w:val="Tabla de cuadrícula 1 clara - Énfasis 1221"/>
    <w:basedOn w:val="Tablanormal"/>
    <w:uiPriority w:val="46"/>
    <w:rsid w:val="00304335"/>
    <w:rPr>
      <w:sz w:val="22"/>
      <w:szCs w:val="22"/>
      <w:lang w:eastAsia="en-US"/>
    </w:rPr>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customStyle="1" w:styleId="Tabladecuadrcula5oscura-nfasis1221">
    <w:name w:val="Tabla de cuadrícula 5 oscura - Énfasis 1221"/>
    <w:basedOn w:val="Tablanormal"/>
    <w:uiPriority w:val="50"/>
    <w:rsid w:val="00304335"/>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4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tblPr/>
      <w:tcPr>
        <w:shd w:val="clear" w:color="auto" w:fill="D6EAAF"/>
      </w:tcPr>
    </w:tblStylePr>
    <w:tblStylePr w:type="band1Horz">
      <w:tblPr/>
      <w:tcPr>
        <w:shd w:val="clear" w:color="auto" w:fill="D6EAAF"/>
      </w:tcPr>
    </w:tblStylePr>
  </w:style>
  <w:style w:type="table" w:customStyle="1" w:styleId="Tabladecuadrcula5oscura-nfasis6121">
    <w:name w:val="Tabla de cuadrícula 5 oscura - Énfasis 6121"/>
    <w:basedOn w:val="Tablanormal"/>
    <w:uiPriority w:val="50"/>
    <w:rsid w:val="00304335"/>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4-nfasis6321">
    <w:name w:val="Tabla de cuadrícula 4 - Énfasis 6321"/>
    <w:basedOn w:val="Tablanormal"/>
    <w:uiPriority w:val="49"/>
    <w:rsid w:val="00304335"/>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31">
    <w:name w:val="Tabla de lista 3 - Énfasis 6131"/>
    <w:basedOn w:val="Tablanormal"/>
    <w:uiPriority w:val="48"/>
    <w:rsid w:val="00304335"/>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2-nfasis6221">
    <w:name w:val="Tabla de cuadrícula 2 - Énfasis 6221"/>
    <w:basedOn w:val="Tablanormal"/>
    <w:uiPriority w:val="47"/>
    <w:rsid w:val="00304335"/>
    <w:rPr>
      <w:rFonts w:eastAsia="Times New Roma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6concolores-nfasis6121">
    <w:name w:val="Tabla de lista 6 con colores - Énfasis 6121"/>
    <w:basedOn w:val="Tablanormal"/>
    <w:uiPriority w:val="51"/>
    <w:rsid w:val="00304335"/>
    <w:rPr>
      <w:rFonts w:eastAsia="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32111">
    <w:name w:val="Tabla de cuadrícula 4 - Énfasis 32111"/>
    <w:basedOn w:val="Tablanormal"/>
    <w:uiPriority w:val="49"/>
    <w:rsid w:val="0030433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6concolores1111">
    <w:name w:val="Tabla de lista 6 con colores1111"/>
    <w:basedOn w:val="Tablanormal"/>
    <w:uiPriority w:val="51"/>
    <w:rsid w:val="00304335"/>
    <w:rPr>
      <w:rFonts w:eastAsia="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7concolores-nfasis61111">
    <w:name w:val="Tabla de lista 7 con colores - Énfasis 61111"/>
    <w:basedOn w:val="Tablanormal"/>
    <w:uiPriority w:val="52"/>
    <w:rsid w:val="00304335"/>
    <w:rPr>
      <w:rFonts w:eastAsia="Times New Roman"/>
      <w:color w:val="08A4EE"/>
    </w:rPr>
    <w:tblPr>
      <w:tblStyleRowBandSize w:val="1"/>
      <w:tblStyleColBandSize w:val="1"/>
    </w:tblPr>
    <w:tblStylePr w:type="firstRow">
      <w:rPr>
        <w:rFonts w:ascii="DK Crayon Crumble" w:eastAsia="Times New Roman" w:hAnsi="DK Crayon Crumble" w:cs="Times New Roman"/>
        <w:i/>
        <w:iCs/>
        <w:sz w:val="26"/>
      </w:rPr>
      <w:tblPr/>
      <w:tcPr>
        <w:tcBorders>
          <w:bottom w:val="single" w:sz="4" w:space="0" w:color="51C3F9"/>
        </w:tcBorders>
        <w:shd w:val="clear" w:color="auto" w:fill="FFFFFF"/>
      </w:tcPr>
    </w:tblStylePr>
    <w:tblStylePr w:type="lastRow">
      <w:rPr>
        <w:rFonts w:ascii="DK Crayon Crumble" w:eastAsia="Times New Roman" w:hAnsi="DK Crayon Crumble" w:cs="Times New Roman"/>
        <w:i/>
        <w:iCs/>
        <w:sz w:val="26"/>
      </w:rPr>
      <w:tblPr/>
      <w:tcPr>
        <w:tcBorders>
          <w:top w:val="single" w:sz="4" w:space="0" w:color="51C3F9"/>
        </w:tcBorders>
        <w:shd w:val="clear" w:color="auto" w:fill="FFFFFF"/>
      </w:tcPr>
    </w:tblStylePr>
    <w:tblStylePr w:type="firstCol">
      <w:pPr>
        <w:jc w:val="right"/>
      </w:pPr>
      <w:rPr>
        <w:rFonts w:ascii="DK Crayon Crumble" w:eastAsia="Times New Roman" w:hAnsi="DK Crayon Crumble" w:cs="Times New Roman"/>
        <w:i/>
        <w:iCs/>
        <w:sz w:val="26"/>
      </w:rPr>
      <w:tblPr/>
      <w:tcPr>
        <w:tcBorders>
          <w:right w:val="single" w:sz="4" w:space="0" w:color="51C3F9"/>
        </w:tcBorders>
        <w:shd w:val="clear" w:color="auto" w:fill="FFFFFF"/>
      </w:tcPr>
    </w:tblStylePr>
    <w:tblStylePr w:type="lastCol">
      <w:rPr>
        <w:rFonts w:ascii="DK Crayon Crumble" w:eastAsia="Times New Roman" w:hAnsi="DK Crayon Crumbl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a-nfasis12111">
    <w:name w:val="Tabla de cuadrícula 1 clara - Énfasis 12111"/>
    <w:basedOn w:val="Tablanormal"/>
    <w:uiPriority w:val="46"/>
    <w:rsid w:val="00304335"/>
    <w:rPr>
      <w:sz w:val="22"/>
      <w:szCs w:val="22"/>
      <w:lang w:eastAsia="en-US"/>
    </w:rPr>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customStyle="1" w:styleId="Tabladecuadrcula5oscura-nfasis12111">
    <w:name w:val="Tabla de cuadrícula 5 oscura - Énfasis 12111"/>
    <w:basedOn w:val="Tablanormal"/>
    <w:uiPriority w:val="50"/>
    <w:rsid w:val="00304335"/>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4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tblPr/>
      <w:tcPr>
        <w:shd w:val="clear" w:color="auto" w:fill="D6EAAF"/>
      </w:tcPr>
    </w:tblStylePr>
    <w:tblStylePr w:type="band1Horz">
      <w:tblPr/>
      <w:tcPr>
        <w:shd w:val="clear" w:color="auto" w:fill="D6EAAF"/>
      </w:tcPr>
    </w:tblStylePr>
  </w:style>
  <w:style w:type="table" w:customStyle="1" w:styleId="Tabladecuadrcula5oscura-nfasis61111">
    <w:name w:val="Tabla de cuadrícula 5 oscura - Énfasis 61111"/>
    <w:basedOn w:val="Tablanormal"/>
    <w:uiPriority w:val="50"/>
    <w:rsid w:val="00304335"/>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4-nfasis63111">
    <w:name w:val="Tabla de cuadrícula 4 - Énfasis 63111"/>
    <w:basedOn w:val="Tablanormal"/>
    <w:uiPriority w:val="49"/>
    <w:rsid w:val="00304335"/>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211">
    <w:name w:val="Tabla de lista 3 - Énfasis 61211"/>
    <w:basedOn w:val="Tablanormal"/>
    <w:uiPriority w:val="48"/>
    <w:rsid w:val="00304335"/>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2-nfasis62111">
    <w:name w:val="Tabla de cuadrícula 2 - Énfasis 62111"/>
    <w:basedOn w:val="Tablanormal"/>
    <w:uiPriority w:val="47"/>
    <w:rsid w:val="00304335"/>
    <w:rPr>
      <w:rFonts w:eastAsia="Times New Roma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6concolores-nfasis61111">
    <w:name w:val="Tabla de lista 6 con colores - Énfasis 61111"/>
    <w:basedOn w:val="Tablanormal"/>
    <w:uiPriority w:val="51"/>
    <w:rsid w:val="00304335"/>
    <w:rPr>
      <w:rFonts w:eastAsia="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4-nfasis6111">
    <w:name w:val="Tabla de lista 4 - Énfasis 6111"/>
    <w:basedOn w:val="Tablanormal"/>
    <w:uiPriority w:val="49"/>
    <w:rsid w:val="00304335"/>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11">
    <w:name w:val="Tabla con cuadrícula211"/>
    <w:basedOn w:val="Tablanormal"/>
    <w:next w:val="Tablaconcuadrcula"/>
    <w:uiPriority w:val="59"/>
    <w:rsid w:val="003043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3-nfasis61111">
    <w:name w:val="Tabla de lista 3 - Énfasis 61111"/>
    <w:basedOn w:val="Tablanormal"/>
    <w:uiPriority w:val="48"/>
    <w:rsid w:val="00304335"/>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lista7concolores-nfasis6131">
    <w:name w:val="Tabla de lista 7 con colores - Énfasis 6131"/>
    <w:basedOn w:val="Tablanormal"/>
    <w:uiPriority w:val="52"/>
    <w:rsid w:val="00304335"/>
    <w:rPr>
      <w:rFonts w:eastAsia="Times New Roman"/>
      <w:color w:val="08A4EE"/>
    </w:rPr>
    <w:tblPr>
      <w:tblStyleRowBandSize w:val="1"/>
      <w:tblStyleColBandSize w:val="1"/>
    </w:tblPr>
    <w:tblStylePr w:type="firstRow">
      <w:rPr>
        <w:rFonts w:ascii="FreeSans" w:eastAsia="Times New Roman" w:hAnsi="FreeSans" w:cs="Times New Roman"/>
        <w:i/>
        <w:iCs/>
        <w:sz w:val="26"/>
      </w:rPr>
      <w:tblPr/>
      <w:tcPr>
        <w:tcBorders>
          <w:bottom w:val="single" w:sz="4" w:space="0" w:color="51C3F9"/>
        </w:tcBorders>
        <w:shd w:val="clear" w:color="auto" w:fill="FFFFFF"/>
      </w:tcPr>
    </w:tblStylePr>
    <w:tblStylePr w:type="lastRow">
      <w:rPr>
        <w:rFonts w:ascii="FreeSans" w:eastAsia="Times New Roman" w:hAnsi="FreeSans" w:cs="Times New Roman"/>
        <w:i/>
        <w:iCs/>
        <w:sz w:val="26"/>
      </w:rPr>
      <w:tblPr/>
      <w:tcPr>
        <w:tcBorders>
          <w:top w:val="single" w:sz="4" w:space="0" w:color="51C3F9"/>
        </w:tcBorders>
        <w:shd w:val="clear" w:color="auto" w:fill="FFFFFF"/>
      </w:tcPr>
    </w:tblStylePr>
    <w:tblStylePr w:type="firstCol">
      <w:pPr>
        <w:jc w:val="right"/>
      </w:pPr>
      <w:rPr>
        <w:rFonts w:ascii="FreeSans" w:eastAsia="Times New Roman" w:hAnsi="FreeSans" w:cs="Times New Roman"/>
        <w:i/>
        <w:iCs/>
        <w:sz w:val="26"/>
      </w:rPr>
      <w:tblPr/>
      <w:tcPr>
        <w:tcBorders>
          <w:right w:val="single" w:sz="4" w:space="0" w:color="51C3F9"/>
        </w:tcBorders>
        <w:shd w:val="clear" w:color="auto" w:fill="FFFFFF"/>
      </w:tcPr>
    </w:tblStylePr>
    <w:tblStylePr w:type="lastCol">
      <w:rPr>
        <w:rFonts w:ascii="FreeSans" w:eastAsia="Times New Roman" w:hAnsi="FreeSans"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clara-nfasis421">
    <w:name w:val="Cuadrícula clara - Énfasis 421"/>
    <w:basedOn w:val="Tablanormal"/>
    <w:next w:val="Cuadrculaclara-nfasis4"/>
    <w:uiPriority w:val="62"/>
    <w:rsid w:val="00304335"/>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FreeSans" w:eastAsia="Times New Roman" w:hAnsi="FreeSans"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FreeSans" w:eastAsia="Times New Roman" w:hAnsi="FreeSans"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FreeSans" w:eastAsia="Times New Roman" w:hAnsi="FreeSans" w:cs="Times New Roman"/>
        <w:b/>
        <w:bCs/>
      </w:rPr>
    </w:tblStylePr>
    <w:tblStylePr w:type="lastCol">
      <w:rPr>
        <w:rFonts w:ascii="FreeSans" w:eastAsia="Times New Roman" w:hAnsi="FreeSans"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lista7concolores-nfasis6141">
    <w:name w:val="Tabla de lista 7 con colores - Énfasis 6141"/>
    <w:basedOn w:val="Tablanormal"/>
    <w:uiPriority w:val="52"/>
    <w:rsid w:val="00304335"/>
    <w:rPr>
      <w:rFonts w:eastAsia="Times New Roman"/>
      <w:color w:val="08A4EE"/>
    </w:rPr>
    <w:tblPr>
      <w:tblStyleRowBandSize w:val="1"/>
      <w:tblStyleColBandSize w:val="1"/>
    </w:tblPr>
    <w:tblStylePr w:type="firstRow">
      <w:rPr>
        <w:rFonts w:ascii="FreeSans" w:eastAsia="Times New Roman" w:hAnsi="FreeSans" w:cs="Times New Roman"/>
        <w:i/>
        <w:iCs/>
        <w:sz w:val="26"/>
      </w:rPr>
      <w:tblPr/>
      <w:tcPr>
        <w:tcBorders>
          <w:bottom w:val="single" w:sz="4" w:space="0" w:color="51C3F9"/>
        </w:tcBorders>
        <w:shd w:val="clear" w:color="auto" w:fill="FFFFFF"/>
      </w:tcPr>
    </w:tblStylePr>
    <w:tblStylePr w:type="lastRow">
      <w:rPr>
        <w:rFonts w:ascii="FreeSans" w:eastAsia="Times New Roman" w:hAnsi="FreeSans" w:cs="Times New Roman"/>
        <w:i/>
        <w:iCs/>
        <w:sz w:val="26"/>
      </w:rPr>
      <w:tblPr/>
      <w:tcPr>
        <w:tcBorders>
          <w:top w:val="single" w:sz="4" w:space="0" w:color="51C3F9"/>
        </w:tcBorders>
        <w:shd w:val="clear" w:color="auto" w:fill="FFFFFF"/>
      </w:tcPr>
    </w:tblStylePr>
    <w:tblStylePr w:type="firstCol">
      <w:pPr>
        <w:jc w:val="right"/>
      </w:pPr>
      <w:rPr>
        <w:rFonts w:ascii="FreeSans" w:eastAsia="Times New Roman" w:hAnsi="FreeSans" w:cs="Times New Roman"/>
        <w:i/>
        <w:iCs/>
        <w:sz w:val="26"/>
      </w:rPr>
      <w:tblPr/>
      <w:tcPr>
        <w:tcBorders>
          <w:right w:val="single" w:sz="4" w:space="0" w:color="51C3F9"/>
        </w:tcBorders>
        <w:shd w:val="clear" w:color="auto" w:fill="FFFFFF"/>
      </w:tcPr>
    </w:tblStylePr>
    <w:tblStylePr w:type="lastCol">
      <w:rPr>
        <w:rFonts w:ascii="FreeSans" w:eastAsia="Times New Roman" w:hAnsi="FreeSans"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2-nfasis33">
    <w:name w:val="Tabla de cuadrícula 2 - Énfasis 33"/>
    <w:basedOn w:val="Tablanormal"/>
    <w:uiPriority w:val="47"/>
    <w:rsid w:val="00304335"/>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31">
    <w:name w:val="Tabla de cuadrícula 1 clara - Énfasis 31"/>
    <w:basedOn w:val="Tablanormal"/>
    <w:uiPriority w:val="46"/>
    <w:rsid w:val="00304335"/>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lista7concolores-nfasis6151">
    <w:name w:val="Tabla de lista 7 con colores - Énfasis 6151"/>
    <w:basedOn w:val="Tablanormal"/>
    <w:uiPriority w:val="52"/>
    <w:rsid w:val="00304335"/>
    <w:rPr>
      <w:rFonts w:eastAsia="Times New Roman"/>
      <w:color w:val="08A4EE"/>
    </w:rPr>
    <w:tblPr>
      <w:tblStyleRowBandSize w:val="1"/>
      <w:tblStyleColBandSize w:val="1"/>
    </w:tblPr>
    <w:tblStylePr w:type="firstRow">
      <w:rPr>
        <w:rFonts w:ascii="FreeSans" w:eastAsia="Times New Roman" w:hAnsi="FreeSans" w:cs="Times New Roman"/>
        <w:i/>
        <w:iCs/>
        <w:sz w:val="26"/>
      </w:rPr>
      <w:tblPr/>
      <w:tcPr>
        <w:tcBorders>
          <w:bottom w:val="single" w:sz="4" w:space="0" w:color="51C3F9"/>
        </w:tcBorders>
        <w:shd w:val="clear" w:color="auto" w:fill="FFFFFF"/>
      </w:tcPr>
    </w:tblStylePr>
    <w:tblStylePr w:type="lastRow">
      <w:rPr>
        <w:rFonts w:ascii="FreeSans" w:eastAsia="Times New Roman" w:hAnsi="FreeSans" w:cs="Times New Roman"/>
        <w:i/>
        <w:iCs/>
        <w:sz w:val="26"/>
      </w:rPr>
      <w:tblPr/>
      <w:tcPr>
        <w:tcBorders>
          <w:top w:val="single" w:sz="4" w:space="0" w:color="51C3F9"/>
        </w:tcBorders>
        <w:shd w:val="clear" w:color="auto" w:fill="FFFFFF"/>
      </w:tcPr>
    </w:tblStylePr>
    <w:tblStylePr w:type="firstCol">
      <w:pPr>
        <w:jc w:val="right"/>
      </w:pPr>
      <w:rPr>
        <w:rFonts w:ascii="FreeSans" w:eastAsia="Times New Roman" w:hAnsi="FreeSans" w:cs="Times New Roman"/>
        <w:i/>
        <w:iCs/>
        <w:sz w:val="26"/>
      </w:rPr>
      <w:tblPr/>
      <w:tcPr>
        <w:tcBorders>
          <w:right w:val="single" w:sz="4" w:space="0" w:color="51C3F9"/>
        </w:tcBorders>
        <w:shd w:val="clear" w:color="auto" w:fill="FFFFFF"/>
      </w:tcPr>
    </w:tblStylePr>
    <w:tblStylePr w:type="lastCol">
      <w:rPr>
        <w:rFonts w:ascii="FreeSans" w:eastAsia="Times New Roman" w:hAnsi="FreeSans"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clara-nfasis431">
    <w:name w:val="Cuadrícula clara - Énfasis 431"/>
    <w:basedOn w:val="Tablanormal"/>
    <w:next w:val="Cuadrculaclara-nfasis4"/>
    <w:uiPriority w:val="62"/>
    <w:rsid w:val="00304335"/>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FreeSans" w:eastAsia="Times New Roman" w:hAnsi="FreeSans"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FreeSans" w:eastAsia="Times New Roman" w:hAnsi="FreeSans"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FreeSans" w:eastAsia="Times New Roman" w:hAnsi="FreeSans" w:cs="Times New Roman"/>
        <w:b/>
        <w:bCs/>
      </w:rPr>
    </w:tblStylePr>
    <w:tblStylePr w:type="lastCol">
      <w:rPr>
        <w:rFonts w:ascii="FreeSans" w:eastAsia="Times New Roman" w:hAnsi="FreeSans"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lista7concolores-nfasis61121">
    <w:name w:val="Tabla de lista 7 con colores - Énfasis 61121"/>
    <w:basedOn w:val="Tablanormal"/>
    <w:uiPriority w:val="52"/>
    <w:rsid w:val="00304335"/>
    <w:rPr>
      <w:rFonts w:eastAsia="Times New Roman"/>
      <w:color w:val="08A4EE"/>
    </w:rPr>
    <w:tblPr>
      <w:tblStyleRowBandSize w:val="1"/>
      <w:tblStyleColBandSize w:val="1"/>
    </w:tblPr>
    <w:tblStylePr w:type="firstRow">
      <w:rPr>
        <w:rFonts w:ascii="FreeSans" w:eastAsia="Times New Roman" w:hAnsi="FreeSans" w:cs="Times New Roman"/>
        <w:i/>
        <w:iCs/>
        <w:sz w:val="26"/>
      </w:rPr>
      <w:tblPr/>
      <w:tcPr>
        <w:tcBorders>
          <w:bottom w:val="single" w:sz="4" w:space="0" w:color="51C3F9"/>
        </w:tcBorders>
        <w:shd w:val="clear" w:color="auto" w:fill="FFFFFF"/>
      </w:tcPr>
    </w:tblStylePr>
    <w:tblStylePr w:type="lastRow">
      <w:rPr>
        <w:rFonts w:ascii="FreeSans" w:eastAsia="Times New Roman" w:hAnsi="FreeSans" w:cs="Times New Roman"/>
        <w:i/>
        <w:iCs/>
        <w:sz w:val="26"/>
      </w:rPr>
      <w:tblPr/>
      <w:tcPr>
        <w:tcBorders>
          <w:top w:val="single" w:sz="4" w:space="0" w:color="51C3F9"/>
        </w:tcBorders>
        <w:shd w:val="clear" w:color="auto" w:fill="FFFFFF"/>
      </w:tcPr>
    </w:tblStylePr>
    <w:tblStylePr w:type="firstCol">
      <w:pPr>
        <w:jc w:val="right"/>
      </w:pPr>
      <w:rPr>
        <w:rFonts w:ascii="FreeSans" w:eastAsia="Times New Roman" w:hAnsi="FreeSans" w:cs="Times New Roman"/>
        <w:i/>
        <w:iCs/>
        <w:sz w:val="26"/>
      </w:rPr>
      <w:tblPr/>
      <w:tcPr>
        <w:tcBorders>
          <w:right w:val="single" w:sz="4" w:space="0" w:color="51C3F9"/>
        </w:tcBorders>
        <w:shd w:val="clear" w:color="auto" w:fill="FFFFFF"/>
      </w:tcPr>
    </w:tblStylePr>
    <w:tblStylePr w:type="lastCol">
      <w:rPr>
        <w:rFonts w:ascii="FreeSans" w:eastAsia="Times New Roman" w:hAnsi="FreeSans"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uadrculamedia1-nfasis21">
    <w:name w:val="Cuadrícula media 1 - Énfasis 21"/>
    <w:basedOn w:val="Normal"/>
    <w:uiPriority w:val="34"/>
    <w:qFormat/>
    <w:rsid w:val="00304335"/>
    <w:pPr>
      <w:spacing w:after="0"/>
      <w:ind w:left="720"/>
      <w:contextualSpacing/>
    </w:pPr>
    <w:rPr>
      <w:lang w:eastAsia="es-ES"/>
    </w:rPr>
  </w:style>
  <w:style w:type="character" w:customStyle="1" w:styleId="Tablanormal41">
    <w:name w:val="Tabla normal 41"/>
    <w:uiPriority w:val="21"/>
    <w:qFormat/>
    <w:rsid w:val="00304335"/>
    <w:rPr>
      <w:b/>
      <w:bCs/>
      <w:i/>
      <w:iCs/>
      <w:color w:val="4F81BD"/>
    </w:rPr>
  </w:style>
  <w:style w:type="paragraph" w:customStyle="1" w:styleId="Cuadros">
    <w:name w:val="Cuadros"/>
    <w:basedOn w:val="Descripcin"/>
    <w:qFormat/>
    <w:rsid w:val="00304335"/>
    <w:pPr>
      <w:keepNext/>
      <w:spacing w:after="0" w:line="276" w:lineRule="auto"/>
    </w:pPr>
    <w:rPr>
      <w:color w:val="000000" w:themeColor="text1"/>
      <w:lang w:val="es-CO"/>
    </w:rPr>
  </w:style>
  <w:style w:type="paragraph" w:customStyle="1" w:styleId="Tabladecuadrcula31">
    <w:name w:val="Tabla de cuadrícula 31"/>
    <w:basedOn w:val="Ttulo1"/>
    <w:next w:val="Normal"/>
    <w:uiPriority w:val="39"/>
    <w:unhideWhenUsed/>
    <w:qFormat/>
    <w:rsid w:val="00304335"/>
    <w:pPr>
      <w:keepLines/>
      <w:numPr>
        <w:numId w:val="0"/>
      </w:numPr>
      <w:spacing w:before="240" w:line="259" w:lineRule="auto"/>
      <w:outlineLvl w:val="9"/>
    </w:pPr>
    <w:rPr>
      <w:rFonts w:ascii="Calibri Light" w:hAnsi="Calibri Light"/>
      <w:b w:val="0"/>
      <w:bCs w:val="0"/>
      <w:color w:val="2E74B5"/>
      <w:kern w:val="0"/>
      <w:sz w:val="32"/>
      <w:lang w:val="es-CO" w:eastAsia="es-CO"/>
    </w:rPr>
  </w:style>
  <w:style w:type="character" w:customStyle="1" w:styleId="Cuadrculamedia2Car">
    <w:name w:val="Cuadrícula media 2 Car"/>
    <w:link w:val="Cuadrculamedia2"/>
    <w:uiPriority w:val="1"/>
    <w:locked/>
    <w:rsid w:val="00304335"/>
    <w:rPr>
      <w:sz w:val="22"/>
      <w:szCs w:val="22"/>
      <w:lang w:val="es-ES" w:eastAsia="en-US"/>
    </w:rPr>
  </w:style>
  <w:style w:type="table" w:styleId="Cuadrculamedia2">
    <w:name w:val="Medium Grid 2"/>
    <w:basedOn w:val="Tablanormal"/>
    <w:link w:val="Cuadrculamedia2Car"/>
    <w:uiPriority w:val="1"/>
    <w:rsid w:val="00304335"/>
    <w:rPr>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Sombreadomedio1-nfasis11">
    <w:name w:val="Sombreado medio 1 - Énfasis 11"/>
    <w:basedOn w:val="Tablanormal"/>
    <w:next w:val="Sombreadomedio1-nfasis1"/>
    <w:uiPriority w:val="63"/>
    <w:rsid w:val="00304335"/>
    <w:rPr>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decuadrcula2-nfasis34">
    <w:name w:val="Tabla de cuadrícula 2 - Énfasis 34"/>
    <w:basedOn w:val="Tablanormal"/>
    <w:next w:val="Tabladecuadrcula2-nfasis3"/>
    <w:uiPriority w:val="47"/>
    <w:rsid w:val="00304335"/>
    <w:rPr>
      <w:lang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1">
    <w:name w:val="Grid Table 6 Colorful Accent 1"/>
    <w:basedOn w:val="Tablanormal"/>
    <w:uiPriority w:val="51"/>
    <w:rsid w:val="00304335"/>
    <w:rPr>
      <w:color w:val="365F91" w:themeColor="accent1" w:themeShade="BF"/>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3">
    <w:name w:val="Grid Table 6 Colorful Accent 3"/>
    <w:basedOn w:val="Tablanormal"/>
    <w:uiPriority w:val="51"/>
    <w:rsid w:val="00304335"/>
    <w:rPr>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detablaclara">
    <w:name w:val="Grid Table Light"/>
    <w:basedOn w:val="Tablanormal"/>
    <w:uiPriority w:val="40"/>
    <w:rsid w:val="00304335"/>
    <w:rPr>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media22">
    <w:name w:val="Cuadrícula media 22"/>
    <w:basedOn w:val="Tablanormal"/>
    <w:next w:val="Cuadrculamedia2"/>
    <w:uiPriority w:val="1"/>
    <w:rsid w:val="00304335"/>
    <w:rPr>
      <w:sz w:val="22"/>
      <w:szCs w:val="22"/>
      <w:lang w:val="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Sombreadomedio1-nfasis111">
    <w:name w:val="Sombreado medio 1 - Énfasis 111"/>
    <w:basedOn w:val="Tablanormal"/>
    <w:next w:val="Sombreadomedio1-nfasis1"/>
    <w:uiPriority w:val="63"/>
    <w:rsid w:val="0030433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ladelista3-nfasis3">
    <w:name w:val="List Table 3 Accent 3"/>
    <w:basedOn w:val="Tablanormal"/>
    <w:uiPriority w:val="48"/>
    <w:rsid w:val="00304335"/>
    <w:rPr>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6concolores-nfasis11">
    <w:name w:val="Tabla de cuadrícula 6 con colores - Énfasis 11"/>
    <w:basedOn w:val="Tablanormal"/>
    <w:uiPriority w:val="51"/>
    <w:rsid w:val="00304335"/>
    <w:rPr>
      <w:color w:val="365F91" w:themeColor="accent1" w:themeShade="BF"/>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6concolores-nfasis32">
    <w:name w:val="Tabla de cuadrícula 6 con colores - Énfasis 32"/>
    <w:basedOn w:val="Tablanormal"/>
    <w:uiPriority w:val="51"/>
    <w:rsid w:val="00304335"/>
    <w:rPr>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Cuadrculadetablaclara1">
    <w:name w:val="Cuadrícula de tabla clara1"/>
    <w:basedOn w:val="Tablanormal"/>
    <w:uiPriority w:val="40"/>
    <w:rsid w:val="00304335"/>
    <w:rPr>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leid860363siteid153">
    <w:name w:val="titleid860363siteid153"/>
    <w:basedOn w:val="Fuentedeprrafopredeter"/>
    <w:rsid w:val="00304335"/>
  </w:style>
  <w:style w:type="character" w:customStyle="1" w:styleId="Mencinsinresolver1">
    <w:name w:val="Mención sin resolver1"/>
    <w:basedOn w:val="Fuentedeprrafopredeter"/>
    <w:uiPriority w:val="99"/>
    <w:semiHidden/>
    <w:unhideWhenUsed/>
    <w:rsid w:val="00304335"/>
    <w:rPr>
      <w:color w:val="808080"/>
      <w:shd w:val="clear" w:color="auto" w:fill="E6E6E6"/>
    </w:rPr>
  </w:style>
  <w:style w:type="table" w:styleId="Tabladecuadrcula6concolores">
    <w:name w:val="Grid Table 6 Colorful"/>
    <w:basedOn w:val="Tablanormal"/>
    <w:uiPriority w:val="51"/>
    <w:rsid w:val="0030433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sonormal0">
    <w:name w:val="msonormal"/>
    <w:basedOn w:val="Normal"/>
    <w:uiPriority w:val="99"/>
    <w:semiHidden/>
    <w:rsid w:val="00304335"/>
    <w:pPr>
      <w:spacing w:before="100" w:beforeAutospacing="1" w:after="100" w:afterAutospacing="1" w:line="240" w:lineRule="auto"/>
    </w:pPr>
    <w:rPr>
      <w:rFonts w:ascii="Times New Roman" w:eastAsiaTheme="minorHAnsi" w:hAnsi="Times New Roman"/>
      <w:sz w:val="24"/>
      <w:szCs w:val="24"/>
      <w:lang w:val="es-CO" w:eastAsia="es-CO"/>
    </w:rPr>
  </w:style>
  <w:style w:type="character" w:customStyle="1" w:styleId="estilocorreo38">
    <w:name w:val="estilocorreo38"/>
    <w:basedOn w:val="Fuentedeprrafopredeter"/>
    <w:semiHidden/>
    <w:rsid w:val="00304335"/>
    <w:rPr>
      <w:color w:val="000000"/>
    </w:rPr>
  </w:style>
  <w:style w:type="character" w:customStyle="1" w:styleId="estilocorreo39">
    <w:name w:val="estilocorreo39"/>
    <w:basedOn w:val="Fuentedeprrafopredeter"/>
    <w:semiHidden/>
    <w:rsid w:val="00304335"/>
    <w:rPr>
      <w:rFonts w:ascii="Calibri" w:hAnsi="Calibri" w:hint="default"/>
      <w:b w:val="0"/>
      <w:bCs w:val="0"/>
      <w:i w:val="0"/>
      <w:iCs w:val="0"/>
      <w:strike w:val="0"/>
      <w:dstrike w:val="0"/>
      <w:color w:val="auto"/>
      <w:u w:val="none"/>
      <w:effect w:val="none"/>
    </w:rPr>
  </w:style>
  <w:style w:type="numbering" w:customStyle="1" w:styleId="Sinlista4">
    <w:name w:val="Sin lista4"/>
    <w:next w:val="Sinlista"/>
    <w:uiPriority w:val="99"/>
    <w:semiHidden/>
    <w:unhideWhenUsed/>
    <w:rsid w:val="00CA0B77"/>
  </w:style>
  <w:style w:type="table" w:customStyle="1" w:styleId="Tablaconcuadrcula5">
    <w:name w:val="Tabla con cuadrícula5"/>
    <w:basedOn w:val="Tablanormal"/>
    <w:next w:val="Tablaconcuadrcula"/>
    <w:uiPriority w:val="59"/>
    <w:rsid w:val="00CA0B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2-nfasis314">
    <w:name w:val="Tabla de cuadrícula 2 - Énfasis 314"/>
    <w:basedOn w:val="Tablanormal"/>
    <w:uiPriority w:val="47"/>
    <w:rsid w:val="00CA0B77"/>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113">
    <w:name w:val="Tabla de cuadrícula 2 - Énfasis 3113"/>
    <w:basedOn w:val="Tablanormal"/>
    <w:uiPriority w:val="47"/>
    <w:rsid w:val="00CA0B77"/>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613">
    <w:name w:val="Tabla de cuadrícula 1 clara - Énfasis 613"/>
    <w:basedOn w:val="Tablanormal"/>
    <w:uiPriority w:val="46"/>
    <w:rsid w:val="00CA0B77"/>
    <w:rPr>
      <w:rFonts w:asciiTheme="minorHAnsi" w:eastAsiaTheme="minorHAnsi" w:hAnsiTheme="minorHAnsi" w:cstheme="minorBidi"/>
      <w:sz w:val="22"/>
      <w:szCs w:val="22"/>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4-nfasis613">
    <w:name w:val="Tabla de cuadrícula 4 - Énfasis 613"/>
    <w:basedOn w:val="Tablanormal"/>
    <w:uiPriority w:val="49"/>
    <w:rsid w:val="00CA0B77"/>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324">
    <w:name w:val="Tabla de cuadrícula 2 - Énfasis 324"/>
    <w:basedOn w:val="Tablanormal"/>
    <w:uiPriority w:val="47"/>
    <w:rsid w:val="00CA0B77"/>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213">
    <w:name w:val="Tabla de cuadrícula 2 - Énfasis 3213"/>
    <w:basedOn w:val="Tablanormal"/>
    <w:uiPriority w:val="47"/>
    <w:rsid w:val="00CA0B77"/>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3-nfasis113">
    <w:name w:val="Tabla de lista 3 - Énfasis 113"/>
    <w:basedOn w:val="Tablanormal"/>
    <w:uiPriority w:val="48"/>
    <w:rsid w:val="00CA0B77"/>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cuadrcula1clara-nfasis113">
    <w:name w:val="Tabla de cuadrícula 1 clara - Énfasis 113"/>
    <w:basedOn w:val="Tablanormal"/>
    <w:uiPriority w:val="46"/>
    <w:rsid w:val="00CA0B77"/>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2-nfasis613">
    <w:name w:val="Tabla de cuadrícula 2 - Énfasis 613"/>
    <w:basedOn w:val="Tablanormal"/>
    <w:uiPriority w:val="47"/>
    <w:rsid w:val="00CA0B77"/>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aclara-nfasis63">
    <w:name w:val="Lista clara - Énfasis 63"/>
    <w:basedOn w:val="Tablanormal"/>
    <w:next w:val="Listaclara-nfasis6"/>
    <w:uiPriority w:val="61"/>
    <w:rsid w:val="00CA0B77"/>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staclara-nfasis13">
    <w:name w:val="Lista clara - Énfasis 13"/>
    <w:basedOn w:val="Tablanormal"/>
    <w:next w:val="Listaclara-nfasis1"/>
    <w:uiPriority w:val="61"/>
    <w:rsid w:val="00CA0B7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adecuadrcula3-nfasis314">
    <w:name w:val="Tabla de cuadrícula 3 - Énfasis 314"/>
    <w:basedOn w:val="Tablanormal"/>
    <w:uiPriority w:val="48"/>
    <w:rsid w:val="00CA0B7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4">
    <w:name w:val="Tabla de cuadrícula 5 oscura - Énfasis 114"/>
    <w:basedOn w:val="Tablanormal"/>
    <w:uiPriority w:val="50"/>
    <w:rsid w:val="00CA0B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Cuadrculamedia3-nfasis33">
    <w:name w:val="Cuadrícula media 3 - Énfasis 33"/>
    <w:basedOn w:val="Tablanormal"/>
    <w:next w:val="Cuadrculamedia3-nfasis3"/>
    <w:uiPriority w:val="69"/>
    <w:rsid w:val="00CA0B77"/>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Cuadrculaclara-nfasis34">
    <w:name w:val="Cuadrícula clara - Énfasis 34"/>
    <w:basedOn w:val="Tablanormal"/>
    <w:next w:val="Cuadrculaclara-nfasis3"/>
    <w:uiPriority w:val="62"/>
    <w:rsid w:val="00CA0B77"/>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claro3">
    <w:name w:val="Sombreado claro3"/>
    <w:basedOn w:val="Tablanormal"/>
    <w:next w:val="Sombreadoclaro"/>
    <w:uiPriority w:val="60"/>
    <w:rsid w:val="00CA0B77"/>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decuadrcula3-nfasis3113">
    <w:name w:val="Tabla de cuadrícula 3 - Énfasis 3113"/>
    <w:basedOn w:val="Tablanormal"/>
    <w:uiPriority w:val="48"/>
    <w:rsid w:val="00CA0B7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13">
    <w:name w:val="Tabla de cuadrícula 5 oscura - Énfasis 1113"/>
    <w:basedOn w:val="Tablanormal"/>
    <w:uiPriority w:val="50"/>
    <w:rsid w:val="00CA0B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4-nfasis623">
    <w:name w:val="Tabla de cuadrícula 4 - Énfasis 623"/>
    <w:basedOn w:val="Tablanormal"/>
    <w:uiPriority w:val="49"/>
    <w:rsid w:val="00CA0B77"/>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Cuadrculamedia1-nfasis33">
    <w:name w:val="Cuadrícula media 1 - Énfasis 33"/>
    <w:basedOn w:val="Tablanormal"/>
    <w:next w:val="Cuadrculamedia1-nfasis3"/>
    <w:uiPriority w:val="67"/>
    <w:rsid w:val="00CA0B7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numbering" w:customStyle="1" w:styleId="Sinlista13">
    <w:name w:val="Sin lista13"/>
    <w:next w:val="Sinlista"/>
    <w:uiPriority w:val="99"/>
    <w:semiHidden/>
    <w:unhideWhenUsed/>
    <w:rsid w:val="00CA0B77"/>
  </w:style>
  <w:style w:type="table" w:customStyle="1" w:styleId="Tabladecuadrcula4-nfasis313">
    <w:name w:val="Tabla de cuadrícula 4 - Énfasis 313"/>
    <w:basedOn w:val="Tablanormal"/>
    <w:uiPriority w:val="49"/>
    <w:rsid w:val="00CA0B77"/>
    <w:rPr>
      <w:lang w:eastAsia="es-ES_tradn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313">
    <w:name w:val="Tabla normal 313"/>
    <w:basedOn w:val="Tablanormal"/>
    <w:uiPriority w:val="43"/>
    <w:rsid w:val="00CA0B77"/>
    <w:rPr>
      <w:lang w:eastAsia="es-ES_tradn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213">
    <w:name w:val="Tabla normal 213"/>
    <w:basedOn w:val="Tablanormal"/>
    <w:uiPriority w:val="42"/>
    <w:rsid w:val="00CA0B77"/>
    <w:rPr>
      <w:lang w:eastAsia="es-ES_tradn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213">
    <w:name w:val="Tabla de cuadrícula 213"/>
    <w:basedOn w:val="Tablanormal"/>
    <w:uiPriority w:val="47"/>
    <w:rsid w:val="00CA0B77"/>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vistosa-nfasis14">
    <w:name w:val="Lista vistosa - Énfasis 14"/>
    <w:basedOn w:val="Tablanormal"/>
    <w:next w:val="Listavistosa-nfasis1"/>
    <w:uiPriority w:val="34"/>
    <w:unhideWhenUsed/>
    <w:rsid w:val="00CA0B77"/>
    <w:rPr>
      <w:sz w:val="22"/>
      <w:szCs w:val="22"/>
      <w:lang w:val="es-MX"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adelista1clara13">
    <w:name w:val="Tabla de lista 1 clara13"/>
    <w:basedOn w:val="Tablanormal"/>
    <w:uiPriority w:val="46"/>
    <w:rsid w:val="00CA0B77"/>
    <w:rPr>
      <w:lang w:eastAsia="es-ES_trad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3">
    <w:name w:val="Tabla de cuadrícula 6 con colores13"/>
    <w:basedOn w:val="Tablanormal"/>
    <w:uiPriority w:val="51"/>
    <w:rsid w:val="00CA0B77"/>
    <w:rPr>
      <w:color w:val="000000" w:themeColor="text1"/>
      <w:lang w:eastAsia="es-ES_trad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aclara-nfasis33">
    <w:name w:val="Lista clara - Énfasis 33"/>
    <w:basedOn w:val="Tablanormal"/>
    <w:next w:val="Listaclara-nfasis3"/>
    <w:uiPriority w:val="61"/>
    <w:rsid w:val="00CA0B7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delista3-nfasis313">
    <w:name w:val="Tabla de lista 3 - Énfasis 313"/>
    <w:basedOn w:val="Tablanormal"/>
    <w:uiPriority w:val="48"/>
    <w:rsid w:val="00CA0B77"/>
    <w:rPr>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6concolores-nfasis313">
    <w:name w:val="Tabla de cuadrícula 6 con colores - Énfasis 313"/>
    <w:basedOn w:val="Tablanormal"/>
    <w:uiPriority w:val="51"/>
    <w:rsid w:val="00CA0B77"/>
    <w:rPr>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Cuadrculamedia1-nfasis53">
    <w:name w:val="Cuadrícula media 1 - Énfasis 53"/>
    <w:basedOn w:val="Tablanormal"/>
    <w:next w:val="Cuadrculamedia1-nfasis5"/>
    <w:uiPriority w:val="67"/>
    <w:rsid w:val="00CA0B77"/>
    <w:rPr>
      <w:rFonts w:asciiTheme="minorHAnsi" w:eastAsiaTheme="minorEastAsia" w:hAnsiTheme="minorHAnsi" w:cstheme="minorBidi"/>
      <w:sz w:val="24"/>
      <w:szCs w:val="24"/>
      <w:lang w:val="es-ES_tradnl" w:eastAsia="es-E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Sombreadomedio1-nfasis43">
    <w:name w:val="Sombreado medio 1 - Énfasis 43"/>
    <w:basedOn w:val="Tablanormal"/>
    <w:next w:val="Sombreadomedio1-nfasis4"/>
    <w:uiPriority w:val="63"/>
    <w:rsid w:val="00CA0B77"/>
    <w:rPr>
      <w:rFonts w:asciiTheme="minorHAnsi" w:eastAsiaTheme="minorEastAsia" w:hAnsiTheme="minorHAnsi" w:cstheme="minorBidi"/>
      <w:sz w:val="24"/>
      <w:szCs w:val="24"/>
      <w:lang w:val="es-ES_tradnl" w:eastAsia="es-E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Sombreadomedio1-nfasis63">
    <w:name w:val="Sombreado medio 1 - Énfasis 63"/>
    <w:basedOn w:val="Tablanormal"/>
    <w:next w:val="Sombreadomedio1-nfasis6"/>
    <w:uiPriority w:val="63"/>
    <w:rsid w:val="00CA0B77"/>
    <w:rPr>
      <w:rFonts w:asciiTheme="minorHAnsi" w:eastAsiaTheme="minorEastAsia" w:hAnsiTheme="minorHAnsi" w:cstheme="minorBidi"/>
      <w:sz w:val="24"/>
      <w:szCs w:val="24"/>
      <w:lang w:val="es-ES_tradnl" w:eastAsia="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Listaclara3">
    <w:name w:val="Lista clara3"/>
    <w:basedOn w:val="Tablanormal"/>
    <w:next w:val="Listaclara"/>
    <w:uiPriority w:val="61"/>
    <w:rsid w:val="00CA0B77"/>
    <w:rPr>
      <w:rFonts w:asciiTheme="minorHAnsi" w:eastAsiaTheme="minorEastAsia" w:hAnsiTheme="minorHAnsi" w:cstheme="minorBidi"/>
      <w:sz w:val="24"/>
      <w:szCs w:val="24"/>
      <w:lang w:val="es-ES_tradnl"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4-nfasis324">
    <w:name w:val="Tabla de cuadrícula 4 - Énfasis 324"/>
    <w:basedOn w:val="Tablanormal"/>
    <w:uiPriority w:val="49"/>
    <w:rsid w:val="00CA0B7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Sombreadomedio2-nfasis33">
    <w:name w:val="Sombreado medio 2 - Énfasis 33"/>
    <w:basedOn w:val="Tablanormal"/>
    <w:next w:val="Sombreadomedio2-nfasis3"/>
    <w:uiPriority w:val="64"/>
    <w:rsid w:val="00CA0B77"/>
    <w:rPr>
      <w:rFonts w:ascii="Arial" w:eastAsia="Times New Roman" w:hAnsi="Arial"/>
      <w:lang w:val="es-ES_trad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3">
    <w:name w:val="Lista media 113"/>
    <w:basedOn w:val="Tablanormal"/>
    <w:uiPriority w:val="65"/>
    <w:rsid w:val="00CA0B77"/>
    <w:rPr>
      <w:rFonts w:ascii="Arial" w:eastAsia="Times New Roman" w:hAnsi="Arial"/>
      <w:color w:val="000000"/>
      <w:lang w:val="es-ES_tradnl"/>
    </w:rPr>
    <w:tblPr>
      <w:tblStyleRowBandSize w:val="1"/>
      <w:tblStyleColBandSize w:val="1"/>
      <w:tblBorders>
        <w:top w:val="single" w:sz="8" w:space="0" w:color="000000"/>
        <w:bottom w:val="single" w:sz="8" w:space="0" w:color="000000"/>
      </w:tblBorders>
    </w:tblPr>
    <w:tblStylePr w:type="firstRow">
      <w:rPr>
        <w:rFonts w:ascii="Cambria Math" w:eastAsia="Times New Roman" w:hAnsi="Cambria Math"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adelista6concolores14">
    <w:name w:val="Tabla de lista 6 con colores14"/>
    <w:basedOn w:val="Tablanormal"/>
    <w:uiPriority w:val="51"/>
    <w:rsid w:val="00CA0B77"/>
    <w:rPr>
      <w:rFonts w:eastAsia="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3">
    <w:name w:val="Tabla con cuadrícula13"/>
    <w:basedOn w:val="Tablanormal"/>
    <w:next w:val="Tablaconcuadrcula"/>
    <w:uiPriority w:val="59"/>
    <w:rsid w:val="00CA0B7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617">
    <w:name w:val="Tabla de lista 7 con colores - Énfasis 617"/>
    <w:basedOn w:val="Tablanormal"/>
    <w:uiPriority w:val="52"/>
    <w:rsid w:val="00CA0B77"/>
    <w:rPr>
      <w:rFonts w:eastAsia="Times New Roman"/>
      <w:color w:val="08A4EE"/>
    </w:rPr>
    <w:tblPr>
      <w:tblStyleRowBandSize w:val="1"/>
      <w:tblStyleColBandSize w:val="1"/>
    </w:tblPr>
    <w:tblStylePr w:type="firstRow">
      <w:rPr>
        <w:rFonts w:ascii="Utsaah" w:eastAsia="Times New Roman" w:hAnsi="Utsaah" w:cs="Times New Roman"/>
        <w:i/>
        <w:iCs/>
        <w:sz w:val="26"/>
      </w:rPr>
      <w:tblPr/>
      <w:tcPr>
        <w:tcBorders>
          <w:bottom w:val="single" w:sz="4" w:space="0" w:color="51C3F9"/>
        </w:tcBorders>
        <w:shd w:val="clear" w:color="auto" w:fill="FFFFFF"/>
      </w:tcPr>
    </w:tblStylePr>
    <w:tblStylePr w:type="lastRow">
      <w:rPr>
        <w:rFonts w:ascii="Utsaah" w:eastAsia="Times New Roman" w:hAnsi="Utsaah" w:cs="Times New Roman"/>
        <w:i/>
        <w:iCs/>
        <w:sz w:val="26"/>
      </w:rPr>
      <w:tblPr/>
      <w:tcPr>
        <w:tcBorders>
          <w:top w:val="single" w:sz="4" w:space="0" w:color="51C3F9"/>
        </w:tcBorders>
        <w:shd w:val="clear" w:color="auto" w:fill="FFFFFF"/>
      </w:tcPr>
    </w:tblStylePr>
    <w:tblStylePr w:type="firstCol">
      <w:pPr>
        <w:jc w:val="right"/>
      </w:pPr>
      <w:rPr>
        <w:rFonts w:ascii="Utsaah" w:eastAsia="Times New Roman" w:hAnsi="Utsaah" w:cs="Times New Roman"/>
        <w:i/>
        <w:iCs/>
        <w:sz w:val="26"/>
      </w:rPr>
      <w:tblPr/>
      <w:tcPr>
        <w:tcBorders>
          <w:right w:val="single" w:sz="4" w:space="0" w:color="51C3F9"/>
        </w:tcBorders>
        <w:shd w:val="clear" w:color="auto" w:fill="FFFFFF"/>
      </w:tcPr>
    </w:tblStylePr>
    <w:tblStylePr w:type="lastCol">
      <w:rPr>
        <w:rFonts w:ascii="Utsaah" w:eastAsia="Times New Roman" w:hAnsi="Utsaah"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o-nfasis213">
    <w:name w:val="Tabla de cuadrícula 1 Claro-Énfasis 213"/>
    <w:basedOn w:val="Tablanormal"/>
    <w:uiPriority w:val="46"/>
    <w:rsid w:val="00CA0B77"/>
    <w:rPr>
      <w:sz w:val="22"/>
      <w:szCs w:val="22"/>
      <w:lang w:eastAsia="en-US"/>
    </w:rPr>
    <w:tblPr>
      <w:tblStyleRowBandSize w:val="1"/>
      <w:tblStyleColBandSize w:val="1"/>
      <w:tblBorders>
        <w:top w:val="single" w:sz="4" w:space="0" w:color="BFE2A8"/>
        <w:left w:val="single" w:sz="4" w:space="0" w:color="BFE2A8"/>
        <w:bottom w:val="single" w:sz="4" w:space="0" w:color="BFE2A8"/>
        <w:right w:val="single" w:sz="4" w:space="0" w:color="BFE2A8"/>
        <w:insideH w:val="single" w:sz="4" w:space="0" w:color="BFE2A8"/>
        <w:insideV w:val="single" w:sz="4" w:space="0" w:color="BFE2A8"/>
      </w:tblBorders>
    </w:tblPr>
    <w:tblStylePr w:type="firstRow">
      <w:rPr>
        <w:b/>
        <w:bCs/>
      </w:rPr>
      <w:tblPr/>
      <w:tcPr>
        <w:tcBorders>
          <w:bottom w:val="single" w:sz="12" w:space="0" w:color="9FD37C"/>
        </w:tcBorders>
      </w:tcPr>
    </w:tblStylePr>
    <w:tblStylePr w:type="lastRow">
      <w:rPr>
        <w:b/>
        <w:bCs/>
      </w:rPr>
      <w:tblPr/>
      <w:tcPr>
        <w:tcBorders>
          <w:top w:val="double" w:sz="2" w:space="0" w:color="9FD37C"/>
        </w:tcBorders>
      </w:tcPr>
    </w:tblStylePr>
    <w:tblStylePr w:type="firstCol">
      <w:rPr>
        <w:b/>
        <w:bCs/>
      </w:rPr>
    </w:tblStylePr>
    <w:tblStylePr w:type="lastCol">
      <w:rPr>
        <w:b/>
        <w:bCs/>
      </w:rPr>
    </w:tblStylePr>
  </w:style>
  <w:style w:type="table" w:customStyle="1" w:styleId="Tabladecuadrcula1clara-nfasis6130">
    <w:name w:val="Tabla de cuadrícula 1 clara-Énfasis 613"/>
    <w:basedOn w:val="Tablanormal"/>
    <w:uiPriority w:val="46"/>
    <w:rsid w:val="00CA0B77"/>
    <w:rPr>
      <w:sz w:val="22"/>
      <w:szCs w:val="22"/>
      <w:lang w:eastAsia="en-US"/>
    </w:rPr>
    <w:tblPr>
      <w:tblStyleRowBandSize w:val="1"/>
      <w:tblStyleColBandSize w:val="1"/>
      <w:tblBorders>
        <w:top w:val="single" w:sz="4" w:space="0" w:color="B9E7FC"/>
        <w:left w:val="single" w:sz="4" w:space="0" w:color="B9E7FC"/>
        <w:bottom w:val="single" w:sz="4" w:space="0" w:color="B9E7FC"/>
        <w:right w:val="single" w:sz="4" w:space="0" w:color="B9E7FC"/>
        <w:insideH w:val="single" w:sz="4" w:space="0" w:color="B9E7FC"/>
        <w:insideV w:val="single" w:sz="4" w:space="0" w:color="B9E7FC"/>
      </w:tblBorders>
    </w:tblPr>
    <w:tblStylePr w:type="firstRow">
      <w:rPr>
        <w:b/>
        <w:bCs/>
      </w:rPr>
      <w:tblPr/>
      <w:tcPr>
        <w:tcBorders>
          <w:bottom w:val="single" w:sz="12" w:space="0" w:color="96DBFB"/>
        </w:tcBorders>
      </w:tcPr>
    </w:tblStylePr>
    <w:tblStylePr w:type="lastRow">
      <w:rPr>
        <w:b/>
        <w:bCs/>
      </w:rPr>
      <w:tblPr/>
      <w:tcPr>
        <w:tcBorders>
          <w:top w:val="double" w:sz="2" w:space="0" w:color="96DBFB"/>
        </w:tcBorders>
      </w:tcPr>
    </w:tblStylePr>
    <w:tblStylePr w:type="firstCol">
      <w:rPr>
        <w:b/>
        <w:bCs/>
      </w:rPr>
    </w:tblStylePr>
    <w:tblStylePr w:type="lastCol">
      <w:rPr>
        <w:b/>
        <w:bCs/>
      </w:rPr>
    </w:tblStylePr>
  </w:style>
  <w:style w:type="table" w:customStyle="1" w:styleId="Tabladecuadrcula4-nfasis6130">
    <w:name w:val="Tabla de cuadrícula 4-Énfasis 613"/>
    <w:basedOn w:val="Tablanormal"/>
    <w:uiPriority w:val="49"/>
    <w:rsid w:val="00CA0B77"/>
    <w:rPr>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color w:val="FFFFFF"/>
      </w:rPr>
      <w:tblPr/>
      <w:tcPr>
        <w:tcBorders>
          <w:top w:val="single" w:sz="4" w:space="0" w:color="51C3F9"/>
          <w:left w:val="single" w:sz="4" w:space="0" w:color="51C3F9"/>
          <w:bottom w:val="single" w:sz="4" w:space="0" w:color="51C3F9"/>
          <w:right w:val="single" w:sz="4" w:space="0" w:color="51C3F9"/>
          <w:insideH w:val="nil"/>
          <w:insideV w:val="nil"/>
        </w:tcBorders>
        <w:shd w:val="clear" w:color="auto" w:fill="51C3F9"/>
      </w:tcPr>
    </w:tblStylePr>
    <w:tblStylePr w:type="lastRow">
      <w:rPr>
        <w:b/>
        <w:bCs/>
      </w:rPr>
      <w:tblPr/>
      <w:tcPr>
        <w:tcBorders>
          <w:top w:val="double" w:sz="4" w:space="0" w:color="51C3F9"/>
        </w:tcBorders>
      </w:tcPr>
    </w:tblStylePr>
    <w:tblStylePr w:type="firstCol">
      <w:rPr>
        <w:b/>
        <w:bCs/>
      </w:rPr>
    </w:tblStylePr>
    <w:tblStylePr w:type="lastCol">
      <w:rPr>
        <w:b/>
        <w:bCs/>
      </w:rPr>
    </w:tblStylePr>
    <w:tblStylePr w:type="band1Vert">
      <w:tblPr/>
      <w:tcPr>
        <w:shd w:val="clear" w:color="auto" w:fill="DCF3FD"/>
      </w:tcPr>
    </w:tblStylePr>
    <w:tblStylePr w:type="band1Horz">
      <w:tblPr/>
      <w:tcPr>
        <w:shd w:val="clear" w:color="auto" w:fill="DCF3FD"/>
      </w:tcPr>
    </w:tblStylePr>
  </w:style>
  <w:style w:type="table" w:customStyle="1" w:styleId="Tabladecuadrcula3-nfasis613">
    <w:name w:val="Tabla de cuadrícula 3 - Énfasis 613"/>
    <w:basedOn w:val="Tablanormal"/>
    <w:uiPriority w:val="48"/>
    <w:rsid w:val="00CA0B77"/>
    <w:rPr>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bottom w:val="single" w:sz="4" w:space="0" w:color="96DBFB"/>
        </w:tcBorders>
      </w:tcPr>
    </w:tblStylePr>
    <w:tblStylePr w:type="nwCell">
      <w:tblPr/>
      <w:tcPr>
        <w:tcBorders>
          <w:bottom w:val="single" w:sz="4" w:space="0" w:color="96DBFB"/>
        </w:tcBorders>
      </w:tcPr>
    </w:tblStylePr>
    <w:tblStylePr w:type="seCell">
      <w:tblPr/>
      <w:tcPr>
        <w:tcBorders>
          <w:top w:val="single" w:sz="4" w:space="0" w:color="96DBFB"/>
        </w:tcBorders>
      </w:tcPr>
    </w:tblStylePr>
    <w:tblStylePr w:type="swCell">
      <w:tblPr/>
      <w:tcPr>
        <w:tcBorders>
          <w:top w:val="single" w:sz="4" w:space="0" w:color="96DBFB"/>
        </w:tcBorders>
      </w:tcPr>
    </w:tblStylePr>
  </w:style>
  <w:style w:type="table" w:customStyle="1" w:styleId="Cuadrculaclara-nfasis45">
    <w:name w:val="Cuadrícula clara - Énfasis 45"/>
    <w:basedOn w:val="Tablanormal"/>
    <w:next w:val="Cuadrculaclara-nfasis4"/>
    <w:uiPriority w:val="62"/>
    <w:rsid w:val="00CA0B77"/>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Utsaah" w:eastAsia="Times New Roman" w:hAnsi="Utsaah"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Utsaah" w:eastAsia="Times New Roman" w:hAnsi="Utsaah"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Utsaah" w:eastAsia="Times New Roman" w:hAnsi="Utsaah" w:cs="Times New Roman"/>
        <w:b/>
        <w:bCs/>
      </w:rPr>
    </w:tblStylePr>
    <w:tblStylePr w:type="lastCol">
      <w:rPr>
        <w:rFonts w:ascii="Utsaah" w:eastAsia="Times New Roman" w:hAnsi="Utsaah"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cuadrcula7concolores-nfasis613">
    <w:name w:val="Tabla de cuadrícula 7 con colores - Énfasis 613"/>
    <w:basedOn w:val="Tablanormal"/>
    <w:uiPriority w:val="52"/>
    <w:rsid w:val="00CA0B77"/>
    <w:rPr>
      <w:color w:val="08A4EE"/>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bottom w:val="single" w:sz="4" w:space="0" w:color="96DBFB"/>
        </w:tcBorders>
      </w:tcPr>
    </w:tblStylePr>
    <w:tblStylePr w:type="nwCell">
      <w:tblPr/>
      <w:tcPr>
        <w:tcBorders>
          <w:bottom w:val="single" w:sz="4" w:space="0" w:color="96DBFB"/>
        </w:tcBorders>
      </w:tcPr>
    </w:tblStylePr>
    <w:tblStylePr w:type="seCell">
      <w:tblPr/>
      <w:tcPr>
        <w:tcBorders>
          <w:top w:val="single" w:sz="4" w:space="0" w:color="96DBFB"/>
        </w:tcBorders>
      </w:tcPr>
    </w:tblStylePr>
    <w:tblStylePr w:type="swCell">
      <w:tblPr/>
      <w:tcPr>
        <w:tcBorders>
          <w:top w:val="single" w:sz="4" w:space="0" w:color="96DBFB"/>
        </w:tcBorders>
      </w:tcPr>
    </w:tblStylePr>
  </w:style>
  <w:style w:type="table" w:customStyle="1" w:styleId="Tabladecuadrcula1clara-nfasis124">
    <w:name w:val="Tabla de cuadrícula 1 clara - Énfasis 124"/>
    <w:basedOn w:val="Tablanormal"/>
    <w:uiPriority w:val="46"/>
    <w:rsid w:val="00CA0B77"/>
    <w:rPr>
      <w:sz w:val="22"/>
      <w:szCs w:val="22"/>
      <w:lang w:eastAsia="en-US"/>
    </w:rPr>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customStyle="1" w:styleId="Tabladecuadrcula5oscura-nfasis124">
    <w:name w:val="Tabla de cuadrícula 5 oscura - Énfasis 124"/>
    <w:basedOn w:val="Tablanormal"/>
    <w:uiPriority w:val="50"/>
    <w:rsid w:val="00CA0B77"/>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4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tblPr/>
      <w:tcPr>
        <w:shd w:val="clear" w:color="auto" w:fill="D6EAAF"/>
      </w:tcPr>
    </w:tblStylePr>
    <w:tblStylePr w:type="band1Horz">
      <w:tblPr/>
      <w:tcPr>
        <w:shd w:val="clear" w:color="auto" w:fill="D6EAAF"/>
      </w:tcPr>
    </w:tblStylePr>
  </w:style>
  <w:style w:type="table" w:customStyle="1" w:styleId="Tabladecuadrcula5oscura-nfasis614">
    <w:name w:val="Tabla de cuadrícula 5 oscura - Énfasis 614"/>
    <w:basedOn w:val="Tablanormal"/>
    <w:uiPriority w:val="50"/>
    <w:rsid w:val="00CA0B77"/>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4-nfasis634">
    <w:name w:val="Tabla de cuadrícula 4 - Énfasis 634"/>
    <w:basedOn w:val="Tablanormal"/>
    <w:uiPriority w:val="49"/>
    <w:rsid w:val="00CA0B77"/>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5">
    <w:name w:val="Tabla de lista 3 - Énfasis 615"/>
    <w:basedOn w:val="Tablanormal"/>
    <w:uiPriority w:val="48"/>
    <w:rsid w:val="00CA0B77"/>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2-nfasis624">
    <w:name w:val="Tabla de cuadrícula 2 - Énfasis 624"/>
    <w:basedOn w:val="Tablanormal"/>
    <w:uiPriority w:val="47"/>
    <w:rsid w:val="00CA0B77"/>
    <w:rPr>
      <w:rFonts w:eastAsia="Times New Roma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6concolores-nfasis614">
    <w:name w:val="Tabla de lista 6 con colores - Énfasis 614"/>
    <w:basedOn w:val="Tablanormal"/>
    <w:uiPriority w:val="51"/>
    <w:rsid w:val="00CA0B77"/>
    <w:rPr>
      <w:rFonts w:eastAsia="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3213">
    <w:name w:val="Tabla de cuadrícula 4 - Énfasis 3213"/>
    <w:basedOn w:val="Tablanormal"/>
    <w:uiPriority w:val="49"/>
    <w:rsid w:val="00CA0B7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6concolores113">
    <w:name w:val="Tabla de lista 6 con colores113"/>
    <w:basedOn w:val="Tablanormal"/>
    <w:uiPriority w:val="51"/>
    <w:rsid w:val="00CA0B77"/>
    <w:rPr>
      <w:rFonts w:eastAsia="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7concolores-nfasis6114">
    <w:name w:val="Tabla de lista 7 con colores - Énfasis 6114"/>
    <w:basedOn w:val="Tablanormal"/>
    <w:uiPriority w:val="52"/>
    <w:rsid w:val="00CA0B77"/>
    <w:rPr>
      <w:rFonts w:eastAsia="Times New Roman"/>
      <w:color w:val="08A4EE"/>
    </w:rPr>
    <w:tblPr>
      <w:tblStyleRowBandSize w:val="1"/>
      <w:tblStyleColBandSize w:val="1"/>
    </w:tblPr>
    <w:tblStylePr w:type="firstRow">
      <w:rPr>
        <w:rFonts w:ascii="Utsaah" w:eastAsia="Times New Roman" w:hAnsi="Utsaah" w:cs="Times New Roman"/>
        <w:i/>
        <w:iCs/>
        <w:sz w:val="26"/>
      </w:rPr>
      <w:tblPr/>
      <w:tcPr>
        <w:tcBorders>
          <w:bottom w:val="single" w:sz="4" w:space="0" w:color="51C3F9"/>
        </w:tcBorders>
        <w:shd w:val="clear" w:color="auto" w:fill="FFFFFF"/>
      </w:tcPr>
    </w:tblStylePr>
    <w:tblStylePr w:type="lastRow">
      <w:rPr>
        <w:rFonts w:ascii="Utsaah" w:eastAsia="Times New Roman" w:hAnsi="Utsaah" w:cs="Times New Roman"/>
        <w:i/>
        <w:iCs/>
        <w:sz w:val="26"/>
      </w:rPr>
      <w:tblPr/>
      <w:tcPr>
        <w:tcBorders>
          <w:top w:val="single" w:sz="4" w:space="0" w:color="51C3F9"/>
        </w:tcBorders>
        <w:shd w:val="clear" w:color="auto" w:fill="FFFFFF"/>
      </w:tcPr>
    </w:tblStylePr>
    <w:tblStylePr w:type="firstCol">
      <w:pPr>
        <w:jc w:val="right"/>
      </w:pPr>
      <w:rPr>
        <w:rFonts w:ascii="Utsaah" w:eastAsia="Times New Roman" w:hAnsi="Utsaah" w:cs="Times New Roman"/>
        <w:i/>
        <w:iCs/>
        <w:sz w:val="26"/>
      </w:rPr>
      <w:tblPr/>
      <w:tcPr>
        <w:tcBorders>
          <w:right w:val="single" w:sz="4" w:space="0" w:color="51C3F9"/>
        </w:tcBorders>
        <w:shd w:val="clear" w:color="auto" w:fill="FFFFFF"/>
      </w:tcPr>
    </w:tblStylePr>
    <w:tblStylePr w:type="lastCol">
      <w:rPr>
        <w:rFonts w:ascii="Utsaah" w:eastAsia="Times New Roman" w:hAnsi="Utsaah"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a-nfasis1213">
    <w:name w:val="Tabla de cuadrícula 1 clara - Énfasis 1213"/>
    <w:basedOn w:val="Tablanormal"/>
    <w:uiPriority w:val="46"/>
    <w:rsid w:val="00CA0B77"/>
    <w:rPr>
      <w:sz w:val="22"/>
      <w:szCs w:val="22"/>
      <w:lang w:eastAsia="en-US"/>
    </w:rPr>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customStyle="1" w:styleId="Tabladecuadrcula5oscura-nfasis1213">
    <w:name w:val="Tabla de cuadrícula 5 oscura - Énfasis 1213"/>
    <w:basedOn w:val="Tablanormal"/>
    <w:uiPriority w:val="50"/>
    <w:rsid w:val="00CA0B77"/>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4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tblPr/>
      <w:tcPr>
        <w:shd w:val="clear" w:color="auto" w:fill="D6EAAF"/>
      </w:tcPr>
    </w:tblStylePr>
    <w:tblStylePr w:type="band1Horz">
      <w:tblPr/>
      <w:tcPr>
        <w:shd w:val="clear" w:color="auto" w:fill="D6EAAF"/>
      </w:tcPr>
    </w:tblStylePr>
  </w:style>
  <w:style w:type="table" w:customStyle="1" w:styleId="Tabladecuadrcula5oscura-nfasis6113">
    <w:name w:val="Tabla de cuadrícula 5 oscura - Énfasis 6113"/>
    <w:basedOn w:val="Tablanormal"/>
    <w:uiPriority w:val="50"/>
    <w:rsid w:val="00CA0B77"/>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4-nfasis6313">
    <w:name w:val="Tabla de cuadrícula 4 - Énfasis 6313"/>
    <w:basedOn w:val="Tablanormal"/>
    <w:uiPriority w:val="49"/>
    <w:rsid w:val="00CA0B77"/>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23">
    <w:name w:val="Tabla de lista 3 - Énfasis 6123"/>
    <w:basedOn w:val="Tablanormal"/>
    <w:uiPriority w:val="48"/>
    <w:rsid w:val="00CA0B77"/>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2-nfasis6213">
    <w:name w:val="Tabla de cuadrícula 2 - Énfasis 6213"/>
    <w:basedOn w:val="Tablanormal"/>
    <w:uiPriority w:val="47"/>
    <w:rsid w:val="00CA0B77"/>
    <w:rPr>
      <w:rFonts w:eastAsia="Times New Roma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6concolores-nfasis6113">
    <w:name w:val="Tabla de lista 6 con colores - Énfasis 6113"/>
    <w:basedOn w:val="Tablanormal"/>
    <w:uiPriority w:val="51"/>
    <w:rsid w:val="00CA0B77"/>
    <w:rPr>
      <w:rFonts w:eastAsia="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4-nfasis613">
    <w:name w:val="Tabla de lista 4 - Énfasis 613"/>
    <w:basedOn w:val="Tablanormal"/>
    <w:uiPriority w:val="49"/>
    <w:rsid w:val="00CA0B77"/>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3">
    <w:name w:val="Tabla con cuadrícula23"/>
    <w:basedOn w:val="Tablanormal"/>
    <w:next w:val="Tablaconcuadrcula"/>
    <w:uiPriority w:val="59"/>
    <w:rsid w:val="00CA0B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3-nfasis6113">
    <w:name w:val="Tabla de lista 3 - Énfasis 6113"/>
    <w:basedOn w:val="Tablanormal"/>
    <w:uiPriority w:val="48"/>
    <w:rsid w:val="00CA0B77"/>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Sinlista22">
    <w:name w:val="Sin lista22"/>
    <w:next w:val="Sinlista"/>
    <w:uiPriority w:val="99"/>
    <w:semiHidden/>
    <w:unhideWhenUsed/>
    <w:rsid w:val="00CA0B77"/>
  </w:style>
  <w:style w:type="table" w:customStyle="1" w:styleId="Tablaconcuadrcula32">
    <w:name w:val="Tabla con cuadrícula32"/>
    <w:basedOn w:val="Tablanormal"/>
    <w:next w:val="Tablaconcuadrcula"/>
    <w:uiPriority w:val="59"/>
    <w:rsid w:val="00CA0B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2-nfasis3122">
    <w:name w:val="Tabla de cuadrícula 2 - Énfasis 3122"/>
    <w:basedOn w:val="Tablanormal"/>
    <w:uiPriority w:val="47"/>
    <w:rsid w:val="00CA0B77"/>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1112">
    <w:name w:val="Tabla de cuadrícula 2 - Énfasis 31112"/>
    <w:basedOn w:val="Tablanormal"/>
    <w:uiPriority w:val="47"/>
    <w:rsid w:val="00CA0B77"/>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6112">
    <w:name w:val="Tabla de cuadrícula 1 clara - Énfasis 6112"/>
    <w:basedOn w:val="Tablanormal"/>
    <w:uiPriority w:val="46"/>
    <w:rsid w:val="00CA0B77"/>
    <w:rPr>
      <w:rFonts w:asciiTheme="minorHAnsi" w:eastAsiaTheme="minorHAnsi" w:hAnsiTheme="minorHAnsi" w:cstheme="minorBidi"/>
      <w:sz w:val="22"/>
      <w:szCs w:val="22"/>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4-nfasis6112">
    <w:name w:val="Tabla de cuadrícula 4 - Énfasis 6112"/>
    <w:basedOn w:val="Tablanormal"/>
    <w:uiPriority w:val="49"/>
    <w:rsid w:val="00CA0B77"/>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3222">
    <w:name w:val="Tabla de cuadrícula 2 - Énfasis 3222"/>
    <w:basedOn w:val="Tablanormal"/>
    <w:uiPriority w:val="47"/>
    <w:rsid w:val="00CA0B77"/>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2112">
    <w:name w:val="Tabla de cuadrícula 2 - Énfasis 32112"/>
    <w:basedOn w:val="Tablanormal"/>
    <w:uiPriority w:val="47"/>
    <w:rsid w:val="00CA0B77"/>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3-nfasis1112">
    <w:name w:val="Tabla de lista 3 - Énfasis 1112"/>
    <w:basedOn w:val="Tablanormal"/>
    <w:uiPriority w:val="48"/>
    <w:rsid w:val="00CA0B77"/>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cuadrcula1clara-nfasis1112">
    <w:name w:val="Tabla de cuadrícula 1 clara - Énfasis 1112"/>
    <w:basedOn w:val="Tablanormal"/>
    <w:uiPriority w:val="46"/>
    <w:rsid w:val="00CA0B77"/>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2-nfasis6112">
    <w:name w:val="Tabla de cuadrícula 2 - Énfasis 6112"/>
    <w:basedOn w:val="Tablanormal"/>
    <w:uiPriority w:val="47"/>
    <w:rsid w:val="00CA0B77"/>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aclara-nfasis612">
    <w:name w:val="Lista clara - Énfasis 612"/>
    <w:basedOn w:val="Tablanormal"/>
    <w:next w:val="Listaclara-nfasis6"/>
    <w:uiPriority w:val="61"/>
    <w:rsid w:val="00CA0B77"/>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staclara-nfasis112">
    <w:name w:val="Lista clara - Énfasis 112"/>
    <w:basedOn w:val="Tablanormal"/>
    <w:next w:val="Listaclara-nfasis1"/>
    <w:uiPriority w:val="61"/>
    <w:rsid w:val="00CA0B7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adecuadrcula3-nfasis3122">
    <w:name w:val="Tabla de cuadrícula 3 - Énfasis 3122"/>
    <w:basedOn w:val="Tablanormal"/>
    <w:uiPriority w:val="48"/>
    <w:rsid w:val="00CA0B7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22">
    <w:name w:val="Tabla de cuadrícula 5 oscura - Énfasis 1122"/>
    <w:basedOn w:val="Tablanormal"/>
    <w:uiPriority w:val="50"/>
    <w:rsid w:val="00CA0B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Cuadrculamedia3-nfasis312">
    <w:name w:val="Cuadrícula media 3 - Énfasis 312"/>
    <w:basedOn w:val="Tablanormal"/>
    <w:next w:val="Cuadrculamedia3-nfasis3"/>
    <w:uiPriority w:val="69"/>
    <w:rsid w:val="00CA0B77"/>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Cuadrculaclara-nfasis322">
    <w:name w:val="Cuadrícula clara - Énfasis 322"/>
    <w:basedOn w:val="Tablanormal"/>
    <w:next w:val="Cuadrculaclara-nfasis3"/>
    <w:uiPriority w:val="62"/>
    <w:rsid w:val="00CA0B77"/>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claro12">
    <w:name w:val="Sombreado claro12"/>
    <w:basedOn w:val="Tablanormal"/>
    <w:next w:val="Sombreadoclaro"/>
    <w:uiPriority w:val="60"/>
    <w:rsid w:val="00CA0B77"/>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decuadrcula3-nfasis31112">
    <w:name w:val="Tabla de cuadrícula 3 - Énfasis 31112"/>
    <w:basedOn w:val="Tablanormal"/>
    <w:uiPriority w:val="48"/>
    <w:rsid w:val="00CA0B7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112">
    <w:name w:val="Tabla de cuadrícula 5 oscura - Énfasis 11112"/>
    <w:basedOn w:val="Tablanormal"/>
    <w:uiPriority w:val="50"/>
    <w:rsid w:val="00CA0B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4-nfasis6212">
    <w:name w:val="Tabla de cuadrícula 4 - Énfasis 6212"/>
    <w:basedOn w:val="Tablanormal"/>
    <w:uiPriority w:val="49"/>
    <w:rsid w:val="00CA0B77"/>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Cuadrculamedia1-nfasis312">
    <w:name w:val="Cuadrícula media 1 - Énfasis 312"/>
    <w:basedOn w:val="Tablanormal"/>
    <w:next w:val="Cuadrculamedia1-nfasis3"/>
    <w:uiPriority w:val="67"/>
    <w:rsid w:val="00CA0B7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numbering" w:customStyle="1" w:styleId="Sinlista112">
    <w:name w:val="Sin lista112"/>
    <w:next w:val="Sinlista"/>
    <w:uiPriority w:val="99"/>
    <w:semiHidden/>
    <w:unhideWhenUsed/>
    <w:rsid w:val="00CA0B77"/>
  </w:style>
  <w:style w:type="table" w:customStyle="1" w:styleId="Tabladecuadrcula4-nfasis3112">
    <w:name w:val="Tabla de cuadrícula 4 - Énfasis 3112"/>
    <w:basedOn w:val="Tablanormal"/>
    <w:uiPriority w:val="49"/>
    <w:rsid w:val="00CA0B77"/>
    <w:rPr>
      <w:lang w:eastAsia="es-ES_tradn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3112">
    <w:name w:val="Tabla normal 3112"/>
    <w:basedOn w:val="Tablanormal"/>
    <w:uiPriority w:val="43"/>
    <w:rsid w:val="00CA0B77"/>
    <w:rPr>
      <w:lang w:eastAsia="es-ES_tradn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2112">
    <w:name w:val="Tabla normal 2112"/>
    <w:basedOn w:val="Tablanormal"/>
    <w:uiPriority w:val="42"/>
    <w:rsid w:val="00CA0B77"/>
    <w:rPr>
      <w:lang w:eastAsia="es-ES_tradn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2112">
    <w:name w:val="Tabla de cuadrícula 2112"/>
    <w:basedOn w:val="Tablanormal"/>
    <w:uiPriority w:val="47"/>
    <w:rsid w:val="00CA0B77"/>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vistosa-nfasis122">
    <w:name w:val="Lista vistosa - Énfasis 122"/>
    <w:basedOn w:val="Tablanormal"/>
    <w:next w:val="Listavistosa-nfasis1"/>
    <w:uiPriority w:val="34"/>
    <w:unhideWhenUsed/>
    <w:rsid w:val="00CA0B77"/>
    <w:rPr>
      <w:sz w:val="22"/>
      <w:szCs w:val="22"/>
      <w:lang w:val="es-MX"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adelista1clara112">
    <w:name w:val="Tabla de lista 1 clara112"/>
    <w:basedOn w:val="Tablanormal"/>
    <w:uiPriority w:val="46"/>
    <w:rsid w:val="00CA0B77"/>
    <w:rPr>
      <w:lang w:eastAsia="es-ES_trad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2">
    <w:name w:val="Tabla de cuadrícula 6 con colores112"/>
    <w:basedOn w:val="Tablanormal"/>
    <w:uiPriority w:val="51"/>
    <w:rsid w:val="00CA0B77"/>
    <w:rPr>
      <w:color w:val="000000" w:themeColor="text1"/>
      <w:lang w:eastAsia="es-ES_trad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aclara-nfasis312">
    <w:name w:val="Lista clara - Énfasis 312"/>
    <w:basedOn w:val="Tablanormal"/>
    <w:next w:val="Listaclara-nfasis3"/>
    <w:uiPriority w:val="61"/>
    <w:rsid w:val="00CA0B7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delista3-nfasis3112">
    <w:name w:val="Tabla de lista 3 - Énfasis 3112"/>
    <w:basedOn w:val="Tablanormal"/>
    <w:uiPriority w:val="48"/>
    <w:rsid w:val="00CA0B77"/>
    <w:rPr>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6concolores-nfasis3112">
    <w:name w:val="Tabla de cuadrícula 6 con colores - Énfasis 3112"/>
    <w:basedOn w:val="Tablanormal"/>
    <w:uiPriority w:val="51"/>
    <w:rsid w:val="00CA0B77"/>
    <w:rPr>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Cuadrculamedia1-nfasis512">
    <w:name w:val="Cuadrícula media 1 - Énfasis 512"/>
    <w:basedOn w:val="Tablanormal"/>
    <w:next w:val="Cuadrculamedia1-nfasis5"/>
    <w:uiPriority w:val="67"/>
    <w:rsid w:val="00CA0B77"/>
    <w:rPr>
      <w:rFonts w:asciiTheme="minorHAnsi" w:eastAsiaTheme="minorEastAsia" w:hAnsiTheme="minorHAnsi" w:cstheme="minorBidi"/>
      <w:sz w:val="24"/>
      <w:szCs w:val="24"/>
      <w:lang w:val="es-ES_tradnl" w:eastAsia="es-E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Sombreadomedio1-nfasis412">
    <w:name w:val="Sombreado medio 1 - Énfasis 412"/>
    <w:basedOn w:val="Tablanormal"/>
    <w:next w:val="Sombreadomedio1-nfasis4"/>
    <w:uiPriority w:val="63"/>
    <w:rsid w:val="00CA0B77"/>
    <w:rPr>
      <w:rFonts w:asciiTheme="minorHAnsi" w:eastAsiaTheme="minorEastAsia" w:hAnsiTheme="minorHAnsi" w:cstheme="minorBidi"/>
      <w:sz w:val="24"/>
      <w:szCs w:val="24"/>
      <w:lang w:val="es-ES_tradnl" w:eastAsia="es-E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Sombreadomedio1-nfasis612">
    <w:name w:val="Sombreado medio 1 - Énfasis 612"/>
    <w:basedOn w:val="Tablanormal"/>
    <w:next w:val="Sombreadomedio1-nfasis6"/>
    <w:uiPriority w:val="63"/>
    <w:rsid w:val="00CA0B77"/>
    <w:rPr>
      <w:rFonts w:asciiTheme="minorHAnsi" w:eastAsiaTheme="minorEastAsia" w:hAnsiTheme="minorHAnsi" w:cstheme="minorBidi"/>
      <w:sz w:val="24"/>
      <w:szCs w:val="24"/>
      <w:lang w:val="es-ES_tradnl" w:eastAsia="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Listaclara12">
    <w:name w:val="Lista clara12"/>
    <w:basedOn w:val="Tablanormal"/>
    <w:next w:val="Listaclara"/>
    <w:uiPriority w:val="61"/>
    <w:rsid w:val="00CA0B77"/>
    <w:rPr>
      <w:rFonts w:asciiTheme="minorHAnsi" w:eastAsiaTheme="minorEastAsia" w:hAnsiTheme="minorHAnsi" w:cstheme="minorBidi"/>
      <w:sz w:val="24"/>
      <w:szCs w:val="24"/>
      <w:lang w:val="es-ES_tradnl"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4-nfasis3222">
    <w:name w:val="Tabla de cuadrícula 4 - Énfasis 3222"/>
    <w:basedOn w:val="Tablanormal"/>
    <w:uiPriority w:val="49"/>
    <w:rsid w:val="00CA0B7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Sombreadomedio2-nfasis312">
    <w:name w:val="Sombreado medio 2 - Énfasis 312"/>
    <w:basedOn w:val="Tablanormal"/>
    <w:next w:val="Sombreadomedio2-nfasis3"/>
    <w:uiPriority w:val="64"/>
    <w:rsid w:val="00CA0B77"/>
    <w:rPr>
      <w:rFonts w:ascii="Arial" w:eastAsia="Times New Roman" w:hAnsi="Arial"/>
      <w:lang w:val="es-ES_trad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2">
    <w:name w:val="Lista media 1112"/>
    <w:basedOn w:val="Tablanormal"/>
    <w:uiPriority w:val="65"/>
    <w:rsid w:val="00CA0B77"/>
    <w:rPr>
      <w:rFonts w:ascii="Arial" w:eastAsia="Times New Roman" w:hAnsi="Arial"/>
      <w:color w:val="000000"/>
      <w:lang w:val="es-ES_tradnl"/>
    </w:rPr>
    <w:tblPr>
      <w:tblStyleRowBandSize w:val="1"/>
      <w:tblStyleColBandSize w:val="1"/>
      <w:tblBorders>
        <w:top w:val="single" w:sz="8" w:space="0" w:color="000000"/>
        <w:bottom w:val="single" w:sz="8" w:space="0" w:color="000000"/>
      </w:tblBorders>
    </w:tblPr>
    <w:tblStylePr w:type="firstRow">
      <w:rPr>
        <w:rFonts w:ascii="Cambria Math" w:eastAsia="Times New Roman" w:hAnsi="Cambria Math"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adelista6concolores122">
    <w:name w:val="Tabla de lista 6 con colores122"/>
    <w:basedOn w:val="Tablanormal"/>
    <w:uiPriority w:val="51"/>
    <w:rsid w:val="00CA0B77"/>
    <w:rPr>
      <w:rFonts w:eastAsia="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12">
    <w:name w:val="Tabla con cuadrícula112"/>
    <w:basedOn w:val="Tablanormal"/>
    <w:next w:val="Tablaconcuadrcula"/>
    <w:uiPriority w:val="59"/>
    <w:rsid w:val="00CA0B7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6122">
    <w:name w:val="Tabla de lista 7 con colores - Énfasis 6122"/>
    <w:basedOn w:val="Tablanormal"/>
    <w:uiPriority w:val="52"/>
    <w:rsid w:val="00CA0B77"/>
    <w:rPr>
      <w:rFonts w:eastAsia="Times New Roman"/>
      <w:color w:val="08A4EE"/>
    </w:rPr>
    <w:tblPr>
      <w:tblStyleRowBandSize w:val="1"/>
      <w:tblStyleColBandSize w:val="1"/>
    </w:tblPr>
    <w:tblStylePr w:type="firstRow">
      <w:rPr>
        <w:rFonts w:ascii="Utsaah" w:eastAsia="Times New Roman" w:hAnsi="Utsaah" w:cs="Times New Roman"/>
        <w:i/>
        <w:iCs/>
        <w:sz w:val="26"/>
      </w:rPr>
      <w:tblPr/>
      <w:tcPr>
        <w:tcBorders>
          <w:bottom w:val="single" w:sz="4" w:space="0" w:color="51C3F9"/>
        </w:tcBorders>
        <w:shd w:val="clear" w:color="auto" w:fill="FFFFFF"/>
      </w:tcPr>
    </w:tblStylePr>
    <w:tblStylePr w:type="lastRow">
      <w:rPr>
        <w:rFonts w:ascii="Utsaah" w:eastAsia="Times New Roman" w:hAnsi="Utsaah" w:cs="Times New Roman"/>
        <w:i/>
        <w:iCs/>
        <w:sz w:val="26"/>
      </w:rPr>
      <w:tblPr/>
      <w:tcPr>
        <w:tcBorders>
          <w:top w:val="single" w:sz="4" w:space="0" w:color="51C3F9"/>
        </w:tcBorders>
        <w:shd w:val="clear" w:color="auto" w:fill="FFFFFF"/>
      </w:tcPr>
    </w:tblStylePr>
    <w:tblStylePr w:type="firstCol">
      <w:pPr>
        <w:jc w:val="right"/>
      </w:pPr>
      <w:rPr>
        <w:rFonts w:ascii="Utsaah" w:eastAsia="Times New Roman" w:hAnsi="Utsaah" w:cs="Times New Roman"/>
        <w:i/>
        <w:iCs/>
        <w:sz w:val="26"/>
      </w:rPr>
      <w:tblPr/>
      <w:tcPr>
        <w:tcBorders>
          <w:right w:val="single" w:sz="4" w:space="0" w:color="51C3F9"/>
        </w:tcBorders>
        <w:shd w:val="clear" w:color="auto" w:fill="FFFFFF"/>
      </w:tcPr>
    </w:tblStylePr>
    <w:tblStylePr w:type="lastCol">
      <w:rPr>
        <w:rFonts w:ascii="Utsaah" w:eastAsia="Times New Roman" w:hAnsi="Utsaah"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o-nfasis2112">
    <w:name w:val="Tabla de cuadrícula 1 Claro-Énfasis 2112"/>
    <w:basedOn w:val="Tablanormal"/>
    <w:uiPriority w:val="46"/>
    <w:rsid w:val="00CA0B77"/>
    <w:rPr>
      <w:sz w:val="22"/>
      <w:szCs w:val="22"/>
      <w:lang w:eastAsia="en-US"/>
    </w:rPr>
    <w:tblPr>
      <w:tblStyleRowBandSize w:val="1"/>
      <w:tblStyleColBandSize w:val="1"/>
      <w:tblBorders>
        <w:top w:val="single" w:sz="4" w:space="0" w:color="BFE2A8"/>
        <w:left w:val="single" w:sz="4" w:space="0" w:color="BFE2A8"/>
        <w:bottom w:val="single" w:sz="4" w:space="0" w:color="BFE2A8"/>
        <w:right w:val="single" w:sz="4" w:space="0" w:color="BFE2A8"/>
        <w:insideH w:val="single" w:sz="4" w:space="0" w:color="BFE2A8"/>
        <w:insideV w:val="single" w:sz="4" w:space="0" w:color="BFE2A8"/>
      </w:tblBorders>
    </w:tblPr>
    <w:tblStylePr w:type="firstRow">
      <w:rPr>
        <w:b/>
        <w:bCs/>
      </w:rPr>
      <w:tblPr/>
      <w:tcPr>
        <w:tcBorders>
          <w:bottom w:val="single" w:sz="12" w:space="0" w:color="9FD37C"/>
        </w:tcBorders>
      </w:tcPr>
    </w:tblStylePr>
    <w:tblStylePr w:type="lastRow">
      <w:rPr>
        <w:b/>
        <w:bCs/>
      </w:rPr>
      <w:tblPr/>
      <w:tcPr>
        <w:tcBorders>
          <w:top w:val="double" w:sz="2" w:space="0" w:color="9FD37C"/>
        </w:tcBorders>
      </w:tcPr>
    </w:tblStylePr>
    <w:tblStylePr w:type="firstCol">
      <w:rPr>
        <w:b/>
        <w:bCs/>
      </w:rPr>
    </w:tblStylePr>
    <w:tblStylePr w:type="lastCol">
      <w:rPr>
        <w:b/>
        <w:bCs/>
      </w:rPr>
    </w:tblStylePr>
  </w:style>
  <w:style w:type="table" w:customStyle="1" w:styleId="Tabladecuadrcula1clara-nfasis61120">
    <w:name w:val="Tabla de cuadrícula 1 clara-Énfasis 6112"/>
    <w:basedOn w:val="Tablanormal"/>
    <w:uiPriority w:val="46"/>
    <w:rsid w:val="00CA0B77"/>
    <w:rPr>
      <w:sz w:val="22"/>
      <w:szCs w:val="22"/>
      <w:lang w:eastAsia="en-US"/>
    </w:rPr>
    <w:tblPr>
      <w:tblStyleRowBandSize w:val="1"/>
      <w:tblStyleColBandSize w:val="1"/>
      <w:tblBorders>
        <w:top w:val="single" w:sz="4" w:space="0" w:color="B9E7FC"/>
        <w:left w:val="single" w:sz="4" w:space="0" w:color="B9E7FC"/>
        <w:bottom w:val="single" w:sz="4" w:space="0" w:color="B9E7FC"/>
        <w:right w:val="single" w:sz="4" w:space="0" w:color="B9E7FC"/>
        <w:insideH w:val="single" w:sz="4" w:space="0" w:color="B9E7FC"/>
        <w:insideV w:val="single" w:sz="4" w:space="0" w:color="B9E7FC"/>
      </w:tblBorders>
    </w:tblPr>
    <w:tblStylePr w:type="firstRow">
      <w:rPr>
        <w:b/>
        <w:bCs/>
      </w:rPr>
      <w:tblPr/>
      <w:tcPr>
        <w:tcBorders>
          <w:bottom w:val="single" w:sz="12" w:space="0" w:color="96DBFB"/>
        </w:tcBorders>
      </w:tcPr>
    </w:tblStylePr>
    <w:tblStylePr w:type="lastRow">
      <w:rPr>
        <w:b/>
        <w:bCs/>
      </w:rPr>
      <w:tblPr/>
      <w:tcPr>
        <w:tcBorders>
          <w:top w:val="double" w:sz="2" w:space="0" w:color="96DBFB"/>
        </w:tcBorders>
      </w:tcPr>
    </w:tblStylePr>
    <w:tblStylePr w:type="firstCol">
      <w:rPr>
        <w:b/>
        <w:bCs/>
      </w:rPr>
    </w:tblStylePr>
    <w:tblStylePr w:type="lastCol">
      <w:rPr>
        <w:b/>
        <w:bCs/>
      </w:rPr>
    </w:tblStylePr>
  </w:style>
  <w:style w:type="table" w:customStyle="1" w:styleId="Tabladecuadrcula4-nfasis61120">
    <w:name w:val="Tabla de cuadrícula 4-Énfasis 6112"/>
    <w:basedOn w:val="Tablanormal"/>
    <w:uiPriority w:val="49"/>
    <w:rsid w:val="00CA0B77"/>
    <w:rPr>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color w:val="FFFFFF"/>
      </w:rPr>
      <w:tblPr/>
      <w:tcPr>
        <w:tcBorders>
          <w:top w:val="single" w:sz="4" w:space="0" w:color="51C3F9"/>
          <w:left w:val="single" w:sz="4" w:space="0" w:color="51C3F9"/>
          <w:bottom w:val="single" w:sz="4" w:space="0" w:color="51C3F9"/>
          <w:right w:val="single" w:sz="4" w:space="0" w:color="51C3F9"/>
          <w:insideH w:val="nil"/>
          <w:insideV w:val="nil"/>
        </w:tcBorders>
        <w:shd w:val="clear" w:color="auto" w:fill="51C3F9"/>
      </w:tcPr>
    </w:tblStylePr>
    <w:tblStylePr w:type="lastRow">
      <w:rPr>
        <w:b/>
        <w:bCs/>
      </w:rPr>
      <w:tblPr/>
      <w:tcPr>
        <w:tcBorders>
          <w:top w:val="double" w:sz="4" w:space="0" w:color="51C3F9"/>
        </w:tcBorders>
      </w:tcPr>
    </w:tblStylePr>
    <w:tblStylePr w:type="firstCol">
      <w:rPr>
        <w:b/>
        <w:bCs/>
      </w:rPr>
    </w:tblStylePr>
    <w:tblStylePr w:type="lastCol">
      <w:rPr>
        <w:b/>
        <w:bCs/>
      </w:rPr>
    </w:tblStylePr>
    <w:tblStylePr w:type="band1Vert">
      <w:tblPr/>
      <w:tcPr>
        <w:shd w:val="clear" w:color="auto" w:fill="DCF3FD"/>
      </w:tcPr>
    </w:tblStylePr>
    <w:tblStylePr w:type="band1Horz">
      <w:tblPr/>
      <w:tcPr>
        <w:shd w:val="clear" w:color="auto" w:fill="DCF3FD"/>
      </w:tcPr>
    </w:tblStylePr>
  </w:style>
  <w:style w:type="table" w:customStyle="1" w:styleId="Tabladecuadrcula3-nfasis6112">
    <w:name w:val="Tabla de cuadrícula 3 - Énfasis 6112"/>
    <w:basedOn w:val="Tablanormal"/>
    <w:uiPriority w:val="48"/>
    <w:rsid w:val="00CA0B77"/>
    <w:rPr>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bottom w:val="single" w:sz="4" w:space="0" w:color="96DBFB"/>
        </w:tcBorders>
      </w:tcPr>
    </w:tblStylePr>
    <w:tblStylePr w:type="nwCell">
      <w:tblPr/>
      <w:tcPr>
        <w:tcBorders>
          <w:bottom w:val="single" w:sz="4" w:space="0" w:color="96DBFB"/>
        </w:tcBorders>
      </w:tcPr>
    </w:tblStylePr>
    <w:tblStylePr w:type="seCell">
      <w:tblPr/>
      <w:tcPr>
        <w:tcBorders>
          <w:top w:val="single" w:sz="4" w:space="0" w:color="96DBFB"/>
        </w:tcBorders>
      </w:tcPr>
    </w:tblStylePr>
    <w:tblStylePr w:type="swCell">
      <w:tblPr/>
      <w:tcPr>
        <w:tcBorders>
          <w:top w:val="single" w:sz="4" w:space="0" w:color="96DBFB"/>
        </w:tcBorders>
      </w:tcPr>
    </w:tblStylePr>
  </w:style>
  <w:style w:type="table" w:customStyle="1" w:styleId="Cuadrculaclara-nfasis412">
    <w:name w:val="Cuadrícula clara - Énfasis 412"/>
    <w:basedOn w:val="Tablanormal"/>
    <w:next w:val="Cuadrculaclara-nfasis4"/>
    <w:uiPriority w:val="62"/>
    <w:rsid w:val="00CA0B77"/>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Utsaah" w:eastAsia="Times New Roman" w:hAnsi="Utsaah"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Utsaah" w:eastAsia="Times New Roman" w:hAnsi="Utsaah"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Utsaah" w:eastAsia="Times New Roman" w:hAnsi="Utsaah" w:cs="Times New Roman"/>
        <w:b/>
        <w:bCs/>
      </w:rPr>
    </w:tblStylePr>
    <w:tblStylePr w:type="lastCol">
      <w:rPr>
        <w:rFonts w:ascii="Utsaah" w:eastAsia="Times New Roman" w:hAnsi="Utsaah"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cuadrcula7concolores-nfasis6112">
    <w:name w:val="Tabla de cuadrícula 7 con colores - Énfasis 6112"/>
    <w:basedOn w:val="Tablanormal"/>
    <w:uiPriority w:val="52"/>
    <w:rsid w:val="00CA0B77"/>
    <w:rPr>
      <w:color w:val="08A4EE"/>
      <w:sz w:val="22"/>
      <w:szCs w:val="22"/>
      <w:lang w:eastAsia="en-US"/>
    </w:rPr>
    <w:tblPr>
      <w:tblStyleRowBandSize w:val="1"/>
      <w:tblStyleColBandSize w:val="1"/>
      <w:tblBorders>
        <w:top w:val="single" w:sz="4" w:space="0" w:color="96DBFB"/>
        <w:left w:val="single" w:sz="4" w:space="0" w:color="96DBFB"/>
        <w:bottom w:val="single" w:sz="4" w:space="0" w:color="96DBFB"/>
        <w:right w:val="single" w:sz="4" w:space="0" w:color="96DBFB"/>
        <w:insideH w:val="single" w:sz="4" w:space="0" w:color="96DBFB"/>
        <w:insideV w:val="single" w:sz="4" w:space="0" w:color="96DBF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bottom w:val="single" w:sz="4" w:space="0" w:color="96DBFB"/>
        </w:tcBorders>
      </w:tcPr>
    </w:tblStylePr>
    <w:tblStylePr w:type="nwCell">
      <w:tblPr/>
      <w:tcPr>
        <w:tcBorders>
          <w:bottom w:val="single" w:sz="4" w:space="0" w:color="96DBFB"/>
        </w:tcBorders>
      </w:tcPr>
    </w:tblStylePr>
    <w:tblStylePr w:type="seCell">
      <w:tblPr/>
      <w:tcPr>
        <w:tcBorders>
          <w:top w:val="single" w:sz="4" w:space="0" w:color="96DBFB"/>
        </w:tcBorders>
      </w:tcPr>
    </w:tblStylePr>
    <w:tblStylePr w:type="swCell">
      <w:tblPr/>
      <w:tcPr>
        <w:tcBorders>
          <w:top w:val="single" w:sz="4" w:space="0" w:color="96DBFB"/>
        </w:tcBorders>
      </w:tcPr>
    </w:tblStylePr>
  </w:style>
  <w:style w:type="table" w:customStyle="1" w:styleId="Tabladecuadrcula1clara-nfasis1222">
    <w:name w:val="Tabla de cuadrícula 1 clara - Énfasis 1222"/>
    <w:basedOn w:val="Tablanormal"/>
    <w:uiPriority w:val="46"/>
    <w:rsid w:val="00CA0B77"/>
    <w:rPr>
      <w:sz w:val="22"/>
      <w:szCs w:val="22"/>
      <w:lang w:eastAsia="en-US"/>
    </w:rPr>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customStyle="1" w:styleId="Tabladecuadrcula5oscura-nfasis1222">
    <w:name w:val="Tabla de cuadrícula 5 oscura - Énfasis 1222"/>
    <w:basedOn w:val="Tablanormal"/>
    <w:uiPriority w:val="50"/>
    <w:rsid w:val="00CA0B77"/>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4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tblPr/>
      <w:tcPr>
        <w:shd w:val="clear" w:color="auto" w:fill="D6EAAF"/>
      </w:tcPr>
    </w:tblStylePr>
    <w:tblStylePr w:type="band1Horz">
      <w:tblPr/>
      <w:tcPr>
        <w:shd w:val="clear" w:color="auto" w:fill="D6EAAF"/>
      </w:tcPr>
    </w:tblStylePr>
  </w:style>
  <w:style w:type="table" w:customStyle="1" w:styleId="Tabladecuadrcula5oscura-nfasis6122">
    <w:name w:val="Tabla de cuadrícula 5 oscura - Énfasis 6122"/>
    <w:basedOn w:val="Tablanormal"/>
    <w:uiPriority w:val="50"/>
    <w:rsid w:val="00CA0B77"/>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4-nfasis6322">
    <w:name w:val="Tabla de cuadrícula 4 - Énfasis 6322"/>
    <w:basedOn w:val="Tablanormal"/>
    <w:uiPriority w:val="49"/>
    <w:rsid w:val="00CA0B77"/>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32">
    <w:name w:val="Tabla de lista 3 - Énfasis 6132"/>
    <w:basedOn w:val="Tablanormal"/>
    <w:uiPriority w:val="48"/>
    <w:rsid w:val="00CA0B77"/>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2-nfasis6222">
    <w:name w:val="Tabla de cuadrícula 2 - Énfasis 6222"/>
    <w:basedOn w:val="Tablanormal"/>
    <w:uiPriority w:val="47"/>
    <w:rsid w:val="00CA0B77"/>
    <w:rPr>
      <w:rFonts w:eastAsia="Times New Roma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6concolores-nfasis6122">
    <w:name w:val="Tabla de lista 6 con colores - Énfasis 6122"/>
    <w:basedOn w:val="Tablanormal"/>
    <w:uiPriority w:val="51"/>
    <w:rsid w:val="00CA0B77"/>
    <w:rPr>
      <w:rFonts w:eastAsia="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32112">
    <w:name w:val="Tabla de cuadrícula 4 - Énfasis 32112"/>
    <w:basedOn w:val="Tablanormal"/>
    <w:uiPriority w:val="49"/>
    <w:rsid w:val="00CA0B7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6concolores1112">
    <w:name w:val="Tabla de lista 6 con colores1112"/>
    <w:basedOn w:val="Tablanormal"/>
    <w:uiPriority w:val="51"/>
    <w:rsid w:val="00CA0B77"/>
    <w:rPr>
      <w:rFonts w:eastAsia="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7concolores-nfasis61112">
    <w:name w:val="Tabla de lista 7 con colores - Énfasis 61112"/>
    <w:basedOn w:val="Tablanormal"/>
    <w:uiPriority w:val="52"/>
    <w:rsid w:val="00CA0B77"/>
    <w:rPr>
      <w:rFonts w:eastAsia="Times New Roman"/>
      <w:color w:val="08A4EE"/>
    </w:rPr>
    <w:tblPr>
      <w:tblStyleRowBandSize w:val="1"/>
      <w:tblStyleColBandSize w:val="1"/>
    </w:tblPr>
    <w:tblStylePr w:type="firstRow">
      <w:rPr>
        <w:rFonts w:ascii="Utsaah" w:eastAsia="Times New Roman" w:hAnsi="Utsaah" w:cs="Times New Roman"/>
        <w:i/>
        <w:iCs/>
        <w:sz w:val="26"/>
      </w:rPr>
      <w:tblPr/>
      <w:tcPr>
        <w:tcBorders>
          <w:bottom w:val="single" w:sz="4" w:space="0" w:color="51C3F9"/>
        </w:tcBorders>
        <w:shd w:val="clear" w:color="auto" w:fill="FFFFFF"/>
      </w:tcPr>
    </w:tblStylePr>
    <w:tblStylePr w:type="lastRow">
      <w:rPr>
        <w:rFonts w:ascii="Utsaah" w:eastAsia="Times New Roman" w:hAnsi="Utsaah" w:cs="Times New Roman"/>
        <w:i/>
        <w:iCs/>
        <w:sz w:val="26"/>
      </w:rPr>
      <w:tblPr/>
      <w:tcPr>
        <w:tcBorders>
          <w:top w:val="single" w:sz="4" w:space="0" w:color="51C3F9"/>
        </w:tcBorders>
        <w:shd w:val="clear" w:color="auto" w:fill="FFFFFF"/>
      </w:tcPr>
    </w:tblStylePr>
    <w:tblStylePr w:type="firstCol">
      <w:pPr>
        <w:jc w:val="right"/>
      </w:pPr>
      <w:rPr>
        <w:rFonts w:ascii="Utsaah" w:eastAsia="Times New Roman" w:hAnsi="Utsaah" w:cs="Times New Roman"/>
        <w:i/>
        <w:iCs/>
        <w:sz w:val="26"/>
      </w:rPr>
      <w:tblPr/>
      <w:tcPr>
        <w:tcBorders>
          <w:right w:val="single" w:sz="4" w:space="0" w:color="51C3F9"/>
        </w:tcBorders>
        <w:shd w:val="clear" w:color="auto" w:fill="FFFFFF"/>
      </w:tcPr>
    </w:tblStylePr>
    <w:tblStylePr w:type="lastCol">
      <w:rPr>
        <w:rFonts w:ascii="Utsaah" w:eastAsia="Times New Roman" w:hAnsi="Utsaah"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a-nfasis12112">
    <w:name w:val="Tabla de cuadrícula 1 clara - Énfasis 12112"/>
    <w:basedOn w:val="Tablanormal"/>
    <w:uiPriority w:val="46"/>
    <w:rsid w:val="00CA0B77"/>
    <w:rPr>
      <w:sz w:val="22"/>
      <w:szCs w:val="22"/>
      <w:lang w:eastAsia="en-US"/>
    </w:rPr>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customStyle="1" w:styleId="Tabladecuadrcula5oscura-nfasis12112">
    <w:name w:val="Tabla de cuadrícula 5 oscura - Énfasis 12112"/>
    <w:basedOn w:val="Tablanormal"/>
    <w:uiPriority w:val="50"/>
    <w:rsid w:val="00CA0B77"/>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4D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tblPr/>
      <w:tcPr>
        <w:shd w:val="clear" w:color="auto" w:fill="D6EAAF"/>
      </w:tcPr>
    </w:tblStylePr>
    <w:tblStylePr w:type="band1Horz">
      <w:tblPr/>
      <w:tcPr>
        <w:shd w:val="clear" w:color="auto" w:fill="D6EAAF"/>
      </w:tcPr>
    </w:tblStylePr>
  </w:style>
  <w:style w:type="table" w:customStyle="1" w:styleId="Tabladecuadrcula5oscura-nfasis61112">
    <w:name w:val="Tabla de cuadrícula 5 oscura - Énfasis 61112"/>
    <w:basedOn w:val="Tablanormal"/>
    <w:uiPriority w:val="50"/>
    <w:rsid w:val="00CA0B77"/>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4-nfasis63112">
    <w:name w:val="Tabla de cuadrícula 4 - Énfasis 63112"/>
    <w:basedOn w:val="Tablanormal"/>
    <w:uiPriority w:val="49"/>
    <w:rsid w:val="00CA0B77"/>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212">
    <w:name w:val="Tabla de lista 3 - Énfasis 61212"/>
    <w:basedOn w:val="Tablanormal"/>
    <w:uiPriority w:val="48"/>
    <w:rsid w:val="00CA0B77"/>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2-nfasis62112">
    <w:name w:val="Tabla de cuadrícula 2 - Énfasis 62112"/>
    <w:basedOn w:val="Tablanormal"/>
    <w:uiPriority w:val="47"/>
    <w:rsid w:val="00CA0B77"/>
    <w:rPr>
      <w:rFonts w:eastAsia="Times New Roma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6concolores-nfasis61112">
    <w:name w:val="Tabla de lista 6 con colores - Énfasis 61112"/>
    <w:basedOn w:val="Tablanormal"/>
    <w:uiPriority w:val="51"/>
    <w:rsid w:val="00CA0B77"/>
    <w:rPr>
      <w:rFonts w:eastAsia="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4-nfasis6112">
    <w:name w:val="Tabla de lista 4 - Énfasis 6112"/>
    <w:basedOn w:val="Tablanormal"/>
    <w:uiPriority w:val="49"/>
    <w:rsid w:val="00CA0B77"/>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12">
    <w:name w:val="Tabla con cuadrícula212"/>
    <w:basedOn w:val="Tablanormal"/>
    <w:next w:val="Tablaconcuadrcula"/>
    <w:uiPriority w:val="59"/>
    <w:rsid w:val="00CA0B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3-nfasis61112">
    <w:name w:val="Tabla de lista 3 - Énfasis 61112"/>
    <w:basedOn w:val="Tablanormal"/>
    <w:uiPriority w:val="48"/>
    <w:rsid w:val="00CA0B77"/>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lista7concolores-nfasis6132">
    <w:name w:val="Tabla de lista 7 con colores - Énfasis 6132"/>
    <w:basedOn w:val="Tablanormal"/>
    <w:uiPriority w:val="52"/>
    <w:rsid w:val="00CA0B77"/>
    <w:rPr>
      <w:rFonts w:eastAsia="Times New Roman"/>
      <w:color w:val="08A4EE"/>
    </w:rPr>
    <w:tblPr>
      <w:tblStyleRowBandSize w:val="1"/>
      <w:tblStyleColBandSize w:val="1"/>
    </w:tblPr>
    <w:tblStylePr w:type="firstRow">
      <w:rPr>
        <w:rFonts w:ascii="Times" w:eastAsia="Times New Roman" w:hAnsi="Times" w:cs="Times New Roman"/>
        <w:i/>
        <w:iCs/>
        <w:sz w:val="26"/>
      </w:rPr>
      <w:tblPr/>
      <w:tcPr>
        <w:tcBorders>
          <w:bottom w:val="single" w:sz="4" w:space="0" w:color="51C3F9"/>
        </w:tcBorders>
        <w:shd w:val="clear" w:color="auto" w:fill="FFFFFF"/>
      </w:tcPr>
    </w:tblStylePr>
    <w:tblStylePr w:type="lastRow">
      <w:rPr>
        <w:rFonts w:ascii="Times" w:eastAsia="Times New Roman" w:hAnsi="Times" w:cs="Times New Roman"/>
        <w:i/>
        <w:iCs/>
        <w:sz w:val="26"/>
      </w:rPr>
      <w:tblPr/>
      <w:tcPr>
        <w:tcBorders>
          <w:top w:val="single" w:sz="4" w:space="0" w:color="51C3F9"/>
        </w:tcBorders>
        <w:shd w:val="clear" w:color="auto" w:fill="FFFFFF"/>
      </w:tcPr>
    </w:tblStylePr>
    <w:tblStylePr w:type="firstCol">
      <w:pPr>
        <w:jc w:val="right"/>
      </w:pPr>
      <w:rPr>
        <w:rFonts w:ascii="Times" w:eastAsia="Times New Roman" w:hAnsi="Times" w:cs="Times New Roman"/>
        <w:i/>
        <w:iCs/>
        <w:sz w:val="26"/>
      </w:rPr>
      <w:tblPr/>
      <w:tcPr>
        <w:tcBorders>
          <w:right w:val="single" w:sz="4" w:space="0" w:color="51C3F9"/>
        </w:tcBorders>
        <w:shd w:val="clear" w:color="auto" w:fill="FFFFFF"/>
      </w:tcPr>
    </w:tblStylePr>
    <w:tblStylePr w:type="lastCol">
      <w:rPr>
        <w:rFonts w:ascii="Times" w:eastAsia="Times New Roman" w:hAnsi="Times"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clara-nfasis422">
    <w:name w:val="Cuadrícula clara - Énfasis 422"/>
    <w:basedOn w:val="Tablanormal"/>
    <w:next w:val="Cuadrculaclara-nfasis4"/>
    <w:uiPriority w:val="62"/>
    <w:rsid w:val="00CA0B77"/>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Times" w:eastAsia="Times New Roman" w:hAnsi="Times"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Times" w:eastAsia="Times New Roman" w:hAnsi="Times"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lista7concolores-nfasis6142">
    <w:name w:val="Tabla de lista 7 con colores - Énfasis 6142"/>
    <w:basedOn w:val="Tablanormal"/>
    <w:uiPriority w:val="52"/>
    <w:rsid w:val="00CA0B77"/>
    <w:rPr>
      <w:rFonts w:eastAsia="Times New Roman"/>
      <w:color w:val="08A4EE"/>
    </w:rPr>
    <w:tblPr>
      <w:tblStyleRowBandSize w:val="1"/>
      <w:tblStyleColBandSize w:val="1"/>
    </w:tblPr>
    <w:tblStylePr w:type="firstRow">
      <w:rPr>
        <w:rFonts w:ascii="Times" w:eastAsia="Times New Roman" w:hAnsi="Times" w:cs="Times New Roman"/>
        <w:i/>
        <w:iCs/>
        <w:sz w:val="26"/>
      </w:rPr>
      <w:tblPr/>
      <w:tcPr>
        <w:tcBorders>
          <w:bottom w:val="single" w:sz="4" w:space="0" w:color="51C3F9"/>
        </w:tcBorders>
        <w:shd w:val="clear" w:color="auto" w:fill="FFFFFF"/>
      </w:tcPr>
    </w:tblStylePr>
    <w:tblStylePr w:type="lastRow">
      <w:rPr>
        <w:rFonts w:ascii="Times" w:eastAsia="Times New Roman" w:hAnsi="Times" w:cs="Times New Roman"/>
        <w:i/>
        <w:iCs/>
        <w:sz w:val="26"/>
      </w:rPr>
      <w:tblPr/>
      <w:tcPr>
        <w:tcBorders>
          <w:top w:val="single" w:sz="4" w:space="0" w:color="51C3F9"/>
        </w:tcBorders>
        <w:shd w:val="clear" w:color="auto" w:fill="FFFFFF"/>
      </w:tcPr>
    </w:tblStylePr>
    <w:tblStylePr w:type="firstCol">
      <w:pPr>
        <w:jc w:val="right"/>
      </w:pPr>
      <w:rPr>
        <w:rFonts w:ascii="Times" w:eastAsia="Times New Roman" w:hAnsi="Times" w:cs="Times New Roman"/>
        <w:i/>
        <w:iCs/>
        <w:sz w:val="26"/>
      </w:rPr>
      <w:tblPr/>
      <w:tcPr>
        <w:tcBorders>
          <w:right w:val="single" w:sz="4" w:space="0" w:color="51C3F9"/>
        </w:tcBorders>
        <w:shd w:val="clear" w:color="auto" w:fill="FFFFFF"/>
      </w:tcPr>
    </w:tblStylePr>
    <w:tblStylePr w:type="lastCol">
      <w:rPr>
        <w:rFonts w:ascii="Times" w:eastAsia="Times New Roman" w:hAnsi="Times"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2-nfasis35">
    <w:name w:val="Tabla de cuadrícula 2 - Énfasis 35"/>
    <w:basedOn w:val="Tablanormal"/>
    <w:next w:val="Tabladecuadrcula2-nfasis3"/>
    <w:uiPriority w:val="47"/>
    <w:rsid w:val="00CA0B77"/>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32">
    <w:name w:val="Tabla de cuadrícula 1 clara - Énfasis 32"/>
    <w:basedOn w:val="Tablanormal"/>
    <w:next w:val="Tabladecuadrcula1clara-nfasis3"/>
    <w:uiPriority w:val="46"/>
    <w:rsid w:val="00CA0B77"/>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lista7concolores-nfasis6152">
    <w:name w:val="Tabla de lista 7 con colores - Énfasis 6152"/>
    <w:basedOn w:val="Tablanormal"/>
    <w:uiPriority w:val="52"/>
    <w:rsid w:val="00CA0B77"/>
    <w:rPr>
      <w:rFonts w:eastAsia="Times New Roman"/>
      <w:color w:val="08A4EE"/>
    </w:rPr>
    <w:tblPr>
      <w:tblStyleRowBandSize w:val="1"/>
      <w:tblStyleColBandSize w:val="1"/>
    </w:tblPr>
    <w:tblStylePr w:type="firstRow">
      <w:rPr>
        <w:rFonts w:ascii="Times" w:eastAsia="Times New Roman" w:hAnsi="Times" w:cs="Times New Roman"/>
        <w:i/>
        <w:iCs/>
        <w:sz w:val="26"/>
      </w:rPr>
      <w:tblPr/>
      <w:tcPr>
        <w:tcBorders>
          <w:bottom w:val="single" w:sz="4" w:space="0" w:color="51C3F9"/>
        </w:tcBorders>
        <w:shd w:val="clear" w:color="auto" w:fill="FFFFFF"/>
      </w:tcPr>
    </w:tblStylePr>
    <w:tblStylePr w:type="lastRow">
      <w:rPr>
        <w:rFonts w:ascii="Times" w:eastAsia="Times New Roman" w:hAnsi="Times" w:cs="Times New Roman"/>
        <w:i/>
        <w:iCs/>
        <w:sz w:val="26"/>
      </w:rPr>
      <w:tblPr/>
      <w:tcPr>
        <w:tcBorders>
          <w:top w:val="single" w:sz="4" w:space="0" w:color="51C3F9"/>
        </w:tcBorders>
        <w:shd w:val="clear" w:color="auto" w:fill="FFFFFF"/>
      </w:tcPr>
    </w:tblStylePr>
    <w:tblStylePr w:type="firstCol">
      <w:pPr>
        <w:jc w:val="right"/>
      </w:pPr>
      <w:rPr>
        <w:rFonts w:ascii="Times" w:eastAsia="Times New Roman" w:hAnsi="Times" w:cs="Times New Roman"/>
        <w:i/>
        <w:iCs/>
        <w:sz w:val="26"/>
      </w:rPr>
      <w:tblPr/>
      <w:tcPr>
        <w:tcBorders>
          <w:right w:val="single" w:sz="4" w:space="0" w:color="51C3F9"/>
        </w:tcBorders>
        <w:shd w:val="clear" w:color="auto" w:fill="FFFFFF"/>
      </w:tcPr>
    </w:tblStylePr>
    <w:tblStylePr w:type="lastCol">
      <w:rPr>
        <w:rFonts w:ascii="Times" w:eastAsia="Times New Roman" w:hAnsi="Times"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clara-nfasis432">
    <w:name w:val="Cuadrícula clara - Énfasis 432"/>
    <w:basedOn w:val="Tablanormal"/>
    <w:next w:val="Cuadrculaclara-nfasis4"/>
    <w:uiPriority w:val="62"/>
    <w:rsid w:val="00CA0B77"/>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Times" w:eastAsia="Times New Roman" w:hAnsi="Times"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Times" w:eastAsia="Times New Roman" w:hAnsi="Times"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lista7concolores-nfasis61122">
    <w:name w:val="Tabla de lista 7 con colores - Énfasis 61122"/>
    <w:basedOn w:val="Tablanormal"/>
    <w:uiPriority w:val="52"/>
    <w:rsid w:val="00CA0B77"/>
    <w:rPr>
      <w:rFonts w:eastAsia="Times New Roman"/>
      <w:color w:val="08A4EE"/>
    </w:rPr>
    <w:tblPr>
      <w:tblStyleRowBandSize w:val="1"/>
      <w:tblStyleColBandSize w:val="1"/>
    </w:tblPr>
    <w:tblStylePr w:type="firstRow">
      <w:rPr>
        <w:rFonts w:ascii="Times" w:eastAsia="Times New Roman" w:hAnsi="Times" w:cs="Times New Roman"/>
        <w:i/>
        <w:iCs/>
        <w:sz w:val="26"/>
      </w:rPr>
      <w:tblPr/>
      <w:tcPr>
        <w:tcBorders>
          <w:bottom w:val="single" w:sz="4" w:space="0" w:color="51C3F9"/>
        </w:tcBorders>
        <w:shd w:val="clear" w:color="auto" w:fill="FFFFFF"/>
      </w:tcPr>
    </w:tblStylePr>
    <w:tblStylePr w:type="lastRow">
      <w:rPr>
        <w:rFonts w:ascii="Times" w:eastAsia="Times New Roman" w:hAnsi="Times" w:cs="Times New Roman"/>
        <w:i/>
        <w:iCs/>
        <w:sz w:val="26"/>
      </w:rPr>
      <w:tblPr/>
      <w:tcPr>
        <w:tcBorders>
          <w:top w:val="single" w:sz="4" w:space="0" w:color="51C3F9"/>
        </w:tcBorders>
        <w:shd w:val="clear" w:color="auto" w:fill="FFFFFF"/>
      </w:tcPr>
    </w:tblStylePr>
    <w:tblStylePr w:type="firstCol">
      <w:pPr>
        <w:jc w:val="right"/>
      </w:pPr>
      <w:rPr>
        <w:rFonts w:ascii="Times" w:eastAsia="Times New Roman" w:hAnsi="Times" w:cs="Times New Roman"/>
        <w:i/>
        <w:iCs/>
        <w:sz w:val="26"/>
      </w:rPr>
      <w:tblPr/>
      <w:tcPr>
        <w:tcBorders>
          <w:right w:val="single" w:sz="4" w:space="0" w:color="51C3F9"/>
        </w:tcBorders>
        <w:shd w:val="clear" w:color="auto" w:fill="FFFFFF"/>
      </w:tcPr>
    </w:tblStylePr>
    <w:tblStylePr w:type="lastCol">
      <w:rPr>
        <w:rFonts w:ascii="Times" w:eastAsia="Times New Roman" w:hAnsi="Times"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6concolores-nfasis6">
    <w:name w:val="Grid Table 6 Colorful Accent 6"/>
    <w:basedOn w:val="Tablanormal"/>
    <w:uiPriority w:val="51"/>
    <w:rsid w:val="00837033"/>
    <w:rPr>
      <w:rFonts w:asciiTheme="minorHAnsi" w:eastAsiaTheme="minorHAnsi" w:hAnsiTheme="minorHAnsi" w:cstheme="minorBidi"/>
      <w:color w:val="E36C0A" w:themeColor="accent6" w:themeShade="BF"/>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i/>
        <w:iCs/>
      </w:rPr>
    </w:tblStylePr>
    <w:tblStylePr w:type="lastCol">
      <w:rPr>
        <w:b/>
        <w:bCs/>
        <w:i/>
        <w:i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1clara-nfasis6">
    <w:name w:val="Grid Table 1 Light Accent 6"/>
    <w:basedOn w:val="Tablanormal"/>
    <w:uiPriority w:val="46"/>
    <w:rsid w:val="00837033"/>
    <w:rPr>
      <w:rFonts w:asciiTheme="minorHAnsi" w:eastAsiaTheme="minorHAnsi" w:hAnsiTheme="minorHAnsi" w:cstheme="minorBidi"/>
      <w:sz w:val="22"/>
      <w:szCs w:val="22"/>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customStyle="1" w:styleId="ecxmsonormal">
    <w:name w:val="ecxmsonormal"/>
    <w:basedOn w:val="Normal"/>
    <w:rsid w:val="00376A88"/>
    <w:pPr>
      <w:spacing w:after="324" w:line="240" w:lineRule="auto"/>
    </w:pPr>
    <w:rPr>
      <w:rFonts w:ascii="Times New Roman" w:eastAsia="Times New Roman" w:hAnsi="Times New Roman"/>
      <w:sz w:val="24"/>
      <w:szCs w:val="24"/>
      <w:lang w:val="es-CO" w:eastAsia="es-CO"/>
    </w:rPr>
  </w:style>
  <w:style w:type="table" w:customStyle="1" w:styleId="Tablaconcuadrcula6">
    <w:name w:val="Tabla con cuadrícula6"/>
    <w:basedOn w:val="Tablanormal"/>
    <w:next w:val="Tablaconcuadrcula"/>
    <w:uiPriority w:val="59"/>
    <w:rsid w:val="00426A6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22">
    <w:name w:val="Tabla de cuadrícula 22"/>
    <w:basedOn w:val="Tablanormal"/>
    <w:uiPriority w:val="47"/>
    <w:rsid w:val="00F76F4D"/>
    <w:rPr>
      <w:rFonts w:asciiTheme="minorHAnsi" w:eastAsiaTheme="minorHAnsi" w:hAnsiTheme="minorHAnsi" w:cstheme="minorBidi"/>
      <w:sz w:val="22"/>
      <w:szCs w:val="22"/>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7concolores-nfasis618">
    <w:name w:val="Tabla de lista 7 con colores - Énfasis 618"/>
    <w:basedOn w:val="Tablanormal"/>
    <w:uiPriority w:val="52"/>
    <w:rsid w:val="005D33A6"/>
    <w:rPr>
      <w:rFonts w:eastAsia="Times New Roman"/>
      <w:color w:val="08A4EE"/>
    </w:rPr>
    <w:tblPr>
      <w:tblStyleRowBandSize w:val="1"/>
      <w:tblStyleColBandSize w:val="1"/>
    </w:tblPr>
    <w:tblStylePr w:type="firstRow">
      <w:rPr>
        <w:rFonts w:ascii="Palatino Linotype" w:eastAsia="Times New Roman" w:hAnsi="Palatino Linotype" w:cs="Times New Roman"/>
        <w:i/>
        <w:iCs/>
        <w:sz w:val="26"/>
      </w:rPr>
      <w:tblPr/>
      <w:tcPr>
        <w:tcBorders>
          <w:bottom w:val="single" w:sz="4" w:space="0" w:color="51C3F9"/>
        </w:tcBorders>
        <w:shd w:val="clear" w:color="auto" w:fill="FFFFFF"/>
      </w:tcPr>
    </w:tblStylePr>
    <w:tblStylePr w:type="lastRow">
      <w:rPr>
        <w:rFonts w:ascii="Palatino Linotype" w:eastAsia="Times New Roman" w:hAnsi="Palatino Linotype" w:cs="Times New Roman"/>
        <w:i/>
        <w:iCs/>
        <w:sz w:val="26"/>
      </w:rPr>
      <w:tblPr/>
      <w:tcPr>
        <w:tcBorders>
          <w:top w:val="single" w:sz="4" w:space="0" w:color="51C3F9"/>
        </w:tcBorders>
        <w:shd w:val="clear" w:color="auto" w:fill="FFFFFF"/>
      </w:tcPr>
    </w:tblStylePr>
    <w:tblStylePr w:type="firstCol">
      <w:pPr>
        <w:jc w:val="right"/>
      </w:pPr>
      <w:rPr>
        <w:rFonts w:ascii="Palatino Linotype" w:eastAsia="Times New Roman" w:hAnsi="Palatino Linotype" w:cs="Times New Roman"/>
        <w:i/>
        <w:iCs/>
        <w:sz w:val="26"/>
      </w:rPr>
      <w:tblPr/>
      <w:tcPr>
        <w:tcBorders>
          <w:right w:val="single" w:sz="4" w:space="0" w:color="51C3F9"/>
        </w:tcBorders>
        <w:shd w:val="clear" w:color="auto" w:fill="FFFFFF"/>
      </w:tcPr>
    </w:tblStylePr>
    <w:tblStylePr w:type="lastCol">
      <w:rPr>
        <w:rFonts w:ascii="Palatino Linotype" w:eastAsia="Times New Roman" w:hAnsi="Palatino Linotyp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clara-nfasis46">
    <w:name w:val="Cuadrícula clara - Énfasis 46"/>
    <w:basedOn w:val="Tablanormal"/>
    <w:next w:val="Cuadrculaclara-nfasis4"/>
    <w:uiPriority w:val="62"/>
    <w:rsid w:val="005D33A6"/>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lista7concolores-nfasis6115">
    <w:name w:val="Tabla de lista 7 con colores - Énfasis 6115"/>
    <w:basedOn w:val="Tablanormal"/>
    <w:uiPriority w:val="52"/>
    <w:rsid w:val="005D33A6"/>
    <w:rPr>
      <w:rFonts w:eastAsia="Times New Roman"/>
      <w:color w:val="08A4EE"/>
    </w:rPr>
    <w:tblPr>
      <w:tblStyleRowBandSize w:val="1"/>
      <w:tblStyleColBandSize w:val="1"/>
    </w:tblPr>
    <w:tblStylePr w:type="firstRow">
      <w:rPr>
        <w:rFonts w:ascii="Palatino Linotype" w:eastAsia="Times New Roman" w:hAnsi="Palatino Linotype" w:cs="Times New Roman"/>
        <w:i/>
        <w:iCs/>
        <w:sz w:val="26"/>
      </w:rPr>
      <w:tblPr/>
      <w:tcPr>
        <w:tcBorders>
          <w:bottom w:val="single" w:sz="4" w:space="0" w:color="51C3F9"/>
        </w:tcBorders>
        <w:shd w:val="clear" w:color="auto" w:fill="FFFFFF"/>
      </w:tcPr>
    </w:tblStylePr>
    <w:tblStylePr w:type="lastRow">
      <w:rPr>
        <w:rFonts w:ascii="Palatino Linotype" w:eastAsia="Times New Roman" w:hAnsi="Palatino Linotype" w:cs="Times New Roman"/>
        <w:i/>
        <w:iCs/>
        <w:sz w:val="26"/>
      </w:rPr>
      <w:tblPr/>
      <w:tcPr>
        <w:tcBorders>
          <w:top w:val="single" w:sz="4" w:space="0" w:color="51C3F9"/>
        </w:tcBorders>
        <w:shd w:val="clear" w:color="auto" w:fill="FFFFFF"/>
      </w:tcPr>
    </w:tblStylePr>
    <w:tblStylePr w:type="firstCol">
      <w:pPr>
        <w:jc w:val="right"/>
      </w:pPr>
      <w:rPr>
        <w:rFonts w:ascii="Palatino Linotype" w:eastAsia="Times New Roman" w:hAnsi="Palatino Linotype" w:cs="Times New Roman"/>
        <w:i/>
        <w:iCs/>
        <w:sz w:val="26"/>
      </w:rPr>
      <w:tblPr/>
      <w:tcPr>
        <w:tcBorders>
          <w:right w:val="single" w:sz="4" w:space="0" w:color="51C3F9"/>
        </w:tcBorders>
        <w:shd w:val="clear" w:color="auto" w:fill="FFFFFF"/>
      </w:tcPr>
    </w:tblStylePr>
    <w:tblStylePr w:type="lastCol">
      <w:rPr>
        <w:rFonts w:ascii="Palatino Linotype" w:eastAsia="Times New Roman" w:hAnsi="Palatino Linotyp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6123">
    <w:name w:val="Tabla de lista 7 con colores - Énfasis 6123"/>
    <w:basedOn w:val="Tablanormal"/>
    <w:uiPriority w:val="52"/>
    <w:rsid w:val="005D33A6"/>
    <w:rPr>
      <w:rFonts w:eastAsia="Times New Roman"/>
      <w:color w:val="08A4EE"/>
    </w:rPr>
    <w:tblPr>
      <w:tblStyleRowBandSize w:val="1"/>
      <w:tblStyleColBandSize w:val="1"/>
    </w:tblPr>
    <w:tblStylePr w:type="firstRow">
      <w:rPr>
        <w:rFonts w:ascii="Palatino Linotype" w:eastAsia="Times New Roman" w:hAnsi="Palatino Linotype" w:cs="Times New Roman"/>
        <w:i/>
        <w:iCs/>
        <w:sz w:val="26"/>
      </w:rPr>
      <w:tblPr/>
      <w:tcPr>
        <w:tcBorders>
          <w:bottom w:val="single" w:sz="4" w:space="0" w:color="51C3F9"/>
        </w:tcBorders>
        <w:shd w:val="clear" w:color="auto" w:fill="FFFFFF"/>
      </w:tcPr>
    </w:tblStylePr>
    <w:tblStylePr w:type="lastRow">
      <w:rPr>
        <w:rFonts w:ascii="Palatino Linotype" w:eastAsia="Times New Roman" w:hAnsi="Palatino Linotype" w:cs="Times New Roman"/>
        <w:i/>
        <w:iCs/>
        <w:sz w:val="26"/>
      </w:rPr>
      <w:tblPr/>
      <w:tcPr>
        <w:tcBorders>
          <w:top w:val="single" w:sz="4" w:space="0" w:color="51C3F9"/>
        </w:tcBorders>
        <w:shd w:val="clear" w:color="auto" w:fill="FFFFFF"/>
      </w:tcPr>
    </w:tblStylePr>
    <w:tblStylePr w:type="firstCol">
      <w:pPr>
        <w:jc w:val="right"/>
      </w:pPr>
      <w:rPr>
        <w:rFonts w:ascii="Palatino Linotype" w:eastAsia="Times New Roman" w:hAnsi="Palatino Linotype" w:cs="Times New Roman"/>
        <w:i/>
        <w:iCs/>
        <w:sz w:val="26"/>
      </w:rPr>
      <w:tblPr/>
      <w:tcPr>
        <w:tcBorders>
          <w:right w:val="single" w:sz="4" w:space="0" w:color="51C3F9"/>
        </w:tcBorders>
        <w:shd w:val="clear" w:color="auto" w:fill="FFFFFF"/>
      </w:tcPr>
    </w:tblStylePr>
    <w:tblStylePr w:type="lastCol">
      <w:rPr>
        <w:rFonts w:ascii="Palatino Linotype" w:eastAsia="Times New Roman" w:hAnsi="Palatino Linotyp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clara-nfasis413">
    <w:name w:val="Cuadrícula clara - Énfasis 413"/>
    <w:basedOn w:val="Tablanormal"/>
    <w:next w:val="Cuadrculaclara-nfasis4"/>
    <w:uiPriority w:val="62"/>
    <w:rsid w:val="005D33A6"/>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lista7concolores-nfasis61113">
    <w:name w:val="Tabla de lista 7 con colores - Énfasis 61113"/>
    <w:basedOn w:val="Tablanormal"/>
    <w:uiPriority w:val="52"/>
    <w:rsid w:val="005D33A6"/>
    <w:rPr>
      <w:rFonts w:eastAsia="Times New Roman"/>
      <w:color w:val="08A4EE"/>
    </w:rPr>
    <w:tblPr>
      <w:tblStyleRowBandSize w:val="1"/>
      <w:tblStyleColBandSize w:val="1"/>
    </w:tblPr>
    <w:tblStylePr w:type="firstRow">
      <w:rPr>
        <w:rFonts w:ascii="Palatino Linotype" w:eastAsia="Times New Roman" w:hAnsi="Palatino Linotype" w:cs="Times New Roman"/>
        <w:i/>
        <w:iCs/>
        <w:sz w:val="26"/>
      </w:rPr>
      <w:tblPr/>
      <w:tcPr>
        <w:tcBorders>
          <w:bottom w:val="single" w:sz="4" w:space="0" w:color="51C3F9"/>
        </w:tcBorders>
        <w:shd w:val="clear" w:color="auto" w:fill="FFFFFF"/>
      </w:tcPr>
    </w:tblStylePr>
    <w:tblStylePr w:type="lastRow">
      <w:rPr>
        <w:rFonts w:ascii="Palatino Linotype" w:eastAsia="Times New Roman" w:hAnsi="Palatino Linotype" w:cs="Times New Roman"/>
        <w:i/>
        <w:iCs/>
        <w:sz w:val="26"/>
      </w:rPr>
      <w:tblPr/>
      <w:tcPr>
        <w:tcBorders>
          <w:top w:val="single" w:sz="4" w:space="0" w:color="51C3F9"/>
        </w:tcBorders>
        <w:shd w:val="clear" w:color="auto" w:fill="FFFFFF"/>
      </w:tcPr>
    </w:tblStylePr>
    <w:tblStylePr w:type="firstCol">
      <w:pPr>
        <w:jc w:val="right"/>
      </w:pPr>
      <w:rPr>
        <w:rFonts w:ascii="Palatino Linotype" w:eastAsia="Times New Roman" w:hAnsi="Palatino Linotype" w:cs="Times New Roman"/>
        <w:i/>
        <w:iCs/>
        <w:sz w:val="26"/>
      </w:rPr>
      <w:tblPr/>
      <w:tcPr>
        <w:tcBorders>
          <w:right w:val="single" w:sz="4" w:space="0" w:color="51C3F9"/>
        </w:tcBorders>
        <w:shd w:val="clear" w:color="auto" w:fill="FFFFFF"/>
      </w:tcPr>
    </w:tblStylePr>
    <w:tblStylePr w:type="lastCol">
      <w:rPr>
        <w:rFonts w:ascii="Palatino Linotype" w:eastAsia="Times New Roman" w:hAnsi="Palatino Linotyp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4-nfasis111">
    <w:name w:val="Tabla de cuadrícula 4 - Énfasis 111"/>
    <w:basedOn w:val="Tablanormal"/>
    <w:uiPriority w:val="49"/>
    <w:rsid w:val="005D33A6"/>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pPr>
        <w:jc w:val="center"/>
      </w:pPr>
      <w:rPr>
        <w:rFonts w:ascii="Cambria" w:hAnsi="Cambria"/>
        <w:b/>
        <w:bCs/>
        <w:color w:val="000000" w:themeColor="text1"/>
      </w:rPr>
      <w:tblPr/>
      <w:tcPr>
        <w:tcBorders>
          <w:top w:val="nil"/>
          <w:left w:val="nil"/>
          <w:bottom w:val="nil"/>
          <w:right w:val="nil"/>
          <w:insideH w:val="nil"/>
          <w:insideV w:val="nil"/>
          <w:tl2br w:val="nil"/>
          <w:tr2bl w:val="nil"/>
        </w:tcBorders>
        <w:shd w:val="clear" w:color="auto" w:fill="4F81BD" w:themeFill="accent1"/>
        <w:vAlign w:val="center"/>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121">
    <w:name w:val="Tabla de cuadrícula 4 - Énfasis 121"/>
    <w:basedOn w:val="Tablanormal"/>
    <w:uiPriority w:val="49"/>
    <w:rsid w:val="005D33A6"/>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pPr>
        <w:jc w:val="center"/>
      </w:pPr>
      <w:rPr>
        <w:rFonts w:ascii="Cambria" w:hAnsi="Cambria"/>
        <w:b/>
        <w:bCs/>
        <w:color w:val="000000" w:themeColor="text1"/>
      </w:rPr>
      <w:tblPr/>
      <w:tcPr>
        <w:tcBorders>
          <w:top w:val="nil"/>
          <w:left w:val="nil"/>
          <w:bottom w:val="nil"/>
          <w:right w:val="nil"/>
          <w:insideH w:val="nil"/>
          <w:insideV w:val="nil"/>
          <w:tl2br w:val="nil"/>
          <w:tr2bl w:val="nil"/>
        </w:tcBorders>
        <w:shd w:val="clear" w:color="auto" w:fill="4F81BD" w:themeFill="accent1"/>
        <w:vAlign w:val="center"/>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7concolores-nfasis6161">
    <w:name w:val="Tabla de lista 7 con colores - Énfasis 6161"/>
    <w:basedOn w:val="Tablanormal"/>
    <w:uiPriority w:val="52"/>
    <w:rsid w:val="005D33A6"/>
    <w:rPr>
      <w:rFonts w:eastAsia="Times New Roman"/>
      <w:color w:val="08A4EE"/>
    </w:rPr>
    <w:tblPr>
      <w:tblStyleRowBandSize w:val="1"/>
      <w:tblStyleColBandSize w:val="1"/>
    </w:tblPr>
    <w:tblStylePr w:type="firstRow">
      <w:rPr>
        <w:rFonts w:ascii="Palatino Linotype" w:eastAsia="Times New Roman" w:hAnsi="Palatino Linotype" w:cs="Times New Roman"/>
        <w:i/>
        <w:iCs/>
        <w:sz w:val="26"/>
      </w:rPr>
      <w:tblPr/>
      <w:tcPr>
        <w:tcBorders>
          <w:bottom w:val="single" w:sz="4" w:space="0" w:color="51C3F9"/>
        </w:tcBorders>
        <w:shd w:val="clear" w:color="auto" w:fill="FFFFFF"/>
      </w:tcPr>
    </w:tblStylePr>
    <w:tblStylePr w:type="lastRow">
      <w:rPr>
        <w:rFonts w:ascii="Palatino Linotype" w:eastAsia="Times New Roman" w:hAnsi="Palatino Linotype" w:cs="Times New Roman"/>
        <w:i/>
        <w:iCs/>
        <w:sz w:val="26"/>
      </w:rPr>
      <w:tblPr/>
      <w:tcPr>
        <w:tcBorders>
          <w:top w:val="single" w:sz="4" w:space="0" w:color="51C3F9"/>
        </w:tcBorders>
        <w:shd w:val="clear" w:color="auto" w:fill="FFFFFF"/>
      </w:tcPr>
    </w:tblStylePr>
    <w:tblStylePr w:type="firstCol">
      <w:pPr>
        <w:jc w:val="right"/>
      </w:pPr>
      <w:rPr>
        <w:rFonts w:ascii="Palatino Linotype" w:eastAsia="Times New Roman" w:hAnsi="Palatino Linotype" w:cs="Times New Roman"/>
        <w:i/>
        <w:iCs/>
        <w:sz w:val="26"/>
      </w:rPr>
      <w:tblPr/>
      <w:tcPr>
        <w:tcBorders>
          <w:right w:val="single" w:sz="4" w:space="0" w:color="51C3F9"/>
        </w:tcBorders>
        <w:shd w:val="clear" w:color="auto" w:fill="FFFFFF"/>
      </w:tcPr>
    </w:tblStylePr>
    <w:tblStylePr w:type="lastCol">
      <w:rPr>
        <w:rFonts w:ascii="Palatino Linotype" w:eastAsia="Times New Roman" w:hAnsi="Palatino Linotyp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clara-nfasis441">
    <w:name w:val="Cuadrícula clara - Énfasis 441"/>
    <w:basedOn w:val="Tablanormal"/>
    <w:next w:val="Cuadrculaclara-nfasis4"/>
    <w:uiPriority w:val="62"/>
    <w:rsid w:val="005D33A6"/>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lista7concolores-nfasis61131">
    <w:name w:val="Tabla de lista 7 con colores - Énfasis 61131"/>
    <w:basedOn w:val="Tablanormal"/>
    <w:uiPriority w:val="52"/>
    <w:rsid w:val="005D33A6"/>
    <w:rPr>
      <w:rFonts w:eastAsia="Times New Roman"/>
      <w:color w:val="08A4EE"/>
    </w:rPr>
    <w:tblPr>
      <w:tblStyleRowBandSize w:val="1"/>
      <w:tblStyleColBandSize w:val="1"/>
    </w:tblPr>
    <w:tblStylePr w:type="firstRow">
      <w:rPr>
        <w:rFonts w:ascii="Palatino Linotype" w:eastAsia="Times New Roman" w:hAnsi="Palatino Linotype" w:cs="Times New Roman"/>
        <w:i/>
        <w:iCs/>
        <w:sz w:val="26"/>
      </w:rPr>
      <w:tblPr/>
      <w:tcPr>
        <w:tcBorders>
          <w:bottom w:val="single" w:sz="4" w:space="0" w:color="51C3F9"/>
        </w:tcBorders>
        <w:shd w:val="clear" w:color="auto" w:fill="FFFFFF"/>
      </w:tcPr>
    </w:tblStylePr>
    <w:tblStylePr w:type="lastRow">
      <w:rPr>
        <w:rFonts w:ascii="Palatino Linotype" w:eastAsia="Times New Roman" w:hAnsi="Palatino Linotype" w:cs="Times New Roman"/>
        <w:i/>
        <w:iCs/>
        <w:sz w:val="26"/>
      </w:rPr>
      <w:tblPr/>
      <w:tcPr>
        <w:tcBorders>
          <w:top w:val="single" w:sz="4" w:space="0" w:color="51C3F9"/>
        </w:tcBorders>
        <w:shd w:val="clear" w:color="auto" w:fill="FFFFFF"/>
      </w:tcPr>
    </w:tblStylePr>
    <w:tblStylePr w:type="firstCol">
      <w:pPr>
        <w:jc w:val="right"/>
      </w:pPr>
      <w:rPr>
        <w:rFonts w:ascii="Palatino Linotype" w:eastAsia="Times New Roman" w:hAnsi="Palatino Linotype" w:cs="Times New Roman"/>
        <w:i/>
        <w:iCs/>
        <w:sz w:val="26"/>
      </w:rPr>
      <w:tblPr/>
      <w:tcPr>
        <w:tcBorders>
          <w:right w:val="single" w:sz="4" w:space="0" w:color="51C3F9"/>
        </w:tcBorders>
        <w:shd w:val="clear" w:color="auto" w:fill="FFFFFF"/>
      </w:tcPr>
    </w:tblStylePr>
    <w:tblStylePr w:type="lastCol">
      <w:rPr>
        <w:rFonts w:ascii="Palatino Linotype" w:eastAsia="Times New Roman" w:hAnsi="Palatino Linotyp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61211">
    <w:name w:val="Tabla de lista 7 con colores - Énfasis 61211"/>
    <w:basedOn w:val="Tablanormal"/>
    <w:uiPriority w:val="52"/>
    <w:rsid w:val="005D33A6"/>
    <w:rPr>
      <w:rFonts w:eastAsia="Times New Roman"/>
      <w:color w:val="08A4EE"/>
    </w:rPr>
    <w:tblPr>
      <w:tblStyleRowBandSize w:val="1"/>
      <w:tblStyleColBandSize w:val="1"/>
    </w:tblPr>
    <w:tblStylePr w:type="firstRow">
      <w:rPr>
        <w:rFonts w:ascii="Palatino Linotype" w:eastAsia="Times New Roman" w:hAnsi="Palatino Linotype" w:cs="Times New Roman"/>
        <w:i/>
        <w:iCs/>
        <w:sz w:val="26"/>
      </w:rPr>
      <w:tblPr/>
      <w:tcPr>
        <w:tcBorders>
          <w:bottom w:val="single" w:sz="4" w:space="0" w:color="51C3F9"/>
        </w:tcBorders>
        <w:shd w:val="clear" w:color="auto" w:fill="FFFFFF"/>
      </w:tcPr>
    </w:tblStylePr>
    <w:tblStylePr w:type="lastRow">
      <w:rPr>
        <w:rFonts w:ascii="Palatino Linotype" w:eastAsia="Times New Roman" w:hAnsi="Palatino Linotype" w:cs="Times New Roman"/>
        <w:i/>
        <w:iCs/>
        <w:sz w:val="26"/>
      </w:rPr>
      <w:tblPr/>
      <w:tcPr>
        <w:tcBorders>
          <w:top w:val="single" w:sz="4" w:space="0" w:color="51C3F9"/>
        </w:tcBorders>
        <w:shd w:val="clear" w:color="auto" w:fill="FFFFFF"/>
      </w:tcPr>
    </w:tblStylePr>
    <w:tblStylePr w:type="firstCol">
      <w:pPr>
        <w:jc w:val="right"/>
      </w:pPr>
      <w:rPr>
        <w:rFonts w:ascii="Palatino Linotype" w:eastAsia="Times New Roman" w:hAnsi="Palatino Linotype" w:cs="Times New Roman"/>
        <w:i/>
        <w:iCs/>
        <w:sz w:val="26"/>
      </w:rPr>
      <w:tblPr/>
      <w:tcPr>
        <w:tcBorders>
          <w:right w:val="single" w:sz="4" w:space="0" w:color="51C3F9"/>
        </w:tcBorders>
        <w:shd w:val="clear" w:color="auto" w:fill="FFFFFF"/>
      </w:tcPr>
    </w:tblStylePr>
    <w:tblStylePr w:type="lastCol">
      <w:rPr>
        <w:rFonts w:ascii="Palatino Linotype" w:eastAsia="Times New Roman" w:hAnsi="Palatino Linotyp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clara-nfasis4111">
    <w:name w:val="Cuadrícula clara - Énfasis 4111"/>
    <w:basedOn w:val="Tablanormal"/>
    <w:next w:val="Cuadrculaclara-nfasis4"/>
    <w:uiPriority w:val="62"/>
    <w:rsid w:val="005D33A6"/>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lista7concolores-nfasis611111">
    <w:name w:val="Tabla de lista 7 con colores - Énfasis 611111"/>
    <w:basedOn w:val="Tablanormal"/>
    <w:uiPriority w:val="52"/>
    <w:rsid w:val="005D33A6"/>
    <w:rPr>
      <w:rFonts w:eastAsia="Times New Roman"/>
      <w:color w:val="08A4EE"/>
    </w:rPr>
    <w:tblPr>
      <w:tblStyleRowBandSize w:val="1"/>
      <w:tblStyleColBandSize w:val="1"/>
    </w:tblPr>
    <w:tblStylePr w:type="firstRow">
      <w:rPr>
        <w:rFonts w:ascii="Palatino Linotype" w:eastAsia="Times New Roman" w:hAnsi="Palatino Linotype" w:cs="Times New Roman"/>
        <w:i/>
        <w:iCs/>
        <w:sz w:val="26"/>
      </w:rPr>
      <w:tblPr/>
      <w:tcPr>
        <w:tcBorders>
          <w:bottom w:val="single" w:sz="4" w:space="0" w:color="51C3F9"/>
        </w:tcBorders>
        <w:shd w:val="clear" w:color="auto" w:fill="FFFFFF"/>
      </w:tcPr>
    </w:tblStylePr>
    <w:tblStylePr w:type="lastRow">
      <w:rPr>
        <w:rFonts w:ascii="Palatino Linotype" w:eastAsia="Times New Roman" w:hAnsi="Palatino Linotype" w:cs="Times New Roman"/>
        <w:i/>
        <w:iCs/>
        <w:sz w:val="26"/>
      </w:rPr>
      <w:tblPr/>
      <w:tcPr>
        <w:tcBorders>
          <w:top w:val="single" w:sz="4" w:space="0" w:color="51C3F9"/>
        </w:tcBorders>
        <w:shd w:val="clear" w:color="auto" w:fill="FFFFFF"/>
      </w:tcPr>
    </w:tblStylePr>
    <w:tblStylePr w:type="firstCol">
      <w:pPr>
        <w:jc w:val="right"/>
      </w:pPr>
      <w:rPr>
        <w:rFonts w:ascii="Palatino Linotype" w:eastAsia="Times New Roman" w:hAnsi="Palatino Linotype" w:cs="Times New Roman"/>
        <w:i/>
        <w:iCs/>
        <w:sz w:val="26"/>
      </w:rPr>
      <w:tblPr/>
      <w:tcPr>
        <w:tcBorders>
          <w:right w:val="single" w:sz="4" w:space="0" w:color="51C3F9"/>
        </w:tcBorders>
        <w:shd w:val="clear" w:color="auto" w:fill="FFFFFF"/>
      </w:tcPr>
    </w:tblStylePr>
    <w:tblStylePr w:type="lastCol">
      <w:rPr>
        <w:rFonts w:ascii="Palatino Linotype" w:eastAsia="Times New Roman" w:hAnsi="Palatino Linotype"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6171">
    <w:name w:val="Tabla de lista 7 con colores - Énfasis 6171"/>
    <w:basedOn w:val="Tablanormal"/>
    <w:uiPriority w:val="52"/>
    <w:rsid w:val="005D33A6"/>
    <w:rPr>
      <w:rFonts w:eastAsia="Times New Roman"/>
      <w:color w:val="08A4EE"/>
    </w:rPr>
    <w:tblPr>
      <w:tblStyleRowBandSize w:val="1"/>
      <w:tblStyleColBandSize w:val="1"/>
    </w:tblPr>
    <w:tblStylePr w:type="firstRow">
      <w:rPr>
        <w:rFonts w:ascii="Tahoma" w:eastAsia="Times New Roman" w:hAnsi="Tahoma" w:cs="Times New Roman"/>
        <w:i/>
        <w:iCs/>
        <w:sz w:val="26"/>
      </w:rPr>
      <w:tblPr/>
      <w:tcPr>
        <w:tcBorders>
          <w:bottom w:val="single" w:sz="4" w:space="0" w:color="51C3F9"/>
        </w:tcBorders>
        <w:shd w:val="clear" w:color="auto" w:fill="FFFFFF"/>
      </w:tcPr>
    </w:tblStylePr>
    <w:tblStylePr w:type="lastRow">
      <w:rPr>
        <w:rFonts w:ascii="Tahoma" w:eastAsia="Times New Roman" w:hAnsi="Tahoma" w:cs="Times New Roman"/>
        <w:i/>
        <w:iCs/>
        <w:sz w:val="26"/>
      </w:rPr>
      <w:tblPr/>
      <w:tcPr>
        <w:tcBorders>
          <w:top w:val="single" w:sz="4" w:space="0" w:color="51C3F9"/>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51C3F9"/>
        </w:tcBorders>
        <w:shd w:val="clear" w:color="auto" w:fill="FFFFFF"/>
      </w:tcPr>
    </w:tblStylePr>
    <w:tblStylePr w:type="lastCol">
      <w:rPr>
        <w:rFonts w:ascii="Tahoma" w:eastAsia="Times New Roman" w:hAnsi="Tahoma"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clara-nfasis451">
    <w:name w:val="Cuadrícula clara - Énfasis 451"/>
    <w:basedOn w:val="Tablanormal"/>
    <w:next w:val="Cuadrculaclara-nfasis4"/>
    <w:uiPriority w:val="62"/>
    <w:rsid w:val="005D33A6"/>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Tahoma" w:eastAsia="Times New Roman" w:hAnsi="Tahoma"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Tahoma" w:eastAsia="Times New Roman" w:hAnsi="Tahoma"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lista7concolores-nfasis61141">
    <w:name w:val="Tabla de lista 7 con colores - Énfasis 61141"/>
    <w:basedOn w:val="Tablanormal"/>
    <w:uiPriority w:val="52"/>
    <w:rsid w:val="005D33A6"/>
    <w:rPr>
      <w:rFonts w:eastAsia="Times New Roman"/>
      <w:color w:val="08A4EE"/>
    </w:rPr>
    <w:tblPr>
      <w:tblStyleRowBandSize w:val="1"/>
      <w:tblStyleColBandSize w:val="1"/>
    </w:tblPr>
    <w:tblStylePr w:type="firstRow">
      <w:rPr>
        <w:rFonts w:ascii="Tahoma" w:eastAsia="Times New Roman" w:hAnsi="Tahoma" w:cs="Times New Roman"/>
        <w:i/>
        <w:iCs/>
        <w:sz w:val="26"/>
      </w:rPr>
      <w:tblPr/>
      <w:tcPr>
        <w:tcBorders>
          <w:bottom w:val="single" w:sz="4" w:space="0" w:color="51C3F9"/>
        </w:tcBorders>
        <w:shd w:val="clear" w:color="auto" w:fill="FFFFFF"/>
      </w:tcPr>
    </w:tblStylePr>
    <w:tblStylePr w:type="lastRow">
      <w:rPr>
        <w:rFonts w:ascii="Tahoma" w:eastAsia="Times New Roman" w:hAnsi="Tahoma" w:cs="Times New Roman"/>
        <w:i/>
        <w:iCs/>
        <w:sz w:val="26"/>
      </w:rPr>
      <w:tblPr/>
      <w:tcPr>
        <w:tcBorders>
          <w:top w:val="single" w:sz="4" w:space="0" w:color="51C3F9"/>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51C3F9"/>
        </w:tcBorders>
        <w:shd w:val="clear" w:color="auto" w:fill="FFFFFF"/>
      </w:tcPr>
    </w:tblStylePr>
    <w:tblStylePr w:type="lastCol">
      <w:rPr>
        <w:rFonts w:ascii="Tahoma" w:eastAsia="Times New Roman" w:hAnsi="Tahoma"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61221">
    <w:name w:val="Tabla de lista 7 con colores - Énfasis 61221"/>
    <w:basedOn w:val="Tablanormal"/>
    <w:uiPriority w:val="52"/>
    <w:rsid w:val="005D33A6"/>
    <w:rPr>
      <w:rFonts w:eastAsia="Times New Roman"/>
      <w:color w:val="08A4EE"/>
    </w:rPr>
    <w:tblPr>
      <w:tblStyleRowBandSize w:val="1"/>
      <w:tblStyleColBandSize w:val="1"/>
    </w:tblPr>
    <w:tblStylePr w:type="firstRow">
      <w:rPr>
        <w:rFonts w:ascii="Tahoma" w:eastAsia="Times New Roman" w:hAnsi="Tahoma" w:cs="Times New Roman"/>
        <w:i/>
        <w:iCs/>
        <w:sz w:val="26"/>
      </w:rPr>
      <w:tblPr/>
      <w:tcPr>
        <w:tcBorders>
          <w:bottom w:val="single" w:sz="4" w:space="0" w:color="51C3F9"/>
        </w:tcBorders>
        <w:shd w:val="clear" w:color="auto" w:fill="FFFFFF"/>
      </w:tcPr>
    </w:tblStylePr>
    <w:tblStylePr w:type="lastRow">
      <w:rPr>
        <w:rFonts w:ascii="Tahoma" w:eastAsia="Times New Roman" w:hAnsi="Tahoma" w:cs="Times New Roman"/>
        <w:i/>
        <w:iCs/>
        <w:sz w:val="26"/>
      </w:rPr>
      <w:tblPr/>
      <w:tcPr>
        <w:tcBorders>
          <w:top w:val="single" w:sz="4" w:space="0" w:color="51C3F9"/>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51C3F9"/>
        </w:tcBorders>
        <w:shd w:val="clear" w:color="auto" w:fill="FFFFFF"/>
      </w:tcPr>
    </w:tblStylePr>
    <w:tblStylePr w:type="lastCol">
      <w:rPr>
        <w:rFonts w:ascii="Tahoma" w:eastAsia="Times New Roman" w:hAnsi="Tahoma"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clara-nfasis4121">
    <w:name w:val="Cuadrícula clara - Énfasis 4121"/>
    <w:basedOn w:val="Tablanormal"/>
    <w:next w:val="Cuadrculaclara-nfasis4"/>
    <w:uiPriority w:val="62"/>
    <w:rsid w:val="005D33A6"/>
    <w:pPr>
      <w:pBdr>
        <w:top w:val="nil"/>
        <w:left w:val="nil"/>
        <w:bottom w:val="nil"/>
        <w:right w:val="nil"/>
        <w:between w:val="nil"/>
        <w:bar w:val="nil"/>
      </w:pBdr>
    </w:pPr>
    <w:rPr>
      <w:rFonts w:ascii="Times New Roman" w:eastAsia="Arial Unicode MS" w:hAnsi="Times New Roman"/>
      <w:bdr w:val="nil"/>
      <w:lang w:val="es-MX" w:eastAsia="es-MX"/>
    </w:rPr>
    <w:tblPr>
      <w:tblStyleRowBandSize w:val="1"/>
      <w:tblStyleColBandSize w:val="1"/>
      <w:tblBorders>
        <w:top w:val="single" w:sz="8" w:space="0" w:color="44C1A3"/>
        <w:left w:val="single" w:sz="8" w:space="0" w:color="44C1A3"/>
        <w:bottom w:val="single" w:sz="8" w:space="0" w:color="44C1A3"/>
        <w:right w:val="single" w:sz="8" w:space="0" w:color="44C1A3"/>
        <w:insideH w:val="single" w:sz="8" w:space="0" w:color="44C1A3"/>
        <w:insideV w:val="single" w:sz="8" w:space="0" w:color="44C1A3"/>
      </w:tblBorders>
    </w:tblPr>
    <w:tblStylePr w:type="firstRow">
      <w:pPr>
        <w:spacing w:before="0" w:after="0" w:line="240" w:lineRule="auto"/>
      </w:pPr>
      <w:rPr>
        <w:rFonts w:ascii="Tahoma" w:eastAsia="Times New Roman" w:hAnsi="Tahoma" w:cs="Times New Roman"/>
        <w:b/>
        <w:bCs/>
      </w:rPr>
      <w:tblPr/>
      <w:tcPr>
        <w:tcBorders>
          <w:top w:val="single" w:sz="8" w:space="0" w:color="44C1A3"/>
          <w:left w:val="single" w:sz="8" w:space="0" w:color="44C1A3"/>
          <w:bottom w:val="single" w:sz="18" w:space="0" w:color="44C1A3"/>
          <w:right w:val="single" w:sz="8" w:space="0" w:color="44C1A3"/>
          <w:insideH w:val="nil"/>
          <w:insideV w:val="single" w:sz="8" w:space="0" w:color="44C1A3"/>
        </w:tcBorders>
      </w:tcPr>
    </w:tblStylePr>
    <w:tblStylePr w:type="lastRow">
      <w:pPr>
        <w:spacing w:before="0" w:after="0" w:line="240" w:lineRule="auto"/>
      </w:pPr>
      <w:rPr>
        <w:rFonts w:ascii="Tahoma" w:eastAsia="Times New Roman" w:hAnsi="Tahoma" w:cs="Times New Roman"/>
        <w:b/>
        <w:bCs/>
      </w:rPr>
      <w:tblPr/>
      <w:tcPr>
        <w:tcBorders>
          <w:top w:val="double" w:sz="6" w:space="0" w:color="44C1A3"/>
          <w:left w:val="single" w:sz="8" w:space="0" w:color="44C1A3"/>
          <w:bottom w:val="single" w:sz="8" w:space="0" w:color="44C1A3"/>
          <w:right w:val="single" w:sz="8" w:space="0" w:color="44C1A3"/>
          <w:insideH w:val="nil"/>
          <w:insideV w:val="single" w:sz="8" w:space="0" w:color="44C1A3"/>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4C1A3"/>
          <w:left w:val="single" w:sz="8" w:space="0" w:color="44C1A3"/>
          <w:bottom w:val="single" w:sz="8" w:space="0" w:color="44C1A3"/>
          <w:right w:val="single" w:sz="8" w:space="0" w:color="44C1A3"/>
        </w:tcBorders>
      </w:tcPr>
    </w:tblStylePr>
    <w:tblStylePr w:type="band1Vert">
      <w:tblPr/>
      <w:tcPr>
        <w:tcBorders>
          <w:top w:val="single" w:sz="8" w:space="0" w:color="44C1A3"/>
          <w:left w:val="single" w:sz="8" w:space="0" w:color="44C1A3"/>
          <w:bottom w:val="single" w:sz="8" w:space="0" w:color="44C1A3"/>
          <w:right w:val="single" w:sz="8" w:space="0" w:color="44C1A3"/>
        </w:tcBorders>
        <w:shd w:val="clear" w:color="auto" w:fill="D0EFE8"/>
      </w:tcPr>
    </w:tblStylePr>
    <w:tblStylePr w:type="band1Horz">
      <w:tblPr/>
      <w:tcPr>
        <w:tcBorders>
          <w:top w:val="single" w:sz="8" w:space="0" w:color="44C1A3"/>
          <w:left w:val="single" w:sz="8" w:space="0" w:color="44C1A3"/>
          <w:bottom w:val="single" w:sz="8" w:space="0" w:color="44C1A3"/>
          <w:right w:val="single" w:sz="8" w:space="0" w:color="44C1A3"/>
          <w:insideV w:val="single" w:sz="8" w:space="0" w:color="44C1A3"/>
        </w:tcBorders>
        <w:shd w:val="clear" w:color="auto" w:fill="D0EFE8"/>
      </w:tcPr>
    </w:tblStylePr>
    <w:tblStylePr w:type="band2Horz">
      <w:tblPr/>
      <w:tcPr>
        <w:tcBorders>
          <w:top w:val="single" w:sz="8" w:space="0" w:color="44C1A3"/>
          <w:left w:val="single" w:sz="8" w:space="0" w:color="44C1A3"/>
          <w:bottom w:val="single" w:sz="8" w:space="0" w:color="44C1A3"/>
          <w:right w:val="single" w:sz="8" w:space="0" w:color="44C1A3"/>
          <w:insideV w:val="single" w:sz="8" w:space="0" w:color="44C1A3"/>
        </w:tcBorders>
      </w:tcPr>
    </w:tblStylePr>
  </w:style>
  <w:style w:type="table" w:customStyle="1" w:styleId="Tabladelista7concolores-nfasis611121">
    <w:name w:val="Tabla de lista 7 con colores - Énfasis 611121"/>
    <w:basedOn w:val="Tablanormal"/>
    <w:uiPriority w:val="52"/>
    <w:rsid w:val="005D33A6"/>
    <w:rPr>
      <w:rFonts w:eastAsia="Times New Roman"/>
      <w:color w:val="08A4EE"/>
    </w:rPr>
    <w:tblPr>
      <w:tblStyleRowBandSize w:val="1"/>
      <w:tblStyleColBandSize w:val="1"/>
    </w:tblPr>
    <w:tblStylePr w:type="firstRow">
      <w:rPr>
        <w:rFonts w:ascii="Tahoma" w:eastAsia="Times New Roman" w:hAnsi="Tahoma" w:cs="Times New Roman"/>
        <w:i/>
        <w:iCs/>
        <w:sz w:val="26"/>
      </w:rPr>
      <w:tblPr/>
      <w:tcPr>
        <w:tcBorders>
          <w:bottom w:val="single" w:sz="4" w:space="0" w:color="51C3F9"/>
        </w:tcBorders>
        <w:shd w:val="clear" w:color="auto" w:fill="FFFFFF"/>
      </w:tcPr>
    </w:tblStylePr>
    <w:tblStylePr w:type="lastRow">
      <w:rPr>
        <w:rFonts w:ascii="Tahoma" w:eastAsia="Times New Roman" w:hAnsi="Tahoma" w:cs="Times New Roman"/>
        <w:i/>
        <w:iCs/>
        <w:sz w:val="26"/>
      </w:rPr>
      <w:tblPr/>
      <w:tcPr>
        <w:tcBorders>
          <w:top w:val="single" w:sz="4" w:space="0" w:color="51C3F9"/>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51C3F9"/>
        </w:tcBorders>
        <w:shd w:val="clear" w:color="auto" w:fill="FFFFFF"/>
      </w:tcPr>
    </w:tblStylePr>
    <w:tblStylePr w:type="lastCol">
      <w:rPr>
        <w:rFonts w:ascii="Tahoma" w:eastAsia="Times New Roman" w:hAnsi="Tahoma" w:cs="Times New Roman"/>
        <w:i/>
        <w:iCs/>
        <w:sz w:val="26"/>
      </w:rPr>
      <w:tblPr/>
      <w:tcPr>
        <w:tcBorders>
          <w:left w:val="single" w:sz="4" w:space="0" w:color="51C3F9"/>
        </w:tcBorders>
        <w:shd w:val="clear" w:color="auto" w:fill="FFFFFF"/>
      </w:tcPr>
    </w:tblStylePr>
    <w:tblStylePr w:type="band1Vert">
      <w:tblPr/>
      <w:tcPr>
        <w:shd w:val="clear" w:color="auto" w:fill="DCF3FD"/>
      </w:tcPr>
    </w:tblStylePr>
    <w:tblStylePr w:type="band1Horz">
      <w:tblPr/>
      <w:tcPr>
        <w:shd w:val="clear" w:color="auto" w:fill="DCF3F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a-nfasis1214">
    <w:name w:val="Tabla de cuadrícula 1 clara - Énfasis 1214"/>
    <w:basedOn w:val="Tablanormal"/>
    <w:uiPriority w:val="46"/>
    <w:rsid w:val="00DA6284"/>
    <w:rPr>
      <w:sz w:val="22"/>
      <w:szCs w:val="22"/>
      <w:lang w:eastAsia="en-US"/>
    </w:rPr>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styleId="Tabladecuadrcula4-nfasis6">
    <w:name w:val="Grid Table 4 Accent 6"/>
    <w:basedOn w:val="Tablanormal"/>
    <w:uiPriority w:val="47"/>
    <w:rsid w:val="00D46B4D"/>
    <w:rPr>
      <w:lang w:val="en-U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Mencinsinresolver2">
    <w:name w:val="Mención sin resolver2"/>
    <w:basedOn w:val="Fuentedeprrafopredeter"/>
    <w:uiPriority w:val="99"/>
    <w:semiHidden/>
    <w:unhideWhenUsed/>
    <w:rsid w:val="00D46B4D"/>
    <w:rPr>
      <w:color w:val="808080"/>
      <w:shd w:val="clear" w:color="auto" w:fill="E6E6E6"/>
    </w:rPr>
  </w:style>
  <w:style w:type="table" w:customStyle="1" w:styleId="Tabladecuadrcula1clara1">
    <w:name w:val="Tabla de cuadrícula 1 clara1"/>
    <w:basedOn w:val="Tablanormal"/>
    <w:uiPriority w:val="46"/>
    <w:rsid w:val="00C842DD"/>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2-nfasis21">
    <w:name w:val="Tabla de cuadrícula 2 - Énfasis 21"/>
    <w:basedOn w:val="Tablanormal"/>
    <w:uiPriority w:val="47"/>
    <w:rsid w:val="00C842DD"/>
    <w:rPr>
      <w:rFonts w:asciiTheme="minorHAnsi" w:eastAsiaTheme="minorHAnsi" w:hAnsiTheme="minorHAnsi" w:cstheme="minorBidi"/>
      <w:sz w:val="22"/>
      <w:szCs w:val="22"/>
      <w:lang w:eastAsia="en-US"/>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lista3-nfasis32">
    <w:name w:val="Tabla de lista 3 - Énfasis 32"/>
    <w:basedOn w:val="Tablanormal"/>
    <w:uiPriority w:val="48"/>
    <w:rsid w:val="00C842DD"/>
    <w:rPr>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6concolores2">
    <w:name w:val="Tabla de cuadrícula 6 con colores2"/>
    <w:basedOn w:val="Tablanormal"/>
    <w:uiPriority w:val="51"/>
    <w:rsid w:val="00C842D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nfasis61">
    <w:name w:val="Tabla de cuadrícula 6 con colores - Énfasis 61"/>
    <w:basedOn w:val="Tablanormal"/>
    <w:uiPriority w:val="51"/>
    <w:rsid w:val="00C842DD"/>
    <w:rPr>
      <w:rFonts w:asciiTheme="minorHAnsi" w:eastAsiaTheme="minorHAnsi" w:hAnsiTheme="minorHAnsi" w:cstheme="minorBidi"/>
      <w:color w:val="E36C0A" w:themeColor="accent6" w:themeShade="BF"/>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i/>
        <w:iCs/>
      </w:rPr>
    </w:tblStylePr>
    <w:tblStylePr w:type="lastCol">
      <w:rPr>
        <w:b/>
        <w:bCs/>
        <w:i/>
        <w:i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1clara-nfasis62">
    <w:name w:val="Tabla de cuadrícula 1 clara - Énfasis 62"/>
    <w:basedOn w:val="Tablanormal"/>
    <w:uiPriority w:val="46"/>
    <w:rsid w:val="00C842DD"/>
    <w:rPr>
      <w:rFonts w:asciiTheme="minorHAnsi" w:eastAsiaTheme="minorHAnsi" w:hAnsiTheme="minorHAnsi" w:cstheme="minorBidi"/>
      <w:sz w:val="22"/>
      <w:szCs w:val="22"/>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styleId="Mapadeldocumento">
    <w:name w:val="Document Map"/>
    <w:basedOn w:val="Normal"/>
    <w:link w:val="MapadeldocumentoCar"/>
    <w:uiPriority w:val="99"/>
    <w:semiHidden/>
    <w:unhideWhenUsed/>
    <w:rsid w:val="00C842DD"/>
    <w:pPr>
      <w:spacing w:after="0" w:line="240" w:lineRule="auto"/>
    </w:pPr>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C842DD"/>
    <w:rPr>
      <w:rFonts w:ascii="Lucida Grande" w:hAnsi="Lucida Grande" w:cs="Lucida Grande"/>
      <w:sz w:val="24"/>
      <w:szCs w:val="24"/>
      <w:lang w:val="es-ES" w:eastAsia="en-US"/>
    </w:rPr>
  </w:style>
  <w:style w:type="character" w:customStyle="1" w:styleId="UnresolvedMention">
    <w:name w:val="Unresolved Mention"/>
    <w:basedOn w:val="Fuentedeprrafopredeter"/>
    <w:uiPriority w:val="99"/>
    <w:semiHidden/>
    <w:unhideWhenUsed/>
    <w:rsid w:val="00C0389D"/>
    <w:rPr>
      <w:color w:val="808080"/>
      <w:shd w:val="clear" w:color="auto" w:fill="E6E6E6"/>
    </w:rPr>
  </w:style>
  <w:style w:type="character" w:styleId="Mencionar">
    <w:name w:val="Mention"/>
    <w:basedOn w:val="Fuentedeprrafopredeter"/>
    <w:uiPriority w:val="99"/>
    <w:semiHidden/>
    <w:unhideWhenUsed/>
    <w:rsid w:val="00BD712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21337">
      <w:bodyDiv w:val="1"/>
      <w:marLeft w:val="0"/>
      <w:marRight w:val="0"/>
      <w:marTop w:val="0"/>
      <w:marBottom w:val="0"/>
      <w:divBdr>
        <w:top w:val="none" w:sz="0" w:space="0" w:color="auto"/>
        <w:left w:val="none" w:sz="0" w:space="0" w:color="auto"/>
        <w:bottom w:val="none" w:sz="0" w:space="0" w:color="auto"/>
        <w:right w:val="none" w:sz="0" w:space="0" w:color="auto"/>
      </w:divBdr>
    </w:div>
    <w:div w:id="58134810">
      <w:bodyDiv w:val="1"/>
      <w:marLeft w:val="0"/>
      <w:marRight w:val="0"/>
      <w:marTop w:val="0"/>
      <w:marBottom w:val="0"/>
      <w:divBdr>
        <w:top w:val="none" w:sz="0" w:space="0" w:color="auto"/>
        <w:left w:val="none" w:sz="0" w:space="0" w:color="auto"/>
        <w:bottom w:val="none" w:sz="0" w:space="0" w:color="auto"/>
        <w:right w:val="none" w:sz="0" w:space="0" w:color="auto"/>
      </w:divBdr>
    </w:div>
    <w:div w:id="72819414">
      <w:bodyDiv w:val="1"/>
      <w:marLeft w:val="0"/>
      <w:marRight w:val="0"/>
      <w:marTop w:val="0"/>
      <w:marBottom w:val="0"/>
      <w:divBdr>
        <w:top w:val="none" w:sz="0" w:space="0" w:color="auto"/>
        <w:left w:val="none" w:sz="0" w:space="0" w:color="auto"/>
        <w:bottom w:val="none" w:sz="0" w:space="0" w:color="auto"/>
        <w:right w:val="none" w:sz="0" w:space="0" w:color="auto"/>
      </w:divBdr>
    </w:div>
    <w:div w:id="115954253">
      <w:bodyDiv w:val="1"/>
      <w:marLeft w:val="0"/>
      <w:marRight w:val="0"/>
      <w:marTop w:val="0"/>
      <w:marBottom w:val="0"/>
      <w:divBdr>
        <w:top w:val="none" w:sz="0" w:space="0" w:color="auto"/>
        <w:left w:val="none" w:sz="0" w:space="0" w:color="auto"/>
        <w:bottom w:val="none" w:sz="0" w:space="0" w:color="auto"/>
        <w:right w:val="none" w:sz="0" w:space="0" w:color="auto"/>
      </w:divBdr>
      <w:divsChild>
        <w:div w:id="1330911017">
          <w:marLeft w:val="547"/>
          <w:marRight w:val="0"/>
          <w:marTop w:val="0"/>
          <w:marBottom w:val="0"/>
          <w:divBdr>
            <w:top w:val="none" w:sz="0" w:space="0" w:color="auto"/>
            <w:left w:val="none" w:sz="0" w:space="0" w:color="auto"/>
            <w:bottom w:val="none" w:sz="0" w:space="0" w:color="auto"/>
            <w:right w:val="none" w:sz="0" w:space="0" w:color="auto"/>
          </w:divBdr>
        </w:div>
      </w:divsChild>
    </w:div>
    <w:div w:id="128061710">
      <w:bodyDiv w:val="1"/>
      <w:marLeft w:val="0"/>
      <w:marRight w:val="0"/>
      <w:marTop w:val="0"/>
      <w:marBottom w:val="0"/>
      <w:divBdr>
        <w:top w:val="none" w:sz="0" w:space="0" w:color="auto"/>
        <w:left w:val="none" w:sz="0" w:space="0" w:color="auto"/>
        <w:bottom w:val="none" w:sz="0" w:space="0" w:color="auto"/>
        <w:right w:val="none" w:sz="0" w:space="0" w:color="auto"/>
      </w:divBdr>
    </w:div>
    <w:div w:id="160043888">
      <w:bodyDiv w:val="1"/>
      <w:marLeft w:val="0"/>
      <w:marRight w:val="0"/>
      <w:marTop w:val="0"/>
      <w:marBottom w:val="0"/>
      <w:divBdr>
        <w:top w:val="none" w:sz="0" w:space="0" w:color="auto"/>
        <w:left w:val="none" w:sz="0" w:space="0" w:color="auto"/>
        <w:bottom w:val="none" w:sz="0" w:space="0" w:color="auto"/>
        <w:right w:val="none" w:sz="0" w:space="0" w:color="auto"/>
      </w:divBdr>
    </w:div>
    <w:div w:id="177426839">
      <w:bodyDiv w:val="1"/>
      <w:marLeft w:val="0"/>
      <w:marRight w:val="0"/>
      <w:marTop w:val="0"/>
      <w:marBottom w:val="0"/>
      <w:divBdr>
        <w:top w:val="none" w:sz="0" w:space="0" w:color="auto"/>
        <w:left w:val="none" w:sz="0" w:space="0" w:color="auto"/>
        <w:bottom w:val="none" w:sz="0" w:space="0" w:color="auto"/>
        <w:right w:val="none" w:sz="0" w:space="0" w:color="auto"/>
      </w:divBdr>
    </w:div>
    <w:div w:id="179004485">
      <w:bodyDiv w:val="1"/>
      <w:marLeft w:val="0"/>
      <w:marRight w:val="0"/>
      <w:marTop w:val="0"/>
      <w:marBottom w:val="0"/>
      <w:divBdr>
        <w:top w:val="none" w:sz="0" w:space="0" w:color="auto"/>
        <w:left w:val="none" w:sz="0" w:space="0" w:color="auto"/>
        <w:bottom w:val="none" w:sz="0" w:space="0" w:color="auto"/>
        <w:right w:val="none" w:sz="0" w:space="0" w:color="auto"/>
      </w:divBdr>
    </w:div>
    <w:div w:id="206769137">
      <w:bodyDiv w:val="1"/>
      <w:marLeft w:val="0"/>
      <w:marRight w:val="0"/>
      <w:marTop w:val="0"/>
      <w:marBottom w:val="0"/>
      <w:divBdr>
        <w:top w:val="none" w:sz="0" w:space="0" w:color="auto"/>
        <w:left w:val="none" w:sz="0" w:space="0" w:color="auto"/>
        <w:bottom w:val="none" w:sz="0" w:space="0" w:color="auto"/>
        <w:right w:val="none" w:sz="0" w:space="0" w:color="auto"/>
      </w:divBdr>
    </w:div>
    <w:div w:id="210310960">
      <w:bodyDiv w:val="1"/>
      <w:marLeft w:val="0"/>
      <w:marRight w:val="0"/>
      <w:marTop w:val="0"/>
      <w:marBottom w:val="0"/>
      <w:divBdr>
        <w:top w:val="none" w:sz="0" w:space="0" w:color="auto"/>
        <w:left w:val="none" w:sz="0" w:space="0" w:color="auto"/>
        <w:bottom w:val="none" w:sz="0" w:space="0" w:color="auto"/>
        <w:right w:val="none" w:sz="0" w:space="0" w:color="auto"/>
      </w:divBdr>
    </w:div>
    <w:div w:id="236134519">
      <w:bodyDiv w:val="1"/>
      <w:marLeft w:val="0"/>
      <w:marRight w:val="0"/>
      <w:marTop w:val="0"/>
      <w:marBottom w:val="0"/>
      <w:divBdr>
        <w:top w:val="none" w:sz="0" w:space="0" w:color="auto"/>
        <w:left w:val="none" w:sz="0" w:space="0" w:color="auto"/>
        <w:bottom w:val="none" w:sz="0" w:space="0" w:color="auto"/>
        <w:right w:val="none" w:sz="0" w:space="0" w:color="auto"/>
      </w:divBdr>
    </w:div>
    <w:div w:id="321276624">
      <w:bodyDiv w:val="1"/>
      <w:marLeft w:val="0"/>
      <w:marRight w:val="0"/>
      <w:marTop w:val="0"/>
      <w:marBottom w:val="0"/>
      <w:divBdr>
        <w:top w:val="none" w:sz="0" w:space="0" w:color="auto"/>
        <w:left w:val="none" w:sz="0" w:space="0" w:color="auto"/>
        <w:bottom w:val="none" w:sz="0" w:space="0" w:color="auto"/>
        <w:right w:val="none" w:sz="0" w:space="0" w:color="auto"/>
      </w:divBdr>
    </w:div>
    <w:div w:id="356347715">
      <w:bodyDiv w:val="1"/>
      <w:marLeft w:val="0"/>
      <w:marRight w:val="0"/>
      <w:marTop w:val="0"/>
      <w:marBottom w:val="0"/>
      <w:divBdr>
        <w:top w:val="none" w:sz="0" w:space="0" w:color="auto"/>
        <w:left w:val="none" w:sz="0" w:space="0" w:color="auto"/>
        <w:bottom w:val="none" w:sz="0" w:space="0" w:color="auto"/>
        <w:right w:val="none" w:sz="0" w:space="0" w:color="auto"/>
      </w:divBdr>
    </w:div>
    <w:div w:id="377359757">
      <w:bodyDiv w:val="1"/>
      <w:marLeft w:val="0"/>
      <w:marRight w:val="0"/>
      <w:marTop w:val="0"/>
      <w:marBottom w:val="0"/>
      <w:divBdr>
        <w:top w:val="none" w:sz="0" w:space="0" w:color="auto"/>
        <w:left w:val="none" w:sz="0" w:space="0" w:color="auto"/>
        <w:bottom w:val="none" w:sz="0" w:space="0" w:color="auto"/>
        <w:right w:val="none" w:sz="0" w:space="0" w:color="auto"/>
      </w:divBdr>
    </w:div>
    <w:div w:id="378483683">
      <w:bodyDiv w:val="1"/>
      <w:marLeft w:val="0"/>
      <w:marRight w:val="0"/>
      <w:marTop w:val="0"/>
      <w:marBottom w:val="0"/>
      <w:divBdr>
        <w:top w:val="none" w:sz="0" w:space="0" w:color="auto"/>
        <w:left w:val="none" w:sz="0" w:space="0" w:color="auto"/>
        <w:bottom w:val="none" w:sz="0" w:space="0" w:color="auto"/>
        <w:right w:val="none" w:sz="0" w:space="0" w:color="auto"/>
      </w:divBdr>
    </w:div>
    <w:div w:id="400443456">
      <w:bodyDiv w:val="1"/>
      <w:marLeft w:val="0"/>
      <w:marRight w:val="0"/>
      <w:marTop w:val="0"/>
      <w:marBottom w:val="0"/>
      <w:divBdr>
        <w:top w:val="none" w:sz="0" w:space="0" w:color="auto"/>
        <w:left w:val="none" w:sz="0" w:space="0" w:color="auto"/>
        <w:bottom w:val="none" w:sz="0" w:space="0" w:color="auto"/>
        <w:right w:val="none" w:sz="0" w:space="0" w:color="auto"/>
      </w:divBdr>
    </w:div>
    <w:div w:id="403920890">
      <w:bodyDiv w:val="1"/>
      <w:marLeft w:val="0"/>
      <w:marRight w:val="0"/>
      <w:marTop w:val="0"/>
      <w:marBottom w:val="0"/>
      <w:divBdr>
        <w:top w:val="none" w:sz="0" w:space="0" w:color="auto"/>
        <w:left w:val="none" w:sz="0" w:space="0" w:color="auto"/>
        <w:bottom w:val="none" w:sz="0" w:space="0" w:color="auto"/>
        <w:right w:val="none" w:sz="0" w:space="0" w:color="auto"/>
      </w:divBdr>
    </w:div>
    <w:div w:id="441075241">
      <w:bodyDiv w:val="1"/>
      <w:marLeft w:val="0"/>
      <w:marRight w:val="0"/>
      <w:marTop w:val="0"/>
      <w:marBottom w:val="0"/>
      <w:divBdr>
        <w:top w:val="none" w:sz="0" w:space="0" w:color="auto"/>
        <w:left w:val="none" w:sz="0" w:space="0" w:color="auto"/>
        <w:bottom w:val="none" w:sz="0" w:space="0" w:color="auto"/>
        <w:right w:val="none" w:sz="0" w:space="0" w:color="auto"/>
      </w:divBdr>
      <w:divsChild>
        <w:div w:id="243299424">
          <w:marLeft w:val="562"/>
          <w:marRight w:val="0"/>
          <w:marTop w:val="0"/>
          <w:marBottom w:val="0"/>
          <w:divBdr>
            <w:top w:val="none" w:sz="0" w:space="0" w:color="auto"/>
            <w:left w:val="none" w:sz="0" w:space="0" w:color="auto"/>
            <w:bottom w:val="none" w:sz="0" w:space="0" w:color="auto"/>
            <w:right w:val="none" w:sz="0" w:space="0" w:color="auto"/>
          </w:divBdr>
        </w:div>
        <w:div w:id="283729610">
          <w:marLeft w:val="562"/>
          <w:marRight w:val="0"/>
          <w:marTop w:val="0"/>
          <w:marBottom w:val="0"/>
          <w:divBdr>
            <w:top w:val="none" w:sz="0" w:space="0" w:color="auto"/>
            <w:left w:val="none" w:sz="0" w:space="0" w:color="auto"/>
            <w:bottom w:val="none" w:sz="0" w:space="0" w:color="auto"/>
            <w:right w:val="none" w:sz="0" w:space="0" w:color="auto"/>
          </w:divBdr>
        </w:div>
        <w:div w:id="639649058">
          <w:marLeft w:val="562"/>
          <w:marRight w:val="0"/>
          <w:marTop w:val="0"/>
          <w:marBottom w:val="0"/>
          <w:divBdr>
            <w:top w:val="none" w:sz="0" w:space="0" w:color="auto"/>
            <w:left w:val="none" w:sz="0" w:space="0" w:color="auto"/>
            <w:bottom w:val="none" w:sz="0" w:space="0" w:color="auto"/>
            <w:right w:val="none" w:sz="0" w:space="0" w:color="auto"/>
          </w:divBdr>
        </w:div>
        <w:div w:id="863788924">
          <w:marLeft w:val="562"/>
          <w:marRight w:val="0"/>
          <w:marTop w:val="0"/>
          <w:marBottom w:val="0"/>
          <w:divBdr>
            <w:top w:val="none" w:sz="0" w:space="0" w:color="auto"/>
            <w:left w:val="none" w:sz="0" w:space="0" w:color="auto"/>
            <w:bottom w:val="none" w:sz="0" w:space="0" w:color="auto"/>
            <w:right w:val="none" w:sz="0" w:space="0" w:color="auto"/>
          </w:divBdr>
        </w:div>
        <w:div w:id="1107458764">
          <w:marLeft w:val="562"/>
          <w:marRight w:val="0"/>
          <w:marTop w:val="0"/>
          <w:marBottom w:val="0"/>
          <w:divBdr>
            <w:top w:val="none" w:sz="0" w:space="0" w:color="auto"/>
            <w:left w:val="none" w:sz="0" w:space="0" w:color="auto"/>
            <w:bottom w:val="none" w:sz="0" w:space="0" w:color="auto"/>
            <w:right w:val="none" w:sz="0" w:space="0" w:color="auto"/>
          </w:divBdr>
        </w:div>
        <w:div w:id="1573544909">
          <w:marLeft w:val="562"/>
          <w:marRight w:val="0"/>
          <w:marTop w:val="0"/>
          <w:marBottom w:val="0"/>
          <w:divBdr>
            <w:top w:val="none" w:sz="0" w:space="0" w:color="auto"/>
            <w:left w:val="none" w:sz="0" w:space="0" w:color="auto"/>
            <w:bottom w:val="none" w:sz="0" w:space="0" w:color="auto"/>
            <w:right w:val="none" w:sz="0" w:space="0" w:color="auto"/>
          </w:divBdr>
        </w:div>
        <w:div w:id="1637100612">
          <w:marLeft w:val="562"/>
          <w:marRight w:val="0"/>
          <w:marTop w:val="0"/>
          <w:marBottom w:val="0"/>
          <w:divBdr>
            <w:top w:val="none" w:sz="0" w:space="0" w:color="auto"/>
            <w:left w:val="none" w:sz="0" w:space="0" w:color="auto"/>
            <w:bottom w:val="none" w:sz="0" w:space="0" w:color="auto"/>
            <w:right w:val="none" w:sz="0" w:space="0" w:color="auto"/>
          </w:divBdr>
        </w:div>
        <w:div w:id="1923710326">
          <w:marLeft w:val="562"/>
          <w:marRight w:val="0"/>
          <w:marTop w:val="0"/>
          <w:marBottom w:val="0"/>
          <w:divBdr>
            <w:top w:val="none" w:sz="0" w:space="0" w:color="auto"/>
            <w:left w:val="none" w:sz="0" w:space="0" w:color="auto"/>
            <w:bottom w:val="none" w:sz="0" w:space="0" w:color="auto"/>
            <w:right w:val="none" w:sz="0" w:space="0" w:color="auto"/>
          </w:divBdr>
        </w:div>
      </w:divsChild>
    </w:div>
    <w:div w:id="444273923">
      <w:bodyDiv w:val="1"/>
      <w:marLeft w:val="0"/>
      <w:marRight w:val="0"/>
      <w:marTop w:val="0"/>
      <w:marBottom w:val="0"/>
      <w:divBdr>
        <w:top w:val="none" w:sz="0" w:space="0" w:color="auto"/>
        <w:left w:val="none" w:sz="0" w:space="0" w:color="auto"/>
        <w:bottom w:val="none" w:sz="0" w:space="0" w:color="auto"/>
        <w:right w:val="none" w:sz="0" w:space="0" w:color="auto"/>
      </w:divBdr>
      <w:divsChild>
        <w:div w:id="1049912714">
          <w:marLeft w:val="720"/>
          <w:marRight w:val="0"/>
          <w:marTop w:val="120"/>
          <w:marBottom w:val="120"/>
          <w:divBdr>
            <w:top w:val="none" w:sz="0" w:space="0" w:color="auto"/>
            <w:left w:val="none" w:sz="0" w:space="0" w:color="auto"/>
            <w:bottom w:val="none" w:sz="0" w:space="0" w:color="auto"/>
            <w:right w:val="none" w:sz="0" w:space="0" w:color="auto"/>
          </w:divBdr>
        </w:div>
        <w:div w:id="1131436999">
          <w:marLeft w:val="720"/>
          <w:marRight w:val="0"/>
          <w:marTop w:val="120"/>
          <w:marBottom w:val="120"/>
          <w:divBdr>
            <w:top w:val="none" w:sz="0" w:space="0" w:color="auto"/>
            <w:left w:val="none" w:sz="0" w:space="0" w:color="auto"/>
            <w:bottom w:val="none" w:sz="0" w:space="0" w:color="auto"/>
            <w:right w:val="none" w:sz="0" w:space="0" w:color="auto"/>
          </w:divBdr>
        </w:div>
        <w:div w:id="1973977034">
          <w:marLeft w:val="720"/>
          <w:marRight w:val="0"/>
          <w:marTop w:val="120"/>
          <w:marBottom w:val="120"/>
          <w:divBdr>
            <w:top w:val="none" w:sz="0" w:space="0" w:color="auto"/>
            <w:left w:val="none" w:sz="0" w:space="0" w:color="auto"/>
            <w:bottom w:val="none" w:sz="0" w:space="0" w:color="auto"/>
            <w:right w:val="none" w:sz="0" w:space="0" w:color="auto"/>
          </w:divBdr>
        </w:div>
        <w:div w:id="2048797896">
          <w:marLeft w:val="720"/>
          <w:marRight w:val="0"/>
          <w:marTop w:val="120"/>
          <w:marBottom w:val="120"/>
          <w:divBdr>
            <w:top w:val="none" w:sz="0" w:space="0" w:color="auto"/>
            <w:left w:val="none" w:sz="0" w:space="0" w:color="auto"/>
            <w:bottom w:val="none" w:sz="0" w:space="0" w:color="auto"/>
            <w:right w:val="none" w:sz="0" w:space="0" w:color="auto"/>
          </w:divBdr>
        </w:div>
      </w:divsChild>
    </w:div>
    <w:div w:id="475297944">
      <w:bodyDiv w:val="1"/>
      <w:marLeft w:val="0"/>
      <w:marRight w:val="0"/>
      <w:marTop w:val="0"/>
      <w:marBottom w:val="0"/>
      <w:divBdr>
        <w:top w:val="none" w:sz="0" w:space="0" w:color="auto"/>
        <w:left w:val="none" w:sz="0" w:space="0" w:color="auto"/>
        <w:bottom w:val="none" w:sz="0" w:space="0" w:color="auto"/>
        <w:right w:val="none" w:sz="0" w:space="0" w:color="auto"/>
      </w:divBdr>
    </w:div>
    <w:div w:id="485365361">
      <w:bodyDiv w:val="1"/>
      <w:marLeft w:val="0"/>
      <w:marRight w:val="0"/>
      <w:marTop w:val="0"/>
      <w:marBottom w:val="0"/>
      <w:divBdr>
        <w:top w:val="none" w:sz="0" w:space="0" w:color="auto"/>
        <w:left w:val="none" w:sz="0" w:space="0" w:color="auto"/>
        <w:bottom w:val="none" w:sz="0" w:space="0" w:color="auto"/>
        <w:right w:val="none" w:sz="0" w:space="0" w:color="auto"/>
      </w:divBdr>
    </w:div>
    <w:div w:id="511381350">
      <w:bodyDiv w:val="1"/>
      <w:marLeft w:val="0"/>
      <w:marRight w:val="0"/>
      <w:marTop w:val="0"/>
      <w:marBottom w:val="0"/>
      <w:divBdr>
        <w:top w:val="none" w:sz="0" w:space="0" w:color="auto"/>
        <w:left w:val="none" w:sz="0" w:space="0" w:color="auto"/>
        <w:bottom w:val="none" w:sz="0" w:space="0" w:color="auto"/>
        <w:right w:val="none" w:sz="0" w:space="0" w:color="auto"/>
      </w:divBdr>
    </w:div>
    <w:div w:id="533732129">
      <w:bodyDiv w:val="1"/>
      <w:marLeft w:val="0"/>
      <w:marRight w:val="0"/>
      <w:marTop w:val="0"/>
      <w:marBottom w:val="0"/>
      <w:divBdr>
        <w:top w:val="none" w:sz="0" w:space="0" w:color="auto"/>
        <w:left w:val="none" w:sz="0" w:space="0" w:color="auto"/>
        <w:bottom w:val="none" w:sz="0" w:space="0" w:color="auto"/>
        <w:right w:val="none" w:sz="0" w:space="0" w:color="auto"/>
      </w:divBdr>
    </w:div>
    <w:div w:id="568540514">
      <w:bodyDiv w:val="1"/>
      <w:marLeft w:val="0"/>
      <w:marRight w:val="0"/>
      <w:marTop w:val="0"/>
      <w:marBottom w:val="0"/>
      <w:divBdr>
        <w:top w:val="none" w:sz="0" w:space="0" w:color="auto"/>
        <w:left w:val="none" w:sz="0" w:space="0" w:color="auto"/>
        <w:bottom w:val="none" w:sz="0" w:space="0" w:color="auto"/>
        <w:right w:val="none" w:sz="0" w:space="0" w:color="auto"/>
      </w:divBdr>
    </w:div>
    <w:div w:id="605579598">
      <w:bodyDiv w:val="1"/>
      <w:marLeft w:val="0"/>
      <w:marRight w:val="0"/>
      <w:marTop w:val="0"/>
      <w:marBottom w:val="0"/>
      <w:divBdr>
        <w:top w:val="none" w:sz="0" w:space="0" w:color="auto"/>
        <w:left w:val="none" w:sz="0" w:space="0" w:color="auto"/>
        <w:bottom w:val="none" w:sz="0" w:space="0" w:color="auto"/>
        <w:right w:val="none" w:sz="0" w:space="0" w:color="auto"/>
      </w:divBdr>
      <w:divsChild>
        <w:div w:id="1355889442">
          <w:marLeft w:val="547"/>
          <w:marRight w:val="0"/>
          <w:marTop w:val="0"/>
          <w:marBottom w:val="0"/>
          <w:divBdr>
            <w:top w:val="none" w:sz="0" w:space="0" w:color="auto"/>
            <w:left w:val="none" w:sz="0" w:space="0" w:color="auto"/>
            <w:bottom w:val="none" w:sz="0" w:space="0" w:color="auto"/>
            <w:right w:val="none" w:sz="0" w:space="0" w:color="auto"/>
          </w:divBdr>
        </w:div>
        <w:div w:id="1678383856">
          <w:marLeft w:val="547"/>
          <w:marRight w:val="0"/>
          <w:marTop w:val="0"/>
          <w:marBottom w:val="0"/>
          <w:divBdr>
            <w:top w:val="none" w:sz="0" w:space="0" w:color="auto"/>
            <w:left w:val="none" w:sz="0" w:space="0" w:color="auto"/>
            <w:bottom w:val="none" w:sz="0" w:space="0" w:color="auto"/>
            <w:right w:val="none" w:sz="0" w:space="0" w:color="auto"/>
          </w:divBdr>
        </w:div>
      </w:divsChild>
    </w:div>
    <w:div w:id="606278615">
      <w:bodyDiv w:val="1"/>
      <w:marLeft w:val="0"/>
      <w:marRight w:val="0"/>
      <w:marTop w:val="0"/>
      <w:marBottom w:val="0"/>
      <w:divBdr>
        <w:top w:val="none" w:sz="0" w:space="0" w:color="auto"/>
        <w:left w:val="none" w:sz="0" w:space="0" w:color="auto"/>
        <w:bottom w:val="none" w:sz="0" w:space="0" w:color="auto"/>
        <w:right w:val="none" w:sz="0" w:space="0" w:color="auto"/>
      </w:divBdr>
    </w:div>
    <w:div w:id="620964165">
      <w:bodyDiv w:val="1"/>
      <w:marLeft w:val="0"/>
      <w:marRight w:val="0"/>
      <w:marTop w:val="0"/>
      <w:marBottom w:val="0"/>
      <w:divBdr>
        <w:top w:val="none" w:sz="0" w:space="0" w:color="auto"/>
        <w:left w:val="none" w:sz="0" w:space="0" w:color="auto"/>
        <w:bottom w:val="none" w:sz="0" w:space="0" w:color="auto"/>
        <w:right w:val="none" w:sz="0" w:space="0" w:color="auto"/>
      </w:divBdr>
    </w:div>
    <w:div w:id="635257162">
      <w:bodyDiv w:val="1"/>
      <w:marLeft w:val="0"/>
      <w:marRight w:val="0"/>
      <w:marTop w:val="0"/>
      <w:marBottom w:val="0"/>
      <w:divBdr>
        <w:top w:val="none" w:sz="0" w:space="0" w:color="auto"/>
        <w:left w:val="none" w:sz="0" w:space="0" w:color="auto"/>
        <w:bottom w:val="none" w:sz="0" w:space="0" w:color="auto"/>
        <w:right w:val="none" w:sz="0" w:space="0" w:color="auto"/>
      </w:divBdr>
    </w:div>
    <w:div w:id="703292138">
      <w:bodyDiv w:val="1"/>
      <w:marLeft w:val="0"/>
      <w:marRight w:val="0"/>
      <w:marTop w:val="0"/>
      <w:marBottom w:val="0"/>
      <w:divBdr>
        <w:top w:val="none" w:sz="0" w:space="0" w:color="auto"/>
        <w:left w:val="none" w:sz="0" w:space="0" w:color="auto"/>
        <w:bottom w:val="none" w:sz="0" w:space="0" w:color="auto"/>
        <w:right w:val="none" w:sz="0" w:space="0" w:color="auto"/>
      </w:divBdr>
      <w:divsChild>
        <w:div w:id="1389111285">
          <w:marLeft w:val="0"/>
          <w:marRight w:val="0"/>
          <w:marTop w:val="0"/>
          <w:marBottom w:val="0"/>
          <w:divBdr>
            <w:top w:val="none" w:sz="0" w:space="0" w:color="auto"/>
            <w:left w:val="none" w:sz="0" w:space="0" w:color="auto"/>
            <w:bottom w:val="none" w:sz="0" w:space="0" w:color="auto"/>
            <w:right w:val="none" w:sz="0" w:space="0" w:color="auto"/>
          </w:divBdr>
        </w:div>
      </w:divsChild>
    </w:div>
    <w:div w:id="749234607">
      <w:bodyDiv w:val="1"/>
      <w:marLeft w:val="0"/>
      <w:marRight w:val="0"/>
      <w:marTop w:val="0"/>
      <w:marBottom w:val="0"/>
      <w:divBdr>
        <w:top w:val="none" w:sz="0" w:space="0" w:color="auto"/>
        <w:left w:val="none" w:sz="0" w:space="0" w:color="auto"/>
        <w:bottom w:val="none" w:sz="0" w:space="0" w:color="auto"/>
        <w:right w:val="none" w:sz="0" w:space="0" w:color="auto"/>
      </w:divBdr>
      <w:divsChild>
        <w:div w:id="747463117">
          <w:marLeft w:val="994"/>
          <w:marRight w:val="0"/>
          <w:marTop w:val="0"/>
          <w:marBottom w:val="0"/>
          <w:divBdr>
            <w:top w:val="none" w:sz="0" w:space="0" w:color="auto"/>
            <w:left w:val="none" w:sz="0" w:space="0" w:color="auto"/>
            <w:bottom w:val="none" w:sz="0" w:space="0" w:color="auto"/>
            <w:right w:val="none" w:sz="0" w:space="0" w:color="auto"/>
          </w:divBdr>
        </w:div>
        <w:div w:id="1625311982">
          <w:marLeft w:val="994"/>
          <w:marRight w:val="0"/>
          <w:marTop w:val="0"/>
          <w:marBottom w:val="0"/>
          <w:divBdr>
            <w:top w:val="none" w:sz="0" w:space="0" w:color="auto"/>
            <w:left w:val="none" w:sz="0" w:space="0" w:color="auto"/>
            <w:bottom w:val="none" w:sz="0" w:space="0" w:color="auto"/>
            <w:right w:val="none" w:sz="0" w:space="0" w:color="auto"/>
          </w:divBdr>
        </w:div>
        <w:div w:id="1849439107">
          <w:marLeft w:val="994"/>
          <w:marRight w:val="0"/>
          <w:marTop w:val="0"/>
          <w:marBottom w:val="0"/>
          <w:divBdr>
            <w:top w:val="none" w:sz="0" w:space="0" w:color="auto"/>
            <w:left w:val="none" w:sz="0" w:space="0" w:color="auto"/>
            <w:bottom w:val="none" w:sz="0" w:space="0" w:color="auto"/>
            <w:right w:val="none" w:sz="0" w:space="0" w:color="auto"/>
          </w:divBdr>
        </w:div>
      </w:divsChild>
    </w:div>
    <w:div w:id="786122420">
      <w:bodyDiv w:val="1"/>
      <w:marLeft w:val="0"/>
      <w:marRight w:val="0"/>
      <w:marTop w:val="0"/>
      <w:marBottom w:val="0"/>
      <w:divBdr>
        <w:top w:val="none" w:sz="0" w:space="0" w:color="auto"/>
        <w:left w:val="none" w:sz="0" w:space="0" w:color="auto"/>
        <w:bottom w:val="none" w:sz="0" w:space="0" w:color="auto"/>
        <w:right w:val="none" w:sz="0" w:space="0" w:color="auto"/>
      </w:divBdr>
    </w:div>
    <w:div w:id="816804186">
      <w:bodyDiv w:val="1"/>
      <w:marLeft w:val="0"/>
      <w:marRight w:val="0"/>
      <w:marTop w:val="0"/>
      <w:marBottom w:val="0"/>
      <w:divBdr>
        <w:top w:val="none" w:sz="0" w:space="0" w:color="auto"/>
        <w:left w:val="none" w:sz="0" w:space="0" w:color="auto"/>
        <w:bottom w:val="none" w:sz="0" w:space="0" w:color="auto"/>
        <w:right w:val="none" w:sz="0" w:space="0" w:color="auto"/>
      </w:divBdr>
      <w:divsChild>
        <w:div w:id="31537915">
          <w:marLeft w:val="720"/>
          <w:marRight w:val="0"/>
          <w:marTop w:val="120"/>
          <w:marBottom w:val="120"/>
          <w:divBdr>
            <w:top w:val="none" w:sz="0" w:space="0" w:color="auto"/>
            <w:left w:val="none" w:sz="0" w:space="0" w:color="auto"/>
            <w:bottom w:val="none" w:sz="0" w:space="0" w:color="auto"/>
            <w:right w:val="none" w:sz="0" w:space="0" w:color="auto"/>
          </w:divBdr>
        </w:div>
        <w:div w:id="410086832">
          <w:marLeft w:val="720"/>
          <w:marRight w:val="0"/>
          <w:marTop w:val="120"/>
          <w:marBottom w:val="120"/>
          <w:divBdr>
            <w:top w:val="none" w:sz="0" w:space="0" w:color="auto"/>
            <w:left w:val="none" w:sz="0" w:space="0" w:color="auto"/>
            <w:bottom w:val="none" w:sz="0" w:space="0" w:color="auto"/>
            <w:right w:val="none" w:sz="0" w:space="0" w:color="auto"/>
          </w:divBdr>
        </w:div>
        <w:div w:id="849024396">
          <w:marLeft w:val="720"/>
          <w:marRight w:val="0"/>
          <w:marTop w:val="120"/>
          <w:marBottom w:val="120"/>
          <w:divBdr>
            <w:top w:val="none" w:sz="0" w:space="0" w:color="auto"/>
            <w:left w:val="none" w:sz="0" w:space="0" w:color="auto"/>
            <w:bottom w:val="none" w:sz="0" w:space="0" w:color="auto"/>
            <w:right w:val="none" w:sz="0" w:space="0" w:color="auto"/>
          </w:divBdr>
        </w:div>
        <w:div w:id="1875724822">
          <w:marLeft w:val="720"/>
          <w:marRight w:val="0"/>
          <w:marTop w:val="120"/>
          <w:marBottom w:val="120"/>
          <w:divBdr>
            <w:top w:val="none" w:sz="0" w:space="0" w:color="auto"/>
            <w:left w:val="none" w:sz="0" w:space="0" w:color="auto"/>
            <w:bottom w:val="none" w:sz="0" w:space="0" w:color="auto"/>
            <w:right w:val="none" w:sz="0" w:space="0" w:color="auto"/>
          </w:divBdr>
        </w:div>
      </w:divsChild>
    </w:div>
    <w:div w:id="852258522">
      <w:bodyDiv w:val="1"/>
      <w:marLeft w:val="0"/>
      <w:marRight w:val="0"/>
      <w:marTop w:val="0"/>
      <w:marBottom w:val="0"/>
      <w:divBdr>
        <w:top w:val="none" w:sz="0" w:space="0" w:color="auto"/>
        <w:left w:val="none" w:sz="0" w:space="0" w:color="auto"/>
        <w:bottom w:val="none" w:sz="0" w:space="0" w:color="auto"/>
        <w:right w:val="none" w:sz="0" w:space="0" w:color="auto"/>
      </w:divBdr>
    </w:div>
    <w:div w:id="885288761">
      <w:bodyDiv w:val="1"/>
      <w:marLeft w:val="0"/>
      <w:marRight w:val="0"/>
      <w:marTop w:val="0"/>
      <w:marBottom w:val="0"/>
      <w:divBdr>
        <w:top w:val="none" w:sz="0" w:space="0" w:color="auto"/>
        <w:left w:val="none" w:sz="0" w:space="0" w:color="auto"/>
        <w:bottom w:val="none" w:sz="0" w:space="0" w:color="auto"/>
        <w:right w:val="none" w:sz="0" w:space="0" w:color="auto"/>
      </w:divBdr>
    </w:div>
    <w:div w:id="909852691">
      <w:bodyDiv w:val="1"/>
      <w:marLeft w:val="0"/>
      <w:marRight w:val="0"/>
      <w:marTop w:val="0"/>
      <w:marBottom w:val="0"/>
      <w:divBdr>
        <w:top w:val="none" w:sz="0" w:space="0" w:color="auto"/>
        <w:left w:val="none" w:sz="0" w:space="0" w:color="auto"/>
        <w:bottom w:val="none" w:sz="0" w:space="0" w:color="auto"/>
        <w:right w:val="none" w:sz="0" w:space="0" w:color="auto"/>
      </w:divBdr>
      <w:divsChild>
        <w:div w:id="614563680">
          <w:marLeft w:val="0"/>
          <w:marRight w:val="0"/>
          <w:marTop w:val="0"/>
          <w:marBottom w:val="0"/>
          <w:divBdr>
            <w:top w:val="none" w:sz="0" w:space="0" w:color="auto"/>
            <w:left w:val="none" w:sz="0" w:space="0" w:color="auto"/>
            <w:bottom w:val="none" w:sz="0" w:space="0" w:color="auto"/>
            <w:right w:val="none" w:sz="0" w:space="0" w:color="auto"/>
          </w:divBdr>
        </w:div>
        <w:div w:id="1185482236">
          <w:marLeft w:val="0"/>
          <w:marRight w:val="0"/>
          <w:marTop w:val="0"/>
          <w:marBottom w:val="0"/>
          <w:divBdr>
            <w:top w:val="none" w:sz="0" w:space="0" w:color="auto"/>
            <w:left w:val="none" w:sz="0" w:space="0" w:color="auto"/>
            <w:bottom w:val="none" w:sz="0" w:space="0" w:color="auto"/>
            <w:right w:val="none" w:sz="0" w:space="0" w:color="auto"/>
          </w:divBdr>
        </w:div>
      </w:divsChild>
    </w:div>
    <w:div w:id="924073167">
      <w:bodyDiv w:val="1"/>
      <w:marLeft w:val="0"/>
      <w:marRight w:val="0"/>
      <w:marTop w:val="0"/>
      <w:marBottom w:val="0"/>
      <w:divBdr>
        <w:top w:val="none" w:sz="0" w:space="0" w:color="auto"/>
        <w:left w:val="none" w:sz="0" w:space="0" w:color="auto"/>
        <w:bottom w:val="none" w:sz="0" w:space="0" w:color="auto"/>
        <w:right w:val="none" w:sz="0" w:space="0" w:color="auto"/>
      </w:divBdr>
      <w:divsChild>
        <w:div w:id="187909782">
          <w:marLeft w:val="547"/>
          <w:marRight w:val="0"/>
          <w:marTop w:val="120"/>
          <w:marBottom w:val="0"/>
          <w:divBdr>
            <w:top w:val="none" w:sz="0" w:space="0" w:color="auto"/>
            <w:left w:val="none" w:sz="0" w:space="0" w:color="auto"/>
            <w:bottom w:val="none" w:sz="0" w:space="0" w:color="auto"/>
            <w:right w:val="none" w:sz="0" w:space="0" w:color="auto"/>
          </w:divBdr>
        </w:div>
        <w:div w:id="484585399">
          <w:marLeft w:val="547"/>
          <w:marRight w:val="0"/>
          <w:marTop w:val="120"/>
          <w:marBottom w:val="0"/>
          <w:divBdr>
            <w:top w:val="none" w:sz="0" w:space="0" w:color="auto"/>
            <w:left w:val="none" w:sz="0" w:space="0" w:color="auto"/>
            <w:bottom w:val="none" w:sz="0" w:space="0" w:color="auto"/>
            <w:right w:val="none" w:sz="0" w:space="0" w:color="auto"/>
          </w:divBdr>
        </w:div>
        <w:div w:id="1363095527">
          <w:marLeft w:val="547"/>
          <w:marRight w:val="0"/>
          <w:marTop w:val="120"/>
          <w:marBottom w:val="0"/>
          <w:divBdr>
            <w:top w:val="none" w:sz="0" w:space="0" w:color="auto"/>
            <w:left w:val="none" w:sz="0" w:space="0" w:color="auto"/>
            <w:bottom w:val="none" w:sz="0" w:space="0" w:color="auto"/>
            <w:right w:val="none" w:sz="0" w:space="0" w:color="auto"/>
          </w:divBdr>
        </w:div>
        <w:div w:id="1567955447">
          <w:marLeft w:val="547"/>
          <w:marRight w:val="0"/>
          <w:marTop w:val="120"/>
          <w:marBottom w:val="0"/>
          <w:divBdr>
            <w:top w:val="none" w:sz="0" w:space="0" w:color="auto"/>
            <w:left w:val="none" w:sz="0" w:space="0" w:color="auto"/>
            <w:bottom w:val="none" w:sz="0" w:space="0" w:color="auto"/>
            <w:right w:val="none" w:sz="0" w:space="0" w:color="auto"/>
          </w:divBdr>
        </w:div>
        <w:div w:id="1883515054">
          <w:marLeft w:val="547"/>
          <w:marRight w:val="0"/>
          <w:marTop w:val="120"/>
          <w:marBottom w:val="0"/>
          <w:divBdr>
            <w:top w:val="none" w:sz="0" w:space="0" w:color="auto"/>
            <w:left w:val="none" w:sz="0" w:space="0" w:color="auto"/>
            <w:bottom w:val="none" w:sz="0" w:space="0" w:color="auto"/>
            <w:right w:val="none" w:sz="0" w:space="0" w:color="auto"/>
          </w:divBdr>
        </w:div>
        <w:div w:id="2009475503">
          <w:marLeft w:val="547"/>
          <w:marRight w:val="0"/>
          <w:marTop w:val="120"/>
          <w:marBottom w:val="0"/>
          <w:divBdr>
            <w:top w:val="none" w:sz="0" w:space="0" w:color="auto"/>
            <w:left w:val="none" w:sz="0" w:space="0" w:color="auto"/>
            <w:bottom w:val="none" w:sz="0" w:space="0" w:color="auto"/>
            <w:right w:val="none" w:sz="0" w:space="0" w:color="auto"/>
          </w:divBdr>
        </w:div>
      </w:divsChild>
    </w:div>
    <w:div w:id="943732402">
      <w:bodyDiv w:val="1"/>
      <w:marLeft w:val="0"/>
      <w:marRight w:val="0"/>
      <w:marTop w:val="0"/>
      <w:marBottom w:val="0"/>
      <w:divBdr>
        <w:top w:val="none" w:sz="0" w:space="0" w:color="auto"/>
        <w:left w:val="none" w:sz="0" w:space="0" w:color="auto"/>
        <w:bottom w:val="none" w:sz="0" w:space="0" w:color="auto"/>
        <w:right w:val="none" w:sz="0" w:space="0" w:color="auto"/>
      </w:divBdr>
    </w:div>
    <w:div w:id="972295663">
      <w:bodyDiv w:val="1"/>
      <w:marLeft w:val="0"/>
      <w:marRight w:val="0"/>
      <w:marTop w:val="0"/>
      <w:marBottom w:val="0"/>
      <w:divBdr>
        <w:top w:val="none" w:sz="0" w:space="0" w:color="auto"/>
        <w:left w:val="none" w:sz="0" w:space="0" w:color="auto"/>
        <w:bottom w:val="none" w:sz="0" w:space="0" w:color="auto"/>
        <w:right w:val="none" w:sz="0" w:space="0" w:color="auto"/>
      </w:divBdr>
    </w:div>
    <w:div w:id="1101989658">
      <w:bodyDiv w:val="1"/>
      <w:marLeft w:val="0"/>
      <w:marRight w:val="0"/>
      <w:marTop w:val="0"/>
      <w:marBottom w:val="0"/>
      <w:divBdr>
        <w:top w:val="none" w:sz="0" w:space="0" w:color="auto"/>
        <w:left w:val="none" w:sz="0" w:space="0" w:color="auto"/>
        <w:bottom w:val="none" w:sz="0" w:space="0" w:color="auto"/>
        <w:right w:val="none" w:sz="0" w:space="0" w:color="auto"/>
      </w:divBdr>
    </w:div>
    <w:div w:id="1102602223">
      <w:bodyDiv w:val="1"/>
      <w:marLeft w:val="0"/>
      <w:marRight w:val="0"/>
      <w:marTop w:val="0"/>
      <w:marBottom w:val="0"/>
      <w:divBdr>
        <w:top w:val="none" w:sz="0" w:space="0" w:color="auto"/>
        <w:left w:val="none" w:sz="0" w:space="0" w:color="auto"/>
        <w:bottom w:val="none" w:sz="0" w:space="0" w:color="auto"/>
        <w:right w:val="none" w:sz="0" w:space="0" w:color="auto"/>
      </w:divBdr>
      <w:divsChild>
        <w:div w:id="34815189">
          <w:marLeft w:val="0"/>
          <w:marRight w:val="0"/>
          <w:marTop w:val="0"/>
          <w:marBottom w:val="0"/>
          <w:divBdr>
            <w:top w:val="none" w:sz="0" w:space="0" w:color="auto"/>
            <w:left w:val="none" w:sz="0" w:space="0" w:color="auto"/>
            <w:bottom w:val="none" w:sz="0" w:space="0" w:color="auto"/>
            <w:right w:val="none" w:sz="0" w:space="0" w:color="auto"/>
          </w:divBdr>
          <w:divsChild>
            <w:div w:id="1673489189">
              <w:marLeft w:val="0"/>
              <w:marRight w:val="0"/>
              <w:marTop w:val="0"/>
              <w:marBottom w:val="0"/>
              <w:divBdr>
                <w:top w:val="none" w:sz="0" w:space="0" w:color="auto"/>
                <w:left w:val="none" w:sz="0" w:space="0" w:color="auto"/>
                <w:bottom w:val="none" w:sz="0" w:space="0" w:color="auto"/>
                <w:right w:val="none" w:sz="0" w:space="0" w:color="auto"/>
              </w:divBdr>
              <w:divsChild>
                <w:div w:id="275453315">
                  <w:marLeft w:val="0"/>
                  <w:marRight w:val="0"/>
                  <w:marTop w:val="0"/>
                  <w:marBottom w:val="0"/>
                  <w:divBdr>
                    <w:top w:val="none" w:sz="0" w:space="0" w:color="auto"/>
                    <w:left w:val="none" w:sz="0" w:space="0" w:color="auto"/>
                    <w:bottom w:val="none" w:sz="0" w:space="0" w:color="auto"/>
                    <w:right w:val="none" w:sz="0" w:space="0" w:color="auto"/>
                  </w:divBdr>
                  <w:divsChild>
                    <w:div w:id="318772062">
                      <w:marLeft w:val="0"/>
                      <w:marRight w:val="0"/>
                      <w:marTop w:val="0"/>
                      <w:marBottom w:val="0"/>
                      <w:divBdr>
                        <w:top w:val="none" w:sz="0" w:space="0" w:color="auto"/>
                        <w:left w:val="none" w:sz="0" w:space="0" w:color="auto"/>
                        <w:bottom w:val="none" w:sz="0" w:space="0" w:color="auto"/>
                        <w:right w:val="none" w:sz="0" w:space="0" w:color="auto"/>
                      </w:divBdr>
                      <w:divsChild>
                        <w:div w:id="1398477722">
                          <w:marLeft w:val="0"/>
                          <w:marRight w:val="0"/>
                          <w:marTop w:val="0"/>
                          <w:marBottom w:val="0"/>
                          <w:divBdr>
                            <w:top w:val="none" w:sz="0" w:space="0" w:color="auto"/>
                            <w:left w:val="none" w:sz="0" w:space="0" w:color="auto"/>
                            <w:bottom w:val="none" w:sz="0" w:space="0" w:color="auto"/>
                            <w:right w:val="none" w:sz="0" w:space="0" w:color="auto"/>
                          </w:divBdr>
                          <w:divsChild>
                            <w:div w:id="1732926002">
                              <w:marLeft w:val="0"/>
                              <w:marRight w:val="0"/>
                              <w:marTop w:val="0"/>
                              <w:marBottom w:val="0"/>
                              <w:divBdr>
                                <w:top w:val="none" w:sz="0" w:space="0" w:color="auto"/>
                                <w:left w:val="none" w:sz="0" w:space="0" w:color="auto"/>
                                <w:bottom w:val="none" w:sz="0" w:space="0" w:color="auto"/>
                                <w:right w:val="none" w:sz="0" w:space="0" w:color="auto"/>
                              </w:divBdr>
                              <w:divsChild>
                                <w:div w:id="375277112">
                                  <w:marLeft w:val="0"/>
                                  <w:marRight w:val="0"/>
                                  <w:marTop w:val="0"/>
                                  <w:marBottom w:val="0"/>
                                  <w:divBdr>
                                    <w:top w:val="none" w:sz="0" w:space="0" w:color="auto"/>
                                    <w:left w:val="none" w:sz="0" w:space="0" w:color="auto"/>
                                    <w:bottom w:val="none" w:sz="0" w:space="0" w:color="auto"/>
                                    <w:right w:val="none" w:sz="0" w:space="0" w:color="auto"/>
                                  </w:divBdr>
                                  <w:divsChild>
                                    <w:div w:id="805666432">
                                      <w:marLeft w:val="0"/>
                                      <w:marRight w:val="0"/>
                                      <w:marTop w:val="0"/>
                                      <w:marBottom w:val="0"/>
                                      <w:divBdr>
                                        <w:top w:val="none" w:sz="0" w:space="0" w:color="auto"/>
                                        <w:left w:val="none" w:sz="0" w:space="0" w:color="auto"/>
                                        <w:bottom w:val="none" w:sz="0" w:space="0" w:color="auto"/>
                                        <w:right w:val="none" w:sz="0" w:space="0" w:color="auto"/>
                                      </w:divBdr>
                                      <w:divsChild>
                                        <w:div w:id="1199010245">
                                          <w:marLeft w:val="0"/>
                                          <w:marRight w:val="0"/>
                                          <w:marTop w:val="0"/>
                                          <w:marBottom w:val="0"/>
                                          <w:divBdr>
                                            <w:top w:val="none" w:sz="0" w:space="0" w:color="auto"/>
                                            <w:left w:val="none" w:sz="0" w:space="0" w:color="auto"/>
                                            <w:bottom w:val="none" w:sz="0" w:space="0" w:color="auto"/>
                                            <w:right w:val="none" w:sz="0" w:space="0" w:color="auto"/>
                                          </w:divBdr>
                                          <w:divsChild>
                                            <w:div w:id="1311246118">
                                              <w:marLeft w:val="0"/>
                                              <w:marRight w:val="0"/>
                                              <w:marTop w:val="0"/>
                                              <w:marBottom w:val="0"/>
                                              <w:divBdr>
                                                <w:top w:val="single" w:sz="12" w:space="2" w:color="FFFFCC"/>
                                                <w:left w:val="single" w:sz="12" w:space="2" w:color="FFFFCC"/>
                                                <w:bottom w:val="single" w:sz="12" w:space="2" w:color="FFFFCC"/>
                                                <w:right w:val="single" w:sz="12" w:space="0" w:color="FFFFCC"/>
                                              </w:divBdr>
                                              <w:divsChild>
                                                <w:div w:id="744960549">
                                                  <w:marLeft w:val="0"/>
                                                  <w:marRight w:val="0"/>
                                                  <w:marTop w:val="0"/>
                                                  <w:marBottom w:val="0"/>
                                                  <w:divBdr>
                                                    <w:top w:val="none" w:sz="0" w:space="0" w:color="auto"/>
                                                    <w:left w:val="none" w:sz="0" w:space="0" w:color="auto"/>
                                                    <w:bottom w:val="none" w:sz="0" w:space="0" w:color="auto"/>
                                                    <w:right w:val="none" w:sz="0" w:space="0" w:color="auto"/>
                                                  </w:divBdr>
                                                  <w:divsChild>
                                                    <w:div w:id="1487360560">
                                                      <w:marLeft w:val="0"/>
                                                      <w:marRight w:val="0"/>
                                                      <w:marTop w:val="0"/>
                                                      <w:marBottom w:val="0"/>
                                                      <w:divBdr>
                                                        <w:top w:val="none" w:sz="0" w:space="0" w:color="auto"/>
                                                        <w:left w:val="none" w:sz="0" w:space="0" w:color="auto"/>
                                                        <w:bottom w:val="none" w:sz="0" w:space="0" w:color="auto"/>
                                                        <w:right w:val="none" w:sz="0" w:space="0" w:color="auto"/>
                                                      </w:divBdr>
                                                      <w:divsChild>
                                                        <w:div w:id="1850833694">
                                                          <w:marLeft w:val="0"/>
                                                          <w:marRight w:val="0"/>
                                                          <w:marTop w:val="0"/>
                                                          <w:marBottom w:val="0"/>
                                                          <w:divBdr>
                                                            <w:top w:val="none" w:sz="0" w:space="0" w:color="auto"/>
                                                            <w:left w:val="none" w:sz="0" w:space="0" w:color="auto"/>
                                                            <w:bottom w:val="none" w:sz="0" w:space="0" w:color="auto"/>
                                                            <w:right w:val="none" w:sz="0" w:space="0" w:color="auto"/>
                                                          </w:divBdr>
                                                          <w:divsChild>
                                                            <w:div w:id="1945109323">
                                                              <w:marLeft w:val="0"/>
                                                              <w:marRight w:val="0"/>
                                                              <w:marTop w:val="0"/>
                                                              <w:marBottom w:val="0"/>
                                                              <w:divBdr>
                                                                <w:top w:val="none" w:sz="0" w:space="0" w:color="auto"/>
                                                                <w:left w:val="none" w:sz="0" w:space="0" w:color="auto"/>
                                                                <w:bottom w:val="none" w:sz="0" w:space="0" w:color="auto"/>
                                                                <w:right w:val="none" w:sz="0" w:space="0" w:color="auto"/>
                                                              </w:divBdr>
                                                              <w:divsChild>
                                                                <w:div w:id="178471086">
                                                                  <w:marLeft w:val="0"/>
                                                                  <w:marRight w:val="0"/>
                                                                  <w:marTop w:val="0"/>
                                                                  <w:marBottom w:val="0"/>
                                                                  <w:divBdr>
                                                                    <w:top w:val="none" w:sz="0" w:space="0" w:color="auto"/>
                                                                    <w:left w:val="none" w:sz="0" w:space="0" w:color="auto"/>
                                                                    <w:bottom w:val="none" w:sz="0" w:space="0" w:color="auto"/>
                                                                    <w:right w:val="none" w:sz="0" w:space="0" w:color="auto"/>
                                                                  </w:divBdr>
                                                                  <w:divsChild>
                                                                    <w:div w:id="1988052393">
                                                                      <w:marLeft w:val="0"/>
                                                                      <w:marRight w:val="0"/>
                                                                      <w:marTop w:val="0"/>
                                                                      <w:marBottom w:val="0"/>
                                                                      <w:divBdr>
                                                                        <w:top w:val="none" w:sz="0" w:space="0" w:color="auto"/>
                                                                        <w:left w:val="none" w:sz="0" w:space="0" w:color="auto"/>
                                                                        <w:bottom w:val="none" w:sz="0" w:space="0" w:color="auto"/>
                                                                        <w:right w:val="none" w:sz="0" w:space="0" w:color="auto"/>
                                                                      </w:divBdr>
                                                                      <w:divsChild>
                                                                        <w:div w:id="682973603">
                                                                          <w:marLeft w:val="0"/>
                                                                          <w:marRight w:val="0"/>
                                                                          <w:marTop w:val="0"/>
                                                                          <w:marBottom w:val="0"/>
                                                                          <w:divBdr>
                                                                            <w:top w:val="none" w:sz="0" w:space="0" w:color="auto"/>
                                                                            <w:left w:val="none" w:sz="0" w:space="0" w:color="auto"/>
                                                                            <w:bottom w:val="none" w:sz="0" w:space="0" w:color="auto"/>
                                                                            <w:right w:val="none" w:sz="0" w:space="0" w:color="auto"/>
                                                                          </w:divBdr>
                                                                          <w:divsChild>
                                                                            <w:div w:id="1318150218">
                                                                              <w:marLeft w:val="0"/>
                                                                              <w:marRight w:val="0"/>
                                                                              <w:marTop w:val="0"/>
                                                                              <w:marBottom w:val="0"/>
                                                                              <w:divBdr>
                                                                                <w:top w:val="none" w:sz="0" w:space="0" w:color="auto"/>
                                                                                <w:left w:val="none" w:sz="0" w:space="0" w:color="auto"/>
                                                                                <w:bottom w:val="none" w:sz="0" w:space="0" w:color="auto"/>
                                                                                <w:right w:val="none" w:sz="0" w:space="0" w:color="auto"/>
                                                                              </w:divBdr>
                                                                              <w:divsChild>
                                                                                <w:div w:id="1211112245">
                                                                                  <w:marLeft w:val="0"/>
                                                                                  <w:marRight w:val="0"/>
                                                                                  <w:marTop w:val="0"/>
                                                                                  <w:marBottom w:val="0"/>
                                                                                  <w:divBdr>
                                                                                    <w:top w:val="none" w:sz="0" w:space="0" w:color="auto"/>
                                                                                    <w:left w:val="none" w:sz="0" w:space="0" w:color="auto"/>
                                                                                    <w:bottom w:val="none" w:sz="0" w:space="0" w:color="auto"/>
                                                                                    <w:right w:val="none" w:sz="0" w:space="0" w:color="auto"/>
                                                                                  </w:divBdr>
                                                                                  <w:divsChild>
                                                                                    <w:div w:id="1149711205">
                                                                                      <w:marLeft w:val="0"/>
                                                                                      <w:marRight w:val="0"/>
                                                                                      <w:marTop w:val="0"/>
                                                                                      <w:marBottom w:val="0"/>
                                                                                      <w:divBdr>
                                                                                        <w:top w:val="none" w:sz="0" w:space="0" w:color="auto"/>
                                                                                        <w:left w:val="none" w:sz="0" w:space="0" w:color="auto"/>
                                                                                        <w:bottom w:val="none" w:sz="0" w:space="0" w:color="auto"/>
                                                                                        <w:right w:val="none" w:sz="0" w:space="0" w:color="auto"/>
                                                                                      </w:divBdr>
                                                                                      <w:divsChild>
                                                                                        <w:div w:id="335378142">
                                                                                          <w:marLeft w:val="0"/>
                                                                                          <w:marRight w:val="120"/>
                                                                                          <w:marTop w:val="0"/>
                                                                                          <w:marBottom w:val="150"/>
                                                                                          <w:divBdr>
                                                                                            <w:top w:val="single" w:sz="2" w:space="0" w:color="EFEFEF"/>
                                                                                            <w:left w:val="single" w:sz="6" w:space="0" w:color="EFEFEF"/>
                                                                                            <w:bottom w:val="single" w:sz="6" w:space="0" w:color="E2E2E2"/>
                                                                                            <w:right w:val="single" w:sz="6" w:space="0" w:color="EFEFEF"/>
                                                                                          </w:divBdr>
                                                                                          <w:divsChild>
                                                                                            <w:div w:id="428349769">
                                                                                              <w:marLeft w:val="0"/>
                                                                                              <w:marRight w:val="0"/>
                                                                                              <w:marTop w:val="0"/>
                                                                                              <w:marBottom w:val="0"/>
                                                                                              <w:divBdr>
                                                                                                <w:top w:val="none" w:sz="0" w:space="0" w:color="auto"/>
                                                                                                <w:left w:val="none" w:sz="0" w:space="0" w:color="auto"/>
                                                                                                <w:bottom w:val="none" w:sz="0" w:space="0" w:color="auto"/>
                                                                                                <w:right w:val="none" w:sz="0" w:space="0" w:color="auto"/>
                                                                                              </w:divBdr>
                                                                                              <w:divsChild>
                                                                                                <w:div w:id="2089451129">
                                                                                                  <w:marLeft w:val="0"/>
                                                                                                  <w:marRight w:val="0"/>
                                                                                                  <w:marTop w:val="0"/>
                                                                                                  <w:marBottom w:val="0"/>
                                                                                                  <w:divBdr>
                                                                                                    <w:top w:val="none" w:sz="0" w:space="0" w:color="auto"/>
                                                                                                    <w:left w:val="none" w:sz="0" w:space="0" w:color="auto"/>
                                                                                                    <w:bottom w:val="none" w:sz="0" w:space="0" w:color="auto"/>
                                                                                                    <w:right w:val="none" w:sz="0" w:space="0" w:color="auto"/>
                                                                                                  </w:divBdr>
                                                                                                  <w:divsChild>
                                                                                                    <w:div w:id="740104911">
                                                                                                      <w:marLeft w:val="0"/>
                                                                                                      <w:marRight w:val="0"/>
                                                                                                      <w:marTop w:val="0"/>
                                                                                                      <w:marBottom w:val="0"/>
                                                                                                      <w:divBdr>
                                                                                                        <w:top w:val="none" w:sz="0" w:space="0" w:color="auto"/>
                                                                                                        <w:left w:val="none" w:sz="0" w:space="0" w:color="auto"/>
                                                                                                        <w:bottom w:val="none" w:sz="0" w:space="0" w:color="auto"/>
                                                                                                        <w:right w:val="none" w:sz="0" w:space="0" w:color="auto"/>
                                                                                                      </w:divBdr>
                                                                                                      <w:divsChild>
                                                                                                        <w:div w:id="212886179">
                                                                                                          <w:marLeft w:val="0"/>
                                                                                                          <w:marRight w:val="0"/>
                                                                                                          <w:marTop w:val="0"/>
                                                                                                          <w:marBottom w:val="0"/>
                                                                                                          <w:divBdr>
                                                                                                            <w:top w:val="none" w:sz="0" w:space="0" w:color="auto"/>
                                                                                                            <w:left w:val="none" w:sz="0" w:space="0" w:color="auto"/>
                                                                                                            <w:bottom w:val="none" w:sz="0" w:space="0" w:color="auto"/>
                                                                                                            <w:right w:val="none" w:sz="0" w:space="0" w:color="auto"/>
                                                                                                          </w:divBdr>
                                                                                                          <w:divsChild>
                                                                                                            <w:div w:id="335351105">
                                                                                                              <w:marLeft w:val="0"/>
                                                                                                              <w:marRight w:val="0"/>
                                                                                                              <w:marTop w:val="0"/>
                                                                                                              <w:marBottom w:val="0"/>
                                                                                                              <w:divBdr>
                                                                                                                <w:top w:val="single" w:sz="2" w:space="4" w:color="D8D8D8"/>
                                                                                                                <w:left w:val="single" w:sz="2" w:space="0" w:color="D8D8D8"/>
                                                                                                                <w:bottom w:val="single" w:sz="2" w:space="4" w:color="D8D8D8"/>
                                                                                                                <w:right w:val="single" w:sz="2" w:space="0" w:color="D8D8D8"/>
                                                                                                              </w:divBdr>
                                                                                                              <w:divsChild>
                                                                                                                <w:div w:id="310910538">
                                                                                                                  <w:marLeft w:val="225"/>
                                                                                                                  <w:marRight w:val="225"/>
                                                                                                                  <w:marTop w:val="75"/>
                                                                                                                  <w:marBottom w:val="75"/>
                                                                                                                  <w:divBdr>
                                                                                                                    <w:top w:val="none" w:sz="0" w:space="0" w:color="auto"/>
                                                                                                                    <w:left w:val="none" w:sz="0" w:space="0" w:color="auto"/>
                                                                                                                    <w:bottom w:val="none" w:sz="0" w:space="0" w:color="auto"/>
                                                                                                                    <w:right w:val="none" w:sz="0" w:space="0" w:color="auto"/>
                                                                                                                  </w:divBdr>
                                                                                                                  <w:divsChild>
                                                                                                                    <w:div w:id="1344282013">
                                                                                                                      <w:marLeft w:val="0"/>
                                                                                                                      <w:marRight w:val="0"/>
                                                                                                                      <w:marTop w:val="0"/>
                                                                                                                      <w:marBottom w:val="0"/>
                                                                                                                      <w:divBdr>
                                                                                                                        <w:top w:val="single" w:sz="6" w:space="0" w:color="auto"/>
                                                                                                                        <w:left w:val="single" w:sz="6" w:space="0" w:color="auto"/>
                                                                                                                        <w:bottom w:val="single" w:sz="6" w:space="0" w:color="auto"/>
                                                                                                                        <w:right w:val="single" w:sz="6" w:space="0" w:color="auto"/>
                                                                                                                      </w:divBdr>
                                                                                                                      <w:divsChild>
                                                                                                                        <w:div w:id="1197355177">
                                                                                                                          <w:marLeft w:val="0"/>
                                                                                                                          <w:marRight w:val="0"/>
                                                                                                                          <w:marTop w:val="0"/>
                                                                                                                          <w:marBottom w:val="0"/>
                                                                                                                          <w:divBdr>
                                                                                                                            <w:top w:val="none" w:sz="0" w:space="0" w:color="auto"/>
                                                                                                                            <w:left w:val="none" w:sz="0" w:space="0" w:color="auto"/>
                                                                                                                            <w:bottom w:val="none" w:sz="0" w:space="0" w:color="auto"/>
                                                                                                                            <w:right w:val="none" w:sz="0" w:space="0" w:color="auto"/>
                                                                                                                          </w:divBdr>
                                                                                                                          <w:divsChild>
                                                                                                                            <w:div w:id="107165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191678">
      <w:bodyDiv w:val="1"/>
      <w:marLeft w:val="0"/>
      <w:marRight w:val="0"/>
      <w:marTop w:val="0"/>
      <w:marBottom w:val="0"/>
      <w:divBdr>
        <w:top w:val="none" w:sz="0" w:space="0" w:color="auto"/>
        <w:left w:val="none" w:sz="0" w:space="0" w:color="auto"/>
        <w:bottom w:val="none" w:sz="0" w:space="0" w:color="auto"/>
        <w:right w:val="none" w:sz="0" w:space="0" w:color="auto"/>
      </w:divBdr>
    </w:div>
    <w:div w:id="1289892978">
      <w:bodyDiv w:val="1"/>
      <w:marLeft w:val="0"/>
      <w:marRight w:val="0"/>
      <w:marTop w:val="0"/>
      <w:marBottom w:val="0"/>
      <w:divBdr>
        <w:top w:val="none" w:sz="0" w:space="0" w:color="auto"/>
        <w:left w:val="none" w:sz="0" w:space="0" w:color="auto"/>
        <w:bottom w:val="none" w:sz="0" w:space="0" w:color="auto"/>
        <w:right w:val="none" w:sz="0" w:space="0" w:color="auto"/>
      </w:divBdr>
    </w:div>
    <w:div w:id="1333219517">
      <w:bodyDiv w:val="1"/>
      <w:marLeft w:val="0"/>
      <w:marRight w:val="0"/>
      <w:marTop w:val="0"/>
      <w:marBottom w:val="0"/>
      <w:divBdr>
        <w:top w:val="none" w:sz="0" w:space="0" w:color="auto"/>
        <w:left w:val="none" w:sz="0" w:space="0" w:color="auto"/>
        <w:bottom w:val="none" w:sz="0" w:space="0" w:color="auto"/>
        <w:right w:val="none" w:sz="0" w:space="0" w:color="auto"/>
      </w:divBdr>
      <w:divsChild>
        <w:div w:id="158204140">
          <w:marLeft w:val="547"/>
          <w:marRight w:val="0"/>
          <w:marTop w:val="0"/>
          <w:marBottom w:val="0"/>
          <w:divBdr>
            <w:top w:val="none" w:sz="0" w:space="0" w:color="auto"/>
            <w:left w:val="none" w:sz="0" w:space="0" w:color="auto"/>
            <w:bottom w:val="none" w:sz="0" w:space="0" w:color="auto"/>
            <w:right w:val="none" w:sz="0" w:space="0" w:color="auto"/>
          </w:divBdr>
        </w:div>
        <w:div w:id="950085176">
          <w:marLeft w:val="547"/>
          <w:marRight w:val="0"/>
          <w:marTop w:val="0"/>
          <w:marBottom w:val="0"/>
          <w:divBdr>
            <w:top w:val="none" w:sz="0" w:space="0" w:color="auto"/>
            <w:left w:val="none" w:sz="0" w:space="0" w:color="auto"/>
            <w:bottom w:val="none" w:sz="0" w:space="0" w:color="auto"/>
            <w:right w:val="none" w:sz="0" w:space="0" w:color="auto"/>
          </w:divBdr>
        </w:div>
      </w:divsChild>
    </w:div>
    <w:div w:id="1381436884">
      <w:bodyDiv w:val="1"/>
      <w:marLeft w:val="0"/>
      <w:marRight w:val="0"/>
      <w:marTop w:val="0"/>
      <w:marBottom w:val="0"/>
      <w:divBdr>
        <w:top w:val="none" w:sz="0" w:space="0" w:color="auto"/>
        <w:left w:val="none" w:sz="0" w:space="0" w:color="auto"/>
        <w:bottom w:val="none" w:sz="0" w:space="0" w:color="auto"/>
        <w:right w:val="none" w:sz="0" w:space="0" w:color="auto"/>
      </w:divBdr>
    </w:div>
    <w:div w:id="1452088685">
      <w:bodyDiv w:val="1"/>
      <w:marLeft w:val="0"/>
      <w:marRight w:val="0"/>
      <w:marTop w:val="0"/>
      <w:marBottom w:val="0"/>
      <w:divBdr>
        <w:top w:val="none" w:sz="0" w:space="0" w:color="auto"/>
        <w:left w:val="none" w:sz="0" w:space="0" w:color="auto"/>
        <w:bottom w:val="none" w:sz="0" w:space="0" w:color="auto"/>
        <w:right w:val="none" w:sz="0" w:space="0" w:color="auto"/>
      </w:divBdr>
    </w:div>
    <w:div w:id="1463183328">
      <w:bodyDiv w:val="1"/>
      <w:marLeft w:val="0"/>
      <w:marRight w:val="0"/>
      <w:marTop w:val="0"/>
      <w:marBottom w:val="0"/>
      <w:divBdr>
        <w:top w:val="none" w:sz="0" w:space="0" w:color="auto"/>
        <w:left w:val="none" w:sz="0" w:space="0" w:color="auto"/>
        <w:bottom w:val="none" w:sz="0" w:space="0" w:color="auto"/>
        <w:right w:val="none" w:sz="0" w:space="0" w:color="auto"/>
      </w:divBdr>
    </w:div>
    <w:div w:id="1559052243">
      <w:bodyDiv w:val="1"/>
      <w:marLeft w:val="0"/>
      <w:marRight w:val="0"/>
      <w:marTop w:val="0"/>
      <w:marBottom w:val="0"/>
      <w:divBdr>
        <w:top w:val="none" w:sz="0" w:space="0" w:color="auto"/>
        <w:left w:val="none" w:sz="0" w:space="0" w:color="auto"/>
        <w:bottom w:val="none" w:sz="0" w:space="0" w:color="auto"/>
        <w:right w:val="none" w:sz="0" w:space="0" w:color="auto"/>
      </w:divBdr>
      <w:divsChild>
        <w:div w:id="690108926">
          <w:marLeft w:val="720"/>
          <w:marRight w:val="0"/>
          <w:marTop w:val="120"/>
          <w:marBottom w:val="120"/>
          <w:divBdr>
            <w:top w:val="none" w:sz="0" w:space="0" w:color="auto"/>
            <w:left w:val="none" w:sz="0" w:space="0" w:color="auto"/>
            <w:bottom w:val="none" w:sz="0" w:space="0" w:color="auto"/>
            <w:right w:val="none" w:sz="0" w:space="0" w:color="auto"/>
          </w:divBdr>
        </w:div>
        <w:div w:id="710687097">
          <w:marLeft w:val="720"/>
          <w:marRight w:val="0"/>
          <w:marTop w:val="120"/>
          <w:marBottom w:val="120"/>
          <w:divBdr>
            <w:top w:val="none" w:sz="0" w:space="0" w:color="auto"/>
            <w:left w:val="none" w:sz="0" w:space="0" w:color="auto"/>
            <w:bottom w:val="none" w:sz="0" w:space="0" w:color="auto"/>
            <w:right w:val="none" w:sz="0" w:space="0" w:color="auto"/>
          </w:divBdr>
        </w:div>
        <w:div w:id="804929770">
          <w:marLeft w:val="720"/>
          <w:marRight w:val="0"/>
          <w:marTop w:val="120"/>
          <w:marBottom w:val="120"/>
          <w:divBdr>
            <w:top w:val="none" w:sz="0" w:space="0" w:color="auto"/>
            <w:left w:val="none" w:sz="0" w:space="0" w:color="auto"/>
            <w:bottom w:val="none" w:sz="0" w:space="0" w:color="auto"/>
            <w:right w:val="none" w:sz="0" w:space="0" w:color="auto"/>
          </w:divBdr>
        </w:div>
        <w:div w:id="1478917840">
          <w:marLeft w:val="720"/>
          <w:marRight w:val="0"/>
          <w:marTop w:val="120"/>
          <w:marBottom w:val="120"/>
          <w:divBdr>
            <w:top w:val="none" w:sz="0" w:space="0" w:color="auto"/>
            <w:left w:val="none" w:sz="0" w:space="0" w:color="auto"/>
            <w:bottom w:val="none" w:sz="0" w:space="0" w:color="auto"/>
            <w:right w:val="none" w:sz="0" w:space="0" w:color="auto"/>
          </w:divBdr>
        </w:div>
      </w:divsChild>
    </w:div>
    <w:div w:id="1560746778">
      <w:bodyDiv w:val="1"/>
      <w:marLeft w:val="0"/>
      <w:marRight w:val="0"/>
      <w:marTop w:val="0"/>
      <w:marBottom w:val="0"/>
      <w:divBdr>
        <w:top w:val="none" w:sz="0" w:space="0" w:color="auto"/>
        <w:left w:val="none" w:sz="0" w:space="0" w:color="auto"/>
        <w:bottom w:val="none" w:sz="0" w:space="0" w:color="auto"/>
        <w:right w:val="none" w:sz="0" w:space="0" w:color="auto"/>
      </w:divBdr>
    </w:div>
    <w:div w:id="1638486700">
      <w:bodyDiv w:val="1"/>
      <w:marLeft w:val="0"/>
      <w:marRight w:val="0"/>
      <w:marTop w:val="0"/>
      <w:marBottom w:val="0"/>
      <w:divBdr>
        <w:top w:val="none" w:sz="0" w:space="0" w:color="auto"/>
        <w:left w:val="none" w:sz="0" w:space="0" w:color="auto"/>
        <w:bottom w:val="none" w:sz="0" w:space="0" w:color="auto"/>
        <w:right w:val="none" w:sz="0" w:space="0" w:color="auto"/>
      </w:divBdr>
    </w:div>
    <w:div w:id="1645159982">
      <w:bodyDiv w:val="1"/>
      <w:marLeft w:val="0"/>
      <w:marRight w:val="0"/>
      <w:marTop w:val="0"/>
      <w:marBottom w:val="0"/>
      <w:divBdr>
        <w:top w:val="none" w:sz="0" w:space="0" w:color="auto"/>
        <w:left w:val="none" w:sz="0" w:space="0" w:color="auto"/>
        <w:bottom w:val="none" w:sz="0" w:space="0" w:color="auto"/>
        <w:right w:val="none" w:sz="0" w:space="0" w:color="auto"/>
      </w:divBdr>
    </w:div>
    <w:div w:id="1657610381">
      <w:bodyDiv w:val="1"/>
      <w:marLeft w:val="0"/>
      <w:marRight w:val="0"/>
      <w:marTop w:val="0"/>
      <w:marBottom w:val="0"/>
      <w:divBdr>
        <w:top w:val="none" w:sz="0" w:space="0" w:color="auto"/>
        <w:left w:val="none" w:sz="0" w:space="0" w:color="auto"/>
        <w:bottom w:val="none" w:sz="0" w:space="0" w:color="auto"/>
        <w:right w:val="none" w:sz="0" w:space="0" w:color="auto"/>
      </w:divBdr>
    </w:div>
    <w:div w:id="1691640913">
      <w:bodyDiv w:val="1"/>
      <w:marLeft w:val="0"/>
      <w:marRight w:val="0"/>
      <w:marTop w:val="0"/>
      <w:marBottom w:val="0"/>
      <w:divBdr>
        <w:top w:val="none" w:sz="0" w:space="0" w:color="auto"/>
        <w:left w:val="none" w:sz="0" w:space="0" w:color="auto"/>
        <w:bottom w:val="none" w:sz="0" w:space="0" w:color="auto"/>
        <w:right w:val="none" w:sz="0" w:space="0" w:color="auto"/>
      </w:divBdr>
    </w:div>
    <w:div w:id="1804543727">
      <w:bodyDiv w:val="1"/>
      <w:marLeft w:val="0"/>
      <w:marRight w:val="0"/>
      <w:marTop w:val="0"/>
      <w:marBottom w:val="0"/>
      <w:divBdr>
        <w:top w:val="none" w:sz="0" w:space="0" w:color="auto"/>
        <w:left w:val="none" w:sz="0" w:space="0" w:color="auto"/>
        <w:bottom w:val="none" w:sz="0" w:space="0" w:color="auto"/>
        <w:right w:val="none" w:sz="0" w:space="0" w:color="auto"/>
      </w:divBdr>
      <w:divsChild>
        <w:div w:id="551697666">
          <w:marLeft w:val="144"/>
          <w:marRight w:val="0"/>
          <w:marTop w:val="0"/>
          <w:marBottom w:val="0"/>
          <w:divBdr>
            <w:top w:val="none" w:sz="0" w:space="0" w:color="auto"/>
            <w:left w:val="none" w:sz="0" w:space="0" w:color="auto"/>
            <w:bottom w:val="none" w:sz="0" w:space="0" w:color="auto"/>
            <w:right w:val="none" w:sz="0" w:space="0" w:color="auto"/>
          </w:divBdr>
        </w:div>
        <w:div w:id="1829395252">
          <w:marLeft w:val="144"/>
          <w:marRight w:val="0"/>
          <w:marTop w:val="0"/>
          <w:marBottom w:val="0"/>
          <w:divBdr>
            <w:top w:val="none" w:sz="0" w:space="0" w:color="auto"/>
            <w:left w:val="none" w:sz="0" w:space="0" w:color="auto"/>
            <w:bottom w:val="none" w:sz="0" w:space="0" w:color="auto"/>
            <w:right w:val="none" w:sz="0" w:space="0" w:color="auto"/>
          </w:divBdr>
        </w:div>
        <w:div w:id="2015718897">
          <w:marLeft w:val="144"/>
          <w:marRight w:val="0"/>
          <w:marTop w:val="0"/>
          <w:marBottom w:val="0"/>
          <w:divBdr>
            <w:top w:val="none" w:sz="0" w:space="0" w:color="auto"/>
            <w:left w:val="none" w:sz="0" w:space="0" w:color="auto"/>
            <w:bottom w:val="none" w:sz="0" w:space="0" w:color="auto"/>
            <w:right w:val="none" w:sz="0" w:space="0" w:color="auto"/>
          </w:divBdr>
        </w:div>
      </w:divsChild>
    </w:div>
    <w:div w:id="1806459212">
      <w:bodyDiv w:val="1"/>
      <w:marLeft w:val="0"/>
      <w:marRight w:val="0"/>
      <w:marTop w:val="0"/>
      <w:marBottom w:val="0"/>
      <w:divBdr>
        <w:top w:val="none" w:sz="0" w:space="0" w:color="auto"/>
        <w:left w:val="none" w:sz="0" w:space="0" w:color="auto"/>
        <w:bottom w:val="none" w:sz="0" w:space="0" w:color="auto"/>
        <w:right w:val="none" w:sz="0" w:space="0" w:color="auto"/>
      </w:divBdr>
    </w:div>
    <w:div w:id="1829857122">
      <w:bodyDiv w:val="1"/>
      <w:marLeft w:val="0"/>
      <w:marRight w:val="0"/>
      <w:marTop w:val="0"/>
      <w:marBottom w:val="0"/>
      <w:divBdr>
        <w:top w:val="none" w:sz="0" w:space="0" w:color="auto"/>
        <w:left w:val="none" w:sz="0" w:space="0" w:color="auto"/>
        <w:bottom w:val="none" w:sz="0" w:space="0" w:color="auto"/>
        <w:right w:val="none" w:sz="0" w:space="0" w:color="auto"/>
      </w:divBdr>
    </w:div>
    <w:div w:id="1848863143">
      <w:bodyDiv w:val="1"/>
      <w:marLeft w:val="0"/>
      <w:marRight w:val="0"/>
      <w:marTop w:val="0"/>
      <w:marBottom w:val="0"/>
      <w:divBdr>
        <w:top w:val="none" w:sz="0" w:space="0" w:color="auto"/>
        <w:left w:val="none" w:sz="0" w:space="0" w:color="auto"/>
        <w:bottom w:val="none" w:sz="0" w:space="0" w:color="auto"/>
        <w:right w:val="none" w:sz="0" w:space="0" w:color="auto"/>
      </w:divBdr>
      <w:divsChild>
        <w:div w:id="629937583">
          <w:marLeft w:val="1267"/>
          <w:marRight w:val="0"/>
          <w:marTop w:val="0"/>
          <w:marBottom w:val="0"/>
          <w:divBdr>
            <w:top w:val="none" w:sz="0" w:space="0" w:color="auto"/>
            <w:left w:val="none" w:sz="0" w:space="0" w:color="auto"/>
            <w:bottom w:val="none" w:sz="0" w:space="0" w:color="auto"/>
            <w:right w:val="none" w:sz="0" w:space="0" w:color="auto"/>
          </w:divBdr>
        </w:div>
        <w:div w:id="1504584758">
          <w:marLeft w:val="1267"/>
          <w:marRight w:val="0"/>
          <w:marTop w:val="0"/>
          <w:marBottom w:val="0"/>
          <w:divBdr>
            <w:top w:val="none" w:sz="0" w:space="0" w:color="auto"/>
            <w:left w:val="none" w:sz="0" w:space="0" w:color="auto"/>
            <w:bottom w:val="none" w:sz="0" w:space="0" w:color="auto"/>
            <w:right w:val="none" w:sz="0" w:space="0" w:color="auto"/>
          </w:divBdr>
        </w:div>
        <w:div w:id="1618874875">
          <w:marLeft w:val="1267"/>
          <w:marRight w:val="0"/>
          <w:marTop w:val="0"/>
          <w:marBottom w:val="0"/>
          <w:divBdr>
            <w:top w:val="none" w:sz="0" w:space="0" w:color="auto"/>
            <w:left w:val="none" w:sz="0" w:space="0" w:color="auto"/>
            <w:bottom w:val="none" w:sz="0" w:space="0" w:color="auto"/>
            <w:right w:val="none" w:sz="0" w:space="0" w:color="auto"/>
          </w:divBdr>
        </w:div>
        <w:div w:id="1682201230">
          <w:marLeft w:val="1267"/>
          <w:marRight w:val="0"/>
          <w:marTop w:val="0"/>
          <w:marBottom w:val="0"/>
          <w:divBdr>
            <w:top w:val="none" w:sz="0" w:space="0" w:color="auto"/>
            <w:left w:val="none" w:sz="0" w:space="0" w:color="auto"/>
            <w:bottom w:val="none" w:sz="0" w:space="0" w:color="auto"/>
            <w:right w:val="none" w:sz="0" w:space="0" w:color="auto"/>
          </w:divBdr>
        </w:div>
      </w:divsChild>
    </w:div>
    <w:div w:id="1855024561">
      <w:bodyDiv w:val="1"/>
      <w:marLeft w:val="0"/>
      <w:marRight w:val="0"/>
      <w:marTop w:val="0"/>
      <w:marBottom w:val="0"/>
      <w:divBdr>
        <w:top w:val="none" w:sz="0" w:space="0" w:color="auto"/>
        <w:left w:val="none" w:sz="0" w:space="0" w:color="auto"/>
        <w:bottom w:val="none" w:sz="0" w:space="0" w:color="auto"/>
        <w:right w:val="none" w:sz="0" w:space="0" w:color="auto"/>
      </w:divBdr>
    </w:div>
    <w:div w:id="1933661693">
      <w:bodyDiv w:val="1"/>
      <w:marLeft w:val="0"/>
      <w:marRight w:val="0"/>
      <w:marTop w:val="0"/>
      <w:marBottom w:val="0"/>
      <w:divBdr>
        <w:top w:val="none" w:sz="0" w:space="0" w:color="auto"/>
        <w:left w:val="none" w:sz="0" w:space="0" w:color="auto"/>
        <w:bottom w:val="none" w:sz="0" w:space="0" w:color="auto"/>
        <w:right w:val="none" w:sz="0" w:space="0" w:color="auto"/>
      </w:divBdr>
      <w:divsChild>
        <w:div w:id="2067021338">
          <w:marLeft w:val="0"/>
          <w:marRight w:val="0"/>
          <w:marTop w:val="0"/>
          <w:marBottom w:val="0"/>
          <w:divBdr>
            <w:top w:val="none" w:sz="0" w:space="0" w:color="auto"/>
            <w:left w:val="none" w:sz="0" w:space="0" w:color="auto"/>
            <w:bottom w:val="none" w:sz="0" w:space="0" w:color="auto"/>
            <w:right w:val="none" w:sz="0" w:space="0" w:color="auto"/>
          </w:divBdr>
          <w:divsChild>
            <w:div w:id="253317993">
              <w:marLeft w:val="0"/>
              <w:marRight w:val="0"/>
              <w:marTop w:val="0"/>
              <w:marBottom w:val="0"/>
              <w:divBdr>
                <w:top w:val="none" w:sz="0" w:space="0" w:color="auto"/>
                <w:left w:val="none" w:sz="0" w:space="0" w:color="auto"/>
                <w:bottom w:val="none" w:sz="0" w:space="0" w:color="auto"/>
                <w:right w:val="none" w:sz="0" w:space="0" w:color="auto"/>
              </w:divBdr>
              <w:divsChild>
                <w:div w:id="418020928">
                  <w:marLeft w:val="0"/>
                  <w:marRight w:val="0"/>
                  <w:marTop w:val="0"/>
                  <w:marBottom w:val="0"/>
                  <w:divBdr>
                    <w:top w:val="none" w:sz="0" w:space="0" w:color="auto"/>
                    <w:left w:val="none" w:sz="0" w:space="0" w:color="auto"/>
                    <w:bottom w:val="none" w:sz="0" w:space="0" w:color="auto"/>
                    <w:right w:val="none" w:sz="0" w:space="0" w:color="auto"/>
                  </w:divBdr>
                  <w:divsChild>
                    <w:div w:id="1275595487">
                      <w:marLeft w:val="0"/>
                      <w:marRight w:val="0"/>
                      <w:marTop w:val="0"/>
                      <w:marBottom w:val="0"/>
                      <w:divBdr>
                        <w:top w:val="none" w:sz="0" w:space="0" w:color="auto"/>
                        <w:left w:val="none" w:sz="0" w:space="0" w:color="auto"/>
                        <w:bottom w:val="none" w:sz="0" w:space="0" w:color="auto"/>
                        <w:right w:val="none" w:sz="0" w:space="0" w:color="auto"/>
                      </w:divBdr>
                      <w:divsChild>
                        <w:div w:id="1167474591">
                          <w:marLeft w:val="0"/>
                          <w:marRight w:val="0"/>
                          <w:marTop w:val="0"/>
                          <w:marBottom w:val="0"/>
                          <w:divBdr>
                            <w:top w:val="none" w:sz="0" w:space="0" w:color="auto"/>
                            <w:left w:val="none" w:sz="0" w:space="0" w:color="auto"/>
                            <w:bottom w:val="none" w:sz="0" w:space="0" w:color="auto"/>
                            <w:right w:val="none" w:sz="0" w:space="0" w:color="auto"/>
                          </w:divBdr>
                          <w:divsChild>
                            <w:div w:id="365183396">
                              <w:marLeft w:val="0"/>
                              <w:marRight w:val="0"/>
                              <w:marTop w:val="0"/>
                              <w:marBottom w:val="0"/>
                              <w:divBdr>
                                <w:top w:val="none" w:sz="0" w:space="0" w:color="auto"/>
                                <w:left w:val="none" w:sz="0" w:space="0" w:color="auto"/>
                                <w:bottom w:val="none" w:sz="0" w:space="0" w:color="auto"/>
                                <w:right w:val="none" w:sz="0" w:space="0" w:color="auto"/>
                              </w:divBdr>
                              <w:divsChild>
                                <w:div w:id="2030180324">
                                  <w:marLeft w:val="0"/>
                                  <w:marRight w:val="0"/>
                                  <w:marTop w:val="0"/>
                                  <w:marBottom w:val="0"/>
                                  <w:divBdr>
                                    <w:top w:val="none" w:sz="0" w:space="0" w:color="auto"/>
                                    <w:left w:val="none" w:sz="0" w:space="0" w:color="auto"/>
                                    <w:bottom w:val="none" w:sz="0" w:space="0" w:color="auto"/>
                                    <w:right w:val="none" w:sz="0" w:space="0" w:color="auto"/>
                                  </w:divBdr>
                                  <w:divsChild>
                                    <w:div w:id="1148132500">
                                      <w:marLeft w:val="0"/>
                                      <w:marRight w:val="0"/>
                                      <w:marTop w:val="0"/>
                                      <w:marBottom w:val="0"/>
                                      <w:divBdr>
                                        <w:top w:val="none" w:sz="0" w:space="0" w:color="auto"/>
                                        <w:left w:val="none" w:sz="0" w:space="0" w:color="auto"/>
                                        <w:bottom w:val="none" w:sz="0" w:space="0" w:color="auto"/>
                                        <w:right w:val="none" w:sz="0" w:space="0" w:color="auto"/>
                                      </w:divBdr>
                                      <w:divsChild>
                                        <w:div w:id="1902401107">
                                          <w:marLeft w:val="0"/>
                                          <w:marRight w:val="0"/>
                                          <w:marTop w:val="0"/>
                                          <w:marBottom w:val="0"/>
                                          <w:divBdr>
                                            <w:top w:val="none" w:sz="0" w:space="0" w:color="auto"/>
                                            <w:left w:val="none" w:sz="0" w:space="0" w:color="auto"/>
                                            <w:bottom w:val="none" w:sz="0" w:space="0" w:color="auto"/>
                                            <w:right w:val="none" w:sz="0" w:space="0" w:color="auto"/>
                                          </w:divBdr>
                                          <w:divsChild>
                                            <w:div w:id="16007776">
                                              <w:marLeft w:val="0"/>
                                              <w:marRight w:val="0"/>
                                              <w:marTop w:val="0"/>
                                              <w:marBottom w:val="0"/>
                                              <w:divBdr>
                                                <w:top w:val="single" w:sz="12" w:space="2" w:color="FFFFCC"/>
                                                <w:left w:val="single" w:sz="12" w:space="2" w:color="FFFFCC"/>
                                                <w:bottom w:val="single" w:sz="12" w:space="2" w:color="FFFFCC"/>
                                                <w:right w:val="single" w:sz="12" w:space="0" w:color="FFFFCC"/>
                                              </w:divBdr>
                                              <w:divsChild>
                                                <w:div w:id="870462861">
                                                  <w:marLeft w:val="0"/>
                                                  <w:marRight w:val="0"/>
                                                  <w:marTop w:val="0"/>
                                                  <w:marBottom w:val="0"/>
                                                  <w:divBdr>
                                                    <w:top w:val="none" w:sz="0" w:space="0" w:color="auto"/>
                                                    <w:left w:val="none" w:sz="0" w:space="0" w:color="auto"/>
                                                    <w:bottom w:val="none" w:sz="0" w:space="0" w:color="auto"/>
                                                    <w:right w:val="none" w:sz="0" w:space="0" w:color="auto"/>
                                                  </w:divBdr>
                                                  <w:divsChild>
                                                    <w:div w:id="181016255">
                                                      <w:marLeft w:val="0"/>
                                                      <w:marRight w:val="0"/>
                                                      <w:marTop w:val="0"/>
                                                      <w:marBottom w:val="0"/>
                                                      <w:divBdr>
                                                        <w:top w:val="none" w:sz="0" w:space="0" w:color="auto"/>
                                                        <w:left w:val="none" w:sz="0" w:space="0" w:color="auto"/>
                                                        <w:bottom w:val="none" w:sz="0" w:space="0" w:color="auto"/>
                                                        <w:right w:val="none" w:sz="0" w:space="0" w:color="auto"/>
                                                      </w:divBdr>
                                                      <w:divsChild>
                                                        <w:div w:id="449933957">
                                                          <w:marLeft w:val="0"/>
                                                          <w:marRight w:val="0"/>
                                                          <w:marTop w:val="0"/>
                                                          <w:marBottom w:val="0"/>
                                                          <w:divBdr>
                                                            <w:top w:val="none" w:sz="0" w:space="0" w:color="auto"/>
                                                            <w:left w:val="none" w:sz="0" w:space="0" w:color="auto"/>
                                                            <w:bottom w:val="none" w:sz="0" w:space="0" w:color="auto"/>
                                                            <w:right w:val="none" w:sz="0" w:space="0" w:color="auto"/>
                                                          </w:divBdr>
                                                          <w:divsChild>
                                                            <w:div w:id="1301419951">
                                                              <w:marLeft w:val="0"/>
                                                              <w:marRight w:val="0"/>
                                                              <w:marTop w:val="0"/>
                                                              <w:marBottom w:val="0"/>
                                                              <w:divBdr>
                                                                <w:top w:val="none" w:sz="0" w:space="0" w:color="auto"/>
                                                                <w:left w:val="none" w:sz="0" w:space="0" w:color="auto"/>
                                                                <w:bottom w:val="none" w:sz="0" w:space="0" w:color="auto"/>
                                                                <w:right w:val="none" w:sz="0" w:space="0" w:color="auto"/>
                                                              </w:divBdr>
                                                              <w:divsChild>
                                                                <w:div w:id="1930234579">
                                                                  <w:marLeft w:val="0"/>
                                                                  <w:marRight w:val="0"/>
                                                                  <w:marTop w:val="0"/>
                                                                  <w:marBottom w:val="0"/>
                                                                  <w:divBdr>
                                                                    <w:top w:val="none" w:sz="0" w:space="0" w:color="auto"/>
                                                                    <w:left w:val="none" w:sz="0" w:space="0" w:color="auto"/>
                                                                    <w:bottom w:val="none" w:sz="0" w:space="0" w:color="auto"/>
                                                                    <w:right w:val="none" w:sz="0" w:space="0" w:color="auto"/>
                                                                  </w:divBdr>
                                                                  <w:divsChild>
                                                                    <w:div w:id="1937132505">
                                                                      <w:marLeft w:val="0"/>
                                                                      <w:marRight w:val="0"/>
                                                                      <w:marTop w:val="0"/>
                                                                      <w:marBottom w:val="0"/>
                                                                      <w:divBdr>
                                                                        <w:top w:val="none" w:sz="0" w:space="0" w:color="auto"/>
                                                                        <w:left w:val="none" w:sz="0" w:space="0" w:color="auto"/>
                                                                        <w:bottom w:val="none" w:sz="0" w:space="0" w:color="auto"/>
                                                                        <w:right w:val="none" w:sz="0" w:space="0" w:color="auto"/>
                                                                      </w:divBdr>
                                                                      <w:divsChild>
                                                                        <w:div w:id="2014338908">
                                                                          <w:marLeft w:val="0"/>
                                                                          <w:marRight w:val="0"/>
                                                                          <w:marTop w:val="0"/>
                                                                          <w:marBottom w:val="0"/>
                                                                          <w:divBdr>
                                                                            <w:top w:val="none" w:sz="0" w:space="0" w:color="auto"/>
                                                                            <w:left w:val="none" w:sz="0" w:space="0" w:color="auto"/>
                                                                            <w:bottom w:val="none" w:sz="0" w:space="0" w:color="auto"/>
                                                                            <w:right w:val="none" w:sz="0" w:space="0" w:color="auto"/>
                                                                          </w:divBdr>
                                                                          <w:divsChild>
                                                                            <w:div w:id="895118283">
                                                                              <w:marLeft w:val="0"/>
                                                                              <w:marRight w:val="0"/>
                                                                              <w:marTop w:val="0"/>
                                                                              <w:marBottom w:val="0"/>
                                                                              <w:divBdr>
                                                                                <w:top w:val="none" w:sz="0" w:space="0" w:color="auto"/>
                                                                                <w:left w:val="none" w:sz="0" w:space="0" w:color="auto"/>
                                                                                <w:bottom w:val="none" w:sz="0" w:space="0" w:color="auto"/>
                                                                                <w:right w:val="none" w:sz="0" w:space="0" w:color="auto"/>
                                                                              </w:divBdr>
                                                                              <w:divsChild>
                                                                                <w:div w:id="1759324498">
                                                                                  <w:marLeft w:val="0"/>
                                                                                  <w:marRight w:val="0"/>
                                                                                  <w:marTop w:val="0"/>
                                                                                  <w:marBottom w:val="0"/>
                                                                                  <w:divBdr>
                                                                                    <w:top w:val="none" w:sz="0" w:space="0" w:color="auto"/>
                                                                                    <w:left w:val="none" w:sz="0" w:space="0" w:color="auto"/>
                                                                                    <w:bottom w:val="none" w:sz="0" w:space="0" w:color="auto"/>
                                                                                    <w:right w:val="none" w:sz="0" w:space="0" w:color="auto"/>
                                                                                  </w:divBdr>
                                                                                  <w:divsChild>
                                                                                    <w:div w:id="472874199">
                                                                                      <w:marLeft w:val="0"/>
                                                                                      <w:marRight w:val="0"/>
                                                                                      <w:marTop w:val="0"/>
                                                                                      <w:marBottom w:val="0"/>
                                                                                      <w:divBdr>
                                                                                        <w:top w:val="none" w:sz="0" w:space="0" w:color="auto"/>
                                                                                        <w:left w:val="none" w:sz="0" w:space="0" w:color="auto"/>
                                                                                        <w:bottom w:val="none" w:sz="0" w:space="0" w:color="auto"/>
                                                                                        <w:right w:val="none" w:sz="0" w:space="0" w:color="auto"/>
                                                                                      </w:divBdr>
                                                                                      <w:divsChild>
                                                                                        <w:div w:id="709888181">
                                                                                          <w:marLeft w:val="0"/>
                                                                                          <w:marRight w:val="120"/>
                                                                                          <w:marTop w:val="0"/>
                                                                                          <w:marBottom w:val="150"/>
                                                                                          <w:divBdr>
                                                                                            <w:top w:val="single" w:sz="2" w:space="0" w:color="EFEFEF"/>
                                                                                            <w:left w:val="single" w:sz="6" w:space="0" w:color="EFEFEF"/>
                                                                                            <w:bottom w:val="single" w:sz="6" w:space="0" w:color="E2E2E2"/>
                                                                                            <w:right w:val="single" w:sz="6" w:space="0" w:color="EFEFEF"/>
                                                                                          </w:divBdr>
                                                                                          <w:divsChild>
                                                                                            <w:div w:id="138153813">
                                                                                              <w:marLeft w:val="0"/>
                                                                                              <w:marRight w:val="0"/>
                                                                                              <w:marTop w:val="0"/>
                                                                                              <w:marBottom w:val="0"/>
                                                                                              <w:divBdr>
                                                                                                <w:top w:val="none" w:sz="0" w:space="0" w:color="auto"/>
                                                                                                <w:left w:val="none" w:sz="0" w:space="0" w:color="auto"/>
                                                                                                <w:bottom w:val="none" w:sz="0" w:space="0" w:color="auto"/>
                                                                                                <w:right w:val="none" w:sz="0" w:space="0" w:color="auto"/>
                                                                                              </w:divBdr>
                                                                                              <w:divsChild>
                                                                                                <w:div w:id="165633928">
                                                                                                  <w:marLeft w:val="0"/>
                                                                                                  <w:marRight w:val="0"/>
                                                                                                  <w:marTop w:val="0"/>
                                                                                                  <w:marBottom w:val="0"/>
                                                                                                  <w:divBdr>
                                                                                                    <w:top w:val="none" w:sz="0" w:space="0" w:color="auto"/>
                                                                                                    <w:left w:val="none" w:sz="0" w:space="0" w:color="auto"/>
                                                                                                    <w:bottom w:val="none" w:sz="0" w:space="0" w:color="auto"/>
                                                                                                    <w:right w:val="none" w:sz="0" w:space="0" w:color="auto"/>
                                                                                                  </w:divBdr>
                                                                                                  <w:divsChild>
                                                                                                    <w:div w:id="761875888">
                                                                                                      <w:marLeft w:val="0"/>
                                                                                                      <w:marRight w:val="0"/>
                                                                                                      <w:marTop w:val="0"/>
                                                                                                      <w:marBottom w:val="0"/>
                                                                                                      <w:divBdr>
                                                                                                        <w:top w:val="none" w:sz="0" w:space="0" w:color="auto"/>
                                                                                                        <w:left w:val="none" w:sz="0" w:space="0" w:color="auto"/>
                                                                                                        <w:bottom w:val="none" w:sz="0" w:space="0" w:color="auto"/>
                                                                                                        <w:right w:val="none" w:sz="0" w:space="0" w:color="auto"/>
                                                                                                      </w:divBdr>
                                                                                                      <w:divsChild>
                                                                                                        <w:div w:id="734593355">
                                                                                                          <w:marLeft w:val="0"/>
                                                                                                          <w:marRight w:val="0"/>
                                                                                                          <w:marTop w:val="0"/>
                                                                                                          <w:marBottom w:val="0"/>
                                                                                                          <w:divBdr>
                                                                                                            <w:top w:val="none" w:sz="0" w:space="0" w:color="auto"/>
                                                                                                            <w:left w:val="none" w:sz="0" w:space="0" w:color="auto"/>
                                                                                                            <w:bottom w:val="none" w:sz="0" w:space="0" w:color="auto"/>
                                                                                                            <w:right w:val="none" w:sz="0" w:space="0" w:color="auto"/>
                                                                                                          </w:divBdr>
                                                                                                          <w:divsChild>
                                                                                                            <w:div w:id="1985699207">
                                                                                                              <w:marLeft w:val="0"/>
                                                                                                              <w:marRight w:val="0"/>
                                                                                                              <w:marTop w:val="0"/>
                                                                                                              <w:marBottom w:val="0"/>
                                                                                                              <w:divBdr>
                                                                                                                <w:top w:val="single" w:sz="2" w:space="4" w:color="D8D8D8"/>
                                                                                                                <w:left w:val="single" w:sz="2" w:space="0" w:color="D8D8D8"/>
                                                                                                                <w:bottom w:val="single" w:sz="2" w:space="4" w:color="D8D8D8"/>
                                                                                                                <w:right w:val="single" w:sz="2" w:space="0" w:color="D8D8D8"/>
                                                                                                              </w:divBdr>
                                                                                                              <w:divsChild>
                                                                                                                <w:div w:id="102503281">
                                                                                                                  <w:marLeft w:val="225"/>
                                                                                                                  <w:marRight w:val="225"/>
                                                                                                                  <w:marTop w:val="75"/>
                                                                                                                  <w:marBottom w:val="75"/>
                                                                                                                  <w:divBdr>
                                                                                                                    <w:top w:val="none" w:sz="0" w:space="0" w:color="auto"/>
                                                                                                                    <w:left w:val="none" w:sz="0" w:space="0" w:color="auto"/>
                                                                                                                    <w:bottom w:val="none" w:sz="0" w:space="0" w:color="auto"/>
                                                                                                                    <w:right w:val="none" w:sz="0" w:space="0" w:color="auto"/>
                                                                                                                  </w:divBdr>
                                                                                                                  <w:divsChild>
                                                                                                                    <w:div w:id="385564883">
                                                                                                                      <w:marLeft w:val="0"/>
                                                                                                                      <w:marRight w:val="0"/>
                                                                                                                      <w:marTop w:val="0"/>
                                                                                                                      <w:marBottom w:val="0"/>
                                                                                                                      <w:divBdr>
                                                                                                                        <w:top w:val="single" w:sz="6" w:space="0" w:color="auto"/>
                                                                                                                        <w:left w:val="single" w:sz="6" w:space="0" w:color="auto"/>
                                                                                                                        <w:bottom w:val="single" w:sz="6" w:space="0" w:color="auto"/>
                                                                                                                        <w:right w:val="single" w:sz="6" w:space="0" w:color="auto"/>
                                                                                                                      </w:divBdr>
                                                                                                                      <w:divsChild>
                                                                                                                        <w:div w:id="1224944113">
                                                                                                                          <w:marLeft w:val="0"/>
                                                                                                                          <w:marRight w:val="0"/>
                                                                                                                          <w:marTop w:val="0"/>
                                                                                                                          <w:marBottom w:val="0"/>
                                                                                                                          <w:divBdr>
                                                                                                                            <w:top w:val="none" w:sz="0" w:space="0" w:color="auto"/>
                                                                                                                            <w:left w:val="none" w:sz="0" w:space="0" w:color="auto"/>
                                                                                                                            <w:bottom w:val="none" w:sz="0" w:space="0" w:color="auto"/>
                                                                                                                            <w:right w:val="none" w:sz="0" w:space="0" w:color="auto"/>
                                                                                                                          </w:divBdr>
                                                                                                                          <w:divsChild>
                                                                                                                            <w:div w:id="9228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3926446">
      <w:bodyDiv w:val="1"/>
      <w:marLeft w:val="0"/>
      <w:marRight w:val="0"/>
      <w:marTop w:val="0"/>
      <w:marBottom w:val="0"/>
      <w:divBdr>
        <w:top w:val="none" w:sz="0" w:space="0" w:color="auto"/>
        <w:left w:val="none" w:sz="0" w:space="0" w:color="auto"/>
        <w:bottom w:val="none" w:sz="0" w:space="0" w:color="auto"/>
        <w:right w:val="none" w:sz="0" w:space="0" w:color="auto"/>
      </w:divBdr>
    </w:div>
    <w:div w:id="1958944362">
      <w:bodyDiv w:val="1"/>
      <w:marLeft w:val="0"/>
      <w:marRight w:val="0"/>
      <w:marTop w:val="0"/>
      <w:marBottom w:val="0"/>
      <w:divBdr>
        <w:top w:val="none" w:sz="0" w:space="0" w:color="auto"/>
        <w:left w:val="none" w:sz="0" w:space="0" w:color="auto"/>
        <w:bottom w:val="none" w:sz="0" w:space="0" w:color="auto"/>
        <w:right w:val="none" w:sz="0" w:space="0" w:color="auto"/>
      </w:divBdr>
    </w:div>
    <w:div w:id="2007322321">
      <w:bodyDiv w:val="1"/>
      <w:marLeft w:val="0"/>
      <w:marRight w:val="0"/>
      <w:marTop w:val="0"/>
      <w:marBottom w:val="0"/>
      <w:divBdr>
        <w:top w:val="none" w:sz="0" w:space="0" w:color="auto"/>
        <w:left w:val="none" w:sz="0" w:space="0" w:color="auto"/>
        <w:bottom w:val="none" w:sz="0" w:space="0" w:color="auto"/>
        <w:right w:val="none" w:sz="0" w:space="0" w:color="auto"/>
      </w:divBdr>
    </w:div>
    <w:div w:id="2011172133">
      <w:bodyDiv w:val="1"/>
      <w:marLeft w:val="0"/>
      <w:marRight w:val="0"/>
      <w:marTop w:val="0"/>
      <w:marBottom w:val="0"/>
      <w:divBdr>
        <w:top w:val="none" w:sz="0" w:space="0" w:color="auto"/>
        <w:left w:val="none" w:sz="0" w:space="0" w:color="auto"/>
        <w:bottom w:val="none" w:sz="0" w:space="0" w:color="auto"/>
        <w:right w:val="none" w:sz="0" w:space="0" w:color="auto"/>
      </w:divBdr>
    </w:div>
    <w:div w:id="2022245410">
      <w:bodyDiv w:val="1"/>
      <w:marLeft w:val="0"/>
      <w:marRight w:val="0"/>
      <w:marTop w:val="0"/>
      <w:marBottom w:val="0"/>
      <w:divBdr>
        <w:top w:val="none" w:sz="0" w:space="0" w:color="auto"/>
        <w:left w:val="none" w:sz="0" w:space="0" w:color="auto"/>
        <w:bottom w:val="none" w:sz="0" w:space="0" w:color="auto"/>
        <w:right w:val="none" w:sz="0" w:space="0" w:color="auto"/>
      </w:divBdr>
      <w:divsChild>
        <w:div w:id="557588699">
          <w:marLeft w:val="0"/>
          <w:marRight w:val="0"/>
          <w:marTop w:val="0"/>
          <w:marBottom w:val="0"/>
          <w:divBdr>
            <w:top w:val="none" w:sz="0" w:space="0" w:color="auto"/>
            <w:left w:val="none" w:sz="0" w:space="0" w:color="auto"/>
            <w:bottom w:val="none" w:sz="0" w:space="0" w:color="auto"/>
            <w:right w:val="none" w:sz="0" w:space="0" w:color="auto"/>
          </w:divBdr>
        </w:div>
      </w:divsChild>
    </w:div>
    <w:div w:id="2033913414">
      <w:bodyDiv w:val="1"/>
      <w:marLeft w:val="0"/>
      <w:marRight w:val="0"/>
      <w:marTop w:val="0"/>
      <w:marBottom w:val="0"/>
      <w:divBdr>
        <w:top w:val="none" w:sz="0" w:space="0" w:color="auto"/>
        <w:left w:val="none" w:sz="0" w:space="0" w:color="auto"/>
        <w:bottom w:val="none" w:sz="0" w:space="0" w:color="auto"/>
        <w:right w:val="none" w:sz="0" w:space="0" w:color="auto"/>
      </w:divBdr>
    </w:div>
    <w:div w:id="2057074016">
      <w:bodyDiv w:val="1"/>
      <w:marLeft w:val="0"/>
      <w:marRight w:val="0"/>
      <w:marTop w:val="0"/>
      <w:marBottom w:val="0"/>
      <w:divBdr>
        <w:top w:val="none" w:sz="0" w:space="0" w:color="auto"/>
        <w:left w:val="none" w:sz="0" w:space="0" w:color="auto"/>
        <w:bottom w:val="none" w:sz="0" w:space="0" w:color="auto"/>
        <w:right w:val="none" w:sz="0" w:space="0" w:color="auto"/>
      </w:divBdr>
    </w:div>
    <w:div w:id="2078893773">
      <w:bodyDiv w:val="1"/>
      <w:marLeft w:val="0"/>
      <w:marRight w:val="0"/>
      <w:marTop w:val="0"/>
      <w:marBottom w:val="0"/>
      <w:divBdr>
        <w:top w:val="none" w:sz="0" w:space="0" w:color="auto"/>
        <w:left w:val="none" w:sz="0" w:space="0" w:color="auto"/>
        <w:bottom w:val="none" w:sz="0" w:space="0" w:color="auto"/>
        <w:right w:val="none" w:sz="0" w:space="0" w:color="auto"/>
      </w:divBdr>
    </w:div>
    <w:div w:id="2109543751">
      <w:bodyDiv w:val="1"/>
      <w:marLeft w:val="0"/>
      <w:marRight w:val="0"/>
      <w:marTop w:val="0"/>
      <w:marBottom w:val="0"/>
      <w:divBdr>
        <w:top w:val="none" w:sz="0" w:space="0" w:color="auto"/>
        <w:left w:val="none" w:sz="0" w:space="0" w:color="auto"/>
        <w:bottom w:val="none" w:sz="0" w:space="0" w:color="auto"/>
        <w:right w:val="none" w:sz="0" w:space="0" w:color="auto"/>
      </w:divBdr>
    </w:div>
    <w:div w:id="213891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hyperlink" Target="http://es.presidencia.gov.co/normativa/normativa/DECRETO%20999%20DEL%2009%20DE%20JUNIO%20DE%202017.pdf" TargetMode="External"/><Relationship Id="rId21" Type="http://schemas.microsoft.com/office/2007/relationships/diagramDrawing" Target="diagrams/drawing2.xml"/><Relationship Id="rId42" Type="http://schemas.openxmlformats.org/officeDocument/2006/relationships/image" Target="media/image14.png"/><Relationship Id="rId47" Type="http://schemas.openxmlformats.org/officeDocument/2006/relationships/image" Target="media/image17.png"/><Relationship Id="rId63" Type="http://schemas.openxmlformats.org/officeDocument/2006/relationships/chart" Target="charts/chart15.xml"/><Relationship Id="rId68" Type="http://schemas.openxmlformats.org/officeDocument/2006/relationships/image" Target="cid:image002.png@01D3801B.69F4F590" TargetMode="External"/><Relationship Id="rId84" Type="http://schemas.openxmlformats.org/officeDocument/2006/relationships/diagramLayout" Target="diagrams/layout3.xml"/><Relationship Id="rId89" Type="http://schemas.openxmlformats.org/officeDocument/2006/relationships/hyperlink" Target="http://www.icbf.gov.co/portal/page/portal/IntranetICBF/medios/ProgramaLNBSH" TargetMode="External"/><Relationship Id="rId112" Type="http://schemas.openxmlformats.org/officeDocument/2006/relationships/hyperlink" Target="http://es.presidencia.gov.co/normativa/normativa/DECRETO%20894%20DEL%2028%20DE%20MAYO%20DE%202017.pdf" TargetMode="External"/><Relationship Id="rId133" Type="http://schemas.openxmlformats.org/officeDocument/2006/relationships/hyperlink" Target="http://es.presidencia.gov.co/normativa/normativa/DECRETO%201833%20DEL%207%20DE%20NOVIEMBRE%20DE%202017.pdf" TargetMode="External"/><Relationship Id="rId138" Type="http://schemas.openxmlformats.org/officeDocument/2006/relationships/hyperlink" Target="http://es.presidencia.gov.co/normativa/normativa/DECRETO%202078%20DEL%2007%20DE%20DICIEMBRE%20DE%202017.pdf" TargetMode="External"/><Relationship Id="rId16" Type="http://schemas.microsoft.com/office/2007/relationships/diagramDrawing" Target="diagrams/drawing1.xml"/><Relationship Id="rId107" Type="http://schemas.openxmlformats.org/officeDocument/2006/relationships/hyperlink" Target="http://es.presidencia.gov.co/normativa/normativa/DECRETO%20671%20DEL%2025%20DE%20ABRIL%20DE%202017.pdf" TargetMode="External"/><Relationship Id="rId11" Type="http://schemas.openxmlformats.org/officeDocument/2006/relationships/image" Target="media/image2.png"/><Relationship Id="rId32" Type="http://schemas.openxmlformats.org/officeDocument/2006/relationships/image" Target="media/image10.emf"/><Relationship Id="rId37" Type="http://schemas.openxmlformats.org/officeDocument/2006/relationships/image" Target="cid:image004.jpg@01D3685E.712AA0F0" TargetMode="External"/><Relationship Id="rId53" Type="http://schemas.openxmlformats.org/officeDocument/2006/relationships/chart" Target="charts/chart6.xml"/><Relationship Id="rId58" Type="http://schemas.openxmlformats.org/officeDocument/2006/relationships/chart" Target="charts/chart10.xml"/><Relationship Id="rId74" Type="http://schemas.openxmlformats.org/officeDocument/2006/relationships/image" Target="media/image24.emf"/><Relationship Id="rId79" Type="http://schemas.openxmlformats.org/officeDocument/2006/relationships/image" Target="media/image27.png"/><Relationship Id="rId102" Type="http://schemas.openxmlformats.org/officeDocument/2006/relationships/hyperlink" Target="http://es.presidencia.gov.co/normativa/normativa/DECRETO%20356%20DEL%2003%20DE%20MARZO%20DE%202017.pdf" TargetMode="External"/><Relationship Id="rId123" Type="http://schemas.openxmlformats.org/officeDocument/2006/relationships/hyperlink" Target="http://es.presidencia.gov.co/normativa/normativa/DECRETO%201268%20DEL%2026%20DE%20JULIO%20DE%202017.pdf" TargetMode="External"/><Relationship Id="rId128" Type="http://schemas.openxmlformats.org/officeDocument/2006/relationships/hyperlink" Target="http://es.presidencia.gov.co/normativa/normativa/DECRETO%201479%20DEL%2004%20DE%20SEPTIEMBRE%20DE%202017.pdf" TargetMode="External"/><Relationship Id="rId144"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hyperlink" Target="http://www.icbf.gov.co/portal/page/portal/IntranetICBF/medios/ProgramaLNBSH" TargetMode="External"/><Relationship Id="rId95" Type="http://schemas.openxmlformats.org/officeDocument/2006/relationships/hyperlink" Target="http://es.presidencia.gov.co/normativa/normativa/DECRETO%2075%20DEL%2020%20ENERO%20DE%202017.pdf" TargetMode="External"/><Relationship Id="rId22" Type="http://schemas.openxmlformats.org/officeDocument/2006/relationships/hyperlink" Target="http://www.teprotejo.org" TargetMode="External"/><Relationship Id="rId27" Type="http://schemas.openxmlformats.org/officeDocument/2006/relationships/image" Target="media/image7.png"/><Relationship Id="rId43" Type="http://schemas.openxmlformats.org/officeDocument/2006/relationships/hyperlink" Target="http://www.datos.gov.co" TargetMode="External"/><Relationship Id="rId48" Type="http://schemas.openxmlformats.org/officeDocument/2006/relationships/image" Target="media/image18.png"/><Relationship Id="rId64" Type="http://schemas.openxmlformats.org/officeDocument/2006/relationships/hyperlink" Target="http://www.icbf.gov.co/portal/page/portal/PortafolioICBF" TargetMode="External"/><Relationship Id="rId69" Type="http://schemas.openxmlformats.org/officeDocument/2006/relationships/hyperlink" Target="mailto:prestamosarchivoDGH@icbf.gov.co" TargetMode="External"/><Relationship Id="rId113" Type="http://schemas.openxmlformats.org/officeDocument/2006/relationships/hyperlink" Target="http://es.presidencia.gov.co/normativa/normativa/DECRETO%20923%20DEL%2031%20DE%20MAYO%20DE%202017.pdf" TargetMode="External"/><Relationship Id="rId118" Type="http://schemas.openxmlformats.org/officeDocument/2006/relationships/hyperlink" Target="http://es.presidencia.gov.co/normativa/normativa/DECRETO%201000%20DEL%2009%20DE%20JUNIO%20DE%202017.pdf" TargetMode="External"/><Relationship Id="rId134" Type="http://schemas.openxmlformats.org/officeDocument/2006/relationships/hyperlink" Target="http://es.presidencia.gov.co/normativa/normativa/DECRETO%201951%20DEL%2028%20DE%20NOVIEMBRE%20DE%202017.pdf" TargetMode="External"/><Relationship Id="rId139" Type="http://schemas.openxmlformats.org/officeDocument/2006/relationships/hyperlink" Target="http://es.presidencia.gov.co/normativa/normativa/DECRETO%202124%20DEL%2018%20DE%20DICIEMBRE%20DE%202017.pdf" TargetMode="External"/><Relationship Id="rId80" Type="http://schemas.openxmlformats.org/officeDocument/2006/relationships/chart" Target="charts/chart19.xml"/><Relationship Id="rId85" Type="http://schemas.openxmlformats.org/officeDocument/2006/relationships/diagramQuickStyle" Target="diagrams/quickStyle3.xml"/><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hyperlink" Target="http://www.suin-snbf.gov.co/suin" TargetMode="External"/><Relationship Id="rId33" Type="http://schemas.openxmlformats.org/officeDocument/2006/relationships/chart" Target="charts/chart2.xml"/><Relationship Id="rId38" Type="http://schemas.openxmlformats.org/officeDocument/2006/relationships/image" Target="media/image12.emf"/><Relationship Id="rId46" Type="http://schemas.openxmlformats.org/officeDocument/2006/relationships/image" Target="media/image16.png"/><Relationship Id="rId59" Type="http://schemas.openxmlformats.org/officeDocument/2006/relationships/chart" Target="charts/chart11.xml"/><Relationship Id="rId67" Type="http://schemas.openxmlformats.org/officeDocument/2006/relationships/image" Target="media/image22.png"/><Relationship Id="rId103" Type="http://schemas.openxmlformats.org/officeDocument/2006/relationships/hyperlink" Target="http://es.presidencia.gov.co/normativa/normativa/DECRETO%20441%20DEL%2016%20DE%20MARZO%20DE%202017.pdf" TargetMode="External"/><Relationship Id="rId108" Type="http://schemas.openxmlformats.org/officeDocument/2006/relationships/hyperlink" Target="http://es.presidencia.gov.co/normativa/normativa/DECRETO%20728%20DEL%2005%20DE%20MAYO%20DE%202017.pdf" TargetMode="External"/><Relationship Id="rId116" Type="http://schemas.openxmlformats.org/officeDocument/2006/relationships/hyperlink" Target="http://es.presidencia.gov.co/normativa/normativa/DECRETO%20945%20DEL%2005%20DE%20JUNIO%20DE%202017.pdf" TargetMode="External"/><Relationship Id="rId124" Type="http://schemas.openxmlformats.org/officeDocument/2006/relationships/hyperlink" Target="http://es.presidencia.gov.co/normativa/normativa/LEY%201857%20DEL%2026%20DE%20JULIO%20DE%202017.pdf" TargetMode="External"/><Relationship Id="rId129" Type="http://schemas.openxmlformats.org/officeDocument/2006/relationships/hyperlink" Target="http://es.presidencia.gov.co/normativa/normativa/DECRETO%201499%20DEL%2011%20DE%20SEPTIEMBRE%20DE%202017.pdf" TargetMode="External"/><Relationship Id="rId137" Type="http://schemas.openxmlformats.org/officeDocument/2006/relationships/hyperlink" Target="http://es.presidencia.gov.co/normativa/normativa/DECRETO%202013%20DEL%2030%20DE%20NOVIEMBRE%20DE%202017.pdf" TargetMode="External"/><Relationship Id="rId20" Type="http://schemas.openxmlformats.org/officeDocument/2006/relationships/diagramColors" Target="diagrams/colors2.xml"/><Relationship Id="rId41" Type="http://schemas.openxmlformats.org/officeDocument/2006/relationships/hyperlink" Target="http://maximavelocidad.gov.co/647/w3-channel.html" TargetMode="External"/><Relationship Id="rId54" Type="http://schemas.openxmlformats.org/officeDocument/2006/relationships/chart" Target="charts/chart7.xml"/><Relationship Id="rId62" Type="http://schemas.openxmlformats.org/officeDocument/2006/relationships/chart" Target="charts/chart14.xml"/><Relationship Id="rId70" Type="http://schemas.openxmlformats.org/officeDocument/2006/relationships/image" Target="media/image23.png"/><Relationship Id="rId75" Type="http://schemas.openxmlformats.org/officeDocument/2006/relationships/hyperlink" Target="http://www.icbf.gov.co/portal/page/portal/IntranetICBF/epico/sistema_integrado_de_gestion/eje_gestion_calidad" TargetMode="External"/><Relationship Id="rId83" Type="http://schemas.openxmlformats.org/officeDocument/2006/relationships/diagramData" Target="diagrams/data3.xml"/><Relationship Id="rId88" Type="http://schemas.openxmlformats.org/officeDocument/2006/relationships/image" Target="media/image30.png"/><Relationship Id="rId91" Type="http://schemas.openxmlformats.org/officeDocument/2006/relationships/hyperlink" Target="http://es.presidencia.gov.co/normativa/normativa/LEY%201822%20DEL%204%20DE%20ENERO%20DE%202017.pdf" TargetMode="External"/><Relationship Id="rId96" Type="http://schemas.openxmlformats.org/officeDocument/2006/relationships/hyperlink" Target="http://es.presidencia.gov.co/normativa/normativa/DECRETO%2087%20DEL%2023%20ENERO%20DE%202017.pdf" TargetMode="External"/><Relationship Id="rId111" Type="http://schemas.openxmlformats.org/officeDocument/2006/relationships/hyperlink" Target="http://es.presidencia.gov.co/normativa/normativa/DECRETO%20893%20DEL%2028%20DE%20MAYO%20DE%202017.pdf" TargetMode="External"/><Relationship Id="rId132" Type="http://schemas.openxmlformats.org/officeDocument/2006/relationships/hyperlink" Target="http://es.presidencia.gov.co/normativa/normativa/DECRETO%201829%20DEL%207%20DE%20NOVIEMBRE%20DE%202017.pdf" TargetMode="External"/><Relationship Id="rId140" Type="http://schemas.openxmlformats.org/officeDocument/2006/relationships/hyperlink" Target="http://es.presidencia.gov.co/normativa/normativa/DECRETO%202157%20DEL%2020%20DE%20DICIEMBRE%20DE%202017.pdf" TargetMode="External"/><Relationship Id="rId14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image" Target="media/image11.jpeg"/><Relationship Id="rId49" Type="http://schemas.openxmlformats.org/officeDocument/2006/relationships/hyperlink" Target="http://www.icbf.gov.co/portal/page/portal/PortafolioICBF" TargetMode="External"/><Relationship Id="rId57" Type="http://schemas.openxmlformats.org/officeDocument/2006/relationships/chart" Target="charts/chart9.xml"/><Relationship Id="rId106" Type="http://schemas.openxmlformats.org/officeDocument/2006/relationships/hyperlink" Target="http://es.presidencia.gov.co/normativa/normativa/DECRETO%20648%20DEL%2019%20DE%20ABRIL%20DE%202017.pdf" TargetMode="External"/><Relationship Id="rId114" Type="http://schemas.openxmlformats.org/officeDocument/2006/relationships/hyperlink" Target="http://es.presidencia.gov.co/normativa/normativa/DECRETO%20926%20DEL%2001%20DE%20JUNIO%20DE%202017.pdf" TargetMode="External"/><Relationship Id="rId119" Type="http://schemas.openxmlformats.org/officeDocument/2006/relationships/hyperlink" Target="http://es.presidencia.gov.co/normativa/normativa/DECRETO%201115%20DEL%2029%20DE%20JUNIO%20DE%202017.pdf" TargetMode="External"/><Relationship Id="rId127" Type="http://schemas.openxmlformats.org/officeDocument/2006/relationships/hyperlink" Target="http://es.presidencia.gov.co/normativa/normativa/DECRETO%201421%20DEL%2029%20DE%20AGOSTO%20DE%202017.pdf" TargetMode="External"/><Relationship Id="rId10" Type="http://schemas.openxmlformats.org/officeDocument/2006/relationships/hyperlink" Target="http://svlnxportalapp:8090/portal/page/portal/IntranetICBF/organigrama/SecretariaGeneral/O_controlinterno_disciplinario" TargetMode="External"/><Relationship Id="rId31" Type="http://schemas.openxmlformats.org/officeDocument/2006/relationships/hyperlink" Target="http://www.icbf.gov.co/portal/page/portal/PortalICBF/Servicios/DSyA" TargetMode="External"/><Relationship Id="rId44" Type="http://schemas.openxmlformats.org/officeDocument/2006/relationships/hyperlink" Target="https://www.datos.gov.co/Inclusi-n-Social-y-Reconciliaci-n/Preguntas-Frecuentes-sobre-el-Restablecimiento-de-/f5c7-brg9" TargetMode="External"/><Relationship Id="rId52" Type="http://schemas.openxmlformats.org/officeDocument/2006/relationships/image" Target="media/image20.png"/><Relationship Id="rId60" Type="http://schemas.openxmlformats.org/officeDocument/2006/relationships/chart" Target="charts/chart12.xml"/><Relationship Id="rId65" Type="http://schemas.openxmlformats.org/officeDocument/2006/relationships/image" Target="media/image21.png"/><Relationship Id="rId73" Type="http://schemas.openxmlformats.org/officeDocument/2006/relationships/chart" Target="charts/chart17.xml"/><Relationship Id="rId78" Type="http://schemas.openxmlformats.org/officeDocument/2006/relationships/image" Target="media/image26.png"/><Relationship Id="rId81" Type="http://schemas.openxmlformats.org/officeDocument/2006/relationships/image" Target="media/image28.png"/><Relationship Id="rId86" Type="http://schemas.openxmlformats.org/officeDocument/2006/relationships/diagramColors" Target="diagrams/colors3.xml"/><Relationship Id="rId94" Type="http://schemas.openxmlformats.org/officeDocument/2006/relationships/hyperlink" Target="http://es.presidencia.gov.co/normativa/normativa/DECRETO%2052%20DEL%2012%20ENERO%20DE%202017.pdf" TargetMode="External"/><Relationship Id="rId99" Type="http://schemas.openxmlformats.org/officeDocument/2006/relationships/hyperlink" Target="http://es.presidencia.gov.co/normativa/normativa/DECRETO%20270%20DEL%2014%20FEBRERO%20DE%202017.pdf" TargetMode="External"/><Relationship Id="rId101" Type="http://schemas.openxmlformats.org/officeDocument/2006/relationships/hyperlink" Target="http://es.presidencia.gov.co/normativa/normativa/DECRETO%20355%20DEL%2003%20DE%20MARZO%20DE%202017.pdf" TargetMode="External"/><Relationship Id="rId122" Type="http://schemas.openxmlformats.org/officeDocument/2006/relationships/hyperlink" Target="http://es.presidencia.gov.co/normativa/normativa/DECRETO%201268%20DEL%2026%20DE%20JULIO%20DE%202017.pdf" TargetMode="External"/><Relationship Id="rId130" Type="http://schemas.openxmlformats.org/officeDocument/2006/relationships/hyperlink" Target="http://es.presidencia.gov.co/normativa/normativa/DECRETO%201581%20DEL%2028%20DE%20SEPTIEMBRE%20DE%202017.pdf" TargetMode="External"/><Relationship Id="rId135" Type="http://schemas.openxmlformats.org/officeDocument/2006/relationships/hyperlink" Target="http://es.presidencia.gov.co/normativa/normativa/DECRETO%201983%20DEL%2030%20DE%20NOVIEMBRE%20DE%202017.pdf" TargetMode="External"/><Relationship Id="rId143"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chart" Target="charts/chart5.xml"/><Relationship Id="rId109" Type="http://schemas.openxmlformats.org/officeDocument/2006/relationships/hyperlink" Target="http://es.presidencia.gov.co/normativa/normativa/DECRETO%20885%20DEL%2026%20DE%20MAYO%20DE%202017.pdf" TargetMode="External"/><Relationship Id="rId34" Type="http://schemas.openxmlformats.org/officeDocument/2006/relationships/chart" Target="charts/chart3.xml"/><Relationship Id="rId50" Type="http://schemas.openxmlformats.org/officeDocument/2006/relationships/image" Target="media/image19.png"/><Relationship Id="rId55" Type="http://schemas.openxmlformats.org/officeDocument/2006/relationships/hyperlink" Target="file:///\\172.16.9.31\ArchivosICBF\Direccion%20de%20Planeacion\Caja%20de%20Herramientas%202017\" TargetMode="External"/><Relationship Id="rId76" Type="http://schemas.openxmlformats.org/officeDocument/2006/relationships/image" Target="media/image25.png"/><Relationship Id="rId97" Type="http://schemas.openxmlformats.org/officeDocument/2006/relationships/hyperlink" Target="http://es.presidencia.gov.co/normativa/normativa/DECRETO%2092%20DEL%2023%20ENERO%20DE%202017.pdf" TargetMode="External"/><Relationship Id="rId104" Type="http://schemas.openxmlformats.org/officeDocument/2006/relationships/hyperlink" Target="http://es.presidencia.gov.co/normativa/normativa/DECRETO%20445%20DEL%2016%20DE%20MARZO%20DE%202017.pdf" TargetMode="External"/><Relationship Id="rId120" Type="http://schemas.openxmlformats.org/officeDocument/2006/relationships/hyperlink" Target="http://es.presidencia.gov.co/normativa/normativa/DECRETO%201203%20DEL%2012%20DE%20JULIO%20DE%202017.pdf" TargetMode="External"/><Relationship Id="rId125" Type="http://schemas.openxmlformats.org/officeDocument/2006/relationships/hyperlink" Target="http://es.presidencia.gov.co/normativa/normativa/DECRETO%201357%20DEL%2014%20DE%20AGOSTO%20DE%202017.pdf" TargetMode="External"/><Relationship Id="rId141" Type="http://schemas.openxmlformats.org/officeDocument/2006/relationships/hyperlink" Target="http://es.presidencia.gov.co/normativa/normativa/LEY%201873%20DEL%2020%20DE%20DICIEMBRE%20DE%202017.pdf" TargetMode="External"/><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cid:image006.png@01D368F9.80C33AE0" TargetMode="External"/><Relationship Id="rId92" Type="http://schemas.openxmlformats.org/officeDocument/2006/relationships/hyperlink" Target="http://es.presidencia.gov.co/normativa/normativa/LEY%201823%20DEL%204%20DE%20ENERO%20DE%202017.pdf" TargetMode="External"/><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hyperlink" Target="http://www.icbf.gov.co/cargues/avance/docs/ley_1098_2006_pr004.htm" TargetMode="External"/><Relationship Id="rId40" Type="http://schemas.openxmlformats.org/officeDocument/2006/relationships/image" Target="media/image13.png"/><Relationship Id="rId45" Type="http://schemas.openxmlformats.org/officeDocument/2006/relationships/image" Target="media/image15.png"/><Relationship Id="rId66" Type="http://schemas.openxmlformats.org/officeDocument/2006/relationships/image" Target="cid:image001.png@01D3801B.69F4F590" TargetMode="External"/><Relationship Id="rId87" Type="http://schemas.microsoft.com/office/2007/relationships/diagramDrawing" Target="diagrams/drawing3.xml"/><Relationship Id="rId110" Type="http://schemas.openxmlformats.org/officeDocument/2006/relationships/hyperlink" Target="http://es.presidencia.gov.co/normativa/normativa/DECRETO%20891%20DEL%2028%20DE%20MAYO%20DE%202017.pdf" TargetMode="External"/><Relationship Id="rId115" Type="http://schemas.openxmlformats.org/officeDocument/2006/relationships/hyperlink" Target="http://es.presidencia.gov.co/normativa/normativa/DECRETO%20927%20DEL%2001%20DE%20JUNIO%20DE%202017.pdf" TargetMode="External"/><Relationship Id="rId131" Type="http://schemas.openxmlformats.org/officeDocument/2006/relationships/hyperlink" Target="http://es.presidencia.gov.co/normativa/normativa/DECRETO%201811%20DEL%207%20DE%20NOVIEMBRE%20DE%202017.pdf" TargetMode="External"/><Relationship Id="rId136" Type="http://schemas.openxmlformats.org/officeDocument/2006/relationships/hyperlink" Target="http://es.presidencia.gov.co/normativa/normativa/DECRETO%202011%20DEL%2030%20DE%20NOVIEMBRE%20DE%202017.pdf" TargetMode="External"/><Relationship Id="rId61" Type="http://schemas.openxmlformats.org/officeDocument/2006/relationships/chart" Target="charts/chart13.xml"/><Relationship Id="rId82" Type="http://schemas.openxmlformats.org/officeDocument/2006/relationships/image" Target="media/image29.png"/><Relationship Id="rId19" Type="http://schemas.openxmlformats.org/officeDocument/2006/relationships/diagramQuickStyle" Target="diagrams/quickStyle2.xml"/><Relationship Id="rId14" Type="http://schemas.openxmlformats.org/officeDocument/2006/relationships/diagramQuickStyle" Target="diagrams/quickStyle1.xml"/><Relationship Id="rId30" Type="http://schemas.openxmlformats.org/officeDocument/2006/relationships/hyperlink" Target="http://www.icbf.gov.co" TargetMode="External"/><Relationship Id="rId35" Type="http://schemas.openxmlformats.org/officeDocument/2006/relationships/chart" Target="charts/chart4.xml"/><Relationship Id="rId56" Type="http://schemas.openxmlformats.org/officeDocument/2006/relationships/chart" Target="charts/chart8.xml"/><Relationship Id="rId77" Type="http://schemas.openxmlformats.org/officeDocument/2006/relationships/chart" Target="charts/chart18.xml"/><Relationship Id="rId100" Type="http://schemas.openxmlformats.org/officeDocument/2006/relationships/hyperlink" Target="http://es.presidencia.gov.co/normativa/normativa/DECRETO%20321%20DEL%2028%20FEBRERO%20DE%202017.pdf" TargetMode="External"/><Relationship Id="rId105" Type="http://schemas.openxmlformats.org/officeDocument/2006/relationships/hyperlink" Target="http://es.presidencia.gov.co/normativa/normativa/DECRETO%20536%20DEL%2030%20DE%20MARZO%20DE%202017.pdf" TargetMode="External"/><Relationship Id="rId126" Type="http://schemas.openxmlformats.org/officeDocument/2006/relationships/hyperlink" Target="http://es.presidencia.gov.co/normativa/normativa/DECRETO%201413%20DEL%2025%20DE%20AGOSTO%20DE%202017.pdf" TargetMode="External"/><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icbf.gov.co/portal/page/portal/PortalICBF/Servicios/vus" TargetMode="External"/><Relationship Id="rId72" Type="http://schemas.openxmlformats.org/officeDocument/2006/relationships/chart" Target="charts/chart16.xml"/><Relationship Id="rId93" Type="http://schemas.openxmlformats.org/officeDocument/2006/relationships/hyperlink" Target="http://es.presidencia.gov.co/normativa/normativa/LEY%201826%20DEL%2012%20DE%20ENERO%20DE%202017.pdf" TargetMode="External"/><Relationship Id="rId98" Type="http://schemas.openxmlformats.org/officeDocument/2006/relationships/hyperlink" Target="http://es.presidencia.gov.co/normativa/normativa/DECRETO%20220%20DEL%2007%20FEBRERO%20DE%202017.pdf" TargetMode="External"/><Relationship Id="rId121" Type="http://schemas.openxmlformats.org/officeDocument/2006/relationships/hyperlink" Target="http://es.presidencia.gov.co/normativa/normativa/LEY%201850%20DEL%2019%20DE%20JULIO%20DE%202017.pdf" TargetMode="External"/><Relationship Id="rId14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footnotes.xml.rels><?xml version="1.0" encoding="UTF-8" standalone="yes"?>
<Relationships xmlns="http://schemas.openxmlformats.org/package/2006/relationships"><Relationship Id="rId2" Type="http://schemas.openxmlformats.org/officeDocument/2006/relationships/hyperlink" Target="http://www.icbf.gov.co/portal/page/portal/PortalICBF/LeyTransparencia/Gu%C3%ADa_para_la_gestion_de_contenidos_en_portafolio%20web_ICBF.pdf" TargetMode="External"/><Relationship Id="rId1" Type="http://schemas.openxmlformats.org/officeDocument/2006/relationships/hyperlink" Target="http://www.icbf.gov.co/portal/page/portal/PortalICBF/procesos/estrategico/comunicacion-estrategica/P6.CE%20Procedimiento%20Actualizaci%C3%B3n%20Portafolio%20Web%20ICBF%20v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3.jpeg"/><Relationship Id="rId1" Type="http://schemas.openxmlformats.org/officeDocument/2006/relationships/image" Target="media/image31.jpeg"/></Relationships>
</file>

<file path=word/_rels/header3.xml.rels><?xml version="1.0" encoding="UTF-8" standalone="yes"?>
<Relationships xmlns="http://schemas.openxmlformats.org/package/2006/relationships"><Relationship Id="rId1" Type="http://schemas.openxmlformats.org/officeDocument/2006/relationships/image" Target="media/image3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4.bin"/></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5.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6.bin"/></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7.bin"/></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8.bin"/></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embeddings/oleObject9.bin"/></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Libro1"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Libro1"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file:///C:\ANGELA%20PARRA\MECI\Resultados_MECI.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file:///\\icbf.gov.co\fs_dco\DIRECCION%20DE%20CONTRATACION\POSCONTRACTUAL\SANCIONATORIOS\ACOMPA&#209;AMIENTO%20REGIONALES%202017\SANCIONATORIOS\1.%20CONTROL%20LEGALIDAD%20Y%20SANCIONATORIO%2003102017\1.%20CONSOLIDADO%20CONTROLES%20DE%20LEGALIDAD%20VIGENCIA%202017%20(02102017).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george.zambrano\AppData\Local\Microsoft\Windows\INetCache\Content.Outlook\3URIDGS0\INFORME%20GRAFICOS%20ANTICORRUPCI&#211;N.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george.zambrano\AppData\Local\Microsoft\Windows\INetCache\Content.Outlook\3URIDGS0\INFORME%20GRAFICOS%20ANTICORRUPCI&#211;N.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george.zambrano\AppData\Local\Microsoft\Windows\INetCache\Content.Outlook\3URIDGS0\INFORME%20GRAFICOS%20ANTICORRUPCI&#211;N.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172.16.9.31\ArchivosICBF\Direcci&#243;n%20de%20Servicios%20y%20Atenci&#243;n\SeguimientoPlanAccionGEL\2017\7.%20PLAN_DE_ACCIO&#769;N_GEL_ICBF%20_2017.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luis.mora\Downloads\AJAHERRAMIENTAS2017\RENDICIONCUENTAS2017\MATRICES2017\1SEM2017RPCYMPGRAF.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luis.mora\Downloads\AJAHERRAMIENTAS2017\RENDICIONCUENTAS2017\MATRICES2017\SI2017MUNPROEJEC.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2.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b="1" i="0" baseline="0">
                <a:effectLst/>
              </a:rPr>
              <a:t>Presupuesto asociado a población 0-17 por sector 2016 – 2017 Billones de pesos constantes</a:t>
            </a:r>
            <a:endParaRPr lang="es-CO" sz="1050">
              <a:effectLst/>
            </a:endParaRPr>
          </a:p>
        </c:rich>
      </c:tx>
      <c:layout>
        <c:manualLayout>
          <c:xMode val="edge"/>
          <c:yMode val="edge"/>
          <c:x val="0.1527379490311141"/>
          <c:y val="1.83667853243260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14699657072289585"/>
          <c:y val="0.16474606964997471"/>
          <c:w val="0.79543241469816273"/>
          <c:h val="0.68491469816272965"/>
        </c:manualLayout>
      </c:layout>
      <c:barChart>
        <c:barDir val="col"/>
        <c:grouping val="clustered"/>
        <c:varyColors val="0"/>
        <c:ser>
          <c:idx val="0"/>
          <c:order val="0"/>
          <c:tx>
            <c:strRef>
              <c:f>RESUMEN!$C$2</c:f>
              <c:strCache>
                <c:ptCount val="1"/>
                <c:pt idx="0">
                  <c:v>Presupuesto 2016</c:v>
                </c:pt>
              </c:strCache>
            </c:strRef>
          </c:tx>
          <c:spPr>
            <a:solidFill>
              <a:schemeClr val="accent1"/>
            </a:solidFill>
            <a:ln>
              <a:noFill/>
            </a:ln>
            <a:effectLst/>
          </c:spPr>
          <c:invertIfNegative val="0"/>
          <c:dLbls>
            <c:dLbl>
              <c:idx val="1"/>
              <c:layout>
                <c:manualLayout>
                  <c:x val="-7.2904316624404298E-3"/>
                  <c:y val="1.3494738911335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8F-42AB-8195-F92CDFAB3D2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RESUMEN!$B$3:$B$7</c:f>
              <c:strCache>
                <c:ptCount val="5"/>
                <c:pt idx="0">
                  <c:v>INCLUSIÓN SOCIAL Y RECONCILIACIÓN</c:v>
                </c:pt>
                <c:pt idx="1">
                  <c:v>EDUCACIÓN</c:v>
                </c:pt>
                <c:pt idx="2">
                  <c:v>SALUD</c:v>
                </c:pt>
                <c:pt idx="3">
                  <c:v>TRABAJO</c:v>
                </c:pt>
                <c:pt idx="4">
                  <c:v>TOTAL</c:v>
                </c:pt>
              </c:strCache>
            </c:strRef>
          </c:cat>
          <c:val>
            <c:numRef>
              <c:f>RESUMEN!$C$3:$C$7</c:f>
              <c:numCache>
                <c:formatCode>_(* #,##0_);_(* \(#,##0\);_(* "-"_);_(@_)</c:formatCode>
                <c:ptCount val="5"/>
                <c:pt idx="0">
                  <c:v>7241678231925.7598</c:v>
                </c:pt>
                <c:pt idx="1">
                  <c:v>20170327450528.449</c:v>
                </c:pt>
                <c:pt idx="2">
                  <c:v>2481764153000</c:v>
                </c:pt>
                <c:pt idx="3">
                  <c:v>237054000000</c:v>
                </c:pt>
                <c:pt idx="4">
                  <c:v>30130823835454.211</c:v>
                </c:pt>
              </c:numCache>
            </c:numRef>
          </c:val>
          <c:extLst>
            <c:ext xmlns:c16="http://schemas.microsoft.com/office/drawing/2014/chart" uri="{C3380CC4-5D6E-409C-BE32-E72D297353CC}">
              <c16:uniqueId val="{00000001-198F-42AB-8195-F92CDFAB3D2D}"/>
            </c:ext>
          </c:extLst>
        </c:ser>
        <c:ser>
          <c:idx val="1"/>
          <c:order val="1"/>
          <c:tx>
            <c:strRef>
              <c:f>RESUMEN!$G$2</c:f>
              <c:strCache>
                <c:ptCount val="1"/>
                <c:pt idx="0">
                  <c:v>Presupuesto 2017</c:v>
                </c:pt>
              </c:strCache>
            </c:strRef>
          </c:tx>
          <c:spPr>
            <a:solidFill>
              <a:schemeClr val="accent2"/>
            </a:solidFill>
            <a:ln>
              <a:noFill/>
            </a:ln>
            <a:effectLst/>
          </c:spPr>
          <c:invertIfNegative val="0"/>
          <c:dLbls>
            <c:dLbl>
              <c:idx val="1"/>
              <c:layout>
                <c:manualLayout>
                  <c:x val="1.2150719437400597E-2"/>
                  <c:y val="3.37368472783396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8F-42AB-8195-F92CDFAB3D2D}"/>
                </c:ext>
              </c:extLst>
            </c:dLbl>
            <c:dLbl>
              <c:idx val="4"/>
              <c:layout>
                <c:manualLayout>
                  <c:x val="7.2904316624403847E-3"/>
                  <c:y val="1.3494738911335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8F-42AB-8195-F92CDFAB3D2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RESUMEN!$B$3:$B$7</c:f>
              <c:strCache>
                <c:ptCount val="5"/>
                <c:pt idx="0">
                  <c:v>INCLUSIÓN SOCIAL Y RECONCILIACIÓN</c:v>
                </c:pt>
                <c:pt idx="1">
                  <c:v>EDUCACIÓN</c:v>
                </c:pt>
                <c:pt idx="2">
                  <c:v>SALUD</c:v>
                </c:pt>
                <c:pt idx="3">
                  <c:v>TRABAJO</c:v>
                </c:pt>
                <c:pt idx="4">
                  <c:v>TOTAL</c:v>
                </c:pt>
              </c:strCache>
            </c:strRef>
          </c:cat>
          <c:val>
            <c:numRef>
              <c:f>RESUMEN!$G$3:$G$7</c:f>
              <c:numCache>
                <c:formatCode>_(* #,##0_);_(* \(#,##0\);_(* "-"_);_(@_)</c:formatCode>
                <c:ptCount val="5"/>
                <c:pt idx="0">
                  <c:v>6509255705225.5313</c:v>
                </c:pt>
                <c:pt idx="1">
                  <c:v>20598968986983.453</c:v>
                </c:pt>
                <c:pt idx="2">
                  <c:v>2486402390732.8604</c:v>
                </c:pt>
                <c:pt idx="3">
                  <c:v>230889834515.36642</c:v>
                </c:pt>
                <c:pt idx="4">
                  <c:v>29825516917457.211</c:v>
                </c:pt>
              </c:numCache>
            </c:numRef>
          </c:val>
          <c:extLst>
            <c:ext xmlns:c16="http://schemas.microsoft.com/office/drawing/2014/chart" uri="{C3380CC4-5D6E-409C-BE32-E72D297353CC}">
              <c16:uniqueId val="{00000004-198F-42AB-8195-F92CDFAB3D2D}"/>
            </c:ext>
          </c:extLst>
        </c:ser>
        <c:dLbls>
          <c:showLegendKey val="0"/>
          <c:showVal val="0"/>
          <c:showCatName val="0"/>
          <c:showSerName val="0"/>
          <c:showPercent val="0"/>
          <c:showBubbleSize val="0"/>
        </c:dLbls>
        <c:gapWidth val="150"/>
        <c:axId val="464079696"/>
        <c:axId val="464082496"/>
      </c:barChart>
      <c:catAx>
        <c:axId val="46407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464082496"/>
        <c:crosses val="autoZero"/>
        <c:auto val="1"/>
        <c:lblAlgn val="ctr"/>
        <c:lblOffset val="100"/>
        <c:noMultiLvlLbl val="0"/>
      </c:catAx>
      <c:valAx>
        <c:axId val="46408249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64079696"/>
        <c:crosses val="autoZero"/>
        <c:crossBetween val="between"/>
        <c:dispUnits>
          <c:builtInUnit val="trillions"/>
          <c:dispUnitsLbl>
            <c:layout>
              <c:manualLayout>
                <c:xMode val="edge"/>
                <c:yMode val="edge"/>
                <c:x val="3.0707680515435154E-2"/>
                <c:y val="0.34128315062404635"/>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Billones de Pesos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dispUnitsLbl>
        </c:dispUnits>
      </c:valAx>
      <c:spPr>
        <a:noFill/>
        <a:ln>
          <a:noFill/>
        </a:ln>
        <a:effectLst/>
      </c:spPr>
    </c:plotArea>
    <c:legend>
      <c:legendPos val="b"/>
      <c:layout>
        <c:manualLayout>
          <c:xMode val="edge"/>
          <c:yMode val="edge"/>
          <c:x val="0.49546372911013242"/>
          <c:y val="0.3591008041076485"/>
          <c:w val="0.24950045968830167"/>
          <c:h val="0.1228268040428698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bg1"/>
                </a:solidFill>
                <a:latin typeface="+mn-lt"/>
                <a:ea typeface="+mn-ea"/>
                <a:cs typeface="+mn-cs"/>
              </a:defRPr>
            </a:pPr>
            <a:r>
              <a:rPr lang="en-US" sz="1050">
                <a:solidFill>
                  <a:schemeClr val="bg1"/>
                </a:solidFill>
              </a:rPr>
              <a:t>¿Cómo califica el conocimiento del tema por parte del asesor que lo atendió?</a:t>
            </a:r>
          </a:p>
        </c:rich>
      </c:tx>
      <c:overlay val="0"/>
      <c:spPr>
        <a:solidFill>
          <a:schemeClr val="accent6"/>
        </a:solidFill>
        <a:ln>
          <a:noFill/>
        </a:ln>
        <a:effectLst/>
      </c:spPr>
      <c:txPr>
        <a:bodyPr rot="0" spcFirstLastPara="1" vertOverflow="ellipsis" vert="horz" wrap="square" anchor="ctr" anchorCtr="1"/>
        <a:lstStyle/>
        <a:p>
          <a:pPr>
            <a:defRPr sz="1050" b="1" i="0" u="none" strike="noStrike" kern="1200" baseline="0">
              <a:solidFill>
                <a:schemeClr val="bg1"/>
              </a:solidFill>
              <a:latin typeface="+mn-lt"/>
              <a:ea typeface="+mn-ea"/>
              <a:cs typeface="+mn-cs"/>
            </a:defRPr>
          </a:pPr>
          <a:endParaRPr lang="es-CO"/>
        </a:p>
      </c:txPr>
    </c:title>
    <c:autoTitleDeleted val="0"/>
    <c:plotArea>
      <c:layout>
        <c:manualLayout>
          <c:layoutTarget val="inner"/>
          <c:xMode val="edge"/>
          <c:yMode val="edge"/>
          <c:x val="0.25487411489070827"/>
          <c:y val="0.21164296029321161"/>
          <c:w val="0.46109338718346093"/>
          <c:h val="0.72819446005604349"/>
        </c:manualLayout>
      </c:layout>
      <c:pieChart>
        <c:varyColors val="1"/>
        <c:ser>
          <c:idx val="0"/>
          <c:order val="0"/>
          <c:tx>
            <c:strRef>
              <c:f>'Encuestas Canal Virtual'!$F$27</c:f>
              <c:strCache>
                <c:ptCount val="1"/>
                <c:pt idx="0">
                  <c:v>% Participación</c:v>
                </c:pt>
              </c:strCache>
            </c:strRef>
          </c:tx>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A3C-4380-BDDF-1ECAF936A9E0}"/>
              </c:ext>
            </c:extLst>
          </c:dPt>
          <c:dPt>
            <c:idx val="1"/>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A3C-4380-BDDF-1ECAF936A9E0}"/>
              </c:ext>
            </c:extLst>
          </c:dPt>
          <c:dPt>
            <c:idx val="2"/>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A3C-4380-BDDF-1ECAF936A9E0}"/>
              </c:ext>
            </c:extLst>
          </c:dPt>
          <c:dPt>
            <c:idx val="3"/>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5A3C-4380-BDDF-1ECAF936A9E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'Encuestas Canal Virtual'!$B$28:$B$31</c:f>
              <c:strCache>
                <c:ptCount val="4"/>
                <c:pt idx="0">
                  <c:v>Excelente</c:v>
                </c:pt>
                <c:pt idx="1">
                  <c:v>Bueno</c:v>
                </c:pt>
                <c:pt idx="2">
                  <c:v>Regular</c:v>
                </c:pt>
                <c:pt idx="3">
                  <c:v>Malo</c:v>
                </c:pt>
              </c:strCache>
            </c:strRef>
          </c:cat>
          <c:val>
            <c:numRef>
              <c:f>'Encuestas Canal Virtual'!$F$28:$F$31</c:f>
              <c:numCache>
                <c:formatCode>0%</c:formatCode>
                <c:ptCount val="4"/>
                <c:pt idx="0">
                  <c:v>0.71196235449517042</c:v>
                </c:pt>
                <c:pt idx="1">
                  <c:v>0.10571287046974324</c:v>
                </c:pt>
                <c:pt idx="2">
                  <c:v>5.1721291174770909E-2</c:v>
                </c:pt>
                <c:pt idx="3">
                  <c:v>0.13060348386031537</c:v>
                </c:pt>
              </c:numCache>
            </c:numRef>
          </c:val>
          <c:extLst>
            <c:ext xmlns:c16="http://schemas.microsoft.com/office/drawing/2014/chart" uri="{C3380CC4-5D6E-409C-BE32-E72D297353CC}">
              <c16:uniqueId val="{00000008-5A3C-4380-BDDF-1ECAF936A9E0}"/>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accent6"/>
      </a:solidFill>
      <a:round/>
    </a:ln>
    <a:effectLst/>
  </c:spPr>
  <c:txPr>
    <a:bodyPr/>
    <a:lstStyle/>
    <a:p>
      <a:pPr>
        <a:defRPr/>
      </a:pPr>
      <a:endParaRPr lang="es-C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bg1"/>
                </a:solidFill>
                <a:latin typeface="+mn-lt"/>
                <a:ea typeface="+mn-ea"/>
                <a:cs typeface="+mn-cs"/>
              </a:defRPr>
            </a:pPr>
            <a:r>
              <a:rPr lang="en-US" sz="1100">
                <a:solidFill>
                  <a:schemeClr val="bg1"/>
                </a:solidFill>
              </a:rPr>
              <a:t>¿Crees que en la Línea 141 te ayudamos?</a:t>
            </a:r>
          </a:p>
        </c:rich>
      </c:tx>
      <c:overlay val="0"/>
      <c:spPr>
        <a:solidFill>
          <a:schemeClr val="accent6"/>
        </a:solidFill>
        <a:ln>
          <a:solidFill>
            <a:schemeClr val="accent6"/>
          </a:solidFill>
        </a:ln>
        <a:effectLst/>
      </c:spPr>
      <c:txPr>
        <a:bodyPr rot="0" spcFirstLastPara="1" vertOverflow="ellipsis" vert="horz" wrap="square" anchor="ctr" anchorCtr="1"/>
        <a:lstStyle/>
        <a:p>
          <a:pPr>
            <a:defRPr sz="1100" b="1" i="0" u="none" strike="noStrike" kern="1200" baseline="0">
              <a:solidFill>
                <a:schemeClr val="bg1"/>
              </a:solidFill>
              <a:latin typeface="+mn-lt"/>
              <a:ea typeface="+mn-ea"/>
              <a:cs typeface="+mn-cs"/>
            </a:defRPr>
          </a:pPr>
          <a:endParaRPr lang="es-CO"/>
        </a:p>
      </c:txPr>
    </c:title>
    <c:autoTitleDeleted val="0"/>
    <c:plotArea>
      <c:layout>
        <c:manualLayout>
          <c:layoutTarget val="inner"/>
          <c:xMode val="edge"/>
          <c:yMode val="edge"/>
          <c:x val="0.25487411489070827"/>
          <c:y val="0.21164296029321161"/>
          <c:w val="0.46109338718346093"/>
          <c:h val="0.72819446005604349"/>
        </c:manualLayout>
      </c:layout>
      <c:pieChart>
        <c:varyColors val="1"/>
        <c:ser>
          <c:idx val="0"/>
          <c:order val="0"/>
          <c:tx>
            <c:strRef>
              <c:f>'Encuestas Línea 141 - NNA'!$D$19</c:f>
              <c:strCache>
                <c:ptCount val="1"/>
                <c:pt idx="0">
                  <c:v>% Participación</c:v>
                </c:pt>
              </c:strCache>
            </c:strRef>
          </c:tx>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D370-49AF-A0A1-91B2A9D5C48D}"/>
              </c:ext>
            </c:extLst>
          </c:dPt>
          <c:dPt>
            <c:idx val="1"/>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D370-49AF-A0A1-91B2A9D5C48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'Encuestas Línea 141 - NNA'!$B$20:$B$21</c:f>
              <c:strCache>
                <c:ptCount val="2"/>
                <c:pt idx="0">
                  <c:v>Si</c:v>
                </c:pt>
                <c:pt idx="1">
                  <c:v>No</c:v>
                </c:pt>
              </c:strCache>
            </c:strRef>
          </c:cat>
          <c:val>
            <c:numRef>
              <c:f>'Encuestas Línea 141 - NNA'!$D$20:$D$21</c:f>
              <c:numCache>
                <c:formatCode>0%</c:formatCode>
                <c:ptCount val="2"/>
                <c:pt idx="0">
                  <c:v>0.77152875937805809</c:v>
                </c:pt>
                <c:pt idx="1">
                  <c:v>0.22847124062194193</c:v>
                </c:pt>
              </c:numCache>
            </c:numRef>
          </c:val>
          <c:extLst>
            <c:ext xmlns:c16="http://schemas.microsoft.com/office/drawing/2014/chart" uri="{C3380CC4-5D6E-409C-BE32-E72D297353CC}">
              <c16:uniqueId val="{00000004-D370-49AF-A0A1-91B2A9D5C48D}"/>
            </c:ext>
          </c:extLst>
        </c:ser>
        <c:dLbls>
          <c:showLegendKey val="0"/>
          <c:showVal val="0"/>
          <c:showCatName val="0"/>
          <c:showSerName val="0"/>
          <c:showPercent val="0"/>
          <c:showBubbleSize val="0"/>
          <c:showLeaderLines val="1"/>
        </c:dLbls>
        <c:firstSliceAng val="0"/>
        <c:extLst/>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12700" cap="flat" cmpd="sng" algn="ctr">
      <a:solidFill>
        <a:schemeClr val="accent6"/>
      </a:solidFill>
      <a:round/>
    </a:ln>
    <a:effectLst/>
  </c:spPr>
  <c:txPr>
    <a:bodyPr/>
    <a:lstStyle/>
    <a:p>
      <a:pPr>
        <a:defRPr/>
      </a:pPr>
      <a:endParaRPr lang="es-C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bg1"/>
                </a:solidFill>
                <a:latin typeface="+mn-lt"/>
                <a:ea typeface="+mn-ea"/>
                <a:cs typeface="+mn-cs"/>
              </a:defRPr>
            </a:pPr>
            <a:r>
              <a:rPr lang="en-US" sz="1100">
                <a:solidFill>
                  <a:schemeClr val="bg1"/>
                </a:solidFill>
              </a:rPr>
              <a:t>¿Volverías a hablar con nosotros?</a:t>
            </a:r>
          </a:p>
        </c:rich>
      </c:tx>
      <c:overlay val="0"/>
      <c:spPr>
        <a:solidFill>
          <a:schemeClr val="accent6"/>
        </a:solidFill>
        <a:ln>
          <a:solidFill>
            <a:schemeClr val="accent6"/>
          </a:solidFill>
        </a:ln>
        <a:effectLst/>
      </c:spPr>
      <c:txPr>
        <a:bodyPr rot="0" spcFirstLastPara="1" vertOverflow="ellipsis" vert="horz" wrap="square" anchor="ctr" anchorCtr="1"/>
        <a:lstStyle/>
        <a:p>
          <a:pPr>
            <a:defRPr sz="1100" b="1" i="0" u="none" strike="noStrike" kern="1200" baseline="0">
              <a:solidFill>
                <a:schemeClr val="bg1"/>
              </a:solidFill>
              <a:latin typeface="+mn-lt"/>
              <a:ea typeface="+mn-ea"/>
              <a:cs typeface="+mn-cs"/>
            </a:defRPr>
          </a:pPr>
          <a:endParaRPr lang="es-CO"/>
        </a:p>
      </c:txPr>
    </c:title>
    <c:autoTitleDeleted val="0"/>
    <c:plotArea>
      <c:layout>
        <c:manualLayout>
          <c:layoutTarget val="inner"/>
          <c:xMode val="edge"/>
          <c:yMode val="edge"/>
          <c:x val="0.25487411489070827"/>
          <c:y val="0.21164296029321161"/>
          <c:w val="0.46109338718346093"/>
          <c:h val="0.72819446005604349"/>
        </c:manualLayout>
      </c:layout>
      <c:pieChart>
        <c:varyColors val="1"/>
        <c:ser>
          <c:idx val="0"/>
          <c:order val="0"/>
          <c:tx>
            <c:strRef>
              <c:f>'Encuestas Línea 141 - NNA'!$D$10</c:f>
              <c:strCache>
                <c:ptCount val="1"/>
                <c:pt idx="0">
                  <c:v>% Participación</c:v>
                </c:pt>
              </c:strCache>
            </c:strRef>
          </c:tx>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F88-47FF-B967-0F307601F3AE}"/>
              </c:ext>
            </c:extLst>
          </c:dPt>
          <c:dPt>
            <c:idx val="1"/>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F88-47FF-B967-0F307601F3A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'Encuestas Línea 141 - NNA'!$B$11:$B$12</c:f>
              <c:strCache>
                <c:ptCount val="2"/>
                <c:pt idx="0">
                  <c:v>Si</c:v>
                </c:pt>
                <c:pt idx="1">
                  <c:v>No</c:v>
                </c:pt>
              </c:strCache>
            </c:strRef>
          </c:cat>
          <c:val>
            <c:numRef>
              <c:f>'Encuestas Línea 141 - NNA'!$D$11:$D$12</c:f>
              <c:numCache>
                <c:formatCode>0%</c:formatCode>
                <c:ptCount val="2"/>
                <c:pt idx="0">
                  <c:v>0.83432097423072737</c:v>
                </c:pt>
                <c:pt idx="1">
                  <c:v>0.1656790257692726</c:v>
                </c:pt>
              </c:numCache>
            </c:numRef>
          </c:val>
          <c:extLst>
            <c:ext xmlns:c16="http://schemas.microsoft.com/office/drawing/2014/chart" uri="{C3380CC4-5D6E-409C-BE32-E72D297353CC}">
              <c16:uniqueId val="{00000004-4F88-47FF-B967-0F307601F3A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12700" cap="flat" cmpd="sng" algn="ctr">
      <a:solidFill>
        <a:schemeClr val="accent6"/>
      </a:solidFill>
      <a:round/>
    </a:ln>
    <a:effectLst/>
  </c:spPr>
  <c:txPr>
    <a:bodyPr/>
    <a:lstStyle/>
    <a:p>
      <a:pPr>
        <a:defRPr/>
      </a:pPr>
      <a:endParaRPr lang="es-C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bg1"/>
                </a:solidFill>
                <a:latin typeface="+mn-lt"/>
                <a:ea typeface="+mn-ea"/>
                <a:cs typeface="+mn-cs"/>
              </a:defRPr>
            </a:pPr>
            <a:r>
              <a:rPr lang="en-US" sz="1050">
                <a:solidFill>
                  <a:schemeClr val="bg1"/>
                </a:solidFill>
              </a:rPr>
              <a:t>¿Cómo califica el tiempo que nos tomo responder a sus solicitud?</a:t>
            </a:r>
          </a:p>
        </c:rich>
      </c:tx>
      <c:overlay val="0"/>
      <c:spPr>
        <a:solidFill>
          <a:schemeClr val="accent6"/>
        </a:solidFill>
        <a:ln>
          <a:solidFill>
            <a:schemeClr val="accent6"/>
          </a:solidFill>
        </a:ln>
        <a:effectLst/>
      </c:spPr>
      <c:txPr>
        <a:bodyPr rot="0" spcFirstLastPara="1" vertOverflow="ellipsis" vert="horz" wrap="square" anchor="ctr" anchorCtr="1"/>
        <a:lstStyle/>
        <a:p>
          <a:pPr>
            <a:defRPr sz="1050" b="1" i="0" u="none" strike="noStrike" kern="1200" baseline="0">
              <a:solidFill>
                <a:schemeClr val="bg1"/>
              </a:solidFill>
              <a:latin typeface="+mn-lt"/>
              <a:ea typeface="+mn-ea"/>
              <a:cs typeface="+mn-cs"/>
            </a:defRPr>
          </a:pPr>
          <a:endParaRPr lang="es-CO"/>
        </a:p>
      </c:txPr>
    </c:title>
    <c:autoTitleDeleted val="0"/>
    <c:plotArea>
      <c:layout>
        <c:manualLayout>
          <c:layoutTarget val="inner"/>
          <c:xMode val="edge"/>
          <c:yMode val="edge"/>
          <c:x val="0.25487411489070827"/>
          <c:y val="0.21164296029321161"/>
          <c:w val="0.46109338718346093"/>
          <c:h val="0.72819446005604349"/>
        </c:manualLayout>
      </c:layout>
      <c:pieChart>
        <c:varyColors val="1"/>
        <c:ser>
          <c:idx val="0"/>
          <c:order val="0"/>
          <c:tx>
            <c:strRef>
              <c:f>'Encuestas Línea 141 - Adultos'!$D$14</c:f>
              <c:strCache>
                <c:ptCount val="1"/>
                <c:pt idx="0">
                  <c:v>% Participación</c:v>
                </c:pt>
              </c:strCache>
            </c:strRef>
          </c:tx>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09E-4504-9A1F-06914BC0B731}"/>
              </c:ext>
            </c:extLst>
          </c:dPt>
          <c:dPt>
            <c:idx val="1"/>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09E-4504-9A1F-06914BC0B731}"/>
              </c:ext>
            </c:extLst>
          </c:dPt>
          <c:dPt>
            <c:idx val="2"/>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B09E-4504-9A1F-06914BC0B731}"/>
              </c:ext>
            </c:extLst>
          </c:dPt>
          <c:dPt>
            <c:idx val="3"/>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B09E-4504-9A1F-06914BC0B73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'Encuestas Línea 141 - Adultos'!$B$15:$B$18</c:f>
              <c:strCache>
                <c:ptCount val="4"/>
                <c:pt idx="0">
                  <c:v>Excelente</c:v>
                </c:pt>
                <c:pt idx="1">
                  <c:v>Bueno</c:v>
                </c:pt>
                <c:pt idx="2">
                  <c:v>Regular</c:v>
                </c:pt>
                <c:pt idx="3">
                  <c:v>Malo</c:v>
                </c:pt>
              </c:strCache>
            </c:strRef>
          </c:cat>
          <c:val>
            <c:numRef>
              <c:f>'Encuestas Línea 141 - Adultos'!$D$15:$D$18</c:f>
              <c:numCache>
                <c:formatCode>0%</c:formatCode>
                <c:ptCount val="4"/>
                <c:pt idx="0">
                  <c:v>0.65686917249417254</c:v>
                </c:pt>
                <c:pt idx="1">
                  <c:v>0.21510780885780886</c:v>
                </c:pt>
                <c:pt idx="2">
                  <c:v>5.1099941724941728E-2</c:v>
                </c:pt>
                <c:pt idx="3">
                  <c:v>7.6923076923076927E-2</c:v>
                </c:pt>
              </c:numCache>
            </c:numRef>
          </c:val>
          <c:extLst>
            <c:ext xmlns:c16="http://schemas.microsoft.com/office/drawing/2014/chart" uri="{C3380CC4-5D6E-409C-BE32-E72D297353CC}">
              <c16:uniqueId val="{00000008-B09E-4504-9A1F-06914BC0B731}"/>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12700" cap="flat" cmpd="sng" algn="ctr">
      <a:solidFill>
        <a:schemeClr val="accent6"/>
      </a:solidFill>
      <a:round/>
    </a:ln>
    <a:effectLst/>
  </c:spPr>
  <c:txPr>
    <a:bodyPr/>
    <a:lstStyle/>
    <a:p>
      <a:pPr>
        <a:defRPr/>
      </a:pPr>
      <a:endParaRPr lang="es-CO"/>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bg1"/>
                </a:solidFill>
                <a:latin typeface="+mn-lt"/>
                <a:ea typeface="+mn-ea"/>
                <a:cs typeface="+mn-cs"/>
              </a:defRPr>
            </a:pPr>
            <a:r>
              <a:rPr lang="en-US" sz="1050">
                <a:solidFill>
                  <a:schemeClr val="bg1"/>
                </a:solidFill>
              </a:rPr>
              <a:t>¿Cómo califica la atención brindada por parte del asesor?</a:t>
            </a:r>
          </a:p>
        </c:rich>
      </c:tx>
      <c:overlay val="0"/>
      <c:spPr>
        <a:solidFill>
          <a:schemeClr val="accent6"/>
        </a:solidFill>
        <a:ln>
          <a:noFill/>
        </a:ln>
        <a:effectLst/>
      </c:spPr>
      <c:txPr>
        <a:bodyPr rot="0" spcFirstLastPara="1" vertOverflow="ellipsis" vert="horz" wrap="square" anchor="ctr" anchorCtr="1"/>
        <a:lstStyle/>
        <a:p>
          <a:pPr>
            <a:defRPr sz="1050" b="1" i="0" u="none" strike="noStrike" kern="1200" baseline="0">
              <a:solidFill>
                <a:schemeClr val="bg1"/>
              </a:solidFill>
              <a:latin typeface="+mn-lt"/>
              <a:ea typeface="+mn-ea"/>
              <a:cs typeface="+mn-cs"/>
            </a:defRPr>
          </a:pPr>
          <a:endParaRPr lang="es-CO"/>
        </a:p>
      </c:txPr>
    </c:title>
    <c:autoTitleDeleted val="0"/>
    <c:plotArea>
      <c:layout>
        <c:manualLayout>
          <c:layoutTarget val="inner"/>
          <c:xMode val="edge"/>
          <c:yMode val="edge"/>
          <c:x val="0.25487411489070827"/>
          <c:y val="0.21164296029321161"/>
          <c:w val="0.46109338718346093"/>
          <c:h val="0.72819446005604349"/>
        </c:manualLayout>
      </c:layout>
      <c:pieChart>
        <c:varyColors val="1"/>
        <c:ser>
          <c:idx val="0"/>
          <c:order val="0"/>
          <c:tx>
            <c:strRef>
              <c:f>'Encuestas Línea 141 - Adultos'!$D$26</c:f>
              <c:strCache>
                <c:ptCount val="1"/>
                <c:pt idx="0">
                  <c:v>% Participación</c:v>
                </c:pt>
              </c:strCache>
            </c:strRef>
          </c:tx>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BED-4DB8-AC4F-FF7016ADD082}"/>
              </c:ext>
            </c:extLst>
          </c:dPt>
          <c:dPt>
            <c:idx val="1"/>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BED-4DB8-AC4F-FF7016ADD082}"/>
              </c:ext>
            </c:extLst>
          </c:dPt>
          <c:dPt>
            <c:idx val="2"/>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BBED-4DB8-AC4F-FF7016ADD082}"/>
              </c:ext>
            </c:extLst>
          </c:dPt>
          <c:dPt>
            <c:idx val="3"/>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BBED-4DB8-AC4F-FF7016ADD08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'Encuestas Línea 141 - Adultos'!$B$27:$B$30</c:f>
              <c:strCache>
                <c:ptCount val="4"/>
                <c:pt idx="0">
                  <c:v>Excelente</c:v>
                </c:pt>
                <c:pt idx="1">
                  <c:v>Bueno</c:v>
                </c:pt>
                <c:pt idx="2">
                  <c:v>Regular</c:v>
                </c:pt>
                <c:pt idx="3">
                  <c:v>Malo</c:v>
                </c:pt>
              </c:strCache>
            </c:strRef>
          </c:cat>
          <c:val>
            <c:numRef>
              <c:f>'Encuestas Línea 141 - Adultos'!$D$27:$D$30</c:f>
              <c:numCache>
                <c:formatCode>0%</c:formatCode>
                <c:ptCount val="4"/>
                <c:pt idx="0">
                  <c:v>0.76565231209280149</c:v>
                </c:pt>
                <c:pt idx="1">
                  <c:v>0.14810106467503575</c:v>
                </c:pt>
                <c:pt idx="2">
                  <c:v>2.6815509296043222E-2</c:v>
                </c:pt>
                <c:pt idx="3">
                  <c:v>5.9431113936119495E-2</c:v>
                </c:pt>
              </c:numCache>
            </c:numRef>
          </c:val>
          <c:extLst>
            <c:ext xmlns:c16="http://schemas.microsoft.com/office/drawing/2014/chart" uri="{C3380CC4-5D6E-409C-BE32-E72D297353CC}">
              <c16:uniqueId val="{00000008-BBED-4DB8-AC4F-FF7016ADD08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accent6"/>
      </a:solidFill>
      <a:round/>
    </a:ln>
    <a:effectLst/>
  </c:spPr>
  <c:txPr>
    <a:bodyPr/>
    <a:lstStyle/>
    <a:p>
      <a:pPr>
        <a:defRPr/>
      </a:pPr>
      <a:endParaRPr lang="es-CO"/>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bg1"/>
                </a:solidFill>
                <a:latin typeface="+mn-lt"/>
                <a:ea typeface="+mn-ea"/>
                <a:cs typeface="+mn-cs"/>
              </a:defRPr>
            </a:pPr>
            <a:r>
              <a:rPr lang="en-US" sz="1050">
                <a:solidFill>
                  <a:schemeClr val="bg1"/>
                </a:solidFill>
              </a:rPr>
              <a:t>¿Cómo califica el conocimiento del tema por parte del asesor que lo atendió?</a:t>
            </a:r>
          </a:p>
        </c:rich>
      </c:tx>
      <c:overlay val="0"/>
      <c:spPr>
        <a:solidFill>
          <a:schemeClr val="accent6"/>
        </a:solidFill>
        <a:ln>
          <a:noFill/>
        </a:ln>
        <a:effectLst/>
      </c:spPr>
      <c:txPr>
        <a:bodyPr rot="0" spcFirstLastPara="1" vertOverflow="ellipsis" vert="horz" wrap="square" anchor="ctr" anchorCtr="1"/>
        <a:lstStyle/>
        <a:p>
          <a:pPr>
            <a:defRPr sz="1050" b="1" i="0" u="none" strike="noStrike" kern="1200" baseline="0">
              <a:solidFill>
                <a:schemeClr val="bg1"/>
              </a:solidFill>
              <a:latin typeface="+mn-lt"/>
              <a:ea typeface="+mn-ea"/>
              <a:cs typeface="+mn-cs"/>
            </a:defRPr>
          </a:pPr>
          <a:endParaRPr lang="es-CO"/>
        </a:p>
      </c:txPr>
    </c:title>
    <c:autoTitleDeleted val="0"/>
    <c:plotArea>
      <c:layout>
        <c:manualLayout>
          <c:layoutTarget val="inner"/>
          <c:xMode val="edge"/>
          <c:yMode val="edge"/>
          <c:x val="0.25487411489070827"/>
          <c:y val="0.21164296029321161"/>
          <c:w val="0.46109338718346093"/>
          <c:h val="0.72819446005604349"/>
        </c:manualLayout>
      </c:layout>
      <c:pieChart>
        <c:varyColors val="1"/>
        <c:ser>
          <c:idx val="0"/>
          <c:order val="0"/>
          <c:tx>
            <c:strRef>
              <c:f>'Encuestas Línea 141 - Adultos'!$D$40</c:f>
              <c:strCache>
                <c:ptCount val="1"/>
                <c:pt idx="0">
                  <c:v>% Participación</c:v>
                </c:pt>
              </c:strCache>
            </c:strRef>
          </c:tx>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700-4EA5-BE2C-2B1781820DEE}"/>
              </c:ext>
            </c:extLst>
          </c:dPt>
          <c:dPt>
            <c:idx val="1"/>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0700-4EA5-BE2C-2B1781820DEE}"/>
              </c:ext>
            </c:extLst>
          </c:dPt>
          <c:dPt>
            <c:idx val="2"/>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0700-4EA5-BE2C-2B1781820DEE}"/>
              </c:ext>
            </c:extLst>
          </c:dPt>
          <c:dPt>
            <c:idx val="3"/>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0700-4EA5-BE2C-2B1781820DE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'Encuestas Línea 141 - Adultos'!$B$41:$B$44</c:f>
              <c:strCache>
                <c:ptCount val="4"/>
                <c:pt idx="0">
                  <c:v>Excelente</c:v>
                </c:pt>
                <c:pt idx="1">
                  <c:v>Bueno</c:v>
                </c:pt>
                <c:pt idx="2">
                  <c:v>Regular</c:v>
                </c:pt>
                <c:pt idx="3">
                  <c:v>Malo</c:v>
                </c:pt>
              </c:strCache>
            </c:strRef>
          </c:cat>
          <c:val>
            <c:numRef>
              <c:f>'Encuestas Línea 141 - Adultos'!$D$41:$D$44</c:f>
              <c:numCache>
                <c:formatCode>0%</c:formatCode>
                <c:ptCount val="4"/>
                <c:pt idx="0">
                  <c:v>0.73401673640167364</c:v>
                </c:pt>
                <c:pt idx="1">
                  <c:v>0.18401673640167365</c:v>
                </c:pt>
                <c:pt idx="2">
                  <c:v>3.1673640167364014E-2</c:v>
                </c:pt>
                <c:pt idx="3">
                  <c:v>5.0292887029288705E-2</c:v>
                </c:pt>
              </c:numCache>
            </c:numRef>
          </c:val>
          <c:extLst>
            <c:ext xmlns:c16="http://schemas.microsoft.com/office/drawing/2014/chart" uri="{C3380CC4-5D6E-409C-BE32-E72D297353CC}">
              <c16:uniqueId val="{00000008-0700-4EA5-BE2C-2B1781820DE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accent6"/>
      </a:solidFill>
      <a:round/>
    </a:ln>
    <a:effectLst/>
  </c:spPr>
  <c:txPr>
    <a:bodyPr/>
    <a:lstStyle/>
    <a:p>
      <a:pPr>
        <a:defRPr/>
      </a:pPr>
      <a:endParaRPr lang="es-CO"/>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s-CO" sz="1100"/>
              <a:t>TRANSFERENCIAS SECUNDARIAS</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'TRANF SECUND'!$A$46</c:f>
              <c:strCache>
                <c:ptCount val="1"/>
                <c:pt idx="0">
                  <c:v>PROYECTADO</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721B-4DAC-BC96-064224F65982}"/>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'TRANF SECUND'!$B$46</c:f>
              <c:numCache>
                <c:formatCode>General</c:formatCode>
                <c:ptCount val="1"/>
                <c:pt idx="0">
                  <c:v>3180</c:v>
                </c:pt>
              </c:numCache>
            </c:numRef>
          </c:val>
          <c:extLst>
            <c:ext xmlns:c16="http://schemas.microsoft.com/office/drawing/2014/chart" uri="{C3380CC4-5D6E-409C-BE32-E72D297353CC}">
              <c16:uniqueId val="{00000001-721B-4DAC-BC96-064224F65982}"/>
            </c:ext>
          </c:extLst>
        </c:ser>
        <c:ser>
          <c:idx val="1"/>
          <c:order val="1"/>
          <c:tx>
            <c:strRef>
              <c:f>'TRANF SECUND'!$A$47</c:f>
              <c:strCache>
                <c:ptCount val="1"/>
                <c:pt idx="0">
                  <c:v>EJECUTADO </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dLbl>
              <c:idx val="0"/>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721B-4DAC-BC96-064224F65982}"/>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'TRANF SECUND'!$B$47</c:f>
              <c:numCache>
                <c:formatCode>General</c:formatCode>
                <c:ptCount val="1"/>
                <c:pt idx="0">
                  <c:v>3220.2</c:v>
                </c:pt>
              </c:numCache>
            </c:numRef>
          </c:val>
          <c:extLst>
            <c:ext xmlns:c16="http://schemas.microsoft.com/office/drawing/2014/chart" uri="{C3380CC4-5D6E-409C-BE32-E72D297353CC}">
              <c16:uniqueId val="{00000003-721B-4DAC-BC96-064224F65982}"/>
            </c:ext>
          </c:extLst>
        </c:ser>
        <c:dLbls>
          <c:showLegendKey val="0"/>
          <c:showVal val="0"/>
          <c:showCatName val="0"/>
          <c:showSerName val="0"/>
          <c:showPercent val="0"/>
          <c:showBubbleSize val="0"/>
        </c:dLbls>
        <c:gapWidth val="150"/>
        <c:shape val="box"/>
        <c:axId val="547177632"/>
        <c:axId val="547168672"/>
        <c:axId val="0"/>
      </c:bar3DChart>
      <c:catAx>
        <c:axId val="547177632"/>
        <c:scaling>
          <c:orientation val="minMax"/>
        </c:scaling>
        <c:delete val="1"/>
        <c:axPos val="b"/>
        <c:numFmt formatCode="General" sourceLinked="1"/>
        <c:majorTickMark val="none"/>
        <c:minorTickMark val="none"/>
        <c:tickLblPos val="nextTo"/>
        <c:crossAx val="547168672"/>
        <c:crosses val="autoZero"/>
        <c:auto val="1"/>
        <c:lblAlgn val="ctr"/>
        <c:lblOffset val="100"/>
        <c:noMultiLvlLbl val="0"/>
      </c:catAx>
      <c:valAx>
        <c:axId val="54716867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CO"/>
                  <a:t>METROS LINEALES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54717763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sz="1200"/>
              <a:t>TRANSFERENCIAS PRIMARIAS</a:t>
            </a:r>
          </a:p>
        </c:rich>
      </c:tx>
      <c:layout>
        <c:manualLayout>
          <c:xMode val="edge"/>
          <c:yMode val="edge"/>
          <c:x val="0.24394708728800596"/>
          <c:y val="4.780400358530027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524459424743417"/>
          <c:y val="0.2037048102778608"/>
          <c:w val="0.80135119135530475"/>
          <c:h val="0.71263818344786378"/>
        </c:manualLayout>
      </c:layout>
      <c:bar3DChart>
        <c:barDir val="col"/>
        <c:grouping val="clustered"/>
        <c:varyColors val="0"/>
        <c:ser>
          <c:idx val="0"/>
          <c:order val="0"/>
          <c:tx>
            <c:strRef>
              <c:f>'TRAN PRIMAR'!$J$41</c:f>
              <c:strCache>
                <c:ptCount val="1"/>
                <c:pt idx="0">
                  <c:v>PROYECTADO</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tx>
                <c:rich>
                  <a:bodyPr/>
                  <a:lstStyle/>
                  <a:p>
                    <a:fld id="{332D7E21-7F26-4831-9D97-E80E0DE37BB3}" type="SERIESNAME">
                      <a:rPr lang="en-US" sz="800"/>
                      <a:pPr/>
                      <a:t>[NOMBRE DE LA SERIE]</a:t>
                    </a:fld>
                    <a:r>
                      <a:rPr lang="en-US" sz="800" baseline="0"/>
                      <a:t>; </a:t>
                    </a:r>
                    <a:fld id="{05504E8E-5B45-4CDA-A9F4-231A45D81C0F}" type="VALUE">
                      <a:rPr lang="en-US" sz="800" baseline="0"/>
                      <a:pPr/>
                      <a:t>[VALOR]</a:t>
                    </a:fld>
                    <a:endParaRPr lang="en-US" sz="800" baseline="0"/>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E08-416A-8349-DE38F6C896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'TRAN PRIMAR'!$K$41</c:f>
              <c:numCache>
                <c:formatCode>General</c:formatCode>
                <c:ptCount val="1"/>
                <c:pt idx="0">
                  <c:v>4893</c:v>
                </c:pt>
              </c:numCache>
            </c:numRef>
          </c:val>
          <c:extLst>
            <c:ext xmlns:c16="http://schemas.microsoft.com/office/drawing/2014/chart" uri="{C3380CC4-5D6E-409C-BE32-E72D297353CC}">
              <c16:uniqueId val="{00000001-7E08-416A-8349-DE38F6C896E6}"/>
            </c:ext>
          </c:extLst>
        </c:ser>
        <c:ser>
          <c:idx val="1"/>
          <c:order val="1"/>
          <c:tx>
            <c:strRef>
              <c:f>'TRAN PRIMAR'!$J$42</c:f>
              <c:strCache>
                <c:ptCount val="1"/>
                <c:pt idx="0">
                  <c:v>EJECUTADO</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tx>
                <c:rich>
                  <a:bodyPr/>
                  <a:lstStyle/>
                  <a:p>
                    <a:fld id="{FF8D41BB-225B-4720-9B0B-0E45449DFC0C}" type="SERIESNAME">
                      <a:rPr lang="en-US" sz="800"/>
                      <a:pPr/>
                      <a:t>[NOMBRE DE LA SERIE]</a:t>
                    </a:fld>
                    <a:r>
                      <a:rPr lang="en-US" sz="800" baseline="0"/>
                      <a:t>; </a:t>
                    </a:r>
                    <a:fld id="{7B0D4D60-E2B9-482D-8E00-1B934D97B693}" type="VALUE">
                      <a:rPr lang="en-US" sz="800" baseline="0"/>
                      <a:pPr/>
                      <a:t>[VALOR]</a:t>
                    </a:fld>
                    <a:endParaRPr lang="en-US" sz="800" baseline="0"/>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E08-416A-8349-DE38F6C896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'TRAN PRIMAR'!$K$42</c:f>
              <c:numCache>
                <c:formatCode>General</c:formatCode>
                <c:ptCount val="1"/>
                <c:pt idx="0">
                  <c:v>5008</c:v>
                </c:pt>
              </c:numCache>
            </c:numRef>
          </c:val>
          <c:extLst>
            <c:ext xmlns:c16="http://schemas.microsoft.com/office/drawing/2014/chart" uri="{C3380CC4-5D6E-409C-BE32-E72D297353CC}">
              <c16:uniqueId val="{00000003-7E08-416A-8349-DE38F6C896E6}"/>
            </c:ext>
          </c:extLst>
        </c:ser>
        <c:dLbls>
          <c:showLegendKey val="0"/>
          <c:showVal val="0"/>
          <c:showCatName val="0"/>
          <c:showSerName val="0"/>
          <c:showPercent val="0"/>
          <c:showBubbleSize val="0"/>
        </c:dLbls>
        <c:gapWidth val="150"/>
        <c:shape val="box"/>
        <c:axId val="547170912"/>
        <c:axId val="547184352"/>
        <c:axId val="0"/>
      </c:bar3DChart>
      <c:catAx>
        <c:axId val="547170912"/>
        <c:scaling>
          <c:orientation val="minMax"/>
        </c:scaling>
        <c:delete val="1"/>
        <c:axPos val="b"/>
        <c:numFmt formatCode="General" sourceLinked="1"/>
        <c:majorTickMark val="none"/>
        <c:minorTickMark val="none"/>
        <c:tickLblPos val="nextTo"/>
        <c:crossAx val="547184352"/>
        <c:crosses val="autoZero"/>
        <c:auto val="1"/>
        <c:lblAlgn val="ctr"/>
        <c:lblOffset val="100"/>
        <c:noMultiLvlLbl val="0"/>
      </c:catAx>
      <c:valAx>
        <c:axId val="54718435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dk1">
                        <a:lumMod val="75000"/>
                        <a:lumOff val="25000"/>
                      </a:schemeClr>
                    </a:solidFill>
                    <a:latin typeface="+mn-lt"/>
                    <a:ea typeface="+mn-ea"/>
                    <a:cs typeface="+mn-cs"/>
                  </a:defRPr>
                </a:pPr>
                <a:r>
                  <a:rPr lang="es-CO" sz="800"/>
                  <a:t>METROS LINEALES</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dk1">
                      <a:lumMod val="75000"/>
                      <a:lumOff val="2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s-CO"/>
          </a:p>
        </c:txPr>
        <c:crossAx val="547170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CONSOLIDADO!$B$13</c:f>
              <c:strCache>
                <c:ptCount val="1"/>
                <c:pt idx="0">
                  <c:v>INDICADOR MADUREZ MECI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775C-42A7-9532-AEA885C5ACB4}"/>
              </c:ext>
            </c:extLst>
          </c:dPt>
          <c:dPt>
            <c:idx val="1"/>
            <c:invertIfNegative val="0"/>
            <c:bubble3D val="0"/>
            <c:spPr>
              <a:solidFill>
                <a:srgbClr val="00B050"/>
              </a:solidFill>
              <a:ln>
                <a:noFill/>
              </a:ln>
              <a:effectLst/>
            </c:spPr>
            <c:extLst>
              <c:ext xmlns:c16="http://schemas.microsoft.com/office/drawing/2014/chart" uri="{C3380CC4-5D6E-409C-BE32-E72D297353CC}">
                <c16:uniqueId val="{00000003-775C-42A7-9532-AEA885C5ACB4}"/>
              </c:ext>
            </c:extLst>
          </c:dPt>
          <c:dPt>
            <c:idx val="2"/>
            <c:invertIfNegative val="0"/>
            <c:bubble3D val="0"/>
            <c:spPr>
              <a:solidFill>
                <a:srgbClr val="00B050"/>
              </a:solidFill>
              <a:ln>
                <a:noFill/>
              </a:ln>
              <a:effectLst/>
            </c:spPr>
            <c:extLst>
              <c:ext xmlns:c16="http://schemas.microsoft.com/office/drawing/2014/chart" uri="{C3380CC4-5D6E-409C-BE32-E72D297353CC}">
                <c16:uniqueId val="{00000005-775C-42A7-9532-AEA885C5ACB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CONSOLIDADO!$C$12:$E$12</c:f>
              <c:strCache>
                <c:ptCount val="3"/>
                <c:pt idx="0">
                  <c:v> AÑO 2014</c:v>
                </c:pt>
                <c:pt idx="1">
                  <c:v>AÑO 2015</c:v>
                </c:pt>
                <c:pt idx="2">
                  <c:v>AÑO 2016</c:v>
                </c:pt>
              </c:strCache>
            </c:strRef>
          </c:cat>
          <c:val>
            <c:numRef>
              <c:f>CONSOLIDADO!$C$13:$E$13</c:f>
              <c:numCache>
                <c:formatCode>0.00%</c:formatCode>
                <c:ptCount val="3"/>
                <c:pt idx="0">
                  <c:v>0.64549999999999996</c:v>
                </c:pt>
                <c:pt idx="1">
                  <c:v>0.67800000000000005</c:v>
                </c:pt>
                <c:pt idx="2">
                  <c:v>0.81389999999999996</c:v>
                </c:pt>
              </c:numCache>
            </c:numRef>
          </c:val>
          <c:extLst>
            <c:ext xmlns:c16="http://schemas.microsoft.com/office/drawing/2014/chart" uri="{C3380CC4-5D6E-409C-BE32-E72D297353CC}">
              <c16:uniqueId val="{00000006-775C-42A7-9532-AEA885C5ACB4}"/>
            </c:ext>
          </c:extLst>
        </c:ser>
        <c:dLbls>
          <c:dLblPos val="inEnd"/>
          <c:showLegendKey val="0"/>
          <c:showVal val="1"/>
          <c:showCatName val="0"/>
          <c:showSerName val="0"/>
          <c:showPercent val="0"/>
          <c:showBubbleSize val="0"/>
        </c:dLbls>
        <c:gapWidth val="100"/>
        <c:overlap val="-24"/>
        <c:axId val="547159712"/>
        <c:axId val="547182672"/>
      </c:barChart>
      <c:catAx>
        <c:axId val="5471597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O"/>
          </a:p>
        </c:txPr>
        <c:crossAx val="547182672"/>
        <c:crosses val="autoZero"/>
        <c:auto val="1"/>
        <c:lblAlgn val="ctr"/>
        <c:lblOffset val="100"/>
        <c:noMultiLvlLbl val="0"/>
      </c:catAx>
      <c:valAx>
        <c:axId val="547182672"/>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O"/>
          </a:p>
        </c:txPr>
        <c:crossAx val="547159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900">
                <a:latin typeface="Arial" panose="020B0604020202020204" pitchFamily="34" charset="0"/>
                <a:cs typeface="Arial" panose="020B0604020202020204" pitchFamily="34" charset="0"/>
              </a:rPr>
              <a:t>Controles de Legalidad </a:t>
            </a:r>
          </a:p>
          <a:p>
            <a:pPr>
              <a:defRPr/>
            </a:pPr>
            <a:r>
              <a:rPr lang="en-US" sz="900">
                <a:latin typeface="Arial" panose="020B0604020202020204" pitchFamily="34" charset="0"/>
                <a:cs typeface="Arial" panose="020B0604020202020204" pitchFamily="34" charset="0"/>
              </a:rPr>
              <a:t>Vigencia 2017</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pt idx="0">
                  <c:v>CONTROLES DE LEGALIDAD</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Hoja1!$A$2:$A$23</c:f>
              <c:strCache>
                <c:ptCount val="22"/>
                <c:pt idx="0">
                  <c:v>AMAZONAS</c:v>
                </c:pt>
                <c:pt idx="1">
                  <c:v>ANTIOQUIA</c:v>
                </c:pt>
                <c:pt idx="2">
                  <c:v>BOGOTA</c:v>
                </c:pt>
                <c:pt idx="3">
                  <c:v>BOLIVAR </c:v>
                </c:pt>
                <c:pt idx="4">
                  <c:v>BOYACA</c:v>
                </c:pt>
                <c:pt idx="5">
                  <c:v>CALDAS</c:v>
                </c:pt>
                <c:pt idx="6">
                  <c:v>CASANARE</c:v>
                </c:pt>
                <c:pt idx="7">
                  <c:v>CAUCA</c:v>
                </c:pt>
                <c:pt idx="8">
                  <c:v>CORBOBA</c:v>
                </c:pt>
                <c:pt idx="9">
                  <c:v>CUNDINAMARCA</c:v>
                </c:pt>
                <c:pt idx="10">
                  <c:v>MAGDALENA</c:v>
                </c:pt>
                <c:pt idx="11">
                  <c:v>META</c:v>
                </c:pt>
                <c:pt idx="12">
                  <c:v>GUAJIRA</c:v>
                </c:pt>
                <c:pt idx="13">
                  <c:v>NARIÑO</c:v>
                </c:pt>
                <c:pt idx="14">
                  <c:v>NTE SANTANDER </c:v>
                </c:pt>
                <c:pt idx="15">
                  <c:v>QUINDIO</c:v>
                </c:pt>
                <c:pt idx="16">
                  <c:v>PUTUMAYO</c:v>
                </c:pt>
                <c:pt idx="17">
                  <c:v>SUCRE</c:v>
                </c:pt>
                <c:pt idx="18">
                  <c:v>TOLIMA</c:v>
                </c:pt>
                <c:pt idx="19">
                  <c:v>VALLE</c:v>
                </c:pt>
                <c:pt idx="20">
                  <c:v>VAUPES</c:v>
                </c:pt>
                <c:pt idx="21">
                  <c:v>VICHADA</c:v>
                </c:pt>
              </c:strCache>
            </c:strRef>
          </c:cat>
          <c:val>
            <c:numRef>
              <c:f>Hoja1!$B$2:$B$23</c:f>
              <c:numCache>
                <c:formatCode>General</c:formatCode>
                <c:ptCount val="22"/>
                <c:pt idx="0">
                  <c:v>1</c:v>
                </c:pt>
                <c:pt idx="1">
                  <c:v>6</c:v>
                </c:pt>
                <c:pt idx="2">
                  <c:v>11</c:v>
                </c:pt>
                <c:pt idx="3">
                  <c:v>38</c:v>
                </c:pt>
                <c:pt idx="4">
                  <c:v>21</c:v>
                </c:pt>
                <c:pt idx="5">
                  <c:v>1</c:v>
                </c:pt>
                <c:pt idx="6">
                  <c:v>1</c:v>
                </c:pt>
                <c:pt idx="7">
                  <c:v>5</c:v>
                </c:pt>
                <c:pt idx="8">
                  <c:v>15</c:v>
                </c:pt>
                <c:pt idx="9">
                  <c:v>9</c:v>
                </c:pt>
                <c:pt idx="10">
                  <c:v>1</c:v>
                </c:pt>
                <c:pt idx="11">
                  <c:v>7</c:v>
                </c:pt>
                <c:pt idx="12">
                  <c:v>1</c:v>
                </c:pt>
                <c:pt idx="13">
                  <c:v>6</c:v>
                </c:pt>
                <c:pt idx="14">
                  <c:v>4</c:v>
                </c:pt>
                <c:pt idx="15">
                  <c:v>15</c:v>
                </c:pt>
                <c:pt idx="16">
                  <c:v>9</c:v>
                </c:pt>
                <c:pt idx="17">
                  <c:v>1</c:v>
                </c:pt>
                <c:pt idx="18">
                  <c:v>21</c:v>
                </c:pt>
                <c:pt idx="19">
                  <c:v>3</c:v>
                </c:pt>
                <c:pt idx="20">
                  <c:v>2</c:v>
                </c:pt>
                <c:pt idx="21">
                  <c:v>1</c:v>
                </c:pt>
              </c:numCache>
            </c:numRef>
          </c:val>
          <c:extLst>
            <c:ext xmlns:c16="http://schemas.microsoft.com/office/drawing/2014/chart" uri="{C3380CC4-5D6E-409C-BE32-E72D297353CC}">
              <c16:uniqueId val="{00000000-89BA-48B9-9749-F8C2A71F095E}"/>
            </c:ext>
          </c:extLst>
        </c:ser>
        <c:dLbls>
          <c:showLegendKey val="0"/>
          <c:showVal val="0"/>
          <c:showCatName val="0"/>
          <c:showSerName val="0"/>
          <c:showPercent val="0"/>
          <c:showBubbleSize val="0"/>
        </c:dLbls>
        <c:gapWidth val="100"/>
        <c:overlap val="-24"/>
        <c:axId val="547175392"/>
        <c:axId val="547186592"/>
      </c:barChart>
      <c:catAx>
        <c:axId val="5471753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47186592"/>
        <c:crosses val="autoZero"/>
        <c:auto val="1"/>
        <c:lblAlgn val="ctr"/>
        <c:lblOffset val="100"/>
        <c:noMultiLvlLbl val="0"/>
      </c:catAx>
      <c:valAx>
        <c:axId val="547186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47175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MOTIVOS!$B$2</c:f>
              <c:strCache>
                <c:ptCount val="1"/>
                <c:pt idx="0">
                  <c:v>N°</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1">
                        <a:lumMod val="75000"/>
                      </a:schemeClr>
                    </a:solidFill>
                    <a:latin typeface="+mj-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MOTIVOS!$A$3:$A$17</c:f>
              <c:strCache>
                <c:ptCount val="15"/>
                <c:pt idx="0">
                  <c:v>Apropiación de bienes materiales, recursos económicos del  Instituto.</c:v>
                </c:pt>
                <c:pt idx="1">
                  <c:v>Trafico de influencias </c:v>
                </c:pt>
                <c:pt idx="2">
                  <c:v>Uso indebido  de los bienes del ICBF</c:v>
                </c:pt>
                <c:pt idx="3">
                  <c:v>Servidor público que obliga a otro a darle dinero </c:v>
                </c:pt>
                <c:pt idx="4">
                  <c:v>Interés provecho  propio dentro de un contrato</c:v>
                </c:pt>
                <c:pt idx="5">
                  <c:v>Indebida inversión o gasto de recursos  del instituto</c:v>
                </c:pt>
                <c:pt idx="6">
                  <c:v>contrato sin requisitos legales </c:v>
                </c:pt>
                <c:pt idx="7">
                  <c:v>Servidor público que recibe dinero </c:v>
                </c:pt>
                <c:pt idx="8">
                  <c:v>Servidor Publico que obre por fuera de la Ley</c:v>
                </c:pt>
                <c:pt idx="9">
                  <c:v>uso indebido de la información del ICBF </c:v>
                </c:pt>
                <c:pt idx="10">
                  <c:v>perdida o daño de los bienes materiales del ICBF por falta de cuidado </c:v>
                </c:pt>
                <c:pt idx="11">
                  <c:v>Incremento patrimonial sin justa causa</c:v>
                </c:pt>
                <c:pt idx="12">
                  <c:v>No realizar un acto propio de sus funciones </c:v>
                </c:pt>
                <c:pt idx="13">
                  <c:v>Participación en Política </c:v>
                </c:pt>
                <c:pt idx="14">
                  <c:v>Persona que ofrece dinero a servidor publico </c:v>
                </c:pt>
              </c:strCache>
            </c:strRef>
          </c:cat>
          <c:val>
            <c:numRef>
              <c:f>MOTIVOS!$B$3:$B$17</c:f>
              <c:numCache>
                <c:formatCode>General</c:formatCode>
                <c:ptCount val="15"/>
                <c:pt idx="0">
                  <c:v>83</c:v>
                </c:pt>
                <c:pt idx="1">
                  <c:v>75</c:v>
                </c:pt>
                <c:pt idx="2">
                  <c:v>61</c:v>
                </c:pt>
                <c:pt idx="3">
                  <c:v>36</c:v>
                </c:pt>
                <c:pt idx="4">
                  <c:v>29</c:v>
                </c:pt>
                <c:pt idx="5">
                  <c:v>16</c:v>
                </c:pt>
                <c:pt idx="6">
                  <c:v>14</c:v>
                </c:pt>
                <c:pt idx="7">
                  <c:v>8</c:v>
                </c:pt>
                <c:pt idx="8">
                  <c:v>7</c:v>
                </c:pt>
                <c:pt idx="9">
                  <c:v>5</c:v>
                </c:pt>
                <c:pt idx="10">
                  <c:v>4</c:v>
                </c:pt>
                <c:pt idx="11">
                  <c:v>3</c:v>
                </c:pt>
                <c:pt idx="12">
                  <c:v>2</c:v>
                </c:pt>
                <c:pt idx="13">
                  <c:v>2</c:v>
                </c:pt>
                <c:pt idx="14">
                  <c:v>2</c:v>
                </c:pt>
              </c:numCache>
            </c:numRef>
          </c:val>
          <c:extLst>
            <c:ext xmlns:c16="http://schemas.microsoft.com/office/drawing/2014/chart" uri="{C3380CC4-5D6E-409C-BE32-E72D297353CC}">
              <c16:uniqueId val="{00000000-8600-4EA4-A891-58EDB3601FCF}"/>
            </c:ext>
          </c:extLst>
        </c:ser>
        <c:dLbls>
          <c:showLegendKey val="0"/>
          <c:showVal val="0"/>
          <c:showCatName val="0"/>
          <c:showSerName val="0"/>
          <c:showPercent val="0"/>
          <c:showBubbleSize val="0"/>
        </c:dLbls>
        <c:gapWidth val="182"/>
        <c:axId val="464080816"/>
        <c:axId val="464080256"/>
      </c:barChart>
      <c:catAx>
        <c:axId val="464080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mj-lt"/>
                <a:ea typeface="+mn-ea"/>
                <a:cs typeface="+mn-cs"/>
              </a:defRPr>
            </a:pPr>
            <a:endParaRPr lang="es-CO"/>
          </a:p>
        </c:txPr>
        <c:crossAx val="464080256"/>
        <c:crosses val="autoZero"/>
        <c:auto val="1"/>
        <c:lblAlgn val="ctr"/>
        <c:lblOffset val="100"/>
        <c:noMultiLvlLbl val="0"/>
      </c:catAx>
      <c:valAx>
        <c:axId val="464080256"/>
        <c:scaling>
          <c:orientation val="minMax"/>
        </c:scaling>
        <c:delete val="1"/>
        <c:axPos val="b"/>
        <c:numFmt formatCode="General" sourceLinked="1"/>
        <c:majorTickMark val="none"/>
        <c:minorTickMark val="none"/>
        <c:tickLblPos val="nextTo"/>
        <c:crossAx val="464080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CANAL!$B$2</c:f>
              <c:strCache>
                <c:ptCount val="1"/>
                <c:pt idx="0">
                  <c:v>N°</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6">
                        <a:lumMod val="75000"/>
                      </a:schemeClr>
                    </a:solidFill>
                    <a:latin typeface="+mj-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CANAL!$A$3:$A$6</c:f>
              <c:strCache>
                <c:ptCount val="4"/>
                <c:pt idx="0">
                  <c:v>CORREO</c:v>
                </c:pt>
                <c:pt idx="1">
                  <c:v>TELEFONICO</c:v>
                </c:pt>
                <c:pt idx="2">
                  <c:v>PORTAL</c:v>
                </c:pt>
                <c:pt idx="3">
                  <c:v>CHAT</c:v>
                </c:pt>
              </c:strCache>
            </c:strRef>
          </c:cat>
          <c:val>
            <c:numRef>
              <c:f>CANAL!$B$3:$B$6</c:f>
              <c:numCache>
                <c:formatCode>General</c:formatCode>
                <c:ptCount val="4"/>
                <c:pt idx="0">
                  <c:v>183</c:v>
                </c:pt>
                <c:pt idx="1">
                  <c:v>80</c:v>
                </c:pt>
                <c:pt idx="2">
                  <c:v>63</c:v>
                </c:pt>
                <c:pt idx="3">
                  <c:v>21</c:v>
                </c:pt>
              </c:numCache>
            </c:numRef>
          </c:val>
          <c:extLst>
            <c:ext xmlns:c16="http://schemas.microsoft.com/office/drawing/2014/chart" uri="{C3380CC4-5D6E-409C-BE32-E72D297353CC}">
              <c16:uniqueId val="{00000000-1EA3-4168-B6E3-6868459C00F4}"/>
            </c:ext>
          </c:extLst>
        </c:ser>
        <c:dLbls>
          <c:showLegendKey val="0"/>
          <c:showVal val="0"/>
          <c:showCatName val="0"/>
          <c:showSerName val="0"/>
          <c:showPercent val="0"/>
          <c:showBubbleSize val="0"/>
        </c:dLbls>
        <c:gapWidth val="219"/>
        <c:overlap val="-27"/>
        <c:axId val="464069616"/>
        <c:axId val="464069056"/>
      </c:barChart>
      <c:catAx>
        <c:axId val="46406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accent1">
                    <a:lumMod val="50000"/>
                  </a:schemeClr>
                </a:solidFill>
                <a:latin typeface="+mj-lt"/>
                <a:ea typeface="+mn-ea"/>
                <a:cs typeface="+mn-cs"/>
              </a:defRPr>
            </a:pPr>
            <a:endParaRPr lang="es-CO"/>
          </a:p>
        </c:txPr>
        <c:crossAx val="464069056"/>
        <c:crosses val="autoZero"/>
        <c:auto val="1"/>
        <c:lblAlgn val="ctr"/>
        <c:lblOffset val="100"/>
        <c:noMultiLvlLbl val="0"/>
      </c:catAx>
      <c:valAx>
        <c:axId val="464069056"/>
        <c:scaling>
          <c:orientation val="minMax"/>
        </c:scaling>
        <c:delete val="1"/>
        <c:axPos val="l"/>
        <c:numFmt formatCode="General" sourceLinked="1"/>
        <c:majorTickMark val="none"/>
        <c:minorTickMark val="none"/>
        <c:tickLblPos val="nextTo"/>
        <c:crossAx val="464069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DEPARTAMENTOS!$B$2</c:f>
              <c:strCache>
                <c:ptCount val="1"/>
                <c:pt idx="0">
                  <c:v>N°</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j-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DEPARTAMENTOS!$A$3:$A$32</c:f>
              <c:strCache>
                <c:ptCount val="30"/>
                <c:pt idx="0">
                  <c:v>PUTUMAYO</c:v>
                </c:pt>
                <c:pt idx="1">
                  <c:v>CALDAS</c:v>
                </c:pt>
                <c:pt idx="2">
                  <c:v>GUAINIA</c:v>
                </c:pt>
                <c:pt idx="3">
                  <c:v>VAUPES</c:v>
                </c:pt>
                <c:pt idx="4">
                  <c:v>CASANARE</c:v>
                </c:pt>
                <c:pt idx="5">
                  <c:v>ARAUCA</c:v>
                </c:pt>
                <c:pt idx="6">
                  <c:v>RISARALDA</c:v>
                </c:pt>
                <c:pt idx="7">
                  <c:v>QUINDIO</c:v>
                </c:pt>
                <c:pt idx="8">
                  <c:v>NTESANTANDER</c:v>
                </c:pt>
                <c:pt idx="9">
                  <c:v>META</c:v>
                </c:pt>
                <c:pt idx="10">
                  <c:v>GUAVIARE</c:v>
                </c:pt>
                <c:pt idx="11">
                  <c:v>AMAZONAS</c:v>
                </c:pt>
                <c:pt idx="12">
                  <c:v>LA GUAJIRA</c:v>
                </c:pt>
                <c:pt idx="13">
                  <c:v>CHOCO</c:v>
                </c:pt>
                <c:pt idx="14">
                  <c:v>ATLANTICO</c:v>
                </c:pt>
                <c:pt idx="15">
                  <c:v>MAGDALENA</c:v>
                </c:pt>
                <c:pt idx="16">
                  <c:v>CESAR</c:v>
                </c:pt>
                <c:pt idx="17">
                  <c:v>SANTANDER</c:v>
                </c:pt>
                <c:pt idx="18">
                  <c:v>BOYACA</c:v>
                </c:pt>
                <c:pt idx="19">
                  <c:v>NARINO</c:v>
                </c:pt>
                <c:pt idx="20">
                  <c:v>CAUCA</c:v>
                </c:pt>
                <c:pt idx="21">
                  <c:v>ANTIOQUIA</c:v>
                </c:pt>
                <c:pt idx="22">
                  <c:v>CUNDINAMARCA</c:v>
                </c:pt>
                <c:pt idx="23">
                  <c:v>CORDOBA</c:v>
                </c:pt>
                <c:pt idx="24">
                  <c:v>VALLE DEL CAUCA</c:v>
                </c:pt>
                <c:pt idx="25">
                  <c:v>HUILA</c:v>
                </c:pt>
                <c:pt idx="26">
                  <c:v>BOLIVAR</c:v>
                </c:pt>
                <c:pt idx="27">
                  <c:v>TOLIMA</c:v>
                </c:pt>
                <c:pt idx="28">
                  <c:v>SUCRE</c:v>
                </c:pt>
                <c:pt idx="29">
                  <c:v>BOGOTA</c:v>
                </c:pt>
              </c:strCache>
            </c:strRef>
          </c:cat>
          <c:val>
            <c:numRef>
              <c:f>DEPARTAMENTOS!$B$3:$B$32</c:f>
              <c:numCache>
                <c:formatCode>General</c:formatCode>
                <c:ptCount val="30"/>
                <c:pt idx="0">
                  <c:v>2</c:v>
                </c:pt>
                <c:pt idx="1">
                  <c:v>2</c:v>
                </c:pt>
                <c:pt idx="2">
                  <c:v>2</c:v>
                </c:pt>
                <c:pt idx="3">
                  <c:v>3</c:v>
                </c:pt>
                <c:pt idx="4">
                  <c:v>3</c:v>
                </c:pt>
                <c:pt idx="5">
                  <c:v>3</c:v>
                </c:pt>
                <c:pt idx="6">
                  <c:v>4</c:v>
                </c:pt>
                <c:pt idx="7">
                  <c:v>4</c:v>
                </c:pt>
                <c:pt idx="8">
                  <c:v>4</c:v>
                </c:pt>
                <c:pt idx="9">
                  <c:v>4</c:v>
                </c:pt>
                <c:pt idx="10">
                  <c:v>4</c:v>
                </c:pt>
                <c:pt idx="11">
                  <c:v>4</c:v>
                </c:pt>
                <c:pt idx="12">
                  <c:v>7</c:v>
                </c:pt>
                <c:pt idx="13">
                  <c:v>9</c:v>
                </c:pt>
                <c:pt idx="14">
                  <c:v>9</c:v>
                </c:pt>
                <c:pt idx="15">
                  <c:v>10</c:v>
                </c:pt>
                <c:pt idx="16">
                  <c:v>11</c:v>
                </c:pt>
                <c:pt idx="17">
                  <c:v>13</c:v>
                </c:pt>
                <c:pt idx="18">
                  <c:v>14</c:v>
                </c:pt>
                <c:pt idx="19">
                  <c:v>14</c:v>
                </c:pt>
                <c:pt idx="20">
                  <c:v>14</c:v>
                </c:pt>
                <c:pt idx="21">
                  <c:v>15</c:v>
                </c:pt>
                <c:pt idx="22">
                  <c:v>15</c:v>
                </c:pt>
                <c:pt idx="23">
                  <c:v>16</c:v>
                </c:pt>
                <c:pt idx="24">
                  <c:v>19</c:v>
                </c:pt>
                <c:pt idx="25">
                  <c:v>20</c:v>
                </c:pt>
                <c:pt idx="26">
                  <c:v>20</c:v>
                </c:pt>
                <c:pt idx="27">
                  <c:v>23</c:v>
                </c:pt>
                <c:pt idx="28">
                  <c:v>23</c:v>
                </c:pt>
                <c:pt idx="29">
                  <c:v>56</c:v>
                </c:pt>
              </c:numCache>
            </c:numRef>
          </c:val>
          <c:extLst>
            <c:ext xmlns:c16="http://schemas.microsoft.com/office/drawing/2014/chart" uri="{C3380CC4-5D6E-409C-BE32-E72D297353CC}">
              <c16:uniqueId val="{00000000-8DB7-4DBF-B5F2-4D98F7A19F6D}"/>
            </c:ext>
          </c:extLst>
        </c:ser>
        <c:dLbls>
          <c:showLegendKey val="0"/>
          <c:showVal val="0"/>
          <c:showCatName val="0"/>
          <c:showSerName val="0"/>
          <c:showPercent val="0"/>
          <c:showBubbleSize val="0"/>
        </c:dLbls>
        <c:gapWidth val="182"/>
        <c:axId val="464071856"/>
        <c:axId val="464072416"/>
      </c:barChart>
      <c:catAx>
        <c:axId val="464071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j-lt"/>
                <a:ea typeface="+mn-ea"/>
                <a:cs typeface="+mn-cs"/>
              </a:defRPr>
            </a:pPr>
            <a:endParaRPr lang="es-CO"/>
          </a:p>
        </c:txPr>
        <c:crossAx val="464072416"/>
        <c:crosses val="autoZero"/>
        <c:auto val="1"/>
        <c:lblAlgn val="ctr"/>
        <c:lblOffset val="100"/>
        <c:noMultiLvlLbl val="0"/>
      </c:catAx>
      <c:valAx>
        <c:axId val="464072416"/>
        <c:scaling>
          <c:orientation val="minMax"/>
        </c:scaling>
        <c:delete val="1"/>
        <c:axPos val="b"/>
        <c:numFmt formatCode="General" sourceLinked="1"/>
        <c:majorTickMark val="none"/>
        <c:minorTickMark val="none"/>
        <c:tickLblPos val="nextTo"/>
        <c:crossAx val="464071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391812865497075E-2"/>
          <c:y val="4.159576479485725E-2"/>
          <c:w val="0.95321637426900585"/>
          <c:h val="0.69923205485155715"/>
        </c:manualLayout>
      </c:layout>
      <c:barChart>
        <c:barDir val="col"/>
        <c:grouping val="clustered"/>
        <c:varyColors val="0"/>
        <c:ser>
          <c:idx val="0"/>
          <c:order val="0"/>
          <c:tx>
            <c:strRef>
              <c:f>'[7. PLAN_DE_ACCIÓN_GEL_ICBF _2017.xlsx]GOBIERNO EN LINEA'!$J$62</c:f>
              <c:strCache>
                <c:ptCount val="1"/>
                <c:pt idx="0">
                  <c:v>Índice de cumplimiento</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 PLAN_DE_ACCIÓN_GEL_ICBF _2017.xlsx]GOBIERNO EN LINEA'!$J$63:$J$66</c:f>
              <c:numCache>
                <c:formatCode>0%</c:formatCode>
                <c:ptCount val="4"/>
                <c:pt idx="0">
                  <c:v>1</c:v>
                </c:pt>
                <c:pt idx="1">
                  <c:v>1</c:v>
                </c:pt>
                <c:pt idx="2">
                  <c:v>1</c:v>
                </c:pt>
                <c:pt idx="3">
                  <c:v>1</c:v>
                </c:pt>
              </c:numCache>
            </c:numRef>
          </c:val>
          <c:extLst>
            <c:ext xmlns:c15="http://schemas.microsoft.com/office/drawing/2012/chart" uri="{02D57815-91ED-43cb-92C2-25804820EDAC}">
              <c15:filteredCategoryTitle>
                <c15:cat>
                  <c:strRef>
                    <c:extLst xmlns:c16="http://schemas.microsoft.com/office/drawing/2014/chart">
                      <c:ext uri="{02D57815-91ED-43cb-92C2-25804820EDAC}">
                        <c15:formulaRef>
                          <c15:sqref>'[7. PLAN_DE_ACCIÓN_GEL_ICBF _2017.xlsx]GOBIERNO EN LINEA'!$I$63:$I$66</c15:sqref>
                        </c15:formulaRef>
                      </c:ext>
                    </c:extLst>
                    <c:strCache>
                      <c:ptCount val="4"/>
                      <c:pt idx="0">
                        <c:v>Tic para Gobierno Abierto</c:v>
                      </c:pt>
                      <c:pt idx="1">
                        <c:v>TIC para Servicios</c:v>
                      </c:pt>
                      <c:pt idx="2">
                        <c:v>Tic para la Gestión</c:v>
                      </c:pt>
                      <c:pt idx="3">
                        <c:v>Seguridad y privacidad de la información </c:v>
                      </c:pt>
                    </c:strCache>
                  </c:strRef>
                </c15:cat>
              </c15:filteredCategoryTitle>
            </c:ext>
            <c:ext xmlns:c16="http://schemas.microsoft.com/office/drawing/2014/chart" uri="{C3380CC4-5D6E-409C-BE32-E72D297353CC}">
              <c16:uniqueId val="{00000000-7476-4EF4-9D49-0CA0501C53CC}"/>
            </c:ext>
          </c:extLst>
        </c:ser>
        <c:ser>
          <c:idx val="1"/>
          <c:order val="1"/>
          <c:tx>
            <c:strRef>
              <c:f>'[7. PLAN_DE_ACCIÓN_GEL_ICBF _2017.xlsx]GOBIERNO EN LINEA'!$K$62</c:f>
              <c:strCache>
                <c:ptCount val="1"/>
                <c:pt idx="0">
                  <c:v>Avance de Cumplimiento</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 PLAN_DE_ACCIÓN_GEL_ICBF _2017.xlsx]GOBIERNO EN LINEA'!$K$63:$K$66</c:f>
              <c:numCache>
                <c:formatCode>0%</c:formatCode>
                <c:ptCount val="4"/>
                <c:pt idx="0">
                  <c:v>0.92500000000000004</c:v>
                </c:pt>
                <c:pt idx="1">
                  <c:v>0.90000000000000024</c:v>
                </c:pt>
                <c:pt idx="2">
                  <c:v>0.93</c:v>
                </c:pt>
                <c:pt idx="3">
                  <c:v>1</c:v>
                </c:pt>
              </c:numCache>
            </c:numRef>
          </c:val>
          <c:extLst>
            <c:ext xmlns:c15="http://schemas.microsoft.com/office/drawing/2012/chart" uri="{02D57815-91ED-43cb-92C2-25804820EDAC}">
              <c15:filteredCategoryTitle>
                <c15:cat>
                  <c:strRef>
                    <c:extLst xmlns:c16="http://schemas.microsoft.com/office/drawing/2014/chart">
                      <c:ext uri="{02D57815-91ED-43cb-92C2-25804820EDAC}">
                        <c15:formulaRef>
                          <c15:sqref>'[7. PLAN_DE_ACCIÓN_GEL_ICBF _2017.xlsx]GOBIERNO EN LINEA'!$I$63:$I$66</c15:sqref>
                        </c15:formulaRef>
                      </c:ext>
                    </c:extLst>
                    <c:strCache>
                      <c:ptCount val="4"/>
                      <c:pt idx="0">
                        <c:v>Tic para Gobierno Abierto</c:v>
                      </c:pt>
                      <c:pt idx="1">
                        <c:v>TIC para Servicios</c:v>
                      </c:pt>
                      <c:pt idx="2">
                        <c:v>Tic para la Gestión</c:v>
                      </c:pt>
                      <c:pt idx="3">
                        <c:v>Seguridad y privacidad de la información </c:v>
                      </c:pt>
                    </c:strCache>
                  </c:strRef>
                </c15:cat>
              </c15:filteredCategoryTitle>
            </c:ext>
            <c:ext xmlns:c16="http://schemas.microsoft.com/office/drawing/2014/chart" uri="{C3380CC4-5D6E-409C-BE32-E72D297353CC}">
              <c16:uniqueId val="{00000001-7476-4EF4-9D49-0CA0501C53CC}"/>
            </c:ext>
          </c:extLst>
        </c:ser>
        <c:dLbls>
          <c:showLegendKey val="0"/>
          <c:showVal val="0"/>
          <c:showCatName val="0"/>
          <c:showSerName val="0"/>
          <c:showPercent val="0"/>
          <c:showBubbleSize val="0"/>
        </c:dLbls>
        <c:gapWidth val="150"/>
        <c:axId val="498359984"/>
        <c:axId val="498354944"/>
      </c:barChart>
      <c:catAx>
        <c:axId val="498359984"/>
        <c:scaling>
          <c:orientation val="minMax"/>
        </c:scaling>
        <c:delete val="1"/>
        <c:axPos val="b"/>
        <c:numFmt formatCode="General" sourceLinked="1"/>
        <c:majorTickMark val="none"/>
        <c:minorTickMark val="none"/>
        <c:tickLblPos val="nextTo"/>
        <c:crossAx val="498354944"/>
        <c:crosses val="autoZero"/>
        <c:auto val="1"/>
        <c:lblAlgn val="ctr"/>
        <c:lblOffset val="100"/>
        <c:noMultiLvlLbl val="0"/>
      </c:catAx>
      <c:valAx>
        <c:axId val="498354944"/>
        <c:scaling>
          <c:orientation val="minMax"/>
        </c:scaling>
        <c:delete val="1"/>
        <c:axPos val="l"/>
        <c:numFmt formatCode="0%" sourceLinked="1"/>
        <c:majorTickMark val="none"/>
        <c:minorTickMark val="none"/>
        <c:tickLblPos val="nextTo"/>
        <c:crossAx val="498359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j-lt"/>
              <a:ea typeface="+mn-ea"/>
              <a:cs typeface="+mn-cs"/>
            </a:defRPr>
          </a:pPr>
          <a:endParaRPr lang="es-CO"/>
        </a:p>
      </c:txPr>
    </c:legend>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O" sz="1200"/>
              <a:t>Gestión Mesas Públicas  Año 2017 Tendencias</a:t>
            </a:r>
          </a:p>
          <a:p>
            <a:pPr>
              <a:defRPr/>
            </a:pPr>
            <a:r>
              <a:rPr lang="es-CO" sz="1200"/>
              <a:t> Por Temáticas </a:t>
            </a:r>
          </a:p>
        </c:rich>
      </c:tx>
      <c:layout>
        <c:manualLayout>
          <c:xMode val="edge"/>
          <c:yMode val="edge"/>
          <c:x val="0.2767434162553416"/>
          <c:y val="3.2766307734358013E-2"/>
        </c:manualLayout>
      </c:layout>
      <c:overlay val="0"/>
      <c:spPr>
        <a:noFill/>
      </c:spPr>
    </c:title>
    <c:autoTitleDeleted val="0"/>
    <c:view3D>
      <c:rotX val="15"/>
      <c:rotY val="20"/>
      <c:rAngAx val="1"/>
    </c:view3D>
    <c:floor>
      <c:thickness val="0"/>
    </c:floor>
    <c:sideWall>
      <c:thickness val="0"/>
    </c:sideWall>
    <c:backWall>
      <c:thickness val="0"/>
    </c:backWall>
    <c:plotArea>
      <c:layout>
        <c:manualLayout>
          <c:layoutTarget val="inner"/>
          <c:xMode val="edge"/>
          <c:yMode val="edge"/>
          <c:x val="7.4644418512544178E-2"/>
          <c:y val="0.13787282371417212"/>
          <c:w val="0.91541481598382979"/>
          <c:h val="0.37537864479305011"/>
        </c:manualLayout>
      </c:layout>
      <c:bar3DChart>
        <c:barDir val="col"/>
        <c:grouping val="clustered"/>
        <c:varyColors val="0"/>
        <c:ser>
          <c:idx val="0"/>
          <c:order val="0"/>
          <c:tx>
            <c:strRef>
              <c:f>TENDENCIASgraf1Y2SEMESTRE2017!$C$54</c:f>
              <c:strCache>
                <c:ptCount val="1"/>
                <c:pt idx="0">
                  <c:v>No DE MESAS PUBLICAS  REALIZADAS</c:v>
                </c:pt>
              </c:strCache>
            </c:strRef>
          </c:tx>
          <c:invertIfNegative val="0"/>
          <c:dLbls>
            <c:spPr>
              <a:noFill/>
              <a:ln>
                <a:noFill/>
              </a:ln>
              <a:effectLst/>
            </c:spPr>
            <c:txPr>
              <a:bodyPr/>
              <a:lstStyle/>
              <a:p>
                <a:pPr>
                  <a:defRPr sz="1000">
                    <a:solidFill>
                      <a:srgbClr val="FF0000"/>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TENDENCIASgraf1Y2SEMESTRE2017!$A$55:$B$63</c:f>
              <c:multiLvlStrCache>
                <c:ptCount val="9"/>
                <c:lvl>
                  <c:pt idx="0">
                    <c:v>Primera Infancia</c:v>
                  </c:pt>
                  <c:pt idx="1">
                    <c:v>Programas y servicios</c:v>
                  </c:pt>
                  <c:pt idx="2">
                    <c:v>Protección SRPA</c:v>
                  </c:pt>
                  <c:pt idx="3">
                    <c:v>Generaciones con Bienestar </c:v>
                  </c:pt>
                  <c:pt idx="4">
                    <c:v>Desayunos día </c:v>
                  </c:pt>
                  <c:pt idx="5">
                    <c:v>Bienestarina y Nutrición</c:v>
                  </c:pt>
                  <c:pt idx="6">
                    <c:v>Familias con bienestar</c:v>
                  </c:pt>
                  <c:pt idx="7">
                    <c:v>PAE</c:v>
                  </c:pt>
                  <c:pt idx="8">
                    <c:v>TOTAL DE TEMAS </c:v>
                  </c:pt>
                </c:lvl>
                <c:lvl>
                  <c:pt idx="0">
                    <c:v>1</c:v>
                  </c:pt>
                  <c:pt idx="1">
                    <c:v>2</c:v>
                  </c:pt>
                  <c:pt idx="2">
                    <c:v>3</c:v>
                  </c:pt>
                  <c:pt idx="3">
                    <c:v>4</c:v>
                  </c:pt>
                  <c:pt idx="4">
                    <c:v>5</c:v>
                  </c:pt>
                  <c:pt idx="5">
                    <c:v>6</c:v>
                  </c:pt>
                  <c:pt idx="6">
                    <c:v>7</c:v>
                  </c:pt>
                  <c:pt idx="7">
                    <c:v>8</c:v>
                  </c:pt>
                  <c:pt idx="8">
                    <c:v>8</c:v>
                  </c:pt>
                </c:lvl>
              </c:multiLvlStrCache>
            </c:multiLvlStrRef>
          </c:cat>
          <c:val>
            <c:numRef>
              <c:f>TENDENCIASgraf1Y2SEMESTRE2017!$C$55:$C$63</c:f>
              <c:numCache>
                <c:formatCode>General</c:formatCode>
                <c:ptCount val="9"/>
                <c:pt idx="0">
                  <c:v>96</c:v>
                </c:pt>
                <c:pt idx="1">
                  <c:v>32</c:v>
                </c:pt>
                <c:pt idx="2">
                  <c:v>69</c:v>
                </c:pt>
                <c:pt idx="3">
                  <c:v>0</c:v>
                </c:pt>
                <c:pt idx="5">
                  <c:v>10</c:v>
                </c:pt>
                <c:pt idx="6">
                  <c:v>2</c:v>
                </c:pt>
                <c:pt idx="7">
                  <c:v>0</c:v>
                </c:pt>
                <c:pt idx="8">
                  <c:v>209</c:v>
                </c:pt>
              </c:numCache>
            </c:numRef>
          </c:val>
          <c:extLst>
            <c:ext xmlns:c16="http://schemas.microsoft.com/office/drawing/2014/chart" uri="{C3380CC4-5D6E-409C-BE32-E72D297353CC}">
              <c16:uniqueId val="{00000000-5E7E-4C2C-97B7-5B12B04DAF38}"/>
            </c:ext>
          </c:extLst>
        </c:ser>
        <c:ser>
          <c:idx val="1"/>
          <c:order val="1"/>
          <c:tx>
            <c:strRef>
              <c:f>TENDENCIASgraf1Y2SEMESTRE2017!$D$54</c:f>
              <c:strCache>
                <c:ptCount val="1"/>
                <c:pt idx="0">
                  <c:v>% REALIZADO</c:v>
                </c:pt>
              </c:strCache>
            </c:strRef>
          </c:tx>
          <c:invertIfNegative val="0"/>
          <c:cat>
            <c:multiLvlStrRef>
              <c:f>TENDENCIASgraf1Y2SEMESTRE2017!$A$55:$B$63</c:f>
              <c:multiLvlStrCache>
                <c:ptCount val="9"/>
                <c:lvl>
                  <c:pt idx="0">
                    <c:v>Primera Infancia</c:v>
                  </c:pt>
                  <c:pt idx="1">
                    <c:v>Programas y servicios</c:v>
                  </c:pt>
                  <c:pt idx="2">
                    <c:v>Protección SRPA</c:v>
                  </c:pt>
                  <c:pt idx="3">
                    <c:v>Generaciones con Bienestar </c:v>
                  </c:pt>
                  <c:pt idx="4">
                    <c:v>Desayunos día </c:v>
                  </c:pt>
                  <c:pt idx="5">
                    <c:v>Bienestarina y Nutrición</c:v>
                  </c:pt>
                  <c:pt idx="6">
                    <c:v>Familias con bienestar</c:v>
                  </c:pt>
                  <c:pt idx="7">
                    <c:v>PAE</c:v>
                  </c:pt>
                  <c:pt idx="8">
                    <c:v>TOTAL DE TEMAS </c:v>
                  </c:pt>
                </c:lvl>
                <c:lvl>
                  <c:pt idx="0">
                    <c:v>1</c:v>
                  </c:pt>
                  <c:pt idx="1">
                    <c:v>2</c:v>
                  </c:pt>
                  <c:pt idx="2">
                    <c:v>3</c:v>
                  </c:pt>
                  <c:pt idx="3">
                    <c:v>4</c:v>
                  </c:pt>
                  <c:pt idx="4">
                    <c:v>5</c:v>
                  </c:pt>
                  <c:pt idx="5">
                    <c:v>6</c:v>
                  </c:pt>
                  <c:pt idx="6">
                    <c:v>7</c:v>
                  </c:pt>
                  <c:pt idx="7">
                    <c:v>8</c:v>
                  </c:pt>
                  <c:pt idx="8">
                    <c:v>8</c:v>
                  </c:pt>
                </c:lvl>
              </c:multiLvlStrCache>
            </c:multiLvlStrRef>
          </c:cat>
          <c:val>
            <c:numRef>
              <c:f>TENDENCIASgraf1Y2SEMESTRE2017!$D$55:$D$63</c:f>
              <c:numCache>
                <c:formatCode>0%</c:formatCode>
                <c:ptCount val="9"/>
                <c:pt idx="0">
                  <c:v>0.45933014354066987</c:v>
                </c:pt>
                <c:pt idx="1">
                  <c:v>0.15311004784688995</c:v>
                </c:pt>
                <c:pt idx="2">
                  <c:v>0.33014354066985646</c:v>
                </c:pt>
                <c:pt idx="3">
                  <c:v>0</c:v>
                </c:pt>
                <c:pt idx="4">
                  <c:v>0</c:v>
                </c:pt>
                <c:pt idx="5">
                  <c:v>4.784688995215311E-2</c:v>
                </c:pt>
                <c:pt idx="6">
                  <c:v>9.5693779904306216E-3</c:v>
                </c:pt>
                <c:pt idx="7">
                  <c:v>0</c:v>
                </c:pt>
                <c:pt idx="8">
                  <c:v>1</c:v>
                </c:pt>
              </c:numCache>
            </c:numRef>
          </c:val>
          <c:extLst>
            <c:ext xmlns:c16="http://schemas.microsoft.com/office/drawing/2014/chart" uri="{C3380CC4-5D6E-409C-BE32-E72D297353CC}">
              <c16:uniqueId val="{00000001-5E7E-4C2C-97B7-5B12B04DAF38}"/>
            </c:ext>
          </c:extLst>
        </c:ser>
        <c:dLbls>
          <c:showLegendKey val="0"/>
          <c:showVal val="0"/>
          <c:showCatName val="0"/>
          <c:showSerName val="0"/>
          <c:showPercent val="0"/>
          <c:showBubbleSize val="0"/>
        </c:dLbls>
        <c:gapWidth val="75"/>
        <c:shape val="cylinder"/>
        <c:axId val="498359424"/>
        <c:axId val="498348784"/>
        <c:axId val="0"/>
      </c:bar3DChart>
      <c:catAx>
        <c:axId val="498359424"/>
        <c:scaling>
          <c:orientation val="minMax"/>
        </c:scaling>
        <c:delete val="0"/>
        <c:axPos val="b"/>
        <c:numFmt formatCode="General" sourceLinked="0"/>
        <c:majorTickMark val="in"/>
        <c:minorTickMark val="in"/>
        <c:tickLblPos val="nextTo"/>
        <c:crossAx val="498348784"/>
        <c:crosses val="autoZero"/>
        <c:auto val="1"/>
        <c:lblAlgn val="ctr"/>
        <c:lblOffset val="100"/>
        <c:noMultiLvlLbl val="0"/>
      </c:catAx>
      <c:valAx>
        <c:axId val="498348784"/>
        <c:scaling>
          <c:orientation val="minMax"/>
        </c:scaling>
        <c:delete val="0"/>
        <c:axPos val="l"/>
        <c:numFmt formatCode="General" sourceLinked="1"/>
        <c:majorTickMark val="none"/>
        <c:minorTickMark val="none"/>
        <c:tickLblPos val="nextTo"/>
        <c:crossAx val="498359424"/>
        <c:crosses val="autoZero"/>
        <c:crossBetween val="between"/>
      </c:valAx>
      <c:spPr>
        <a:noFill/>
        <a:ln w="3175">
          <a:solidFill>
            <a:sysClr val="windowText" lastClr="000000"/>
          </a:solidFill>
        </a:ln>
      </c:spPr>
    </c:plotArea>
    <c:plotVisOnly val="1"/>
    <c:dispBlanksAs val="gap"/>
    <c:showDLblsOverMax val="0"/>
  </c:chart>
  <c:spPr>
    <a:noFill/>
    <a:ln>
      <a:solidFill>
        <a:sysClr val="window" lastClr="FFFFFF">
          <a:lumMod val="65000"/>
        </a:sysClr>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s-CO" sz="1100">
                <a:latin typeface="Arial" panose="020B0604020202020204" pitchFamily="34" charset="0"/>
                <a:cs typeface="Arial" panose="020B0604020202020204" pitchFamily="34" charset="0"/>
              </a:rPr>
              <a:t>Compromisos Adquiridos y Cumplidos Durante el 2017 </a:t>
            </a:r>
          </a:p>
        </c:rich>
      </c:tx>
      <c:overlay val="0"/>
      <c:spPr>
        <a:noFill/>
        <a:ln w="6350">
          <a:solidFill>
            <a:sysClr val="window" lastClr="FFFFFF">
              <a:lumMod val="85000"/>
            </a:sysClr>
          </a:solidFill>
        </a:ln>
      </c:spPr>
    </c:title>
    <c:autoTitleDeleted val="0"/>
    <c:plotArea>
      <c:layout/>
      <c:barChart>
        <c:barDir val="col"/>
        <c:grouping val="clustered"/>
        <c:varyColors val="0"/>
        <c:ser>
          <c:idx val="0"/>
          <c:order val="0"/>
          <c:spPr>
            <a:solidFill>
              <a:srgbClr val="4F81BD"/>
            </a:solidFill>
            <a:ln w="25400">
              <a:noFill/>
            </a:ln>
          </c:spPr>
          <c:invertIfNegative val="0"/>
          <c:dPt>
            <c:idx val="0"/>
            <c:invertIfNegative val="0"/>
            <c:bubble3D val="0"/>
            <c:spPr>
              <a:solidFill>
                <a:srgbClr val="FFFF00"/>
              </a:solidFill>
              <a:ln w="25400">
                <a:noFill/>
              </a:ln>
            </c:spPr>
            <c:extLst>
              <c:ext xmlns:c16="http://schemas.microsoft.com/office/drawing/2014/chart" uri="{C3380CC4-5D6E-409C-BE32-E72D297353CC}">
                <c16:uniqueId val="{00000001-592D-4561-A86F-23816B1966DF}"/>
              </c:ext>
            </c:extLst>
          </c:dPt>
          <c:dPt>
            <c:idx val="1"/>
            <c:invertIfNegative val="0"/>
            <c:bubble3D val="0"/>
            <c:spPr>
              <a:solidFill>
                <a:srgbClr val="00B050"/>
              </a:solidFill>
              <a:ln w="25400">
                <a:noFill/>
              </a:ln>
            </c:spPr>
            <c:extLst>
              <c:ext xmlns:c16="http://schemas.microsoft.com/office/drawing/2014/chart" uri="{C3380CC4-5D6E-409C-BE32-E72D297353CC}">
                <c16:uniqueId val="{00000003-592D-4561-A86F-23816B1966DF}"/>
              </c:ext>
            </c:extLst>
          </c:dPt>
          <c:dPt>
            <c:idx val="2"/>
            <c:invertIfNegative val="0"/>
            <c:bubble3D val="0"/>
            <c:spPr>
              <a:solidFill>
                <a:srgbClr val="FF0000"/>
              </a:solidFill>
              <a:ln w="25400">
                <a:noFill/>
              </a:ln>
            </c:spPr>
            <c:extLst>
              <c:ext xmlns:c16="http://schemas.microsoft.com/office/drawing/2014/chart" uri="{C3380CC4-5D6E-409C-BE32-E72D297353CC}">
                <c16:uniqueId val="{00000005-592D-4561-A86F-23816B1966DF}"/>
              </c:ext>
            </c:extLst>
          </c:dPt>
          <c:dLbls>
            <c:spPr>
              <a:noFill/>
              <a:ln w="25400">
                <a:noFill/>
              </a:ln>
            </c:spPr>
            <c:txPr>
              <a:bodyPr rot="0" vert="horz"/>
              <a:lstStyle/>
              <a:p>
                <a:pPr>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(INDICADORCOMPROISOS!$T$3,INDICADORCOMPROISOS!$Y$3,INDICADORCOMPROISOS!$Z$3,INDICADORCOMPROISOS!$AE$3)</c:f>
              <c:strCache>
                <c:ptCount val="4"/>
                <c:pt idx="0">
                  <c:v>Total de compromisos adquiridos </c:v>
                </c:pt>
                <c:pt idx="1">
                  <c:v>Total de compromisos cumplidos </c:v>
                </c:pt>
                <c:pt idx="2">
                  <c:v>Total de compromisos pendientes </c:v>
                </c:pt>
                <c:pt idx="3">
                  <c:v>% de vances total en el año </c:v>
                </c:pt>
              </c:strCache>
            </c:strRef>
          </c:cat>
          <c:val>
            <c:numRef>
              <c:f>(INDICADORCOMPROISOS!$T$38,INDICADORCOMPROISOS!$Y$38,INDICADORCOMPROISOS!$Z$38,INDICADORCOMPROISOS!$AE$38)</c:f>
              <c:numCache>
                <c:formatCode>General</c:formatCode>
                <c:ptCount val="4"/>
                <c:pt idx="0" formatCode="0">
                  <c:v>664</c:v>
                </c:pt>
                <c:pt idx="1">
                  <c:v>656</c:v>
                </c:pt>
                <c:pt idx="2" formatCode="0">
                  <c:v>8</c:v>
                </c:pt>
                <c:pt idx="3" formatCode="0%">
                  <c:v>0.98795180722891562</c:v>
                </c:pt>
              </c:numCache>
            </c:numRef>
          </c:val>
          <c:extLst>
            <c:ext xmlns:c16="http://schemas.microsoft.com/office/drawing/2014/chart" uri="{C3380CC4-5D6E-409C-BE32-E72D297353CC}">
              <c16:uniqueId val="{00000006-592D-4561-A86F-23816B1966DF}"/>
            </c:ext>
          </c:extLst>
        </c:ser>
        <c:dLbls>
          <c:showLegendKey val="0"/>
          <c:showVal val="0"/>
          <c:showCatName val="0"/>
          <c:showSerName val="0"/>
          <c:showPercent val="0"/>
          <c:showBubbleSize val="0"/>
        </c:dLbls>
        <c:gapWidth val="150"/>
        <c:axId val="498347664"/>
        <c:axId val="498348224"/>
      </c:barChart>
      <c:catAx>
        <c:axId val="49834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latin typeface="Arial" panose="020B0604020202020204" pitchFamily="34" charset="0"/>
                <a:cs typeface="Arial" panose="020B0604020202020204" pitchFamily="34" charset="0"/>
              </a:defRPr>
            </a:pPr>
            <a:endParaRPr lang="es-CO"/>
          </a:p>
        </c:txPr>
        <c:crossAx val="498348224"/>
        <c:crosses val="autoZero"/>
        <c:auto val="1"/>
        <c:lblAlgn val="ctr"/>
        <c:lblOffset val="100"/>
        <c:noMultiLvlLbl val="0"/>
      </c:catAx>
      <c:valAx>
        <c:axId val="498348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vert="horz"/>
          <a:lstStyle/>
          <a:p>
            <a:pPr>
              <a:defRPr/>
            </a:pPr>
            <a:endParaRPr lang="es-CO"/>
          </a:p>
        </c:txPr>
        <c:crossAx val="498347664"/>
        <c:crosses val="autoZero"/>
        <c:crossBetween val="between"/>
      </c:valAx>
      <c:spPr>
        <a:noFill/>
        <a:ln w="25400">
          <a:noFill/>
        </a:ln>
      </c:spPr>
    </c:plotArea>
    <c:legend>
      <c:legendPos val="r"/>
      <c:overlay val="0"/>
      <c:spPr>
        <a:noFill/>
        <a:ln w="25400">
          <a:noFill/>
        </a:ln>
      </c:spPr>
      <c:txPr>
        <a:bodyPr rot="0" vert="horz"/>
        <a:lstStyle/>
        <a:p>
          <a:pPr>
            <a:defRPr sz="800">
              <a:latin typeface="Arial" panose="020B0604020202020204" pitchFamily="34" charset="0"/>
              <a:cs typeface="Arial" panose="020B0604020202020204" pitchFamily="34" charset="0"/>
            </a:defRPr>
          </a:pPr>
          <a:endParaRPr lang="es-CO"/>
        </a:p>
      </c:txPr>
    </c:legend>
    <c:plotVisOnly val="1"/>
    <c:dispBlanksAs val="gap"/>
    <c:showDLblsOverMax val="0"/>
  </c:chart>
  <c:spPr>
    <a:solidFill>
      <a:schemeClr val="accent3">
        <a:lumMod val="20000"/>
        <a:lumOff val="80000"/>
      </a:schemeClr>
    </a:solidFill>
    <a:ln w="6350" cap="flat" cmpd="sng" algn="ctr">
      <a:solidFill>
        <a:sysClr val="window" lastClr="FFFFFF">
          <a:lumMod val="65000"/>
        </a:sysClr>
      </a:solidFill>
      <a:round/>
    </a:ln>
    <a:effectLst/>
  </c:spPr>
  <c:txPr>
    <a:bodyPr/>
    <a:lstStyle/>
    <a:p>
      <a:pPr>
        <a:defRPr>
          <a:ln>
            <a:noFill/>
          </a:ln>
          <a:solidFill>
            <a:schemeClr val="tx1"/>
          </a:solidFill>
        </a:defRPr>
      </a:pPr>
      <a:endParaRPr lang="es-CO"/>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bg1"/>
                </a:solidFill>
                <a:latin typeface="+mn-lt"/>
                <a:ea typeface="+mn-ea"/>
                <a:cs typeface="+mn-cs"/>
              </a:defRPr>
            </a:pPr>
            <a:r>
              <a:rPr lang="en-US" sz="1050">
                <a:solidFill>
                  <a:schemeClr val="bg1"/>
                </a:solidFill>
              </a:rPr>
              <a:t>¿Cómo califica el tiempo que nos tomo responder a sus solicitud?</a:t>
            </a:r>
          </a:p>
        </c:rich>
      </c:tx>
      <c:overlay val="0"/>
      <c:spPr>
        <a:solidFill>
          <a:schemeClr val="accent6"/>
        </a:solidFill>
        <a:ln>
          <a:solidFill>
            <a:schemeClr val="accent6"/>
          </a:solidFill>
        </a:ln>
        <a:effectLst/>
      </c:spPr>
      <c:txPr>
        <a:bodyPr rot="0" spcFirstLastPara="1" vertOverflow="ellipsis" vert="horz" wrap="square" anchor="ctr" anchorCtr="1"/>
        <a:lstStyle/>
        <a:p>
          <a:pPr>
            <a:defRPr sz="1050" b="1" i="0" u="none" strike="noStrike" kern="1200" baseline="0">
              <a:solidFill>
                <a:schemeClr val="bg1"/>
              </a:solidFill>
              <a:latin typeface="+mn-lt"/>
              <a:ea typeface="+mn-ea"/>
              <a:cs typeface="+mn-cs"/>
            </a:defRPr>
          </a:pPr>
          <a:endParaRPr lang="es-CO"/>
        </a:p>
      </c:txPr>
    </c:title>
    <c:autoTitleDeleted val="0"/>
    <c:plotArea>
      <c:layout>
        <c:manualLayout>
          <c:layoutTarget val="inner"/>
          <c:xMode val="edge"/>
          <c:yMode val="edge"/>
          <c:x val="0.25487411489070827"/>
          <c:y val="0.21164296029321161"/>
          <c:w val="0.46109338718346093"/>
          <c:h val="0.72819446005604349"/>
        </c:manualLayout>
      </c:layout>
      <c:pieChart>
        <c:varyColors val="1"/>
        <c:ser>
          <c:idx val="0"/>
          <c:order val="0"/>
          <c:tx>
            <c:strRef>
              <c:f>'Encuestas Canal Virtual'!$F$10</c:f>
              <c:strCache>
                <c:ptCount val="1"/>
                <c:pt idx="0">
                  <c:v>% Participación</c:v>
                </c:pt>
              </c:strCache>
            </c:strRef>
          </c:tx>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72D-46D5-963B-8C7EBA5186E4}"/>
              </c:ext>
            </c:extLst>
          </c:dPt>
          <c:dPt>
            <c:idx val="1"/>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72D-46D5-963B-8C7EBA5186E4}"/>
              </c:ext>
            </c:extLst>
          </c:dPt>
          <c:dPt>
            <c:idx val="2"/>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72D-46D5-963B-8C7EBA5186E4}"/>
              </c:ext>
            </c:extLst>
          </c:dPt>
          <c:dPt>
            <c:idx val="3"/>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472D-46D5-963B-8C7EBA5186E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'Encuestas Canal Virtual'!$B$11:$B$14</c:f>
              <c:strCache>
                <c:ptCount val="4"/>
                <c:pt idx="0">
                  <c:v>Excelente</c:v>
                </c:pt>
                <c:pt idx="1">
                  <c:v>Bueno</c:v>
                </c:pt>
                <c:pt idx="2">
                  <c:v>Regular</c:v>
                </c:pt>
                <c:pt idx="3">
                  <c:v>Malo</c:v>
                </c:pt>
              </c:strCache>
            </c:strRef>
          </c:cat>
          <c:val>
            <c:numRef>
              <c:f>'Encuestas Canal Virtual'!$F$11:$F$14</c:f>
              <c:numCache>
                <c:formatCode>0%</c:formatCode>
                <c:ptCount val="4"/>
                <c:pt idx="0">
                  <c:v>0.69042518127883978</c:v>
                </c:pt>
                <c:pt idx="1">
                  <c:v>0.12722478576137114</c:v>
                </c:pt>
                <c:pt idx="2">
                  <c:v>4.9151285431773238E-2</c:v>
                </c:pt>
                <c:pt idx="3">
                  <c:v>0.13319874752801583</c:v>
                </c:pt>
              </c:numCache>
            </c:numRef>
          </c:val>
          <c:extLst>
            <c:ext xmlns:c16="http://schemas.microsoft.com/office/drawing/2014/chart" uri="{C3380CC4-5D6E-409C-BE32-E72D297353CC}">
              <c16:uniqueId val="{00000008-472D-46D5-963B-8C7EBA5186E4}"/>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12700" cap="flat" cmpd="sng" algn="ctr">
      <a:solidFill>
        <a:schemeClr val="accent6"/>
      </a:solidFill>
      <a:round/>
    </a:ln>
    <a:effectLst/>
  </c:spPr>
  <c:txPr>
    <a:bodyPr/>
    <a:lstStyle/>
    <a:p>
      <a:pPr>
        <a:defRPr/>
      </a:pPr>
      <a:endParaRPr lang="es-C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bg1"/>
                </a:solidFill>
                <a:latin typeface="+mn-lt"/>
                <a:ea typeface="+mn-ea"/>
                <a:cs typeface="+mn-cs"/>
              </a:defRPr>
            </a:pPr>
            <a:r>
              <a:rPr lang="en-US" sz="1050">
                <a:solidFill>
                  <a:schemeClr val="bg1"/>
                </a:solidFill>
              </a:rPr>
              <a:t>¿Cómo califica la atención brindada por parte del asesor?</a:t>
            </a:r>
          </a:p>
        </c:rich>
      </c:tx>
      <c:overlay val="0"/>
      <c:spPr>
        <a:solidFill>
          <a:schemeClr val="accent6"/>
        </a:solidFill>
        <a:ln>
          <a:noFill/>
        </a:ln>
        <a:effectLst/>
      </c:spPr>
      <c:txPr>
        <a:bodyPr rot="0" spcFirstLastPara="1" vertOverflow="ellipsis" vert="horz" wrap="square" anchor="ctr" anchorCtr="1"/>
        <a:lstStyle/>
        <a:p>
          <a:pPr>
            <a:defRPr sz="1050" b="1" i="0" u="none" strike="noStrike" kern="1200" baseline="0">
              <a:solidFill>
                <a:schemeClr val="bg1"/>
              </a:solidFill>
              <a:latin typeface="+mn-lt"/>
              <a:ea typeface="+mn-ea"/>
              <a:cs typeface="+mn-cs"/>
            </a:defRPr>
          </a:pPr>
          <a:endParaRPr lang="es-CO"/>
        </a:p>
      </c:txPr>
    </c:title>
    <c:autoTitleDeleted val="0"/>
    <c:plotArea>
      <c:layout>
        <c:manualLayout>
          <c:layoutTarget val="inner"/>
          <c:xMode val="edge"/>
          <c:yMode val="edge"/>
          <c:x val="0.25487411489070827"/>
          <c:y val="0.21164296029321161"/>
          <c:w val="0.46109338718346093"/>
          <c:h val="0.72819446005604349"/>
        </c:manualLayout>
      </c:layout>
      <c:pieChart>
        <c:varyColors val="1"/>
        <c:ser>
          <c:idx val="0"/>
          <c:order val="0"/>
          <c:tx>
            <c:strRef>
              <c:f>'Encuestas Canal Virtual'!$F$18</c:f>
              <c:strCache>
                <c:ptCount val="1"/>
                <c:pt idx="0">
                  <c:v>% Participación</c:v>
                </c:pt>
              </c:strCache>
            </c:strRef>
          </c:tx>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C35-4D1C-AF54-9699EC206A8E}"/>
              </c:ext>
            </c:extLst>
          </c:dPt>
          <c:dPt>
            <c:idx val="1"/>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C35-4D1C-AF54-9699EC206A8E}"/>
              </c:ext>
            </c:extLst>
          </c:dPt>
          <c:dPt>
            <c:idx val="2"/>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9C35-4D1C-AF54-9699EC206A8E}"/>
              </c:ext>
            </c:extLst>
          </c:dPt>
          <c:dPt>
            <c:idx val="3"/>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9C35-4D1C-AF54-9699EC206A8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'Encuestas Canal Virtual'!$B$19:$B$22</c:f>
              <c:strCache>
                <c:ptCount val="4"/>
                <c:pt idx="0">
                  <c:v>Excelente</c:v>
                </c:pt>
                <c:pt idx="1">
                  <c:v>Bueno</c:v>
                </c:pt>
                <c:pt idx="2">
                  <c:v>Regular</c:v>
                </c:pt>
                <c:pt idx="3">
                  <c:v>Malo</c:v>
                </c:pt>
              </c:strCache>
            </c:strRef>
          </c:cat>
          <c:val>
            <c:numRef>
              <c:f>'Encuestas Canal Virtual'!$F$19:$F$22</c:f>
              <c:numCache>
                <c:formatCode>0%</c:formatCode>
                <c:ptCount val="4"/>
                <c:pt idx="0">
                  <c:v>0.71992419248516815</c:v>
                </c:pt>
                <c:pt idx="1">
                  <c:v>0.10761371127224786</c:v>
                </c:pt>
                <c:pt idx="2">
                  <c:v>4.6596901779828608E-2</c:v>
                </c:pt>
                <c:pt idx="3">
                  <c:v>0.12586519446275543</c:v>
                </c:pt>
              </c:numCache>
            </c:numRef>
          </c:val>
          <c:extLst>
            <c:ext xmlns:c16="http://schemas.microsoft.com/office/drawing/2014/chart" uri="{C3380CC4-5D6E-409C-BE32-E72D297353CC}">
              <c16:uniqueId val="{00000008-9C35-4D1C-AF54-9699EC206A8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accent6"/>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D56DA8-BF4B-4A4C-91ED-FF354C9ADC67}" type="doc">
      <dgm:prSet loTypeId="urn:microsoft.com/office/officeart/2008/layout/BendingPictureCaptionList" loCatId="picture" qsTypeId="urn:microsoft.com/office/officeart/2005/8/quickstyle/simple1" qsCatId="simple" csTypeId="urn:microsoft.com/office/officeart/2005/8/colors/colorful5" csCatId="colorful" phldr="1"/>
      <dgm:spPr/>
      <dgm:t>
        <a:bodyPr/>
        <a:lstStyle/>
        <a:p>
          <a:endParaRPr lang="es-ES"/>
        </a:p>
      </dgm:t>
    </dgm:pt>
    <dgm:pt modelId="{F56F856B-E2B0-44FA-ADBA-5A92176C23A4}">
      <dgm:prSet phldrT="[Texto]"/>
      <dgm:spPr>
        <a:xfrm>
          <a:off x="154305" y="1344930"/>
          <a:ext cx="1525905" cy="480060"/>
        </a:xfrm>
        <a:solidFill>
          <a:srgbClr val="F79646"/>
        </a:solidFill>
        <a:ln w="25400" cap="flat" cmpd="sng" algn="ctr">
          <a:solidFill>
            <a:sysClr val="window" lastClr="FFFFFF">
              <a:hueOff val="0"/>
              <a:satOff val="0"/>
              <a:lumOff val="0"/>
              <a:alphaOff val="0"/>
            </a:sysClr>
          </a:solidFill>
          <a:prstDash val="solid"/>
        </a:ln>
        <a:effectLst/>
      </dgm:spPr>
      <dgm:t>
        <a:bodyPr/>
        <a:lstStyle/>
        <a:p>
          <a:pPr algn="ctr"/>
          <a:r>
            <a:rPr lang="es-CO" b="1">
              <a:solidFill>
                <a:sysClr val="window" lastClr="FFFFFF"/>
              </a:solidFill>
              <a:latin typeface="Calibri"/>
              <a:ea typeface="+mn-ea"/>
              <a:cs typeface="+mn-cs"/>
            </a:rPr>
            <a:t>Bienestarina Más® </a:t>
          </a:r>
          <a:endParaRPr lang="es-ES" b="1">
            <a:solidFill>
              <a:sysClr val="window" lastClr="FFFFFF"/>
            </a:solidFill>
            <a:latin typeface="Calibri"/>
            <a:ea typeface="+mn-ea"/>
            <a:cs typeface="+mn-cs"/>
          </a:endParaRPr>
        </a:p>
      </dgm:t>
    </dgm:pt>
    <dgm:pt modelId="{5E49DAB4-F763-498B-931C-DAED2429D93D}" type="parTrans" cxnId="{E4DBEF89-05CE-421B-A7B5-51FEAF093106}">
      <dgm:prSet/>
      <dgm:spPr/>
      <dgm:t>
        <a:bodyPr/>
        <a:lstStyle/>
        <a:p>
          <a:pPr algn="ctr"/>
          <a:endParaRPr lang="es-ES"/>
        </a:p>
      </dgm:t>
    </dgm:pt>
    <dgm:pt modelId="{19D1B390-EF21-4179-917E-42F5732BA795}" type="sibTrans" cxnId="{E4DBEF89-05CE-421B-A7B5-51FEAF093106}">
      <dgm:prSet/>
      <dgm:spPr/>
      <dgm:t>
        <a:bodyPr/>
        <a:lstStyle/>
        <a:p>
          <a:pPr algn="ctr"/>
          <a:endParaRPr lang="es-ES"/>
        </a:p>
      </dgm:t>
    </dgm:pt>
    <dgm:pt modelId="{8CB9889E-40ED-475C-83D4-319F94B343C1}">
      <dgm:prSet phldrT="[Texto]"/>
      <dgm:spPr>
        <a:xfrm>
          <a:off x="3926205" y="1344930"/>
          <a:ext cx="1525905" cy="480060"/>
        </a:xfrm>
        <a:solidFill>
          <a:srgbClr val="7030A0"/>
        </a:solidFill>
        <a:ln w="25400" cap="flat" cmpd="sng" algn="ctr">
          <a:solidFill>
            <a:sysClr val="window" lastClr="FFFFFF">
              <a:hueOff val="0"/>
              <a:satOff val="0"/>
              <a:lumOff val="0"/>
              <a:alphaOff val="0"/>
            </a:sysClr>
          </a:solidFill>
          <a:prstDash val="solid"/>
        </a:ln>
        <a:effectLst/>
      </dgm:spPr>
      <dgm:t>
        <a:bodyPr/>
        <a:lstStyle/>
        <a:p>
          <a:pPr algn="ctr"/>
          <a:r>
            <a:rPr lang="es-CO" b="1">
              <a:solidFill>
                <a:sysClr val="window" lastClr="FFFFFF"/>
              </a:solidFill>
              <a:latin typeface="Calibri"/>
              <a:ea typeface="+mn-ea"/>
              <a:cs typeface="+mn-cs"/>
            </a:rPr>
            <a:t>Alimento para la mujer gestante y madre en periodo de lactancia</a:t>
          </a:r>
          <a:endParaRPr lang="es-ES" b="1">
            <a:solidFill>
              <a:sysClr val="window" lastClr="FFFFFF"/>
            </a:solidFill>
            <a:latin typeface="Calibri"/>
            <a:ea typeface="+mn-ea"/>
            <a:cs typeface="+mn-cs"/>
          </a:endParaRPr>
        </a:p>
      </dgm:t>
    </dgm:pt>
    <dgm:pt modelId="{1E2C783C-FC2D-4A07-A61E-54A3D0E15816}" type="parTrans" cxnId="{9E79FA93-F4B7-4D86-956A-F0FAC3408A06}">
      <dgm:prSet/>
      <dgm:spPr/>
      <dgm:t>
        <a:bodyPr/>
        <a:lstStyle/>
        <a:p>
          <a:pPr algn="ctr"/>
          <a:endParaRPr lang="es-ES"/>
        </a:p>
      </dgm:t>
    </dgm:pt>
    <dgm:pt modelId="{ECA1A5C4-8910-44D0-860A-C355148F1AD8}" type="sibTrans" cxnId="{9E79FA93-F4B7-4D86-956A-F0FAC3408A06}">
      <dgm:prSet/>
      <dgm:spPr/>
      <dgm:t>
        <a:bodyPr/>
        <a:lstStyle/>
        <a:p>
          <a:pPr algn="ctr"/>
          <a:endParaRPr lang="es-ES"/>
        </a:p>
      </dgm:t>
    </dgm:pt>
    <dgm:pt modelId="{B1E1F92A-4C31-41F3-AF18-A391D4228222}">
      <dgm:prSet phldrT="[Texto]"/>
      <dgm:spPr>
        <a:xfrm>
          <a:off x="2040255" y="1344930"/>
          <a:ext cx="1525905" cy="480060"/>
        </a:xfr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s-CO" b="1">
              <a:solidFill>
                <a:sysClr val="window" lastClr="FFFFFF"/>
              </a:solidFill>
              <a:latin typeface="Calibri"/>
              <a:ea typeface="+mn-ea"/>
              <a:cs typeface="+mn-cs"/>
            </a:rPr>
            <a:t>Bienestarina® Líquida</a:t>
          </a:r>
          <a:endParaRPr lang="es-ES" b="1">
            <a:solidFill>
              <a:sysClr val="window" lastClr="FFFFFF"/>
            </a:solidFill>
            <a:latin typeface="Calibri"/>
            <a:ea typeface="+mn-ea"/>
            <a:cs typeface="+mn-cs"/>
          </a:endParaRPr>
        </a:p>
      </dgm:t>
    </dgm:pt>
    <dgm:pt modelId="{4182B4DE-5255-419A-9F97-AE3A75CBC0E4}" type="sibTrans" cxnId="{33A6AB85-8DA5-45FC-A4C2-4FD74DB7AC4A}">
      <dgm:prSet/>
      <dgm:spPr/>
      <dgm:t>
        <a:bodyPr/>
        <a:lstStyle/>
        <a:p>
          <a:pPr algn="ctr"/>
          <a:endParaRPr lang="es-ES"/>
        </a:p>
      </dgm:t>
    </dgm:pt>
    <dgm:pt modelId="{88B6147B-425D-4B4C-A608-8997853D0C13}" type="parTrans" cxnId="{33A6AB85-8DA5-45FC-A4C2-4FD74DB7AC4A}">
      <dgm:prSet/>
      <dgm:spPr/>
      <dgm:t>
        <a:bodyPr/>
        <a:lstStyle/>
        <a:p>
          <a:pPr algn="ctr"/>
          <a:endParaRPr lang="es-ES"/>
        </a:p>
      </dgm:t>
    </dgm:pt>
    <dgm:pt modelId="{35C07B76-D7AA-405A-9D27-1379C7CD369C}" type="pres">
      <dgm:prSet presAssocID="{05D56DA8-BF4B-4A4C-91ED-FF354C9ADC67}" presName="Name0" presStyleCnt="0">
        <dgm:presLayoutVars>
          <dgm:dir/>
          <dgm:resizeHandles val="exact"/>
        </dgm:presLayoutVars>
      </dgm:prSet>
      <dgm:spPr/>
    </dgm:pt>
    <dgm:pt modelId="{F2B70966-06C8-4EED-AB5D-E8875771434A}" type="pres">
      <dgm:prSet presAssocID="{F56F856B-E2B0-44FA-ADBA-5A92176C23A4}" presName="composite" presStyleCnt="0"/>
      <dgm:spPr/>
    </dgm:pt>
    <dgm:pt modelId="{781166B3-F0D5-4D63-A625-76FD1140777F}" type="pres">
      <dgm:prSet presAssocID="{F56F856B-E2B0-44FA-ADBA-5A92176C23A4}" presName="rect1" presStyleLbl="bgImgPlace1" presStyleIdx="0" presStyleCnt="3"/>
      <dgm:spPr>
        <a:xfrm>
          <a:off x="0" y="110489"/>
          <a:ext cx="1714499" cy="1371599"/>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8000" r="-18000"/>
          </a:stretch>
        </a:blipFill>
        <a:ln w="25400" cap="flat" cmpd="sng" algn="ctr">
          <a:solidFill>
            <a:sysClr val="window" lastClr="FFFFFF">
              <a:hueOff val="0"/>
              <a:satOff val="0"/>
              <a:lumOff val="0"/>
              <a:alphaOff val="0"/>
            </a:sysClr>
          </a:solidFill>
          <a:prstDash val="solid"/>
        </a:ln>
        <a:effectLst/>
      </dgm:spPr>
    </dgm:pt>
    <dgm:pt modelId="{01E2D559-3038-40F7-A60E-535711E26491}" type="pres">
      <dgm:prSet presAssocID="{F56F856B-E2B0-44FA-ADBA-5A92176C23A4}" presName="wedgeRectCallout1" presStyleLbl="node1" presStyleIdx="0" presStyleCnt="3">
        <dgm:presLayoutVars>
          <dgm:bulletEnabled val="1"/>
        </dgm:presLayoutVars>
      </dgm:prSet>
      <dgm:spPr>
        <a:prstGeom prst="wedgeRectCallout">
          <a:avLst>
            <a:gd name="adj1" fmla="val 20250"/>
            <a:gd name="adj2" fmla="val -60700"/>
          </a:avLst>
        </a:prstGeom>
      </dgm:spPr>
    </dgm:pt>
    <dgm:pt modelId="{B0906EFE-3101-4F6E-A044-9D6CA7731E18}" type="pres">
      <dgm:prSet presAssocID="{19D1B390-EF21-4179-917E-42F5732BA795}" presName="sibTrans" presStyleCnt="0"/>
      <dgm:spPr/>
    </dgm:pt>
    <dgm:pt modelId="{4D1BB840-9CF4-44B5-83D3-E5C0E3324F38}" type="pres">
      <dgm:prSet presAssocID="{B1E1F92A-4C31-41F3-AF18-A391D4228222}" presName="composite" presStyleCnt="0"/>
      <dgm:spPr/>
    </dgm:pt>
    <dgm:pt modelId="{445A4ADC-68B6-4222-8200-D700D9D8C9B6}" type="pres">
      <dgm:prSet presAssocID="{B1E1F92A-4C31-41F3-AF18-A391D4228222}" presName="rect1" presStyleLbl="bgImgPlace1" presStyleIdx="1" presStyleCnt="3"/>
      <dgm:spPr>
        <a:xfrm>
          <a:off x="1885950" y="110489"/>
          <a:ext cx="1714499" cy="1371599"/>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5000" b="-5000"/>
          </a:stretch>
        </a:blipFill>
        <a:ln w="25400" cap="flat" cmpd="sng" algn="ctr">
          <a:solidFill>
            <a:sysClr val="window" lastClr="FFFFFF">
              <a:hueOff val="0"/>
              <a:satOff val="0"/>
              <a:lumOff val="0"/>
              <a:alphaOff val="0"/>
            </a:sysClr>
          </a:solidFill>
          <a:prstDash val="solid"/>
        </a:ln>
        <a:effectLst/>
      </dgm:spPr>
    </dgm:pt>
    <dgm:pt modelId="{015FDBDD-7E7F-4FAB-B57B-22E72BAD1D5D}" type="pres">
      <dgm:prSet presAssocID="{B1E1F92A-4C31-41F3-AF18-A391D4228222}" presName="wedgeRectCallout1" presStyleLbl="node1" presStyleIdx="1" presStyleCnt="3">
        <dgm:presLayoutVars>
          <dgm:bulletEnabled val="1"/>
        </dgm:presLayoutVars>
      </dgm:prSet>
      <dgm:spPr>
        <a:prstGeom prst="wedgeRectCallout">
          <a:avLst>
            <a:gd name="adj1" fmla="val 20250"/>
            <a:gd name="adj2" fmla="val -60700"/>
          </a:avLst>
        </a:prstGeom>
      </dgm:spPr>
    </dgm:pt>
    <dgm:pt modelId="{F8D99A8F-DAC7-44FF-B2B7-17EE3E13FAB4}" type="pres">
      <dgm:prSet presAssocID="{4182B4DE-5255-419A-9F97-AE3A75CBC0E4}" presName="sibTrans" presStyleCnt="0"/>
      <dgm:spPr/>
    </dgm:pt>
    <dgm:pt modelId="{0D842CB5-245B-434A-9948-E5B7B024EBBC}" type="pres">
      <dgm:prSet presAssocID="{8CB9889E-40ED-475C-83D4-319F94B343C1}" presName="composite" presStyleCnt="0"/>
      <dgm:spPr/>
    </dgm:pt>
    <dgm:pt modelId="{7F1C3263-D845-4711-83F7-EAB22ACF1022}" type="pres">
      <dgm:prSet presAssocID="{8CB9889E-40ED-475C-83D4-319F94B343C1}" presName="rect1" presStyleLbl="bgImgPlace1" presStyleIdx="2" presStyleCnt="3"/>
      <dgm:spPr>
        <a:xfrm>
          <a:off x="3771900" y="110489"/>
          <a:ext cx="1714499" cy="1371599"/>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5000" b="-5000"/>
          </a:stretch>
        </a:blipFill>
        <a:ln w="25400" cap="flat" cmpd="sng" algn="ctr">
          <a:solidFill>
            <a:sysClr val="window" lastClr="FFFFFF">
              <a:hueOff val="0"/>
              <a:satOff val="0"/>
              <a:lumOff val="0"/>
              <a:alphaOff val="0"/>
            </a:sysClr>
          </a:solidFill>
          <a:prstDash val="solid"/>
        </a:ln>
        <a:effectLst/>
      </dgm:spPr>
    </dgm:pt>
    <dgm:pt modelId="{293C0112-0508-4272-9277-F3258836A70C}" type="pres">
      <dgm:prSet presAssocID="{8CB9889E-40ED-475C-83D4-319F94B343C1}" presName="wedgeRectCallout1" presStyleLbl="node1" presStyleIdx="2" presStyleCnt="3">
        <dgm:presLayoutVars>
          <dgm:bulletEnabled val="1"/>
        </dgm:presLayoutVars>
      </dgm:prSet>
      <dgm:spPr>
        <a:prstGeom prst="wedgeRectCallout">
          <a:avLst>
            <a:gd name="adj1" fmla="val 20250"/>
            <a:gd name="adj2" fmla="val -60700"/>
          </a:avLst>
        </a:prstGeom>
      </dgm:spPr>
    </dgm:pt>
  </dgm:ptLst>
  <dgm:cxnLst>
    <dgm:cxn modelId="{345DA945-6E4A-404B-A554-FCAA9971A498}" type="presOf" srcId="{8CB9889E-40ED-475C-83D4-319F94B343C1}" destId="{293C0112-0508-4272-9277-F3258836A70C}" srcOrd="0" destOrd="0" presId="urn:microsoft.com/office/officeart/2008/layout/BendingPictureCaptionList"/>
    <dgm:cxn modelId="{EC45897E-6873-4ED6-82AC-1C9E86AB49DE}" type="presOf" srcId="{05D56DA8-BF4B-4A4C-91ED-FF354C9ADC67}" destId="{35C07B76-D7AA-405A-9D27-1379C7CD369C}" srcOrd="0" destOrd="0" presId="urn:microsoft.com/office/officeart/2008/layout/BendingPictureCaptionList"/>
    <dgm:cxn modelId="{33A6AB85-8DA5-45FC-A4C2-4FD74DB7AC4A}" srcId="{05D56DA8-BF4B-4A4C-91ED-FF354C9ADC67}" destId="{B1E1F92A-4C31-41F3-AF18-A391D4228222}" srcOrd="1" destOrd="0" parTransId="{88B6147B-425D-4B4C-A608-8997853D0C13}" sibTransId="{4182B4DE-5255-419A-9F97-AE3A75CBC0E4}"/>
    <dgm:cxn modelId="{E4DBEF89-05CE-421B-A7B5-51FEAF093106}" srcId="{05D56DA8-BF4B-4A4C-91ED-FF354C9ADC67}" destId="{F56F856B-E2B0-44FA-ADBA-5A92176C23A4}" srcOrd="0" destOrd="0" parTransId="{5E49DAB4-F763-498B-931C-DAED2429D93D}" sibTransId="{19D1B390-EF21-4179-917E-42F5732BA795}"/>
    <dgm:cxn modelId="{9E79FA93-F4B7-4D86-956A-F0FAC3408A06}" srcId="{05D56DA8-BF4B-4A4C-91ED-FF354C9ADC67}" destId="{8CB9889E-40ED-475C-83D4-319F94B343C1}" srcOrd="2" destOrd="0" parTransId="{1E2C783C-FC2D-4A07-A61E-54A3D0E15816}" sibTransId="{ECA1A5C4-8910-44D0-860A-C355148F1AD8}"/>
    <dgm:cxn modelId="{CDEFBDE3-960A-43B0-86BE-447725D015B1}" type="presOf" srcId="{B1E1F92A-4C31-41F3-AF18-A391D4228222}" destId="{015FDBDD-7E7F-4FAB-B57B-22E72BAD1D5D}" srcOrd="0" destOrd="0" presId="urn:microsoft.com/office/officeart/2008/layout/BendingPictureCaptionList"/>
    <dgm:cxn modelId="{DE712BEF-175F-481C-95AC-613E0A47936F}" type="presOf" srcId="{F56F856B-E2B0-44FA-ADBA-5A92176C23A4}" destId="{01E2D559-3038-40F7-A60E-535711E26491}" srcOrd="0" destOrd="0" presId="urn:microsoft.com/office/officeart/2008/layout/BendingPictureCaptionList"/>
    <dgm:cxn modelId="{BBBB7349-5A16-41A7-B402-B8410082219C}" type="presParOf" srcId="{35C07B76-D7AA-405A-9D27-1379C7CD369C}" destId="{F2B70966-06C8-4EED-AB5D-E8875771434A}" srcOrd="0" destOrd="0" presId="urn:microsoft.com/office/officeart/2008/layout/BendingPictureCaptionList"/>
    <dgm:cxn modelId="{90C3537C-A0F4-4AE2-A92C-9F82E98AB45D}" type="presParOf" srcId="{F2B70966-06C8-4EED-AB5D-E8875771434A}" destId="{781166B3-F0D5-4D63-A625-76FD1140777F}" srcOrd="0" destOrd="0" presId="urn:microsoft.com/office/officeart/2008/layout/BendingPictureCaptionList"/>
    <dgm:cxn modelId="{695E9CC6-A471-445E-B017-8C47D1738B13}" type="presParOf" srcId="{F2B70966-06C8-4EED-AB5D-E8875771434A}" destId="{01E2D559-3038-40F7-A60E-535711E26491}" srcOrd="1" destOrd="0" presId="urn:microsoft.com/office/officeart/2008/layout/BendingPictureCaptionList"/>
    <dgm:cxn modelId="{ECD3D8B6-FF44-4CE2-9256-095CBBDC7016}" type="presParOf" srcId="{35C07B76-D7AA-405A-9D27-1379C7CD369C}" destId="{B0906EFE-3101-4F6E-A044-9D6CA7731E18}" srcOrd="1" destOrd="0" presId="urn:microsoft.com/office/officeart/2008/layout/BendingPictureCaptionList"/>
    <dgm:cxn modelId="{54AECE61-3AB9-45CA-AD90-97FBBF338586}" type="presParOf" srcId="{35C07B76-D7AA-405A-9D27-1379C7CD369C}" destId="{4D1BB840-9CF4-44B5-83D3-E5C0E3324F38}" srcOrd="2" destOrd="0" presId="urn:microsoft.com/office/officeart/2008/layout/BendingPictureCaptionList"/>
    <dgm:cxn modelId="{52688C4B-BE0F-4BD0-BCBD-63B54F79F0CD}" type="presParOf" srcId="{4D1BB840-9CF4-44B5-83D3-E5C0E3324F38}" destId="{445A4ADC-68B6-4222-8200-D700D9D8C9B6}" srcOrd="0" destOrd="0" presId="urn:microsoft.com/office/officeart/2008/layout/BendingPictureCaptionList"/>
    <dgm:cxn modelId="{504675AF-CB6A-4E25-B8EE-4623C284F768}" type="presParOf" srcId="{4D1BB840-9CF4-44B5-83D3-E5C0E3324F38}" destId="{015FDBDD-7E7F-4FAB-B57B-22E72BAD1D5D}" srcOrd="1" destOrd="0" presId="urn:microsoft.com/office/officeart/2008/layout/BendingPictureCaptionList"/>
    <dgm:cxn modelId="{AA110269-EFC5-45FA-AEBC-44D17911510F}" type="presParOf" srcId="{35C07B76-D7AA-405A-9D27-1379C7CD369C}" destId="{F8D99A8F-DAC7-44FF-B2B7-17EE3E13FAB4}" srcOrd="3" destOrd="0" presId="urn:microsoft.com/office/officeart/2008/layout/BendingPictureCaptionList"/>
    <dgm:cxn modelId="{9424693D-EEDD-487C-B05C-649C49B8A95B}" type="presParOf" srcId="{35C07B76-D7AA-405A-9D27-1379C7CD369C}" destId="{0D842CB5-245B-434A-9948-E5B7B024EBBC}" srcOrd="4" destOrd="0" presId="urn:microsoft.com/office/officeart/2008/layout/BendingPictureCaptionList"/>
    <dgm:cxn modelId="{4243FF0A-0BFF-4B4F-AA1C-BE51F558823A}" type="presParOf" srcId="{0D842CB5-245B-434A-9948-E5B7B024EBBC}" destId="{7F1C3263-D845-4711-83F7-EAB22ACF1022}" srcOrd="0" destOrd="0" presId="urn:microsoft.com/office/officeart/2008/layout/BendingPictureCaptionList"/>
    <dgm:cxn modelId="{58EDF19B-2B12-4735-ABCF-FED6A19BD370}" type="presParOf" srcId="{0D842CB5-245B-434A-9948-E5B7B024EBBC}" destId="{293C0112-0508-4272-9277-F3258836A70C}" srcOrd="1" destOrd="0" presId="urn:microsoft.com/office/officeart/2008/layout/BendingPictureCaptionLis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4321571-44FF-4769-A864-D941A1F8CCA7}" type="doc">
      <dgm:prSet loTypeId="urn:microsoft.com/office/officeart/2005/8/layout/chevron1" loCatId="process" qsTypeId="urn:microsoft.com/office/officeart/2005/8/quickstyle/simple4" qsCatId="simple" csTypeId="urn:microsoft.com/office/officeart/2005/8/colors/colorful3" csCatId="colorful" phldr="1"/>
      <dgm:spPr/>
      <dgm:t>
        <a:bodyPr/>
        <a:lstStyle/>
        <a:p>
          <a:endParaRPr lang="es-CO"/>
        </a:p>
      </dgm:t>
    </dgm:pt>
    <dgm:pt modelId="{82985A61-9BBF-44E0-B2F7-1839F9F93FE8}">
      <dgm:prSet phldrT="[Texto]"/>
      <dgm:spPr>
        <a:xfrm>
          <a:off x="1412" y="103616"/>
          <a:ext cx="1720294" cy="688117"/>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s-CO" b="1">
              <a:solidFill>
                <a:sysClr val="window" lastClr="FFFFFF"/>
              </a:solidFill>
              <a:latin typeface="Calibri"/>
              <a:ea typeface="+mn-ea"/>
              <a:cs typeface="+mn-cs"/>
            </a:rPr>
            <a:t>Producción</a:t>
          </a:r>
        </a:p>
        <a:p>
          <a:pPr algn="ctr">
            <a:buNone/>
          </a:pPr>
          <a:r>
            <a:rPr lang="es-CO">
              <a:solidFill>
                <a:sysClr val="window" lastClr="FFFFFF"/>
              </a:solidFill>
              <a:latin typeface="Calibri"/>
              <a:ea typeface="+mn-ea"/>
              <a:cs typeface="+mn-cs"/>
            </a:rPr>
            <a:t>18.429 Toneladas.</a:t>
          </a:r>
        </a:p>
      </dgm:t>
    </dgm:pt>
    <dgm:pt modelId="{49569400-240A-4F6B-88AF-509D89889212}" type="parTrans" cxnId="{E3AD7526-988F-4CF0-BBD6-39394D07B5C1}">
      <dgm:prSet/>
      <dgm:spPr/>
      <dgm:t>
        <a:bodyPr/>
        <a:lstStyle/>
        <a:p>
          <a:pPr algn="ctr"/>
          <a:endParaRPr lang="es-CO"/>
        </a:p>
      </dgm:t>
    </dgm:pt>
    <dgm:pt modelId="{C2A4EB11-1809-488E-91DF-8E3836F7E5BA}" type="sibTrans" cxnId="{E3AD7526-988F-4CF0-BBD6-39394D07B5C1}">
      <dgm:prSet/>
      <dgm:spPr/>
      <dgm:t>
        <a:bodyPr/>
        <a:lstStyle/>
        <a:p>
          <a:pPr algn="ctr"/>
          <a:endParaRPr lang="es-CO"/>
        </a:p>
      </dgm:t>
    </dgm:pt>
    <dgm:pt modelId="{54BA475B-891A-4FB0-A935-90121704FD03}">
      <dgm:prSet phldrT="[Texto]"/>
      <dgm:spPr>
        <a:xfrm>
          <a:off x="1549677" y="103616"/>
          <a:ext cx="1720294" cy="688117"/>
        </a:xfr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s-CO" b="1">
              <a:solidFill>
                <a:sysClr val="window" lastClr="FFFFFF"/>
              </a:solidFill>
              <a:latin typeface="Calibri"/>
              <a:ea typeface="+mn-ea"/>
              <a:cs typeface="+mn-cs"/>
            </a:rPr>
            <a:t>Distribución</a:t>
          </a:r>
        </a:p>
        <a:p>
          <a:pPr algn="ctr">
            <a:buNone/>
          </a:pPr>
          <a:r>
            <a:rPr lang="es-CO">
              <a:solidFill>
                <a:sysClr val="window" lastClr="FFFFFF"/>
              </a:solidFill>
              <a:latin typeface="Calibri"/>
              <a:ea typeface="+mn-ea"/>
              <a:cs typeface="+mn-cs"/>
            </a:rPr>
            <a:t>18.946 Toneladas.</a:t>
          </a:r>
        </a:p>
      </dgm:t>
    </dgm:pt>
    <dgm:pt modelId="{88246667-0668-4628-85D8-740EF245F34B}" type="parTrans" cxnId="{9384C258-CA06-4471-BE16-7A7598629BA5}">
      <dgm:prSet/>
      <dgm:spPr/>
      <dgm:t>
        <a:bodyPr/>
        <a:lstStyle/>
        <a:p>
          <a:pPr algn="ctr"/>
          <a:endParaRPr lang="es-CO"/>
        </a:p>
      </dgm:t>
    </dgm:pt>
    <dgm:pt modelId="{63067E87-FD27-435F-BC42-72CD6BCEDB0A}" type="sibTrans" cxnId="{9384C258-CA06-4471-BE16-7A7598629BA5}">
      <dgm:prSet/>
      <dgm:spPr/>
      <dgm:t>
        <a:bodyPr/>
        <a:lstStyle/>
        <a:p>
          <a:pPr algn="ctr"/>
          <a:endParaRPr lang="es-CO"/>
        </a:p>
      </dgm:t>
    </dgm:pt>
    <dgm:pt modelId="{0E03A24D-E8A7-4CA1-A60E-91D802D8640B}">
      <dgm:prSet phldrT="[Texto]"/>
      <dgm:spPr>
        <a:xfrm>
          <a:off x="3097942" y="103616"/>
          <a:ext cx="1720294" cy="688117"/>
        </a:xfr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s-CO" b="1">
              <a:solidFill>
                <a:sysClr val="window" lastClr="FFFFFF"/>
              </a:solidFill>
              <a:latin typeface="Calibri"/>
              <a:ea typeface="+mn-ea"/>
              <a:cs typeface="+mn-cs"/>
            </a:rPr>
            <a:t>Atención</a:t>
          </a:r>
        </a:p>
        <a:p>
          <a:pPr algn="ctr">
            <a:buNone/>
          </a:pPr>
          <a:r>
            <a:rPr lang="es-ES_tradnl" b="0">
              <a:solidFill>
                <a:sysClr val="window" lastClr="FFFFFF"/>
              </a:solidFill>
              <a:latin typeface="Calibri"/>
              <a:ea typeface="+mn-ea"/>
              <a:cs typeface="+mn-cs"/>
            </a:rPr>
            <a:t>2.642.469 Beneficiarios</a:t>
          </a:r>
          <a:endParaRPr lang="es-CO" b="0">
            <a:solidFill>
              <a:sysClr val="window" lastClr="FFFFFF"/>
            </a:solidFill>
            <a:latin typeface="Calibri"/>
            <a:ea typeface="+mn-ea"/>
            <a:cs typeface="+mn-cs"/>
          </a:endParaRPr>
        </a:p>
      </dgm:t>
    </dgm:pt>
    <dgm:pt modelId="{3960B858-B4F8-40F7-8D6B-0A62ED460418}" type="parTrans" cxnId="{EE469017-5651-4D52-ACB7-E404E7FF0CB2}">
      <dgm:prSet/>
      <dgm:spPr/>
      <dgm:t>
        <a:bodyPr/>
        <a:lstStyle/>
        <a:p>
          <a:pPr algn="ctr"/>
          <a:endParaRPr lang="es-CO"/>
        </a:p>
      </dgm:t>
    </dgm:pt>
    <dgm:pt modelId="{87BB84CD-045D-466D-B719-FE6B583F04AA}" type="sibTrans" cxnId="{EE469017-5651-4D52-ACB7-E404E7FF0CB2}">
      <dgm:prSet/>
      <dgm:spPr/>
      <dgm:t>
        <a:bodyPr/>
        <a:lstStyle/>
        <a:p>
          <a:pPr algn="ctr"/>
          <a:endParaRPr lang="es-CO"/>
        </a:p>
      </dgm:t>
    </dgm:pt>
    <dgm:pt modelId="{5222AAC5-793B-4D13-8691-61C5BEE4CCE8}" type="pres">
      <dgm:prSet presAssocID="{B4321571-44FF-4769-A864-D941A1F8CCA7}" presName="Name0" presStyleCnt="0">
        <dgm:presLayoutVars>
          <dgm:dir/>
          <dgm:animLvl val="lvl"/>
          <dgm:resizeHandles val="exact"/>
        </dgm:presLayoutVars>
      </dgm:prSet>
      <dgm:spPr/>
    </dgm:pt>
    <dgm:pt modelId="{9F3E9243-5897-41ED-AFA3-3E973EF050C7}" type="pres">
      <dgm:prSet presAssocID="{82985A61-9BBF-44E0-B2F7-1839F9F93FE8}" presName="parTxOnly" presStyleLbl="node1" presStyleIdx="0" presStyleCnt="3">
        <dgm:presLayoutVars>
          <dgm:chMax val="0"/>
          <dgm:chPref val="0"/>
          <dgm:bulletEnabled val="1"/>
        </dgm:presLayoutVars>
      </dgm:prSet>
      <dgm:spPr>
        <a:prstGeom prst="chevron">
          <a:avLst/>
        </a:prstGeom>
      </dgm:spPr>
    </dgm:pt>
    <dgm:pt modelId="{980A42BC-C928-456D-BA5C-993E7DFFC844}" type="pres">
      <dgm:prSet presAssocID="{C2A4EB11-1809-488E-91DF-8E3836F7E5BA}" presName="parTxOnlySpace" presStyleCnt="0"/>
      <dgm:spPr/>
    </dgm:pt>
    <dgm:pt modelId="{316240E3-CFD2-4C97-979D-80E13CCF4C9F}" type="pres">
      <dgm:prSet presAssocID="{54BA475B-891A-4FB0-A935-90121704FD03}" presName="parTxOnly" presStyleLbl="node1" presStyleIdx="1" presStyleCnt="3">
        <dgm:presLayoutVars>
          <dgm:chMax val="0"/>
          <dgm:chPref val="0"/>
          <dgm:bulletEnabled val="1"/>
        </dgm:presLayoutVars>
      </dgm:prSet>
      <dgm:spPr>
        <a:prstGeom prst="chevron">
          <a:avLst/>
        </a:prstGeom>
      </dgm:spPr>
    </dgm:pt>
    <dgm:pt modelId="{E26517BC-3999-46D6-BB8F-2CA486374CB0}" type="pres">
      <dgm:prSet presAssocID="{63067E87-FD27-435F-BC42-72CD6BCEDB0A}" presName="parTxOnlySpace" presStyleCnt="0"/>
      <dgm:spPr/>
    </dgm:pt>
    <dgm:pt modelId="{79CDF2F4-3CF8-4809-B7DC-2305571BF4A9}" type="pres">
      <dgm:prSet presAssocID="{0E03A24D-E8A7-4CA1-A60E-91D802D8640B}" presName="parTxOnly" presStyleLbl="node1" presStyleIdx="2" presStyleCnt="3">
        <dgm:presLayoutVars>
          <dgm:chMax val="0"/>
          <dgm:chPref val="0"/>
          <dgm:bulletEnabled val="1"/>
        </dgm:presLayoutVars>
      </dgm:prSet>
      <dgm:spPr>
        <a:prstGeom prst="chevron">
          <a:avLst/>
        </a:prstGeom>
      </dgm:spPr>
    </dgm:pt>
  </dgm:ptLst>
  <dgm:cxnLst>
    <dgm:cxn modelId="{EE469017-5651-4D52-ACB7-E404E7FF0CB2}" srcId="{B4321571-44FF-4769-A864-D941A1F8CCA7}" destId="{0E03A24D-E8A7-4CA1-A60E-91D802D8640B}" srcOrd="2" destOrd="0" parTransId="{3960B858-B4F8-40F7-8D6B-0A62ED460418}" sibTransId="{87BB84CD-045D-466D-B719-FE6B583F04AA}"/>
    <dgm:cxn modelId="{9A7ABB1E-BDAF-4B6B-A68D-ABDF9CE00792}" type="presOf" srcId="{B4321571-44FF-4769-A864-D941A1F8CCA7}" destId="{5222AAC5-793B-4D13-8691-61C5BEE4CCE8}" srcOrd="0" destOrd="0" presId="urn:microsoft.com/office/officeart/2005/8/layout/chevron1"/>
    <dgm:cxn modelId="{E3AD7526-988F-4CF0-BBD6-39394D07B5C1}" srcId="{B4321571-44FF-4769-A864-D941A1F8CCA7}" destId="{82985A61-9BBF-44E0-B2F7-1839F9F93FE8}" srcOrd="0" destOrd="0" parTransId="{49569400-240A-4F6B-88AF-509D89889212}" sibTransId="{C2A4EB11-1809-488E-91DF-8E3836F7E5BA}"/>
    <dgm:cxn modelId="{DA63B040-37EB-401A-B5FE-6D2CCD1B7D6E}" type="presOf" srcId="{82985A61-9BBF-44E0-B2F7-1839F9F93FE8}" destId="{9F3E9243-5897-41ED-AFA3-3E973EF050C7}" srcOrd="0" destOrd="0" presId="urn:microsoft.com/office/officeart/2005/8/layout/chevron1"/>
    <dgm:cxn modelId="{12712E43-27D1-4B5B-A187-545ADB8A9ED1}" type="presOf" srcId="{54BA475B-891A-4FB0-A935-90121704FD03}" destId="{316240E3-CFD2-4C97-979D-80E13CCF4C9F}" srcOrd="0" destOrd="0" presId="urn:microsoft.com/office/officeart/2005/8/layout/chevron1"/>
    <dgm:cxn modelId="{9384C258-CA06-4471-BE16-7A7598629BA5}" srcId="{B4321571-44FF-4769-A864-D941A1F8CCA7}" destId="{54BA475B-891A-4FB0-A935-90121704FD03}" srcOrd="1" destOrd="0" parTransId="{88246667-0668-4628-85D8-740EF245F34B}" sibTransId="{63067E87-FD27-435F-BC42-72CD6BCEDB0A}"/>
    <dgm:cxn modelId="{00B00C83-3997-4FE3-ABDE-9A36307DD43A}" type="presOf" srcId="{0E03A24D-E8A7-4CA1-A60E-91D802D8640B}" destId="{79CDF2F4-3CF8-4809-B7DC-2305571BF4A9}" srcOrd="0" destOrd="0" presId="urn:microsoft.com/office/officeart/2005/8/layout/chevron1"/>
    <dgm:cxn modelId="{4750817A-D637-41F6-834D-DFD0F140456E}" type="presParOf" srcId="{5222AAC5-793B-4D13-8691-61C5BEE4CCE8}" destId="{9F3E9243-5897-41ED-AFA3-3E973EF050C7}" srcOrd="0" destOrd="0" presId="urn:microsoft.com/office/officeart/2005/8/layout/chevron1"/>
    <dgm:cxn modelId="{17B3DF9D-34AF-4BBF-8A00-D7D569AD92E5}" type="presParOf" srcId="{5222AAC5-793B-4D13-8691-61C5BEE4CCE8}" destId="{980A42BC-C928-456D-BA5C-993E7DFFC844}" srcOrd="1" destOrd="0" presId="urn:microsoft.com/office/officeart/2005/8/layout/chevron1"/>
    <dgm:cxn modelId="{A4999D2A-B3F1-4B92-B2CA-972D92869138}" type="presParOf" srcId="{5222AAC5-793B-4D13-8691-61C5BEE4CCE8}" destId="{316240E3-CFD2-4C97-979D-80E13CCF4C9F}" srcOrd="2" destOrd="0" presId="urn:microsoft.com/office/officeart/2005/8/layout/chevron1"/>
    <dgm:cxn modelId="{3FB0B3CF-4B28-4013-AA23-C7A3E47C7585}" type="presParOf" srcId="{5222AAC5-793B-4D13-8691-61C5BEE4CCE8}" destId="{E26517BC-3999-46D6-BB8F-2CA486374CB0}" srcOrd="3" destOrd="0" presId="urn:microsoft.com/office/officeart/2005/8/layout/chevron1"/>
    <dgm:cxn modelId="{D66B953C-775D-4DD6-8C44-6DFC9FCE5A39}" type="presParOf" srcId="{5222AAC5-793B-4D13-8691-61C5BEE4CCE8}" destId="{79CDF2F4-3CF8-4809-B7DC-2305571BF4A9}" srcOrd="4" destOrd="0" presId="urn:microsoft.com/office/officeart/2005/8/layout/chevron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E3B36DE-27D4-456D-8504-AF89C0848466}" type="doc">
      <dgm:prSet loTypeId="urn:microsoft.com/office/officeart/2005/8/layout/vList5" loCatId="list" qsTypeId="urn:microsoft.com/office/officeart/2005/8/quickstyle/simple1" qsCatId="simple" csTypeId="urn:microsoft.com/office/officeart/2005/8/colors/colorful3" csCatId="colorful" phldr="1"/>
      <dgm:spPr/>
      <dgm:t>
        <a:bodyPr/>
        <a:lstStyle/>
        <a:p>
          <a:endParaRPr lang="es-CO"/>
        </a:p>
      </dgm:t>
    </dgm:pt>
    <dgm:pt modelId="{E05CE92A-CB82-4E8D-9B07-A07EB2EE3A38}">
      <dgm:prSet phldrT="[Texto]" custT="1"/>
      <dgm:spPr/>
      <dgm:t>
        <a:bodyPr/>
        <a:lstStyle/>
        <a:p>
          <a:pPr algn="ctr"/>
          <a:r>
            <a:rPr lang="es-CO" sz="1000" b="1" dirty="0">
              <a:latin typeface="+mn-lt"/>
              <a:cs typeface="Arial" panose="020B0604020202020204" pitchFamily="34" charset="0"/>
            </a:rPr>
            <a:t>Gestión de Cooperación</a:t>
          </a:r>
        </a:p>
      </dgm:t>
    </dgm:pt>
    <dgm:pt modelId="{701E1940-924F-44A2-A91A-816B49E64247}" type="parTrans" cxnId="{511DBC9C-479D-4DFA-943F-5EF646881B87}">
      <dgm:prSet/>
      <dgm:spPr/>
      <dgm:t>
        <a:bodyPr/>
        <a:lstStyle/>
        <a:p>
          <a:pPr algn="ctr"/>
          <a:endParaRPr lang="es-CO" sz="1000">
            <a:latin typeface="+mn-lt"/>
          </a:endParaRPr>
        </a:p>
      </dgm:t>
    </dgm:pt>
    <dgm:pt modelId="{ACED31CB-9BE9-4BCB-BA00-F8D8B304DA6A}" type="sibTrans" cxnId="{511DBC9C-479D-4DFA-943F-5EF646881B87}">
      <dgm:prSet/>
      <dgm:spPr/>
      <dgm:t>
        <a:bodyPr/>
        <a:lstStyle/>
        <a:p>
          <a:pPr algn="ctr"/>
          <a:endParaRPr lang="es-CO" sz="1000">
            <a:latin typeface="+mn-lt"/>
          </a:endParaRPr>
        </a:p>
      </dgm:t>
    </dgm:pt>
    <dgm:pt modelId="{FD7C5AE7-0FD2-4999-AAB1-E1A2CD6E4FE3}">
      <dgm:prSet custT="1"/>
      <dgm:spPr>
        <a:solidFill>
          <a:srgbClr val="F0F0F0"/>
        </a:solidFill>
        <a:ln>
          <a:noFill/>
        </a:ln>
      </dgm:spPr>
      <dgm:t>
        <a:bodyPr/>
        <a:lstStyle/>
        <a:p>
          <a:pPr algn="l"/>
          <a:r>
            <a:rPr lang="es-CO" sz="1000" dirty="0">
              <a:latin typeface="+mn-lt"/>
              <a:cs typeface="Arial" panose="020B0604020202020204" pitchFamily="34" charset="0"/>
            </a:rPr>
            <a:t> Gestiona la obtención de recursos de cooperación técnica y financiera.</a:t>
          </a:r>
        </a:p>
      </dgm:t>
    </dgm:pt>
    <dgm:pt modelId="{95BF4958-0FF1-476D-8BDF-3AEBE015E1DA}" type="parTrans" cxnId="{1C1966F5-7896-4D31-9625-3BFB9240E642}">
      <dgm:prSet/>
      <dgm:spPr/>
      <dgm:t>
        <a:bodyPr/>
        <a:lstStyle/>
        <a:p>
          <a:pPr algn="ctr"/>
          <a:endParaRPr lang="es-CO" sz="1000">
            <a:latin typeface="+mn-lt"/>
          </a:endParaRPr>
        </a:p>
      </dgm:t>
    </dgm:pt>
    <dgm:pt modelId="{EF835F63-9E9C-4E44-A705-1B9BC9A8E09E}" type="sibTrans" cxnId="{1C1966F5-7896-4D31-9625-3BFB9240E642}">
      <dgm:prSet/>
      <dgm:spPr/>
      <dgm:t>
        <a:bodyPr/>
        <a:lstStyle/>
        <a:p>
          <a:pPr algn="ctr"/>
          <a:endParaRPr lang="es-CO" sz="1000">
            <a:latin typeface="+mn-lt"/>
          </a:endParaRPr>
        </a:p>
      </dgm:t>
    </dgm:pt>
    <dgm:pt modelId="{8FE47FD5-0AA4-450D-A86F-58CF0DF1708C}">
      <dgm:prSet custT="1"/>
      <dgm:spPr/>
      <dgm:t>
        <a:bodyPr/>
        <a:lstStyle/>
        <a:p>
          <a:pPr algn="ctr"/>
          <a:r>
            <a:rPr lang="es-CO" sz="1000" b="1" dirty="0">
              <a:latin typeface="+mn-lt"/>
              <a:cs typeface="Arial" panose="020B0604020202020204" pitchFamily="34" charset="0"/>
            </a:rPr>
            <a:t>Cooperación Sur - Sur</a:t>
          </a:r>
        </a:p>
      </dgm:t>
    </dgm:pt>
    <dgm:pt modelId="{EEB07132-6D48-483E-A2EE-3E18858A3709}" type="parTrans" cxnId="{11C6822D-C6AF-4D9C-ABA1-2BB4135DC797}">
      <dgm:prSet/>
      <dgm:spPr/>
      <dgm:t>
        <a:bodyPr/>
        <a:lstStyle/>
        <a:p>
          <a:pPr algn="ctr"/>
          <a:endParaRPr lang="es-CO" sz="1000">
            <a:latin typeface="+mn-lt"/>
          </a:endParaRPr>
        </a:p>
      </dgm:t>
    </dgm:pt>
    <dgm:pt modelId="{CE860A53-AD66-4BFC-B6C3-3DEF74149087}" type="sibTrans" cxnId="{11C6822D-C6AF-4D9C-ABA1-2BB4135DC797}">
      <dgm:prSet/>
      <dgm:spPr/>
      <dgm:t>
        <a:bodyPr/>
        <a:lstStyle/>
        <a:p>
          <a:pPr algn="ctr"/>
          <a:endParaRPr lang="es-CO" sz="1000">
            <a:latin typeface="+mn-lt"/>
          </a:endParaRPr>
        </a:p>
      </dgm:t>
    </dgm:pt>
    <dgm:pt modelId="{8B953AD4-F6FC-4729-B2B1-CE35C2C38C07}">
      <dgm:prSet custT="1"/>
      <dgm:spPr>
        <a:solidFill>
          <a:srgbClr val="F0F0F0"/>
        </a:solidFill>
        <a:ln>
          <a:noFill/>
        </a:ln>
      </dgm:spPr>
      <dgm:t>
        <a:bodyPr/>
        <a:lstStyle/>
        <a:p>
          <a:pPr algn="l"/>
          <a:r>
            <a:rPr lang="es-CO" sz="1000" dirty="0">
              <a:latin typeface="+mn-lt"/>
              <a:cs typeface="Arial" panose="020B0604020202020204" pitchFamily="34" charset="0"/>
            </a:rPr>
            <a:t> Realiza nuevas alianzas para el apoyo a los proyectos institucionales.</a:t>
          </a:r>
        </a:p>
      </dgm:t>
    </dgm:pt>
    <dgm:pt modelId="{0C4C521C-7A15-4B93-A637-BF2948B8021C}" type="parTrans" cxnId="{2862F18A-20F7-41B3-8338-003D24450577}">
      <dgm:prSet/>
      <dgm:spPr/>
      <dgm:t>
        <a:bodyPr/>
        <a:lstStyle/>
        <a:p>
          <a:pPr algn="ctr"/>
          <a:endParaRPr lang="es-CO" sz="1000">
            <a:latin typeface="+mn-lt"/>
          </a:endParaRPr>
        </a:p>
      </dgm:t>
    </dgm:pt>
    <dgm:pt modelId="{00514122-DB30-4A92-AB74-4416471EFCAC}" type="sibTrans" cxnId="{2862F18A-20F7-41B3-8338-003D24450577}">
      <dgm:prSet/>
      <dgm:spPr/>
      <dgm:t>
        <a:bodyPr/>
        <a:lstStyle/>
        <a:p>
          <a:pPr algn="ctr"/>
          <a:endParaRPr lang="es-CO" sz="1000">
            <a:latin typeface="+mn-lt"/>
          </a:endParaRPr>
        </a:p>
      </dgm:t>
    </dgm:pt>
    <dgm:pt modelId="{8B15CB4B-5F0E-4FBE-AD7D-9C199CAA17A2}">
      <dgm:prSet custT="1"/>
      <dgm:spPr/>
      <dgm:t>
        <a:bodyPr/>
        <a:lstStyle/>
        <a:p>
          <a:pPr algn="ctr"/>
          <a:r>
            <a:rPr lang="es-CO" sz="1000" b="1" dirty="0">
              <a:latin typeface="+mn-lt"/>
              <a:cs typeface="Arial" panose="020B0604020202020204" pitchFamily="34" charset="0"/>
            </a:rPr>
            <a:t>Gestión de Alianzas </a:t>
          </a:r>
        </a:p>
      </dgm:t>
    </dgm:pt>
    <dgm:pt modelId="{714889C4-271A-45F3-A520-6923213BF293}" type="parTrans" cxnId="{B6FCD7ED-91E8-4F47-8ED0-0F0583AC8CB2}">
      <dgm:prSet/>
      <dgm:spPr/>
      <dgm:t>
        <a:bodyPr/>
        <a:lstStyle/>
        <a:p>
          <a:pPr algn="ctr"/>
          <a:endParaRPr lang="es-CO" sz="1000">
            <a:latin typeface="+mn-lt"/>
          </a:endParaRPr>
        </a:p>
      </dgm:t>
    </dgm:pt>
    <dgm:pt modelId="{28C4AA09-BDA1-4316-82A3-890335851796}" type="sibTrans" cxnId="{B6FCD7ED-91E8-4F47-8ED0-0F0583AC8CB2}">
      <dgm:prSet/>
      <dgm:spPr/>
      <dgm:t>
        <a:bodyPr/>
        <a:lstStyle/>
        <a:p>
          <a:pPr algn="ctr"/>
          <a:endParaRPr lang="es-CO" sz="1000">
            <a:latin typeface="+mn-lt"/>
          </a:endParaRPr>
        </a:p>
      </dgm:t>
    </dgm:pt>
    <dgm:pt modelId="{27160540-3E20-4153-8649-19B400A693AB}">
      <dgm:prSet custT="1"/>
      <dgm:spPr>
        <a:solidFill>
          <a:srgbClr val="F0F0F0"/>
        </a:solidFill>
        <a:ln>
          <a:noFill/>
        </a:ln>
      </dgm:spPr>
      <dgm:t>
        <a:bodyPr/>
        <a:lstStyle/>
        <a:p>
          <a:pPr algn="l"/>
          <a:r>
            <a:rPr lang="es-CO" sz="1000" dirty="0">
              <a:latin typeface="+mn-lt"/>
              <a:cs typeface="Arial" panose="020B0604020202020204" pitchFamily="34" charset="0"/>
            </a:rPr>
            <a:t> Realiza intercambios de experiencias.</a:t>
          </a:r>
        </a:p>
      </dgm:t>
    </dgm:pt>
    <dgm:pt modelId="{F84B1037-1476-4657-B933-F0B54366C866}" type="parTrans" cxnId="{8464C11C-09C5-490F-AC0D-C6561AF2ABB4}">
      <dgm:prSet/>
      <dgm:spPr/>
      <dgm:t>
        <a:bodyPr/>
        <a:lstStyle/>
        <a:p>
          <a:pPr algn="ctr"/>
          <a:endParaRPr lang="es-CO" sz="1000">
            <a:latin typeface="+mn-lt"/>
          </a:endParaRPr>
        </a:p>
      </dgm:t>
    </dgm:pt>
    <dgm:pt modelId="{E9F9D4ED-8867-4FB9-A10C-61E573BF1AAC}" type="sibTrans" cxnId="{8464C11C-09C5-490F-AC0D-C6561AF2ABB4}">
      <dgm:prSet/>
      <dgm:spPr/>
      <dgm:t>
        <a:bodyPr/>
        <a:lstStyle/>
        <a:p>
          <a:pPr algn="ctr"/>
          <a:endParaRPr lang="es-CO" sz="1000">
            <a:latin typeface="+mn-lt"/>
          </a:endParaRPr>
        </a:p>
      </dgm:t>
    </dgm:pt>
    <dgm:pt modelId="{3455A16B-DA4C-44C6-AEEC-A9EE8E8A2F07}">
      <dgm:prSet custT="1"/>
      <dgm:spPr>
        <a:solidFill>
          <a:srgbClr val="F0F0F0"/>
        </a:solidFill>
        <a:ln>
          <a:noFill/>
        </a:ln>
      </dgm:spPr>
      <dgm:t>
        <a:bodyPr/>
        <a:lstStyle/>
        <a:p>
          <a:pPr algn="l"/>
          <a:r>
            <a:rPr lang="es-CO" sz="1000" dirty="0">
              <a:latin typeface="+mn-lt"/>
              <a:cs typeface="Arial" panose="020B0604020202020204" pitchFamily="34" charset="0"/>
            </a:rPr>
            <a:t> Apoya proyectos de Cooperación Sur-Sur (Misiones Técnicas al exterior y en Colombia).</a:t>
          </a:r>
        </a:p>
      </dgm:t>
    </dgm:pt>
    <dgm:pt modelId="{895AA98E-56FA-4109-85D8-EE763C4C2CBA}" type="parTrans" cxnId="{09E50266-9BF7-4DCD-B8D1-6C379B871EDD}">
      <dgm:prSet/>
      <dgm:spPr/>
      <dgm:t>
        <a:bodyPr/>
        <a:lstStyle/>
        <a:p>
          <a:pPr algn="ctr"/>
          <a:endParaRPr lang="es-CO" sz="1000">
            <a:latin typeface="+mn-lt"/>
          </a:endParaRPr>
        </a:p>
      </dgm:t>
    </dgm:pt>
    <dgm:pt modelId="{FB5B6E98-FFC7-478F-B18B-3F2A5C6C6480}" type="sibTrans" cxnId="{09E50266-9BF7-4DCD-B8D1-6C379B871EDD}">
      <dgm:prSet/>
      <dgm:spPr/>
      <dgm:t>
        <a:bodyPr/>
        <a:lstStyle/>
        <a:p>
          <a:pPr algn="ctr"/>
          <a:endParaRPr lang="es-CO" sz="1000">
            <a:latin typeface="+mn-lt"/>
          </a:endParaRPr>
        </a:p>
      </dgm:t>
    </dgm:pt>
    <dgm:pt modelId="{B88C8972-B3B8-4558-8C1D-648B2564D95F}">
      <dgm:prSet custT="1"/>
      <dgm:spPr/>
      <dgm:t>
        <a:bodyPr/>
        <a:lstStyle/>
        <a:p>
          <a:pPr algn="ctr"/>
          <a:r>
            <a:rPr lang="es-CO" sz="1000" b="1" dirty="0">
              <a:latin typeface="+mn-lt"/>
              <a:cs typeface="Arial" panose="020B0604020202020204" pitchFamily="34" charset="0"/>
            </a:rPr>
            <a:t>Proyectos Estratégicos </a:t>
          </a:r>
        </a:p>
      </dgm:t>
    </dgm:pt>
    <dgm:pt modelId="{179509D6-5EDA-4930-A63A-D2B99E9DE19F}" type="parTrans" cxnId="{BEC75757-6CE7-4EA5-AAD2-BF7839D28CCC}">
      <dgm:prSet/>
      <dgm:spPr/>
      <dgm:t>
        <a:bodyPr/>
        <a:lstStyle/>
        <a:p>
          <a:pPr algn="ctr"/>
          <a:endParaRPr lang="es-CO" sz="1000">
            <a:latin typeface="+mn-lt"/>
          </a:endParaRPr>
        </a:p>
      </dgm:t>
    </dgm:pt>
    <dgm:pt modelId="{2028DDED-E9DE-4AE3-B737-2ABF1E1071BE}" type="sibTrans" cxnId="{BEC75757-6CE7-4EA5-AAD2-BF7839D28CCC}">
      <dgm:prSet/>
      <dgm:spPr/>
      <dgm:t>
        <a:bodyPr/>
        <a:lstStyle/>
        <a:p>
          <a:pPr algn="ctr"/>
          <a:endParaRPr lang="es-CO" sz="1000">
            <a:latin typeface="+mn-lt"/>
          </a:endParaRPr>
        </a:p>
      </dgm:t>
    </dgm:pt>
    <dgm:pt modelId="{F6DF4B85-AFBC-4646-9822-4C946DD0442C}">
      <dgm:prSet custT="1"/>
      <dgm:spPr>
        <a:solidFill>
          <a:srgbClr val="F0F0F0"/>
        </a:solidFill>
        <a:ln>
          <a:noFill/>
        </a:ln>
      </dgm:spPr>
      <dgm:t>
        <a:bodyPr/>
        <a:lstStyle/>
        <a:p>
          <a:pPr algn="l"/>
          <a:r>
            <a:rPr lang="es-CO" sz="1000" dirty="0">
              <a:latin typeface="+mn-lt"/>
              <a:cs typeface="Arial" panose="020B0604020202020204" pitchFamily="34" charset="0"/>
            </a:rPr>
            <a:t> Apoya la formulación de proyectos.</a:t>
          </a:r>
        </a:p>
      </dgm:t>
    </dgm:pt>
    <dgm:pt modelId="{80FDD784-AA08-4160-B89B-77FEE132C42C}" type="parTrans" cxnId="{240F181F-D46A-4C19-8EF2-545615E8D1E9}">
      <dgm:prSet/>
      <dgm:spPr/>
      <dgm:t>
        <a:bodyPr/>
        <a:lstStyle/>
        <a:p>
          <a:pPr algn="ctr"/>
          <a:endParaRPr lang="es-CO" sz="1000">
            <a:latin typeface="+mn-lt"/>
          </a:endParaRPr>
        </a:p>
      </dgm:t>
    </dgm:pt>
    <dgm:pt modelId="{5B8D2C5A-A40B-43C4-99E8-A897C38582E8}" type="sibTrans" cxnId="{240F181F-D46A-4C19-8EF2-545615E8D1E9}">
      <dgm:prSet/>
      <dgm:spPr/>
      <dgm:t>
        <a:bodyPr/>
        <a:lstStyle/>
        <a:p>
          <a:pPr algn="ctr"/>
          <a:endParaRPr lang="es-CO" sz="1000">
            <a:latin typeface="+mn-lt"/>
          </a:endParaRPr>
        </a:p>
      </dgm:t>
    </dgm:pt>
    <dgm:pt modelId="{AE8A7852-ACE0-4743-A6ED-AC9B22BC5FA4}">
      <dgm:prSet custT="1"/>
      <dgm:spPr/>
      <dgm:t>
        <a:bodyPr/>
        <a:lstStyle/>
        <a:p>
          <a:pPr algn="ctr"/>
          <a:r>
            <a:rPr lang="es-CO" sz="1000" b="1" dirty="0">
              <a:latin typeface="+mn-lt"/>
              <a:cs typeface="Arial" panose="020B0604020202020204" pitchFamily="34" charset="0"/>
            </a:rPr>
            <a:t>Participación en espacios de coordinación de la cooperación</a:t>
          </a:r>
        </a:p>
      </dgm:t>
    </dgm:pt>
    <dgm:pt modelId="{E4D8BC28-8541-4E56-8380-38E37A0F4C0C}" type="parTrans" cxnId="{45D3B89D-8C56-4099-86CE-46F442C06D1E}">
      <dgm:prSet/>
      <dgm:spPr/>
      <dgm:t>
        <a:bodyPr/>
        <a:lstStyle/>
        <a:p>
          <a:pPr algn="ctr"/>
          <a:endParaRPr lang="es-CO" sz="1000">
            <a:latin typeface="+mn-lt"/>
          </a:endParaRPr>
        </a:p>
      </dgm:t>
    </dgm:pt>
    <dgm:pt modelId="{6079152B-BA89-4723-9D9F-3998A1A3FB3D}" type="sibTrans" cxnId="{45D3B89D-8C56-4099-86CE-46F442C06D1E}">
      <dgm:prSet/>
      <dgm:spPr/>
      <dgm:t>
        <a:bodyPr/>
        <a:lstStyle/>
        <a:p>
          <a:pPr algn="ctr"/>
          <a:endParaRPr lang="es-CO" sz="1000">
            <a:latin typeface="+mn-lt"/>
          </a:endParaRPr>
        </a:p>
      </dgm:t>
    </dgm:pt>
    <dgm:pt modelId="{C12EC7DA-1D2D-469A-B722-59E8E8FF594D}">
      <dgm:prSet custT="1"/>
      <dgm:spPr>
        <a:solidFill>
          <a:srgbClr val="F0F0F0"/>
        </a:solidFill>
        <a:ln>
          <a:noFill/>
        </a:ln>
      </dgm:spPr>
      <dgm:t>
        <a:bodyPr/>
        <a:lstStyle/>
        <a:p>
          <a:pPr algn="l"/>
          <a:r>
            <a:rPr lang="es-CO" sz="1000" dirty="0">
              <a:latin typeface="+mn-lt"/>
              <a:cs typeface="Arial" panose="020B0604020202020204" pitchFamily="34" charset="0"/>
            </a:rPr>
            <a:t> Implementa la Estrategia de Articulación con la cooperación en territorio.  </a:t>
          </a:r>
        </a:p>
      </dgm:t>
    </dgm:pt>
    <dgm:pt modelId="{DBCA4290-44E5-483A-85B0-E7CFB1BD21B7}" type="parTrans" cxnId="{D2253070-22B7-4909-A7F3-A66A1B442DD6}">
      <dgm:prSet/>
      <dgm:spPr/>
      <dgm:t>
        <a:bodyPr/>
        <a:lstStyle/>
        <a:p>
          <a:pPr algn="ctr"/>
          <a:endParaRPr lang="es-CO" sz="1000">
            <a:latin typeface="+mn-lt"/>
          </a:endParaRPr>
        </a:p>
      </dgm:t>
    </dgm:pt>
    <dgm:pt modelId="{19ED97AB-082B-4C43-BDF2-031E4A061C07}" type="sibTrans" cxnId="{D2253070-22B7-4909-A7F3-A66A1B442DD6}">
      <dgm:prSet/>
      <dgm:spPr/>
      <dgm:t>
        <a:bodyPr/>
        <a:lstStyle/>
        <a:p>
          <a:pPr algn="ctr"/>
          <a:endParaRPr lang="es-CO" sz="1000">
            <a:latin typeface="+mn-lt"/>
          </a:endParaRPr>
        </a:p>
      </dgm:t>
    </dgm:pt>
    <dgm:pt modelId="{7C9AC851-5FE0-40F6-A8A7-61E432A65C30}">
      <dgm:prSet custT="1"/>
      <dgm:spPr>
        <a:solidFill>
          <a:srgbClr val="F0F0F0"/>
        </a:solidFill>
        <a:ln>
          <a:noFill/>
        </a:ln>
      </dgm:spPr>
      <dgm:t>
        <a:bodyPr/>
        <a:lstStyle/>
        <a:p>
          <a:pPr algn="l"/>
          <a:r>
            <a:rPr lang="es-CO" sz="1000" dirty="0">
              <a:latin typeface="+mn-lt"/>
              <a:cs typeface="Arial" panose="020B0604020202020204" pitchFamily="34" charset="0"/>
            </a:rPr>
            <a:t> Realiza ejercicios de alineación con organismos internacionales.  </a:t>
          </a:r>
        </a:p>
      </dgm:t>
    </dgm:pt>
    <dgm:pt modelId="{61852E06-3649-4DE5-830B-1A35546188B4}" type="parTrans" cxnId="{D9BE5ED7-2D41-4249-8F33-ECA14F83514F}">
      <dgm:prSet/>
      <dgm:spPr/>
      <dgm:t>
        <a:bodyPr/>
        <a:lstStyle/>
        <a:p>
          <a:pPr algn="ctr"/>
          <a:endParaRPr lang="es-CO" sz="1000">
            <a:latin typeface="+mn-lt"/>
          </a:endParaRPr>
        </a:p>
      </dgm:t>
    </dgm:pt>
    <dgm:pt modelId="{FCFDC131-7425-4BC6-8AD2-95076CC42804}" type="sibTrans" cxnId="{D9BE5ED7-2D41-4249-8F33-ECA14F83514F}">
      <dgm:prSet/>
      <dgm:spPr/>
      <dgm:t>
        <a:bodyPr/>
        <a:lstStyle/>
        <a:p>
          <a:pPr algn="ctr"/>
          <a:endParaRPr lang="es-CO" sz="1000">
            <a:latin typeface="+mn-lt"/>
          </a:endParaRPr>
        </a:p>
      </dgm:t>
    </dgm:pt>
    <dgm:pt modelId="{D80ADE62-8567-4A85-9C0B-443C6F4C2D98}">
      <dgm:prSet custT="1"/>
      <dgm:spPr/>
      <dgm:t>
        <a:bodyPr/>
        <a:lstStyle/>
        <a:p>
          <a:pPr algn="ctr"/>
          <a:r>
            <a:rPr lang="es-CO" sz="1000" b="1" dirty="0">
              <a:latin typeface="+mn-lt"/>
              <a:cs typeface="Arial" panose="020B0604020202020204" pitchFamily="34" charset="0"/>
            </a:rPr>
            <a:t>Seguimiento a las Recomendaciones del Comité de los Derechos del Niño</a:t>
          </a:r>
        </a:p>
      </dgm:t>
    </dgm:pt>
    <dgm:pt modelId="{ECFC2A8D-4F3A-4CE0-9431-77C1267D46FD}" type="parTrans" cxnId="{82BAA8F1-D492-4A41-A4C4-4ACA3464CBDD}">
      <dgm:prSet/>
      <dgm:spPr/>
      <dgm:t>
        <a:bodyPr/>
        <a:lstStyle/>
        <a:p>
          <a:pPr algn="ctr"/>
          <a:endParaRPr lang="es-ES" sz="1000">
            <a:latin typeface="+mn-lt"/>
          </a:endParaRPr>
        </a:p>
      </dgm:t>
    </dgm:pt>
    <dgm:pt modelId="{80C52CED-3111-4549-948F-DCB37C87C5C9}" type="sibTrans" cxnId="{82BAA8F1-D492-4A41-A4C4-4ACA3464CBDD}">
      <dgm:prSet/>
      <dgm:spPr/>
      <dgm:t>
        <a:bodyPr/>
        <a:lstStyle/>
        <a:p>
          <a:pPr algn="ctr"/>
          <a:endParaRPr lang="es-ES" sz="1000">
            <a:latin typeface="+mn-lt"/>
          </a:endParaRPr>
        </a:p>
      </dgm:t>
    </dgm:pt>
    <dgm:pt modelId="{803078C0-3B04-44B6-8CA6-57FDB4D10999}">
      <dgm:prSet custT="1"/>
      <dgm:spPr>
        <a:solidFill>
          <a:srgbClr val="F0F0F0"/>
        </a:solidFill>
        <a:ln>
          <a:noFill/>
        </a:ln>
      </dgm:spPr>
      <dgm:t>
        <a:bodyPr/>
        <a:lstStyle/>
        <a:p>
          <a:pPr algn="l"/>
          <a:r>
            <a:rPr lang="es-CO" sz="1000" dirty="0">
              <a:latin typeface="+mn-lt"/>
              <a:cs typeface="Arial" panose="020B0604020202020204" pitchFamily="34" charset="0"/>
            </a:rPr>
            <a:t>Hace seguimiento a las recomendaciones con las acciones 2017 y el resultado/efecto alcanzado.</a:t>
          </a:r>
        </a:p>
      </dgm:t>
    </dgm:pt>
    <dgm:pt modelId="{A9AF53A2-7396-46ED-BCAC-80590B8ADA0A}" type="parTrans" cxnId="{34289730-2324-432D-882B-E74F260D3FB1}">
      <dgm:prSet/>
      <dgm:spPr/>
      <dgm:t>
        <a:bodyPr/>
        <a:lstStyle/>
        <a:p>
          <a:pPr algn="ctr"/>
          <a:endParaRPr lang="es-ES" sz="1000">
            <a:latin typeface="+mn-lt"/>
          </a:endParaRPr>
        </a:p>
      </dgm:t>
    </dgm:pt>
    <dgm:pt modelId="{F3D3FFCA-8EC3-485E-96B7-B569AE48E5C9}" type="sibTrans" cxnId="{34289730-2324-432D-882B-E74F260D3FB1}">
      <dgm:prSet/>
      <dgm:spPr/>
      <dgm:t>
        <a:bodyPr/>
        <a:lstStyle/>
        <a:p>
          <a:pPr algn="ctr"/>
          <a:endParaRPr lang="es-ES" sz="1000">
            <a:latin typeface="+mn-lt"/>
          </a:endParaRPr>
        </a:p>
      </dgm:t>
    </dgm:pt>
    <dgm:pt modelId="{A9D17FA3-DEC7-420C-A9DD-256BAC8CE292}">
      <dgm:prSet custT="1"/>
      <dgm:spPr/>
      <dgm:t>
        <a:bodyPr/>
        <a:lstStyle/>
        <a:p>
          <a:pPr algn="ctr"/>
          <a:r>
            <a:rPr lang="es-CO" sz="1000" b="1" dirty="0">
              <a:latin typeface="+mn-lt"/>
              <a:cs typeface="Arial" panose="020B0604020202020204" pitchFamily="34" charset="0"/>
            </a:rPr>
            <a:t>Cumplimiento a los compromisos internacionales</a:t>
          </a:r>
        </a:p>
      </dgm:t>
    </dgm:pt>
    <dgm:pt modelId="{15037D3A-80D9-4E78-ACE2-84F9BC6EEE20}" type="parTrans" cxnId="{5B88A3F0-D841-45FF-A647-18A2CA548F53}">
      <dgm:prSet/>
      <dgm:spPr/>
      <dgm:t>
        <a:bodyPr/>
        <a:lstStyle/>
        <a:p>
          <a:pPr algn="ctr"/>
          <a:endParaRPr lang="es-ES" sz="1000">
            <a:latin typeface="+mn-lt"/>
          </a:endParaRPr>
        </a:p>
      </dgm:t>
    </dgm:pt>
    <dgm:pt modelId="{0CE9101F-5248-4CD7-A62B-860D47A9A738}" type="sibTrans" cxnId="{5B88A3F0-D841-45FF-A647-18A2CA548F53}">
      <dgm:prSet/>
      <dgm:spPr/>
      <dgm:t>
        <a:bodyPr/>
        <a:lstStyle/>
        <a:p>
          <a:pPr algn="ctr"/>
          <a:endParaRPr lang="es-ES" sz="1000">
            <a:latin typeface="+mn-lt"/>
          </a:endParaRPr>
        </a:p>
      </dgm:t>
    </dgm:pt>
    <dgm:pt modelId="{9E188FEF-D532-4AFC-8A3A-21173C95CE63}">
      <dgm:prSet custT="1"/>
      <dgm:spPr>
        <a:solidFill>
          <a:srgbClr val="F0F0F0"/>
        </a:solidFill>
        <a:ln>
          <a:noFill/>
        </a:ln>
      </dgm:spPr>
      <dgm:t>
        <a:bodyPr/>
        <a:lstStyle/>
        <a:p>
          <a:pPr algn="l"/>
          <a:r>
            <a:rPr lang="es-CO" sz="1000" dirty="0">
              <a:latin typeface="+mn-lt"/>
              <a:cs typeface="Arial" panose="020B0604020202020204" pitchFamily="34" charset="0"/>
            </a:rPr>
            <a:t>Emite respuesta a los informes internacionales y requerimientos de información (comentarios, informes obervaciones y reportes).</a:t>
          </a:r>
        </a:p>
      </dgm:t>
    </dgm:pt>
    <dgm:pt modelId="{743BCD91-79FA-4287-90DD-B181AC3E599C}" type="parTrans" cxnId="{B59B403C-F00A-4282-B19E-FBADB7214365}">
      <dgm:prSet/>
      <dgm:spPr/>
      <dgm:t>
        <a:bodyPr/>
        <a:lstStyle/>
        <a:p>
          <a:pPr algn="ctr"/>
          <a:endParaRPr lang="es-ES" sz="1000">
            <a:latin typeface="+mn-lt"/>
          </a:endParaRPr>
        </a:p>
      </dgm:t>
    </dgm:pt>
    <dgm:pt modelId="{4DA96BA7-918B-4AB4-8B89-135575E36C9B}" type="sibTrans" cxnId="{B59B403C-F00A-4282-B19E-FBADB7214365}">
      <dgm:prSet/>
      <dgm:spPr/>
      <dgm:t>
        <a:bodyPr/>
        <a:lstStyle/>
        <a:p>
          <a:pPr algn="ctr"/>
          <a:endParaRPr lang="es-ES" sz="1000">
            <a:latin typeface="+mn-lt"/>
          </a:endParaRPr>
        </a:p>
      </dgm:t>
    </dgm:pt>
    <dgm:pt modelId="{82619D65-2468-47EA-BFE1-A7EDDFDB6EB2}" type="pres">
      <dgm:prSet presAssocID="{4E3B36DE-27D4-456D-8504-AF89C0848466}" presName="Name0" presStyleCnt="0">
        <dgm:presLayoutVars>
          <dgm:dir/>
          <dgm:animLvl val="lvl"/>
          <dgm:resizeHandles val="exact"/>
        </dgm:presLayoutVars>
      </dgm:prSet>
      <dgm:spPr/>
    </dgm:pt>
    <dgm:pt modelId="{49986262-F80B-405A-9C78-1C9CAE909525}" type="pres">
      <dgm:prSet presAssocID="{E05CE92A-CB82-4E8D-9B07-A07EB2EE3A38}" presName="linNode" presStyleCnt="0"/>
      <dgm:spPr/>
    </dgm:pt>
    <dgm:pt modelId="{D6EA1911-8589-4B25-9DD2-0FB724A61462}" type="pres">
      <dgm:prSet presAssocID="{E05CE92A-CB82-4E8D-9B07-A07EB2EE3A38}" presName="parentText" presStyleLbl="node1" presStyleIdx="0" presStyleCnt="7">
        <dgm:presLayoutVars>
          <dgm:chMax val="1"/>
          <dgm:bulletEnabled val="1"/>
        </dgm:presLayoutVars>
      </dgm:prSet>
      <dgm:spPr/>
    </dgm:pt>
    <dgm:pt modelId="{87945191-9196-4D87-A05E-01E2508BC597}" type="pres">
      <dgm:prSet presAssocID="{E05CE92A-CB82-4E8D-9B07-A07EB2EE3A38}" presName="descendantText" presStyleLbl="alignAccFollowNode1" presStyleIdx="0" presStyleCnt="7">
        <dgm:presLayoutVars>
          <dgm:bulletEnabled val="1"/>
        </dgm:presLayoutVars>
      </dgm:prSet>
      <dgm:spPr/>
    </dgm:pt>
    <dgm:pt modelId="{B39D52E1-5C4C-49C7-8055-A260E86D8ED4}" type="pres">
      <dgm:prSet presAssocID="{ACED31CB-9BE9-4BCB-BA00-F8D8B304DA6A}" presName="sp" presStyleCnt="0"/>
      <dgm:spPr/>
    </dgm:pt>
    <dgm:pt modelId="{A2758E03-6030-439D-8EB5-D2E73AA92D6F}" type="pres">
      <dgm:prSet presAssocID="{B88C8972-B3B8-4558-8C1D-648B2564D95F}" presName="linNode" presStyleCnt="0"/>
      <dgm:spPr/>
    </dgm:pt>
    <dgm:pt modelId="{4FB9FB5C-8E55-4E39-A549-8DFB2BB506DE}" type="pres">
      <dgm:prSet presAssocID="{B88C8972-B3B8-4558-8C1D-648B2564D95F}" presName="parentText" presStyleLbl="node1" presStyleIdx="1" presStyleCnt="7">
        <dgm:presLayoutVars>
          <dgm:chMax val="1"/>
          <dgm:bulletEnabled val="1"/>
        </dgm:presLayoutVars>
      </dgm:prSet>
      <dgm:spPr/>
    </dgm:pt>
    <dgm:pt modelId="{EAE53105-C687-416B-ADC7-8990840128A3}" type="pres">
      <dgm:prSet presAssocID="{B88C8972-B3B8-4558-8C1D-648B2564D95F}" presName="descendantText" presStyleLbl="alignAccFollowNode1" presStyleIdx="1" presStyleCnt="7">
        <dgm:presLayoutVars>
          <dgm:bulletEnabled val="1"/>
        </dgm:presLayoutVars>
      </dgm:prSet>
      <dgm:spPr/>
    </dgm:pt>
    <dgm:pt modelId="{7BD81D3F-8566-4E6A-8203-19578D8A0F93}" type="pres">
      <dgm:prSet presAssocID="{2028DDED-E9DE-4AE3-B737-2ABF1E1071BE}" presName="sp" presStyleCnt="0"/>
      <dgm:spPr/>
    </dgm:pt>
    <dgm:pt modelId="{91C1BE5F-B3E1-4376-8F2B-4ECA388E39DE}" type="pres">
      <dgm:prSet presAssocID="{8B15CB4B-5F0E-4FBE-AD7D-9C199CAA17A2}" presName="linNode" presStyleCnt="0"/>
      <dgm:spPr/>
    </dgm:pt>
    <dgm:pt modelId="{10F4CE13-5410-42F0-88FE-039B3725159C}" type="pres">
      <dgm:prSet presAssocID="{8B15CB4B-5F0E-4FBE-AD7D-9C199CAA17A2}" presName="parentText" presStyleLbl="node1" presStyleIdx="2" presStyleCnt="7">
        <dgm:presLayoutVars>
          <dgm:chMax val="1"/>
          <dgm:bulletEnabled val="1"/>
        </dgm:presLayoutVars>
      </dgm:prSet>
      <dgm:spPr/>
    </dgm:pt>
    <dgm:pt modelId="{74FCE7F0-DD2E-413F-BC9E-D7AB0C17A48F}" type="pres">
      <dgm:prSet presAssocID="{8B15CB4B-5F0E-4FBE-AD7D-9C199CAA17A2}" presName="descendantText" presStyleLbl="alignAccFollowNode1" presStyleIdx="2" presStyleCnt="7">
        <dgm:presLayoutVars>
          <dgm:bulletEnabled val="1"/>
        </dgm:presLayoutVars>
      </dgm:prSet>
      <dgm:spPr/>
    </dgm:pt>
    <dgm:pt modelId="{2C2F3305-A25B-4685-A512-548F8CFDA73F}" type="pres">
      <dgm:prSet presAssocID="{28C4AA09-BDA1-4316-82A3-890335851796}" presName="sp" presStyleCnt="0"/>
      <dgm:spPr/>
    </dgm:pt>
    <dgm:pt modelId="{5C4E4618-D555-4626-AAC7-F7DBE1BA4927}" type="pres">
      <dgm:prSet presAssocID="{AE8A7852-ACE0-4743-A6ED-AC9B22BC5FA4}" presName="linNode" presStyleCnt="0"/>
      <dgm:spPr/>
    </dgm:pt>
    <dgm:pt modelId="{4C77A5B4-F0DD-4590-8214-67CA9673F311}" type="pres">
      <dgm:prSet presAssocID="{AE8A7852-ACE0-4743-A6ED-AC9B22BC5FA4}" presName="parentText" presStyleLbl="node1" presStyleIdx="3" presStyleCnt="7" custScaleY="137024">
        <dgm:presLayoutVars>
          <dgm:chMax val="1"/>
          <dgm:bulletEnabled val="1"/>
        </dgm:presLayoutVars>
      </dgm:prSet>
      <dgm:spPr/>
    </dgm:pt>
    <dgm:pt modelId="{14BECF38-A039-4B0F-BE39-89DCC7EAABB0}" type="pres">
      <dgm:prSet presAssocID="{AE8A7852-ACE0-4743-A6ED-AC9B22BC5FA4}" presName="descendantText" presStyleLbl="alignAccFollowNode1" presStyleIdx="3" presStyleCnt="7" custScaleY="170240">
        <dgm:presLayoutVars>
          <dgm:bulletEnabled val="1"/>
        </dgm:presLayoutVars>
      </dgm:prSet>
      <dgm:spPr/>
    </dgm:pt>
    <dgm:pt modelId="{63CB31E1-63AD-4975-8E31-5E35100DBB03}" type="pres">
      <dgm:prSet presAssocID="{6079152B-BA89-4723-9D9F-3998A1A3FB3D}" presName="sp" presStyleCnt="0"/>
      <dgm:spPr/>
    </dgm:pt>
    <dgm:pt modelId="{3FA5B549-2368-4DFB-B127-E8C9FAE7FA5A}" type="pres">
      <dgm:prSet presAssocID="{8FE47FD5-0AA4-450D-A86F-58CF0DF1708C}" presName="linNode" presStyleCnt="0"/>
      <dgm:spPr/>
    </dgm:pt>
    <dgm:pt modelId="{58F8FDC4-DD7D-47C3-91B6-630AA741CDE2}" type="pres">
      <dgm:prSet presAssocID="{8FE47FD5-0AA4-450D-A86F-58CF0DF1708C}" presName="parentText" presStyleLbl="node1" presStyleIdx="4" presStyleCnt="7">
        <dgm:presLayoutVars>
          <dgm:chMax val="1"/>
          <dgm:bulletEnabled val="1"/>
        </dgm:presLayoutVars>
      </dgm:prSet>
      <dgm:spPr/>
    </dgm:pt>
    <dgm:pt modelId="{2AFD99A1-0775-4A1F-AD4E-082C1C35FF17}" type="pres">
      <dgm:prSet presAssocID="{8FE47FD5-0AA4-450D-A86F-58CF0DF1708C}" presName="descendantText" presStyleLbl="alignAccFollowNode1" presStyleIdx="4" presStyleCnt="7">
        <dgm:presLayoutVars>
          <dgm:bulletEnabled val="1"/>
        </dgm:presLayoutVars>
      </dgm:prSet>
      <dgm:spPr/>
    </dgm:pt>
    <dgm:pt modelId="{FC5B85FB-E2DB-4B6F-87F2-A0BE5812C512}" type="pres">
      <dgm:prSet presAssocID="{CE860A53-AD66-4BFC-B6C3-3DEF74149087}" presName="sp" presStyleCnt="0"/>
      <dgm:spPr/>
    </dgm:pt>
    <dgm:pt modelId="{12A7F80D-77B6-42CF-B991-1C5E1DAD22B1}" type="pres">
      <dgm:prSet presAssocID="{D80ADE62-8567-4A85-9C0B-443C6F4C2D98}" presName="linNode" presStyleCnt="0"/>
      <dgm:spPr/>
    </dgm:pt>
    <dgm:pt modelId="{B2FD2C8C-2833-41F8-9D90-20360CDC5041}" type="pres">
      <dgm:prSet presAssocID="{D80ADE62-8567-4A85-9C0B-443C6F4C2D98}" presName="parentText" presStyleLbl="node1" presStyleIdx="5" presStyleCnt="7">
        <dgm:presLayoutVars>
          <dgm:chMax val="1"/>
          <dgm:bulletEnabled val="1"/>
        </dgm:presLayoutVars>
      </dgm:prSet>
      <dgm:spPr/>
    </dgm:pt>
    <dgm:pt modelId="{38EF2B59-BC43-4C9B-90FA-168E7D2024A1}" type="pres">
      <dgm:prSet presAssocID="{D80ADE62-8567-4A85-9C0B-443C6F4C2D98}" presName="descendantText" presStyleLbl="alignAccFollowNode1" presStyleIdx="5" presStyleCnt="7">
        <dgm:presLayoutVars>
          <dgm:bulletEnabled val="1"/>
        </dgm:presLayoutVars>
      </dgm:prSet>
      <dgm:spPr/>
    </dgm:pt>
    <dgm:pt modelId="{CB362413-9DC5-4711-8FB7-0D9F7E7699C4}" type="pres">
      <dgm:prSet presAssocID="{80C52CED-3111-4549-948F-DCB37C87C5C9}" presName="sp" presStyleCnt="0"/>
      <dgm:spPr/>
    </dgm:pt>
    <dgm:pt modelId="{DE493BA8-30E7-4602-B5EB-9BBBF0F3A485}" type="pres">
      <dgm:prSet presAssocID="{A9D17FA3-DEC7-420C-A9DD-256BAC8CE292}" presName="linNode" presStyleCnt="0"/>
      <dgm:spPr/>
    </dgm:pt>
    <dgm:pt modelId="{7C432851-15EC-41AF-B770-A8EA0FB2F155}" type="pres">
      <dgm:prSet presAssocID="{A9D17FA3-DEC7-420C-A9DD-256BAC8CE292}" presName="parentText" presStyleLbl="node1" presStyleIdx="6" presStyleCnt="7">
        <dgm:presLayoutVars>
          <dgm:chMax val="1"/>
          <dgm:bulletEnabled val="1"/>
        </dgm:presLayoutVars>
      </dgm:prSet>
      <dgm:spPr/>
    </dgm:pt>
    <dgm:pt modelId="{0F9916FB-C8AE-4515-BEE6-D5B10A79B7B9}" type="pres">
      <dgm:prSet presAssocID="{A9D17FA3-DEC7-420C-A9DD-256BAC8CE292}" presName="descendantText" presStyleLbl="alignAccFollowNode1" presStyleIdx="6" presStyleCnt="7">
        <dgm:presLayoutVars>
          <dgm:bulletEnabled val="1"/>
        </dgm:presLayoutVars>
      </dgm:prSet>
      <dgm:spPr/>
    </dgm:pt>
  </dgm:ptLst>
  <dgm:cxnLst>
    <dgm:cxn modelId="{3B9B740A-CE25-4C1B-9D76-9C7E4A8B768A}" type="presOf" srcId="{4E3B36DE-27D4-456D-8504-AF89C0848466}" destId="{82619D65-2468-47EA-BFE1-A7EDDFDB6EB2}" srcOrd="0" destOrd="0" presId="urn:microsoft.com/office/officeart/2005/8/layout/vList5"/>
    <dgm:cxn modelId="{E8AA9C0D-EE4B-407D-8CBA-3CBCF43A2F1F}" type="presOf" srcId="{D80ADE62-8567-4A85-9C0B-443C6F4C2D98}" destId="{B2FD2C8C-2833-41F8-9D90-20360CDC5041}" srcOrd="0" destOrd="0" presId="urn:microsoft.com/office/officeart/2005/8/layout/vList5"/>
    <dgm:cxn modelId="{6E091815-2D09-4631-822D-40C280C549D8}" type="presOf" srcId="{8FE47FD5-0AA4-450D-A86F-58CF0DF1708C}" destId="{58F8FDC4-DD7D-47C3-91B6-630AA741CDE2}" srcOrd="0" destOrd="0" presId="urn:microsoft.com/office/officeart/2005/8/layout/vList5"/>
    <dgm:cxn modelId="{8464C11C-09C5-490F-AC0D-C6561AF2ABB4}" srcId="{8FE47FD5-0AA4-450D-A86F-58CF0DF1708C}" destId="{27160540-3E20-4153-8649-19B400A693AB}" srcOrd="0" destOrd="0" parTransId="{F84B1037-1476-4657-B933-F0B54366C866}" sibTransId="{E9F9D4ED-8867-4FB9-A10C-61E573BF1AAC}"/>
    <dgm:cxn modelId="{240F181F-D46A-4C19-8EF2-545615E8D1E9}" srcId="{B88C8972-B3B8-4558-8C1D-648B2564D95F}" destId="{F6DF4B85-AFBC-4646-9822-4C946DD0442C}" srcOrd="0" destOrd="0" parTransId="{80FDD784-AA08-4160-B89B-77FEE132C42C}" sibTransId="{5B8D2C5A-A40B-43C4-99E8-A897C38582E8}"/>
    <dgm:cxn modelId="{3D116920-A58B-460D-AA4E-9AB480A9CCE6}" type="presOf" srcId="{27160540-3E20-4153-8649-19B400A693AB}" destId="{2AFD99A1-0775-4A1F-AD4E-082C1C35FF17}" srcOrd="0" destOrd="0" presId="urn:microsoft.com/office/officeart/2005/8/layout/vList5"/>
    <dgm:cxn modelId="{11C6822D-C6AF-4D9C-ABA1-2BB4135DC797}" srcId="{4E3B36DE-27D4-456D-8504-AF89C0848466}" destId="{8FE47FD5-0AA4-450D-A86F-58CF0DF1708C}" srcOrd="4" destOrd="0" parTransId="{EEB07132-6D48-483E-A2EE-3E18858A3709}" sibTransId="{CE860A53-AD66-4BFC-B6C3-3DEF74149087}"/>
    <dgm:cxn modelId="{34289730-2324-432D-882B-E74F260D3FB1}" srcId="{D80ADE62-8567-4A85-9C0B-443C6F4C2D98}" destId="{803078C0-3B04-44B6-8CA6-57FDB4D10999}" srcOrd="0" destOrd="0" parTransId="{A9AF53A2-7396-46ED-BCAC-80590B8ADA0A}" sibTransId="{F3D3FFCA-8EC3-485E-96B7-B569AE48E5C9}"/>
    <dgm:cxn modelId="{B59B403C-F00A-4282-B19E-FBADB7214365}" srcId="{A9D17FA3-DEC7-420C-A9DD-256BAC8CE292}" destId="{9E188FEF-D532-4AFC-8A3A-21173C95CE63}" srcOrd="0" destOrd="0" parTransId="{743BCD91-79FA-4287-90DD-B181AC3E599C}" sibTransId="{4DA96BA7-918B-4AB4-8B89-135575E36C9B}"/>
    <dgm:cxn modelId="{09E50266-9BF7-4DCD-B8D1-6C379B871EDD}" srcId="{8FE47FD5-0AA4-450D-A86F-58CF0DF1708C}" destId="{3455A16B-DA4C-44C6-AEEC-A9EE8E8A2F07}" srcOrd="1" destOrd="0" parTransId="{895AA98E-56FA-4109-85D8-EE763C4C2CBA}" sibTransId="{FB5B6E98-FFC7-478F-B18B-3F2A5C6C6480}"/>
    <dgm:cxn modelId="{AE084549-1005-4C64-BE2E-9E3877608C55}" type="presOf" srcId="{E05CE92A-CB82-4E8D-9B07-A07EB2EE3A38}" destId="{D6EA1911-8589-4B25-9DD2-0FB724A61462}" srcOrd="0" destOrd="0" presId="urn:microsoft.com/office/officeart/2005/8/layout/vList5"/>
    <dgm:cxn modelId="{C6EA596B-1D12-4E8B-82BF-E6B3C3A84539}" type="presOf" srcId="{C12EC7DA-1D2D-469A-B722-59E8E8FF594D}" destId="{14BECF38-A039-4B0F-BE39-89DCC7EAABB0}" srcOrd="0" destOrd="0" presId="urn:microsoft.com/office/officeart/2005/8/layout/vList5"/>
    <dgm:cxn modelId="{8FDE056C-2FBA-482D-B526-7EE3D4E8F68D}" type="presOf" srcId="{8B953AD4-F6FC-4729-B2B1-CE35C2C38C07}" destId="{74FCE7F0-DD2E-413F-BC9E-D7AB0C17A48F}" srcOrd="0" destOrd="0" presId="urn:microsoft.com/office/officeart/2005/8/layout/vList5"/>
    <dgm:cxn modelId="{13C7AF4C-3263-45FB-B6AC-1CF17A1A9F15}" type="presOf" srcId="{7C9AC851-5FE0-40F6-A8A7-61E432A65C30}" destId="{14BECF38-A039-4B0F-BE39-89DCC7EAABB0}" srcOrd="0" destOrd="1" presId="urn:microsoft.com/office/officeart/2005/8/layout/vList5"/>
    <dgm:cxn modelId="{1F379E4D-0F63-41E2-82E1-F4589C9AF63B}" type="presOf" srcId="{9E188FEF-D532-4AFC-8A3A-21173C95CE63}" destId="{0F9916FB-C8AE-4515-BEE6-D5B10A79B7B9}" srcOrd="0" destOrd="0" presId="urn:microsoft.com/office/officeart/2005/8/layout/vList5"/>
    <dgm:cxn modelId="{D2253070-22B7-4909-A7F3-A66A1B442DD6}" srcId="{AE8A7852-ACE0-4743-A6ED-AC9B22BC5FA4}" destId="{C12EC7DA-1D2D-469A-B722-59E8E8FF594D}" srcOrd="0" destOrd="0" parTransId="{DBCA4290-44E5-483A-85B0-E7CFB1BD21B7}" sibTransId="{19ED97AB-082B-4C43-BDF2-031E4A061C07}"/>
    <dgm:cxn modelId="{BEC75757-6CE7-4EA5-AAD2-BF7839D28CCC}" srcId="{4E3B36DE-27D4-456D-8504-AF89C0848466}" destId="{B88C8972-B3B8-4558-8C1D-648B2564D95F}" srcOrd="1" destOrd="0" parTransId="{179509D6-5EDA-4930-A63A-D2B99E9DE19F}" sibTransId="{2028DDED-E9DE-4AE3-B737-2ABF1E1071BE}"/>
    <dgm:cxn modelId="{2862F18A-20F7-41B3-8338-003D24450577}" srcId="{8B15CB4B-5F0E-4FBE-AD7D-9C199CAA17A2}" destId="{8B953AD4-F6FC-4729-B2B1-CE35C2C38C07}" srcOrd="0" destOrd="0" parTransId="{0C4C521C-7A15-4B93-A637-BF2948B8021C}" sibTransId="{00514122-DB30-4A92-AB74-4416471EFCAC}"/>
    <dgm:cxn modelId="{87C58D9C-3F40-493F-BC84-48E8E67341C1}" type="presOf" srcId="{8B15CB4B-5F0E-4FBE-AD7D-9C199CAA17A2}" destId="{10F4CE13-5410-42F0-88FE-039B3725159C}" srcOrd="0" destOrd="0" presId="urn:microsoft.com/office/officeart/2005/8/layout/vList5"/>
    <dgm:cxn modelId="{511DBC9C-479D-4DFA-943F-5EF646881B87}" srcId="{4E3B36DE-27D4-456D-8504-AF89C0848466}" destId="{E05CE92A-CB82-4E8D-9B07-A07EB2EE3A38}" srcOrd="0" destOrd="0" parTransId="{701E1940-924F-44A2-A91A-816B49E64247}" sibTransId="{ACED31CB-9BE9-4BCB-BA00-F8D8B304DA6A}"/>
    <dgm:cxn modelId="{1D29DD9C-A7B9-4106-BDCD-66E3A2508D4C}" type="presOf" srcId="{B88C8972-B3B8-4558-8C1D-648B2564D95F}" destId="{4FB9FB5C-8E55-4E39-A549-8DFB2BB506DE}" srcOrd="0" destOrd="0" presId="urn:microsoft.com/office/officeart/2005/8/layout/vList5"/>
    <dgm:cxn modelId="{45D3B89D-8C56-4099-86CE-46F442C06D1E}" srcId="{4E3B36DE-27D4-456D-8504-AF89C0848466}" destId="{AE8A7852-ACE0-4743-A6ED-AC9B22BC5FA4}" srcOrd="3" destOrd="0" parTransId="{E4D8BC28-8541-4E56-8380-38E37A0F4C0C}" sibTransId="{6079152B-BA89-4723-9D9F-3998A1A3FB3D}"/>
    <dgm:cxn modelId="{7995F0A4-4816-4A6B-979D-40AF33D72FCB}" type="presOf" srcId="{A9D17FA3-DEC7-420C-A9DD-256BAC8CE292}" destId="{7C432851-15EC-41AF-B770-A8EA0FB2F155}" srcOrd="0" destOrd="0" presId="urn:microsoft.com/office/officeart/2005/8/layout/vList5"/>
    <dgm:cxn modelId="{F562F9BF-F556-449B-A703-052DABC92009}" type="presOf" srcId="{803078C0-3B04-44B6-8CA6-57FDB4D10999}" destId="{38EF2B59-BC43-4C9B-90FA-168E7D2024A1}" srcOrd="0" destOrd="0" presId="urn:microsoft.com/office/officeart/2005/8/layout/vList5"/>
    <dgm:cxn modelId="{D9BE5ED7-2D41-4249-8F33-ECA14F83514F}" srcId="{AE8A7852-ACE0-4743-A6ED-AC9B22BC5FA4}" destId="{7C9AC851-5FE0-40F6-A8A7-61E432A65C30}" srcOrd="1" destOrd="0" parTransId="{61852E06-3649-4DE5-830B-1A35546188B4}" sibTransId="{FCFDC131-7425-4BC6-8AD2-95076CC42804}"/>
    <dgm:cxn modelId="{9B7756DB-58D1-4766-9F6E-E1533E98AB50}" type="presOf" srcId="{FD7C5AE7-0FD2-4999-AAB1-E1A2CD6E4FE3}" destId="{87945191-9196-4D87-A05E-01E2508BC597}" srcOrd="0" destOrd="0" presId="urn:microsoft.com/office/officeart/2005/8/layout/vList5"/>
    <dgm:cxn modelId="{A0DD9EE6-E5B3-4F13-B919-2E712F54878A}" type="presOf" srcId="{3455A16B-DA4C-44C6-AEEC-A9EE8E8A2F07}" destId="{2AFD99A1-0775-4A1F-AD4E-082C1C35FF17}" srcOrd="0" destOrd="1" presId="urn:microsoft.com/office/officeart/2005/8/layout/vList5"/>
    <dgm:cxn modelId="{B6FCD7ED-91E8-4F47-8ED0-0F0583AC8CB2}" srcId="{4E3B36DE-27D4-456D-8504-AF89C0848466}" destId="{8B15CB4B-5F0E-4FBE-AD7D-9C199CAA17A2}" srcOrd="2" destOrd="0" parTransId="{714889C4-271A-45F3-A520-6923213BF293}" sibTransId="{28C4AA09-BDA1-4316-82A3-890335851796}"/>
    <dgm:cxn modelId="{5B88A3F0-D841-45FF-A647-18A2CA548F53}" srcId="{4E3B36DE-27D4-456D-8504-AF89C0848466}" destId="{A9D17FA3-DEC7-420C-A9DD-256BAC8CE292}" srcOrd="6" destOrd="0" parTransId="{15037D3A-80D9-4E78-ACE2-84F9BC6EEE20}" sibTransId="{0CE9101F-5248-4CD7-A62B-860D47A9A738}"/>
    <dgm:cxn modelId="{82BAA8F1-D492-4A41-A4C4-4ACA3464CBDD}" srcId="{4E3B36DE-27D4-456D-8504-AF89C0848466}" destId="{D80ADE62-8567-4A85-9C0B-443C6F4C2D98}" srcOrd="5" destOrd="0" parTransId="{ECFC2A8D-4F3A-4CE0-9431-77C1267D46FD}" sibTransId="{80C52CED-3111-4549-948F-DCB37C87C5C9}"/>
    <dgm:cxn modelId="{E2412DF5-C860-4290-8C08-4E613CC7C06D}" type="presOf" srcId="{AE8A7852-ACE0-4743-A6ED-AC9B22BC5FA4}" destId="{4C77A5B4-F0DD-4590-8214-67CA9673F311}" srcOrd="0" destOrd="0" presId="urn:microsoft.com/office/officeart/2005/8/layout/vList5"/>
    <dgm:cxn modelId="{1C1966F5-7896-4D31-9625-3BFB9240E642}" srcId="{E05CE92A-CB82-4E8D-9B07-A07EB2EE3A38}" destId="{FD7C5AE7-0FD2-4999-AAB1-E1A2CD6E4FE3}" srcOrd="0" destOrd="0" parTransId="{95BF4958-0FF1-476D-8BDF-3AEBE015E1DA}" sibTransId="{EF835F63-9E9C-4E44-A705-1B9BC9A8E09E}"/>
    <dgm:cxn modelId="{EB1C59FD-5A5A-4D76-B762-F5EF513D4591}" type="presOf" srcId="{F6DF4B85-AFBC-4646-9822-4C946DD0442C}" destId="{EAE53105-C687-416B-ADC7-8990840128A3}" srcOrd="0" destOrd="0" presId="urn:microsoft.com/office/officeart/2005/8/layout/vList5"/>
    <dgm:cxn modelId="{8610E7B5-FF03-42AC-9F28-7ED2AD49B7D2}" type="presParOf" srcId="{82619D65-2468-47EA-BFE1-A7EDDFDB6EB2}" destId="{49986262-F80B-405A-9C78-1C9CAE909525}" srcOrd="0" destOrd="0" presId="urn:microsoft.com/office/officeart/2005/8/layout/vList5"/>
    <dgm:cxn modelId="{23325A96-6860-48AE-9253-4E500908FA61}" type="presParOf" srcId="{49986262-F80B-405A-9C78-1C9CAE909525}" destId="{D6EA1911-8589-4B25-9DD2-0FB724A61462}" srcOrd="0" destOrd="0" presId="urn:microsoft.com/office/officeart/2005/8/layout/vList5"/>
    <dgm:cxn modelId="{94D20601-4FC3-48DE-ABB0-9C1E2A913DA6}" type="presParOf" srcId="{49986262-F80B-405A-9C78-1C9CAE909525}" destId="{87945191-9196-4D87-A05E-01E2508BC597}" srcOrd="1" destOrd="0" presId="urn:microsoft.com/office/officeart/2005/8/layout/vList5"/>
    <dgm:cxn modelId="{4936D659-0432-485A-8E1E-60BBD0FECF7E}" type="presParOf" srcId="{82619D65-2468-47EA-BFE1-A7EDDFDB6EB2}" destId="{B39D52E1-5C4C-49C7-8055-A260E86D8ED4}" srcOrd="1" destOrd="0" presId="urn:microsoft.com/office/officeart/2005/8/layout/vList5"/>
    <dgm:cxn modelId="{8BF42A8A-C485-4502-BC08-57093DD028FE}" type="presParOf" srcId="{82619D65-2468-47EA-BFE1-A7EDDFDB6EB2}" destId="{A2758E03-6030-439D-8EB5-D2E73AA92D6F}" srcOrd="2" destOrd="0" presId="urn:microsoft.com/office/officeart/2005/8/layout/vList5"/>
    <dgm:cxn modelId="{EE3A15A0-5EE6-4392-91E1-5DC33AFC0F9C}" type="presParOf" srcId="{A2758E03-6030-439D-8EB5-D2E73AA92D6F}" destId="{4FB9FB5C-8E55-4E39-A549-8DFB2BB506DE}" srcOrd="0" destOrd="0" presId="urn:microsoft.com/office/officeart/2005/8/layout/vList5"/>
    <dgm:cxn modelId="{D058A2F8-2A6D-4E0E-9D26-B84E7B5BF67F}" type="presParOf" srcId="{A2758E03-6030-439D-8EB5-D2E73AA92D6F}" destId="{EAE53105-C687-416B-ADC7-8990840128A3}" srcOrd="1" destOrd="0" presId="urn:microsoft.com/office/officeart/2005/8/layout/vList5"/>
    <dgm:cxn modelId="{11B96E3E-C857-4873-BD9A-F440628BF627}" type="presParOf" srcId="{82619D65-2468-47EA-BFE1-A7EDDFDB6EB2}" destId="{7BD81D3F-8566-4E6A-8203-19578D8A0F93}" srcOrd="3" destOrd="0" presId="urn:microsoft.com/office/officeart/2005/8/layout/vList5"/>
    <dgm:cxn modelId="{A59EA4C2-2F5F-474B-A676-BED929635511}" type="presParOf" srcId="{82619D65-2468-47EA-BFE1-A7EDDFDB6EB2}" destId="{91C1BE5F-B3E1-4376-8F2B-4ECA388E39DE}" srcOrd="4" destOrd="0" presId="urn:microsoft.com/office/officeart/2005/8/layout/vList5"/>
    <dgm:cxn modelId="{478E322F-452C-45EE-9303-310702F8777A}" type="presParOf" srcId="{91C1BE5F-B3E1-4376-8F2B-4ECA388E39DE}" destId="{10F4CE13-5410-42F0-88FE-039B3725159C}" srcOrd="0" destOrd="0" presId="urn:microsoft.com/office/officeart/2005/8/layout/vList5"/>
    <dgm:cxn modelId="{056FC940-C5D4-4895-88A2-E5366C52D8A1}" type="presParOf" srcId="{91C1BE5F-B3E1-4376-8F2B-4ECA388E39DE}" destId="{74FCE7F0-DD2E-413F-BC9E-D7AB0C17A48F}" srcOrd="1" destOrd="0" presId="urn:microsoft.com/office/officeart/2005/8/layout/vList5"/>
    <dgm:cxn modelId="{A7689B15-EE92-4723-B2F7-0153C5BC7A38}" type="presParOf" srcId="{82619D65-2468-47EA-BFE1-A7EDDFDB6EB2}" destId="{2C2F3305-A25B-4685-A512-548F8CFDA73F}" srcOrd="5" destOrd="0" presId="urn:microsoft.com/office/officeart/2005/8/layout/vList5"/>
    <dgm:cxn modelId="{BAEDD6B4-A947-40AB-BBB9-6768F4AB9CDE}" type="presParOf" srcId="{82619D65-2468-47EA-BFE1-A7EDDFDB6EB2}" destId="{5C4E4618-D555-4626-AAC7-F7DBE1BA4927}" srcOrd="6" destOrd="0" presId="urn:microsoft.com/office/officeart/2005/8/layout/vList5"/>
    <dgm:cxn modelId="{56D2979C-EF54-40BE-AB9D-70A4E77283E0}" type="presParOf" srcId="{5C4E4618-D555-4626-AAC7-F7DBE1BA4927}" destId="{4C77A5B4-F0DD-4590-8214-67CA9673F311}" srcOrd="0" destOrd="0" presId="urn:microsoft.com/office/officeart/2005/8/layout/vList5"/>
    <dgm:cxn modelId="{C28C6146-E29F-4893-B5AC-B121FD1BD765}" type="presParOf" srcId="{5C4E4618-D555-4626-AAC7-F7DBE1BA4927}" destId="{14BECF38-A039-4B0F-BE39-89DCC7EAABB0}" srcOrd="1" destOrd="0" presId="urn:microsoft.com/office/officeart/2005/8/layout/vList5"/>
    <dgm:cxn modelId="{C2365DB6-26A7-49BA-A63F-EF96196F7C13}" type="presParOf" srcId="{82619D65-2468-47EA-BFE1-A7EDDFDB6EB2}" destId="{63CB31E1-63AD-4975-8E31-5E35100DBB03}" srcOrd="7" destOrd="0" presId="urn:microsoft.com/office/officeart/2005/8/layout/vList5"/>
    <dgm:cxn modelId="{420634E2-1609-48C9-8DEE-E3618676E861}" type="presParOf" srcId="{82619D65-2468-47EA-BFE1-A7EDDFDB6EB2}" destId="{3FA5B549-2368-4DFB-B127-E8C9FAE7FA5A}" srcOrd="8" destOrd="0" presId="urn:microsoft.com/office/officeart/2005/8/layout/vList5"/>
    <dgm:cxn modelId="{6FB35B7C-6AA5-40CB-B05F-DBA811250BC2}" type="presParOf" srcId="{3FA5B549-2368-4DFB-B127-E8C9FAE7FA5A}" destId="{58F8FDC4-DD7D-47C3-91B6-630AA741CDE2}" srcOrd="0" destOrd="0" presId="urn:microsoft.com/office/officeart/2005/8/layout/vList5"/>
    <dgm:cxn modelId="{992734F2-4EC7-49C7-8369-C0F51B495B9A}" type="presParOf" srcId="{3FA5B549-2368-4DFB-B127-E8C9FAE7FA5A}" destId="{2AFD99A1-0775-4A1F-AD4E-082C1C35FF17}" srcOrd="1" destOrd="0" presId="urn:microsoft.com/office/officeart/2005/8/layout/vList5"/>
    <dgm:cxn modelId="{99C68A96-AEAE-4949-A669-DDFEDB824E9D}" type="presParOf" srcId="{82619D65-2468-47EA-BFE1-A7EDDFDB6EB2}" destId="{FC5B85FB-E2DB-4B6F-87F2-A0BE5812C512}" srcOrd="9" destOrd="0" presId="urn:microsoft.com/office/officeart/2005/8/layout/vList5"/>
    <dgm:cxn modelId="{D04B47AD-8515-477F-82C0-25AA2DF478EF}" type="presParOf" srcId="{82619D65-2468-47EA-BFE1-A7EDDFDB6EB2}" destId="{12A7F80D-77B6-42CF-B991-1C5E1DAD22B1}" srcOrd="10" destOrd="0" presId="urn:microsoft.com/office/officeart/2005/8/layout/vList5"/>
    <dgm:cxn modelId="{DA60722D-450E-4064-AB78-3BC708D2109F}" type="presParOf" srcId="{12A7F80D-77B6-42CF-B991-1C5E1DAD22B1}" destId="{B2FD2C8C-2833-41F8-9D90-20360CDC5041}" srcOrd="0" destOrd="0" presId="urn:microsoft.com/office/officeart/2005/8/layout/vList5"/>
    <dgm:cxn modelId="{FF553E69-410C-4C65-BCD1-B5A26474F31E}" type="presParOf" srcId="{12A7F80D-77B6-42CF-B991-1C5E1DAD22B1}" destId="{38EF2B59-BC43-4C9B-90FA-168E7D2024A1}" srcOrd="1" destOrd="0" presId="urn:microsoft.com/office/officeart/2005/8/layout/vList5"/>
    <dgm:cxn modelId="{AC6FF6D8-566B-4D9C-98BA-65A17782CB17}" type="presParOf" srcId="{82619D65-2468-47EA-BFE1-A7EDDFDB6EB2}" destId="{CB362413-9DC5-4711-8FB7-0D9F7E7699C4}" srcOrd="11" destOrd="0" presId="urn:microsoft.com/office/officeart/2005/8/layout/vList5"/>
    <dgm:cxn modelId="{A87E4520-FD34-488C-A81B-2BB23DB8DD8D}" type="presParOf" srcId="{82619D65-2468-47EA-BFE1-A7EDDFDB6EB2}" destId="{DE493BA8-30E7-4602-B5EB-9BBBF0F3A485}" srcOrd="12" destOrd="0" presId="urn:microsoft.com/office/officeart/2005/8/layout/vList5"/>
    <dgm:cxn modelId="{FD4FC360-E447-4B10-AEF2-6208276A6E29}" type="presParOf" srcId="{DE493BA8-30E7-4602-B5EB-9BBBF0F3A485}" destId="{7C432851-15EC-41AF-B770-A8EA0FB2F155}" srcOrd="0" destOrd="0" presId="urn:microsoft.com/office/officeart/2005/8/layout/vList5"/>
    <dgm:cxn modelId="{4F36BA2F-8533-4D6F-907E-AF7047F1A687}" type="presParOf" srcId="{DE493BA8-30E7-4602-B5EB-9BBBF0F3A485}" destId="{0F9916FB-C8AE-4515-BEE6-D5B10A79B7B9}" srcOrd="1" destOrd="0" presId="urn:microsoft.com/office/officeart/2005/8/layout/vList5"/>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1166B3-F0D5-4D63-A625-76FD1140777F}">
      <dsp:nvSpPr>
        <dsp:cNvPr id="0" name=""/>
        <dsp:cNvSpPr/>
      </dsp:nvSpPr>
      <dsp:spPr>
        <a:xfrm>
          <a:off x="0" y="110489"/>
          <a:ext cx="1714499" cy="1371599"/>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8000" r="-18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01E2D559-3038-40F7-A60E-535711E26491}">
      <dsp:nvSpPr>
        <dsp:cNvPr id="0" name=""/>
        <dsp:cNvSpPr/>
      </dsp:nvSpPr>
      <dsp:spPr>
        <a:xfrm>
          <a:off x="154305" y="1344930"/>
          <a:ext cx="1525905" cy="480060"/>
        </a:xfrm>
        <a:prstGeom prst="wedgeRectCallout">
          <a:avLst>
            <a:gd name="adj1" fmla="val 20250"/>
            <a:gd name="adj2" fmla="val -60700"/>
          </a:avLst>
        </a:prstGeom>
        <a:solidFill>
          <a:srgbClr val="F79646"/>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solidFill>
                <a:sysClr val="window" lastClr="FFFFFF"/>
              </a:solidFill>
              <a:latin typeface="Calibri"/>
              <a:ea typeface="+mn-ea"/>
              <a:cs typeface="+mn-cs"/>
            </a:rPr>
            <a:t>Bienestarina Más® </a:t>
          </a:r>
          <a:endParaRPr lang="es-ES" sz="900" b="1" kern="1200">
            <a:solidFill>
              <a:sysClr val="window" lastClr="FFFFFF"/>
            </a:solidFill>
            <a:latin typeface="Calibri"/>
            <a:ea typeface="+mn-ea"/>
            <a:cs typeface="+mn-cs"/>
          </a:endParaRPr>
        </a:p>
      </dsp:txBody>
      <dsp:txXfrm>
        <a:off x="154305" y="1344930"/>
        <a:ext cx="1525905" cy="480060"/>
      </dsp:txXfrm>
    </dsp:sp>
    <dsp:sp modelId="{445A4ADC-68B6-4222-8200-D700D9D8C9B6}">
      <dsp:nvSpPr>
        <dsp:cNvPr id="0" name=""/>
        <dsp:cNvSpPr/>
      </dsp:nvSpPr>
      <dsp:spPr>
        <a:xfrm>
          <a:off x="1885950" y="110489"/>
          <a:ext cx="1714499" cy="1371599"/>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5000" b="-5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015FDBDD-7E7F-4FAB-B57B-22E72BAD1D5D}">
      <dsp:nvSpPr>
        <dsp:cNvPr id="0" name=""/>
        <dsp:cNvSpPr/>
      </dsp:nvSpPr>
      <dsp:spPr>
        <a:xfrm>
          <a:off x="2040255" y="1344930"/>
          <a:ext cx="1525905" cy="480060"/>
        </a:xfrm>
        <a:prstGeom prst="wedgeRectCallout">
          <a:avLst>
            <a:gd name="adj1" fmla="val 20250"/>
            <a:gd name="adj2" fmla="val -60700"/>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solidFill>
                <a:sysClr val="window" lastClr="FFFFFF"/>
              </a:solidFill>
              <a:latin typeface="Calibri"/>
              <a:ea typeface="+mn-ea"/>
              <a:cs typeface="+mn-cs"/>
            </a:rPr>
            <a:t>Bienestarina® Líquida</a:t>
          </a:r>
          <a:endParaRPr lang="es-ES" sz="900" b="1" kern="1200">
            <a:solidFill>
              <a:sysClr val="window" lastClr="FFFFFF"/>
            </a:solidFill>
            <a:latin typeface="Calibri"/>
            <a:ea typeface="+mn-ea"/>
            <a:cs typeface="+mn-cs"/>
          </a:endParaRPr>
        </a:p>
      </dsp:txBody>
      <dsp:txXfrm>
        <a:off x="2040255" y="1344930"/>
        <a:ext cx="1525905" cy="480060"/>
      </dsp:txXfrm>
    </dsp:sp>
    <dsp:sp modelId="{7F1C3263-D845-4711-83F7-EAB22ACF1022}">
      <dsp:nvSpPr>
        <dsp:cNvPr id="0" name=""/>
        <dsp:cNvSpPr/>
      </dsp:nvSpPr>
      <dsp:spPr>
        <a:xfrm>
          <a:off x="3771900" y="110489"/>
          <a:ext cx="1714499" cy="1371599"/>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5000" b="-5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293C0112-0508-4272-9277-F3258836A70C}">
      <dsp:nvSpPr>
        <dsp:cNvPr id="0" name=""/>
        <dsp:cNvSpPr/>
      </dsp:nvSpPr>
      <dsp:spPr>
        <a:xfrm>
          <a:off x="3926205" y="1344930"/>
          <a:ext cx="1525905" cy="480060"/>
        </a:xfrm>
        <a:prstGeom prst="wedgeRectCallout">
          <a:avLst>
            <a:gd name="adj1" fmla="val 20250"/>
            <a:gd name="adj2" fmla="val -60700"/>
          </a:avLst>
        </a:prstGeom>
        <a:solidFill>
          <a:srgbClr val="7030A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solidFill>
                <a:sysClr val="window" lastClr="FFFFFF"/>
              </a:solidFill>
              <a:latin typeface="Calibri"/>
              <a:ea typeface="+mn-ea"/>
              <a:cs typeface="+mn-cs"/>
            </a:rPr>
            <a:t>Alimento para la mujer gestante y madre en periodo de lactancia</a:t>
          </a:r>
          <a:endParaRPr lang="es-ES" sz="900" b="1" kern="1200">
            <a:solidFill>
              <a:sysClr val="window" lastClr="FFFFFF"/>
            </a:solidFill>
            <a:latin typeface="Calibri"/>
            <a:ea typeface="+mn-ea"/>
            <a:cs typeface="+mn-cs"/>
          </a:endParaRPr>
        </a:p>
      </dsp:txBody>
      <dsp:txXfrm>
        <a:off x="3926205" y="1344930"/>
        <a:ext cx="1525905" cy="4800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3E9243-5897-41ED-AFA3-3E973EF050C7}">
      <dsp:nvSpPr>
        <dsp:cNvPr id="0" name=""/>
        <dsp:cNvSpPr/>
      </dsp:nvSpPr>
      <dsp:spPr>
        <a:xfrm>
          <a:off x="1412" y="103616"/>
          <a:ext cx="1720294" cy="688117"/>
        </a:xfrm>
        <a:prstGeom prst="chevron">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s-CO" sz="1300" b="1" kern="1200">
              <a:solidFill>
                <a:sysClr val="window" lastClr="FFFFFF"/>
              </a:solidFill>
              <a:latin typeface="Calibri"/>
              <a:ea typeface="+mn-ea"/>
              <a:cs typeface="+mn-cs"/>
            </a:rPr>
            <a:t>Producción</a:t>
          </a:r>
        </a:p>
        <a:p>
          <a:pPr marL="0" lvl="0" indent="0" algn="ctr" defTabSz="577850">
            <a:lnSpc>
              <a:spcPct val="90000"/>
            </a:lnSpc>
            <a:spcBef>
              <a:spcPct val="0"/>
            </a:spcBef>
            <a:spcAft>
              <a:spcPct val="35000"/>
            </a:spcAft>
            <a:buNone/>
          </a:pPr>
          <a:r>
            <a:rPr lang="es-CO" sz="1300" kern="1200">
              <a:solidFill>
                <a:sysClr val="window" lastClr="FFFFFF"/>
              </a:solidFill>
              <a:latin typeface="Calibri"/>
              <a:ea typeface="+mn-ea"/>
              <a:cs typeface="+mn-cs"/>
            </a:rPr>
            <a:t>18.429 Toneladas.</a:t>
          </a:r>
        </a:p>
      </dsp:txBody>
      <dsp:txXfrm>
        <a:off x="345471" y="103616"/>
        <a:ext cx="1032177" cy="688117"/>
      </dsp:txXfrm>
    </dsp:sp>
    <dsp:sp modelId="{316240E3-CFD2-4C97-979D-80E13CCF4C9F}">
      <dsp:nvSpPr>
        <dsp:cNvPr id="0" name=""/>
        <dsp:cNvSpPr/>
      </dsp:nvSpPr>
      <dsp:spPr>
        <a:xfrm>
          <a:off x="1549677" y="103616"/>
          <a:ext cx="1720294" cy="688117"/>
        </a:xfrm>
        <a:prstGeom prst="chevron">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s-CO" sz="1300" b="1" kern="1200">
              <a:solidFill>
                <a:sysClr val="window" lastClr="FFFFFF"/>
              </a:solidFill>
              <a:latin typeface="Calibri"/>
              <a:ea typeface="+mn-ea"/>
              <a:cs typeface="+mn-cs"/>
            </a:rPr>
            <a:t>Distribución</a:t>
          </a:r>
        </a:p>
        <a:p>
          <a:pPr marL="0" lvl="0" indent="0" algn="ctr" defTabSz="577850">
            <a:lnSpc>
              <a:spcPct val="90000"/>
            </a:lnSpc>
            <a:spcBef>
              <a:spcPct val="0"/>
            </a:spcBef>
            <a:spcAft>
              <a:spcPct val="35000"/>
            </a:spcAft>
            <a:buNone/>
          </a:pPr>
          <a:r>
            <a:rPr lang="es-CO" sz="1300" kern="1200">
              <a:solidFill>
                <a:sysClr val="window" lastClr="FFFFFF"/>
              </a:solidFill>
              <a:latin typeface="Calibri"/>
              <a:ea typeface="+mn-ea"/>
              <a:cs typeface="+mn-cs"/>
            </a:rPr>
            <a:t>18.946 Toneladas.</a:t>
          </a:r>
        </a:p>
      </dsp:txBody>
      <dsp:txXfrm>
        <a:off x="1893736" y="103616"/>
        <a:ext cx="1032177" cy="688117"/>
      </dsp:txXfrm>
    </dsp:sp>
    <dsp:sp modelId="{79CDF2F4-3CF8-4809-B7DC-2305571BF4A9}">
      <dsp:nvSpPr>
        <dsp:cNvPr id="0" name=""/>
        <dsp:cNvSpPr/>
      </dsp:nvSpPr>
      <dsp:spPr>
        <a:xfrm>
          <a:off x="3097942" y="103616"/>
          <a:ext cx="1720294" cy="688117"/>
        </a:xfrm>
        <a:prstGeom prst="chevron">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s-CO" sz="1300" b="1" kern="1200">
              <a:solidFill>
                <a:sysClr val="window" lastClr="FFFFFF"/>
              </a:solidFill>
              <a:latin typeface="Calibri"/>
              <a:ea typeface="+mn-ea"/>
              <a:cs typeface="+mn-cs"/>
            </a:rPr>
            <a:t>Atención</a:t>
          </a:r>
        </a:p>
        <a:p>
          <a:pPr marL="0" lvl="0" indent="0" algn="ctr" defTabSz="577850">
            <a:lnSpc>
              <a:spcPct val="90000"/>
            </a:lnSpc>
            <a:spcBef>
              <a:spcPct val="0"/>
            </a:spcBef>
            <a:spcAft>
              <a:spcPct val="35000"/>
            </a:spcAft>
            <a:buNone/>
          </a:pPr>
          <a:r>
            <a:rPr lang="es-ES_tradnl" sz="1300" b="0" kern="1200">
              <a:solidFill>
                <a:sysClr val="window" lastClr="FFFFFF"/>
              </a:solidFill>
              <a:latin typeface="Calibri"/>
              <a:ea typeface="+mn-ea"/>
              <a:cs typeface="+mn-cs"/>
            </a:rPr>
            <a:t>2.642.469 Beneficiarios</a:t>
          </a:r>
          <a:endParaRPr lang="es-CO" sz="1300" b="0" kern="1200">
            <a:solidFill>
              <a:sysClr val="window" lastClr="FFFFFF"/>
            </a:solidFill>
            <a:latin typeface="Calibri"/>
            <a:ea typeface="+mn-ea"/>
            <a:cs typeface="+mn-cs"/>
          </a:endParaRPr>
        </a:p>
      </dsp:txBody>
      <dsp:txXfrm>
        <a:off x="3442001" y="103616"/>
        <a:ext cx="1032177" cy="68811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45191-9196-4D87-A05E-01E2508BC597}">
      <dsp:nvSpPr>
        <dsp:cNvPr id="0" name=""/>
        <dsp:cNvSpPr/>
      </dsp:nvSpPr>
      <dsp:spPr>
        <a:xfrm rot="5400000">
          <a:off x="3599245" y="-1559928"/>
          <a:ext cx="343328" cy="3549091"/>
        </a:xfrm>
        <a:prstGeom prst="round2SameRect">
          <a:avLst/>
        </a:prstGeom>
        <a:solidFill>
          <a:srgbClr val="F0F0F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O" sz="1000" kern="1200" dirty="0">
              <a:latin typeface="+mn-lt"/>
              <a:cs typeface="Arial" panose="020B0604020202020204" pitchFamily="34" charset="0"/>
            </a:rPr>
            <a:t> Gestiona la obtención de recursos de cooperación técnica y financiera.</a:t>
          </a:r>
        </a:p>
      </dsp:txBody>
      <dsp:txXfrm rot="-5400000">
        <a:off x="1996364" y="59713"/>
        <a:ext cx="3532331" cy="309808"/>
      </dsp:txXfrm>
    </dsp:sp>
    <dsp:sp modelId="{D6EA1911-8589-4B25-9DD2-0FB724A61462}">
      <dsp:nvSpPr>
        <dsp:cNvPr id="0" name=""/>
        <dsp:cNvSpPr/>
      </dsp:nvSpPr>
      <dsp:spPr>
        <a:xfrm>
          <a:off x="0" y="36"/>
          <a:ext cx="1996363" cy="42916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CO" sz="1000" b="1" kern="1200" dirty="0">
              <a:latin typeface="+mn-lt"/>
              <a:cs typeface="Arial" panose="020B0604020202020204" pitchFamily="34" charset="0"/>
            </a:rPr>
            <a:t>Gestión de Cooperación</a:t>
          </a:r>
        </a:p>
      </dsp:txBody>
      <dsp:txXfrm>
        <a:off x="20950" y="20986"/>
        <a:ext cx="1954463" cy="387260"/>
      </dsp:txXfrm>
    </dsp:sp>
    <dsp:sp modelId="{EAE53105-C687-416B-ADC7-8990840128A3}">
      <dsp:nvSpPr>
        <dsp:cNvPr id="0" name=""/>
        <dsp:cNvSpPr/>
      </dsp:nvSpPr>
      <dsp:spPr>
        <a:xfrm rot="5400000">
          <a:off x="3599245" y="-1109309"/>
          <a:ext cx="343328" cy="3549091"/>
        </a:xfrm>
        <a:prstGeom prst="round2SameRect">
          <a:avLst/>
        </a:prstGeom>
        <a:solidFill>
          <a:srgbClr val="F0F0F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O" sz="1000" kern="1200" dirty="0">
              <a:latin typeface="+mn-lt"/>
              <a:cs typeface="Arial" panose="020B0604020202020204" pitchFamily="34" charset="0"/>
            </a:rPr>
            <a:t> Apoya la formulación de proyectos.</a:t>
          </a:r>
        </a:p>
      </dsp:txBody>
      <dsp:txXfrm rot="-5400000">
        <a:off x="1996364" y="510332"/>
        <a:ext cx="3532331" cy="309808"/>
      </dsp:txXfrm>
    </dsp:sp>
    <dsp:sp modelId="{4FB9FB5C-8E55-4E39-A549-8DFB2BB506DE}">
      <dsp:nvSpPr>
        <dsp:cNvPr id="0" name=""/>
        <dsp:cNvSpPr/>
      </dsp:nvSpPr>
      <dsp:spPr>
        <a:xfrm>
          <a:off x="0" y="450655"/>
          <a:ext cx="1996363" cy="429160"/>
        </a:xfrm>
        <a:prstGeom prst="roundRect">
          <a:avLst/>
        </a:prstGeom>
        <a:solidFill>
          <a:schemeClr val="accent3">
            <a:hueOff val="1875044"/>
            <a:satOff val="-2813"/>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CO" sz="1000" b="1" kern="1200" dirty="0">
              <a:latin typeface="+mn-lt"/>
              <a:cs typeface="Arial" panose="020B0604020202020204" pitchFamily="34" charset="0"/>
            </a:rPr>
            <a:t>Proyectos Estratégicos </a:t>
          </a:r>
        </a:p>
      </dsp:txBody>
      <dsp:txXfrm>
        <a:off x="20950" y="471605"/>
        <a:ext cx="1954463" cy="387260"/>
      </dsp:txXfrm>
    </dsp:sp>
    <dsp:sp modelId="{74FCE7F0-DD2E-413F-BC9E-D7AB0C17A48F}">
      <dsp:nvSpPr>
        <dsp:cNvPr id="0" name=""/>
        <dsp:cNvSpPr/>
      </dsp:nvSpPr>
      <dsp:spPr>
        <a:xfrm rot="5400000">
          <a:off x="3599245" y="-658690"/>
          <a:ext cx="343328" cy="3549091"/>
        </a:xfrm>
        <a:prstGeom prst="round2SameRect">
          <a:avLst/>
        </a:prstGeom>
        <a:solidFill>
          <a:srgbClr val="F0F0F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O" sz="1000" kern="1200" dirty="0">
              <a:latin typeface="+mn-lt"/>
              <a:cs typeface="Arial" panose="020B0604020202020204" pitchFamily="34" charset="0"/>
            </a:rPr>
            <a:t> Realiza nuevas alianzas para el apoyo a los proyectos institucionales.</a:t>
          </a:r>
        </a:p>
      </dsp:txBody>
      <dsp:txXfrm rot="-5400000">
        <a:off x="1996364" y="960951"/>
        <a:ext cx="3532331" cy="309808"/>
      </dsp:txXfrm>
    </dsp:sp>
    <dsp:sp modelId="{10F4CE13-5410-42F0-88FE-039B3725159C}">
      <dsp:nvSpPr>
        <dsp:cNvPr id="0" name=""/>
        <dsp:cNvSpPr/>
      </dsp:nvSpPr>
      <dsp:spPr>
        <a:xfrm>
          <a:off x="0" y="901274"/>
          <a:ext cx="1996363" cy="429160"/>
        </a:xfrm>
        <a:prstGeom prst="roundRect">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CO" sz="1000" b="1" kern="1200" dirty="0">
              <a:latin typeface="+mn-lt"/>
              <a:cs typeface="Arial" panose="020B0604020202020204" pitchFamily="34" charset="0"/>
            </a:rPr>
            <a:t>Gestión de Alianzas </a:t>
          </a:r>
        </a:p>
      </dsp:txBody>
      <dsp:txXfrm>
        <a:off x="20950" y="922224"/>
        <a:ext cx="1954463" cy="387260"/>
      </dsp:txXfrm>
    </dsp:sp>
    <dsp:sp modelId="{14BECF38-A039-4B0F-BE39-89DCC7EAABB0}">
      <dsp:nvSpPr>
        <dsp:cNvPr id="0" name=""/>
        <dsp:cNvSpPr/>
      </dsp:nvSpPr>
      <dsp:spPr>
        <a:xfrm rot="5400000">
          <a:off x="3474985" y="-126892"/>
          <a:ext cx="584482" cy="3545625"/>
        </a:xfrm>
        <a:prstGeom prst="round2SameRect">
          <a:avLst/>
        </a:prstGeom>
        <a:solidFill>
          <a:srgbClr val="F0F0F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O" sz="1000" kern="1200" dirty="0">
              <a:latin typeface="+mn-lt"/>
              <a:cs typeface="Arial" panose="020B0604020202020204" pitchFamily="34" charset="0"/>
            </a:rPr>
            <a:t> Implementa la Estrategia de Articulación con la cooperación en territorio.  </a:t>
          </a:r>
        </a:p>
        <a:p>
          <a:pPr marL="57150" lvl="1" indent="-57150" algn="l" defTabSz="444500">
            <a:lnSpc>
              <a:spcPct val="90000"/>
            </a:lnSpc>
            <a:spcBef>
              <a:spcPct val="0"/>
            </a:spcBef>
            <a:spcAft>
              <a:spcPct val="15000"/>
            </a:spcAft>
            <a:buChar char="•"/>
          </a:pPr>
          <a:r>
            <a:rPr lang="es-CO" sz="1000" kern="1200" dirty="0">
              <a:latin typeface="+mn-lt"/>
              <a:cs typeface="Arial" panose="020B0604020202020204" pitchFamily="34" charset="0"/>
            </a:rPr>
            <a:t> Realiza ejercicios de alineación con organismos internacionales.  </a:t>
          </a:r>
        </a:p>
      </dsp:txBody>
      <dsp:txXfrm rot="-5400000">
        <a:off x="1994414" y="1382211"/>
        <a:ext cx="3517093" cy="527418"/>
      </dsp:txXfrm>
    </dsp:sp>
    <dsp:sp modelId="{4C77A5B4-F0DD-4590-8214-67CA9673F311}">
      <dsp:nvSpPr>
        <dsp:cNvPr id="0" name=""/>
        <dsp:cNvSpPr/>
      </dsp:nvSpPr>
      <dsp:spPr>
        <a:xfrm>
          <a:off x="0" y="1351893"/>
          <a:ext cx="1994414" cy="588053"/>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CO" sz="1000" b="1" kern="1200" dirty="0">
              <a:latin typeface="+mn-lt"/>
              <a:cs typeface="Arial" panose="020B0604020202020204" pitchFamily="34" charset="0"/>
            </a:rPr>
            <a:t>Participación en espacios de coordinación de la cooperación</a:t>
          </a:r>
        </a:p>
      </dsp:txBody>
      <dsp:txXfrm>
        <a:off x="28706" y="1380599"/>
        <a:ext cx="1937002" cy="530641"/>
      </dsp:txXfrm>
    </dsp:sp>
    <dsp:sp modelId="{2AFD99A1-0775-4A1F-AD4E-082C1C35FF17}">
      <dsp:nvSpPr>
        <dsp:cNvPr id="0" name=""/>
        <dsp:cNvSpPr/>
      </dsp:nvSpPr>
      <dsp:spPr>
        <a:xfrm rot="5400000">
          <a:off x="3599245" y="401439"/>
          <a:ext cx="343328" cy="3549091"/>
        </a:xfrm>
        <a:prstGeom prst="round2SameRect">
          <a:avLst/>
        </a:prstGeom>
        <a:solidFill>
          <a:srgbClr val="F0F0F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O" sz="1000" kern="1200" dirty="0">
              <a:latin typeface="+mn-lt"/>
              <a:cs typeface="Arial" panose="020B0604020202020204" pitchFamily="34" charset="0"/>
            </a:rPr>
            <a:t> Realiza intercambios de experiencias.</a:t>
          </a:r>
        </a:p>
        <a:p>
          <a:pPr marL="57150" lvl="1" indent="-57150" algn="l" defTabSz="444500">
            <a:lnSpc>
              <a:spcPct val="90000"/>
            </a:lnSpc>
            <a:spcBef>
              <a:spcPct val="0"/>
            </a:spcBef>
            <a:spcAft>
              <a:spcPct val="15000"/>
            </a:spcAft>
            <a:buChar char="•"/>
          </a:pPr>
          <a:r>
            <a:rPr lang="es-CO" sz="1000" kern="1200" dirty="0">
              <a:latin typeface="+mn-lt"/>
              <a:cs typeface="Arial" panose="020B0604020202020204" pitchFamily="34" charset="0"/>
            </a:rPr>
            <a:t> Apoya proyectos de Cooperación Sur-Sur (Misiones Técnicas al exterior y en Colombia).</a:t>
          </a:r>
        </a:p>
      </dsp:txBody>
      <dsp:txXfrm rot="-5400000">
        <a:off x="1996364" y="2021080"/>
        <a:ext cx="3532331" cy="309808"/>
      </dsp:txXfrm>
    </dsp:sp>
    <dsp:sp modelId="{58F8FDC4-DD7D-47C3-91B6-630AA741CDE2}">
      <dsp:nvSpPr>
        <dsp:cNvPr id="0" name=""/>
        <dsp:cNvSpPr/>
      </dsp:nvSpPr>
      <dsp:spPr>
        <a:xfrm>
          <a:off x="0" y="1961404"/>
          <a:ext cx="1996363" cy="429160"/>
        </a:xfrm>
        <a:prstGeom prst="roundRect">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CO" sz="1000" b="1" kern="1200" dirty="0">
              <a:latin typeface="+mn-lt"/>
              <a:cs typeface="Arial" panose="020B0604020202020204" pitchFamily="34" charset="0"/>
            </a:rPr>
            <a:t>Cooperación Sur - Sur</a:t>
          </a:r>
        </a:p>
      </dsp:txBody>
      <dsp:txXfrm>
        <a:off x="20950" y="1982354"/>
        <a:ext cx="1954463" cy="387260"/>
      </dsp:txXfrm>
    </dsp:sp>
    <dsp:sp modelId="{38EF2B59-BC43-4C9B-90FA-168E7D2024A1}">
      <dsp:nvSpPr>
        <dsp:cNvPr id="0" name=""/>
        <dsp:cNvSpPr/>
      </dsp:nvSpPr>
      <dsp:spPr>
        <a:xfrm rot="5400000">
          <a:off x="3599245" y="852058"/>
          <a:ext cx="343328" cy="3549091"/>
        </a:xfrm>
        <a:prstGeom prst="round2SameRect">
          <a:avLst/>
        </a:prstGeom>
        <a:solidFill>
          <a:srgbClr val="F0F0F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O" sz="1000" kern="1200" dirty="0">
              <a:latin typeface="+mn-lt"/>
              <a:cs typeface="Arial" panose="020B0604020202020204" pitchFamily="34" charset="0"/>
            </a:rPr>
            <a:t>Hace seguimiento a las recomendaciones con las acciones 2017 y el resultado/efecto alcanzado.</a:t>
          </a:r>
        </a:p>
      </dsp:txBody>
      <dsp:txXfrm rot="-5400000">
        <a:off x="1996364" y="2471699"/>
        <a:ext cx="3532331" cy="309808"/>
      </dsp:txXfrm>
    </dsp:sp>
    <dsp:sp modelId="{B2FD2C8C-2833-41F8-9D90-20360CDC5041}">
      <dsp:nvSpPr>
        <dsp:cNvPr id="0" name=""/>
        <dsp:cNvSpPr/>
      </dsp:nvSpPr>
      <dsp:spPr>
        <a:xfrm>
          <a:off x="0" y="2412023"/>
          <a:ext cx="1996363" cy="429160"/>
        </a:xfrm>
        <a:prstGeom prst="roundRect">
          <a:avLst/>
        </a:prstGeom>
        <a:solidFill>
          <a:schemeClr val="accent3">
            <a:hueOff val="9375220"/>
            <a:satOff val="-14067"/>
            <a:lumOff val="-22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CO" sz="1000" b="1" kern="1200" dirty="0">
              <a:latin typeface="+mn-lt"/>
              <a:cs typeface="Arial" panose="020B0604020202020204" pitchFamily="34" charset="0"/>
            </a:rPr>
            <a:t>Seguimiento a las Recomendaciones del Comité de los Derechos del Niño</a:t>
          </a:r>
        </a:p>
      </dsp:txBody>
      <dsp:txXfrm>
        <a:off x="20950" y="2432973"/>
        <a:ext cx="1954463" cy="387260"/>
      </dsp:txXfrm>
    </dsp:sp>
    <dsp:sp modelId="{0F9916FB-C8AE-4515-BEE6-D5B10A79B7B9}">
      <dsp:nvSpPr>
        <dsp:cNvPr id="0" name=""/>
        <dsp:cNvSpPr/>
      </dsp:nvSpPr>
      <dsp:spPr>
        <a:xfrm rot="5400000">
          <a:off x="3599245" y="1302677"/>
          <a:ext cx="343328" cy="3549091"/>
        </a:xfrm>
        <a:prstGeom prst="round2SameRect">
          <a:avLst/>
        </a:prstGeom>
        <a:solidFill>
          <a:srgbClr val="F0F0F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O" sz="1000" kern="1200" dirty="0">
              <a:latin typeface="+mn-lt"/>
              <a:cs typeface="Arial" panose="020B0604020202020204" pitchFamily="34" charset="0"/>
            </a:rPr>
            <a:t>Emite respuesta a los informes internacionales y requerimientos de información (comentarios, informes obervaciones y reportes).</a:t>
          </a:r>
        </a:p>
      </dsp:txBody>
      <dsp:txXfrm rot="-5400000">
        <a:off x="1996364" y="2922318"/>
        <a:ext cx="3532331" cy="309808"/>
      </dsp:txXfrm>
    </dsp:sp>
    <dsp:sp modelId="{7C432851-15EC-41AF-B770-A8EA0FB2F155}">
      <dsp:nvSpPr>
        <dsp:cNvPr id="0" name=""/>
        <dsp:cNvSpPr/>
      </dsp:nvSpPr>
      <dsp:spPr>
        <a:xfrm>
          <a:off x="0" y="2862642"/>
          <a:ext cx="1996363" cy="429160"/>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CO" sz="1000" b="1" kern="1200" dirty="0">
              <a:latin typeface="+mn-lt"/>
              <a:cs typeface="Arial" panose="020B0604020202020204" pitchFamily="34" charset="0"/>
            </a:rPr>
            <a:t>Cumplimiento a los compromisos internacionales</a:t>
          </a:r>
        </a:p>
      </dsp:txBody>
      <dsp:txXfrm>
        <a:off x="20950" y="2883592"/>
        <a:ext cx="1954463" cy="387260"/>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E9A644-2B3F-42E4-B38E-A6608EE5D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2302</TotalTime>
  <Pages>1</Pages>
  <Words>143650</Words>
  <Characters>790081</Characters>
  <Application>Microsoft Office Word</Application>
  <DocSecurity>0</DocSecurity>
  <Lines>6584</Lines>
  <Paragraphs>1863</Paragraphs>
  <ScaleCrop>false</ScaleCrop>
  <HeadingPairs>
    <vt:vector size="2" baseType="variant">
      <vt:variant>
        <vt:lpstr>Título</vt:lpstr>
      </vt:variant>
      <vt:variant>
        <vt:i4>1</vt:i4>
      </vt:variant>
    </vt:vector>
  </HeadingPairs>
  <TitlesOfParts>
    <vt:vector size="1" baseType="lpstr">
      <vt:lpstr>INFORME DE GESTIÓN ICBF</vt:lpstr>
    </vt:vector>
  </TitlesOfParts>
  <Company>Hewlett-Packard Company</Company>
  <LinksUpToDate>false</LinksUpToDate>
  <CharactersWithSpaces>931868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ICBF</dc:title>
  <dc:subject/>
  <dc:creator>Manuela Miranda Castrillon</dc:creator>
  <cp:keywords/>
  <cp:lastModifiedBy>Sandra Milena Cadavid Ariza</cp:lastModifiedBy>
  <cp:revision>166</cp:revision>
  <cp:lastPrinted>2018-01-31T22:52:00Z</cp:lastPrinted>
  <dcterms:created xsi:type="dcterms:W3CDTF">2018-01-29T16:45:00Z</dcterms:created>
  <dcterms:modified xsi:type="dcterms:W3CDTF">2018-01-31T22:59:00Z</dcterms:modified>
</cp:coreProperties>
</file>